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B1B" w:rsidRDefault="00CF5B1B">
      <w:pPr>
        <w:spacing w:line="240" w:lineRule="auto"/>
        <w:rPr>
          <w:sz w:val="6"/>
        </w:rPr>
        <w:sectPr w:rsidR="00CF5B1B">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20"/>
          <w:titlePg/>
        </w:sectPr>
      </w:pPr>
      <w:r>
        <w:rPr>
          <w:rStyle w:val="CommentReference"/>
          <w:vanish/>
        </w:rPr>
        <w:commentReference w:id="0"/>
      </w:r>
    </w:p>
    <w:p w:rsidR="003A6412" w:rsidRPr="003A6412" w:rsidRDefault="003A6412" w:rsidP="003A6412">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3A6412">
        <w:rPr>
          <w:lang w:val="fr-FR"/>
        </w:rPr>
        <w:t>Comité pour l</w:t>
      </w:r>
      <w:r w:rsidR="000A3D87">
        <w:rPr>
          <w:lang w:val="fr-FR"/>
        </w:rPr>
        <w:t>’</w:t>
      </w:r>
      <w:r w:rsidRPr="003A6412">
        <w:rPr>
          <w:lang w:val="fr-FR"/>
        </w:rPr>
        <w:t>élimination de la</w:t>
      </w:r>
      <w:r>
        <w:rPr>
          <w:lang w:val="fr-FR"/>
        </w:rPr>
        <w:br/>
      </w:r>
      <w:r w:rsidRPr="003A6412">
        <w:rPr>
          <w:lang w:val="fr-FR"/>
        </w:rPr>
        <w:t>discrimination à l</w:t>
      </w:r>
      <w:r w:rsidR="000A3D87">
        <w:rPr>
          <w:lang w:val="fr-FR"/>
        </w:rPr>
        <w:t>’</w:t>
      </w:r>
      <w:r w:rsidRPr="003A6412">
        <w:rPr>
          <w:lang w:val="fr-FR"/>
        </w:rPr>
        <w:t>égard des femmes</w:t>
      </w:r>
    </w:p>
    <w:p w:rsidR="00D35192" w:rsidRPr="00D35192" w:rsidRDefault="00D35192" w:rsidP="00D35192">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szCs w:val="18"/>
          <w:lang w:val="fr-FR"/>
        </w:rPr>
      </w:pPr>
    </w:p>
    <w:p w:rsidR="00D35192" w:rsidRPr="00D35192" w:rsidRDefault="00D35192" w:rsidP="00D35192">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szCs w:val="18"/>
          <w:lang w:val="fr-FR"/>
        </w:rPr>
      </w:pPr>
    </w:p>
    <w:p w:rsidR="00D35192" w:rsidRPr="00D35192" w:rsidRDefault="00D35192" w:rsidP="00D35192">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szCs w:val="18"/>
          <w:lang w:val="fr-FR"/>
        </w:rPr>
      </w:pPr>
    </w:p>
    <w:p w:rsidR="00CF5B1B" w:rsidRPr="003A6412" w:rsidRDefault="003A6412" w:rsidP="003A641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F5B1B" w:rsidRPr="003A6412">
        <w:t>Examen des rapports présentés par les États parties</w:t>
      </w:r>
      <w:r w:rsidR="00B0068A" w:rsidRPr="003A6412">
        <w:br/>
      </w:r>
      <w:r w:rsidR="00CF5B1B" w:rsidRPr="003A6412">
        <w:t>conformément à l</w:t>
      </w:r>
      <w:r w:rsidR="000A3D87">
        <w:t>’</w:t>
      </w:r>
      <w:r w:rsidR="00CF5B1B" w:rsidRPr="003A6412">
        <w:t xml:space="preserve">article 18 de la Convention </w:t>
      </w:r>
      <w:r w:rsidR="00B0068A" w:rsidRPr="003A6412">
        <w:br/>
      </w:r>
      <w:r w:rsidR="00CF5B1B" w:rsidRPr="003A6412">
        <w:t>sur l</w:t>
      </w:r>
      <w:r w:rsidR="000A3D87">
        <w:t>’</w:t>
      </w:r>
      <w:r w:rsidR="00CF5B1B" w:rsidRPr="003A6412">
        <w:t xml:space="preserve">élimination de toutes les formes </w:t>
      </w:r>
      <w:r w:rsidR="00D35192">
        <w:br/>
      </w:r>
      <w:r w:rsidR="00CF5B1B" w:rsidRPr="003A6412">
        <w:t>de discrimin</w:t>
      </w:r>
      <w:r w:rsidR="00CF5B1B" w:rsidRPr="003A6412">
        <w:t>a</w:t>
      </w:r>
      <w:r w:rsidR="00CF5B1B" w:rsidRPr="003A6412">
        <w:t>tion à l</w:t>
      </w:r>
      <w:r w:rsidR="000A3D87">
        <w:t>’</w:t>
      </w:r>
      <w:r w:rsidR="00CF5B1B" w:rsidRPr="003A6412">
        <w:t xml:space="preserve">égard des femmes </w:t>
      </w:r>
    </w:p>
    <w:p w:rsidR="003A6412" w:rsidRPr="003A6412" w:rsidRDefault="003A6412" w:rsidP="003A6412">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szCs w:val="18"/>
        </w:rPr>
      </w:pPr>
    </w:p>
    <w:p w:rsidR="003A6412" w:rsidRPr="003A6412" w:rsidRDefault="003A6412" w:rsidP="003A6412">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szCs w:val="18"/>
        </w:rPr>
      </w:pPr>
    </w:p>
    <w:p w:rsidR="00CF5B1B" w:rsidRPr="003A6412" w:rsidRDefault="003A6412" w:rsidP="003A6412">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r>
      <w:r w:rsidR="00CF5B1B" w:rsidRPr="003A6412">
        <w:t>Sixième rapport périodique des États parties</w:t>
      </w:r>
    </w:p>
    <w:p w:rsidR="00D35192" w:rsidRPr="00D35192" w:rsidRDefault="00D35192" w:rsidP="00D35192">
      <w:pPr>
        <w:pStyle w:val="SingleTxt"/>
        <w:spacing w:after="0" w:line="120" w:lineRule="exact"/>
        <w:rPr>
          <w:sz w:val="10"/>
        </w:rPr>
      </w:pPr>
    </w:p>
    <w:p w:rsidR="00D35192" w:rsidRPr="00D35192" w:rsidRDefault="00D35192" w:rsidP="00D35192">
      <w:pPr>
        <w:pStyle w:val="SingleTxt"/>
        <w:spacing w:after="0" w:line="120" w:lineRule="exact"/>
        <w:rPr>
          <w:sz w:val="10"/>
        </w:rPr>
      </w:pPr>
    </w:p>
    <w:p w:rsidR="00CF5B1B" w:rsidRDefault="00D35192" w:rsidP="00D3519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Nigéria</w:t>
      </w:r>
      <w:r w:rsidRPr="00D35192">
        <w:rPr>
          <w:b w:val="0"/>
          <w:sz w:val="20"/>
        </w:rPr>
        <w:t>*</w:t>
      </w:r>
    </w:p>
    <w:p w:rsidR="003A6412" w:rsidRPr="003A6412" w:rsidRDefault="003A6412" w:rsidP="003A6412">
      <w:pPr>
        <w:framePr w:w="9792" w:h="432" w:hSpace="180" w:wrap="around" w:hAnchor="page" w:x="1210" w:yAlign="bottom"/>
        <w:spacing w:line="240" w:lineRule="auto"/>
        <w:rPr>
          <w:sz w:val="10"/>
        </w:rPr>
      </w:pPr>
    </w:p>
    <w:p w:rsidR="003A6412" w:rsidRPr="003A6412" w:rsidRDefault="003A6412" w:rsidP="003A6412">
      <w:pPr>
        <w:framePr w:w="9792" w:h="432" w:hSpace="180" w:wrap="around" w:hAnchor="page" w:x="1210" w:yAlign="bottom"/>
        <w:spacing w:line="240" w:lineRule="auto"/>
        <w:rPr>
          <w:sz w:val="6"/>
        </w:rPr>
      </w:pPr>
      <w:r w:rsidRPr="003A6412">
        <w:rPr>
          <w:noProof/>
          <w:w w:val="100"/>
          <w:sz w:val="6"/>
          <w:lang w:val="en-US"/>
        </w:rPr>
        <w:pict>
          <v:line id="_x0000_s2052" style="position:absolute;z-index:1;mso-position-horizontal-relative:page" from="108pt,-1pt" to="180pt,-1pt" strokeweight=".25pt">
            <w10:wrap anchorx="page"/>
          </v:line>
        </w:pict>
      </w:r>
    </w:p>
    <w:p w:rsidR="003A6412" w:rsidRPr="003A6412" w:rsidRDefault="00D35192" w:rsidP="003A6412">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r>
      <w:r w:rsidR="003A6412" w:rsidRPr="003A6412">
        <w:rPr>
          <w:sz w:val="17"/>
        </w:rPr>
        <w:t>Le présent document paraît sans avoir été revu selon la procédure habituelle.</w:t>
      </w:r>
    </w:p>
    <w:p w:rsidR="003A6412" w:rsidRPr="003A6412" w:rsidRDefault="003A6412" w:rsidP="003A6412">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0" w:hanging="576"/>
        <w:rPr>
          <w:sz w:val="10"/>
        </w:rPr>
      </w:pPr>
    </w:p>
    <w:p w:rsidR="003A6412" w:rsidRPr="003A6412" w:rsidRDefault="00D35192" w:rsidP="003A6412">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r>
      <w:r>
        <w:rPr>
          <w:sz w:val="17"/>
        </w:rPr>
        <w:tab/>
      </w:r>
      <w:r w:rsidR="003A6412" w:rsidRPr="003A6412">
        <w:rPr>
          <w:sz w:val="17"/>
        </w:rPr>
        <w:t>Le rapport initial présenté par le Gouvernement du Nigéria figure dans le document CEDAW/C/5/Add.49 et a été examiné par le Comité à sa septième session. Le deuxième-troisième rapport pério-dique combiné présenté par le Gouvernement du Nigéria figure dans le document CEDAW/C/NGA/2-3 et a été examiné par le Comité à sa neuvième session. Le quatrième-cinquième rapport périodique combiné présenté par le Gouvernement du Nigéria figure dans le document CEDAW/C/NGA/4-5 et a été examiné par le Comité à sa trentième session.</w:t>
      </w:r>
    </w:p>
    <w:p w:rsidR="00CF5B1B" w:rsidRDefault="003A6412" w:rsidP="003A641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p>
    <w:p w:rsidR="003A6412" w:rsidRDefault="00B0068A" w:rsidP="003A6412">
      <w:pPr>
        <w:pStyle w:val="HCh"/>
        <w:spacing w:after="120"/>
      </w:pPr>
      <w:r>
        <w:br w:type="page"/>
      </w:r>
      <w:r w:rsidR="003A6412">
        <w:t>Table des matières</w:t>
      </w:r>
    </w:p>
    <w:p w:rsidR="000A347D" w:rsidRPr="000A347D" w:rsidRDefault="000A347D" w:rsidP="000A347D">
      <w:pPr>
        <w:pStyle w:val="SingleTxt"/>
        <w:spacing w:after="0" w:line="120" w:lineRule="exact"/>
        <w:rPr>
          <w:sz w:val="10"/>
        </w:rPr>
      </w:pPr>
    </w:p>
    <w:p w:rsidR="000A347D" w:rsidRPr="000A347D" w:rsidRDefault="000A347D" w:rsidP="000A347D">
      <w:pPr>
        <w:pStyle w:val="SingleTxt"/>
        <w:spacing w:after="0" w:line="120" w:lineRule="exact"/>
        <w:rPr>
          <w:sz w:val="10"/>
        </w:rPr>
      </w:pPr>
    </w:p>
    <w:tbl>
      <w:tblPr>
        <w:tblW w:w="9720" w:type="dxa"/>
        <w:tblLayout w:type="fixed"/>
        <w:tblCellMar>
          <w:left w:w="0" w:type="dxa"/>
          <w:right w:w="0" w:type="dxa"/>
        </w:tblCellMar>
        <w:tblLook w:val="0000"/>
      </w:tblPr>
      <w:tblGrid>
        <w:gridCol w:w="1060"/>
        <w:gridCol w:w="8030"/>
        <w:gridCol w:w="630"/>
      </w:tblGrid>
      <w:tr w:rsidR="00AA2F8C" w:rsidRPr="003A6412">
        <w:tblPrEx>
          <w:tblCellMar>
            <w:top w:w="0" w:type="dxa"/>
            <w:bottom w:w="0" w:type="dxa"/>
          </w:tblCellMar>
        </w:tblPrEx>
        <w:tc>
          <w:tcPr>
            <w:tcW w:w="1060" w:type="dxa"/>
            <w:shd w:val="clear" w:color="auto" w:fill="auto"/>
          </w:tcPr>
          <w:p w:rsidR="00AA2F8C" w:rsidRPr="003A6412" w:rsidRDefault="00AA2F8C" w:rsidP="003A6412">
            <w:pPr>
              <w:spacing w:after="120" w:line="240" w:lineRule="auto"/>
              <w:jc w:val="right"/>
              <w:rPr>
                <w:i/>
                <w:sz w:val="14"/>
                <w:lang w:val="fr-FR"/>
              </w:rPr>
            </w:pPr>
          </w:p>
        </w:tc>
        <w:tc>
          <w:tcPr>
            <w:tcW w:w="8030" w:type="dxa"/>
            <w:shd w:val="clear" w:color="auto" w:fill="auto"/>
          </w:tcPr>
          <w:p w:rsidR="00AA2F8C" w:rsidRPr="003A6412" w:rsidRDefault="00AA2F8C" w:rsidP="003A6412">
            <w:pPr>
              <w:spacing w:after="120" w:line="240" w:lineRule="auto"/>
              <w:rPr>
                <w:i/>
                <w:sz w:val="14"/>
                <w:lang w:val="fr-FR"/>
              </w:rPr>
            </w:pPr>
          </w:p>
        </w:tc>
        <w:tc>
          <w:tcPr>
            <w:tcW w:w="630" w:type="dxa"/>
            <w:shd w:val="clear" w:color="auto" w:fill="auto"/>
          </w:tcPr>
          <w:p w:rsidR="00AA2F8C" w:rsidRPr="003A6412" w:rsidRDefault="00AA2F8C" w:rsidP="003A6412">
            <w:pPr>
              <w:spacing w:after="120" w:line="240" w:lineRule="auto"/>
              <w:jc w:val="right"/>
              <w:rPr>
                <w:i/>
                <w:sz w:val="14"/>
                <w:lang w:val="fr-FR"/>
              </w:rPr>
            </w:pPr>
            <w:r>
              <w:rPr>
                <w:i/>
                <w:sz w:val="14"/>
                <w:lang w:val="fr-FR"/>
              </w:rPr>
              <w:t>Page</w:t>
            </w:r>
          </w:p>
        </w:tc>
      </w:tr>
      <w:tr w:rsidR="00AA2F8C" w:rsidRPr="003A6412">
        <w:tblPrEx>
          <w:tblCellMar>
            <w:top w:w="0" w:type="dxa"/>
            <w:bottom w:w="0" w:type="dxa"/>
          </w:tblCellMar>
        </w:tblPrEx>
        <w:tc>
          <w:tcPr>
            <w:tcW w:w="1060" w:type="dxa"/>
            <w:shd w:val="clear" w:color="auto" w:fill="auto"/>
          </w:tcPr>
          <w:p w:rsidR="00AA2F8C" w:rsidRPr="003A6412" w:rsidRDefault="00AA2F8C" w:rsidP="003A6412">
            <w:pPr>
              <w:rPr>
                <w:lang w:val="fr-FR"/>
              </w:rPr>
            </w:pPr>
          </w:p>
        </w:tc>
        <w:tc>
          <w:tcPr>
            <w:tcW w:w="8030" w:type="dxa"/>
            <w:shd w:val="clear" w:color="auto" w:fill="auto"/>
          </w:tcPr>
          <w:p w:rsidR="00AA2F8C" w:rsidRPr="009A2C2B" w:rsidRDefault="00AA2F8C" w:rsidP="000A347D">
            <w:pPr>
              <w:tabs>
                <w:tab w:val="right" w:pos="1080"/>
                <w:tab w:val="right" w:leader="dot" w:pos="8381"/>
              </w:tabs>
              <w:rPr>
                <w:spacing w:val="60"/>
                <w:sz w:val="17"/>
              </w:rPr>
            </w:pPr>
            <w:r w:rsidRPr="009A2C2B">
              <w:t xml:space="preserve">Abréviations </w:t>
            </w:r>
            <w:r w:rsidR="000A347D" w:rsidRPr="009A2C2B">
              <w:rPr>
                <w:spacing w:val="60"/>
                <w:sz w:val="17"/>
              </w:rPr>
              <w:tab/>
            </w:r>
          </w:p>
        </w:tc>
        <w:tc>
          <w:tcPr>
            <w:tcW w:w="630" w:type="dxa"/>
            <w:shd w:val="clear" w:color="auto" w:fill="auto"/>
            <w:vAlign w:val="bottom"/>
          </w:tcPr>
          <w:p w:rsidR="00AA2F8C" w:rsidRPr="00605A86" w:rsidRDefault="00605A86" w:rsidP="00605A86">
            <w:pPr>
              <w:ind w:right="43"/>
              <w:jc w:val="right"/>
              <w:rPr>
                <w:sz w:val="17"/>
                <w:szCs w:val="17"/>
                <w:lang w:val="fr-FR"/>
              </w:rPr>
            </w:pPr>
            <w:r w:rsidRPr="00605A86">
              <w:rPr>
                <w:sz w:val="17"/>
                <w:szCs w:val="17"/>
                <w:lang w:val="fr-FR"/>
              </w:rPr>
              <w:t>3</w:t>
            </w:r>
          </w:p>
        </w:tc>
      </w:tr>
      <w:tr w:rsidR="00AA2F8C" w:rsidRPr="003A6412">
        <w:tblPrEx>
          <w:tblCellMar>
            <w:top w:w="0" w:type="dxa"/>
            <w:bottom w:w="0" w:type="dxa"/>
          </w:tblCellMar>
        </w:tblPrEx>
        <w:tc>
          <w:tcPr>
            <w:tcW w:w="1060" w:type="dxa"/>
            <w:shd w:val="clear" w:color="auto" w:fill="auto"/>
          </w:tcPr>
          <w:p w:rsidR="00AA2F8C" w:rsidRPr="003A6412" w:rsidRDefault="00AA2F8C" w:rsidP="003A6412">
            <w:pPr>
              <w:rPr>
                <w:lang w:val="fr-FR"/>
              </w:rPr>
            </w:pPr>
          </w:p>
        </w:tc>
        <w:tc>
          <w:tcPr>
            <w:tcW w:w="8030" w:type="dxa"/>
            <w:shd w:val="clear" w:color="auto" w:fill="auto"/>
          </w:tcPr>
          <w:p w:rsidR="00AA2F8C" w:rsidRPr="009A2C2B" w:rsidRDefault="00AA2F8C" w:rsidP="000A347D">
            <w:pPr>
              <w:tabs>
                <w:tab w:val="right" w:pos="1080"/>
                <w:tab w:val="right" w:leader="dot" w:pos="8381"/>
              </w:tabs>
              <w:rPr>
                <w:spacing w:val="60"/>
              </w:rPr>
            </w:pPr>
            <w:r w:rsidRPr="009A2C2B">
              <w:t>Tableaux</w:t>
            </w:r>
            <w:r w:rsidR="000A347D" w:rsidRPr="009A2C2B">
              <w:rPr>
                <w:spacing w:val="60"/>
              </w:rPr>
              <w:tab/>
            </w:r>
            <w:r w:rsidR="000A347D" w:rsidRPr="009A2C2B">
              <w:rPr>
                <w:spacing w:val="60"/>
              </w:rPr>
              <w:tab/>
            </w:r>
          </w:p>
        </w:tc>
        <w:tc>
          <w:tcPr>
            <w:tcW w:w="630" w:type="dxa"/>
            <w:shd w:val="clear" w:color="auto" w:fill="auto"/>
            <w:vAlign w:val="bottom"/>
          </w:tcPr>
          <w:p w:rsidR="00AA2F8C" w:rsidRPr="00605A86" w:rsidRDefault="00605A86" w:rsidP="00605A86">
            <w:pPr>
              <w:ind w:right="43"/>
              <w:jc w:val="right"/>
              <w:rPr>
                <w:sz w:val="17"/>
                <w:szCs w:val="17"/>
                <w:lang w:val="fr-FR"/>
              </w:rPr>
            </w:pPr>
            <w:r w:rsidRPr="00605A86">
              <w:rPr>
                <w:sz w:val="17"/>
                <w:szCs w:val="17"/>
                <w:lang w:val="fr-FR"/>
              </w:rPr>
              <w:t>6</w:t>
            </w:r>
          </w:p>
        </w:tc>
      </w:tr>
      <w:tr w:rsidR="00AA2F8C" w:rsidRPr="003A6412">
        <w:tblPrEx>
          <w:tblCellMar>
            <w:top w:w="0" w:type="dxa"/>
            <w:bottom w:w="0" w:type="dxa"/>
          </w:tblCellMar>
        </w:tblPrEx>
        <w:tc>
          <w:tcPr>
            <w:tcW w:w="1060" w:type="dxa"/>
            <w:shd w:val="clear" w:color="auto" w:fill="auto"/>
          </w:tcPr>
          <w:p w:rsidR="00AA2F8C" w:rsidRPr="003A6412" w:rsidRDefault="00AA2F8C" w:rsidP="003A6412">
            <w:pPr>
              <w:rPr>
                <w:lang w:val="fr-FR"/>
              </w:rPr>
            </w:pPr>
          </w:p>
        </w:tc>
        <w:tc>
          <w:tcPr>
            <w:tcW w:w="8030" w:type="dxa"/>
            <w:shd w:val="clear" w:color="auto" w:fill="auto"/>
          </w:tcPr>
          <w:p w:rsidR="00AA2F8C" w:rsidRPr="009A2C2B" w:rsidRDefault="00AA2F8C" w:rsidP="000A347D">
            <w:pPr>
              <w:tabs>
                <w:tab w:val="right" w:leader="dot" w:pos="8381"/>
              </w:tabs>
              <w:rPr>
                <w:spacing w:val="60"/>
              </w:rPr>
            </w:pPr>
            <w:r w:rsidRPr="009A2C2B">
              <w:t xml:space="preserve">Figures </w:t>
            </w:r>
            <w:r w:rsidR="000A347D" w:rsidRPr="009A2C2B">
              <w:rPr>
                <w:spacing w:val="60"/>
              </w:rPr>
              <w:tab/>
            </w:r>
          </w:p>
        </w:tc>
        <w:tc>
          <w:tcPr>
            <w:tcW w:w="630" w:type="dxa"/>
            <w:shd w:val="clear" w:color="auto" w:fill="auto"/>
            <w:vAlign w:val="bottom"/>
          </w:tcPr>
          <w:p w:rsidR="00AA2F8C" w:rsidRPr="00605A86" w:rsidRDefault="00605A86" w:rsidP="00605A86">
            <w:pPr>
              <w:ind w:right="43"/>
              <w:jc w:val="right"/>
              <w:rPr>
                <w:sz w:val="17"/>
                <w:szCs w:val="17"/>
                <w:lang w:val="fr-FR"/>
              </w:rPr>
            </w:pPr>
            <w:r w:rsidRPr="00605A86">
              <w:rPr>
                <w:sz w:val="17"/>
                <w:szCs w:val="17"/>
                <w:lang w:val="fr-FR"/>
              </w:rPr>
              <w:t>7</w:t>
            </w:r>
          </w:p>
        </w:tc>
      </w:tr>
      <w:tr w:rsidR="00AA2F8C" w:rsidRPr="003A6412">
        <w:tblPrEx>
          <w:tblCellMar>
            <w:top w:w="0" w:type="dxa"/>
            <w:bottom w:w="0" w:type="dxa"/>
          </w:tblCellMar>
        </w:tblPrEx>
        <w:tc>
          <w:tcPr>
            <w:tcW w:w="1060" w:type="dxa"/>
            <w:shd w:val="clear" w:color="auto" w:fill="auto"/>
          </w:tcPr>
          <w:p w:rsidR="00AA2F8C" w:rsidRPr="003A6412" w:rsidRDefault="00AA2F8C" w:rsidP="003A6412">
            <w:pPr>
              <w:rPr>
                <w:lang w:val="fr-FR"/>
              </w:rPr>
            </w:pPr>
          </w:p>
        </w:tc>
        <w:tc>
          <w:tcPr>
            <w:tcW w:w="8030" w:type="dxa"/>
            <w:shd w:val="clear" w:color="auto" w:fill="auto"/>
          </w:tcPr>
          <w:p w:rsidR="00AA2F8C" w:rsidRPr="009A2C2B" w:rsidRDefault="00AA2F8C" w:rsidP="000A347D">
            <w:pPr>
              <w:tabs>
                <w:tab w:val="right" w:leader="dot" w:pos="8381"/>
              </w:tabs>
              <w:rPr>
                <w:spacing w:val="60"/>
              </w:rPr>
            </w:pPr>
            <w:r w:rsidRPr="009A2C2B">
              <w:t>Préface</w:t>
            </w:r>
            <w:r w:rsidR="000A347D" w:rsidRPr="009A2C2B">
              <w:rPr>
                <w:spacing w:val="60"/>
              </w:rPr>
              <w:tab/>
            </w:r>
          </w:p>
        </w:tc>
        <w:tc>
          <w:tcPr>
            <w:tcW w:w="630" w:type="dxa"/>
            <w:shd w:val="clear" w:color="auto" w:fill="auto"/>
            <w:vAlign w:val="bottom"/>
          </w:tcPr>
          <w:p w:rsidR="00AA2F8C" w:rsidRPr="00605A86" w:rsidRDefault="00605A86" w:rsidP="00605A86">
            <w:pPr>
              <w:ind w:right="43"/>
              <w:jc w:val="right"/>
              <w:rPr>
                <w:sz w:val="17"/>
                <w:szCs w:val="17"/>
                <w:lang w:val="fr-FR"/>
              </w:rPr>
            </w:pPr>
            <w:r w:rsidRPr="00605A86">
              <w:rPr>
                <w:sz w:val="17"/>
                <w:szCs w:val="17"/>
                <w:lang w:val="fr-FR"/>
              </w:rPr>
              <w:t>8</w:t>
            </w:r>
          </w:p>
        </w:tc>
      </w:tr>
      <w:tr w:rsidR="00AA2F8C" w:rsidRPr="003A6412">
        <w:tblPrEx>
          <w:tblCellMar>
            <w:top w:w="0" w:type="dxa"/>
            <w:bottom w:w="0" w:type="dxa"/>
          </w:tblCellMar>
        </w:tblPrEx>
        <w:tc>
          <w:tcPr>
            <w:tcW w:w="1060" w:type="dxa"/>
            <w:shd w:val="clear" w:color="auto" w:fill="auto"/>
          </w:tcPr>
          <w:p w:rsidR="00AA2F8C" w:rsidRPr="003A6412" w:rsidRDefault="00AA2F8C" w:rsidP="003A6412">
            <w:pPr>
              <w:rPr>
                <w:lang w:val="fr-FR"/>
              </w:rPr>
            </w:pPr>
          </w:p>
        </w:tc>
        <w:tc>
          <w:tcPr>
            <w:tcW w:w="8030" w:type="dxa"/>
            <w:shd w:val="clear" w:color="auto" w:fill="auto"/>
          </w:tcPr>
          <w:p w:rsidR="00AA2F8C" w:rsidRPr="009A2C2B" w:rsidRDefault="00AA2F8C" w:rsidP="009A2C2B">
            <w:pPr>
              <w:tabs>
                <w:tab w:val="right" w:pos="1080"/>
                <w:tab w:val="right" w:leader="dot" w:pos="8381"/>
              </w:tabs>
              <w:rPr>
                <w:spacing w:val="60"/>
              </w:rPr>
            </w:pPr>
            <w:r w:rsidRPr="009A2C2B">
              <w:t>Remerciements</w:t>
            </w:r>
            <w:r w:rsidR="009A2C2B" w:rsidRPr="009A2C2B">
              <w:rPr>
                <w:spacing w:val="60"/>
              </w:rPr>
              <w:tab/>
            </w:r>
          </w:p>
        </w:tc>
        <w:tc>
          <w:tcPr>
            <w:tcW w:w="630" w:type="dxa"/>
            <w:shd w:val="clear" w:color="auto" w:fill="auto"/>
            <w:vAlign w:val="bottom"/>
          </w:tcPr>
          <w:p w:rsidR="00AA2F8C" w:rsidRPr="00605A86" w:rsidRDefault="00605A86" w:rsidP="00605A86">
            <w:pPr>
              <w:ind w:right="43"/>
              <w:jc w:val="right"/>
              <w:rPr>
                <w:sz w:val="17"/>
                <w:szCs w:val="17"/>
                <w:lang w:val="fr-FR"/>
              </w:rPr>
            </w:pPr>
            <w:r>
              <w:rPr>
                <w:sz w:val="17"/>
                <w:szCs w:val="17"/>
                <w:lang w:val="fr-FR"/>
              </w:rPr>
              <w:t>10</w:t>
            </w:r>
          </w:p>
        </w:tc>
      </w:tr>
      <w:tr w:rsidR="00863960" w:rsidRPr="003A6412">
        <w:tblPrEx>
          <w:tblCellMar>
            <w:top w:w="0" w:type="dxa"/>
            <w:bottom w:w="0" w:type="dxa"/>
          </w:tblCellMar>
        </w:tblPrEx>
        <w:tc>
          <w:tcPr>
            <w:tcW w:w="1060" w:type="dxa"/>
            <w:shd w:val="clear" w:color="auto" w:fill="auto"/>
          </w:tcPr>
          <w:p w:rsidR="00863960" w:rsidRPr="003A6412" w:rsidRDefault="00863960" w:rsidP="003A6412">
            <w:pPr>
              <w:rPr>
                <w:lang w:val="fr-FR"/>
              </w:rPr>
            </w:pPr>
          </w:p>
        </w:tc>
        <w:tc>
          <w:tcPr>
            <w:tcW w:w="8030" w:type="dxa"/>
            <w:shd w:val="clear" w:color="auto" w:fill="auto"/>
          </w:tcPr>
          <w:p w:rsidR="00863960" w:rsidRPr="00863960" w:rsidRDefault="00863960" w:rsidP="00863960">
            <w:pPr>
              <w:tabs>
                <w:tab w:val="right" w:pos="1080"/>
                <w:tab w:val="left" w:pos="1296"/>
                <w:tab w:val="right" w:leader="dot" w:pos="8381"/>
              </w:tabs>
              <w:rPr>
                <w:spacing w:val="60"/>
                <w:sz w:val="17"/>
              </w:rPr>
            </w:pPr>
            <w:r>
              <w:t>Résumé analytique</w:t>
            </w:r>
            <w:r w:rsidRPr="009A2C2B">
              <w:rPr>
                <w:spacing w:val="60"/>
              </w:rPr>
              <w:tab/>
            </w:r>
          </w:p>
        </w:tc>
        <w:tc>
          <w:tcPr>
            <w:tcW w:w="630" w:type="dxa"/>
            <w:shd w:val="clear" w:color="auto" w:fill="auto"/>
            <w:vAlign w:val="bottom"/>
          </w:tcPr>
          <w:p w:rsidR="00863960" w:rsidRPr="00605A86" w:rsidRDefault="00605A86" w:rsidP="00605A86">
            <w:pPr>
              <w:ind w:right="43"/>
              <w:jc w:val="right"/>
              <w:rPr>
                <w:sz w:val="17"/>
                <w:szCs w:val="17"/>
                <w:lang w:val="fr-FR"/>
              </w:rPr>
            </w:pPr>
            <w:r>
              <w:rPr>
                <w:sz w:val="17"/>
                <w:szCs w:val="17"/>
                <w:lang w:val="fr-FR"/>
              </w:rPr>
              <w:t>11</w:t>
            </w:r>
          </w:p>
        </w:tc>
      </w:tr>
      <w:tr w:rsidR="000A347D" w:rsidRPr="003A6412">
        <w:tblPrEx>
          <w:tblCellMar>
            <w:top w:w="0" w:type="dxa"/>
            <w:bottom w:w="0" w:type="dxa"/>
          </w:tblCellMar>
        </w:tblPrEx>
        <w:tc>
          <w:tcPr>
            <w:tcW w:w="1060" w:type="dxa"/>
            <w:shd w:val="clear" w:color="auto" w:fill="auto"/>
          </w:tcPr>
          <w:p w:rsidR="000A347D" w:rsidRPr="00A15DCF" w:rsidRDefault="000A347D" w:rsidP="003A6412"/>
        </w:tc>
        <w:tc>
          <w:tcPr>
            <w:tcW w:w="8030" w:type="dxa"/>
            <w:shd w:val="clear" w:color="auto" w:fill="auto"/>
          </w:tcPr>
          <w:p w:rsidR="000A347D" w:rsidRPr="00A15DCF" w:rsidRDefault="000A347D" w:rsidP="00CF72DF"/>
        </w:tc>
        <w:tc>
          <w:tcPr>
            <w:tcW w:w="630" w:type="dxa"/>
            <w:shd w:val="clear" w:color="auto" w:fill="auto"/>
            <w:vAlign w:val="bottom"/>
          </w:tcPr>
          <w:p w:rsidR="000A347D" w:rsidRPr="00605A86" w:rsidRDefault="000A347D" w:rsidP="00605A86">
            <w:pPr>
              <w:ind w:right="43"/>
              <w:jc w:val="right"/>
              <w:rPr>
                <w:sz w:val="17"/>
                <w:szCs w:val="17"/>
                <w:lang w:val="fr-FR"/>
              </w:rPr>
            </w:pPr>
          </w:p>
        </w:tc>
      </w:tr>
      <w:tr w:rsidR="00AA2F8C" w:rsidRPr="003A6412">
        <w:tblPrEx>
          <w:tblCellMar>
            <w:top w:w="0" w:type="dxa"/>
            <w:bottom w:w="0" w:type="dxa"/>
          </w:tblCellMar>
        </w:tblPrEx>
        <w:tc>
          <w:tcPr>
            <w:tcW w:w="1060" w:type="dxa"/>
            <w:shd w:val="clear" w:color="auto" w:fill="auto"/>
          </w:tcPr>
          <w:p w:rsidR="00AA2F8C" w:rsidRPr="000A347D" w:rsidRDefault="00AA2F8C" w:rsidP="003A6412">
            <w:pPr>
              <w:rPr>
                <w:b/>
                <w:lang w:val="fr-FR"/>
              </w:rPr>
            </w:pPr>
            <w:r w:rsidRPr="000A347D">
              <w:rPr>
                <w:b/>
              </w:rPr>
              <w:t>Partie I</w:t>
            </w:r>
          </w:p>
        </w:tc>
        <w:tc>
          <w:tcPr>
            <w:tcW w:w="8030" w:type="dxa"/>
            <w:shd w:val="clear" w:color="auto" w:fill="auto"/>
          </w:tcPr>
          <w:p w:rsidR="00AA2F8C" w:rsidRPr="009A2C2B" w:rsidRDefault="00AA2F8C" w:rsidP="009A2C2B">
            <w:pPr>
              <w:tabs>
                <w:tab w:val="right" w:pos="1080"/>
                <w:tab w:val="right" w:leader="dot" w:pos="8381"/>
              </w:tabs>
              <w:rPr>
                <w:b/>
                <w:spacing w:val="60"/>
                <w:sz w:val="17"/>
              </w:rPr>
            </w:pPr>
            <w:r w:rsidRPr="000A347D">
              <w:rPr>
                <w:b/>
              </w:rPr>
              <w:t xml:space="preserve">Introduction </w:t>
            </w:r>
            <w:r w:rsidR="009A2C2B">
              <w:rPr>
                <w:b/>
                <w:spacing w:val="60"/>
                <w:sz w:val="17"/>
              </w:rPr>
              <w:tab/>
            </w:r>
          </w:p>
        </w:tc>
        <w:tc>
          <w:tcPr>
            <w:tcW w:w="630" w:type="dxa"/>
            <w:shd w:val="clear" w:color="auto" w:fill="auto"/>
            <w:vAlign w:val="bottom"/>
          </w:tcPr>
          <w:p w:rsidR="00AA2F8C" w:rsidRPr="00605A86" w:rsidRDefault="00605A86" w:rsidP="00605A86">
            <w:pPr>
              <w:ind w:right="43"/>
              <w:jc w:val="right"/>
              <w:rPr>
                <w:sz w:val="17"/>
                <w:szCs w:val="17"/>
                <w:lang w:val="fr-FR"/>
              </w:rPr>
            </w:pPr>
            <w:r>
              <w:rPr>
                <w:sz w:val="17"/>
                <w:szCs w:val="17"/>
                <w:lang w:val="fr-FR"/>
              </w:rPr>
              <w:t>14</w:t>
            </w:r>
          </w:p>
        </w:tc>
      </w:tr>
      <w:tr w:rsidR="00AA2F8C" w:rsidRPr="003A6412">
        <w:tblPrEx>
          <w:tblCellMar>
            <w:top w:w="0" w:type="dxa"/>
            <w:bottom w:w="0" w:type="dxa"/>
          </w:tblCellMar>
        </w:tblPrEx>
        <w:tc>
          <w:tcPr>
            <w:tcW w:w="1060" w:type="dxa"/>
            <w:shd w:val="clear" w:color="auto" w:fill="auto"/>
          </w:tcPr>
          <w:p w:rsidR="00AA2F8C" w:rsidRPr="003A6412" w:rsidRDefault="00AA2F8C" w:rsidP="003A6412">
            <w:pPr>
              <w:rPr>
                <w:lang w:val="fr-FR"/>
              </w:rPr>
            </w:pPr>
          </w:p>
        </w:tc>
        <w:tc>
          <w:tcPr>
            <w:tcW w:w="8030" w:type="dxa"/>
            <w:shd w:val="clear" w:color="auto" w:fill="auto"/>
          </w:tcPr>
          <w:p w:rsidR="00AA2F8C" w:rsidRPr="009A2C2B" w:rsidRDefault="00AA2F8C" w:rsidP="009A2C2B">
            <w:pPr>
              <w:tabs>
                <w:tab w:val="right" w:pos="1080"/>
                <w:tab w:val="left" w:pos="1296"/>
                <w:tab w:val="left" w:pos="1728"/>
                <w:tab w:val="left" w:pos="2160"/>
                <w:tab w:val="left" w:pos="2592"/>
                <w:tab w:val="right" w:leader="dot" w:pos="8381"/>
              </w:tabs>
              <w:rPr>
                <w:spacing w:val="60"/>
                <w:sz w:val="17"/>
              </w:rPr>
            </w:pPr>
            <w:r w:rsidRPr="00A15DCF">
              <w:t xml:space="preserve">Généralités et période considérée </w:t>
            </w:r>
            <w:r w:rsidR="009A2C2B">
              <w:rPr>
                <w:spacing w:val="60"/>
                <w:sz w:val="17"/>
              </w:rPr>
              <w:tab/>
            </w:r>
          </w:p>
        </w:tc>
        <w:tc>
          <w:tcPr>
            <w:tcW w:w="630" w:type="dxa"/>
            <w:shd w:val="clear" w:color="auto" w:fill="auto"/>
            <w:vAlign w:val="bottom"/>
          </w:tcPr>
          <w:p w:rsidR="00AA2F8C" w:rsidRPr="00605A86" w:rsidRDefault="00605A86" w:rsidP="00605A86">
            <w:pPr>
              <w:ind w:right="43"/>
              <w:jc w:val="right"/>
              <w:rPr>
                <w:sz w:val="17"/>
                <w:szCs w:val="17"/>
                <w:lang w:val="fr-FR"/>
              </w:rPr>
            </w:pPr>
            <w:r>
              <w:rPr>
                <w:sz w:val="17"/>
                <w:szCs w:val="17"/>
                <w:lang w:val="fr-FR"/>
              </w:rPr>
              <w:t>14</w:t>
            </w:r>
          </w:p>
        </w:tc>
      </w:tr>
      <w:tr w:rsidR="00AA2F8C" w:rsidRPr="003A6412">
        <w:tblPrEx>
          <w:tblCellMar>
            <w:top w:w="0" w:type="dxa"/>
            <w:bottom w:w="0" w:type="dxa"/>
          </w:tblCellMar>
        </w:tblPrEx>
        <w:tc>
          <w:tcPr>
            <w:tcW w:w="1060" w:type="dxa"/>
            <w:shd w:val="clear" w:color="auto" w:fill="auto"/>
          </w:tcPr>
          <w:p w:rsidR="00AA2F8C" w:rsidRPr="003A6412" w:rsidRDefault="00AA2F8C" w:rsidP="003A6412">
            <w:pPr>
              <w:rPr>
                <w:lang w:val="fr-FR"/>
              </w:rPr>
            </w:pPr>
          </w:p>
        </w:tc>
        <w:tc>
          <w:tcPr>
            <w:tcW w:w="8030" w:type="dxa"/>
            <w:shd w:val="clear" w:color="auto" w:fill="auto"/>
          </w:tcPr>
          <w:p w:rsidR="00AA2F8C" w:rsidRPr="009A2C2B" w:rsidRDefault="00AA2F8C" w:rsidP="009A2C2B">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rPr>
                <w:spacing w:val="60"/>
                <w:sz w:val="17"/>
              </w:rPr>
            </w:pPr>
            <w:r w:rsidRPr="00A15DCF">
              <w:t>Profil démographique et structure administrative du Nigéria</w:t>
            </w:r>
            <w:r w:rsidR="009A2C2B">
              <w:rPr>
                <w:spacing w:val="60"/>
                <w:sz w:val="17"/>
              </w:rPr>
              <w:tab/>
            </w:r>
          </w:p>
        </w:tc>
        <w:tc>
          <w:tcPr>
            <w:tcW w:w="630" w:type="dxa"/>
            <w:shd w:val="clear" w:color="auto" w:fill="auto"/>
            <w:vAlign w:val="bottom"/>
          </w:tcPr>
          <w:p w:rsidR="00AA2F8C" w:rsidRPr="00605A86" w:rsidRDefault="00605A86" w:rsidP="00605A86">
            <w:pPr>
              <w:ind w:right="43"/>
              <w:jc w:val="right"/>
              <w:rPr>
                <w:sz w:val="17"/>
                <w:szCs w:val="17"/>
                <w:lang w:val="fr-FR"/>
              </w:rPr>
            </w:pPr>
            <w:r>
              <w:rPr>
                <w:sz w:val="17"/>
                <w:szCs w:val="17"/>
                <w:lang w:val="fr-FR"/>
              </w:rPr>
              <w:t>14</w:t>
            </w:r>
          </w:p>
        </w:tc>
      </w:tr>
      <w:tr w:rsidR="00AA2F8C" w:rsidRPr="003A6412">
        <w:tblPrEx>
          <w:tblCellMar>
            <w:top w:w="0" w:type="dxa"/>
            <w:bottom w:w="0" w:type="dxa"/>
          </w:tblCellMar>
        </w:tblPrEx>
        <w:tc>
          <w:tcPr>
            <w:tcW w:w="1060" w:type="dxa"/>
            <w:shd w:val="clear" w:color="auto" w:fill="auto"/>
          </w:tcPr>
          <w:p w:rsidR="00AA2F8C" w:rsidRPr="003A6412" w:rsidRDefault="00AA2F8C" w:rsidP="003A6412">
            <w:pPr>
              <w:rPr>
                <w:lang w:val="fr-FR"/>
              </w:rPr>
            </w:pPr>
          </w:p>
        </w:tc>
        <w:tc>
          <w:tcPr>
            <w:tcW w:w="8030" w:type="dxa"/>
            <w:shd w:val="clear" w:color="auto" w:fill="auto"/>
          </w:tcPr>
          <w:p w:rsidR="00AA2F8C" w:rsidRPr="009A2C2B" w:rsidRDefault="00AA2F8C" w:rsidP="009A2C2B">
            <w:pPr>
              <w:tabs>
                <w:tab w:val="right" w:pos="1080"/>
                <w:tab w:val="left" w:pos="1296"/>
                <w:tab w:val="left" w:pos="1728"/>
                <w:tab w:val="right" w:leader="dot" w:pos="8381"/>
              </w:tabs>
              <w:rPr>
                <w:spacing w:val="60"/>
                <w:sz w:val="17"/>
              </w:rPr>
            </w:pPr>
            <w:r w:rsidRPr="00A15DCF">
              <w:t>Processus de préparation</w:t>
            </w:r>
            <w:r w:rsidR="009A2C2B">
              <w:rPr>
                <w:spacing w:val="60"/>
                <w:sz w:val="17"/>
              </w:rPr>
              <w:tab/>
            </w:r>
          </w:p>
        </w:tc>
        <w:tc>
          <w:tcPr>
            <w:tcW w:w="630" w:type="dxa"/>
            <w:shd w:val="clear" w:color="auto" w:fill="auto"/>
            <w:vAlign w:val="bottom"/>
          </w:tcPr>
          <w:p w:rsidR="00AA2F8C" w:rsidRPr="00605A86" w:rsidRDefault="00605A86" w:rsidP="00605A86">
            <w:pPr>
              <w:ind w:right="43"/>
              <w:jc w:val="right"/>
              <w:rPr>
                <w:sz w:val="17"/>
                <w:szCs w:val="17"/>
                <w:lang w:val="fr-FR"/>
              </w:rPr>
            </w:pPr>
            <w:r>
              <w:rPr>
                <w:sz w:val="17"/>
                <w:szCs w:val="17"/>
                <w:lang w:val="fr-FR"/>
              </w:rPr>
              <w:t>16</w:t>
            </w:r>
          </w:p>
        </w:tc>
      </w:tr>
      <w:tr w:rsidR="00AA2F8C" w:rsidRPr="003A6412">
        <w:tblPrEx>
          <w:tblCellMar>
            <w:top w:w="0" w:type="dxa"/>
            <w:bottom w:w="0" w:type="dxa"/>
          </w:tblCellMar>
        </w:tblPrEx>
        <w:tc>
          <w:tcPr>
            <w:tcW w:w="1060" w:type="dxa"/>
            <w:shd w:val="clear" w:color="auto" w:fill="auto"/>
          </w:tcPr>
          <w:p w:rsidR="00AA2F8C" w:rsidRPr="003A6412" w:rsidRDefault="00AA2F8C" w:rsidP="003A6412">
            <w:pPr>
              <w:rPr>
                <w:lang w:val="fr-FR"/>
              </w:rPr>
            </w:pPr>
          </w:p>
        </w:tc>
        <w:tc>
          <w:tcPr>
            <w:tcW w:w="8030" w:type="dxa"/>
            <w:shd w:val="clear" w:color="auto" w:fill="auto"/>
          </w:tcPr>
          <w:p w:rsidR="00AA2F8C" w:rsidRPr="009A2C2B" w:rsidRDefault="00AA2F8C" w:rsidP="009A2C2B">
            <w:pPr>
              <w:tabs>
                <w:tab w:val="right" w:pos="1080"/>
                <w:tab w:val="right" w:leader="dot" w:pos="8381"/>
              </w:tabs>
              <w:rPr>
                <w:spacing w:val="60"/>
                <w:sz w:val="17"/>
              </w:rPr>
            </w:pPr>
            <w:r w:rsidRPr="00A15DCF">
              <w:t>Collaboration</w:t>
            </w:r>
            <w:r w:rsidR="009A2C2B">
              <w:rPr>
                <w:spacing w:val="60"/>
                <w:sz w:val="17"/>
              </w:rPr>
              <w:tab/>
            </w:r>
          </w:p>
        </w:tc>
        <w:tc>
          <w:tcPr>
            <w:tcW w:w="630" w:type="dxa"/>
            <w:shd w:val="clear" w:color="auto" w:fill="auto"/>
            <w:vAlign w:val="bottom"/>
          </w:tcPr>
          <w:p w:rsidR="00AA2F8C" w:rsidRPr="00605A86" w:rsidRDefault="00605A86" w:rsidP="00605A86">
            <w:pPr>
              <w:ind w:right="43"/>
              <w:jc w:val="right"/>
              <w:rPr>
                <w:sz w:val="17"/>
                <w:szCs w:val="17"/>
                <w:lang w:val="fr-FR"/>
              </w:rPr>
            </w:pPr>
            <w:r>
              <w:rPr>
                <w:sz w:val="17"/>
                <w:szCs w:val="17"/>
                <w:lang w:val="fr-FR"/>
              </w:rPr>
              <w:t>18</w:t>
            </w:r>
          </w:p>
        </w:tc>
      </w:tr>
      <w:tr w:rsidR="00AA2F8C" w:rsidRPr="003A6412">
        <w:tblPrEx>
          <w:tblCellMar>
            <w:top w:w="0" w:type="dxa"/>
            <w:bottom w:w="0" w:type="dxa"/>
          </w:tblCellMar>
        </w:tblPrEx>
        <w:tc>
          <w:tcPr>
            <w:tcW w:w="1060" w:type="dxa"/>
            <w:shd w:val="clear" w:color="auto" w:fill="auto"/>
          </w:tcPr>
          <w:p w:rsidR="00AA2F8C" w:rsidRPr="003A6412" w:rsidRDefault="00AA2F8C" w:rsidP="003A6412">
            <w:pPr>
              <w:rPr>
                <w:lang w:val="fr-FR"/>
              </w:rPr>
            </w:pPr>
          </w:p>
        </w:tc>
        <w:tc>
          <w:tcPr>
            <w:tcW w:w="8030" w:type="dxa"/>
            <w:shd w:val="clear" w:color="auto" w:fill="auto"/>
          </w:tcPr>
          <w:p w:rsidR="00AA2F8C" w:rsidRPr="009A2C2B" w:rsidRDefault="00AA2F8C" w:rsidP="009A2C2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rPr>
                <w:spacing w:val="60"/>
                <w:sz w:val="17"/>
              </w:rPr>
            </w:pPr>
            <w:r w:rsidRPr="00A15DCF">
              <w:t>Réponse du Nigéria aux remarques finales du Comité sur l</w:t>
            </w:r>
            <w:r w:rsidR="000A3D87">
              <w:t>’</w:t>
            </w:r>
            <w:r w:rsidRPr="00A15DCF">
              <w:t>élimination de la discrimination à l</w:t>
            </w:r>
            <w:r w:rsidR="000A3D87">
              <w:t>’</w:t>
            </w:r>
            <w:r w:rsidRPr="00A15DCF">
              <w:t xml:space="preserve">égard des femmes sur le quatrième-cinquième rapport périodique du Nigéria </w:t>
            </w:r>
            <w:r w:rsidR="009A2C2B">
              <w:rPr>
                <w:spacing w:val="60"/>
                <w:sz w:val="17"/>
              </w:rPr>
              <w:tab/>
            </w:r>
          </w:p>
        </w:tc>
        <w:tc>
          <w:tcPr>
            <w:tcW w:w="630" w:type="dxa"/>
            <w:shd w:val="clear" w:color="auto" w:fill="auto"/>
            <w:vAlign w:val="bottom"/>
          </w:tcPr>
          <w:p w:rsidR="00AA2F8C" w:rsidRPr="00605A86" w:rsidRDefault="00605A86" w:rsidP="00605A86">
            <w:pPr>
              <w:ind w:right="43"/>
              <w:jc w:val="right"/>
              <w:rPr>
                <w:sz w:val="17"/>
                <w:szCs w:val="17"/>
                <w:lang w:val="fr-FR"/>
              </w:rPr>
            </w:pPr>
            <w:r>
              <w:rPr>
                <w:sz w:val="17"/>
                <w:szCs w:val="17"/>
                <w:lang w:val="fr-FR"/>
              </w:rPr>
              <w:t>19</w:t>
            </w:r>
          </w:p>
        </w:tc>
      </w:tr>
      <w:tr w:rsidR="000A347D" w:rsidRPr="003A6412">
        <w:tblPrEx>
          <w:tblCellMar>
            <w:top w:w="0" w:type="dxa"/>
            <w:bottom w:w="0" w:type="dxa"/>
          </w:tblCellMar>
        </w:tblPrEx>
        <w:tc>
          <w:tcPr>
            <w:tcW w:w="1060" w:type="dxa"/>
            <w:shd w:val="clear" w:color="auto" w:fill="auto"/>
          </w:tcPr>
          <w:p w:rsidR="000A347D" w:rsidRPr="00AA2F8C" w:rsidRDefault="000A347D" w:rsidP="003A6412">
            <w:pPr>
              <w:rPr>
                <w:lang w:val="fr-FR"/>
              </w:rPr>
            </w:pPr>
          </w:p>
        </w:tc>
        <w:tc>
          <w:tcPr>
            <w:tcW w:w="8030" w:type="dxa"/>
            <w:shd w:val="clear" w:color="auto" w:fill="auto"/>
          </w:tcPr>
          <w:p w:rsidR="000A347D" w:rsidRPr="00AA2F8C" w:rsidRDefault="000A347D" w:rsidP="003A6412">
            <w:pPr>
              <w:rPr>
                <w:lang w:val="fr-FR"/>
              </w:rPr>
            </w:pPr>
          </w:p>
        </w:tc>
        <w:tc>
          <w:tcPr>
            <w:tcW w:w="630" w:type="dxa"/>
            <w:shd w:val="clear" w:color="auto" w:fill="auto"/>
            <w:vAlign w:val="bottom"/>
          </w:tcPr>
          <w:p w:rsidR="000A347D" w:rsidRPr="00605A86" w:rsidRDefault="000A347D" w:rsidP="00605A86">
            <w:pPr>
              <w:ind w:right="43"/>
              <w:jc w:val="right"/>
              <w:rPr>
                <w:sz w:val="17"/>
                <w:szCs w:val="17"/>
                <w:lang w:val="fr-FR"/>
              </w:rPr>
            </w:pPr>
          </w:p>
        </w:tc>
      </w:tr>
      <w:tr w:rsidR="00AA2F8C" w:rsidRPr="003A6412">
        <w:tblPrEx>
          <w:tblCellMar>
            <w:top w:w="0" w:type="dxa"/>
            <w:bottom w:w="0" w:type="dxa"/>
          </w:tblCellMar>
        </w:tblPrEx>
        <w:tc>
          <w:tcPr>
            <w:tcW w:w="1060" w:type="dxa"/>
            <w:shd w:val="clear" w:color="auto" w:fill="auto"/>
          </w:tcPr>
          <w:p w:rsidR="00AA2F8C" w:rsidRPr="000A347D" w:rsidRDefault="00AA2F8C" w:rsidP="003A6412">
            <w:pPr>
              <w:rPr>
                <w:b/>
                <w:lang w:val="fr-FR"/>
              </w:rPr>
            </w:pPr>
            <w:r w:rsidRPr="000A347D">
              <w:rPr>
                <w:b/>
                <w:lang w:val="fr-FR"/>
              </w:rPr>
              <w:t>Partie II</w:t>
            </w:r>
          </w:p>
        </w:tc>
        <w:tc>
          <w:tcPr>
            <w:tcW w:w="8030" w:type="dxa"/>
            <w:shd w:val="clear" w:color="auto" w:fill="auto"/>
          </w:tcPr>
          <w:p w:rsidR="00AA2F8C" w:rsidRPr="009A2C2B" w:rsidRDefault="00AA2F8C" w:rsidP="009A2C2B">
            <w:pPr>
              <w:tabs>
                <w:tab w:val="right" w:pos="1080"/>
                <w:tab w:val="left" w:pos="1296"/>
                <w:tab w:val="left" w:pos="1728"/>
                <w:tab w:val="left" w:pos="2160"/>
                <w:tab w:val="left" w:pos="2592"/>
                <w:tab w:val="left" w:pos="3024"/>
                <w:tab w:val="left" w:pos="3456"/>
                <w:tab w:val="left" w:pos="3888"/>
                <w:tab w:val="right" w:leader="dot" w:pos="8381"/>
              </w:tabs>
              <w:rPr>
                <w:b/>
                <w:spacing w:val="60"/>
                <w:sz w:val="17"/>
                <w:lang w:val="fr-FR"/>
              </w:rPr>
            </w:pPr>
            <w:r w:rsidRPr="000A347D">
              <w:rPr>
                <w:b/>
                <w:lang w:val="fr-FR"/>
              </w:rPr>
              <w:t>Rapport d</w:t>
            </w:r>
            <w:r w:rsidR="000A3D87">
              <w:rPr>
                <w:b/>
                <w:lang w:val="fr-FR"/>
              </w:rPr>
              <w:t>’</w:t>
            </w:r>
            <w:r w:rsidRPr="000A347D">
              <w:rPr>
                <w:b/>
                <w:lang w:val="fr-FR"/>
              </w:rPr>
              <w:t>activité sur la mise en œuvre de la Convention sur l</w:t>
            </w:r>
            <w:r w:rsidR="000A3D87">
              <w:rPr>
                <w:b/>
                <w:lang w:val="fr-FR"/>
              </w:rPr>
              <w:t>’</w:t>
            </w:r>
            <w:r w:rsidRPr="000A347D">
              <w:rPr>
                <w:b/>
                <w:lang w:val="fr-FR"/>
              </w:rPr>
              <w:t>élimination de toutes les formes de discrimination à l</w:t>
            </w:r>
            <w:r w:rsidR="000A3D87">
              <w:rPr>
                <w:b/>
                <w:lang w:val="fr-FR"/>
              </w:rPr>
              <w:t>’</w:t>
            </w:r>
            <w:r w:rsidRPr="000A347D">
              <w:rPr>
                <w:b/>
                <w:lang w:val="fr-FR"/>
              </w:rPr>
              <w:t>égard des femmes</w:t>
            </w:r>
            <w:r w:rsidR="009A2C2B">
              <w:rPr>
                <w:b/>
                <w:spacing w:val="60"/>
                <w:sz w:val="17"/>
                <w:lang w:val="fr-FR"/>
              </w:rPr>
              <w:tab/>
            </w:r>
          </w:p>
        </w:tc>
        <w:tc>
          <w:tcPr>
            <w:tcW w:w="630" w:type="dxa"/>
            <w:shd w:val="clear" w:color="auto" w:fill="auto"/>
            <w:vAlign w:val="bottom"/>
          </w:tcPr>
          <w:p w:rsidR="00AA2F8C" w:rsidRPr="00605A86" w:rsidRDefault="00605A86" w:rsidP="00605A86">
            <w:pPr>
              <w:ind w:right="43"/>
              <w:jc w:val="right"/>
              <w:rPr>
                <w:sz w:val="17"/>
                <w:szCs w:val="17"/>
                <w:lang w:val="fr-FR"/>
              </w:rPr>
            </w:pPr>
            <w:r>
              <w:rPr>
                <w:sz w:val="17"/>
                <w:szCs w:val="17"/>
                <w:lang w:val="fr-FR"/>
              </w:rPr>
              <w:t>26</w:t>
            </w:r>
          </w:p>
        </w:tc>
      </w:tr>
      <w:tr w:rsidR="000A347D" w:rsidRPr="003A6412">
        <w:tblPrEx>
          <w:tblCellMar>
            <w:top w:w="0" w:type="dxa"/>
            <w:bottom w:w="0" w:type="dxa"/>
          </w:tblCellMar>
        </w:tblPrEx>
        <w:tc>
          <w:tcPr>
            <w:tcW w:w="1060" w:type="dxa"/>
            <w:shd w:val="clear" w:color="auto" w:fill="auto"/>
          </w:tcPr>
          <w:p w:rsidR="000A347D" w:rsidRPr="006D04E6" w:rsidRDefault="000A347D" w:rsidP="00CF72DF">
            <w:r w:rsidRPr="006D04E6">
              <w:t>Article 1.0</w:t>
            </w:r>
          </w:p>
        </w:tc>
        <w:tc>
          <w:tcPr>
            <w:tcW w:w="8030" w:type="dxa"/>
            <w:shd w:val="clear" w:color="auto" w:fill="auto"/>
          </w:tcPr>
          <w:p w:rsidR="000A347D" w:rsidRPr="009A2C2B" w:rsidRDefault="000A347D" w:rsidP="009A2C2B">
            <w:pPr>
              <w:tabs>
                <w:tab w:val="left" w:pos="1296"/>
                <w:tab w:val="left" w:pos="1728"/>
                <w:tab w:val="left" w:pos="2160"/>
                <w:tab w:val="left" w:pos="2592"/>
                <w:tab w:val="left" w:pos="3024"/>
                <w:tab w:val="left" w:pos="3456"/>
                <w:tab w:val="left" w:pos="3888"/>
                <w:tab w:val="left" w:pos="4320"/>
                <w:tab w:val="right" w:leader="dot" w:pos="8381"/>
              </w:tabs>
              <w:ind w:left="200"/>
              <w:rPr>
                <w:spacing w:val="60"/>
                <w:sz w:val="17"/>
              </w:rPr>
            </w:pPr>
            <w:r w:rsidRPr="006D04E6">
              <w:t>Définition de la discrimination à l</w:t>
            </w:r>
            <w:r w:rsidR="000A3D87">
              <w:t>’</w:t>
            </w:r>
            <w:r w:rsidRPr="006D04E6">
              <w:t>égard des femmes</w:t>
            </w:r>
            <w:r w:rsidR="009A2C2B">
              <w:rPr>
                <w:spacing w:val="60"/>
                <w:sz w:val="17"/>
              </w:rPr>
              <w:tab/>
            </w:r>
          </w:p>
        </w:tc>
        <w:tc>
          <w:tcPr>
            <w:tcW w:w="630" w:type="dxa"/>
            <w:shd w:val="clear" w:color="auto" w:fill="auto"/>
            <w:vAlign w:val="bottom"/>
          </w:tcPr>
          <w:p w:rsidR="000A347D" w:rsidRPr="00605A86" w:rsidRDefault="00605A86" w:rsidP="00605A86">
            <w:pPr>
              <w:ind w:right="43"/>
              <w:jc w:val="right"/>
              <w:rPr>
                <w:sz w:val="17"/>
                <w:szCs w:val="17"/>
                <w:lang w:val="fr-FR"/>
              </w:rPr>
            </w:pPr>
            <w:r>
              <w:rPr>
                <w:sz w:val="17"/>
                <w:szCs w:val="17"/>
                <w:lang w:val="fr-FR"/>
              </w:rPr>
              <w:t>26</w:t>
            </w:r>
          </w:p>
        </w:tc>
      </w:tr>
      <w:tr w:rsidR="000A347D" w:rsidRPr="003A6412">
        <w:tblPrEx>
          <w:tblCellMar>
            <w:top w:w="0" w:type="dxa"/>
            <w:bottom w:w="0" w:type="dxa"/>
          </w:tblCellMar>
        </w:tblPrEx>
        <w:tc>
          <w:tcPr>
            <w:tcW w:w="1060" w:type="dxa"/>
            <w:shd w:val="clear" w:color="auto" w:fill="auto"/>
          </w:tcPr>
          <w:p w:rsidR="000A347D" w:rsidRPr="006D04E6" w:rsidRDefault="000A347D" w:rsidP="00CF72DF">
            <w:r w:rsidRPr="006D04E6">
              <w:t>Article 2.0</w:t>
            </w:r>
          </w:p>
        </w:tc>
        <w:tc>
          <w:tcPr>
            <w:tcW w:w="8030" w:type="dxa"/>
            <w:shd w:val="clear" w:color="auto" w:fill="auto"/>
          </w:tcPr>
          <w:p w:rsidR="000A347D" w:rsidRPr="009A2C2B" w:rsidRDefault="000A347D" w:rsidP="009A2C2B">
            <w:pPr>
              <w:tabs>
                <w:tab w:val="right" w:pos="1080"/>
                <w:tab w:val="left" w:pos="1296"/>
                <w:tab w:val="left" w:pos="1728"/>
                <w:tab w:val="left" w:pos="2160"/>
                <w:tab w:val="left" w:pos="2592"/>
                <w:tab w:val="left" w:pos="3024"/>
                <w:tab w:val="left" w:pos="3456"/>
                <w:tab w:val="right" w:leader="dot" w:pos="8381"/>
              </w:tabs>
              <w:ind w:left="200"/>
              <w:rPr>
                <w:spacing w:val="60"/>
                <w:sz w:val="17"/>
              </w:rPr>
            </w:pPr>
            <w:r w:rsidRPr="006D04E6">
              <w:t>Obligation d</w:t>
            </w:r>
            <w:r w:rsidR="000A3D87">
              <w:t>’</w:t>
            </w:r>
            <w:r w:rsidRPr="006D04E6">
              <w:t>éliminer la discrimination</w:t>
            </w:r>
            <w:r w:rsidR="009A2C2B">
              <w:rPr>
                <w:spacing w:val="60"/>
                <w:sz w:val="17"/>
              </w:rPr>
              <w:tab/>
            </w:r>
          </w:p>
        </w:tc>
        <w:tc>
          <w:tcPr>
            <w:tcW w:w="630" w:type="dxa"/>
            <w:shd w:val="clear" w:color="auto" w:fill="auto"/>
            <w:vAlign w:val="bottom"/>
          </w:tcPr>
          <w:p w:rsidR="000A347D" w:rsidRPr="00605A86" w:rsidRDefault="00605A86" w:rsidP="00605A86">
            <w:pPr>
              <w:ind w:right="43"/>
              <w:jc w:val="right"/>
              <w:rPr>
                <w:sz w:val="17"/>
                <w:szCs w:val="17"/>
                <w:lang w:val="fr-FR"/>
              </w:rPr>
            </w:pPr>
            <w:r>
              <w:rPr>
                <w:sz w:val="17"/>
                <w:szCs w:val="17"/>
                <w:lang w:val="fr-FR"/>
              </w:rPr>
              <w:t>29</w:t>
            </w:r>
          </w:p>
        </w:tc>
      </w:tr>
      <w:tr w:rsidR="000A347D" w:rsidRPr="003A6412">
        <w:tblPrEx>
          <w:tblCellMar>
            <w:top w:w="0" w:type="dxa"/>
            <w:bottom w:w="0" w:type="dxa"/>
          </w:tblCellMar>
        </w:tblPrEx>
        <w:tc>
          <w:tcPr>
            <w:tcW w:w="1060" w:type="dxa"/>
            <w:shd w:val="clear" w:color="auto" w:fill="auto"/>
          </w:tcPr>
          <w:p w:rsidR="000A347D" w:rsidRPr="006D04E6" w:rsidRDefault="000A347D" w:rsidP="00CF72DF">
            <w:r w:rsidRPr="006D04E6">
              <w:t>Article 3.0</w:t>
            </w:r>
          </w:p>
        </w:tc>
        <w:tc>
          <w:tcPr>
            <w:tcW w:w="8030" w:type="dxa"/>
            <w:shd w:val="clear" w:color="auto" w:fill="auto"/>
          </w:tcPr>
          <w:p w:rsidR="000A347D" w:rsidRPr="009A2C2B" w:rsidRDefault="000A347D" w:rsidP="009A2C2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ind w:left="200"/>
              <w:rPr>
                <w:spacing w:val="60"/>
                <w:sz w:val="17"/>
              </w:rPr>
            </w:pPr>
            <w:r w:rsidRPr="006D04E6">
              <w:t>Mesures visant à assurer le plein épanouissement des femmes</w:t>
            </w:r>
            <w:r w:rsidR="009A2C2B">
              <w:rPr>
                <w:spacing w:val="60"/>
                <w:sz w:val="17"/>
              </w:rPr>
              <w:tab/>
            </w:r>
          </w:p>
        </w:tc>
        <w:tc>
          <w:tcPr>
            <w:tcW w:w="630" w:type="dxa"/>
            <w:shd w:val="clear" w:color="auto" w:fill="auto"/>
            <w:vAlign w:val="bottom"/>
          </w:tcPr>
          <w:p w:rsidR="000A347D" w:rsidRPr="00605A86" w:rsidRDefault="00605A86" w:rsidP="00605A86">
            <w:pPr>
              <w:ind w:right="43"/>
              <w:jc w:val="right"/>
              <w:rPr>
                <w:sz w:val="17"/>
                <w:szCs w:val="17"/>
                <w:lang w:val="fr-FR"/>
              </w:rPr>
            </w:pPr>
            <w:r>
              <w:rPr>
                <w:sz w:val="17"/>
                <w:szCs w:val="17"/>
                <w:lang w:val="fr-FR"/>
              </w:rPr>
              <w:t>33</w:t>
            </w:r>
          </w:p>
        </w:tc>
      </w:tr>
      <w:tr w:rsidR="000A347D" w:rsidRPr="003A6412">
        <w:tblPrEx>
          <w:tblCellMar>
            <w:top w:w="0" w:type="dxa"/>
            <w:bottom w:w="0" w:type="dxa"/>
          </w:tblCellMar>
        </w:tblPrEx>
        <w:tc>
          <w:tcPr>
            <w:tcW w:w="1060" w:type="dxa"/>
            <w:shd w:val="clear" w:color="auto" w:fill="auto"/>
          </w:tcPr>
          <w:p w:rsidR="000A347D" w:rsidRPr="006D04E6" w:rsidRDefault="000A347D" w:rsidP="00CF72DF">
            <w:r w:rsidRPr="006D04E6">
              <w:t>Article 4.0</w:t>
            </w:r>
          </w:p>
        </w:tc>
        <w:tc>
          <w:tcPr>
            <w:tcW w:w="8030" w:type="dxa"/>
            <w:shd w:val="clear" w:color="auto" w:fill="auto"/>
          </w:tcPr>
          <w:p w:rsidR="000A347D" w:rsidRPr="006D04E6" w:rsidRDefault="000A347D" w:rsidP="000A347D">
            <w:pPr>
              <w:tabs>
                <w:tab w:val="left" w:pos="200"/>
              </w:tabs>
              <w:ind w:left="200"/>
            </w:pPr>
            <w:r w:rsidRPr="006D04E6">
              <w:t>Mesures spéciales visant à accélérer la réalisation de l</w:t>
            </w:r>
            <w:r w:rsidR="000A3D87">
              <w:t>’</w:t>
            </w:r>
            <w:r w:rsidRPr="006D04E6">
              <w:t xml:space="preserve">égalité des femmes et des hommes </w:t>
            </w:r>
          </w:p>
        </w:tc>
        <w:tc>
          <w:tcPr>
            <w:tcW w:w="630" w:type="dxa"/>
            <w:shd w:val="clear" w:color="auto" w:fill="auto"/>
            <w:vAlign w:val="bottom"/>
          </w:tcPr>
          <w:p w:rsidR="000A347D" w:rsidRPr="00605A86" w:rsidRDefault="00605A86" w:rsidP="00605A86">
            <w:pPr>
              <w:ind w:right="43"/>
              <w:jc w:val="right"/>
              <w:rPr>
                <w:sz w:val="17"/>
                <w:szCs w:val="17"/>
                <w:lang w:val="fr-FR"/>
              </w:rPr>
            </w:pPr>
            <w:r>
              <w:rPr>
                <w:sz w:val="17"/>
                <w:szCs w:val="17"/>
                <w:lang w:val="fr-FR"/>
              </w:rPr>
              <w:t>51</w:t>
            </w:r>
          </w:p>
        </w:tc>
      </w:tr>
      <w:tr w:rsidR="000A347D" w:rsidRPr="003A6412">
        <w:tblPrEx>
          <w:tblCellMar>
            <w:top w:w="0" w:type="dxa"/>
            <w:bottom w:w="0" w:type="dxa"/>
          </w:tblCellMar>
        </w:tblPrEx>
        <w:tc>
          <w:tcPr>
            <w:tcW w:w="1060" w:type="dxa"/>
            <w:shd w:val="clear" w:color="auto" w:fill="auto"/>
          </w:tcPr>
          <w:p w:rsidR="000A347D" w:rsidRPr="006D04E6" w:rsidRDefault="000A347D" w:rsidP="00CF72DF">
            <w:r w:rsidRPr="006D04E6">
              <w:t>Article 5.0</w:t>
            </w:r>
          </w:p>
        </w:tc>
        <w:tc>
          <w:tcPr>
            <w:tcW w:w="8030" w:type="dxa"/>
            <w:shd w:val="clear" w:color="auto" w:fill="auto"/>
          </w:tcPr>
          <w:p w:rsidR="000A347D" w:rsidRPr="009A2C2B" w:rsidRDefault="000A347D" w:rsidP="009A2C2B">
            <w:pPr>
              <w:tabs>
                <w:tab w:val="right" w:pos="1080"/>
                <w:tab w:val="left" w:pos="1296"/>
                <w:tab w:val="left" w:pos="1728"/>
                <w:tab w:val="left" w:pos="2160"/>
                <w:tab w:val="left" w:pos="2592"/>
                <w:tab w:val="left" w:pos="3024"/>
                <w:tab w:val="right" w:leader="dot" w:pos="8381"/>
              </w:tabs>
              <w:ind w:left="200"/>
              <w:rPr>
                <w:spacing w:val="60"/>
                <w:sz w:val="17"/>
              </w:rPr>
            </w:pPr>
            <w:r w:rsidRPr="006D04E6">
              <w:t>Rôles et stéréotypes sexospécifiques</w:t>
            </w:r>
            <w:r w:rsidR="009A2C2B">
              <w:rPr>
                <w:spacing w:val="60"/>
                <w:sz w:val="17"/>
              </w:rPr>
              <w:tab/>
            </w:r>
          </w:p>
        </w:tc>
        <w:tc>
          <w:tcPr>
            <w:tcW w:w="630" w:type="dxa"/>
            <w:shd w:val="clear" w:color="auto" w:fill="auto"/>
            <w:vAlign w:val="bottom"/>
          </w:tcPr>
          <w:p w:rsidR="000A347D" w:rsidRPr="00605A86" w:rsidRDefault="00605A86" w:rsidP="00605A86">
            <w:pPr>
              <w:ind w:right="43"/>
              <w:jc w:val="right"/>
              <w:rPr>
                <w:sz w:val="17"/>
                <w:szCs w:val="17"/>
                <w:lang w:val="fr-FR"/>
              </w:rPr>
            </w:pPr>
            <w:r>
              <w:rPr>
                <w:sz w:val="17"/>
                <w:szCs w:val="17"/>
                <w:lang w:val="fr-FR"/>
              </w:rPr>
              <w:t>56</w:t>
            </w:r>
          </w:p>
        </w:tc>
      </w:tr>
      <w:tr w:rsidR="000A347D" w:rsidRPr="003A6412">
        <w:tblPrEx>
          <w:tblCellMar>
            <w:top w:w="0" w:type="dxa"/>
            <w:bottom w:w="0" w:type="dxa"/>
          </w:tblCellMar>
        </w:tblPrEx>
        <w:tc>
          <w:tcPr>
            <w:tcW w:w="1060" w:type="dxa"/>
            <w:shd w:val="clear" w:color="auto" w:fill="auto"/>
          </w:tcPr>
          <w:p w:rsidR="000A347D" w:rsidRPr="006D04E6" w:rsidRDefault="000A347D" w:rsidP="00CF72DF">
            <w:r w:rsidRPr="006D04E6">
              <w:t>Article 6.0</w:t>
            </w:r>
          </w:p>
        </w:tc>
        <w:tc>
          <w:tcPr>
            <w:tcW w:w="8030" w:type="dxa"/>
            <w:shd w:val="clear" w:color="auto" w:fill="auto"/>
          </w:tcPr>
          <w:p w:rsidR="000A347D" w:rsidRPr="009A2C2B" w:rsidRDefault="000A347D" w:rsidP="009A2C2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ind w:left="200"/>
              <w:rPr>
                <w:spacing w:val="60"/>
                <w:sz w:val="17"/>
              </w:rPr>
            </w:pPr>
            <w:r w:rsidRPr="006D04E6">
              <w:t>Traite des femmes et exploitation à des fins de prostitution</w:t>
            </w:r>
            <w:r w:rsidR="009A2C2B">
              <w:rPr>
                <w:spacing w:val="60"/>
                <w:sz w:val="17"/>
              </w:rPr>
              <w:tab/>
            </w:r>
          </w:p>
        </w:tc>
        <w:tc>
          <w:tcPr>
            <w:tcW w:w="630" w:type="dxa"/>
            <w:shd w:val="clear" w:color="auto" w:fill="auto"/>
            <w:vAlign w:val="bottom"/>
          </w:tcPr>
          <w:p w:rsidR="000A347D" w:rsidRPr="00605A86" w:rsidRDefault="00605A86" w:rsidP="00605A86">
            <w:pPr>
              <w:ind w:right="43"/>
              <w:jc w:val="right"/>
              <w:rPr>
                <w:sz w:val="17"/>
                <w:szCs w:val="17"/>
                <w:lang w:val="fr-FR"/>
              </w:rPr>
            </w:pPr>
            <w:r>
              <w:rPr>
                <w:sz w:val="17"/>
                <w:szCs w:val="17"/>
                <w:lang w:val="fr-FR"/>
              </w:rPr>
              <w:t>57</w:t>
            </w:r>
          </w:p>
        </w:tc>
      </w:tr>
      <w:tr w:rsidR="000A347D" w:rsidRPr="003A6412">
        <w:tblPrEx>
          <w:tblCellMar>
            <w:top w:w="0" w:type="dxa"/>
            <w:bottom w:w="0" w:type="dxa"/>
          </w:tblCellMar>
        </w:tblPrEx>
        <w:tc>
          <w:tcPr>
            <w:tcW w:w="1060" w:type="dxa"/>
            <w:shd w:val="clear" w:color="auto" w:fill="auto"/>
          </w:tcPr>
          <w:p w:rsidR="000A347D" w:rsidRPr="002E434D" w:rsidRDefault="000A347D" w:rsidP="00CF72DF">
            <w:r w:rsidRPr="002E434D">
              <w:t>Article 7.0</w:t>
            </w:r>
          </w:p>
        </w:tc>
        <w:tc>
          <w:tcPr>
            <w:tcW w:w="8030" w:type="dxa"/>
            <w:shd w:val="clear" w:color="auto" w:fill="auto"/>
          </w:tcPr>
          <w:p w:rsidR="000A347D" w:rsidRPr="009A2C2B" w:rsidRDefault="000A347D" w:rsidP="009A2C2B">
            <w:pPr>
              <w:tabs>
                <w:tab w:val="right" w:pos="1080"/>
                <w:tab w:val="left" w:pos="1296"/>
                <w:tab w:val="left" w:pos="1728"/>
                <w:tab w:val="left" w:pos="2160"/>
                <w:tab w:val="left" w:pos="2592"/>
                <w:tab w:val="left" w:pos="3024"/>
                <w:tab w:val="left" w:pos="3456"/>
                <w:tab w:val="left" w:pos="3888"/>
                <w:tab w:val="right" w:leader="dot" w:pos="8381"/>
              </w:tabs>
              <w:ind w:left="200"/>
              <w:rPr>
                <w:spacing w:val="60"/>
                <w:sz w:val="17"/>
              </w:rPr>
            </w:pPr>
            <w:r w:rsidRPr="002E434D">
              <w:t>Les femmes dans la vie politique et publique</w:t>
            </w:r>
            <w:r w:rsidR="009A2C2B">
              <w:rPr>
                <w:spacing w:val="60"/>
                <w:sz w:val="17"/>
              </w:rPr>
              <w:tab/>
            </w:r>
          </w:p>
        </w:tc>
        <w:tc>
          <w:tcPr>
            <w:tcW w:w="630" w:type="dxa"/>
            <w:shd w:val="clear" w:color="auto" w:fill="auto"/>
            <w:vAlign w:val="bottom"/>
          </w:tcPr>
          <w:p w:rsidR="000A347D" w:rsidRPr="00605A86" w:rsidRDefault="00605A86" w:rsidP="00605A86">
            <w:pPr>
              <w:ind w:right="43"/>
              <w:jc w:val="right"/>
              <w:rPr>
                <w:sz w:val="17"/>
                <w:szCs w:val="17"/>
                <w:lang w:val="fr-FR"/>
              </w:rPr>
            </w:pPr>
            <w:r>
              <w:rPr>
                <w:sz w:val="17"/>
                <w:szCs w:val="17"/>
                <w:lang w:val="fr-FR"/>
              </w:rPr>
              <w:t>64</w:t>
            </w:r>
          </w:p>
        </w:tc>
      </w:tr>
      <w:tr w:rsidR="000A347D" w:rsidRPr="003A6412">
        <w:tblPrEx>
          <w:tblCellMar>
            <w:top w:w="0" w:type="dxa"/>
            <w:bottom w:w="0" w:type="dxa"/>
          </w:tblCellMar>
        </w:tblPrEx>
        <w:tc>
          <w:tcPr>
            <w:tcW w:w="1060" w:type="dxa"/>
            <w:shd w:val="clear" w:color="auto" w:fill="auto"/>
          </w:tcPr>
          <w:p w:rsidR="000A347D" w:rsidRPr="002E434D" w:rsidRDefault="000A347D" w:rsidP="00CF72DF">
            <w:r w:rsidRPr="002E434D">
              <w:t>Article 8.0</w:t>
            </w:r>
          </w:p>
        </w:tc>
        <w:tc>
          <w:tcPr>
            <w:tcW w:w="8030" w:type="dxa"/>
            <w:shd w:val="clear" w:color="auto" w:fill="auto"/>
          </w:tcPr>
          <w:p w:rsidR="000A347D" w:rsidRPr="009A2C2B" w:rsidRDefault="000A347D" w:rsidP="009A2C2B">
            <w:pPr>
              <w:tabs>
                <w:tab w:val="right" w:pos="1080"/>
                <w:tab w:val="left" w:pos="1296"/>
                <w:tab w:val="left" w:pos="1728"/>
                <w:tab w:val="left" w:pos="2160"/>
                <w:tab w:val="left" w:pos="2592"/>
                <w:tab w:val="left" w:pos="3024"/>
                <w:tab w:val="left" w:pos="3456"/>
                <w:tab w:val="left" w:pos="3888"/>
                <w:tab w:val="left" w:pos="4320"/>
                <w:tab w:val="right" w:leader="dot" w:pos="8381"/>
              </w:tabs>
              <w:ind w:left="200"/>
              <w:rPr>
                <w:spacing w:val="60"/>
                <w:sz w:val="17"/>
              </w:rPr>
            </w:pPr>
            <w:r w:rsidRPr="002E434D">
              <w:t>Représentation des femmes au niveau international</w:t>
            </w:r>
            <w:r w:rsidR="009A2C2B">
              <w:rPr>
                <w:spacing w:val="60"/>
                <w:sz w:val="17"/>
              </w:rPr>
              <w:tab/>
            </w:r>
          </w:p>
        </w:tc>
        <w:tc>
          <w:tcPr>
            <w:tcW w:w="630" w:type="dxa"/>
            <w:shd w:val="clear" w:color="auto" w:fill="auto"/>
            <w:vAlign w:val="bottom"/>
          </w:tcPr>
          <w:p w:rsidR="000A347D" w:rsidRPr="00605A86" w:rsidRDefault="00605A86" w:rsidP="00605A86">
            <w:pPr>
              <w:ind w:right="43"/>
              <w:jc w:val="right"/>
              <w:rPr>
                <w:sz w:val="17"/>
                <w:szCs w:val="17"/>
                <w:lang w:val="fr-FR"/>
              </w:rPr>
            </w:pPr>
            <w:r>
              <w:rPr>
                <w:sz w:val="17"/>
                <w:szCs w:val="17"/>
                <w:lang w:val="fr-FR"/>
              </w:rPr>
              <w:t>68</w:t>
            </w:r>
          </w:p>
        </w:tc>
      </w:tr>
      <w:tr w:rsidR="000A347D" w:rsidRPr="003A6412">
        <w:tblPrEx>
          <w:tblCellMar>
            <w:top w:w="0" w:type="dxa"/>
            <w:bottom w:w="0" w:type="dxa"/>
          </w:tblCellMar>
        </w:tblPrEx>
        <w:tc>
          <w:tcPr>
            <w:tcW w:w="1060" w:type="dxa"/>
            <w:shd w:val="clear" w:color="auto" w:fill="auto"/>
          </w:tcPr>
          <w:p w:rsidR="000A347D" w:rsidRPr="002E434D" w:rsidRDefault="000A347D" w:rsidP="00CF72DF">
            <w:r w:rsidRPr="002E434D">
              <w:t>Article 9.0</w:t>
            </w:r>
          </w:p>
        </w:tc>
        <w:tc>
          <w:tcPr>
            <w:tcW w:w="8030" w:type="dxa"/>
            <w:shd w:val="clear" w:color="auto" w:fill="auto"/>
          </w:tcPr>
          <w:p w:rsidR="000A347D" w:rsidRPr="009A2C2B" w:rsidRDefault="000A347D" w:rsidP="009A2C2B">
            <w:pPr>
              <w:tabs>
                <w:tab w:val="right" w:pos="1080"/>
                <w:tab w:val="right" w:leader="dot" w:pos="8381"/>
              </w:tabs>
              <w:ind w:left="200"/>
              <w:rPr>
                <w:spacing w:val="60"/>
                <w:sz w:val="17"/>
              </w:rPr>
            </w:pPr>
            <w:r w:rsidRPr="002E434D">
              <w:t>Nationalité</w:t>
            </w:r>
            <w:r w:rsidR="009A2C2B">
              <w:rPr>
                <w:spacing w:val="60"/>
                <w:sz w:val="17"/>
              </w:rPr>
              <w:tab/>
            </w:r>
          </w:p>
        </w:tc>
        <w:tc>
          <w:tcPr>
            <w:tcW w:w="630" w:type="dxa"/>
            <w:shd w:val="clear" w:color="auto" w:fill="auto"/>
            <w:vAlign w:val="bottom"/>
          </w:tcPr>
          <w:p w:rsidR="000A347D" w:rsidRPr="00605A86" w:rsidRDefault="00605A86" w:rsidP="00605A86">
            <w:pPr>
              <w:ind w:right="43"/>
              <w:jc w:val="right"/>
              <w:rPr>
                <w:sz w:val="17"/>
                <w:szCs w:val="17"/>
                <w:lang w:val="fr-FR"/>
              </w:rPr>
            </w:pPr>
            <w:r>
              <w:rPr>
                <w:sz w:val="17"/>
                <w:szCs w:val="17"/>
                <w:lang w:val="fr-FR"/>
              </w:rPr>
              <w:t>71</w:t>
            </w:r>
          </w:p>
        </w:tc>
      </w:tr>
      <w:tr w:rsidR="000A347D" w:rsidRPr="003A6412">
        <w:tblPrEx>
          <w:tblCellMar>
            <w:top w:w="0" w:type="dxa"/>
            <w:bottom w:w="0" w:type="dxa"/>
          </w:tblCellMar>
        </w:tblPrEx>
        <w:tc>
          <w:tcPr>
            <w:tcW w:w="1060" w:type="dxa"/>
            <w:shd w:val="clear" w:color="auto" w:fill="auto"/>
          </w:tcPr>
          <w:p w:rsidR="000A347D" w:rsidRPr="002E434D" w:rsidRDefault="000A347D" w:rsidP="00CF72DF">
            <w:r w:rsidRPr="002E434D">
              <w:t>Article 10.0</w:t>
            </w:r>
          </w:p>
        </w:tc>
        <w:tc>
          <w:tcPr>
            <w:tcW w:w="8030" w:type="dxa"/>
            <w:shd w:val="clear" w:color="auto" w:fill="auto"/>
          </w:tcPr>
          <w:p w:rsidR="000A347D" w:rsidRPr="009A2C2B" w:rsidRDefault="000A347D" w:rsidP="009A2C2B">
            <w:pPr>
              <w:tabs>
                <w:tab w:val="right" w:pos="1080"/>
                <w:tab w:val="right" w:leader="dot" w:pos="8381"/>
              </w:tabs>
              <w:ind w:left="200"/>
              <w:rPr>
                <w:spacing w:val="60"/>
                <w:sz w:val="17"/>
              </w:rPr>
            </w:pPr>
            <w:r w:rsidRPr="002E434D">
              <w:t>Éducation</w:t>
            </w:r>
            <w:r w:rsidR="009A2C2B">
              <w:rPr>
                <w:spacing w:val="60"/>
                <w:sz w:val="17"/>
              </w:rPr>
              <w:tab/>
            </w:r>
            <w:r w:rsidR="009A2C2B">
              <w:rPr>
                <w:spacing w:val="60"/>
                <w:sz w:val="17"/>
              </w:rPr>
              <w:tab/>
            </w:r>
          </w:p>
        </w:tc>
        <w:tc>
          <w:tcPr>
            <w:tcW w:w="630" w:type="dxa"/>
            <w:shd w:val="clear" w:color="auto" w:fill="auto"/>
            <w:vAlign w:val="bottom"/>
          </w:tcPr>
          <w:p w:rsidR="000A347D" w:rsidRPr="00605A86" w:rsidRDefault="00605A86" w:rsidP="00605A86">
            <w:pPr>
              <w:ind w:right="43"/>
              <w:jc w:val="right"/>
              <w:rPr>
                <w:sz w:val="17"/>
                <w:szCs w:val="17"/>
                <w:lang w:val="fr-FR"/>
              </w:rPr>
            </w:pPr>
            <w:r>
              <w:rPr>
                <w:sz w:val="17"/>
                <w:szCs w:val="17"/>
                <w:lang w:val="fr-FR"/>
              </w:rPr>
              <w:t>72</w:t>
            </w:r>
          </w:p>
        </w:tc>
      </w:tr>
      <w:tr w:rsidR="000A347D" w:rsidRPr="003A6412">
        <w:tblPrEx>
          <w:tblCellMar>
            <w:top w:w="0" w:type="dxa"/>
            <w:bottom w:w="0" w:type="dxa"/>
          </w:tblCellMar>
        </w:tblPrEx>
        <w:tc>
          <w:tcPr>
            <w:tcW w:w="1060" w:type="dxa"/>
            <w:shd w:val="clear" w:color="auto" w:fill="auto"/>
          </w:tcPr>
          <w:p w:rsidR="000A347D" w:rsidRPr="002E434D" w:rsidRDefault="000A347D" w:rsidP="00CF72DF">
            <w:r w:rsidRPr="002E434D">
              <w:t>Article 11.0</w:t>
            </w:r>
          </w:p>
        </w:tc>
        <w:tc>
          <w:tcPr>
            <w:tcW w:w="8030" w:type="dxa"/>
            <w:shd w:val="clear" w:color="auto" w:fill="auto"/>
          </w:tcPr>
          <w:p w:rsidR="000A347D" w:rsidRPr="009A2C2B" w:rsidRDefault="000A347D" w:rsidP="009A2C2B">
            <w:pPr>
              <w:tabs>
                <w:tab w:val="right" w:pos="1080"/>
                <w:tab w:val="right" w:leader="dot" w:pos="8381"/>
              </w:tabs>
              <w:ind w:left="200"/>
              <w:rPr>
                <w:spacing w:val="60"/>
                <w:sz w:val="17"/>
              </w:rPr>
            </w:pPr>
            <w:r w:rsidRPr="002E434D">
              <w:t>Emploi</w:t>
            </w:r>
            <w:r w:rsidR="009A2C2B">
              <w:rPr>
                <w:spacing w:val="60"/>
                <w:sz w:val="17"/>
              </w:rPr>
              <w:tab/>
            </w:r>
            <w:r w:rsidR="009A2C2B">
              <w:rPr>
                <w:spacing w:val="60"/>
                <w:sz w:val="17"/>
              </w:rPr>
              <w:tab/>
            </w:r>
          </w:p>
        </w:tc>
        <w:tc>
          <w:tcPr>
            <w:tcW w:w="630" w:type="dxa"/>
            <w:shd w:val="clear" w:color="auto" w:fill="auto"/>
            <w:vAlign w:val="bottom"/>
          </w:tcPr>
          <w:p w:rsidR="000A347D" w:rsidRPr="00605A86" w:rsidRDefault="00605A86" w:rsidP="00605A86">
            <w:pPr>
              <w:ind w:right="43"/>
              <w:jc w:val="right"/>
              <w:rPr>
                <w:sz w:val="17"/>
                <w:szCs w:val="17"/>
                <w:lang w:val="fr-FR"/>
              </w:rPr>
            </w:pPr>
            <w:r>
              <w:rPr>
                <w:sz w:val="17"/>
                <w:szCs w:val="17"/>
                <w:lang w:val="fr-FR"/>
              </w:rPr>
              <w:t>79</w:t>
            </w:r>
          </w:p>
        </w:tc>
      </w:tr>
      <w:tr w:rsidR="000A347D" w:rsidRPr="003A6412">
        <w:tblPrEx>
          <w:tblCellMar>
            <w:top w:w="0" w:type="dxa"/>
            <w:bottom w:w="0" w:type="dxa"/>
          </w:tblCellMar>
        </w:tblPrEx>
        <w:tc>
          <w:tcPr>
            <w:tcW w:w="1060" w:type="dxa"/>
            <w:shd w:val="clear" w:color="auto" w:fill="auto"/>
          </w:tcPr>
          <w:p w:rsidR="000A347D" w:rsidRPr="002E434D" w:rsidRDefault="000A347D" w:rsidP="00CF72DF">
            <w:r w:rsidRPr="002E434D">
              <w:t>Article 12.0</w:t>
            </w:r>
          </w:p>
        </w:tc>
        <w:tc>
          <w:tcPr>
            <w:tcW w:w="8030" w:type="dxa"/>
            <w:shd w:val="clear" w:color="auto" w:fill="auto"/>
          </w:tcPr>
          <w:p w:rsidR="000A347D" w:rsidRPr="009A2C2B" w:rsidRDefault="000A347D" w:rsidP="009A2C2B">
            <w:pPr>
              <w:tabs>
                <w:tab w:val="right" w:pos="1080"/>
                <w:tab w:val="left" w:pos="1296"/>
                <w:tab w:val="left" w:pos="1728"/>
                <w:tab w:val="left" w:pos="2160"/>
                <w:tab w:val="left" w:pos="2592"/>
                <w:tab w:val="left" w:pos="3024"/>
                <w:tab w:val="right" w:leader="dot" w:pos="8381"/>
              </w:tabs>
              <w:ind w:left="200"/>
              <w:rPr>
                <w:spacing w:val="60"/>
                <w:sz w:val="17"/>
              </w:rPr>
            </w:pPr>
            <w:r w:rsidRPr="002E434D">
              <w:t>Égalité d</w:t>
            </w:r>
            <w:r w:rsidR="000A3D87">
              <w:t>’</w:t>
            </w:r>
            <w:r w:rsidRPr="002E434D">
              <w:t>accès aux soins de santé</w:t>
            </w:r>
            <w:r w:rsidR="009A2C2B">
              <w:rPr>
                <w:spacing w:val="60"/>
                <w:sz w:val="17"/>
              </w:rPr>
              <w:tab/>
            </w:r>
          </w:p>
        </w:tc>
        <w:tc>
          <w:tcPr>
            <w:tcW w:w="630" w:type="dxa"/>
            <w:shd w:val="clear" w:color="auto" w:fill="auto"/>
            <w:vAlign w:val="bottom"/>
          </w:tcPr>
          <w:p w:rsidR="000A347D" w:rsidRPr="00605A86" w:rsidRDefault="00605A86" w:rsidP="00605A86">
            <w:pPr>
              <w:ind w:right="43"/>
              <w:jc w:val="right"/>
              <w:rPr>
                <w:sz w:val="17"/>
                <w:szCs w:val="17"/>
                <w:lang w:val="fr-FR"/>
              </w:rPr>
            </w:pPr>
            <w:r>
              <w:rPr>
                <w:sz w:val="17"/>
                <w:szCs w:val="17"/>
                <w:lang w:val="fr-FR"/>
              </w:rPr>
              <w:t>84</w:t>
            </w:r>
          </w:p>
        </w:tc>
      </w:tr>
      <w:tr w:rsidR="000A347D" w:rsidRPr="003A6412">
        <w:tblPrEx>
          <w:tblCellMar>
            <w:top w:w="0" w:type="dxa"/>
            <w:bottom w:w="0" w:type="dxa"/>
          </w:tblCellMar>
        </w:tblPrEx>
        <w:tc>
          <w:tcPr>
            <w:tcW w:w="1060" w:type="dxa"/>
            <w:shd w:val="clear" w:color="auto" w:fill="auto"/>
          </w:tcPr>
          <w:p w:rsidR="000A347D" w:rsidRPr="002E434D" w:rsidRDefault="000A347D" w:rsidP="00CF72DF">
            <w:r w:rsidRPr="002E434D">
              <w:t>Article 13.0</w:t>
            </w:r>
          </w:p>
        </w:tc>
        <w:tc>
          <w:tcPr>
            <w:tcW w:w="8030" w:type="dxa"/>
            <w:shd w:val="clear" w:color="auto" w:fill="auto"/>
          </w:tcPr>
          <w:p w:rsidR="000A347D" w:rsidRPr="009A2C2B" w:rsidRDefault="000A347D" w:rsidP="009A2C2B">
            <w:pPr>
              <w:tabs>
                <w:tab w:val="right" w:pos="1080"/>
                <w:tab w:val="left" w:pos="1296"/>
                <w:tab w:val="left" w:pos="1728"/>
                <w:tab w:val="left" w:pos="2160"/>
                <w:tab w:val="left" w:pos="2592"/>
                <w:tab w:val="right" w:leader="dot" w:pos="8381"/>
              </w:tabs>
              <w:ind w:left="200"/>
              <w:rPr>
                <w:spacing w:val="60"/>
                <w:sz w:val="17"/>
              </w:rPr>
            </w:pPr>
            <w:r w:rsidRPr="002E434D">
              <w:t>Droits économiques et sociaux</w:t>
            </w:r>
            <w:r w:rsidR="009A2C2B">
              <w:rPr>
                <w:spacing w:val="60"/>
                <w:sz w:val="17"/>
              </w:rPr>
              <w:tab/>
            </w:r>
          </w:p>
        </w:tc>
        <w:tc>
          <w:tcPr>
            <w:tcW w:w="630" w:type="dxa"/>
            <w:shd w:val="clear" w:color="auto" w:fill="auto"/>
            <w:vAlign w:val="bottom"/>
          </w:tcPr>
          <w:p w:rsidR="000A347D" w:rsidRPr="00605A86" w:rsidRDefault="00605A86" w:rsidP="00605A86">
            <w:pPr>
              <w:ind w:right="43"/>
              <w:jc w:val="right"/>
              <w:rPr>
                <w:sz w:val="17"/>
                <w:szCs w:val="17"/>
                <w:lang w:val="fr-FR"/>
              </w:rPr>
            </w:pPr>
            <w:r>
              <w:rPr>
                <w:sz w:val="17"/>
                <w:szCs w:val="17"/>
                <w:lang w:val="fr-FR"/>
              </w:rPr>
              <w:t>97</w:t>
            </w:r>
          </w:p>
        </w:tc>
      </w:tr>
      <w:tr w:rsidR="000A347D" w:rsidRPr="003A6412">
        <w:tblPrEx>
          <w:tblCellMar>
            <w:top w:w="0" w:type="dxa"/>
            <w:bottom w:w="0" w:type="dxa"/>
          </w:tblCellMar>
        </w:tblPrEx>
        <w:tc>
          <w:tcPr>
            <w:tcW w:w="1060" w:type="dxa"/>
            <w:shd w:val="clear" w:color="auto" w:fill="auto"/>
          </w:tcPr>
          <w:p w:rsidR="000A347D" w:rsidRPr="002E434D" w:rsidRDefault="000A347D" w:rsidP="00CF72DF">
            <w:r w:rsidRPr="002E434D">
              <w:t>Article 14.0</w:t>
            </w:r>
          </w:p>
        </w:tc>
        <w:tc>
          <w:tcPr>
            <w:tcW w:w="8030" w:type="dxa"/>
            <w:shd w:val="clear" w:color="auto" w:fill="auto"/>
          </w:tcPr>
          <w:p w:rsidR="000A347D" w:rsidRPr="009A2C2B" w:rsidRDefault="000A347D" w:rsidP="009A2C2B">
            <w:pPr>
              <w:tabs>
                <w:tab w:val="right" w:pos="1080"/>
                <w:tab w:val="left" w:pos="1296"/>
                <w:tab w:val="left" w:pos="1728"/>
                <w:tab w:val="left" w:pos="2160"/>
                <w:tab w:val="left" w:pos="2592"/>
                <w:tab w:val="right" w:leader="dot" w:pos="8381"/>
              </w:tabs>
              <w:ind w:left="200"/>
              <w:rPr>
                <w:spacing w:val="60"/>
                <w:sz w:val="17"/>
              </w:rPr>
            </w:pPr>
            <w:r w:rsidRPr="002E434D">
              <w:t xml:space="preserve">Les femmes des zones rurales </w:t>
            </w:r>
            <w:r w:rsidR="009A2C2B">
              <w:rPr>
                <w:spacing w:val="60"/>
                <w:sz w:val="17"/>
              </w:rPr>
              <w:tab/>
            </w:r>
          </w:p>
        </w:tc>
        <w:tc>
          <w:tcPr>
            <w:tcW w:w="630" w:type="dxa"/>
            <w:shd w:val="clear" w:color="auto" w:fill="auto"/>
            <w:vAlign w:val="bottom"/>
          </w:tcPr>
          <w:p w:rsidR="000A347D" w:rsidRPr="00605A86" w:rsidRDefault="00605A86" w:rsidP="00605A86">
            <w:pPr>
              <w:ind w:right="43"/>
              <w:jc w:val="right"/>
              <w:rPr>
                <w:sz w:val="17"/>
                <w:szCs w:val="17"/>
                <w:lang w:val="fr-FR"/>
              </w:rPr>
            </w:pPr>
            <w:r>
              <w:rPr>
                <w:sz w:val="17"/>
                <w:szCs w:val="17"/>
                <w:lang w:val="fr-FR"/>
              </w:rPr>
              <w:t>101</w:t>
            </w:r>
          </w:p>
        </w:tc>
      </w:tr>
      <w:tr w:rsidR="000A347D" w:rsidRPr="003A6412">
        <w:tblPrEx>
          <w:tblCellMar>
            <w:top w:w="0" w:type="dxa"/>
            <w:bottom w:w="0" w:type="dxa"/>
          </w:tblCellMar>
        </w:tblPrEx>
        <w:tc>
          <w:tcPr>
            <w:tcW w:w="1060" w:type="dxa"/>
            <w:shd w:val="clear" w:color="auto" w:fill="auto"/>
          </w:tcPr>
          <w:p w:rsidR="000A347D" w:rsidRPr="002E434D" w:rsidRDefault="000A347D" w:rsidP="00CF72DF">
            <w:r w:rsidRPr="002E434D">
              <w:t>Article 15.0</w:t>
            </w:r>
          </w:p>
        </w:tc>
        <w:tc>
          <w:tcPr>
            <w:tcW w:w="8030" w:type="dxa"/>
            <w:shd w:val="clear" w:color="auto" w:fill="auto"/>
          </w:tcPr>
          <w:p w:rsidR="000A347D" w:rsidRPr="009A2C2B" w:rsidRDefault="000A347D" w:rsidP="009A2C2B">
            <w:pPr>
              <w:tabs>
                <w:tab w:val="right" w:pos="1080"/>
                <w:tab w:val="left" w:pos="1296"/>
                <w:tab w:val="left" w:pos="1728"/>
                <w:tab w:val="right" w:leader="dot" w:pos="8381"/>
              </w:tabs>
              <w:ind w:left="200"/>
              <w:rPr>
                <w:spacing w:val="60"/>
                <w:sz w:val="17"/>
              </w:rPr>
            </w:pPr>
            <w:r w:rsidRPr="002E434D">
              <w:t>Égalité devant la loi</w:t>
            </w:r>
            <w:r w:rsidR="009A2C2B">
              <w:rPr>
                <w:spacing w:val="60"/>
                <w:sz w:val="17"/>
              </w:rPr>
              <w:tab/>
            </w:r>
          </w:p>
        </w:tc>
        <w:tc>
          <w:tcPr>
            <w:tcW w:w="630" w:type="dxa"/>
            <w:shd w:val="clear" w:color="auto" w:fill="auto"/>
            <w:vAlign w:val="bottom"/>
          </w:tcPr>
          <w:p w:rsidR="000A347D" w:rsidRPr="00605A86" w:rsidRDefault="00605A86" w:rsidP="00605A86">
            <w:pPr>
              <w:ind w:right="43"/>
              <w:jc w:val="right"/>
              <w:rPr>
                <w:sz w:val="17"/>
                <w:szCs w:val="17"/>
                <w:lang w:val="fr-FR"/>
              </w:rPr>
            </w:pPr>
            <w:r>
              <w:rPr>
                <w:sz w:val="17"/>
                <w:szCs w:val="17"/>
                <w:lang w:val="fr-FR"/>
              </w:rPr>
              <w:t>106</w:t>
            </w:r>
          </w:p>
        </w:tc>
      </w:tr>
      <w:tr w:rsidR="000A347D" w:rsidRPr="003A6412">
        <w:tblPrEx>
          <w:tblCellMar>
            <w:top w:w="0" w:type="dxa"/>
            <w:bottom w:w="0" w:type="dxa"/>
          </w:tblCellMar>
        </w:tblPrEx>
        <w:tc>
          <w:tcPr>
            <w:tcW w:w="1060" w:type="dxa"/>
            <w:shd w:val="clear" w:color="auto" w:fill="auto"/>
          </w:tcPr>
          <w:p w:rsidR="000A347D" w:rsidRPr="002E434D" w:rsidRDefault="000A347D" w:rsidP="00CF72DF">
            <w:r w:rsidRPr="002E434D">
              <w:t>Article 16.0</w:t>
            </w:r>
          </w:p>
        </w:tc>
        <w:tc>
          <w:tcPr>
            <w:tcW w:w="8030" w:type="dxa"/>
            <w:shd w:val="clear" w:color="auto" w:fill="auto"/>
          </w:tcPr>
          <w:p w:rsidR="000A347D" w:rsidRPr="009A2C2B" w:rsidRDefault="000A347D" w:rsidP="009A2C2B">
            <w:pPr>
              <w:tabs>
                <w:tab w:val="right" w:pos="1080"/>
                <w:tab w:val="left" w:pos="1296"/>
                <w:tab w:val="left" w:pos="1728"/>
                <w:tab w:val="left" w:pos="2160"/>
                <w:tab w:val="left" w:pos="2592"/>
                <w:tab w:val="left" w:pos="3024"/>
                <w:tab w:val="left" w:pos="3456"/>
                <w:tab w:val="right" w:leader="dot" w:pos="8381"/>
              </w:tabs>
              <w:ind w:left="200"/>
              <w:rPr>
                <w:spacing w:val="60"/>
                <w:sz w:val="17"/>
              </w:rPr>
            </w:pPr>
            <w:r w:rsidRPr="002E434D">
              <w:t>Égalité dans le mariage et dans la famille</w:t>
            </w:r>
            <w:r w:rsidR="009A2C2B">
              <w:rPr>
                <w:spacing w:val="60"/>
                <w:sz w:val="17"/>
              </w:rPr>
              <w:tab/>
            </w:r>
          </w:p>
        </w:tc>
        <w:tc>
          <w:tcPr>
            <w:tcW w:w="630" w:type="dxa"/>
            <w:shd w:val="clear" w:color="auto" w:fill="auto"/>
            <w:vAlign w:val="bottom"/>
          </w:tcPr>
          <w:p w:rsidR="000A347D" w:rsidRPr="00605A86" w:rsidRDefault="00605A86" w:rsidP="00605A86">
            <w:pPr>
              <w:ind w:right="43"/>
              <w:jc w:val="right"/>
              <w:rPr>
                <w:sz w:val="17"/>
                <w:szCs w:val="17"/>
                <w:lang w:val="fr-FR"/>
              </w:rPr>
            </w:pPr>
            <w:r>
              <w:rPr>
                <w:sz w:val="17"/>
                <w:szCs w:val="17"/>
                <w:lang w:val="fr-FR"/>
              </w:rPr>
              <w:t>108</w:t>
            </w:r>
          </w:p>
        </w:tc>
      </w:tr>
      <w:tr w:rsidR="00AA2F8C" w:rsidRPr="003A6412">
        <w:tblPrEx>
          <w:tblCellMar>
            <w:top w:w="0" w:type="dxa"/>
            <w:bottom w:w="0" w:type="dxa"/>
          </w:tblCellMar>
        </w:tblPrEx>
        <w:tc>
          <w:tcPr>
            <w:tcW w:w="1060" w:type="dxa"/>
            <w:shd w:val="clear" w:color="auto" w:fill="auto"/>
          </w:tcPr>
          <w:p w:rsidR="00AA2F8C" w:rsidRPr="003A6412" w:rsidRDefault="00AA2F8C" w:rsidP="003A6412">
            <w:pPr>
              <w:rPr>
                <w:lang w:val="fr-FR"/>
              </w:rPr>
            </w:pPr>
          </w:p>
        </w:tc>
        <w:tc>
          <w:tcPr>
            <w:tcW w:w="8030" w:type="dxa"/>
            <w:shd w:val="clear" w:color="auto" w:fill="auto"/>
          </w:tcPr>
          <w:p w:rsidR="00AA2F8C" w:rsidRPr="003A6412" w:rsidRDefault="00AA2F8C" w:rsidP="003A6412">
            <w:pPr>
              <w:rPr>
                <w:lang w:val="fr-FR"/>
              </w:rPr>
            </w:pPr>
          </w:p>
        </w:tc>
        <w:tc>
          <w:tcPr>
            <w:tcW w:w="630" w:type="dxa"/>
            <w:shd w:val="clear" w:color="auto" w:fill="auto"/>
            <w:vAlign w:val="bottom"/>
          </w:tcPr>
          <w:p w:rsidR="00AA2F8C" w:rsidRPr="00605A86" w:rsidRDefault="00AA2F8C" w:rsidP="00605A86">
            <w:pPr>
              <w:ind w:right="43"/>
              <w:jc w:val="right"/>
              <w:rPr>
                <w:sz w:val="17"/>
                <w:szCs w:val="17"/>
                <w:lang w:val="fr-FR"/>
              </w:rPr>
            </w:pPr>
          </w:p>
        </w:tc>
      </w:tr>
      <w:tr w:rsidR="00AA2F8C" w:rsidRPr="003A6412">
        <w:tblPrEx>
          <w:tblCellMar>
            <w:top w:w="0" w:type="dxa"/>
            <w:bottom w:w="0" w:type="dxa"/>
          </w:tblCellMar>
        </w:tblPrEx>
        <w:tc>
          <w:tcPr>
            <w:tcW w:w="1060" w:type="dxa"/>
            <w:shd w:val="clear" w:color="auto" w:fill="auto"/>
          </w:tcPr>
          <w:p w:rsidR="00AA2F8C" w:rsidRPr="000A347D" w:rsidRDefault="000A347D" w:rsidP="003A6412">
            <w:pPr>
              <w:rPr>
                <w:b/>
                <w:lang w:val="fr-FR"/>
              </w:rPr>
            </w:pPr>
            <w:r w:rsidRPr="000A347D">
              <w:rPr>
                <w:b/>
                <w:lang w:val="fr-FR"/>
              </w:rPr>
              <w:t>Partie III</w:t>
            </w:r>
          </w:p>
        </w:tc>
        <w:tc>
          <w:tcPr>
            <w:tcW w:w="8030" w:type="dxa"/>
            <w:shd w:val="clear" w:color="auto" w:fill="auto"/>
          </w:tcPr>
          <w:p w:rsidR="00AA2F8C" w:rsidRPr="009A2C2B" w:rsidRDefault="000A347D" w:rsidP="009A2C2B">
            <w:pPr>
              <w:tabs>
                <w:tab w:val="right" w:pos="1080"/>
                <w:tab w:val="right" w:leader="dot" w:pos="8381"/>
              </w:tabs>
              <w:rPr>
                <w:b/>
                <w:spacing w:val="60"/>
                <w:sz w:val="17"/>
                <w:lang w:val="fr-FR"/>
              </w:rPr>
            </w:pPr>
            <w:r w:rsidRPr="000A347D">
              <w:rPr>
                <w:b/>
                <w:lang w:val="fr-FR"/>
              </w:rPr>
              <w:t>Conclusion</w:t>
            </w:r>
            <w:r w:rsidR="009A2C2B">
              <w:rPr>
                <w:b/>
                <w:spacing w:val="60"/>
                <w:sz w:val="17"/>
                <w:lang w:val="fr-FR"/>
              </w:rPr>
              <w:tab/>
            </w:r>
            <w:r w:rsidR="009A2C2B">
              <w:rPr>
                <w:b/>
                <w:spacing w:val="60"/>
                <w:sz w:val="17"/>
                <w:lang w:val="fr-FR"/>
              </w:rPr>
              <w:tab/>
            </w:r>
          </w:p>
        </w:tc>
        <w:tc>
          <w:tcPr>
            <w:tcW w:w="630" w:type="dxa"/>
            <w:shd w:val="clear" w:color="auto" w:fill="auto"/>
            <w:vAlign w:val="bottom"/>
          </w:tcPr>
          <w:p w:rsidR="00AA2F8C" w:rsidRPr="00605A86" w:rsidRDefault="00605A86" w:rsidP="00605A86">
            <w:pPr>
              <w:ind w:right="43"/>
              <w:jc w:val="right"/>
              <w:rPr>
                <w:sz w:val="17"/>
                <w:szCs w:val="17"/>
                <w:lang w:val="fr-FR"/>
              </w:rPr>
            </w:pPr>
            <w:r>
              <w:rPr>
                <w:sz w:val="17"/>
                <w:szCs w:val="17"/>
                <w:lang w:val="fr-FR"/>
              </w:rPr>
              <w:t>113</w:t>
            </w:r>
          </w:p>
        </w:tc>
      </w:tr>
      <w:tr w:rsidR="00AA2F8C" w:rsidRPr="003A6412">
        <w:tblPrEx>
          <w:tblCellMar>
            <w:top w:w="0" w:type="dxa"/>
            <w:bottom w:w="0" w:type="dxa"/>
          </w:tblCellMar>
        </w:tblPrEx>
        <w:tc>
          <w:tcPr>
            <w:tcW w:w="1060" w:type="dxa"/>
            <w:shd w:val="clear" w:color="auto" w:fill="auto"/>
          </w:tcPr>
          <w:p w:rsidR="00AA2F8C" w:rsidRPr="003A6412" w:rsidRDefault="00AA2F8C" w:rsidP="003A6412">
            <w:pPr>
              <w:rPr>
                <w:lang w:val="fr-FR"/>
              </w:rPr>
            </w:pPr>
          </w:p>
        </w:tc>
        <w:tc>
          <w:tcPr>
            <w:tcW w:w="8030" w:type="dxa"/>
            <w:shd w:val="clear" w:color="auto" w:fill="auto"/>
          </w:tcPr>
          <w:p w:rsidR="00AA2F8C" w:rsidRPr="003A6412" w:rsidRDefault="00AA2F8C" w:rsidP="003A6412">
            <w:pPr>
              <w:rPr>
                <w:lang w:val="fr-FR"/>
              </w:rPr>
            </w:pPr>
          </w:p>
        </w:tc>
        <w:tc>
          <w:tcPr>
            <w:tcW w:w="630" w:type="dxa"/>
            <w:shd w:val="clear" w:color="auto" w:fill="auto"/>
            <w:vAlign w:val="bottom"/>
          </w:tcPr>
          <w:p w:rsidR="00AA2F8C" w:rsidRPr="00605A86" w:rsidRDefault="00AA2F8C" w:rsidP="00605A86">
            <w:pPr>
              <w:ind w:right="43"/>
              <w:jc w:val="right"/>
              <w:rPr>
                <w:sz w:val="17"/>
                <w:szCs w:val="17"/>
                <w:lang w:val="fr-FR"/>
              </w:rPr>
            </w:pPr>
          </w:p>
        </w:tc>
      </w:tr>
      <w:tr w:rsidR="000A347D" w:rsidRPr="003A6412">
        <w:tblPrEx>
          <w:tblCellMar>
            <w:top w:w="0" w:type="dxa"/>
            <w:bottom w:w="0" w:type="dxa"/>
          </w:tblCellMar>
        </w:tblPrEx>
        <w:tc>
          <w:tcPr>
            <w:tcW w:w="9090" w:type="dxa"/>
            <w:gridSpan w:val="2"/>
            <w:shd w:val="clear" w:color="auto" w:fill="auto"/>
          </w:tcPr>
          <w:p w:rsidR="000A347D" w:rsidRPr="000A347D" w:rsidRDefault="000A347D" w:rsidP="003A6412">
            <w:pPr>
              <w:rPr>
                <w:lang w:val="fr-FR"/>
              </w:rPr>
            </w:pPr>
            <w:r>
              <w:rPr>
                <w:lang w:val="fr-FR"/>
              </w:rPr>
              <w:t>*</w:t>
            </w:r>
            <w:r>
              <w:t xml:space="preserve"> </w:t>
            </w:r>
            <w:r>
              <w:tab/>
            </w:r>
            <w:r w:rsidRPr="000A347D">
              <w:rPr>
                <w:lang w:val="fr-FR"/>
              </w:rPr>
              <w:t>Les Annexes 1 à 4 et les références du rapport seront mises à la disposition du Comité dans la langue dans laquelle elles ont été reçues.</w:t>
            </w:r>
          </w:p>
        </w:tc>
        <w:tc>
          <w:tcPr>
            <w:tcW w:w="630" w:type="dxa"/>
            <w:shd w:val="clear" w:color="auto" w:fill="auto"/>
          </w:tcPr>
          <w:p w:rsidR="000A347D" w:rsidRPr="003A6412" w:rsidRDefault="000A347D" w:rsidP="003A6412">
            <w:pPr>
              <w:rPr>
                <w:lang w:val="fr-FR"/>
              </w:rPr>
            </w:pPr>
          </w:p>
        </w:tc>
      </w:tr>
      <w:tr w:rsidR="00AA2F8C" w:rsidRPr="003A6412">
        <w:tblPrEx>
          <w:tblCellMar>
            <w:top w:w="0" w:type="dxa"/>
            <w:bottom w:w="0" w:type="dxa"/>
          </w:tblCellMar>
        </w:tblPrEx>
        <w:tc>
          <w:tcPr>
            <w:tcW w:w="1060" w:type="dxa"/>
            <w:shd w:val="clear" w:color="auto" w:fill="auto"/>
          </w:tcPr>
          <w:p w:rsidR="00AA2F8C" w:rsidRPr="003A6412" w:rsidRDefault="00AA2F8C" w:rsidP="003A6412">
            <w:pPr>
              <w:rPr>
                <w:lang w:val="fr-FR"/>
              </w:rPr>
            </w:pPr>
          </w:p>
        </w:tc>
        <w:tc>
          <w:tcPr>
            <w:tcW w:w="8030" w:type="dxa"/>
            <w:shd w:val="clear" w:color="auto" w:fill="auto"/>
          </w:tcPr>
          <w:p w:rsidR="00AA2F8C" w:rsidRPr="003A6412" w:rsidRDefault="00AA2F8C" w:rsidP="003A6412">
            <w:pPr>
              <w:rPr>
                <w:lang w:val="fr-FR"/>
              </w:rPr>
            </w:pPr>
          </w:p>
        </w:tc>
        <w:tc>
          <w:tcPr>
            <w:tcW w:w="630" w:type="dxa"/>
            <w:shd w:val="clear" w:color="auto" w:fill="auto"/>
          </w:tcPr>
          <w:p w:rsidR="00AA2F8C" w:rsidRPr="003A6412" w:rsidRDefault="00AA2F8C" w:rsidP="003A6412">
            <w:pPr>
              <w:rPr>
                <w:lang w:val="fr-FR"/>
              </w:rPr>
            </w:pPr>
          </w:p>
        </w:tc>
      </w:tr>
    </w:tbl>
    <w:p w:rsidR="009A2C2B" w:rsidRDefault="009A2C2B" w:rsidP="003A6412">
      <w:pPr>
        <w:rPr>
          <w:lang w:val="fr-FR"/>
        </w:rPr>
      </w:pPr>
    </w:p>
    <w:p w:rsidR="00B0068A" w:rsidRDefault="009A2C2B" w:rsidP="005C21F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fr-FR"/>
        </w:rPr>
        <w:br w:type="page"/>
      </w:r>
      <w:r w:rsidR="00B0068A" w:rsidRPr="005D6CD4">
        <w:t>Abréviations utilisées :</w:t>
      </w:r>
    </w:p>
    <w:p w:rsidR="00CB6561" w:rsidRPr="00CB6561" w:rsidRDefault="00CB6561" w:rsidP="00CB6561">
      <w:pPr>
        <w:pStyle w:val="SingleTxt"/>
        <w:spacing w:after="0" w:line="120" w:lineRule="exact"/>
        <w:rPr>
          <w:sz w:val="10"/>
        </w:rPr>
      </w:pPr>
    </w:p>
    <w:p w:rsidR="00CB6561" w:rsidRPr="00CB6561" w:rsidRDefault="00CB6561" w:rsidP="00CB6561">
      <w:pPr>
        <w:pStyle w:val="SingleTxt"/>
        <w:spacing w:after="0" w:line="120" w:lineRule="exact"/>
        <w:rPr>
          <w:sz w:val="10"/>
        </w:rPr>
      </w:pPr>
    </w:p>
    <w:p w:rsidR="00A708A8" w:rsidRDefault="00A708A8" w:rsidP="00CB6561">
      <w:pPr>
        <w:pStyle w:val="SingleTxt"/>
      </w:pPr>
      <w:r>
        <w:t>ACDI</w:t>
      </w:r>
      <w:r>
        <w:tab/>
      </w:r>
      <w:r w:rsidR="00CB6561">
        <w:tab/>
      </w:r>
      <w:r>
        <w:t>Agence canadienne de développement international</w:t>
      </w:r>
    </w:p>
    <w:p w:rsidR="00A708A8" w:rsidRDefault="00A708A8" w:rsidP="00CB6561">
      <w:pPr>
        <w:pStyle w:val="SingleTxt"/>
      </w:pPr>
      <w:r>
        <w:t>ARV</w:t>
      </w:r>
      <w:r>
        <w:tab/>
      </w:r>
      <w:r>
        <w:tab/>
      </w:r>
      <w:r>
        <w:tab/>
        <w:t>Antirétroviral</w:t>
      </w:r>
    </w:p>
    <w:p w:rsidR="00A708A8" w:rsidRDefault="00A708A8" w:rsidP="00CB6561">
      <w:pPr>
        <w:pStyle w:val="SingleTxt"/>
      </w:pPr>
      <w:r>
        <w:t>ASD</w:t>
      </w:r>
      <w:r>
        <w:tab/>
      </w:r>
      <w:r>
        <w:tab/>
      </w:r>
      <w:r>
        <w:tab/>
        <w:t>Agence suédoise de coopération internationale au développement</w:t>
      </w:r>
    </w:p>
    <w:p w:rsidR="00A708A8" w:rsidRDefault="00A708A8" w:rsidP="00CB6561">
      <w:pPr>
        <w:pStyle w:val="SingleTxt"/>
      </w:pPr>
      <w:r>
        <w:t>BFI</w:t>
      </w:r>
      <w:r>
        <w:tab/>
      </w:r>
      <w:r>
        <w:tab/>
      </w:r>
      <w:r>
        <w:tab/>
        <w:t>Baby Friendly Initiative</w:t>
      </w:r>
    </w:p>
    <w:p w:rsidR="00A708A8" w:rsidRDefault="00A708A8" w:rsidP="00CB6561">
      <w:pPr>
        <w:pStyle w:val="SingleTxt"/>
      </w:pPr>
      <w:r>
        <w:t>BIRD</w:t>
      </w:r>
      <w:r>
        <w:tab/>
      </w:r>
      <w:r>
        <w:tab/>
      </w:r>
      <w:r w:rsidR="00CB6561">
        <w:t>B</w:t>
      </w:r>
      <w:r>
        <w:t xml:space="preserve">anque internationale pour la reconstruction et le développement  </w:t>
      </w:r>
    </w:p>
    <w:p w:rsidR="00A708A8" w:rsidRDefault="00A708A8" w:rsidP="00CB6561">
      <w:pPr>
        <w:pStyle w:val="SingleTxt"/>
      </w:pPr>
      <w:r>
        <w:t>BSS</w:t>
      </w:r>
      <w:r>
        <w:tab/>
      </w:r>
      <w:r>
        <w:tab/>
      </w:r>
      <w:r>
        <w:tab/>
        <w:t xml:space="preserve">Behavioral Surveillance Survey (Enquête sur la surveillance du </w:t>
      </w:r>
      <w:r w:rsidR="00CB6561">
        <w:tab/>
      </w:r>
      <w:r w:rsidR="00CB6561">
        <w:tab/>
      </w:r>
      <w:r w:rsidR="00CB6561">
        <w:tab/>
      </w:r>
      <w:r w:rsidR="00CB6561">
        <w:tab/>
      </w:r>
      <w:r>
        <w:t>comportement)</w:t>
      </w:r>
    </w:p>
    <w:p w:rsidR="00A708A8" w:rsidRDefault="00A708A8" w:rsidP="00CB6561">
      <w:pPr>
        <w:pStyle w:val="SingleTxt"/>
      </w:pPr>
      <w:r>
        <w:t>CEDAW</w:t>
      </w:r>
      <w:r>
        <w:tab/>
      </w:r>
      <w:r>
        <w:tab/>
        <w:t>Convention sur l</w:t>
      </w:r>
      <w:r w:rsidR="000A3D87">
        <w:t>’</w:t>
      </w:r>
      <w:r>
        <w:t>élimination de toutes les formes de discrimination</w:t>
      </w:r>
      <w:r w:rsidR="00CB6561">
        <w:br/>
      </w:r>
      <w:r w:rsidR="00CB6561">
        <w:tab/>
      </w:r>
      <w:r w:rsidR="00CB6561">
        <w:tab/>
      </w:r>
      <w:r w:rsidR="00CB6561">
        <w:tab/>
      </w:r>
      <w:r>
        <w:t>à l</w:t>
      </w:r>
      <w:r w:rsidR="000A3D87">
        <w:t>’</w:t>
      </w:r>
      <w:r>
        <w:t>égard des femmes</w:t>
      </w:r>
    </w:p>
    <w:p w:rsidR="00A708A8" w:rsidRDefault="00A708A8" w:rsidP="00CB6561">
      <w:pPr>
        <w:pStyle w:val="SingleTxt"/>
      </w:pPr>
      <w:r>
        <w:t>CEDEAO</w:t>
      </w:r>
      <w:r>
        <w:tab/>
      </w:r>
      <w:r w:rsidR="00CB6561">
        <w:tab/>
      </w:r>
      <w:r>
        <w:t>Communauté économique des États de l</w:t>
      </w:r>
      <w:r w:rsidR="000A3D87">
        <w:t>’</w:t>
      </w:r>
      <w:r>
        <w:t>Afrique de l</w:t>
      </w:r>
      <w:r w:rsidR="000A3D87">
        <w:t>’</w:t>
      </w:r>
      <w:r>
        <w:t>Ouest</w:t>
      </w:r>
    </w:p>
    <w:p w:rsidR="00A708A8" w:rsidRDefault="00A708A8" w:rsidP="00CB6561">
      <w:pPr>
        <w:pStyle w:val="SingleTxt"/>
      </w:pPr>
      <w:r>
        <w:t>CEDPA</w:t>
      </w:r>
      <w:r>
        <w:tab/>
      </w:r>
      <w:r>
        <w:tab/>
        <w:t>Centre pour le développement et les activités en matière de</w:t>
      </w:r>
      <w:r w:rsidR="00CB6561">
        <w:br/>
      </w:r>
      <w:r>
        <w:t xml:space="preserve"> </w:t>
      </w:r>
      <w:r w:rsidR="00CB6561">
        <w:tab/>
      </w:r>
      <w:r w:rsidR="00CB6561">
        <w:tab/>
      </w:r>
      <w:r w:rsidR="00CB6561">
        <w:tab/>
      </w:r>
      <w:r>
        <w:t>population</w:t>
      </w:r>
    </w:p>
    <w:p w:rsidR="00A708A8" w:rsidRDefault="00A708A8" w:rsidP="00CB6561">
      <w:pPr>
        <w:pStyle w:val="SingleTxt"/>
      </w:pPr>
      <w:r>
        <w:t>CIPD</w:t>
      </w:r>
      <w:r>
        <w:tab/>
      </w:r>
      <w:r w:rsidR="00CD1FF8">
        <w:tab/>
      </w:r>
      <w:r>
        <w:t>Conférence internationale sur la population et le développement</w:t>
      </w:r>
    </w:p>
    <w:p w:rsidR="00A708A8" w:rsidRDefault="00A708A8" w:rsidP="00CB6561">
      <w:pPr>
        <w:pStyle w:val="SingleTxt"/>
      </w:pPr>
      <w:r>
        <w:t>DFID</w:t>
      </w:r>
      <w:r>
        <w:tab/>
      </w:r>
      <w:r>
        <w:tab/>
        <w:t>Ministère britannique du développement international</w:t>
      </w:r>
    </w:p>
    <w:p w:rsidR="00A708A8" w:rsidRDefault="00A708A8" w:rsidP="00CB6561">
      <w:pPr>
        <w:pStyle w:val="SingleTxt"/>
      </w:pPr>
      <w:r>
        <w:t>DIU</w:t>
      </w:r>
      <w:r>
        <w:tab/>
      </w:r>
      <w:r>
        <w:tab/>
      </w:r>
      <w:r>
        <w:tab/>
        <w:t>Dispositif intra-utérin</w:t>
      </w:r>
    </w:p>
    <w:p w:rsidR="00A708A8" w:rsidRDefault="00A708A8" w:rsidP="00CB6561">
      <w:pPr>
        <w:pStyle w:val="SingleTxt"/>
      </w:pPr>
      <w:r>
        <w:t>EBT</w:t>
      </w:r>
      <w:r>
        <w:tab/>
      </w:r>
      <w:r>
        <w:tab/>
      </w:r>
      <w:r>
        <w:tab/>
        <w:t>Éducation de base pour tous</w:t>
      </w:r>
    </w:p>
    <w:p w:rsidR="00A708A8" w:rsidRDefault="00A708A8" w:rsidP="00CB6561">
      <w:pPr>
        <w:pStyle w:val="SingleTxt"/>
      </w:pPr>
      <w:r>
        <w:t>EU</w:t>
      </w:r>
      <w:r>
        <w:tab/>
      </w:r>
      <w:r>
        <w:tab/>
      </w:r>
      <w:r>
        <w:tab/>
        <w:t>Etats-Unis</w:t>
      </w:r>
    </w:p>
    <w:p w:rsidR="00A708A8" w:rsidRDefault="00A708A8" w:rsidP="00CB6561">
      <w:pPr>
        <w:pStyle w:val="SingleTxt"/>
      </w:pPr>
      <w:r>
        <w:t>FEEDS</w:t>
      </w:r>
      <w:r w:rsidR="00CD1FF8">
        <w:tab/>
      </w:r>
      <w:r>
        <w:tab/>
        <w:t>FCT Economic Empowerment and Development Strategy (Stratégie</w:t>
      </w:r>
      <w:r w:rsidR="008724C4">
        <w:br/>
      </w:r>
      <w:r w:rsidR="008724C4">
        <w:tab/>
      </w:r>
      <w:r w:rsidR="008724C4">
        <w:tab/>
      </w:r>
      <w:r w:rsidR="008724C4">
        <w:tab/>
      </w:r>
      <w:r>
        <w:t>fédérale de développement et de démarginalisation économiques)</w:t>
      </w:r>
    </w:p>
    <w:p w:rsidR="00A708A8" w:rsidRDefault="00CD1FF8" w:rsidP="00CB6561">
      <w:pPr>
        <w:pStyle w:val="SingleTxt"/>
      </w:pPr>
      <w:r>
        <w:t>FID</w:t>
      </w:r>
      <w:r>
        <w:tab/>
      </w:r>
      <w:r>
        <w:tab/>
      </w:r>
      <w:r w:rsidR="00A708A8">
        <w:tab/>
        <w:t>Fonds international pour le développement</w:t>
      </w:r>
    </w:p>
    <w:p w:rsidR="00A708A8" w:rsidRDefault="00A708A8" w:rsidP="00CB6561">
      <w:pPr>
        <w:pStyle w:val="SingleTxt"/>
      </w:pPr>
      <w:r>
        <w:t>FNUAP</w:t>
      </w:r>
      <w:r>
        <w:tab/>
      </w:r>
      <w:r>
        <w:tab/>
        <w:t>Fonds des Nations Unies pour les affaires de population</w:t>
      </w:r>
    </w:p>
    <w:p w:rsidR="00A708A8" w:rsidRDefault="00A708A8" w:rsidP="00CB6561">
      <w:pPr>
        <w:pStyle w:val="SingleTxt"/>
      </w:pPr>
      <w:r>
        <w:t>HCR</w:t>
      </w:r>
      <w:r>
        <w:tab/>
      </w:r>
      <w:r>
        <w:tab/>
      </w:r>
      <w:r>
        <w:tab/>
        <w:t>Haut Commissariat des Nations Unies pour les réfugiés</w:t>
      </w:r>
    </w:p>
    <w:p w:rsidR="00A708A8" w:rsidRDefault="00A708A8" w:rsidP="00CB6561">
      <w:pPr>
        <w:pStyle w:val="SingleTxt"/>
      </w:pPr>
      <w:r>
        <w:t>HND</w:t>
      </w:r>
      <w:r>
        <w:tab/>
      </w:r>
      <w:r>
        <w:tab/>
      </w:r>
      <w:r>
        <w:tab/>
        <w:t xml:space="preserve">Higher National Diploma (Diplôme national supérieur) </w:t>
      </w:r>
    </w:p>
    <w:p w:rsidR="00A708A8" w:rsidRDefault="00CD1FF8" w:rsidP="00CB6561">
      <w:pPr>
        <w:pStyle w:val="SingleTxt"/>
      </w:pPr>
      <w:r>
        <w:t>IEC</w:t>
      </w:r>
      <w:r>
        <w:tab/>
      </w:r>
      <w:r>
        <w:tab/>
      </w:r>
      <w:r w:rsidR="00A708A8">
        <w:t xml:space="preserve"> </w:t>
      </w:r>
      <w:r>
        <w:tab/>
      </w:r>
      <w:r w:rsidR="00A708A8">
        <w:t>Information, éducation et communication</w:t>
      </w:r>
    </w:p>
    <w:p w:rsidR="00A708A8" w:rsidRDefault="00A708A8" w:rsidP="00CB6561">
      <w:pPr>
        <w:pStyle w:val="SingleTxt"/>
      </w:pPr>
      <w:r>
        <w:t>IITA</w:t>
      </w:r>
      <w:r>
        <w:tab/>
      </w:r>
      <w:r w:rsidR="00CD1FF8">
        <w:tab/>
      </w:r>
      <w:r w:rsidR="00CD1FF8">
        <w:tab/>
      </w:r>
      <w:r>
        <w:t>Institut international d</w:t>
      </w:r>
      <w:r w:rsidR="000A3D87">
        <w:t>’</w:t>
      </w:r>
      <w:r>
        <w:t>agriculture tropicale</w:t>
      </w:r>
    </w:p>
    <w:p w:rsidR="00A708A8" w:rsidRDefault="00A708A8" w:rsidP="00CB6561">
      <w:pPr>
        <w:pStyle w:val="SingleTxt"/>
      </w:pPr>
      <w:r>
        <w:t>IST</w:t>
      </w:r>
      <w:r>
        <w:tab/>
      </w:r>
      <w:r>
        <w:tab/>
      </w:r>
      <w:r w:rsidR="00CD1FF8">
        <w:tab/>
      </w:r>
      <w:r>
        <w:t>Infections sexuellement transmissible</w:t>
      </w:r>
    </w:p>
    <w:p w:rsidR="00A708A8" w:rsidRDefault="00A708A8" w:rsidP="00CB6561">
      <w:pPr>
        <w:pStyle w:val="SingleTxt"/>
      </w:pPr>
      <w:r>
        <w:t>JICA</w:t>
      </w:r>
      <w:r>
        <w:tab/>
      </w:r>
      <w:r w:rsidR="00CD1FF8">
        <w:tab/>
      </w:r>
      <w:r w:rsidR="00CD1FF8">
        <w:tab/>
      </w:r>
      <w:r>
        <w:t>Agence japonaise de coopération internationale</w:t>
      </w:r>
      <w:r w:rsidR="00CD1FF8">
        <w:t xml:space="preserve"> </w:t>
      </w:r>
      <w:r>
        <w:t>l</w:t>
      </w:r>
      <w:r w:rsidR="000A3D87">
        <w:t>’</w:t>
      </w:r>
      <w:r>
        <w:t>Ouest</w:t>
      </w:r>
    </w:p>
    <w:p w:rsidR="00A708A8" w:rsidRPr="00D35192" w:rsidRDefault="00A708A8" w:rsidP="00CB6561">
      <w:pPr>
        <w:pStyle w:val="SingleTxt"/>
        <w:rPr>
          <w:lang w:val="en-CA"/>
        </w:rPr>
      </w:pPr>
      <w:r w:rsidRPr="00D35192">
        <w:rPr>
          <w:lang w:val="en-CA"/>
        </w:rPr>
        <w:t>LACA</w:t>
      </w:r>
      <w:r w:rsidRPr="00D35192">
        <w:rPr>
          <w:lang w:val="en-CA"/>
        </w:rPr>
        <w:tab/>
      </w:r>
      <w:r w:rsidR="00CD1FF8" w:rsidRPr="00D35192">
        <w:rPr>
          <w:lang w:val="en-CA"/>
        </w:rPr>
        <w:tab/>
      </w:r>
      <w:r w:rsidRPr="00D35192">
        <w:rPr>
          <w:lang w:val="en-CA"/>
        </w:rPr>
        <w:t>Local Government Action Committee on AIDS (Comité d</w:t>
      </w:r>
      <w:r w:rsidR="000A3D87" w:rsidRPr="00D35192">
        <w:rPr>
          <w:lang w:val="en-CA"/>
        </w:rPr>
        <w:t>’</w:t>
      </w:r>
      <w:r w:rsidRPr="00D35192">
        <w:rPr>
          <w:lang w:val="en-CA"/>
        </w:rPr>
        <w:t>action</w:t>
      </w:r>
      <w:r w:rsidR="008724C4" w:rsidRPr="00D35192">
        <w:rPr>
          <w:lang w:val="en-CA"/>
        </w:rPr>
        <w:br/>
      </w:r>
      <w:r w:rsidR="008724C4" w:rsidRPr="00D35192">
        <w:rPr>
          <w:lang w:val="en-CA"/>
        </w:rPr>
        <w:tab/>
      </w:r>
      <w:r w:rsidR="008724C4" w:rsidRPr="00D35192">
        <w:rPr>
          <w:lang w:val="en-CA"/>
        </w:rPr>
        <w:tab/>
      </w:r>
      <w:r w:rsidR="008724C4" w:rsidRPr="00D35192">
        <w:rPr>
          <w:lang w:val="en-CA"/>
        </w:rPr>
        <w:tab/>
      </w:r>
      <w:r w:rsidRPr="00D35192">
        <w:rPr>
          <w:lang w:val="en-CA"/>
        </w:rPr>
        <w:t xml:space="preserve">local sur le </w:t>
      </w:r>
      <w:r w:rsidR="00940485" w:rsidRPr="00D35192">
        <w:rPr>
          <w:lang w:val="en-CA"/>
        </w:rPr>
        <w:t>SIDA</w:t>
      </w:r>
      <w:r w:rsidRPr="00D35192">
        <w:rPr>
          <w:lang w:val="en-CA"/>
        </w:rPr>
        <w:t>)</w:t>
      </w:r>
    </w:p>
    <w:p w:rsidR="00A708A8" w:rsidRPr="00D35192" w:rsidRDefault="00A708A8" w:rsidP="00CB6561">
      <w:pPr>
        <w:pStyle w:val="SingleTxt"/>
        <w:rPr>
          <w:lang w:val="en-CA"/>
        </w:rPr>
      </w:pPr>
      <w:smartTag w:uri="urn:schemas-microsoft-com:office:smarttags" w:element="place">
        <w:r w:rsidRPr="00D35192">
          <w:rPr>
            <w:lang w:val="en-CA"/>
          </w:rPr>
          <w:t>LEEDS</w:t>
        </w:r>
      </w:smartTag>
      <w:r w:rsidRPr="00D35192">
        <w:rPr>
          <w:lang w:val="en-CA"/>
        </w:rPr>
        <w:tab/>
      </w:r>
      <w:r w:rsidRPr="00D35192">
        <w:rPr>
          <w:lang w:val="en-CA"/>
        </w:rPr>
        <w:tab/>
        <w:t>Local Government Economic Empowerment Development</w:t>
      </w:r>
    </w:p>
    <w:p w:rsidR="00A708A8" w:rsidRDefault="00A708A8" w:rsidP="00CB6561">
      <w:pPr>
        <w:pStyle w:val="SingleTxt"/>
      </w:pPr>
      <w:r w:rsidRPr="00D35192">
        <w:rPr>
          <w:lang w:val="en-CA"/>
        </w:rPr>
        <w:tab/>
      </w:r>
      <w:r w:rsidRPr="00D35192">
        <w:rPr>
          <w:lang w:val="en-CA"/>
        </w:rPr>
        <w:tab/>
      </w:r>
      <w:r w:rsidRPr="00D35192">
        <w:rPr>
          <w:lang w:val="en-CA"/>
        </w:rPr>
        <w:tab/>
      </w:r>
      <w:r>
        <w:t>Strategy (Stratégie locale de développement et de démarginalisation</w:t>
      </w:r>
      <w:r w:rsidR="008724C4">
        <w:br/>
      </w:r>
      <w:r w:rsidR="008724C4">
        <w:tab/>
      </w:r>
      <w:r w:rsidR="008724C4">
        <w:tab/>
      </w:r>
      <w:r w:rsidR="008724C4">
        <w:tab/>
      </w:r>
      <w:r>
        <w:t xml:space="preserve">économiques) </w:t>
      </w:r>
    </w:p>
    <w:p w:rsidR="00A708A8" w:rsidRDefault="00A708A8" w:rsidP="00CB6561">
      <w:pPr>
        <w:pStyle w:val="SingleTxt"/>
      </w:pPr>
      <w:r>
        <w:t>LRC</w:t>
      </w:r>
      <w:r>
        <w:tab/>
      </w:r>
      <w:r w:rsidR="00CD1FF8">
        <w:tab/>
      </w:r>
      <w:r w:rsidR="00CD1FF8">
        <w:tab/>
      </w:r>
      <w:r>
        <w:t>Law Reform Commission (Commission de la réforme de la</w:t>
      </w:r>
      <w:r w:rsidR="008724C4">
        <w:br/>
      </w:r>
      <w:r w:rsidR="008724C4">
        <w:tab/>
      </w:r>
      <w:r w:rsidR="008724C4">
        <w:tab/>
      </w:r>
      <w:r w:rsidR="008724C4">
        <w:tab/>
      </w:r>
      <w:r>
        <w:t>législation)</w:t>
      </w:r>
    </w:p>
    <w:p w:rsidR="00A708A8" w:rsidRDefault="00A708A8" w:rsidP="00CB6561">
      <w:pPr>
        <w:pStyle w:val="SingleTxt"/>
      </w:pPr>
      <w:r>
        <w:t>MGF</w:t>
      </w:r>
      <w:r>
        <w:tab/>
      </w:r>
      <w:r>
        <w:tab/>
      </w:r>
      <w:r w:rsidR="00CD1FF8">
        <w:tab/>
      </w:r>
      <w:r>
        <w:t>Mutilation génitale féminine</w:t>
      </w:r>
    </w:p>
    <w:p w:rsidR="00A708A8" w:rsidRDefault="00A708A8" w:rsidP="00CB6561">
      <w:pPr>
        <w:pStyle w:val="SingleTxt"/>
      </w:pPr>
      <w:r>
        <w:t>MST</w:t>
      </w:r>
      <w:r>
        <w:tab/>
      </w:r>
      <w:r>
        <w:tab/>
      </w:r>
      <w:r w:rsidR="00CD1FF8">
        <w:tab/>
      </w:r>
      <w:r>
        <w:t>Maladie sexuellement transmissible</w:t>
      </w:r>
    </w:p>
    <w:p w:rsidR="00A708A8" w:rsidRDefault="00A708A8" w:rsidP="00CB6561">
      <w:pPr>
        <w:pStyle w:val="SingleTxt"/>
      </w:pPr>
      <w:r>
        <w:t>NACA</w:t>
      </w:r>
      <w:r>
        <w:tab/>
      </w:r>
      <w:r>
        <w:tab/>
        <w:t>National Action Committee on AIDS (Comité d</w:t>
      </w:r>
      <w:r w:rsidR="000A3D87">
        <w:t>’</w:t>
      </w:r>
      <w:r>
        <w:t xml:space="preserve">action </w:t>
      </w:r>
      <w:r w:rsidR="00CB6561">
        <w:t>n</w:t>
      </w:r>
      <w:r>
        <w:t xml:space="preserve">ational </w:t>
      </w:r>
      <w:r w:rsidR="008724C4">
        <w:br/>
      </w:r>
      <w:r w:rsidR="008724C4">
        <w:tab/>
      </w:r>
      <w:r w:rsidR="008724C4">
        <w:tab/>
      </w:r>
      <w:r w:rsidR="008724C4">
        <w:tab/>
      </w:r>
      <w:r>
        <w:t xml:space="preserve">sur le </w:t>
      </w:r>
      <w:r w:rsidR="00940485">
        <w:t>SIDA</w:t>
      </w:r>
      <w:r>
        <w:t>)</w:t>
      </w:r>
    </w:p>
    <w:p w:rsidR="00A708A8" w:rsidRDefault="00A708A8" w:rsidP="00CB6561">
      <w:pPr>
        <w:pStyle w:val="SingleTxt"/>
      </w:pPr>
      <w:r>
        <w:t>NAPTIP</w:t>
      </w:r>
      <w:r>
        <w:tab/>
      </w:r>
      <w:r w:rsidR="00CD1FF8">
        <w:tab/>
      </w:r>
      <w:r>
        <w:t>National Agency for the Prohibition of Trafficking in Persons and</w:t>
      </w:r>
      <w:r w:rsidR="008724C4">
        <w:br/>
      </w:r>
      <w:r w:rsidR="008724C4">
        <w:tab/>
      </w:r>
      <w:r w:rsidR="008724C4">
        <w:tab/>
      </w:r>
      <w:r w:rsidR="008724C4">
        <w:tab/>
      </w:r>
      <w:r>
        <w:t>Other</w:t>
      </w:r>
      <w:r w:rsidR="008724C4">
        <w:t xml:space="preserve"> </w:t>
      </w:r>
      <w:r>
        <w:t>Related Offenses (Agence nationale de lutte contre la traite</w:t>
      </w:r>
      <w:r w:rsidR="008724C4">
        <w:br/>
      </w:r>
      <w:r w:rsidR="008724C4">
        <w:tab/>
      </w:r>
      <w:r w:rsidR="008724C4">
        <w:tab/>
      </w:r>
      <w:r w:rsidR="008724C4">
        <w:tab/>
      </w:r>
      <w:r>
        <w:t>des personnes et autres délits</w:t>
      </w:r>
      <w:r w:rsidR="008724C4">
        <w:t xml:space="preserve"> </w:t>
      </w:r>
      <w:r>
        <w:t xml:space="preserve">apparentés) </w:t>
      </w:r>
    </w:p>
    <w:p w:rsidR="00A708A8" w:rsidRDefault="00A708A8" w:rsidP="00CB6561">
      <w:pPr>
        <w:pStyle w:val="SingleTxt"/>
      </w:pPr>
      <w:r>
        <w:t>NCE</w:t>
      </w:r>
      <w:r>
        <w:tab/>
      </w:r>
      <w:r>
        <w:tab/>
      </w:r>
      <w:r w:rsidR="00CD1FF8">
        <w:tab/>
      </w:r>
      <w:r>
        <w:t>National Certificate of Education (Certificat national d</w:t>
      </w:r>
      <w:r w:rsidR="000A3D87">
        <w:t>’</w:t>
      </w:r>
      <w:r>
        <w:t>éducation)</w:t>
      </w:r>
    </w:p>
    <w:p w:rsidR="008724C4" w:rsidRDefault="00A708A8" w:rsidP="00CB6561">
      <w:pPr>
        <w:pStyle w:val="SingleTxt"/>
      </w:pPr>
      <w:r>
        <w:t>NDHS</w:t>
      </w:r>
      <w:r>
        <w:tab/>
      </w:r>
      <w:r>
        <w:tab/>
        <w:t>Nigeria Demographic Health Survey (Enquête sur la démographie</w:t>
      </w:r>
      <w:r w:rsidR="008724C4">
        <w:br/>
      </w:r>
      <w:r w:rsidR="008724C4">
        <w:tab/>
      </w:r>
      <w:r w:rsidR="008724C4">
        <w:tab/>
      </w:r>
      <w:r w:rsidR="008724C4">
        <w:tab/>
      </w:r>
      <w:r>
        <w:t>et la santé du Nigéria)</w:t>
      </w:r>
      <w:r w:rsidR="00CD1FF8">
        <w:tab/>
      </w:r>
    </w:p>
    <w:p w:rsidR="00CD1FF8" w:rsidRDefault="00CD1FF8" w:rsidP="00CB6561">
      <w:pPr>
        <w:pStyle w:val="SingleTxt"/>
      </w:pPr>
      <w:r>
        <w:t>NEEDS</w:t>
      </w:r>
      <w:r>
        <w:tab/>
      </w:r>
      <w:r>
        <w:tab/>
        <w:t>National Economic Empowerment and Development Strategy</w:t>
      </w:r>
      <w:r w:rsidR="008724C4">
        <w:br/>
      </w:r>
      <w:r w:rsidR="008724C4">
        <w:tab/>
      </w:r>
      <w:r w:rsidR="008724C4">
        <w:tab/>
      </w:r>
      <w:r w:rsidR="008724C4">
        <w:tab/>
      </w:r>
      <w:r>
        <w:t>(Stratégie nationale de développement et de démarginalisation</w:t>
      </w:r>
      <w:r w:rsidR="008724C4">
        <w:br/>
      </w:r>
      <w:r w:rsidR="008724C4">
        <w:tab/>
      </w:r>
      <w:r w:rsidR="008724C4">
        <w:tab/>
      </w:r>
      <w:r w:rsidR="008724C4">
        <w:tab/>
      </w:r>
      <w:r>
        <w:t>économiques)</w:t>
      </w:r>
    </w:p>
    <w:p w:rsidR="00CD1FF8" w:rsidRDefault="00CD1FF8" w:rsidP="00CB6561">
      <w:pPr>
        <w:pStyle w:val="SingleTxt"/>
      </w:pPr>
      <w:r>
        <w:t>OIM</w:t>
      </w:r>
      <w:r>
        <w:tab/>
      </w:r>
      <w:r>
        <w:tab/>
      </w:r>
      <w:r>
        <w:tab/>
        <w:t>Organisation internationale pour les Migrations</w:t>
      </w:r>
    </w:p>
    <w:p w:rsidR="00CD1FF8" w:rsidRDefault="00CD1FF8" w:rsidP="00CB6561">
      <w:pPr>
        <w:pStyle w:val="SingleTxt"/>
      </w:pPr>
      <w:r>
        <w:t>OIT</w:t>
      </w:r>
      <w:r>
        <w:tab/>
      </w:r>
      <w:r>
        <w:tab/>
      </w:r>
      <w:r>
        <w:tab/>
        <w:t>Organisation internationale du Travail</w:t>
      </w:r>
    </w:p>
    <w:p w:rsidR="00CD1FF8" w:rsidRDefault="00CD1FF8" w:rsidP="00CB6561">
      <w:pPr>
        <w:pStyle w:val="SingleTxt"/>
      </w:pPr>
      <w:r>
        <w:t>OMD</w:t>
      </w:r>
      <w:r>
        <w:tab/>
      </w:r>
      <w:r>
        <w:tab/>
        <w:t>Objectifs du Millénaire pour le développement</w:t>
      </w:r>
    </w:p>
    <w:p w:rsidR="00CD1FF8" w:rsidRDefault="00CD1FF8" w:rsidP="00CB6561">
      <w:pPr>
        <w:pStyle w:val="SingleTxt"/>
      </w:pPr>
      <w:r>
        <w:t>OMS</w:t>
      </w:r>
      <w:r>
        <w:tab/>
      </w:r>
      <w:r>
        <w:tab/>
      </w:r>
      <w:r>
        <w:tab/>
        <w:t>Organisation mondiale de la santé</w:t>
      </w:r>
    </w:p>
    <w:p w:rsidR="00CD1FF8" w:rsidRDefault="00CD1FF8" w:rsidP="00CB6561">
      <w:pPr>
        <w:pStyle w:val="SingleTxt"/>
      </w:pPr>
      <w:r>
        <w:t>OND</w:t>
      </w:r>
      <w:r>
        <w:tab/>
      </w:r>
      <w:r>
        <w:tab/>
      </w:r>
      <w:r>
        <w:tab/>
        <w:t>Ordinary National Diploma (Diplôme national ordinaire</w:t>
      </w:r>
    </w:p>
    <w:p w:rsidR="00065BFA" w:rsidRDefault="00CD1FF8" w:rsidP="00CB6561">
      <w:pPr>
        <w:pStyle w:val="SingleTxt"/>
      </w:pPr>
      <w:r>
        <w:t>ONG</w:t>
      </w:r>
      <w:r>
        <w:tab/>
      </w:r>
      <w:r>
        <w:tab/>
      </w:r>
      <w:r>
        <w:tab/>
        <w:t>Organisation non gouvernementale</w:t>
      </w:r>
    </w:p>
    <w:p w:rsidR="00065BFA" w:rsidRDefault="00CD1FF8" w:rsidP="00CB6561">
      <w:pPr>
        <w:pStyle w:val="SingleTxt"/>
      </w:pPr>
      <w:r>
        <w:t>ONU</w:t>
      </w:r>
      <w:r>
        <w:tab/>
      </w:r>
      <w:r>
        <w:tab/>
      </w:r>
      <w:r w:rsidR="00065BFA">
        <w:tab/>
      </w:r>
      <w:r>
        <w:t>Organisation des Nations Unies</w:t>
      </w:r>
    </w:p>
    <w:p w:rsidR="00065BFA" w:rsidRDefault="00CD1FF8" w:rsidP="00CB6561">
      <w:pPr>
        <w:pStyle w:val="SingleTxt"/>
      </w:pPr>
      <w:r>
        <w:t>ONUDC</w:t>
      </w:r>
      <w:r>
        <w:tab/>
      </w:r>
      <w:r>
        <w:tab/>
        <w:t>Office des Nations Unies contre la drogue et le crime</w:t>
      </w:r>
    </w:p>
    <w:p w:rsidR="00065BFA" w:rsidRDefault="00CD1FF8" w:rsidP="00CB6561">
      <w:pPr>
        <w:pStyle w:val="SingleTxt"/>
      </w:pPr>
      <w:r>
        <w:t>ONUSIDA</w:t>
      </w:r>
      <w:r>
        <w:tab/>
        <w:t>Programme commun des Nations Unies sur le</w:t>
      </w:r>
      <w:r w:rsidR="00065BFA">
        <w:t xml:space="preserve"> </w:t>
      </w:r>
      <w:r w:rsidR="00940485">
        <w:t>sida</w:t>
      </w:r>
    </w:p>
    <w:p w:rsidR="00065BFA" w:rsidRDefault="00CD1FF8" w:rsidP="00CB6561">
      <w:pPr>
        <w:pStyle w:val="SingleTxt"/>
      </w:pPr>
      <w:r>
        <w:t>OSC</w:t>
      </w:r>
      <w:r>
        <w:tab/>
      </w:r>
      <w:r>
        <w:tab/>
      </w:r>
      <w:r>
        <w:tab/>
        <w:t>Organisation de la société civile</w:t>
      </w:r>
    </w:p>
    <w:p w:rsidR="00065BFA" w:rsidRDefault="00CD1FF8" w:rsidP="00CB6561">
      <w:pPr>
        <w:pStyle w:val="SingleTxt"/>
      </w:pPr>
      <w:r>
        <w:t>PGDE</w:t>
      </w:r>
      <w:r>
        <w:tab/>
      </w:r>
      <w:r w:rsidR="00065BFA">
        <w:tab/>
      </w:r>
      <w:r>
        <w:t>Post Graduate Diploma in Education (Diplôme d</w:t>
      </w:r>
      <w:r w:rsidR="000A3D87">
        <w:t>’</w:t>
      </w:r>
      <w:r>
        <w:t>études</w:t>
      </w:r>
      <w:r w:rsidR="008724C4">
        <w:br/>
      </w:r>
      <w:r w:rsidR="008724C4">
        <w:tab/>
      </w:r>
      <w:r w:rsidR="008724C4">
        <w:tab/>
      </w:r>
      <w:r w:rsidR="008724C4">
        <w:tab/>
      </w:r>
      <w:r w:rsidR="00CB6561">
        <w:t>s</w:t>
      </w:r>
      <w:r>
        <w:t>upérieures)</w:t>
      </w:r>
    </w:p>
    <w:p w:rsidR="00065BFA" w:rsidRDefault="00CD1FF8" w:rsidP="00CB6561">
      <w:pPr>
        <w:pStyle w:val="SingleTxt"/>
      </w:pPr>
      <w:r>
        <w:t>PIB</w:t>
      </w:r>
      <w:r>
        <w:tab/>
      </w:r>
      <w:r>
        <w:tab/>
        <w:t>-</w:t>
      </w:r>
      <w:r>
        <w:tab/>
        <w:t>Produit intérieur brut</w:t>
      </w:r>
    </w:p>
    <w:p w:rsidR="00065BFA" w:rsidRDefault="00CD1FF8" w:rsidP="00CB6561">
      <w:pPr>
        <w:pStyle w:val="SingleTxt"/>
      </w:pPr>
      <w:r>
        <w:t>PNUD</w:t>
      </w:r>
      <w:r>
        <w:tab/>
      </w:r>
      <w:r>
        <w:tab/>
        <w:t>Programme des Nations Unies pour le développement</w:t>
      </w:r>
    </w:p>
    <w:p w:rsidR="00065BFA" w:rsidRDefault="00CD1FF8" w:rsidP="00CB6561">
      <w:pPr>
        <w:pStyle w:val="SingleTxt"/>
      </w:pPr>
      <w:r>
        <w:t>PTME</w:t>
      </w:r>
      <w:r>
        <w:tab/>
      </w:r>
      <w:r w:rsidR="00065BFA">
        <w:tab/>
      </w:r>
      <w:r>
        <w:t>Prévention de la transmission de la mère à l</w:t>
      </w:r>
      <w:r w:rsidR="000A3D87">
        <w:t>’</w:t>
      </w:r>
      <w:r>
        <w:t>enfant</w:t>
      </w:r>
    </w:p>
    <w:p w:rsidR="00065BFA" w:rsidRDefault="00CD1FF8" w:rsidP="00CB6561">
      <w:pPr>
        <w:pStyle w:val="SingleTxt"/>
      </w:pPr>
      <w:r>
        <w:t>PTN</w:t>
      </w:r>
      <w:r>
        <w:tab/>
      </w:r>
      <w:r>
        <w:tab/>
      </w:r>
      <w:r>
        <w:tab/>
        <w:t>Pratiques traditionnelles néfastes</w:t>
      </w:r>
    </w:p>
    <w:p w:rsidR="00065BFA" w:rsidRDefault="00CD1FF8" w:rsidP="00CB6561">
      <w:pPr>
        <w:pStyle w:val="SingleTxt"/>
      </w:pPr>
      <w:r>
        <w:t>R.U</w:t>
      </w:r>
      <w:r>
        <w:tab/>
      </w:r>
      <w:r>
        <w:tab/>
      </w:r>
      <w:r>
        <w:tab/>
      </w:r>
      <w:r w:rsidR="00065BFA">
        <w:t>Royaume-Uni</w:t>
      </w:r>
    </w:p>
    <w:p w:rsidR="00065BFA" w:rsidRDefault="00CD1FF8" w:rsidP="00CB6561">
      <w:pPr>
        <w:pStyle w:val="SingleTxt"/>
      </w:pPr>
      <w:r>
        <w:t>SACA</w:t>
      </w:r>
      <w:r>
        <w:tab/>
      </w:r>
      <w:r>
        <w:tab/>
        <w:t>State Action Committee on AIDS (Comité d</w:t>
      </w:r>
      <w:r w:rsidR="000A3D87">
        <w:t>’</w:t>
      </w:r>
      <w:r>
        <w:t>action d</w:t>
      </w:r>
      <w:r w:rsidR="000A3D87">
        <w:t>’</w:t>
      </w:r>
      <w:r>
        <w:t>État sur le</w:t>
      </w:r>
      <w:r w:rsidR="008724C4">
        <w:br/>
      </w:r>
      <w:r w:rsidR="008724C4">
        <w:tab/>
      </w:r>
      <w:r w:rsidR="008724C4">
        <w:tab/>
      </w:r>
      <w:r w:rsidR="008724C4">
        <w:tab/>
      </w:r>
      <w:r w:rsidR="00940485">
        <w:t>sida</w:t>
      </w:r>
      <w:r>
        <w:t>)</w:t>
      </w:r>
    </w:p>
    <w:p w:rsidR="00065BFA" w:rsidRDefault="00065BFA" w:rsidP="00CB6561">
      <w:pPr>
        <w:pStyle w:val="SingleTxt"/>
      </w:pPr>
      <w:r>
        <w:t>SEEDS</w:t>
      </w:r>
      <w:r>
        <w:tab/>
      </w:r>
      <w:r>
        <w:tab/>
        <w:t>State Economic Empowerment and Development Strategy</w:t>
      </w:r>
      <w:r w:rsidR="008724C4">
        <w:br/>
      </w:r>
      <w:r w:rsidR="008724C4">
        <w:tab/>
      </w:r>
      <w:r w:rsidR="008724C4">
        <w:tab/>
      </w:r>
      <w:r w:rsidR="008724C4">
        <w:tab/>
      </w:r>
      <w:r>
        <w:t>(Stratégie régionale</w:t>
      </w:r>
      <w:r w:rsidR="008724C4">
        <w:t xml:space="preserve"> </w:t>
      </w:r>
      <w:r>
        <w:t>de développement et de démarginalisation</w:t>
      </w:r>
      <w:r w:rsidR="008724C4">
        <w:br/>
      </w:r>
      <w:r w:rsidR="008724C4">
        <w:tab/>
      </w:r>
      <w:r w:rsidR="008724C4">
        <w:tab/>
      </w:r>
      <w:r w:rsidR="008724C4">
        <w:tab/>
      </w:r>
      <w:r>
        <w:t>économiques)</w:t>
      </w:r>
    </w:p>
    <w:p w:rsidR="00065BFA" w:rsidRDefault="00065BFA" w:rsidP="00CB6561">
      <w:pPr>
        <w:pStyle w:val="SingleTxt"/>
      </w:pPr>
      <w:r>
        <w:t>SFI</w:t>
      </w:r>
      <w:r>
        <w:tab/>
      </w:r>
      <w:r>
        <w:tab/>
      </w:r>
      <w:r>
        <w:tab/>
        <w:t>Société financière internationale</w:t>
      </w:r>
    </w:p>
    <w:p w:rsidR="00065BFA" w:rsidRDefault="00940485" w:rsidP="00CB6561">
      <w:pPr>
        <w:pStyle w:val="SingleTxt"/>
      </w:pPr>
      <w:r>
        <w:t>SIDA</w:t>
      </w:r>
      <w:r w:rsidR="00065BFA">
        <w:tab/>
      </w:r>
      <w:r w:rsidR="00065BFA">
        <w:tab/>
        <w:t>Syndrome d</w:t>
      </w:r>
      <w:r w:rsidR="000A3D87">
        <w:t>’</w:t>
      </w:r>
      <w:r w:rsidR="00065BFA">
        <w:t>immunodéficience acquise</w:t>
      </w:r>
    </w:p>
    <w:p w:rsidR="00065BFA" w:rsidRDefault="00065BFA" w:rsidP="00CB6561">
      <w:pPr>
        <w:pStyle w:val="SingleTxt"/>
      </w:pPr>
      <w:r>
        <w:t>UA</w:t>
      </w:r>
      <w:r>
        <w:tab/>
      </w:r>
      <w:r>
        <w:tab/>
      </w:r>
      <w:r>
        <w:tab/>
        <w:t>Union africaine</w:t>
      </w:r>
    </w:p>
    <w:p w:rsidR="00065BFA" w:rsidRDefault="00065BFA" w:rsidP="00CB6561">
      <w:pPr>
        <w:pStyle w:val="SingleTxt"/>
      </w:pPr>
      <w:r>
        <w:t>UNESCO</w:t>
      </w:r>
      <w:r>
        <w:tab/>
      </w:r>
      <w:r>
        <w:tab/>
        <w:t>Organisations des Nations Unies pour l</w:t>
      </w:r>
      <w:r w:rsidR="000A3D87">
        <w:t>’</w:t>
      </w:r>
      <w:r>
        <w:t xml:space="preserve">éducation, la science et </w:t>
      </w:r>
      <w:r w:rsidR="008724C4">
        <w:br/>
      </w:r>
      <w:r w:rsidR="008724C4">
        <w:tab/>
      </w:r>
      <w:r w:rsidR="008724C4">
        <w:tab/>
      </w:r>
      <w:r w:rsidR="008724C4">
        <w:tab/>
      </w:r>
      <w:r>
        <w:t xml:space="preserve">la </w:t>
      </w:r>
      <w:r w:rsidR="00CB6561">
        <w:t>c</w:t>
      </w:r>
      <w:r>
        <w:t>ulture</w:t>
      </w:r>
    </w:p>
    <w:p w:rsidR="00065BFA" w:rsidRDefault="00065BFA" w:rsidP="00CB6561">
      <w:pPr>
        <w:pStyle w:val="SingleTxt"/>
      </w:pPr>
      <w:r>
        <w:t>UNICEF</w:t>
      </w:r>
      <w:r>
        <w:tab/>
      </w:r>
      <w:r>
        <w:tab/>
        <w:t>Fonds des Nations Unies pour l</w:t>
      </w:r>
      <w:r w:rsidR="000A3D87">
        <w:t>’</w:t>
      </w:r>
      <w:r>
        <w:t>enfance</w:t>
      </w:r>
    </w:p>
    <w:p w:rsidR="00065BFA" w:rsidRDefault="00065BFA" w:rsidP="00CB6561">
      <w:pPr>
        <w:pStyle w:val="SingleTxt"/>
      </w:pPr>
      <w:r>
        <w:t>UNIFEM</w:t>
      </w:r>
      <w:r>
        <w:tab/>
      </w:r>
      <w:r>
        <w:tab/>
        <w:t>Fonds des Nations Unies pour la femme</w:t>
      </w:r>
    </w:p>
    <w:p w:rsidR="00065BFA" w:rsidRDefault="00065BFA" w:rsidP="00CB6561">
      <w:pPr>
        <w:pStyle w:val="SingleTxt"/>
      </w:pPr>
      <w:r>
        <w:t>USAID</w:t>
      </w:r>
      <w:r>
        <w:tab/>
      </w:r>
      <w:r>
        <w:tab/>
        <w:t>Agency for International Development des Etats-Unis</w:t>
      </w:r>
    </w:p>
    <w:p w:rsidR="00065BFA" w:rsidRDefault="00065BFA" w:rsidP="00CB6561">
      <w:pPr>
        <w:pStyle w:val="SingleTxt"/>
      </w:pPr>
      <w:r>
        <w:t>USD</w:t>
      </w:r>
      <w:r>
        <w:tab/>
      </w:r>
      <w:r>
        <w:tab/>
      </w:r>
      <w:r>
        <w:tab/>
        <w:t>Dollar des Etats-Unis</w:t>
      </w:r>
    </w:p>
    <w:p w:rsidR="00065BFA" w:rsidRDefault="00065BFA" w:rsidP="00CB6561">
      <w:pPr>
        <w:pStyle w:val="SingleTxt"/>
      </w:pPr>
      <w:r>
        <w:t>VIH</w:t>
      </w:r>
      <w:r>
        <w:tab/>
      </w:r>
      <w:r>
        <w:tab/>
      </w:r>
      <w:r>
        <w:tab/>
        <w:t>Virus de l</w:t>
      </w:r>
      <w:r w:rsidR="000A3D87">
        <w:t>’</w:t>
      </w:r>
      <w:r>
        <w:t>immunodéficience humaine</w:t>
      </w:r>
    </w:p>
    <w:p w:rsidR="00CB6561" w:rsidRDefault="00065BFA" w:rsidP="00CB6561">
      <w:pPr>
        <w:pStyle w:val="SingleTxt"/>
      </w:pPr>
      <w:r>
        <w:t>WOFEE</w:t>
      </w:r>
      <w:r>
        <w:tab/>
      </w:r>
      <w:r>
        <w:tab/>
        <w:t>Women Fund for Economic Empowerment (Fonds</w:t>
      </w:r>
      <w:r w:rsidR="008724C4">
        <w:br/>
      </w:r>
      <w:r w:rsidR="008724C4">
        <w:tab/>
      </w:r>
      <w:r w:rsidR="008724C4">
        <w:tab/>
      </w:r>
      <w:r w:rsidR="008724C4">
        <w:tab/>
      </w:r>
      <w:r>
        <w:t>d</w:t>
      </w:r>
      <w:r w:rsidR="000A3D87">
        <w:t>’</w:t>
      </w:r>
      <w:r>
        <w:t>autonomisation économique des femmes)</w:t>
      </w:r>
    </w:p>
    <w:p w:rsidR="00CB6561" w:rsidRDefault="00CB6561" w:rsidP="008724C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8724C4">
        <w:tab/>
      </w:r>
      <w:r w:rsidR="008724C4">
        <w:tab/>
      </w:r>
      <w:r w:rsidRPr="00CB6561">
        <w:t>Tableaux</w:t>
      </w:r>
    </w:p>
    <w:p w:rsidR="008724C4" w:rsidRPr="008724C4" w:rsidRDefault="008724C4" w:rsidP="008724C4">
      <w:pPr>
        <w:pStyle w:val="SingleTxt"/>
        <w:spacing w:after="0" w:line="120" w:lineRule="exact"/>
        <w:rPr>
          <w:sz w:val="10"/>
        </w:rPr>
      </w:pPr>
    </w:p>
    <w:p w:rsidR="008724C4" w:rsidRPr="008724C4" w:rsidRDefault="008724C4" w:rsidP="008724C4">
      <w:pPr>
        <w:pStyle w:val="SingleTxt"/>
        <w:spacing w:after="0" w:line="120" w:lineRule="exact"/>
        <w:rPr>
          <w:sz w:val="10"/>
        </w:rPr>
      </w:pPr>
    </w:p>
    <w:p w:rsidR="00CB6561" w:rsidRPr="00CB6561" w:rsidRDefault="00CB6561" w:rsidP="00CB6561">
      <w:pPr>
        <w:pStyle w:val="SingleTxt"/>
        <w:rPr>
          <w:b/>
          <w:lang w:val="fr-FR"/>
        </w:rPr>
      </w:pPr>
      <w:r w:rsidRPr="00CB6561">
        <w:rPr>
          <w:lang w:val="fr-FR"/>
        </w:rPr>
        <w:t>Tableau 1.1</w:t>
      </w:r>
      <w:r w:rsidRPr="00CB6561">
        <w:rPr>
          <w:lang w:val="fr-FR"/>
        </w:rPr>
        <w:tab/>
        <w:t xml:space="preserve">Taux de croissance en pourcentage du PIB en valeur réelle </w:t>
      </w:r>
      <w:r w:rsidR="008724C4">
        <w:rPr>
          <w:lang w:val="fr-FR"/>
        </w:rPr>
        <w:br/>
      </w:r>
      <w:r w:rsidR="008724C4">
        <w:rPr>
          <w:lang w:val="fr-FR"/>
        </w:rPr>
        <w:tab/>
      </w:r>
      <w:r w:rsidR="008724C4">
        <w:rPr>
          <w:lang w:val="fr-FR"/>
        </w:rPr>
        <w:tab/>
      </w:r>
      <w:r w:rsidR="008724C4">
        <w:rPr>
          <w:lang w:val="fr-FR"/>
        </w:rPr>
        <w:tab/>
      </w:r>
      <w:r w:rsidRPr="00CB6561">
        <w:rPr>
          <w:lang w:val="fr-FR"/>
        </w:rPr>
        <w:t>2002 – 2004</w:t>
      </w:r>
    </w:p>
    <w:p w:rsidR="00CB6561" w:rsidRPr="00CB6561" w:rsidRDefault="00CB6561" w:rsidP="00CB6561">
      <w:pPr>
        <w:pStyle w:val="SingleTxt"/>
        <w:rPr>
          <w:lang w:val="fr-FR"/>
        </w:rPr>
      </w:pPr>
      <w:r w:rsidRPr="00CB6561">
        <w:rPr>
          <w:lang w:val="fr-FR"/>
        </w:rPr>
        <w:t>Tableau 1.2</w:t>
      </w:r>
      <w:r w:rsidRPr="00CB6561">
        <w:rPr>
          <w:lang w:val="fr-FR"/>
        </w:rPr>
        <w:tab/>
        <w:t xml:space="preserve">Répartition de la contribution sectorielle au PIB en pourcentage </w:t>
      </w:r>
      <w:r w:rsidR="008724C4">
        <w:rPr>
          <w:lang w:val="fr-FR"/>
        </w:rPr>
        <w:br/>
      </w:r>
      <w:r w:rsidR="008724C4">
        <w:rPr>
          <w:lang w:val="fr-FR"/>
        </w:rPr>
        <w:tab/>
      </w:r>
      <w:r w:rsidR="008724C4">
        <w:rPr>
          <w:lang w:val="fr-FR"/>
        </w:rPr>
        <w:tab/>
      </w:r>
      <w:r w:rsidR="008724C4">
        <w:rPr>
          <w:lang w:val="fr-FR"/>
        </w:rPr>
        <w:tab/>
      </w:r>
      <w:r w:rsidRPr="00CB6561">
        <w:rPr>
          <w:lang w:val="fr-FR"/>
        </w:rPr>
        <w:t>et en valeur réelle, 2001- 2004</w:t>
      </w:r>
    </w:p>
    <w:p w:rsidR="00CB6561" w:rsidRPr="00CB6561" w:rsidRDefault="00CB6561" w:rsidP="00CB6561">
      <w:pPr>
        <w:pStyle w:val="SingleTxt"/>
        <w:rPr>
          <w:lang w:val="fr-FR"/>
        </w:rPr>
      </w:pPr>
      <w:r w:rsidRPr="00CB6561">
        <w:rPr>
          <w:lang w:val="fr-FR"/>
        </w:rPr>
        <w:t>Tableau 3.1</w:t>
      </w:r>
      <w:r w:rsidRPr="00CB6561">
        <w:rPr>
          <w:lang w:val="fr-FR"/>
        </w:rPr>
        <w:tab/>
        <w:t>Prise en compte de l</w:t>
      </w:r>
      <w:r w:rsidR="000A3D87">
        <w:rPr>
          <w:lang w:val="fr-FR"/>
        </w:rPr>
        <w:t>’</w:t>
      </w:r>
      <w:r w:rsidRPr="00CB6561">
        <w:rPr>
          <w:lang w:val="fr-FR"/>
        </w:rPr>
        <w:t>égalité des sexes au Nigéria, 2006.</w:t>
      </w:r>
    </w:p>
    <w:p w:rsidR="00CB6561" w:rsidRPr="00CB6561" w:rsidRDefault="00CB6561" w:rsidP="00CB6561">
      <w:pPr>
        <w:pStyle w:val="SingleTxt"/>
        <w:rPr>
          <w:lang w:val="fr-FR"/>
        </w:rPr>
      </w:pPr>
      <w:r w:rsidRPr="00CB6561">
        <w:rPr>
          <w:lang w:val="fr-FR"/>
        </w:rPr>
        <w:t>Tableau 3.2</w:t>
      </w:r>
      <w:r>
        <w:rPr>
          <w:lang w:val="fr-FR"/>
        </w:rPr>
        <w:tab/>
      </w:r>
      <w:r w:rsidRPr="00CB6561">
        <w:rPr>
          <w:lang w:val="fr-FR"/>
        </w:rPr>
        <w:t>Niveau d</w:t>
      </w:r>
      <w:r w:rsidR="000A3D87">
        <w:rPr>
          <w:lang w:val="fr-FR"/>
        </w:rPr>
        <w:t>’</w:t>
      </w:r>
      <w:r w:rsidRPr="00CB6561">
        <w:rPr>
          <w:lang w:val="fr-FR"/>
        </w:rPr>
        <w:t>intervention dans les cas de violence (2005)</w:t>
      </w:r>
    </w:p>
    <w:p w:rsidR="00CB6561" w:rsidRPr="00CB6561" w:rsidRDefault="00CB6561" w:rsidP="00CB6561">
      <w:pPr>
        <w:pStyle w:val="SingleTxt"/>
        <w:rPr>
          <w:lang w:val="fr-FR"/>
        </w:rPr>
      </w:pPr>
      <w:r w:rsidRPr="00CB6561">
        <w:rPr>
          <w:lang w:val="fr-FR"/>
        </w:rPr>
        <w:t>Tableau 3.3</w:t>
      </w:r>
      <w:r w:rsidRPr="00CB6561">
        <w:rPr>
          <w:lang w:val="fr-FR"/>
        </w:rPr>
        <w:tab/>
        <w:t>Connaissance et perceptions du risque de VIH/</w:t>
      </w:r>
      <w:r w:rsidR="00940485">
        <w:rPr>
          <w:lang w:val="fr-FR"/>
        </w:rPr>
        <w:t>SIDA</w:t>
      </w:r>
      <w:r w:rsidRPr="00CB6561">
        <w:rPr>
          <w:lang w:val="fr-FR"/>
        </w:rPr>
        <w:t xml:space="preserve"> et</w:t>
      </w:r>
      <w:r w:rsidR="008724C4">
        <w:rPr>
          <w:lang w:val="fr-FR"/>
        </w:rPr>
        <w:br/>
      </w:r>
      <w:r w:rsidR="008724C4">
        <w:rPr>
          <w:lang w:val="fr-FR"/>
        </w:rPr>
        <w:tab/>
      </w:r>
      <w:r w:rsidR="008724C4">
        <w:rPr>
          <w:lang w:val="fr-FR"/>
        </w:rPr>
        <w:tab/>
      </w:r>
      <w:r w:rsidR="008724C4">
        <w:rPr>
          <w:lang w:val="fr-FR"/>
        </w:rPr>
        <w:tab/>
      </w:r>
      <w:r w:rsidRPr="00CB6561">
        <w:rPr>
          <w:lang w:val="fr-FR"/>
        </w:rPr>
        <w:t>changements de comportement</w:t>
      </w:r>
    </w:p>
    <w:p w:rsidR="00CB6561" w:rsidRPr="00CB6561" w:rsidRDefault="00CB6561" w:rsidP="00CB6561">
      <w:pPr>
        <w:pStyle w:val="SingleTxt"/>
        <w:rPr>
          <w:lang w:val="fr-FR"/>
        </w:rPr>
      </w:pPr>
      <w:r w:rsidRPr="00CB6561">
        <w:rPr>
          <w:lang w:val="fr-FR"/>
        </w:rPr>
        <w:t>Tableau 3.4</w:t>
      </w:r>
      <w:r w:rsidRPr="00CB6561">
        <w:rPr>
          <w:lang w:val="fr-FR"/>
        </w:rPr>
        <w:tab/>
        <w:t>Prévalence du VIH selon le statut matrimonial (HSS 2005).</w:t>
      </w:r>
    </w:p>
    <w:p w:rsidR="00CB6561" w:rsidRPr="00CB6561" w:rsidRDefault="00CB6561" w:rsidP="00CB6561">
      <w:pPr>
        <w:pStyle w:val="SingleTxt"/>
        <w:rPr>
          <w:lang w:val="fr-FR"/>
        </w:rPr>
      </w:pPr>
      <w:r w:rsidRPr="00CB6561">
        <w:rPr>
          <w:lang w:val="fr-FR"/>
        </w:rPr>
        <w:t>Tableau 3.5</w:t>
      </w:r>
      <w:r w:rsidRPr="00CB6561">
        <w:rPr>
          <w:lang w:val="fr-FR"/>
        </w:rPr>
        <w:tab/>
        <w:t>Prévalence du VIH selon le degré d</w:t>
      </w:r>
      <w:r w:rsidR="000A3D87">
        <w:rPr>
          <w:lang w:val="fr-FR"/>
        </w:rPr>
        <w:t>’</w:t>
      </w:r>
      <w:r w:rsidRPr="00CB6561">
        <w:rPr>
          <w:lang w:val="fr-FR"/>
        </w:rPr>
        <w:t>instruction</w:t>
      </w:r>
    </w:p>
    <w:p w:rsidR="00CB6561" w:rsidRPr="00CB6561" w:rsidRDefault="00CB6561" w:rsidP="00CB6561">
      <w:pPr>
        <w:pStyle w:val="SingleTxt"/>
        <w:rPr>
          <w:lang w:val="fr-FR"/>
        </w:rPr>
      </w:pPr>
      <w:r w:rsidRPr="00CB6561">
        <w:rPr>
          <w:lang w:val="fr-FR"/>
        </w:rPr>
        <w:t>Tableau 3.6</w:t>
      </w:r>
      <w:r w:rsidRPr="00CB6561">
        <w:rPr>
          <w:lang w:val="fr-FR"/>
        </w:rPr>
        <w:tab/>
        <w:t>VIH</w:t>
      </w:r>
      <w:r w:rsidR="008724C4">
        <w:rPr>
          <w:lang w:val="fr-FR"/>
        </w:rPr>
        <w:t xml:space="preserve"> – </w:t>
      </w:r>
      <w:r w:rsidRPr="00CB6561">
        <w:rPr>
          <w:lang w:val="fr-FR"/>
        </w:rPr>
        <w:t>Estimations et projections</w:t>
      </w:r>
    </w:p>
    <w:p w:rsidR="00CB6561" w:rsidRPr="00CB6561" w:rsidRDefault="00CB6561" w:rsidP="00CB6561">
      <w:pPr>
        <w:pStyle w:val="SingleTxt"/>
        <w:rPr>
          <w:lang w:val="fr-FR"/>
        </w:rPr>
      </w:pPr>
      <w:r w:rsidRPr="00CB6561">
        <w:rPr>
          <w:lang w:val="fr-FR"/>
        </w:rPr>
        <w:t>Tableau 7.1</w:t>
      </w:r>
      <w:r w:rsidRPr="00CB6561">
        <w:rPr>
          <w:lang w:val="fr-FR"/>
        </w:rPr>
        <w:tab/>
        <w:t>Répartition des femmes à certains postes électifs/de nomination,</w:t>
      </w:r>
      <w:r w:rsidR="008724C4">
        <w:rPr>
          <w:lang w:val="fr-FR"/>
        </w:rPr>
        <w:br/>
      </w:r>
      <w:r w:rsidR="008724C4">
        <w:rPr>
          <w:lang w:val="fr-FR"/>
        </w:rPr>
        <w:tab/>
      </w:r>
      <w:r w:rsidR="008724C4">
        <w:rPr>
          <w:lang w:val="fr-FR"/>
        </w:rPr>
        <w:tab/>
      </w:r>
      <w:r w:rsidR="008724C4">
        <w:rPr>
          <w:lang w:val="fr-FR"/>
        </w:rPr>
        <w:tab/>
      </w:r>
      <w:r w:rsidRPr="00CB6561">
        <w:rPr>
          <w:lang w:val="fr-FR"/>
        </w:rPr>
        <w:t>1999- 2006.</w:t>
      </w:r>
    </w:p>
    <w:p w:rsidR="00CB6561" w:rsidRPr="00CB6561" w:rsidRDefault="00CB6561" w:rsidP="00CB6561">
      <w:pPr>
        <w:pStyle w:val="SingleTxt"/>
        <w:rPr>
          <w:lang w:val="fr-FR"/>
        </w:rPr>
      </w:pPr>
      <w:r w:rsidRPr="00CB6561">
        <w:rPr>
          <w:lang w:val="fr-FR"/>
        </w:rPr>
        <w:t>Table</w:t>
      </w:r>
      <w:r>
        <w:rPr>
          <w:lang w:val="fr-FR"/>
        </w:rPr>
        <w:t>au</w:t>
      </w:r>
      <w:r w:rsidRPr="00CB6561">
        <w:rPr>
          <w:lang w:val="fr-FR"/>
        </w:rPr>
        <w:t xml:space="preserve"> 8.1</w:t>
      </w:r>
      <w:r w:rsidRPr="00CB6561">
        <w:rPr>
          <w:lang w:val="fr-FR"/>
        </w:rPr>
        <w:tab/>
        <w:t>Répartition par sexe des ambassadeurs/personnel diplomatique dans</w:t>
      </w:r>
      <w:r w:rsidR="008724C4">
        <w:rPr>
          <w:lang w:val="fr-FR"/>
        </w:rPr>
        <w:br/>
      </w:r>
      <w:r w:rsidR="008724C4">
        <w:rPr>
          <w:lang w:val="fr-FR"/>
        </w:rPr>
        <w:tab/>
      </w:r>
      <w:r w:rsidR="008724C4">
        <w:rPr>
          <w:lang w:val="fr-FR"/>
        </w:rPr>
        <w:tab/>
      </w:r>
      <w:r w:rsidR="008724C4">
        <w:rPr>
          <w:lang w:val="fr-FR"/>
        </w:rPr>
        <w:tab/>
      </w:r>
      <w:r w:rsidRPr="00CB6561">
        <w:rPr>
          <w:lang w:val="fr-FR"/>
        </w:rPr>
        <w:t>les missions, 2002 et 2006</w:t>
      </w:r>
    </w:p>
    <w:p w:rsidR="00CB6561" w:rsidRPr="00CB6561" w:rsidRDefault="00CB6561" w:rsidP="00CB6561">
      <w:pPr>
        <w:pStyle w:val="SingleTxt"/>
        <w:rPr>
          <w:lang w:val="fr-FR"/>
        </w:rPr>
      </w:pPr>
      <w:r w:rsidRPr="00CB6561">
        <w:rPr>
          <w:lang w:val="fr-FR"/>
        </w:rPr>
        <w:t>Tableau 8.2</w:t>
      </w:r>
      <w:r w:rsidRPr="00CB6561">
        <w:rPr>
          <w:lang w:val="fr-FR"/>
        </w:rPr>
        <w:tab/>
        <w:t>Personnel des organisations internationales de développement</w:t>
      </w:r>
    </w:p>
    <w:p w:rsidR="00CB6561" w:rsidRPr="00CB6561" w:rsidRDefault="00CB6561" w:rsidP="00CB6561">
      <w:pPr>
        <w:pStyle w:val="SingleTxt"/>
        <w:rPr>
          <w:lang w:val="fr-FR"/>
        </w:rPr>
      </w:pPr>
      <w:r w:rsidRPr="00CB6561">
        <w:rPr>
          <w:lang w:val="fr-FR"/>
        </w:rPr>
        <w:t>Tableau 10.1</w:t>
      </w:r>
      <w:r>
        <w:rPr>
          <w:lang w:val="fr-FR"/>
        </w:rPr>
        <w:tab/>
      </w:r>
      <w:r w:rsidRPr="00CB6561">
        <w:rPr>
          <w:lang w:val="fr-FR"/>
        </w:rPr>
        <w:t>Réalisations enregistrées dans le cadre du programme de l</w:t>
      </w:r>
      <w:r w:rsidR="000A3D87">
        <w:rPr>
          <w:lang w:val="fr-FR"/>
        </w:rPr>
        <w:t>’</w:t>
      </w:r>
      <w:r w:rsidRPr="00CB6561">
        <w:rPr>
          <w:lang w:val="fr-FR"/>
        </w:rPr>
        <w:t>EBT</w:t>
      </w:r>
    </w:p>
    <w:p w:rsidR="00CB6561" w:rsidRPr="00CB6561" w:rsidRDefault="00CB6561" w:rsidP="00CB6561">
      <w:pPr>
        <w:pStyle w:val="SingleTxt"/>
        <w:rPr>
          <w:lang w:val="fr-FR"/>
        </w:rPr>
      </w:pPr>
      <w:r w:rsidRPr="00CB6561">
        <w:rPr>
          <w:lang w:val="fr-FR"/>
        </w:rPr>
        <w:t>Tableau 10.2</w:t>
      </w:r>
      <w:r w:rsidRPr="00CB6561">
        <w:rPr>
          <w:lang w:val="fr-FR"/>
        </w:rPr>
        <w:tab/>
        <w:t>Nombre d</w:t>
      </w:r>
      <w:r w:rsidR="000A3D87">
        <w:rPr>
          <w:lang w:val="fr-FR"/>
        </w:rPr>
        <w:t>’</w:t>
      </w:r>
      <w:r w:rsidRPr="00CB6561">
        <w:rPr>
          <w:lang w:val="fr-FR"/>
        </w:rPr>
        <w:t>enseignants formés dans différentes matières</w:t>
      </w:r>
    </w:p>
    <w:p w:rsidR="00CB6561" w:rsidRPr="00CB6561" w:rsidRDefault="00CB6561" w:rsidP="00CB6561">
      <w:pPr>
        <w:pStyle w:val="SingleTxt"/>
        <w:rPr>
          <w:lang w:val="fr-FR"/>
        </w:rPr>
      </w:pPr>
      <w:r w:rsidRPr="00CB6561">
        <w:rPr>
          <w:lang w:val="fr-FR"/>
        </w:rPr>
        <w:t>Tableau 10.3</w:t>
      </w:r>
      <w:r>
        <w:rPr>
          <w:lang w:val="fr-FR"/>
        </w:rPr>
        <w:tab/>
      </w:r>
      <w:r w:rsidRPr="00CB6561">
        <w:rPr>
          <w:lang w:val="fr-FR"/>
        </w:rPr>
        <w:t>Effectifs nets</w:t>
      </w:r>
    </w:p>
    <w:p w:rsidR="00CB6561" w:rsidRPr="00CB6561" w:rsidRDefault="00CB6561" w:rsidP="00CB6561">
      <w:pPr>
        <w:pStyle w:val="SingleTxt"/>
        <w:rPr>
          <w:lang w:val="fr-FR"/>
        </w:rPr>
      </w:pPr>
      <w:r w:rsidRPr="00CB6561">
        <w:rPr>
          <w:lang w:val="fr-FR"/>
        </w:rPr>
        <w:t>Tableau 10.4</w:t>
      </w:r>
      <w:r w:rsidRPr="00CB6561">
        <w:rPr>
          <w:lang w:val="fr-FR"/>
        </w:rPr>
        <w:tab/>
        <w:t>Effectifs de l</w:t>
      </w:r>
      <w:r w:rsidR="000A3D87">
        <w:rPr>
          <w:lang w:val="fr-FR"/>
        </w:rPr>
        <w:t>’</w:t>
      </w:r>
      <w:r w:rsidRPr="00CB6561">
        <w:rPr>
          <w:lang w:val="fr-FR"/>
        </w:rPr>
        <w:t>enseignement primaire</w:t>
      </w:r>
    </w:p>
    <w:p w:rsidR="00CB6561" w:rsidRPr="00CB6561" w:rsidRDefault="00CB6561" w:rsidP="00CB6561">
      <w:pPr>
        <w:pStyle w:val="SingleTxt"/>
        <w:rPr>
          <w:lang w:val="fr-FR"/>
        </w:rPr>
      </w:pPr>
      <w:r w:rsidRPr="00CB6561">
        <w:rPr>
          <w:lang w:val="fr-FR"/>
        </w:rPr>
        <w:t>Tableau 10.5</w:t>
      </w:r>
      <w:r w:rsidRPr="00CB6561">
        <w:rPr>
          <w:lang w:val="fr-FR"/>
        </w:rPr>
        <w:tab/>
        <w:t>Pourcentage des enseignants du primaire et du secondaire, 2003</w:t>
      </w:r>
    </w:p>
    <w:p w:rsidR="00CB6561" w:rsidRPr="00CB6561" w:rsidRDefault="00CB6561" w:rsidP="00CB6561">
      <w:pPr>
        <w:pStyle w:val="SingleTxt"/>
        <w:rPr>
          <w:lang w:val="fr-FR"/>
        </w:rPr>
      </w:pPr>
      <w:r w:rsidRPr="00CB6561">
        <w:rPr>
          <w:lang w:val="fr-FR"/>
        </w:rPr>
        <w:t>Tableau 10.6</w:t>
      </w:r>
      <w:r w:rsidRPr="00CB6561">
        <w:rPr>
          <w:lang w:val="fr-FR"/>
        </w:rPr>
        <w:tab/>
        <w:t>Taux d</w:t>
      </w:r>
      <w:r w:rsidR="000A3D87">
        <w:rPr>
          <w:lang w:val="fr-FR"/>
        </w:rPr>
        <w:t>’</w:t>
      </w:r>
      <w:r w:rsidRPr="00CB6561">
        <w:rPr>
          <w:lang w:val="fr-FR"/>
        </w:rPr>
        <w:t>alphabétisation des adultes (15 ans et plus)</w:t>
      </w:r>
    </w:p>
    <w:p w:rsidR="00CB6561" w:rsidRPr="00CB6561" w:rsidRDefault="00CB6561" w:rsidP="00CB6561">
      <w:pPr>
        <w:pStyle w:val="SingleTxt"/>
        <w:rPr>
          <w:lang w:val="fr-FR"/>
        </w:rPr>
      </w:pPr>
      <w:r w:rsidRPr="00CB6561">
        <w:rPr>
          <w:lang w:val="fr-FR"/>
        </w:rPr>
        <w:t>Tableau 11.1</w:t>
      </w:r>
      <w:r w:rsidRPr="00CB6561">
        <w:rPr>
          <w:lang w:val="fr-FR"/>
        </w:rPr>
        <w:tab/>
        <w:t xml:space="preserve">Répartition en pourcentage des femmes par profession et selon </w:t>
      </w:r>
      <w:r w:rsidR="008724C4">
        <w:rPr>
          <w:lang w:val="fr-FR"/>
        </w:rPr>
        <w:br/>
      </w:r>
      <w:r w:rsidR="008724C4">
        <w:rPr>
          <w:lang w:val="fr-FR"/>
        </w:rPr>
        <w:tab/>
      </w:r>
      <w:r w:rsidR="008724C4">
        <w:rPr>
          <w:lang w:val="fr-FR"/>
        </w:rPr>
        <w:tab/>
      </w:r>
      <w:r w:rsidR="008724C4">
        <w:rPr>
          <w:lang w:val="fr-FR"/>
        </w:rPr>
        <w:tab/>
      </w:r>
      <w:r w:rsidRPr="00CB6561">
        <w:rPr>
          <w:lang w:val="fr-FR"/>
        </w:rPr>
        <w:t>la formation de base</w:t>
      </w:r>
    </w:p>
    <w:p w:rsidR="00CB6561" w:rsidRPr="00CB6561" w:rsidRDefault="00CB6561" w:rsidP="00CB6561">
      <w:pPr>
        <w:pStyle w:val="SingleTxt"/>
        <w:rPr>
          <w:lang w:val="fr-FR"/>
        </w:rPr>
      </w:pPr>
      <w:r w:rsidRPr="00CB6561">
        <w:rPr>
          <w:lang w:val="fr-FR"/>
        </w:rPr>
        <w:t>Tableau 12.1</w:t>
      </w:r>
      <w:r w:rsidRPr="00CB6561">
        <w:rPr>
          <w:lang w:val="fr-FR"/>
        </w:rPr>
        <w:tab/>
        <w:t>Taux de mortalité infantile dans les zones urbaines et rurales (pour</w:t>
      </w:r>
      <w:r w:rsidR="008724C4">
        <w:rPr>
          <w:lang w:val="fr-FR"/>
        </w:rPr>
        <w:br/>
      </w:r>
      <w:r w:rsidR="008724C4">
        <w:rPr>
          <w:lang w:val="fr-FR"/>
        </w:rPr>
        <w:tab/>
      </w:r>
      <w:r w:rsidR="008724C4">
        <w:rPr>
          <w:lang w:val="fr-FR"/>
        </w:rPr>
        <w:tab/>
      </w:r>
      <w:r w:rsidR="008724C4">
        <w:rPr>
          <w:lang w:val="fr-FR"/>
        </w:rPr>
        <w:tab/>
      </w:r>
      <w:r w:rsidRPr="00CB6561">
        <w:rPr>
          <w:lang w:val="fr-FR"/>
        </w:rPr>
        <w:t>1 000 naissances)</w:t>
      </w:r>
    </w:p>
    <w:p w:rsidR="00CB6561" w:rsidRPr="00CB6561" w:rsidRDefault="00CB6561" w:rsidP="00CB6561">
      <w:pPr>
        <w:pStyle w:val="SingleTxt"/>
        <w:rPr>
          <w:lang w:val="fr-FR"/>
        </w:rPr>
      </w:pPr>
      <w:r w:rsidRPr="00CB6561">
        <w:rPr>
          <w:lang w:val="fr-FR"/>
        </w:rPr>
        <w:t>Tableau 12.2</w:t>
      </w:r>
      <w:r w:rsidRPr="00CB6561">
        <w:rPr>
          <w:lang w:val="fr-FR"/>
        </w:rPr>
        <w:tab/>
        <w:t>Taux d</w:t>
      </w:r>
      <w:r w:rsidR="000A3D87">
        <w:rPr>
          <w:lang w:val="fr-FR"/>
        </w:rPr>
        <w:t>’</w:t>
      </w:r>
      <w:r w:rsidRPr="00CB6561">
        <w:rPr>
          <w:lang w:val="fr-FR"/>
        </w:rPr>
        <w:t>utilisation de la contraception par méthode</w:t>
      </w:r>
    </w:p>
    <w:p w:rsidR="00CB6561" w:rsidRPr="00CB6561" w:rsidRDefault="00CB6561" w:rsidP="00CB6561">
      <w:pPr>
        <w:pStyle w:val="SingleTxt"/>
        <w:rPr>
          <w:lang w:val="fr-FR"/>
        </w:rPr>
      </w:pPr>
      <w:r w:rsidRPr="00CB6561">
        <w:rPr>
          <w:lang w:val="fr-FR"/>
        </w:rPr>
        <w:t>Tableau 13.1</w:t>
      </w:r>
      <w:r w:rsidRPr="00CB6561">
        <w:rPr>
          <w:lang w:val="fr-FR"/>
        </w:rPr>
        <w:tab/>
        <w:t xml:space="preserve">Répartition des bénéficiaires des centres de promotion de la femme </w:t>
      </w:r>
      <w:r w:rsidR="008724C4">
        <w:rPr>
          <w:lang w:val="fr-FR"/>
        </w:rPr>
        <w:br/>
      </w:r>
      <w:r w:rsidR="008724C4">
        <w:rPr>
          <w:lang w:val="fr-FR"/>
        </w:rPr>
        <w:tab/>
      </w:r>
      <w:r w:rsidR="008724C4">
        <w:rPr>
          <w:lang w:val="fr-FR"/>
        </w:rPr>
        <w:tab/>
      </w:r>
      <w:r w:rsidR="008724C4">
        <w:rPr>
          <w:lang w:val="fr-FR"/>
        </w:rPr>
        <w:tab/>
      </w:r>
      <w:r w:rsidRPr="00CB6561">
        <w:rPr>
          <w:lang w:val="fr-FR"/>
        </w:rPr>
        <w:t>par niveau d</w:t>
      </w:r>
      <w:r w:rsidR="000A3D87">
        <w:rPr>
          <w:lang w:val="fr-FR"/>
        </w:rPr>
        <w:t>’</w:t>
      </w:r>
      <w:r w:rsidRPr="00CB6561">
        <w:rPr>
          <w:lang w:val="fr-FR"/>
        </w:rPr>
        <w:t>instruction</w:t>
      </w:r>
    </w:p>
    <w:p w:rsidR="00CB6561" w:rsidRPr="00CB6561" w:rsidRDefault="00CB6561" w:rsidP="00CB6561">
      <w:pPr>
        <w:pStyle w:val="SingleTxt"/>
        <w:rPr>
          <w:lang w:val="fr-FR"/>
        </w:rPr>
      </w:pPr>
      <w:r w:rsidRPr="00CB6561">
        <w:rPr>
          <w:lang w:val="fr-FR"/>
        </w:rPr>
        <w:t>Tableau 13.2</w:t>
      </w:r>
      <w:r w:rsidRPr="00CB6561">
        <w:rPr>
          <w:lang w:val="fr-FR"/>
        </w:rPr>
        <w:tab/>
        <w:t>Stratification par sexe dans la vie économique en général et dans le</w:t>
      </w:r>
      <w:r w:rsidR="008724C4">
        <w:rPr>
          <w:lang w:val="fr-FR"/>
        </w:rPr>
        <w:br/>
      </w:r>
      <w:r w:rsidR="008724C4">
        <w:rPr>
          <w:lang w:val="fr-FR"/>
        </w:rPr>
        <w:tab/>
      </w:r>
      <w:r w:rsidR="008724C4">
        <w:rPr>
          <w:lang w:val="fr-FR"/>
        </w:rPr>
        <w:tab/>
      </w:r>
      <w:r w:rsidR="008724C4">
        <w:rPr>
          <w:lang w:val="fr-FR"/>
        </w:rPr>
        <w:tab/>
      </w:r>
      <w:r w:rsidRPr="00CB6561">
        <w:rPr>
          <w:lang w:val="fr-FR"/>
        </w:rPr>
        <w:t>secteur privé</w:t>
      </w:r>
    </w:p>
    <w:p w:rsidR="00CB6561" w:rsidRPr="00CB6561" w:rsidRDefault="00CB6561" w:rsidP="00CB6561">
      <w:pPr>
        <w:pStyle w:val="SingleTxt"/>
        <w:rPr>
          <w:lang w:val="fr-FR"/>
        </w:rPr>
      </w:pPr>
      <w:r w:rsidRPr="00CB6561">
        <w:rPr>
          <w:lang w:val="fr-FR"/>
        </w:rPr>
        <w:t>Tableau 14.1</w:t>
      </w:r>
      <w:r w:rsidRPr="00CB6561">
        <w:rPr>
          <w:lang w:val="fr-FR"/>
        </w:rPr>
        <w:tab/>
        <w:t>Statistiques sur les femmes rurales formées entre 2002 et 2005</w:t>
      </w:r>
    </w:p>
    <w:p w:rsidR="00CB6561" w:rsidRPr="00CB6561" w:rsidRDefault="00CB6561" w:rsidP="00CB6561">
      <w:pPr>
        <w:pStyle w:val="SingleTxt"/>
        <w:rPr>
          <w:lang w:val="fr-FR"/>
        </w:rPr>
      </w:pPr>
      <w:r w:rsidRPr="00CB6561">
        <w:rPr>
          <w:lang w:val="fr-FR"/>
        </w:rPr>
        <w:t>Tableau 14.2</w:t>
      </w:r>
      <w:r>
        <w:rPr>
          <w:lang w:val="fr-FR"/>
        </w:rPr>
        <w:tab/>
      </w:r>
      <w:r w:rsidRPr="00CB6561">
        <w:rPr>
          <w:lang w:val="fr-FR"/>
        </w:rPr>
        <w:t>Niveau de prise de décision par sexe</w:t>
      </w:r>
    </w:p>
    <w:p w:rsidR="00CB6561" w:rsidRDefault="008724C4" w:rsidP="008724C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br w:type="page"/>
      </w:r>
      <w:r>
        <w:rPr>
          <w:lang w:val="fr-FR"/>
        </w:rPr>
        <w:tab/>
      </w:r>
      <w:r>
        <w:rPr>
          <w:lang w:val="fr-FR"/>
        </w:rPr>
        <w:tab/>
        <w:t>Figures</w:t>
      </w:r>
    </w:p>
    <w:p w:rsidR="008724C4" w:rsidRPr="008724C4" w:rsidRDefault="008724C4" w:rsidP="008724C4">
      <w:pPr>
        <w:pStyle w:val="SingleTxt"/>
        <w:spacing w:after="0" w:line="120" w:lineRule="exact"/>
        <w:rPr>
          <w:sz w:val="10"/>
          <w:lang w:val="fr-FR"/>
        </w:rPr>
      </w:pPr>
    </w:p>
    <w:p w:rsidR="008724C4" w:rsidRPr="008724C4" w:rsidRDefault="008724C4" w:rsidP="008724C4">
      <w:pPr>
        <w:pStyle w:val="SingleTxt"/>
        <w:spacing w:after="0" w:line="120" w:lineRule="exact"/>
        <w:rPr>
          <w:sz w:val="10"/>
          <w:lang w:val="fr-FR"/>
        </w:rPr>
      </w:pPr>
    </w:p>
    <w:p w:rsidR="00CB6561" w:rsidRPr="00CB6561" w:rsidRDefault="00CB6561" w:rsidP="00CB6561">
      <w:pPr>
        <w:pStyle w:val="SingleTxt"/>
        <w:rPr>
          <w:lang w:val="fr-FR"/>
        </w:rPr>
      </w:pPr>
      <w:r w:rsidRPr="00CB6561">
        <w:rPr>
          <w:lang w:val="fr-FR"/>
        </w:rPr>
        <w:t>Figure 1.1</w:t>
      </w:r>
      <w:r w:rsidRPr="00CB6561">
        <w:rPr>
          <w:lang w:val="fr-FR"/>
        </w:rPr>
        <w:tab/>
      </w:r>
      <w:r w:rsidR="008724C4">
        <w:rPr>
          <w:lang w:val="fr-FR"/>
        </w:rPr>
        <w:tab/>
      </w:r>
      <w:r w:rsidRPr="00CB6561">
        <w:rPr>
          <w:lang w:val="fr-FR"/>
        </w:rPr>
        <w:t xml:space="preserve">États de la République fédérale du Nigéria </w:t>
      </w:r>
    </w:p>
    <w:p w:rsidR="00CB6561" w:rsidRPr="00CB6561" w:rsidRDefault="00CB6561" w:rsidP="00CB6561">
      <w:pPr>
        <w:pStyle w:val="SingleTxt"/>
        <w:rPr>
          <w:lang w:val="fr-FR"/>
        </w:rPr>
      </w:pPr>
      <w:r w:rsidRPr="00CB6561">
        <w:rPr>
          <w:lang w:val="fr-FR"/>
        </w:rPr>
        <w:t>Figure 1.2</w:t>
      </w:r>
      <w:r w:rsidRPr="00CB6561">
        <w:rPr>
          <w:lang w:val="fr-FR"/>
        </w:rPr>
        <w:tab/>
      </w:r>
      <w:r w:rsidR="008724C4">
        <w:rPr>
          <w:lang w:val="fr-FR"/>
        </w:rPr>
        <w:tab/>
      </w:r>
      <w:r w:rsidRPr="00CB6561">
        <w:rPr>
          <w:lang w:val="fr-FR"/>
        </w:rPr>
        <w:t>Taux de croissance du PIB (%) en valeur réelle 2002 – 2004</w:t>
      </w:r>
    </w:p>
    <w:p w:rsidR="00CB6561" w:rsidRPr="00CB6561" w:rsidRDefault="00CB6561" w:rsidP="00CB6561">
      <w:pPr>
        <w:pStyle w:val="SingleTxt"/>
        <w:rPr>
          <w:lang w:val="fr-FR"/>
        </w:rPr>
      </w:pPr>
      <w:r w:rsidRPr="00CB6561">
        <w:rPr>
          <w:lang w:val="fr-FR"/>
        </w:rPr>
        <w:t>Figure 3.1</w:t>
      </w:r>
      <w:r w:rsidRPr="00CB6561">
        <w:rPr>
          <w:lang w:val="fr-FR"/>
        </w:rPr>
        <w:tab/>
      </w:r>
      <w:r w:rsidR="008724C4">
        <w:rPr>
          <w:lang w:val="fr-FR"/>
        </w:rPr>
        <w:tab/>
      </w:r>
      <w:r w:rsidR="00DF45EE" w:rsidRPr="00DF45EE">
        <w:rPr>
          <w:lang w:val="fr-FR"/>
        </w:rPr>
        <w:t xml:space="preserve">Carte de la République fédérale du Nigéria indiquant les groupes de </w:t>
      </w:r>
      <w:r w:rsidR="00DF45EE">
        <w:rPr>
          <w:lang w:val="fr-FR"/>
        </w:rPr>
        <w:tab/>
      </w:r>
      <w:r w:rsidR="00DF45EE">
        <w:rPr>
          <w:lang w:val="fr-FR"/>
        </w:rPr>
        <w:tab/>
      </w:r>
      <w:r w:rsidR="00DF45EE">
        <w:rPr>
          <w:lang w:val="fr-FR"/>
        </w:rPr>
        <w:tab/>
      </w:r>
      <w:r w:rsidR="00DF45EE" w:rsidRPr="00DF45EE">
        <w:rPr>
          <w:lang w:val="fr-FR"/>
        </w:rPr>
        <w:t>travail pour la lutte contre la traite des enfants par zone</w:t>
      </w:r>
    </w:p>
    <w:p w:rsidR="00CB6561" w:rsidRPr="00CB6561" w:rsidRDefault="00CB6561" w:rsidP="00CB6561">
      <w:pPr>
        <w:pStyle w:val="SingleTxt"/>
        <w:rPr>
          <w:lang w:val="fr-FR"/>
        </w:rPr>
      </w:pPr>
      <w:r w:rsidRPr="00CB6561">
        <w:rPr>
          <w:lang w:val="fr-FR"/>
        </w:rPr>
        <w:t>Figure 3.2</w:t>
      </w:r>
      <w:r w:rsidRPr="00CB6561">
        <w:rPr>
          <w:lang w:val="fr-FR"/>
        </w:rPr>
        <w:tab/>
      </w:r>
      <w:r w:rsidR="008724C4">
        <w:rPr>
          <w:lang w:val="fr-FR"/>
        </w:rPr>
        <w:tab/>
      </w:r>
      <w:r w:rsidRPr="00CB6561">
        <w:rPr>
          <w:lang w:val="fr-FR"/>
        </w:rPr>
        <w:t xml:space="preserve">Répartition géographique de la prévalence du VIH par </w:t>
      </w:r>
      <w:r w:rsidR="00DF45EE">
        <w:rPr>
          <w:lang w:val="fr-FR"/>
        </w:rPr>
        <w:t>région</w:t>
      </w:r>
      <w:r w:rsidR="008724C4">
        <w:rPr>
          <w:lang w:val="fr-FR"/>
        </w:rPr>
        <w:br/>
      </w:r>
      <w:r w:rsidR="008724C4">
        <w:rPr>
          <w:lang w:val="fr-FR"/>
        </w:rPr>
        <w:tab/>
      </w:r>
      <w:r w:rsidR="008724C4">
        <w:rPr>
          <w:lang w:val="fr-FR"/>
        </w:rPr>
        <w:tab/>
      </w:r>
      <w:r w:rsidR="008724C4">
        <w:rPr>
          <w:lang w:val="fr-FR"/>
        </w:rPr>
        <w:tab/>
      </w:r>
      <w:r w:rsidRPr="00CB6561">
        <w:rPr>
          <w:lang w:val="fr-FR"/>
        </w:rPr>
        <w:t>(HSS 2005).</w:t>
      </w:r>
    </w:p>
    <w:p w:rsidR="00CB6561" w:rsidRPr="00CB6561" w:rsidRDefault="00CB6561" w:rsidP="00CB6561">
      <w:pPr>
        <w:pStyle w:val="SingleTxt"/>
        <w:rPr>
          <w:lang w:val="fr-FR"/>
        </w:rPr>
      </w:pPr>
      <w:r w:rsidRPr="00CB6561">
        <w:rPr>
          <w:lang w:val="fr-FR"/>
        </w:rPr>
        <w:t>Figure 6.1</w:t>
      </w:r>
      <w:r w:rsidRPr="00CB6561">
        <w:rPr>
          <w:lang w:val="fr-FR"/>
        </w:rPr>
        <w:tab/>
      </w:r>
      <w:r w:rsidR="008724C4">
        <w:rPr>
          <w:lang w:val="fr-FR"/>
        </w:rPr>
        <w:tab/>
      </w:r>
      <w:r w:rsidRPr="00CB6561">
        <w:rPr>
          <w:lang w:val="fr-FR"/>
        </w:rPr>
        <w:t>Itinéraires de la traite actualisés par LUTRENA/OIT</w:t>
      </w:r>
    </w:p>
    <w:p w:rsidR="00CB6561" w:rsidRPr="00CB6561" w:rsidRDefault="00CB6561" w:rsidP="00CB6561">
      <w:pPr>
        <w:pStyle w:val="SingleTxt"/>
        <w:rPr>
          <w:lang w:val="fr-FR"/>
        </w:rPr>
      </w:pPr>
      <w:r w:rsidRPr="00CB6561">
        <w:rPr>
          <w:lang w:val="fr-FR"/>
        </w:rPr>
        <w:t>Figure 6.2</w:t>
      </w:r>
      <w:r w:rsidRPr="00CB6561">
        <w:rPr>
          <w:lang w:val="fr-FR"/>
        </w:rPr>
        <w:tab/>
      </w:r>
      <w:r w:rsidR="008724C4">
        <w:rPr>
          <w:lang w:val="fr-FR"/>
        </w:rPr>
        <w:tab/>
      </w:r>
      <w:r w:rsidRPr="00CB6561">
        <w:rPr>
          <w:lang w:val="fr-FR"/>
        </w:rPr>
        <w:t>Nombre d</w:t>
      </w:r>
      <w:r w:rsidR="000A3D87">
        <w:rPr>
          <w:lang w:val="fr-FR"/>
        </w:rPr>
        <w:t>’</w:t>
      </w:r>
      <w:r w:rsidRPr="00CB6561">
        <w:rPr>
          <w:lang w:val="fr-FR"/>
        </w:rPr>
        <w:t>enfants victimes de la traite par zones d</w:t>
      </w:r>
      <w:r w:rsidR="000A3D87">
        <w:rPr>
          <w:lang w:val="fr-FR"/>
        </w:rPr>
        <w:t>’</w:t>
      </w:r>
      <w:r w:rsidRPr="00CB6561">
        <w:rPr>
          <w:lang w:val="fr-FR"/>
        </w:rPr>
        <w:t>origine</w:t>
      </w:r>
    </w:p>
    <w:p w:rsidR="00CB6561" w:rsidRPr="00CB6561" w:rsidRDefault="00CB6561" w:rsidP="00CB6561">
      <w:pPr>
        <w:pStyle w:val="SingleTxt"/>
        <w:rPr>
          <w:lang w:val="fr-FR"/>
        </w:rPr>
      </w:pPr>
      <w:r w:rsidRPr="00CB6561">
        <w:rPr>
          <w:lang w:val="fr-FR"/>
        </w:rPr>
        <w:t>Figure 6.3</w:t>
      </w:r>
      <w:r w:rsidRPr="00CB6561">
        <w:rPr>
          <w:lang w:val="fr-FR"/>
        </w:rPr>
        <w:tab/>
      </w:r>
      <w:r w:rsidR="008724C4">
        <w:rPr>
          <w:lang w:val="fr-FR"/>
        </w:rPr>
        <w:tab/>
      </w:r>
      <w:r w:rsidRPr="00CB6561">
        <w:rPr>
          <w:lang w:val="fr-FR"/>
        </w:rPr>
        <w:t>Nombre d</w:t>
      </w:r>
      <w:r w:rsidR="000A3D87">
        <w:rPr>
          <w:lang w:val="fr-FR"/>
        </w:rPr>
        <w:t>’</w:t>
      </w:r>
      <w:r w:rsidRPr="00CB6561">
        <w:rPr>
          <w:lang w:val="fr-FR"/>
        </w:rPr>
        <w:t>enfants secourus par zones</w:t>
      </w:r>
    </w:p>
    <w:p w:rsidR="00CB6561" w:rsidRPr="00CB6561" w:rsidRDefault="00CB6561" w:rsidP="00CB6561">
      <w:pPr>
        <w:pStyle w:val="SingleTxt"/>
        <w:rPr>
          <w:lang w:val="fr-FR"/>
        </w:rPr>
      </w:pPr>
      <w:r w:rsidRPr="00CB6561">
        <w:rPr>
          <w:lang w:val="fr-FR"/>
        </w:rPr>
        <w:t>Figure 6.4</w:t>
      </w:r>
      <w:r w:rsidRPr="00CB6561">
        <w:rPr>
          <w:lang w:val="fr-FR"/>
        </w:rPr>
        <w:tab/>
      </w:r>
      <w:r w:rsidR="008724C4">
        <w:rPr>
          <w:lang w:val="fr-FR"/>
        </w:rPr>
        <w:tab/>
      </w:r>
      <w:r w:rsidRPr="00CB6561">
        <w:rPr>
          <w:lang w:val="fr-FR"/>
        </w:rPr>
        <w:t>Nombre d</w:t>
      </w:r>
      <w:r w:rsidR="000A3D87">
        <w:rPr>
          <w:lang w:val="fr-FR"/>
        </w:rPr>
        <w:t>’</w:t>
      </w:r>
      <w:r w:rsidRPr="00CB6561">
        <w:rPr>
          <w:lang w:val="fr-FR"/>
        </w:rPr>
        <w:t>enfants secourus de différents pays</w:t>
      </w:r>
    </w:p>
    <w:p w:rsidR="00A708A8" w:rsidRPr="00A708A8" w:rsidRDefault="00CB6561" w:rsidP="00CB6561">
      <w:pPr>
        <w:pStyle w:val="SingleTxt"/>
      </w:pPr>
      <w:r w:rsidRPr="00CB6561">
        <w:rPr>
          <w:lang w:val="fr-FR"/>
        </w:rPr>
        <w:t>Figure 12.1</w:t>
      </w:r>
      <w:r w:rsidRPr="00CB6561">
        <w:rPr>
          <w:lang w:val="fr-FR"/>
        </w:rPr>
        <w:tab/>
        <w:t xml:space="preserve">Taux de mortalité maternelle par zones, urbaines &amp; rurales </w:t>
      </w:r>
      <w:r w:rsidR="008724C4">
        <w:rPr>
          <w:lang w:val="fr-FR"/>
        </w:rPr>
        <w:br/>
      </w:r>
      <w:r w:rsidR="008724C4">
        <w:rPr>
          <w:lang w:val="fr-FR"/>
        </w:rPr>
        <w:tab/>
      </w:r>
      <w:r w:rsidR="008724C4">
        <w:rPr>
          <w:lang w:val="fr-FR"/>
        </w:rPr>
        <w:tab/>
      </w:r>
      <w:r w:rsidR="008724C4">
        <w:rPr>
          <w:lang w:val="fr-FR"/>
        </w:rPr>
        <w:tab/>
      </w:r>
      <w:r w:rsidRPr="00CB6561">
        <w:rPr>
          <w:lang w:val="fr-FR"/>
        </w:rPr>
        <w:t>(par 100 000 naissances vivantes)</w:t>
      </w:r>
    </w:p>
    <w:p w:rsidR="00B0068A" w:rsidRDefault="008724C4" w:rsidP="008724C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br w:type="page"/>
      </w:r>
      <w:r>
        <w:rPr>
          <w:lang w:val="fr-FR"/>
        </w:rPr>
        <w:tab/>
      </w:r>
      <w:r>
        <w:rPr>
          <w:lang w:val="fr-FR"/>
        </w:rPr>
        <w:tab/>
      </w:r>
      <w:r w:rsidR="00B0068A" w:rsidRPr="005D6CD4">
        <w:rPr>
          <w:lang w:val="fr-FR"/>
        </w:rPr>
        <w:t>Préface</w:t>
      </w:r>
    </w:p>
    <w:p w:rsidR="008724C4" w:rsidRPr="008724C4" w:rsidRDefault="008724C4" w:rsidP="008724C4">
      <w:pPr>
        <w:pStyle w:val="SingleTxt"/>
        <w:spacing w:after="0" w:line="120" w:lineRule="exact"/>
        <w:rPr>
          <w:sz w:val="10"/>
          <w:lang w:val="fr-FR"/>
        </w:rPr>
      </w:pPr>
    </w:p>
    <w:p w:rsidR="008724C4" w:rsidRPr="008724C4" w:rsidRDefault="008724C4" w:rsidP="008724C4">
      <w:pPr>
        <w:pStyle w:val="SingleTxt"/>
        <w:spacing w:after="0" w:line="120" w:lineRule="exact"/>
        <w:rPr>
          <w:sz w:val="10"/>
          <w:lang w:val="fr-FR"/>
        </w:rPr>
      </w:pPr>
    </w:p>
    <w:p w:rsidR="00B0068A" w:rsidRPr="005D6CD4" w:rsidRDefault="008724C4" w:rsidP="008724C4">
      <w:pPr>
        <w:pStyle w:val="SingleTxt"/>
        <w:rPr>
          <w:lang w:val="fr-FR"/>
        </w:rPr>
      </w:pPr>
      <w:r>
        <w:rPr>
          <w:lang w:val="fr-FR"/>
        </w:rPr>
        <w:tab/>
      </w:r>
      <w:r w:rsidR="00B0068A" w:rsidRPr="005D6CD4">
        <w:rPr>
          <w:lang w:val="fr-FR"/>
        </w:rPr>
        <w:t xml:space="preserve">Durant ses sept années de gouvernance démocratique, la République fédérale du </w:t>
      </w:r>
      <w:r w:rsidR="00B0068A">
        <w:rPr>
          <w:lang w:val="fr-FR"/>
        </w:rPr>
        <w:t>Nigéria</w:t>
      </w:r>
      <w:r w:rsidR="00B0068A" w:rsidRPr="005D6CD4">
        <w:rPr>
          <w:lang w:val="fr-FR"/>
        </w:rPr>
        <w:t xml:space="preserve"> a e</w:t>
      </w:r>
      <w:r w:rsidR="00B0068A" w:rsidRPr="005D6CD4">
        <w:rPr>
          <w:lang w:val="fr-FR"/>
        </w:rPr>
        <w:t>n</w:t>
      </w:r>
      <w:r w:rsidR="00B0068A" w:rsidRPr="005D6CD4">
        <w:rPr>
          <w:lang w:val="fr-FR"/>
        </w:rPr>
        <w:t>registré une amélioration de la prise de conscience et de la volonté politique</w:t>
      </w:r>
      <w:r w:rsidR="00B0068A">
        <w:rPr>
          <w:lang w:val="fr-FR"/>
        </w:rPr>
        <w:t>,</w:t>
      </w:r>
      <w:r w:rsidR="00B0068A" w:rsidRPr="005D6CD4">
        <w:rPr>
          <w:lang w:val="fr-FR"/>
        </w:rPr>
        <w:t xml:space="preserve"> à tous les n</w:t>
      </w:r>
      <w:r w:rsidR="00B0068A" w:rsidRPr="005D6CD4">
        <w:rPr>
          <w:lang w:val="fr-FR"/>
        </w:rPr>
        <w:t>i</w:t>
      </w:r>
      <w:r w:rsidR="00B0068A" w:rsidRPr="005D6CD4">
        <w:rPr>
          <w:lang w:val="fr-FR"/>
        </w:rPr>
        <w:t>veaux</w:t>
      </w:r>
      <w:r w:rsidR="00B0068A">
        <w:rPr>
          <w:lang w:val="fr-FR"/>
        </w:rPr>
        <w:t>,</w:t>
      </w:r>
      <w:r w:rsidR="00B0068A" w:rsidRPr="005D6CD4">
        <w:rPr>
          <w:lang w:val="fr-FR"/>
        </w:rPr>
        <w:t xml:space="preserve"> de reconnaître, respecter et protéger les droits des femmes. </w:t>
      </w:r>
    </w:p>
    <w:p w:rsidR="00B0068A" w:rsidRPr="005D6CD4" w:rsidRDefault="008724C4" w:rsidP="008724C4">
      <w:pPr>
        <w:pStyle w:val="SingleTxt"/>
        <w:rPr>
          <w:lang w:val="fr-FR"/>
        </w:rPr>
      </w:pPr>
      <w:r>
        <w:rPr>
          <w:lang w:val="fr-FR"/>
        </w:rPr>
        <w:tab/>
      </w:r>
      <w:r w:rsidR="00B0068A" w:rsidRPr="005D6CD4">
        <w:rPr>
          <w:lang w:val="fr-FR"/>
        </w:rPr>
        <w:t xml:space="preserve">Les programmes de réforme en cours du </w:t>
      </w:r>
      <w:r w:rsidR="00B0068A">
        <w:rPr>
          <w:lang w:val="fr-FR"/>
        </w:rPr>
        <w:t>Gouvernement</w:t>
      </w:r>
      <w:r w:rsidR="00B0068A" w:rsidRPr="005D6CD4">
        <w:rPr>
          <w:lang w:val="fr-FR"/>
        </w:rPr>
        <w:t xml:space="preserve"> actuel, associés à d</w:t>
      </w:r>
      <w:r w:rsidR="000A3D87">
        <w:rPr>
          <w:lang w:val="fr-FR"/>
        </w:rPr>
        <w:t>’</w:t>
      </w:r>
      <w:r w:rsidR="00B0068A" w:rsidRPr="005D6CD4">
        <w:rPr>
          <w:lang w:val="fr-FR"/>
        </w:rPr>
        <w:t xml:space="preserve">autres initiatives, </w:t>
      </w:r>
      <w:r w:rsidR="00B0068A">
        <w:rPr>
          <w:lang w:val="fr-FR"/>
        </w:rPr>
        <w:t>ont</w:t>
      </w:r>
      <w:r w:rsidR="00B0068A" w:rsidRPr="005D6CD4">
        <w:rPr>
          <w:lang w:val="fr-FR"/>
        </w:rPr>
        <w:t xml:space="preserve"> créé un cadre de programmation favorable à la promotion et la protection des droits des femmes</w:t>
      </w:r>
      <w:r>
        <w:rPr>
          <w:lang w:val="fr-FR"/>
        </w:rPr>
        <w:t>;</w:t>
      </w:r>
      <w:r w:rsidR="00B0068A" w:rsidRPr="005D6CD4">
        <w:rPr>
          <w:lang w:val="fr-FR"/>
        </w:rPr>
        <w:t xml:space="preserve"> </w:t>
      </w:r>
      <w:r w:rsidR="00B0068A">
        <w:rPr>
          <w:lang w:val="fr-FR"/>
        </w:rPr>
        <w:t xml:space="preserve">à </w:t>
      </w:r>
      <w:r w:rsidR="00B0068A" w:rsidRPr="005D6CD4">
        <w:rPr>
          <w:lang w:val="fr-FR"/>
        </w:rPr>
        <w:t>la réduction de la prévalence de la discrimination à l</w:t>
      </w:r>
      <w:r w:rsidR="000A3D87">
        <w:rPr>
          <w:lang w:val="fr-FR"/>
        </w:rPr>
        <w:t>’</w:t>
      </w:r>
      <w:r w:rsidR="00B0068A" w:rsidRPr="005D6CD4">
        <w:rPr>
          <w:lang w:val="fr-FR"/>
        </w:rPr>
        <w:t>égard des femmes</w:t>
      </w:r>
      <w:r>
        <w:rPr>
          <w:lang w:val="fr-FR"/>
        </w:rPr>
        <w:t>;</w:t>
      </w:r>
      <w:r w:rsidR="00B0068A">
        <w:rPr>
          <w:lang w:val="fr-FR"/>
        </w:rPr>
        <w:t xml:space="preserve"> à </w:t>
      </w:r>
      <w:r w:rsidR="00B0068A" w:rsidRPr="005D6CD4">
        <w:rPr>
          <w:lang w:val="fr-FR"/>
        </w:rPr>
        <w:t>des i</w:t>
      </w:r>
      <w:r w:rsidR="00B0068A" w:rsidRPr="005D6CD4">
        <w:rPr>
          <w:lang w:val="fr-FR"/>
        </w:rPr>
        <w:t>n</w:t>
      </w:r>
      <w:r w:rsidR="00B0068A" w:rsidRPr="005D6CD4">
        <w:rPr>
          <w:lang w:val="fr-FR"/>
        </w:rPr>
        <w:t xml:space="preserve">vestissements accrus dans les </w:t>
      </w:r>
      <w:r w:rsidR="00B0068A">
        <w:rPr>
          <w:lang w:val="fr-FR"/>
        </w:rPr>
        <w:t>domaines favorisant l</w:t>
      </w:r>
      <w:r w:rsidR="000A3D87">
        <w:rPr>
          <w:lang w:val="fr-FR"/>
        </w:rPr>
        <w:t>’</w:t>
      </w:r>
      <w:r w:rsidR="00B0068A" w:rsidRPr="005D6CD4">
        <w:rPr>
          <w:lang w:val="fr-FR"/>
        </w:rPr>
        <w:t xml:space="preserve">épanouissement des enfants et des femmes, et </w:t>
      </w:r>
      <w:r w:rsidR="00B0068A">
        <w:rPr>
          <w:lang w:val="fr-FR"/>
        </w:rPr>
        <w:t xml:space="preserve">à </w:t>
      </w:r>
      <w:r w:rsidR="00B0068A" w:rsidRPr="005D6CD4">
        <w:rPr>
          <w:lang w:val="fr-FR"/>
        </w:rPr>
        <w:t xml:space="preserve">une meilleure application des données ventilées </w:t>
      </w:r>
      <w:r w:rsidR="00B0068A">
        <w:rPr>
          <w:lang w:val="fr-FR"/>
        </w:rPr>
        <w:t xml:space="preserve">par sexe </w:t>
      </w:r>
      <w:r w:rsidR="00B0068A" w:rsidRPr="005D6CD4">
        <w:rPr>
          <w:lang w:val="fr-FR"/>
        </w:rPr>
        <w:t>et des ressources consacrées au développement. Il est établi que le pays est résolument attaché à la réalisation des cibles pr</w:t>
      </w:r>
      <w:r w:rsidR="00B0068A" w:rsidRPr="005D6CD4">
        <w:rPr>
          <w:lang w:val="fr-FR"/>
        </w:rPr>
        <w:t>é</w:t>
      </w:r>
      <w:r w:rsidR="00B0068A" w:rsidRPr="005D6CD4">
        <w:rPr>
          <w:lang w:val="fr-FR"/>
        </w:rPr>
        <w:t>vues par les objectifs du Millénaire pour le développement, en particulier l</w:t>
      </w:r>
      <w:r w:rsidR="000A3D87">
        <w:rPr>
          <w:lang w:val="fr-FR"/>
        </w:rPr>
        <w:t>’</w:t>
      </w:r>
      <w:r w:rsidR="00B0068A" w:rsidRPr="005D6CD4">
        <w:rPr>
          <w:lang w:val="fr-FR"/>
        </w:rPr>
        <w:t>Objectif n</w:t>
      </w:r>
      <w:r w:rsidR="00B0068A" w:rsidRPr="005D6CD4">
        <w:rPr>
          <w:vertAlign w:val="superscript"/>
          <w:lang w:val="fr-FR"/>
        </w:rPr>
        <w:t>o</w:t>
      </w:r>
      <w:r w:rsidR="000A3D87">
        <w:rPr>
          <w:vertAlign w:val="superscript"/>
          <w:lang w:val="fr-FR"/>
        </w:rPr>
        <w:t> </w:t>
      </w:r>
      <w:r w:rsidR="00B0068A" w:rsidRPr="005D6CD4">
        <w:rPr>
          <w:lang w:val="fr-FR"/>
        </w:rPr>
        <w:t>3, qui met l</w:t>
      </w:r>
      <w:r w:rsidR="000A3D87">
        <w:rPr>
          <w:lang w:val="fr-FR"/>
        </w:rPr>
        <w:t>’</w:t>
      </w:r>
      <w:r w:rsidR="00B0068A" w:rsidRPr="005D6CD4">
        <w:rPr>
          <w:lang w:val="fr-FR"/>
        </w:rPr>
        <w:t>accent sur la promotion de l</w:t>
      </w:r>
      <w:r w:rsidR="000A3D87">
        <w:rPr>
          <w:lang w:val="fr-FR"/>
        </w:rPr>
        <w:t>’</w:t>
      </w:r>
      <w:r w:rsidR="00B0068A" w:rsidRPr="005D6CD4">
        <w:rPr>
          <w:lang w:val="fr-FR"/>
        </w:rPr>
        <w:t>égalité des sexes et l</w:t>
      </w:r>
      <w:r w:rsidR="00B0068A">
        <w:rPr>
          <w:lang w:val="fr-FR"/>
        </w:rPr>
        <w:t>a démarginalisation des femmes</w:t>
      </w:r>
      <w:r w:rsidR="00B0068A" w:rsidRPr="005D6CD4">
        <w:rPr>
          <w:lang w:val="fr-FR"/>
        </w:rPr>
        <w:t>. En o</w:t>
      </w:r>
      <w:r w:rsidR="00B0068A" w:rsidRPr="005D6CD4">
        <w:rPr>
          <w:lang w:val="fr-FR"/>
        </w:rPr>
        <w:t>u</w:t>
      </w:r>
      <w:r w:rsidR="00B0068A" w:rsidRPr="005D6CD4">
        <w:rPr>
          <w:lang w:val="fr-FR"/>
        </w:rPr>
        <w:t>tre, des mécanismes institutionnels et juridiques sont en place pour favoriser la réalisation de l</w:t>
      </w:r>
      <w:r w:rsidR="000A3D87">
        <w:rPr>
          <w:lang w:val="fr-FR"/>
        </w:rPr>
        <w:t>’</w:t>
      </w:r>
      <w:r w:rsidR="00B0068A" w:rsidRPr="005D6CD4">
        <w:rPr>
          <w:lang w:val="fr-FR"/>
        </w:rPr>
        <w:t>égalité des sexes, les services de protection pour les enfants et les femmes, et l</w:t>
      </w:r>
      <w:r w:rsidR="00B0068A">
        <w:rPr>
          <w:lang w:val="fr-FR"/>
        </w:rPr>
        <w:t>a démarginal</w:t>
      </w:r>
      <w:r w:rsidR="00B0068A">
        <w:rPr>
          <w:lang w:val="fr-FR"/>
        </w:rPr>
        <w:t>i</w:t>
      </w:r>
      <w:r w:rsidR="00B0068A">
        <w:rPr>
          <w:lang w:val="fr-FR"/>
        </w:rPr>
        <w:t xml:space="preserve">sation </w:t>
      </w:r>
      <w:r w:rsidR="00B0068A" w:rsidRPr="005D6CD4">
        <w:rPr>
          <w:lang w:val="fr-FR"/>
        </w:rPr>
        <w:t xml:space="preserve">par le renforcement des capacités des familles et des collectivités locales. </w:t>
      </w:r>
    </w:p>
    <w:p w:rsidR="00B0068A" w:rsidRPr="005D6CD4" w:rsidRDefault="008724C4" w:rsidP="008724C4">
      <w:pPr>
        <w:pStyle w:val="SingleTxt"/>
        <w:rPr>
          <w:lang w:val="fr-FR"/>
        </w:rPr>
      </w:pPr>
      <w:r>
        <w:rPr>
          <w:lang w:val="fr-FR"/>
        </w:rPr>
        <w:tab/>
      </w:r>
      <w:r w:rsidR="00B0068A" w:rsidRPr="005D6CD4">
        <w:rPr>
          <w:lang w:val="fr-FR"/>
        </w:rPr>
        <w:t>La réalisation la plus importante enregistrée au cours de la période couverte</w:t>
      </w:r>
      <w:r w:rsidR="00B0068A">
        <w:rPr>
          <w:lang w:val="fr-FR"/>
        </w:rPr>
        <w:t xml:space="preserve"> </w:t>
      </w:r>
      <w:r w:rsidR="00B0068A" w:rsidRPr="005D6CD4">
        <w:rPr>
          <w:lang w:val="fr-FR"/>
        </w:rPr>
        <w:t>par le rapport est l</w:t>
      </w:r>
      <w:r w:rsidR="000A3D87">
        <w:rPr>
          <w:lang w:val="fr-FR"/>
        </w:rPr>
        <w:t>’</w:t>
      </w:r>
      <w:r w:rsidR="00B0068A" w:rsidRPr="005D6CD4">
        <w:rPr>
          <w:lang w:val="fr-FR"/>
        </w:rPr>
        <w:t>élaboration et la mise en œuvre d</w:t>
      </w:r>
      <w:r w:rsidR="000A3D87">
        <w:rPr>
          <w:lang w:val="fr-FR"/>
        </w:rPr>
        <w:t>’</w:t>
      </w:r>
      <w:r w:rsidR="00B0068A" w:rsidRPr="005D6CD4">
        <w:rPr>
          <w:lang w:val="fr-FR"/>
        </w:rPr>
        <w:t xml:space="preserve">un plan de développement à moyen terme coordonné au plan national, la Stratégie nationale de développement et de démarginalisation économiques (NEEDS), et </w:t>
      </w:r>
      <w:r w:rsidR="00B0068A">
        <w:rPr>
          <w:lang w:val="fr-FR"/>
        </w:rPr>
        <w:t xml:space="preserve">la stratégie correspondante </w:t>
      </w:r>
      <w:r w:rsidR="00B0068A" w:rsidRPr="005D6CD4">
        <w:rPr>
          <w:lang w:val="fr-FR"/>
        </w:rPr>
        <w:t>aux niveaux des États et des collectivités locales. Il convient de noter que le programme NEEDS à quatre axes, utilis</w:t>
      </w:r>
      <w:r w:rsidR="00B0068A">
        <w:rPr>
          <w:lang w:val="fr-FR"/>
        </w:rPr>
        <w:t xml:space="preserve">ant </w:t>
      </w:r>
      <w:r w:rsidR="00B0068A" w:rsidRPr="005D6CD4">
        <w:rPr>
          <w:lang w:val="fr-FR"/>
        </w:rPr>
        <w:t>une démarche globale, est en cours de révision pour intégrer entre autres, un volet sur la prise en compte systématique du souci de l</w:t>
      </w:r>
      <w:r w:rsidR="000A3D87">
        <w:rPr>
          <w:lang w:val="fr-FR"/>
        </w:rPr>
        <w:t>’</w:t>
      </w:r>
      <w:r w:rsidR="00B0068A" w:rsidRPr="005D6CD4">
        <w:rPr>
          <w:lang w:val="fr-FR"/>
        </w:rPr>
        <w:t>égalité des sexes dans le cadre de la politique générale.</w:t>
      </w:r>
      <w:r w:rsidR="00B0068A">
        <w:rPr>
          <w:lang w:val="fr-FR"/>
        </w:rPr>
        <w:t xml:space="preserve"> </w:t>
      </w:r>
    </w:p>
    <w:p w:rsidR="00B0068A" w:rsidRPr="005D6CD4" w:rsidRDefault="002310F2" w:rsidP="008724C4">
      <w:pPr>
        <w:pStyle w:val="SingleTxt"/>
        <w:rPr>
          <w:color w:val="000000"/>
          <w:lang w:val="fr-FR"/>
        </w:rPr>
      </w:pPr>
      <w:r>
        <w:rPr>
          <w:lang w:val="fr-FR"/>
        </w:rPr>
        <w:tab/>
      </w:r>
      <w:r w:rsidR="00B0068A" w:rsidRPr="005D6CD4">
        <w:rPr>
          <w:lang w:val="fr-FR"/>
        </w:rPr>
        <w:t>En 2005, le Fonds d</w:t>
      </w:r>
      <w:r w:rsidR="00B0068A">
        <w:rPr>
          <w:lang w:val="fr-FR"/>
        </w:rPr>
        <w:t xml:space="preserve">e démarginalisation </w:t>
      </w:r>
      <w:r w:rsidR="00B0068A" w:rsidRPr="005D6CD4">
        <w:rPr>
          <w:lang w:val="fr-FR"/>
        </w:rPr>
        <w:t>économique des femmes (WOFEE</w:t>
      </w:r>
      <w:r w:rsidR="00B0068A" w:rsidRPr="00C47046">
        <w:rPr>
          <w:lang w:val="fr-FR"/>
        </w:rPr>
        <w:t>),</w:t>
      </w:r>
      <w:r w:rsidR="00B0068A" w:rsidRPr="005D6CD4">
        <w:rPr>
          <w:lang w:val="fr-FR"/>
        </w:rPr>
        <w:t xml:space="preserve"> </w:t>
      </w:r>
      <w:r w:rsidR="00B0068A" w:rsidRPr="005D6CD4">
        <w:rPr>
          <w:bCs/>
          <w:lang w:val="fr-FR"/>
        </w:rPr>
        <w:t xml:space="preserve">a été </w:t>
      </w:r>
      <w:r w:rsidR="00B0068A">
        <w:rPr>
          <w:bCs/>
          <w:lang w:val="fr-FR"/>
        </w:rPr>
        <w:t>créé</w:t>
      </w:r>
      <w:r w:rsidR="00B0068A" w:rsidRPr="005D6CD4">
        <w:rPr>
          <w:bCs/>
          <w:lang w:val="fr-FR"/>
        </w:rPr>
        <w:t xml:space="preserve"> en tant qu</w:t>
      </w:r>
      <w:r w:rsidR="000A3D87">
        <w:rPr>
          <w:bCs/>
          <w:lang w:val="fr-FR"/>
        </w:rPr>
        <w:t>’</w:t>
      </w:r>
      <w:r w:rsidR="00B0068A" w:rsidRPr="005D6CD4">
        <w:rPr>
          <w:bCs/>
          <w:lang w:val="fr-FR"/>
        </w:rPr>
        <w:t xml:space="preserve">initiative du ministère de la </w:t>
      </w:r>
      <w:r w:rsidR="00B0068A">
        <w:rPr>
          <w:bCs/>
          <w:lang w:val="fr-FR"/>
        </w:rPr>
        <w:t xml:space="preserve">Condition de la femme </w:t>
      </w:r>
      <w:r w:rsidR="00B0068A" w:rsidRPr="005D6CD4">
        <w:rPr>
          <w:bCs/>
          <w:lang w:val="fr-FR"/>
        </w:rPr>
        <w:t xml:space="preserve">et des </w:t>
      </w:r>
      <w:r w:rsidR="00B0068A">
        <w:rPr>
          <w:bCs/>
          <w:lang w:val="fr-FR"/>
        </w:rPr>
        <w:t>i</w:t>
      </w:r>
      <w:r w:rsidR="00B0068A" w:rsidRPr="005D6CD4">
        <w:rPr>
          <w:bCs/>
          <w:lang w:val="fr-FR"/>
        </w:rPr>
        <w:t>nstitutions financières pour offrir aux femmes un mécanisme de prêt renouvelable à des conditions de faveur afin de renforcer les capacités de</w:t>
      </w:r>
      <w:r w:rsidR="00B0068A">
        <w:rPr>
          <w:bCs/>
          <w:lang w:val="fr-FR"/>
        </w:rPr>
        <w:t xml:space="preserve"> celle</w:t>
      </w:r>
      <w:r w:rsidR="00B0068A" w:rsidRPr="005D6CD4">
        <w:rPr>
          <w:bCs/>
          <w:lang w:val="fr-FR"/>
        </w:rPr>
        <w:t xml:space="preserve">s </w:t>
      </w:r>
      <w:r w:rsidR="00B0068A">
        <w:rPr>
          <w:bCs/>
          <w:lang w:val="fr-FR"/>
        </w:rPr>
        <w:t xml:space="preserve">qui vivent en milieu </w:t>
      </w:r>
      <w:r w:rsidR="00B0068A" w:rsidRPr="005D6CD4">
        <w:rPr>
          <w:bCs/>
          <w:lang w:val="fr-FR"/>
        </w:rPr>
        <w:t>rurale</w:t>
      </w:r>
      <w:r w:rsidR="00B0068A" w:rsidRPr="005D6CD4">
        <w:rPr>
          <w:lang w:val="fr-FR"/>
        </w:rPr>
        <w:t>. Le WOFEE vise notamment à faciliter l</w:t>
      </w:r>
      <w:r w:rsidR="000A3D87">
        <w:rPr>
          <w:lang w:val="fr-FR"/>
        </w:rPr>
        <w:t>’</w:t>
      </w:r>
      <w:r w:rsidR="00B0068A" w:rsidRPr="005D6CD4">
        <w:rPr>
          <w:lang w:val="fr-FR"/>
        </w:rPr>
        <w:t>accès aux biens, aux stratégies de commercialisation, à la formation commerciale, aux services d</w:t>
      </w:r>
      <w:r w:rsidR="000A3D87">
        <w:rPr>
          <w:lang w:val="fr-FR"/>
        </w:rPr>
        <w:t>’</w:t>
      </w:r>
      <w:r w:rsidR="00B0068A" w:rsidRPr="005D6CD4">
        <w:rPr>
          <w:lang w:val="fr-FR"/>
        </w:rPr>
        <w:t xml:space="preserve">infrastructure, </w:t>
      </w:r>
      <w:r w:rsidR="00B0068A">
        <w:rPr>
          <w:lang w:val="fr-FR"/>
        </w:rPr>
        <w:t>ainsi qu</w:t>
      </w:r>
      <w:r w:rsidR="000A3D87">
        <w:rPr>
          <w:lang w:val="fr-FR"/>
        </w:rPr>
        <w:t>’</w:t>
      </w:r>
      <w:r w:rsidR="00B0068A">
        <w:rPr>
          <w:lang w:val="fr-FR"/>
        </w:rPr>
        <w:t xml:space="preserve">à </w:t>
      </w:r>
      <w:r w:rsidR="00B0068A" w:rsidRPr="005D6CD4">
        <w:rPr>
          <w:lang w:val="fr-FR"/>
        </w:rPr>
        <w:t>fournir un cadre de politique favorable</w:t>
      </w:r>
      <w:r w:rsidR="00B0068A" w:rsidRPr="005D6CD4">
        <w:rPr>
          <w:color w:val="000000"/>
          <w:lang w:val="fr-FR"/>
        </w:rPr>
        <w:t xml:space="preserve">. </w:t>
      </w:r>
    </w:p>
    <w:p w:rsidR="00B0068A" w:rsidRPr="005D6CD4" w:rsidRDefault="002310F2" w:rsidP="008724C4">
      <w:pPr>
        <w:pStyle w:val="SingleTxt"/>
        <w:rPr>
          <w:lang w:val="fr-FR"/>
        </w:rPr>
      </w:pPr>
      <w:r>
        <w:rPr>
          <w:lang w:val="fr-FR"/>
        </w:rPr>
        <w:tab/>
      </w:r>
      <w:r w:rsidR="00B0068A" w:rsidRPr="005D6CD4">
        <w:rPr>
          <w:lang w:val="fr-FR"/>
        </w:rPr>
        <w:t xml:space="preserve">Le Gouvernement de la République fédérale du </w:t>
      </w:r>
      <w:r w:rsidR="00B0068A">
        <w:rPr>
          <w:lang w:val="fr-FR"/>
        </w:rPr>
        <w:t>Nigéria</w:t>
      </w:r>
      <w:r w:rsidR="00B0068A" w:rsidRPr="005D6CD4">
        <w:rPr>
          <w:lang w:val="fr-FR"/>
        </w:rPr>
        <w:t xml:space="preserve"> poursuit la mise en œuvre de la Décl</w:t>
      </w:r>
      <w:r w:rsidR="00B0068A" w:rsidRPr="005D6CD4">
        <w:rPr>
          <w:lang w:val="fr-FR"/>
        </w:rPr>
        <w:t>a</w:t>
      </w:r>
      <w:r w:rsidR="00B0068A" w:rsidRPr="005D6CD4">
        <w:rPr>
          <w:lang w:val="fr-FR"/>
        </w:rPr>
        <w:t>ration et du Programme d</w:t>
      </w:r>
      <w:r w:rsidR="000A3D87">
        <w:rPr>
          <w:lang w:val="fr-FR"/>
        </w:rPr>
        <w:t>’</w:t>
      </w:r>
      <w:r w:rsidR="00B0068A" w:rsidRPr="005D6CD4">
        <w:rPr>
          <w:lang w:val="fr-FR"/>
        </w:rPr>
        <w:t>action de Beijing et des recommandations de la Vingt-troisième se</w:t>
      </w:r>
      <w:r w:rsidR="00B0068A" w:rsidRPr="005D6CD4">
        <w:rPr>
          <w:lang w:val="fr-FR"/>
        </w:rPr>
        <w:t>s</w:t>
      </w:r>
      <w:r w:rsidR="00B0068A" w:rsidRPr="005D6CD4">
        <w:rPr>
          <w:lang w:val="fr-FR"/>
        </w:rPr>
        <w:t>sion extraordinaire de l</w:t>
      </w:r>
      <w:r w:rsidR="000A3D87">
        <w:rPr>
          <w:lang w:val="fr-FR"/>
        </w:rPr>
        <w:t>’</w:t>
      </w:r>
      <w:r w:rsidR="00B0068A" w:rsidRPr="005D6CD4">
        <w:rPr>
          <w:lang w:val="fr-FR"/>
        </w:rPr>
        <w:t>Assemblée générale qui a donné le coup d</w:t>
      </w:r>
      <w:r w:rsidR="000A3D87">
        <w:rPr>
          <w:lang w:val="fr-FR"/>
        </w:rPr>
        <w:t>’</w:t>
      </w:r>
      <w:r w:rsidR="00B0068A" w:rsidRPr="005D6CD4">
        <w:rPr>
          <w:lang w:val="fr-FR"/>
        </w:rPr>
        <w:t>envoi aux</w:t>
      </w:r>
      <w:r w:rsidR="00B0068A">
        <w:rPr>
          <w:lang w:val="fr-FR"/>
        </w:rPr>
        <w:t xml:space="preserve"> </w:t>
      </w:r>
      <w:r w:rsidR="00B0068A" w:rsidRPr="005D6CD4">
        <w:rPr>
          <w:lang w:val="fr-FR"/>
        </w:rPr>
        <w:t>initiatives intern</w:t>
      </w:r>
      <w:r w:rsidR="00B0068A" w:rsidRPr="005D6CD4">
        <w:rPr>
          <w:lang w:val="fr-FR"/>
        </w:rPr>
        <w:t>a</w:t>
      </w:r>
      <w:r w:rsidR="00B0068A" w:rsidRPr="005D6CD4">
        <w:rPr>
          <w:lang w:val="fr-FR"/>
        </w:rPr>
        <w:t>tionales en faveur des femmes. Cette mise en œuvre dans pratiquement tous les</w:t>
      </w:r>
      <w:r w:rsidR="00B0068A">
        <w:rPr>
          <w:lang w:val="fr-FR"/>
        </w:rPr>
        <w:t xml:space="preserve"> </w:t>
      </w:r>
      <w:r w:rsidR="00B0068A" w:rsidRPr="005D6CD4">
        <w:rPr>
          <w:lang w:val="fr-FR"/>
        </w:rPr>
        <w:t>domaines de préoccupation a eu un très grand retentissement et de nouveaux progrès sensibles ont été enr</w:t>
      </w:r>
      <w:r w:rsidR="00B0068A" w:rsidRPr="005D6CD4">
        <w:rPr>
          <w:lang w:val="fr-FR"/>
        </w:rPr>
        <w:t>e</w:t>
      </w:r>
      <w:r w:rsidR="00B0068A" w:rsidRPr="005D6CD4">
        <w:rPr>
          <w:lang w:val="fr-FR"/>
        </w:rPr>
        <w:t>gistrés dans certains domaines. Des défis considérables subsistent cependant dans d</w:t>
      </w:r>
      <w:r w:rsidR="000A3D87">
        <w:rPr>
          <w:lang w:val="fr-FR"/>
        </w:rPr>
        <w:t>’</w:t>
      </w:r>
      <w:r w:rsidR="00B0068A" w:rsidRPr="005D6CD4">
        <w:rPr>
          <w:lang w:val="fr-FR"/>
        </w:rPr>
        <w:t>autres d</w:t>
      </w:r>
      <w:r w:rsidR="00B0068A" w:rsidRPr="005D6CD4">
        <w:rPr>
          <w:lang w:val="fr-FR"/>
        </w:rPr>
        <w:t>o</w:t>
      </w:r>
      <w:r w:rsidR="00B0068A" w:rsidRPr="005D6CD4">
        <w:rPr>
          <w:lang w:val="fr-FR"/>
        </w:rPr>
        <w:t>maines, en raison de la diversité de l</w:t>
      </w:r>
      <w:r w:rsidR="000A3D87">
        <w:rPr>
          <w:lang w:val="fr-FR"/>
        </w:rPr>
        <w:t>’</w:t>
      </w:r>
      <w:r w:rsidR="00B0068A" w:rsidRPr="005D6CD4">
        <w:rPr>
          <w:lang w:val="fr-FR"/>
        </w:rPr>
        <w:t>économie sociopolitique du pays.</w:t>
      </w:r>
    </w:p>
    <w:p w:rsidR="00B0068A" w:rsidRPr="005D6CD4" w:rsidRDefault="002310F2" w:rsidP="008724C4">
      <w:pPr>
        <w:pStyle w:val="SingleTxt"/>
        <w:rPr>
          <w:color w:val="000000"/>
          <w:lang w:val="fr-FR"/>
        </w:rPr>
      </w:pPr>
      <w:r>
        <w:rPr>
          <w:color w:val="000000"/>
          <w:lang w:val="fr-FR"/>
        </w:rPr>
        <w:tab/>
      </w:r>
      <w:r w:rsidR="00B0068A" w:rsidRPr="005D6CD4">
        <w:rPr>
          <w:color w:val="000000"/>
          <w:lang w:val="fr-FR"/>
        </w:rPr>
        <w:t xml:space="preserve">Le sixième rapport périodique du </w:t>
      </w:r>
      <w:r w:rsidR="00B0068A">
        <w:rPr>
          <w:color w:val="000000"/>
          <w:lang w:val="fr-FR"/>
        </w:rPr>
        <w:t>Nigéria</w:t>
      </w:r>
      <w:r w:rsidR="00B0068A" w:rsidRPr="005D6CD4">
        <w:rPr>
          <w:color w:val="000000"/>
          <w:lang w:val="fr-FR"/>
        </w:rPr>
        <w:t xml:space="preserve"> met en évidence les possibilités croissantes qui s</w:t>
      </w:r>
      <w:r w:rsidR="000A3D87">
        <w:rPr>
          <w:color w:val="000000"/>
          <w:lang w:val="fr-FR"/>
        </w:rPr>
        <w:t>’</w:t>
      </w:r>
      <w:r w:rsidR="00B0068A" w:rsidRPr="005D6CD4">
        <w:rPr>
          <w:color w:val="000000"/>
          <w:lang w:val="fr-FR"/>
        </w:rPr>
        <w:t>offrent pour l</w:t>
      </w:r>
      <w:r w:rsidR="000A3D87">
        <w:rPr>
          <w:color w:val="000000"/>
          <w:lang w:val="fr-FR"/>
        </w:rPr>
        <w:t>’</w:t>
      </w:r>
      <w:r w:rsidR="00B0068A" w:rsidRPr="005D6CD4">
        <w:rPr>
          <w:color w:val="000000"/>
          <w:lang w:val="fr-FR"/>
        </w:rPr>
        <w:t>élimination de toutes les formes de discrimination à l</w:t>
      </w:r>
      <w:r w:rsidR="000A3D87">
        <w:rPr>
          <w:color w:val="000000"/>
          <w:lang w:val="fr-FR"/>
        </w:rPr>
        <w:t>’</w:t>
      </w:r>
      <w:r w:rsidR="00B0068A" w:rsidRPr="005D6CD4">
        <w:rPr>
          <w:color w:val="000000"/>
          <w:lang w:val="fr-FR"/>
        </w:rPr>
        <w:t>égard des femmes dans les</w:t>
      </w:r>
      <w:r w:rsidR="00B0068A">
        <w:rPr>
          <w:color w:val="000000"/>
          <w:lang w:val="fr-FR"/>
        </w:rPr>
        <w:t xml:space="preserve"> </w:t>
      </w:r>
      <w:r w:rsidR="00B0068A" w:rsidRPr="005D6CD4">
        <w:rPr>
          <w:color w:val="000000"/>
          <w:lang w:val="fr-FR"/>
        </w:rPr>
        <w:t>secteurs privé et public et les niveaux améliorés d</w:t>
      </w:r>
      <w:r w:rsidR="000A3D87">
        <w:rPr>
          <w:color w:val="000000"/>
          <w:lang w:val="fr-FR"/>
        </w:rPr>
        <w:t>’</w:t>
      </w:r>
      <w:r w:rsidR="00B0068A" w:rsidRPr="005D6CD4">
        <w:rPr>
          <w:color w:val="000000"/>
          <w:lang w:val="fr-FR"/>
        </w:rPr>
        <w:t>égalité et de jouissance des droits h</w:t>
      </w:r>
      <w:r w:rsidR="00B0068A" w:rsidRPr="005D6CD4">
        <w:rPr>
          <w:color w:val="000000"/>
          <w:lang w:val="fr-FR"/>
        </w:rPr>
        <w:t>u</w:t>
      </w:r>
      <w:r w:rsidR="00B0068A" w:rsidRPr="005D6CD4">
        <w:rPr>
          <w:color w:val="000000"/>
          <w:lang w:val="fr-FR"/>
        </w:rPr>
        <w:t>mains des femmes. Des plans d</w:t>
      </w:r>
      <w:r w:rsidR="000A3D87">
        <w:rPr>
          <w:color w:val="000000"/>
          <w:lang w:val="fr-FR"/>
        </w:rPr>
        <w:t>’</w:t>
      </w:r>
      <w:r w:rsidR="00B0068A" w:rsidRPr="005D6CD4">
        <w:rPr>
          <w:color w:val="000000"/>
          <w:lang w:val="fr-FR"/>
        </w:rPr>
        <w:t>action ont été élaborés pour promouvoir l</w:t>
      </w:r>
      <w:r w:rsidR="000A3D87">
        <w:rPr>
          <w:color w:val="000000"/>
          <w:lang w:val="fr-FR"/>
        </w:rPr>
        <w:t>’</w:t>
      </w:r>
      <w:r w:rsidR="00B0068A" w:rsidRPr="005D6CD4">
        <w:rPr>
          <w:color w:val="000000"/>
          <w:lang w:val="fr-FR"/>
        </w:rPr>
        <w:t>accès élargi des femmes et des filles à l</w:t>
      </w:r>
      <w:r w:rsidR="000A3D87">
        <w:rPr>
          <w:color w:val="000000"/>
          <w:lang w:val="fr-FR"/>
        </w:rPr>
        <w:t>’</w:t>
      </w:r>
      <w:r w:rsidR="00B0068A" w:rsidRPr="005D6CD4">
        <w:rPr>
          <w:color w:val="000000"/>
          <w:lang w:val="fr-FR"/>
        </w:rPr>
        <w:t>éducation, réduire les disparités dans l</w:t>
      </w:r>
      <w:r w:rsidR="000A3D87">
        <w:rPr>
          <w:color w:val="000000"/>
          <w:lang w:val="fr-FR"/>
        </w:rPr>
        <w:t>’</w:t>
      </w:r>
      <w:r w:rsidR="00B0068A" w:rsidRPr="005D6CD4">
        <w:rPr>
          <w:color w:val="000000"/>
          <w:lang w:val="fr-FR"/>
        </w:rPr>
        <w:t>alphabétisation des femmes et des filles</w:t>
      </w:r>
      <w:r w:rsidR="008724C4">
        <w:rPr>
          <w:color w:val="000000"/>
          <w:lang w:val="fr-FR"/>
        </w:rPr>
        <w:t>;</w:t>
      </w:r>
      <w:r w:rsidR="00B0068A" w:rsidRPr="005D6CD4">
        <w:rPr>
          <w:color w:val="000000"/>
          <w:lang w:val="fr-FR"/>
        </w:rPr>
        <w:t xml:space="preserve"> élargir l</w:t>
      </w:r>
      <w:r w:rsidR="000A3D87">
        <w:rPr>
          <w:color w:val="000000"/>
          <w:lang w:val="fr-FR"/>
        </w:rPr>
        <w:t>’</w:t>
      </w:r>
      <w:r w:rsidR="00B0068A" w:rsidRPr="005D6CD4">
        <w:rPr>
          <w:color w:val="000000"/>
          <w:lang w:val="fr-FR"/>
        </w:rPr>
        <w:t>accès aux informations et services de santé et réduire la prévalence du VIH/</w:t>
      </w:r>
      <w:r w:rsidR="00940485">
        <w:rPr>
          <w:color w:val="000000"/>
          <w:lang w:val="fr-FR"/>
        </w:rPr>
        <w:t>SIDA</w:t>
      </w:r>
      <w:r w:rsidR="00B0068A" w:rsidRPr="005D6CD4">
        <w:rPr>
          <w:color w:val="000000"/>
          <w:lang w:val="fr-FR"/>
        </w:rPr>
        <w:t xml:space="preserve"> chez les femmes, y compris la charge des soins et la stigmatisation. </w:t>
      </w:r>
    </w:p>
    <w:p w:rsidR="00B0068A" w:rsidRPr="005D6CD4" w:rsidRDefault="002310F2" w:rsidP="008724C4">
      <w:pPr>
        <w:pStyle w:val="SingleTxt"/>
        <w:rPr>
          <w:lang w:val="fr-FR"/>
        </w:rPr>
      </w:pPr>
      <w:r>
        <w:rPr>
          <w:lang w:val="fr-FR"/>
        </w:rPr>
        <w:tab/>
      </w:r>
      <w:r w:rsidR="00B0068A" w:rsidRPr="005D6CD4">
        <w:rPr>
          <w:lang w:val="fr-FR"/>
        </w:rPr>
        <w:t>Le présent rapport met en vedette les contributions fructueuses des femmes et des organisations de défense des droits humains ainsi que des parties prenantes et plus particulièrement les part</w:t>
      </w:r>
      <w:r w:rsidR="00B0068A" w:rsidRPr="005D6CD4">
        <w:rPr>
          <w:lang w:val="fr-FR"/>
        </w:rPr>
        <w:t>e</w:t>
      </w:r>
      <w:r w:rsidR="00B0068A" w:rsidRPr="005D6CD4">
        <w:rPr>
          <w:lang w:val="fr-FR"/>
        </w:rPr>
        <w:t>naires de développement au suivi et à l</w:t>
      </w:r>
      <w:r w:rsidR="000A3D87">
        <w:rPr>
          <w:lang w:val="fr-FR"/>
        </w:rPr>
        <w:t>’</w:t>
      </w:r>
      <w:r w:rsidR="00B0068A" w:rsidRPr="005D6CD4">
        <w:rPr>
          <w:lang w:val="fr-FR"/>
        </w:rPr>
        <w:t xml:space="preserve">évaluation de la mise en œuvre de la Convention au </w:t>
      </w:r>
      <w:r w:rsidR="00B0068A">
        <w:rPr>
          <w:color w:val="000000"/>
          <w:lang w:val="fr-FR"/>
        </w:rPr>
        <w:t>N</w:t>
      </w:r>
      <w:r w:rsidR="00B0068A">
        <w:rPr>
          <w:color w:val="000000"/>
          <w:lang w:val="fr-FR"/>
        </w:rPr>
        <w:t>i</w:t>
      </w:r>
      <w:r w:rsidR="00B0068A">
        <w:rPr>
          <w:color w:val="000000"/>
          <w:lang w:val="fr-FR"/>
        </w:rPr>
        <w:t>géria</w:t>
      </w:r>
      <w:r w:rsidR="00B0068A" w:rsidRPr="005D6CD4">
        <w:rPr>
          <w:color w:val="000000"/>
          <w:lang w:val="fr-FR"/>
        </w:rPr>
        <w:t>. Il met aussi en évidence l</w:t>
      </w:r>
      <w:r w:rsidR="000A3D87">
        <w:rPr>
          <w:color w:val="000000"/>
          <w:lang w:val="fr-FR"/>
        </w:rPr>
        <w:t>’</w:t>
      </w:r>
      <w:r w:rsidR="00B0068A" w:rsidRPr="005D6CD4">
        <w:rPr>
          <w:color w:val="000000"/>
          <w:lang w:val="fr-FR"/>
        </w:rPr>
        <w:t>application des indicateurs fondés sur les sexes et des statist</w:t>
      </w:r>
      <w:r w:rsidR="00B0068A" w:rsidRPr="005D6CD4">
        <w:rPr>
          <w:color w:val="000000"/>
          <w:lang w:val="fr-FR"/>
        </w:rPr>
        <w:t>i</w:t>
      </w:r>
      <w:r w:rsidR="00B0068A" w:rsidRPr="005D6CD4">
        <w:rPr>
          <w:color w:val="000000"/>
          <w:lang w:val="fr-FR"/>
        </w:rPr>
        <w:t xml:space="preserve">ques ventilées par sexe pour mesurer les progrès, comme par exemple, dans la compilation et la révision des lois nationales, </w:t>
      </w:r>
      <w:r w:rsidR="00B0068A" w:rsidRPr="005D6CD4">
        <w:rPr>
          <w:lang w:val="fr-FR"/>
        </w:rPr>
        <w:t>religieuses et culturelles ainsi que les pratiques qui touchent part</w:t>
      </w:r>
      <w:r w:rsidR="00B0068A" w:rsidRPr="005D6CD4">
        <w:rPr>
          <w:lang w:val="fr-FR"/>
        </w:rPr>
        <w:t>i</w:t>
      </w:r>
      <w:r w:rsidR="00B0068A" w:rsidRPr="005D6CD4">
        <w:rPr>
          <w:lang w:val="fr-FR"/>
        </w:rPr>
        <w:t>culièrement les femmes et les filles.</w:t>
      </w:r>
    </w:p>
    <w:p w:rsidR="00B0068A" w:rsidRPr="005D6CD4" w:rsidRDefault="002310F2" w:rsidP="008724C4">
      <w:pPr>
        <w:pStyle w:val="SingleTxt"/>
        <w:rPr>
          <w:color w:val="000000"/>
          <w:lang w:val="fr-FR"/>
        </w:rPr>
      </w:pPr>
      <w:r>
        <w:rPr>
          <w:lang w:val="fr-FR"/>
        </w:rPr>
        <w:tab/>
      </w:r>
      <w:r w:rsidR="00B0068A" w:rsidRPr="005D6CD4">
        <w:rPr>
          <w:lang w:val="fr-FR"/>
        </w:rPr>
        <w:t>Des indications sont fournies sur les lacunes et les défis qui confrontent le pays dans son effort visant la mise en œuvre.</w:t>
      </w:r>
      <w:r w:rsidR="00B0068A" w:rsidRPr="005D6CD4">
        <w:rPr>
          <w:color w:val="000000"/>
          <w:lang w:val="fr-FR"/>
        </w:rPr>
        <w:t xml:space="preserve"> Les plus significatifs de ces lacunes et défis concernent les limitations des ressources financières et humaines pour la promotion de l</w:t>
      </w:r>
      <w:r w:rsidR="000A3D87">
        <w:rPr>
          <w:color w:val="000000"/>
          <w:lang w:val="fr-FR"/>
        </w:rPr>
        <w:t>’</w:t>
      </w:r>
      <w:r w:rsidR="00B0068A" w:rsidRPr="005D6CD4">
        <w:rPr>
          <w:color w:val="000000"/>
          <w:lang w:val="fr-FR"/>
        </w:rPr>
        <w:t>égalité des sexes, l</w:t>
      </w:r>
      <w:r w:rsidR="00B0068A">
        <w:rPr>
          <w:color w:val="000000"/>
          <w:lang w:val="fr-FR"/>
        </w:rPr>
        <w:t>a</w:t>
      </w:r>
      <w:r w:rsidR="00B0068A" w:rsidRPr="005D6CD4">
        <w:rPr>
          <w:color w:val="000000"/>
          <w:lang w:val="fr-FR"/>
        </w:rPr>
        <w:t xml:space="preserve"> faible part</w:t>
      </w:r>
      <w:r w:rsidR="00B0068A" w:rsidRPr="005D6CD4">
        <w:rPr>
          <w:color w:val="000000"/>
          <w:lang w:val="fr-FR"/>
        </w:rPr>
        <w:t>i</w:t>
      </w:r>
      <w:r w:rsidR="00B0068A" w:rsidRPr="005D6CD4">
        <w:rPr>
          <w:color w:val="000000"/>
          <w:lang w:val="fr-FR"/>
        </w:rPr>
        <w:t>cipation des femmes à la prise de décision aux différents niveaux et la prévalence persistante de la violence à l</w:t>
      </w:r>
      <w:r w:rsidR="000A3D87">
        <w:rPr>
          <w:color w:val="000000"/>
          <w:lang w:val="fr-FR"/>
        </w:rPr>
        <w:t>’</w:t>
      </w:r>
      <w:r w:rsidR="00B0068A" w:rsidRPr="005D6CD4">
        <w:rPr>
          <w:color w:val="000000"/>
          <w:lang w:val="fr-FR"/>
        </w:rPr>
        <w:t>égard des femmes fondée sur les croyances socioculturelles.</w:t>
      </w:r>
      <w:r w:rsidR="00B0068A">
        <w:rPr>
          <w:color w:val="000000"/>
          <w:lang w:val="fr-FR"/>
        </w:rPr>
        <w:t xml:space="preserve"> </w:t>
      </w:r>
    </w:p>
    <w:p w:rsidR="00B0068A" w:rsidRPr="005D6CD4" w:rsidRDefault="002310F2" w:rsidP="008724C4">
      <w:pPr>
        <w:pStyle w:val="SingleTxt"/>
        <w:rPr>
          <w:lang w:val="fr-FR"/>
        </w:rPr>
      </w:pPr>
      <w:r>
        <w:rPr>
          <w:lang w:val="fr-FR"/>
        </w:rPr>
        <w:tab/>
      </w:r>
      <w:r w:rsidR="00B0068A" w:rsidRPr="005D6CD4">
        <w:rPr>
          <w:lang w:val="fr-FR"/>
        </w:rPr>
        <w:t>J</w:t>
      </w:r>
      <w:r w:rsidR="000A3D87">
        <w:rPr>
          <w:lang w:val="fr-FR"/>
        </w:rPr>
        <w:t>’</w:t>
      </w:r>
      <w:r w:rsidR="00B0068A" w:rsidRPr="005D6CD4">
        <w:rPr>
          <w:lang w:val="fr-FR"/>
        </w:rPr>
        <w:t>ose espérer que les distingués membres du Comité d</w:t>
      </w:r>
      <w:r w:rsidR="000A3D87">
        <w:rPr>
          <w:lang w:val="fr-FR"/>
        </w:rPr>
        <w:t>’</w:t>
      </w:r>
      <w:r w:rsidR="00B0068A" w:rsidRPr="005D6CD4">
        <w:rPr>
          <w:lang w:val="fr-FR"/>
        </w:rPr>
        <w:t xml:space="preserve">experts de </w:t>
      </w:r>
      <w:r w:rsidR="00B0068A">
        <w:rPr>
          <w:lang w:val="fr-FR"/>
        </w:rPr>
        <w:t>la Convention</w:t>
      </w:r>
      <w:r w:rsidR="00B0068A" w:rsidRPr="005D6CD4">
        <w:rPr>
          <w:lang w:val="fr-FR"/>
        </w:rPr>
        <w:t xml:space="preserve"> apprécieront les progrès accomplis jusqu</w:t>
      </w:r>
      <w:r w:rsidR="000A3D87">
        <w:rPr>
          <w:lang w:val="fr-FR"/>
        </w:rPr>
        <w:t>’</w:t>
      </w:r>
      <w:r w:rsidR="00B0068A" w:rsidRPr="005D6CD4">
        <w:rPr>
          <w:lang w:val="fr-FR"/>
        </w:rPr>
        <w:t>ici, l</w:t>
      </w:r>
      <w:r w:rsidR="000A3D87">
        <w:rPr>
          <w:lang w:val="fr-FR"/>
        </w:rPr>
        <w:t>’</w:t>
      </w:r>
      <w:r w:rsidR="00B0068A" w:rsidRPr="005D6CD4">
        <w:rPr>
          <w:lang w:val="fr-FR"/>
        </w:rPr>
        <w:t>évolution positive enregistrée dans le présent rapport et a</w:t>
      </w:r>
      <w:r w:rsidR="00B0068A" w:rsidRPr="005D6CD4">
        <w:rPr>
          <w:lang w:val="fr-FR"/>
        </w:rPr>
        <w:t>p</w:t>
      </w:r>
      <w:r w:rsidR="00B0068A" w:rsidRPr="005D6CD4">
        <w:rPr>
          <w:lang w:val="fr-FR"/>
        </w:rPr>
        <w:t>puieront les efforts consentis par le</w:t>
      </w:r>
      <w:r w:rsidR="00B0068A">
        <w:rPr>
          <w:lang w:val="fr-FR"/>
        </w:rPr>
        <w:t xml:space="preserve"> Nigéria</w:t>
      </w:r>
      <w:r w:rsidR="00B0068A" w:rsidRPr="005D6CD4">
        <w:rPr>
          <w:lang w:val="fr-FR"/>
        </w:rPr>
        <w:t xml:space="preserve"> pour maintenir cette dynamique dans l</w:t>
      </w:r>
      <w:r w:rsidR="000A3D87">
        <w:rPr>
          <w:lang w:val="fr-FR"/>
        </w:rPr>
        <w:t>’</w:t>
      </w:r>
      <w:r w:rsidR="00B0068A" w:rsidRPr="005D6CD4">
        <w:rPr>
          <w:lang w:val="fr-FR"/>
        </w:rPr>
        <w:t>intérêt gén</w:t>
      </w:r>
      <w:r w:rsidR="00B0068A" w:rsidRPr="005D6CD4">
        <w:rPr>
          <w:lang w:val="fr-FR"/>
        </w:rPr>
        <w:t>é</w:t>
      </w:r>
      <w:r w:rsidR="00B0068A" w:rsidRPr="005D6CD4">
        <w:rPr>
          <w:lang w:val="fr-FR"/>
        </w:rPr>
        <w:t>ral des femmes nigérianes.</w:t>
      </w:r>
    </w:p>
    <w:p w:rsidR="00B0068A" w:rsidRPr="005D6CD4" w:rsidRDefault="00B0068A" w:rsidP="008724C4">
      <w:pPr>
        <w:pStyle w:val="SingleTxt"/>
        <w:rPr>
          <w:bCs/>
          <w:lang w:val="fr-FR"/>
        </w:rPr>
      </w:pPr>
      <w:r w:rsidRPr="005D6CD4">
        <w:rPr>
          <w:bCs/>
          <w:lang w:val="fr-FR"/>
        </w:rPr>
        <w:t>M</w:t>
      </w:r>
      <w:r w:rsidRPr="008724C4">
        <w:rPr>
          <w:bCs/>
          <w:vertAlign w:val="superscript"/>
          <w:lang w:val="fr-FR"/>
        </w:rPr>
        <w:t>me</w:t>
      </w:r>
      <w:r w:rsidR="000A3D87">
        <w:rPr>
          <w:bCs/>
          <w:vertAlign w:val="superscript"/>
          <w:lang w:val="fr-FR"/>
        </w:rPr>
        <w:t> </w:t>
      </w:r>
      <w:r w:rsidRPr="005D6CD4">
        <w:rPr>
          <w:bCs/>
          <w:lang w:val="fr-FR"/>
        </w:rPr>
        <w:t xml:space="preserve">Inna Maryam Ciroma </w:t>
      </w:r>
    </w:p>
    <w:p w:rsidR="00B0068A" w:rsidRPr="005D6CD4" w:rsidRDefault="00B0068A" w:rsidP="008724C4">
      <w:pPr>
        <w:pStyle w:val="SingleTxt"/>
        <w:rPr>
          <w:lang w:val="fr-FR"/>
        </w:rPr>
      </w:pPr>
      <w:r w:rsidRPr="005D6CD4">
        <w:rPr>
          <w:lang w:val="fr-FR"/>
        </w:rPr>
        <w:t>Ministre de la Condition de la femme</w:t>
      </w:r>
    </w:p>
    <w:p w:rsidR="00B0068A" w:rsidRPr="005D6CD4" w:rsidRDefault="00B0068A" w:rsidP="008724C4">
      <w:pPr>
        <w:pStyle w:val="SingleTxt"/>
        <w:rPr>
          <w:lang w:val="fr-FR"/>
        </w:rPr>
      </w:pPr>
      <w:r w:rsidRPr="005D6CD4">
        <w:rPr>
          <w:lang w:val="fr-FR"/>
        </w:rPr>
        <w:t xml:space="preserve">République fédérale du </w:t>
      </w:r>
      <w:r>
        <w:rPr>
          <w:lang w:val="fr-FR"/>
        </w:rPr>
        <w:t>Nigéria</w:t>
      </w:r>
      <w:r w:rsidRPr="005D6CD4">
        <w:rPr>
          <w:lang w:val="fr-FR"/>
        </w:rPr>
        <w:t>, Abuja</w:t>
      </w:r>
    </w:p>
    <w:p w:rsidR="00B0068A" w:rsidRPr="005D6CD4" w:rsidRDefault="00B0068A" w:rsidP="008724C4">
      <w:pPr>
        <w:pStyle w:val="SingleTxt"/>
        <w:rPr>
          <w:lang w:val="fr-FR"/>
        </w:rPr>
      </w:pPr>
      <w:r w:rsidRPr="005D6CD4">
        <w:rPr>
          <w:lang w:val="fr-FR"/>
        </w:rPr>
        <w:t>Juillet 2006</w:t>
      </w:r>
    </w:p>
    <w:p w:rsidR="00B0068A" w:rsidRDefault="002310F2" w:rsidP="002310F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br w:type="page"/>
      </w:r>
      <w:r>
        <w:rPr>
          <w:lang w:val="fr-FR"/>
        </w:rPr>
        <w:tab/>
      </w:r>
      <w:r>
        <w:rPr>
          <w:lang w:val="fr-FR"/>
        </w:rPr>
        <w:tab/>
      </w:r>
      <w:r w:rsidR="00B0068A" w:rsidRPr="005D6CD4">
        <w:rPr>
          <w:lang w:val="fr-FR"/>
        </w:rPr>
        <w:t>Remerciements</w:t>
      </w:r>
    </w:p>
    <w:p w:rsidR="002310F2" w:rsidRPr="002310F2" w:rsidRDefault="002310F2" w:rsidP="002310F2">
      <w:pPr>
        <w:pStyle w:val="SingleTxt"/>
        <w:spacing w:after="0" w:line="120" w:lineRule="exact"/>
        <w:rPr>
          <w:sz w:val="10"/>
          <w:lang w:val="fr-FR"/>
        </w:rPr>
      </w:pPr>
    </w:p>
    <w:p w:rsidR="002310F2" w:rsidRPr="002310F2" w:rsidRDefault="002310F2" w:rsidP="002310F2">
      <w:pPr>
        <w:pStyle w:val="SingleTxt"/>
        <w:spacing w:after="0" w:line="120" w:lineRule="exact"/>
        <w:rPr>
          <w:sz w:val="10"/>
          <w:lang w:val="fr-FR"/>
        </w:rPr>
      </w:pPr>
    </w:p>
    <w:p w:rsidR="00B0068A" w:rsidRPr="005D6CD4" w:rsidRDefault="002310F2" w:rsidP="002310F2">
      <w:pPr>
        <w:pStyle w:val="SingleTxt"/>
        <w:rPr>
          <w:lang w:val="fr-FR"/>
        </w:rPr>
      </w:pPr>
      <w:r>
        <w:rPr>
          <w:lang w:val="fr-FR"/>
        </w:rPr>
        <w:tab/>
      </w:r>
      <w:r w:rsidR="00B0068A" w:rsidRPr="005D6CD4">
        <w:rPr>
          <w:lang w:val="fr-FR"/>
        </w:rPr>
        <w:t>Le processus d</w:t>
      </w:r>
      <w:r w:rsidR="000A3D87">
        <w:rPr>
          <w:lang w:val="fr-FR"/>
        </w:rPr>
        <w:t>’</w:t>
      </w:r>
      <w:r w:rsidR="00B0068A" w:rsidRPr="005D6CD4">
        <w:rPr>
          <w:lang w:val="fr-FR"/>
        </w:rPr>
        <w:t xml:space="preserve">élaboration du Sixième rapport de pays de </w:t>
      </w:r>
      <w:r w:rsidR="00B0068A">
        <w:rPr>
          <w:lang w:val="fr-FR"/>
        </w:rPr>
        <w:t>la Convention</w:t>
      </w:r>
      <w:r w:rsidR="00B0068A" w:rsidRPr="005D6CD4">
        <w:rPr>
          <w:lang w:val="fr-FR"/>
        </w:rPr>
        <w:t xml:space="preserve"> a été une entreprise de longue haleine et complexe. Le </w:t>
      </w:r>
      <w:r w:rsidR="00B0068A">
        <w:rPr>
          <w:lang w:val="fr-FR"/>
        </w:rPr>
        <w:t>Nigéria</w:t>
      </w:r>
      <w:r w:rsidR="00B0068A" w:rsidRPr="005D6CD4">
        <w:rPr>
          <w:lang w:val="fr-FR"/>
        </w:rPr>
        <w:t xml:space="preserve"> est reconnaissant pour les commentaires et observ</w:t>
      </w:r>
      <w:r w:rsidR="00B0068A" w:rsidRPr="005D6CD4">
        <w:rPr>
          <w:lang w:val="fr-FR"/>
        </w:rPr>
        <w:t>a</w:t>
      </w:r>
      <w:r w:rsidR="00B0068A" w:rsidRPr="005D6CD4">
        <w:rPr>
          <w:lang w:val="fr-FR"/>
        </w:rPr>
        <w:t>tions formulés par le Comité d</w:t>
      </w:r>
      <w:r w:rsidR="000A3D87">
        <w:rPr>
          <w:lang w:val="fr-FR"/>
        </w:rPr>
        <w:t>’</w:t>
      </w:r>
      <w:r w:rsidR="00B0068A" w:rsidRPr="005D6CD4">
        <w:rPr>
          <w:lang w:val="fr-FR"/>
        </w:rPr>
        <w:t xml:space="preserve">experts de </w:t>
      </w:r>
      <w:r w:rsidR="00B0068A">
        <w:rPr>
          <w:lang w:val="fr-FR"/>
        </w:rPr>
        <w:t>la Convention</w:t>
      </w:r>
      <w:r w:rsidR="00B0068A" w:rsidRPr="005D6CD4">
        <w:rPr>
          <w:lang w:val="fr-FR"/>
        </w:rPr>
        <w:t>, qui ont servi de point de référence pour articuler les progrès enregistrés, et répondre aux préoccupations persistantes des acteurs et des parties prenantes concernés par les questions d</w:t>
      </w:r>
      <w:r w:rsidR="000A3D87">
        <w:rPr>
          <w:lang w:val="fr-FR"/>
        </w:rPr>
        <w:t>’</w:t>
      </w:r>
      <w:r w:rsidR="00B0068A" w:rsidRPr="005D6CD4">
        <w:rPr>
          <w:lang w:val="fr-FR"/>
        </w:rPr>
        <w:t>égalité des sexes.</w:t>
      </w:r>
    </w:p>
    <w:p w:rsidR="00B0068A" w:rsidRPr="005D6CD4" w:rsidRDefault="002310F2" w:rsidP="002310F2">
      <w:pPr>
        <w:pStyle w:val="SingleTxt"/>
        <w:rPr>
          <w:lang w:val="fr-FR"/>
        </w:rPr>
      </w:pPr>
      <w:r>
        <w:rPr>
          <w:lang w:val="fr-FR"/>
        </w:rPr>
        <w:tab/>
      </w:r>
      <w:r w:rsidR="00B0068A" w:rsidRPr="005D6CD4">
        <w:rPr>
          <w:lang w:val="fr-FR"/>
        </w:rPr>
        <w:t>Le ministère fédéral de la Condition de la femme reconnaît avec gratitude la collaboration co</w:t>
      </w:r>
      <w:r w:rsidR="00B0068A" w:rsidRPr="005D6CD4">
        <w:rPr>
          <w:lang w:val="fr-FR"/>
        </w:rPr>
        <w:t>r</w:t>
      </w:r>
      <w:r w:rsidR="00B0068A" w:rsidRPr="005D6CD4">
        <w:rPr>
          <w:lang w:val="fr-FR"/>
        </w:rPr>
        <w:t>diale dont il a bénéficié de la part des ministères et des organismes publics au niveau fédéral et des États, des collectivités locales, des organisations de la société civile, notamment les gro</w:t>
      </w:r>
      <w:r w:rsidR="00B0068A" w:rsidRPr="005D6CD4">
        <w:rPr>
          <w:lang w:val="fr-FR"/>
        </w:rPr>
        <w:t>u</w:t>
      </w:r>
      <w:r w:rsidR="00B0068A" w:rsidRPr="005D6CD4">
        <w:rPr>
          <w:lang w:val="fr-FR"/>
        </w:rPr>
        <w:t>pes de femmes et de défense des droits humains, des organisations de proximité, des associ</w:t>
      </w:r>
      <w:r w:rsidR="00B0068A" w:rsidRPr="005D6CD4">
        <w:rPr>
          <w:lang w:val="fr-FR"/>
        </w:rPr>
        <w:t>a</w:t>
      </w:r>
      <w:r w:rsidR="00B0068A" w:rsidRPr="005D6CD4">
        <w:rPr>
          <w:lang w:val="fr-FR"/>
        </w:rPr>
        <w:t xml:space="preserve">tions locales des femmes, des milieux universitaires et des partenaires de développement. Nous espérons que cette collaboration grandissante va durer dans le temps et faciliter la réalisation des buts et objectifs de </w:t>
      </w:r>
      <w:r w:rsidR="00B0068A">
        <w:rPr>
          <w:lang w:val="fr-FR"/>
        </w:rPr>
        <w:t>la Convention</w:t>
      </w:r>
      <w:r w:rsidR="00B0068A" w:rsidRPr="005D6CD4">
        <w:rPr>
          <w:lang w:val="fr-FR"/>
        </w:rPr>
        <w:t>.</w:t>
      </w:r>
    </w:p>
    <w:p w:rsidR="00B0068A" w:rsidRPr="005D6CD4" w:rsidRDefault="002310F2" w:rsidP="002310F2">
      <w:pPr>
        <w:pStyle w:val="SingleTxt"/>
        <w:rPr>
          <w:lang w:val="fr-FR"/>
        </w:rPr>
      </w:pPr>
      <w:r>
        <w:rPr>
          <w:lang w:val="fr-FR"/>
        </w:rPr>
        <w:tab/>
      </w:r>
      <w:r w:rsidR="00B0068A" w:rsidRPr="005D6CD4">
        <w:rPr>
          <w:lang w:val="fr-FR"/>
        </w:rPr>
        <w:t>Le Gouvernement est aussi reconnaissant des efforts déployés par l</w:t>
      </w:r>
      <w:r w:rsidR="00B0068A">
        <w:rPr>
          <w:lang w:val="fr-FR"/>
        </w:rPr>
        <w:t xml:space="preserve">es diverses </w:t>
      </w:r>
      <w:r w:rsidR="00B0068A" w:rsidRPr="005D6CD4">
        <w:rPr>
          <w:lang w:val="fr-FR"/>
        </w:rPr>
        <w:t>personnes re</w:t>
      </w:r>
      <w:r w:rsidR="00B0068A" w:rsidRPr="005D6CD4">
        <w:rPr>
          <w:lang w:val="fr-FR"/>
        </w:rPr>
        <w:t>s</w:t>
      </w:r>
      <w:r w:rsidR="00B0068A" w:rsidRPr="005D6CD4">
        <w:rPr>
          <w:lang w:val="fr-FR"/>
        </w:rPr>
        <w:t xml:space="preserve">sources qui ont appuyé le processus du début à la fin. Nous espérons bien continuer de compter sur le large éventail de personnes qui ont contribué au présent rapport dans le cadre de la mise en œuvre et du suivi permanents au </w:t>
      </w:r>
      <w:r w:rsidR="00B0068A">
        <w:rPr>
          <w:lang w:val="fr-FR"/>
        </w:rPr>
        <w:t>Nigéria</w:t>
      </w:r>
      <w:r w:rsidR="00B0068A" w:rsidRPr="005D6CD4">
        <w:rPr>
          <w:lang w:val="fr-FR"/>
        </w:rPr>
        <w:t xml:space="preserve"> de </w:t>
      </w:r>
      <w:r w:rsidR="00B0068A">
        <w:rPr>
          <w:lang w:val="fr-FR"/>
        </w:rPr>
        <w:t>la Convention</w:t>
      </w:r>
      <w:r w:rsidR="00B0068A" w:rsidRPr="005D6CD4">
        <w:rPr>
          <w:lang w:val="fr-FR"/>
        </w:rPr>
        <w:t xml:space="preserve"> et des protocoles y afférents.</w:t>
      </w:r>
    </w:p>
    <w:p w:rsidR="00B0068A" w:rsidRPr="005D6CD4" w:rsidRDefault="002310F2" w:rsidP="002310F2">
      <w:pPr>
        <w:pStyle w:val="SingleTxt"/>
        <w:rPr>
          <w:lang w:val="fr-FR"/>
        </w:rPr>
      </w:pPr>
      <w:r>
        <w:rPr>
          <w:lang w:val="fr-FR"/>
        </w:rPr>
        <w:tab/>
      </w:r>
      <w:r w:rsidR="00B0068A" w:rsidRPr="005D6CD4">
        <w:rPr>
          <w:lang w:val="fr-FR"/>
        </w:rPr>
        <w:t xml:space="preserve">En conclusion, le Ministère exprime sa gratitude au Bureau des Objectifs du Millénaire pour le développement au </w:t>
      </w:r>
      <w:r w:rsidR="00B0068A">
        <w:rPr>
          <w:lang w:val="fr-FR"/>
        </w:rPr>
        <w:t>Nigéria</w:t>
      </w:r>
      <w:r w:rsidR="00B0068A" w:rsidRPr="005D6CD4">
        <w:rPr>
          <w:lang w:val="fr-FR"/>
        </w:rPr>
        <w:t xml:space="preserve"> pour sa contribution technique et financière à l</w:t>
      </w:r>
      <w:r w:rsidR="000A3D87">
        <w:rPr>
          <w:lang w:val="fr-FR"/>
        </w:rPr>
        <w:t>’</w:t>
      </w:r>
      <w:r w:rsidR="00B0068A" w:rsidRPr="005D6CD4">
        <w:rPr>
          <w:lang w:val="fr-FR"/>
        </w:rPr>
        <w:t>élaboration du pr</w:t>
      </w:r>
      <w:r w:rsidR="00B0068A" w:rsidRPr="005D6CD4">
        <w:rPr>
          <w:lang w:val="fr-FR"/>
        </w:rPr>
        <w:t>é</w:t>
      </w:r>
      <w:r w:rsidR="00B0068A" w:rsidRPr="005D6CD4">
        <w:rPr>
          <w:lang w:val="fr-FR"/>
        </w:rPr>
        <w:t>sent rapport en temps opportun.</w:t>
      </w:r>
    </w:p>
    <w:p w:rsidR="00B0068A" w:rsidRPr="002310F2" w:rsidRDefault="00B0068A" w:rsidP="002310F2">
      <w:pPr>
        <w:pStyle w:val="SingleTxt"/>
        <w:rPr>
          <w:lang w:val="fr-FR"/>
        </w:rPr>
      </w:pPr>
      <w:r w:rsidRPr="002310F2">
        <w:rPr>
          <w:lang w:val="fr-FR"/>
        </w:rPr>
        <w:t>M</w:t>
      </w:r>
      <w:r w:rsidRPr="002310F2">
        <w:rPr>
          <w:vertAlign w:val="superscript"/>
          <w:lang w:val="fr-FR"/>
        </w:rPr>
        <w:t>me</w:t>
      </w:r>
      <w:r w:rsidR="000A3D87">
        <w:rPr>
          <w:vertAlign w:val="superscript"/>
          <w:lang w:val="fr-FR"/>
        </w:rPr>
        <w:t> </w:t>
      </w:r>
      <w:r w:rsidRPr="002310F2">
        <w:rPr>
          <w:lang w:val="fr-FR"/>
        </w:rPr>
        <w:t>Safiya Mohammad</w:t>
      </w:r>
    </w:p>
    <w:p w:rsidR="00B0068A" w:rsidRPr="002310F2" w:rsidRDefault="00B0068A" w:rsidP="002310F2">
      <w:pPr>
        <w:pStyle w:val="SingleTxt"/>
        <w:rPr>
          <w:lang w:val="fr-FR"/>
        </w:rPr>
      </w:pPr>
      <w:r w:rsidRPr="002310F2">
        <w:rPr>
          <w:lang w:val="fr-FR"/>
        </w:rPr>
        <w:t>Secrétaire générale</w:t>
      </w:r>
    </w:p>
    <w:p w:rsidR="00B0068A" w:rsidRPr="002310F2" w:rsidRDefault="00B0068A" w:rsidP="002310F2">
      <w:pPr>
        <w:pStyle w:val="SingleTxt"/>
        <w:rPr>
          <w:lang w:val="fr-FR"/>
        </w:rPr>
      </w:pPr>
      <w:r w:rsidRPr="002310F2">
        <w:rPr>
          <w:lang w:val="fr-FR"/>
        </w:rPr>
        <w:t>Ministère fédéral de la Condition de la femme</w:t>
      </w:r>
    </w:p>
    <w:p w:rsidR="00B0068A" w:rsidRPr="005D6CD4" w:rsidRDefault="00B0068A" w:rsidP="002310F2">
      <w:pPr>
        <w:pStyle w:val="SingleTxt"/>
        <w:rPr>
          <w:b/>
          <w:lang w:val="fr-FR"/>
        </w:rPr>
      </w:pPr>
      <w:r w:rsidRPr="002310F2">
        <w:rPr>
          <w:lang w:val="fr-FR"/>
        </w:rPr>
        <w:t>Abuja, Nigéria</w:t>
      </w:r>
    </w:p>
    <w:p w:rsidR="00B0068A" w:rsidRDefault="00B0068A" w:rsidP="002310F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D6CD4">
        <w:rPr>
          <w:lang w:val="fr-FR"/>
        </w:rPr>
        <w:br w:type="page"/>
      </w:r>
      <w:r w:rsidR="002310F2">
        <w:rPr>
          <w:lang w:val="fr-FR"/>
        </w:rPr>
        <w:tab/>
      </w:r>
      <w:r w:rsidR="002310F2">
        <w:rPr>
          <w:lang w:val="fr-FR"/>
        </w:rPr>
        <w:tab/>
      </w:r>
      <w:r w:rsidRPr="005D6CD4">
        <w:rPr>
          <w:lang w:val="fr-FR"/>
        </w:rPr>
        <w:t>Résumé analytique</w:t>
      </w:r>
    </w:p>
    <w:p w:rsidR="002310F2" w:rsidRPr="002310F2" w:rsidRDefault="002310F2" w:rsidP="002310F2">
      <w:pPr>
        <w:pStyle w:val="SingleTxt"/>
        <w:spacing w:after="0" w:line="120" w:lineRule="exact"/>
        <w:rPr>
          <w:sz w:val="10"/>
          <w:lang w:val="fr-FR"/>
        </w:rPr>
      </w:pPr>
    </w:p>
    <w:p w:rsidR="002310F2" w:rsidRPr="002310F2" w:rsidRDefault="002310F2" w:rsidP="002310F2">
      <w:pPr>
        <w:pStyle w:val="SingleTxt"/>
        <w:spacing w:after="0" w:line="120" w:lineRule="exact"/>
        <w:rPr>
          <w:sz w:val="10"/>
          <w:lang w:val="fr-FR"/>
        </w:rPr>
      </w:pPr>
    </w:p>
    <w:p w:rsidR="00B0068A" w:rsidRPr="005D6CD4" w:rsidRDefault="002310F2" w:rsidP="002310F2">
      <w:pPr>
        <w:pStyle w:val="SingleTxt"/>
        <w:rPr>
          <w:lang w:val="fr-FR"/>
        </w:rPr>
      </w:pPr>
      <w:r>
        <w:rPr>
          <w:lang w:val="fr-FR"/>
        </w:rPr>
        <w:tab/>
      </w:r>
      <w:r w:rsidR="00B0068A" w:rsidRPr="005D6CD4">
        <w:rPr>
          <w:lang w:val="fr-FR"/>
        </w:rPr>
        <w:t>En élaborant le sixième rapport périodique de pays, les questions examinées ont été présentées en trois parties,</w:t>
      </w:r>
    </w:p>
    <w:p w:rsidR="00B0068A" w:rsidRPr="005D6CD4" w:rsidRDefault="00B0068A" w:rsidP="00AC2642">
      <w:pPr>
        <w:pStyle w:val="SingleTxt"/>
        <w:numPr>
          <w:ilvl w:val="2"/>
          <w:numId w:val="1"/>
        </w:numPr>
        <w:ind w:hanging="1717"/>
        <w:rPr>
          <w:lang w:val="fr-FR"/>
        </w:rPr>
      </w:pPr>
      <w:r w:rsidRPr="005D6CD4">
        <w:rPr>
          <w:lang w:val="fr-FR"/>
        </w:rPr>
        <w:t xml:space="preserve">Partie I : Introduction </w:t>
      </w:r>
    </w:p>
    <w:p w:rsidR="00B0068A" w:rsidRPr="005D6CD4" w:rsidRDefault="00B0068A" w:rsidP="00AC2642">
      <w:pPr>
        <w:pStyle w:val="SingleTxt"/>
        <w:numPr>
          <w:ilvl w:val="2"/>
          <w:numId w:val="1"/>
        </w:numPr>
        <w:ind w:hanging="1717"/>
        <w:rPr>
          <w:lang w:val="fr-FR"/>
        </w:rPr>
      </w:pPr>
      <w:r w:rsidRPr="005D6CD4">
        <w:rPr>
          <w:lang w:val="fr-FR"/>
        </w:rPr>
        <w:t>Partie II : État d</w:t>
      </w:r>
      <w:r w:rsidR="000A3D87">
        <w:rPr>
          <w:lang w:val="fr-FR"/>
        </w:rPr>
        <w:t>’</w:t>
      </w:r>
      <w:r w:rsidRPr="005D6CD4">
        <w:rPr>
          <w:lang w:val="fr-FR"/>
        </w:rPr>
        <w:t xml:space="preserve">avancement de la mise en œuvre de </w:t>
      </w:r>
      <w:r>
        <w:rPr>
          <w:lang w:val="fr-FR"/>
        </w:rPr>
        <w:t>la Convention</w:t>
      </w:r>
      <w:r w:rsidRPr="005D6CD4">
        <w:rPr>
          <w:lang w:val="fr-FR"/>
        </w:rPr>
        <w:t xml:space="preserve"> et</w:t>
      </w:r>
    </w:p>
    <w:p w:rsidR="00B0068A" w:rsidRPr="005D6CD4" w:rsidRDefault="00B0068A" w:rsidP="00AC2642">
      <w:pPr>
        <w:pStyle w:val="SingleTxt"/>
        <w:numPr>
          <w:ilvl w:val="2"/>
          <w:numId w:val="1"/>
        </w:numPr>
        <w:ind w:hanging="1717"/>
        <w:rPr>
          <w:lang w:val="fr-FR"/>
        </w:rPr>
      </w:pPr>
      <w:r w:rsidRPr="005D6CD4">
        <w:rPr>
          <w:lang w:val="fr-FR"/>
        </w:rPr>
        <w:t>Partie III : Conclusion</w:t>
      </w:r>
    </w:p>
    <w:p w:rsidR="00B0068A" w:rsidRPr="005D6CD4" w:rsidRDefault="002310F2" w:rsidP="002310F2">
      <w:pPr>
        <w:pStyle w:val="SingleTxt"/>
        <w:rPr>
          <w:color w:val="FF0000"/>
          <w:lang w:val="fr-FR"/>
        </w:rPr>
      </w:pPr>
      <w:r>
        <w:rPr>
          <w:lang w:val="fr-FR"/>
        </w:rPr>
        <w:tab/>
      </w:r>
      <w:r w:rsidR="00B0068A" w:rsidRPr="005D6CD4">
        <w:rPr>
          <w:lang w:val="fr-FR"/>
        </w:rPr>
        <w:t>Les observations et les commentaires formulés par le Comité au sujet du quatrième-cinquième rapport de pays ont retenu toute l</w:t>
      </w:r>
      <w:r w:rsidR="000A3D87">
        <w:rPr>
          <w:lang w:val="fr-FR"/>
        </w:rPr>
        <w:t>’</w:t>
      </w:r>
      <w:r w:rsidR="00B0068A" w:rsidRPr="005D6CD4">
        <w:rPr>
          <w:lang w:val="fr-FR"/>
        </w:rPr>
        <w:t xml:space="preserve">attention. Le rapport met en évidence les mesures adoptées par le Gouvernement du </w:t>
      </w:r>
      <w:r w:rsidR="00B0068A">
        <w:rPr>
          <w:lang w:val="fr-FR"/>
        </w:rPr>
        <w:t>Nigéria</w:t>
      </w:r>
      <w:r w:rsidR="00B0068A" w:rsidRPr="005D6CD4">
        <w:rPr>
          <w:lang w:val="fr-FR"/>
        </w:rPr>
        <w:t xml:space="preserve">, la société civile (les femmes et </w:t>
      </w:r>
      <w:r w:rsidR="00B0068A">
        <w:rPr>
          <w:lang w:val="fr-FR"/>
        </w:rPr>
        <w:t xml:space="preserve">les </w:t>
      </w:r>
      <w:r w:rsidR="00B0068A" w:rsidRPr="005D6CD4">
        <w:rPr>
          <w:lang w:val="fr-FR"/>
        </w:rPr>
        <w:t>groupes de défense des droits humains en particulier), et les partenaires de développement qui ont contribué notabl</w:t>
      </w:r>
      <w:r w:rsidR="00B0068A" w:rsidRPr="005D6CD4">
        <w:rPr>
          <w:lang w:val="fr-FR"/>
        </w:rPr>
        <w:t>e</w:t>
      </w:r>
      <w:r w:rsidR="00B0068A" w:rsidRPr="005D6CD4">
        <w:rPr>
          <w:lang w:val="fr-FR"/>
        </w:rPr>
        <w:t>ment aux progrès enregistrés depuis 2002. Il présente les priorités identifiées aux fins d</w:t>
      </w:r>
      <w:r w:rsidR="000A3D87">
        <w:rPr>
          <w:lang w:val="fr-FR"/>
        </w:rPr>
        <w:t>’</w:t>
      </w:r>
      <w:r w:rsidR="00B0068A" w:rsidRPr="005D6CD4">
        <w:rPr>
          <w:lang w:val="fr-FR"/>
        </w:rPr>
        <w:t>action, ainsi que les défis inhérents aux processus d</w:t>
      </w:r>
      <w:r w:rsidR="000A3D87">
        <w:rPr>
          <w:lang w:val="fr-FR"/>
        </w:rPr>
        <w:t>’</w:t>
      </w:r>
      <w:r w:rsidR="00B0068A">
        <w:rPr>
          <w:lang w:val="fr-FR"/>
        </w:rPr>
        <w:t xml:space="preserve">intégration </w:t>
      </w:r>
      <w:r w:rsidR="00B0068A" w:rsidRPr="005D6CD4">
        <w:rPr>
          <w:lang w:val="fr-FR"/>
        </w:rPr>
        <w:t>et de mise en œuvre.</w:t>
      </w:r>
    </w:p>
    <w:p w:rsidR="00B0068A" w:rsidRPr="005D6CD4" w:rsidRDefault="002310F2" w:rsidP="002310F2">
      <w:pPr>
        <w:pStyle w:val="SingleTxt"/>
        <w:rPr>
          <w:lang w:val="fr-FR"/>
        </w:rPr>
      </w:pPr>
      <w:r>
        <w:rPr>
          <w:lang w:val="fr-FR"/>
        </w:rPr>
        <w:tab/>
      </w:r>
      <w:r w:rsidR="00B0068A" w:rsidRPr="005D6CD4">
        <w:rPr>
          <w:lang w:val="fr-FR"/>
        </w:rPr>
        <w:t>Le rapport présente les stratégies adoptées pour prendre systématiquement en compte les que</w:t>
      </w:r>
      <w:r w:rsidR="00B0068A" w:rsidRPr="005D6CD4">
        <w:rPr>
          <w:lang w:val="fr-FR"/>
        </w:rPr>
        <w:t>s</w:t>
      </w:r>
      <w:r w:rsidR="00B0068A" w:rsidRPr="005D6CD4">
        <w:rPr>
          <w:lang w:val="fr-FR"/>
        </w:rPr>
        <w:t>tions d</w:t>
      </w:r>
      <w:r w:rsidR="000A3D87">
        <w:rPr>
          <w:lang w:val="fr-FR"/>
        </w:rPr>
        <w:t>’</w:t>
      </w:r>
      <w:r w:rsidR="00B0068A" w:rsidRPr="005D6CD4">
        <w:rPr>
          <w:lang w:val="fr-FR"/>
        </w:rPr>
        <w:t>égalité des</w:t>
      </w:r>
      <w:r w:rsidR="00B0068A">
        <w:rPr>
          <w:lang w:val="fr-FR"/>
        </w:rPr>
        <w:t xml:space="preserve"> </w:t>
      </w:r>
      <w:r w:rsidR="00B0068A" w:rsidRPr="005D6CD4">
        <w:rPr>
          <w:lang w:val="fr-FR"/>
        </w:rPr>
        <w:t>sexes dans les processus nationaux de réforme en cours à travers le pays. Les actions d</w:t>
      </w:r>
      <w:r w:rsidR="000A3D87">
        <w:rPr>
          <w:lang w:val="fr-FR"/>
        </w:rPr>
        <w:t>’</w:t>
      </w:r>
      <w:r w:rsidR="00B0068A" w:rsidRPr="005D6CD4">
        <w:rPr>
          <w:lang w:val="fr-FR"/>
        </w:rPr>
        <w:t>intégration des questions d</w:t>
      </w:r>
      <w:r w:rsidR="000A3D87">
        <w:rPr>
          <w:lang w:val="fr-FR"/>
        </w:rPr>
        <w:t>’</w:t>
      </w:r>
      <w:r w:rsidR="00B0068A" w:rsidRPr="005D6CD4">
        <w:rPr>
          <w:lang w:val="fr-FR"/>
        </w:rPr>
        <w:t>égalité des sexes aux plans des États et de la nation ont été mises en relief dans les domaines politiques, économiques et socioculturels. L</w:t>
      </w:r>
      <w:r w:rsidR="000A3D87">
        <w:rPr>
          <w:lang w:val="fr-FR"/>
        </w:rPr>
        <w:t>’</w:t>
      </w:r>
      <w:r w:rsidR="00B0068A" w:rsidRPr="005D6CD4">
        <w:rPr>
          <w:lang w:val="fr-FR"/>
        </w:rPr>
        <w:t>évaluation de l</w:t>
      </w:r>
      <w:r w:rsidR="000A3D87">
        <w:rPr>
          <w:lang w:val="fr-FR"/>
        </w:rPr>
        <w:t>’</w:t>
      </w:r>
      <w:r w:rsidR="00B0068A" w:rsidRPr="005D6CD4">
        <w:rPr>
          <w:lang w:val="fr-FR"/>
        </w:rPr>
        <w:t>efficacité de ces plans reposait sur l</w:t>
      </w:r>
      <w:r w:rsidR="000A3D87">
        <w:rPr>
          <w:lang w:val="fr-FR"/>
        </w:rPr>
        <w:t>’</w:t>
      </w:r>
      <w:r w:rsidR="00B0068A" w:rsidRPr="005D6CD4">
        <w:rPr>
          <w:lang w:val="fr-FR"/>
        </w:rPr>
        <w:t>indice de changement critique enregistré pour la justice sociale et l</w:t>
      </w:r>
      <w:r w:rsidR="000A3D87">
        <w:rPr>
          <w:lang w:val="fr-FR"/>
        </w:rPr>
        <w:t>’</w:t>
      </w:r>
      <w:r w:rsidR="00B0068A" w:rsidRPr="005D6CD4">
        <w:rPr>
          <w:lang w:val="fr-FR"/>
        </w:rPr>
        <w:t xml:space="preserve">égalité pour toutes les femmes et tous les hommes. </w:t>
      </w:r>
    </w:p>
    <w:p w:rsidR="00B0068A" w:rsidRPr="005D6CD4" w:rsidRDefault="002310F2" w:rsidP="002310F2">
      <w:pPr>
        <w:pStyle w:val="SingleTxt"/>
        <w:rPr>
          <w:lang w:val="fr-FR"/>
        </w:rPr>
      </w:pPr>
      <w:r>
        <w:rPr>
          <w:lang w:val="fr-FR"/>
        </w:rPr>
        <w:tab/>
      </w:r>
      <w:r w:rsidR="00B0068A" w:rsidRPr="005D6CD4">
        <w:rPr>
          <w:lang w:val="fr-FR"/>
        </w:rPr>
        <w:t>Au cours de la période sous revue, la question de l</w:t>
      </w:r>
      <w:r w:rsidR="000A3D87">
        <w:rPr>
          <w:lang w:val="fr-FR"/>
        </w:rPr>
        <w:t>’</w:t>
      </w:r>
      <w:r w:rsidR="00B0068A" w:rsidRPr="005D6CD4">
        <w:rPr>
          <w:lang w:val="fr-FR"/>
        </w:rPr>
        <w:t>égalité des sexes a revêtu plus d</w:t>
      </w:r>
      <w:r w:rsidR="000A3D87">
        <w:rPr>
          <w:lang w:val="fr-FR"/>
        </w:rPr>
        <w:t>’</w:t>
      </w:r>
      <w:r w:rsidR="00B0068A" w:rsidRPr="005D6CD4">
        <w:rPr>
          <w:lang w:val="fr-FR"/>
        </w:rPr>
        <w:t xml:space="preserve">importance dans la programmation du développement au </w:t>
      </w:r>
      <w:r w:rsidR="00B0068A">
        <w:rPr>
          <w:lang w:val="fr-FR"/>
        </w:rPr>
        <w:t>Nigéria</w:t>
      </w:r>
      <w:r w:rsidR="00B0068A" w:rsidRPr="005D6CD4">
        <w:rPr>
          <w:lang w:val="fr-FR"/>
        </w:rPr>
        <w:t>, se traduisant par un engagement concret aux hauts niveaux des organes de prise de décision de l</w:t>
      </w:r>
      <w:r w:rsidR="000A3D87">
        <w:rPr>
          <w:lang w:val="fr-FR"/>
        </w:rPr>
        <w:t>’</w:t>
      </w:r>
      <w:r w:rsidR="00B0068A" w:rsidRPr="005D6CD4">
        <w:rPr>
          <w:lang w:val="fr-FR"/>
        </w:rPr>
        <w:t>administration et au sein des organi</w:t>
      </w:r>
      <w:r w:rsidR="00B0068A" w:rsidRPr="005D6CD4">
        <w:rPr>
          <w:lang w:val="fr-FR"/>
        </w:rPr>
        <w:t>s</w:t>
      </w:r>
      <w:r w:rsidR="00B0068A" w:rsidRPr="005D6CD4">
        <w:rPr>
          <w:lang w:val="fr-FR"/>
        </w:rPr>
        <w:t>mes de développement. La réussite des mesures de prise en compte systématique du souci de l</w:t>
      </w:r>
      <w:r w:rsidR="000A3D87">
        <w:rPr>
          <w:lang w:val="fr-FR"/>
        </w:rPr>
        <w:t>’</w:t>
      </w:r>
      <w:r w:rsidR="00B0068A" w:rsidRPr="005D6CD4">
        <w:rPr>
          <w:lang w:val="fr-FR"/>
        </w:rPr>
        <w:t xml:space="preserve">égalité des sexes au </w:t>
      </w:r>
      <w:r w:rsidR="00B0068A">
        <w:rPr>
          <w:lang w:val="fr-FR"/>
        </w:rPr>
        <w:t>Nigéria</w:t>
      </w:r>
      <w:r w:rsidR="00B0068A" w:rsidRPr="005D6CD4">
        <w:rPr>
          <w:lang w:val="fr-FR"/>
        </w:rPr>
        <w:t xml:space="preserve"> repose sur un partenariat élargi dans lequel l</w:t>
      </w:r>
      <w:r w:rsidR="000A3D87">
        <w:rPr>
          <w:lang w:val="fr-FR"/>
        </w:rPr>
        <w:t>’</w:t>
      </w:r>
      <w:r w:rsidR="00B0068A" w:rsidRPr="005D6CD4">
        <w:rPr>
          <w:lang w:val="fr-FR"/>
        </w:rPr>
        <w:t>administration du pays intervient en coopération avec d</w:t>
      </w:r>
      <w:r w:rsidR="000A3D87">
        <w:rPr>
          <w:lang w:val="fr-FR"/>
        </w:rPr>
        <w:t>’</w:t>
      </w:r>
      <w:r w:rsidR="00B0068A" w:rsidRPr="005D6CD4">
        <w:rPr>
          <w:lang w:val="fr-FR"/>
        </w:rPr>
        <w:t xml:space="preserve">autres parties prenantes clés, notamment la société civile et le secteur privé. </w:t>
      </w:r>
    </w:p>
    <w:p w:rsidR="00B0068A" w:rsidRPr="005D6CD4" w:rsidRDefault="002310F2" w:rsidP="002310F2">
      <w:pPr>
        <w:pStyle w:val="SingleTxt"/>
        <w:rPr>
          <w:lang w:val="fr-FR"/>
        </w:rPr>
      </w:pPr>
      <w:r>
        <w:rPr>
          <w:lang w:val="fr-FR"/>
        </w:rPr>
        <w:tab/>
      </w:r>
      <w:r w:rsidR="00B0068A" w:rsidRPr="005D6CD4">
        <w:rPr>
          <w:lang w:val="fr-FR"/>
        </w:rPr>
        <w:t>La formulation d</w:t>
      </w:r>
      <w:r w:rsidR="000A3D87">
        <w:rPr>
          <w:lang w:val="fr-FR"/>
        </w:rPr>
        <w:t>’</w:t>
      </w:r>
      <w:r w:rsidR="00B0068A" w:rsidRPr="005D6CD4">
        <w:rPr>
          <w:lang w:val="fr-FR"/>
        </w:rPr>
        <w:t>une politique relative aux questions d</w:t>
      </w:r>
      <w:r w:rsidR="000A3D87">
        <w:rPr>
          <w:lang w:val="fr-FR"/>
        </w:rPr>
        <w:t>’</w:t>
      </w:r>
      <w:r w:rsidR="00B0068A" w:rsidRPr="005D6CD4">
        <w:rPr>
          <w:lang w:val="fr-FR"/>
        </w:rPr>
        <w:t>égalité des sexes en tant qu</w:t>
      </w:r>
      <w:r w:rsidR="000A3D87">
        <w:rPr>
          <w:lang w:val="fr-FR"/>
        </w:rPr>
        <w:t>’</w:t>
      </w:r>
      <w:r w:rsidR="00B0068A" w:rsidRPr="005D6CD4">
        <w:rPr>
          <w:lang w:val="fr-FR"/>
        </w:rPr>
        <w:t>outil pour la prise en compte systématique de ces questions représente l</w:t>
      </w:r>
      <w:r w:rsidR="000A3D87">
        <w:rPr>
          <w:lang w:val="fr-FR"/>
        </w:rPr>
        <w:t>’</w:t>
      </w:r>
      <w:r w:rsidR="00B0068A" w:rsidRPr="005D6CD4">
        <w:rPr>
          <w:lang w:val="fr-FR"/>
        </w:rPr>
        <w:t>une des stratégies concrètes à l</w:t>
      </w:r>
      <w:r w:rsidR="00B0068A" w:rsidRPr="005D6CD4">
        <w:rPr>
          <w:lang w:val="fr-FR"/>
        </w:rPr>
        <w:t>a</w:t>
      </w:r>
      <w:r w:rsidR="00B0068A" w:rsidRPr="005D6CD4">
        <w:rPr>
          <w:lang w:val="fr-FR"/>
        </w:rPr>
        <w:t xml:space="preserve">quelle le </w:t>
      </w:r>
      <w:r w:rsidR="00B0068A">
        <w:rPr>
          <w:lang w:val="fr-FR"/>
        </w:rPr>
        <w:t>Nigéria</w:t>
      </w:r>
      <w:r w:rsidR="00B0068A" w:rsidRPr="005D6CD4">
        <w:rPr>
          <w:lang w:val="fr-FR"/>
        </w:rPr>
        <w:t xml:space="preserve"> a recours pour réaliser les OMD qui, par extension, recouvrent les principes de </w:t>
      </w:r>
      <w:r w:rsidR="00B0068A">
        <w:rPr>
          <w:lang w:val="fr-FR"/>
        </w:rPr>
        <w:t>la Convention</w:t>
      </w:r>
      <w:r w:rsidR="00B0068A" w:rsidRPr="005D6CD4">
        <w:rPr>
          <w:lang w:val="fr-FR"/>
        </w:rPr>
        <w:t>. De ce fait, la notion d</w:t>
      </w:r>
      <w:r w:rsidR="000A3D87">
        <w:rPr>
          <w:lang w:val="fr-FR"/>
        </w:rPr>
        <w:t>’</w:t>
      </w:r>
      <w:r w:rsidR="00B0068A" w:rsidRPr="005D6CD4">
        <w:rPr>
          <w:lang w:val="fr-FR"/>
        </w:rPr>
        <w:t>égalité des sexes est désormais bien comprise et l</w:t>
      </w:r>
      <w:r w:rsidR="000A3D87">
        <w:rPr>
          <w:lang w:val="fr-FR"/>
        </w:rPr>
        <w:t>’</w:t>
      </w:r>
      <w:r w:rsidR="00B0068A" w:rsidRPr="005D6CD4">
        <w:rPr>
          <w:lang w:val="fr-FR"/>
        </w:rPr>
        <w:t>on assiste à une forte mobilisation en faveur de sa prise en compte systématique dans les cadres de politique et les mécanismes institutionnels afin de garantir la réalisation et le suivi de l</w:t>
      </w:r>
      <w:r w:rsidR="000A3D87">
        <w:rPr>
          <w:lang w:val="fr-FR"/>
        </w:rPr>
        <w:t>’</w:t>
      </w:r>
      <w:r w:rsidR="00B0068A" w:rsidRPr="005D6CD4">
        <w:rPr>
          <w:lang w:val="fr-FR"/>
        </w:rPr>
        <w:t>égalité des sexes. Plus précisément, les indices ci-après confirment les progrès réalisés dans l</w:t>
      </w:r>
      <w:r w:rsidR="000A3D87">
        <w:rPr>
          <w:lang w:val="fr-FR"/>
        </w:rPr>
        <w:t>’</w:t>
      </w:r>
      <w:r w:rsidR="00B0068A" w:rsidRPr="005D6CD4">
        <w:rPr>
          <w:lang w:val="fr-FR"/>
        </w:rPr>
        <w:t>élimination de</w:t>
      </w:r>
      <w:r w:rsidR="00B0068A">
        <w:rPr>
          <w:lang w:val="fr-FR"/>
        </w:rPr>
        <w:t xml:space="preserve">s </w:t>
      </w:r>
      <w:r w:rsidR="00B0068A" w:rsidRPr="005D6CD4">
        <w:rPr>
          <w:lang w:val="fr-FR"/>
        </w:rPr>
        <w:t>inégalité</w:t>
      </w:r>
      <w:r w:rsidR="00B0068A">
        <w:rPr>
          <w:lang w:val="fr-FR"/>
        </w:rPr>
        <w:t>s</w:t>
      </w:r>
      <w:r w:rsidR="00B0068A" w:rsidRPr="005D6CD4">
        <w:rPr>
          <w:lang w:val="fr-FR"/>
        </w:rPr>
        <w:t xml:space="preserve"> </w:t>
      </w:r>
      <w:r w:rsidR="00B0068A">
        <w:rPr>
          <w:lang w:val="fr-FR"/>
        </w:rPr>
        <w:t>entre l</w:t>
      </w:r>
      <w:r w:rsidR="00B0068A" w:rsidRPr="005D6CD4">
        <w:rPr>
          <w:lang w:val="fr-FR"/>
        </w:rPr>
        <w:t xml:space="preserve">es sexes au </w:t>
      </w:r>
      <w:r w:rsidR="00B0068A">
        <w:rPr>
          <w:lang w:val="fr-FR"/>
        </w:rPr>
        <w:t>Nigéria</w:t>
      </w:r>
      <w:r w:rsidR="00B0068A" w:rsidRPr="005D6CD4">
        <w:rPr>
          <w:lang w:val="fr-FR"/>
        </w:rPr>
        <w:t> :</w:t>
      </w:r>
    </w:p>
    <w:p w:rsidR="00B0068A" w:rsidRPr="005D6CD4" w:rsidRDefault="00B0068A" w:rsidP="00AC2642">
      <w:pPr>
        <w:pStyle w:val="SingleTxt"/>
        <w:numPr>
          <w:ilvl w:val="3"/>
          <w:numId w:val="2"/>
        </w:numPr>
        <w:tabs>
          <w:tab w:val="clear" w:pos="4147"/>
          <w:tab w:val="num" w:pos="3600"/>
        </w:tabs>
        <w:ind w:left="2250" w:hanging="540"/>
        <w:rPr>
          <w:lang w:val="fr-FR"/>
        </w:rPr>
      </w:pPr>
      <w:r w:rsidRPr="005D6CD4">
        <w:rPr>
          <w:lang w:val="fr-FR"/>
        </w:rPr>
        <w:t>Un niveau élevé de connaissance et de compréhension de la notion de prise en compte systématique du souci de l</w:t>
      </w:r>
      <w:r w:rsidR="000A3D87">
        <w:rPr>
          <w:lang w:val="fr-FR"/>
        </w:rPr>
        <w:t>’</w:t>
      </w:r>
      <w:r w:rsidRPr="005D6CD4">
        <w:rPr>
          <w:lang w:val="fr-FR"/>
        </w:rPr>
        <w:t>égalité des sexes.</w:t>
      </w:r>
    </w:p>
    <w:p w:rsidR="00B0068A" w:rsidRPr="005D6CD4" w:rsidRDefault="00B0068A" w:rsidP="00AC2642">
      <w:pPr>
        <w:pStyle w:val="SingleTxt"/>
        <w:numPr>
          <w:ilvl w:val="3"/>
          <w:numId w:val="2"/>
        </w:numPr>
        <w:tabs>
          <w:tab w:val="clear" w:pos="4147"/>
          <w:tab w:val="num" w:pos="3600"/>
        </w:tabs>
        <w:ind w:left="2250" w:hanging="540"/>
        <w:rPr>
          <w:lang w:val="fr-FR"/>
        </w:rPr>
      </w:pPr>
      <w:r>
        <w:rPr>
          <w:lang w:val="fr-FR"/>
        </w:rPr>
        <w:t>Des m</w:t>
      </w:r>
      <w:r w:rsidRPr="005D6CD4">
        <w:rPr>
          <w:lang w:val="fr-FR"/>
        </w:rPr>
        <w:t>esures concrètes et mesurables de prise en compte systématique du souci de l</w:t>
      </w:r>
      <w:r w:rsidR="000A3D87">
        <w:rPr>
          <w:lang w:val="fr-FR"/>
        </w:rPr>
        <w:t>’</w:t>
      </w:r>
      <w:r w:rsidRPr="005D6CD4">
        <w:rPr>
          <w:lang w:val="fr-FR"/>
        </w:rPr>
        <w:t>égalité des sexes dans les programmes.</w:t>
      </w:r>
    </w:p>
    <w:p w:rsidR="00B0068A" w:rsidRPr="005D6CD4" w:rsidRDefault="00B0068A" w:rsidP="00AC2642">
      <w:pPr>
        <w:pStyle w:val="SingleTxt"/>
        <w:numPr>
          <w:ilvl w:val="3"/>
          <w:numId w:val="2"/>
        </w:numPr>
        <w:tabs>
          <w:tab w:val="clear" w:pos="4147"/>
          <w:tab w:val="num" w:pos="3600"/>
        </w:tabs>
        <w:ind w:left="2250" w:hanging="540"/>
        <w:rPr>
          <w:lang w:val="fr-FR"/>
        </w:rPr>
      </w:pPr>
      <w:r w:rsidRPr="005D6CD4">
        <w:rPr>
          <w:lang w:val="fr-FR"/>
        </w:rPr>
        <w:t>L</w:t>
      </w:r>
      <w:r w:rsidR="000A3D87">
        <w:rPr>
          <w:lang w:val="fr-FR"/>
        </w:rPr>
        <w:t>’</w:t>
      </w:r>
      <w:r w:rsidRPr="005D6CD4">
        <w:rPr>
          <w:lang w:val="fr-FR"/>
        </w:rPr>
        <w:t>élaboration et l</w:t>
      </w:r>
      <w:r w:rsidR="000A3D87">
        <w:rPr>
          <w:lang w:val="fr-FR"/>
        </w:rPr>
        <w:t>’</w:t>
      </w:r>
      <w:r w:rsidRPr="005D6CD4">
        <w:rPr>
          <w:lang w:val="fr-FR"/>
        </w:rPr>
        <w:t>utilisation d</w:t>
      </w:r>
      <w:r w:rsidR="000A3D87">
        <w:rPr>
          <w:lang w:val="fr-FR"/>
        </w:rPr>
        <w:t>’</w:t>
      </w:r>
      <w:r w:rsidRPr="005D6CD4">
        <w:rPr>
          <w:lang w:val="fr-FR"/>
        </w:rPr>
        <w:t>outils permettant de prendre systématiquement en compte le souci de l</w:t>
      </w:r>
      <w:r w:rsidR="000A3D87">
        <w:rPr>
          <w:lang w:val="fr-FR"/>
        </w:rPr>
        <w:t>’</w:t>
      </w:r>
      <w:r w:rsidRPr="005D6CD4">
        <w:rPr>
          <w:lang w:val="fr-FR"/>
        </w:rPr>
        <w:t>égalité des sexes.</w:t>
      </w:r>
    </w:p>
    <w:p w:rsidR="00C66CCC" w:rsidRDefault="00B0068A" w:rsidP="00AC2642">
      <w:pPr>
        <w:pStyle w:val="SingleTxt"/>
        <w:numPr>
          <w:ilvl w:val="2"/>
          <w:numId w:val="2"/>
        </w:numPr>
        <w:tabs>
          <w:tab w:val="clear" w:pos="4133"/>
          <w:tab w:val="num" w:pos="3600"/>
        </w:tabs>
        <w:ind w:left="2250" w:hanging="540"/>
        <w:rPr>
          <w:lang w:val="fr-FR"/>
        </w:rPr>
      </w:pPr>
      <w:r w:rsidRPr="005D6CD4">
        <w:rPr>
          <w:lang w:val="fr-FR"/>
        </w:rPr>
        <w:t>Une culture de formation aux questions d</w:t>
      </w:r>
      <w:r w:rsidR="000A3D87">
        <w:rPr>
          <w:lang w:val="fr-FR"/>
        </w:rPr>
        <w:t>’</w:t>
      </w:r>
      <w:r w:rsidRPr="005D6CD4">
        <w:rPr>
          <w:lang w:val="fr-FR"/>
        </w:rPr>
        <w:t>égalité des sexes pour le personnel et les pa</w:t>
      </w:r>
      <w:r w:rsidRPr="005D6CD4">
        <w:rPr>
          <w:lang w:val="fr-FR"/>
        </w:rPr>
        <w:t>r</w:t>
      </w:r>
      <w:r w:rsidRPr="005D6CD4">
        <w:rPr>
          <w:lang w:val="fr-FR"/>
        </w:rPr>
        <w:t>tenaires de programme.</w:t>
      </w:r>
    </w:p>
    <w:p w:rsidR="00B0068A" w:rsidRPr="005D6CD4" w:rsidRDefault="00B0068A" w:rsidP="00AC2642">
      <w:pPr>
        <w:pStyle w:val="SingleTxt"/>
        <w:numPr>
          <w:ilvl w:val="2"/>
          <w:numId w:val="2"/>
        </w:numPr>
        <w:tabs>
          <w:tab w:val="clear" w:pos="4133"/>
          <w:tab w:val="num" w:pos="3600"/>
        </w:tabs>
        <w:ind w:left="2250" w:hanging="540"/>
        <w:rPr>
          <w:lang w:val="fr-FR"/>
        </w:rPr>
      </w:pPr>
      <w:r w:rsidRPr="005D6CD4">
        <w:rPr>
          <w:lang w:val="fr-FR"/>
        </w:rPr>
        <w:t>Un nouveau partenariat entre les départements ministériels et organismes publics visant à promouvoir des plateformes de concertation afin de consolider la compréhension de la notion, et l</w:t>
      </w:r>
      <w:r w:rsidR="000A3D87">
        <w:rPr>
          <w:lang w:val="fr-FR"/>
        </w:rPr>
        <w:t>’</w:t>
      </w:r>
      <w:r w:rsidRPr="005D6CD4">
        <w:rPr>
          <w:lang w:val="fr-FR"/>
        </w:rPr>
        <w:t>intégration des principes, indices et outils de prise en compte systématique du souci de l</w:t>
      </w:r>
      <w:r w:rsidR="000A3D87">
        <w:rPr>
          <w:lang w:val="fr-FR"/>
        </w:rPr>
        <w:t>’</w:t>
      </w:r>
      <w:r w:rsidRPr="005D6CD4">
        <w:rPr>
          <w:lang w:val="fr-FR"/>
        </w:rPr>
        <w:t xml:space="preserve">égalité des sexes aux programmes de développement au </w:t>
      </w:r>
      <w:r>
        <w:rPr>
          <w:lang w:val="fr-FR"/>
        </w:rPr>
        <w:t>Nigéria</w:t>
      </w:r>
      <w:r w:rsidRPr="005D6CD4">
        <w:rPr>
          <w:lang w:val="fr-FR"/>
        </w:rPr>
        <w:t>.</w:t>
      </w:r>
    </w:p>
    <w:p w:rsidR="00B0068A" w:rsidRPr="005D6CD4" w:rsidRDefault="00C66CCC" w:rsidP="002310F2">
      <w:pPr>
        <w:pStyle w:val="SingleTxt"/>
        <w:rPr>
          <w:lang w:val="fr-FR"/>
        </w:rPr>
      </w:pPr>
      <w:r>
        <w:rPr>
          <w:lang w:val="fr-FR"/>
        </w:rPr>
        <w:tab/>
      </w:r>
      <w:r w:rsidR="00B0068A" w:rsidRPr="005D6CD4">
        <w:rPr>
          <w:lang w:val="fr-FR"/>
        </w:rPr>
        <w:t>Il importe encore plus de noter qu</w:t>
      </w:r>
      <w:r w:rsidR="000A3D87">
        <w:rPr>
          <w:lang w:val="fr-FR"/>
        </w:rPr>
        <w:t>’</w:t>
      </w:r>
      <w:r w:rsidR="00B0068A" w:rsidRPr="005D6CD4">
        <w:rPr>
          <w:lang w:val="fr-FR"/>
        </w:rPr>
        <w:t>au cours de la période visée par le rapport, le Gouvernement fédéral a adopté la Stratégie nationale de développement et de démarginalisation économiques</w:t>
      </w:r>
      <w:r w:rsidR="00B0068A">
        <w:rPr>
          <w:lang w:val="fr-FR"/>
        </w:rPr>
        <w:t xml:space="preserve"> </w:t>
      </w:r>
      <w:r w:rsidR="00B0068A" w:rsidRPr="005D6CD4">
        <w:rPr>
          <w:lang w:val="fr-FR"/>
        </w:rPr>
        <w:t>(NEEDS) dont l</w:t>
      </w:r>
      <w:r w:rsidR="000A3D87">
        <w:rPr>
          <w:lang w:val="fr-FR"/>
        </w:rPr>
        <w:t>’</w:t>
      </w:r>
      <w:r w:rsidR="00B0068A" w:rsidRPr="005D6CD4">
        <w:rPr>
          <w:lang w:val="fr-FR"/>
        </w:rPr>
        <w:t>orientation générale consiste à améliorer sensiblement la qualité de vie des Nigérians ainsi qu</w:t>
      </w:r>
      <w:r w:rsidR="000A3D87">
        <w:rPr>
          <w:lang w:val="fr-FR"/>
        </w:rPr>
        <w:t>’</w:t>
      </w:r>
      <w:r w:rsidR="00B0068A" w:rsidRPr="005D6CD4">
        <w:rPr>
          <w:lang w:val="fr-FR"/>
        </w:rPr>
        <w:t>à créer des filets de sécurité sociale pour les groupes vulnérables, en partic</w:t>
      </w:r>
      <w:r w:rsidR="00B0068A" w:rsidRPr="005D6CD4">
        <w:rPr>
          <w:lang w:val="fr-FR"/>
        </w:rPr>
        <w:t>u</w:t>
      </w:r>
      <w:r w:rsidR="00B0068A" w:rsidRPr="005D6CD4">
        <w:rPr>
          <w:lang w:val="fr-FR"/>
        </w:rPr>
        <w:t xml:space="preserve">lier les femmes et les jeunes. Ce programme </w:t>
      </w:r>
      <w:r w:rsidR="00B0068A">
        <w:rPr>
          <w:lang w:val="fr-FR"/>
        </w:rPr>
        <w:t xml:space="preserve">de portée globale </w:t>
      </w:r>
      <w:r w:rsidR="00B0068A" w:rsidRPr="005D6CD4">
        <w:rPr>
          <w:lang w:val="fr-FR"/>
        </w:rPr>
        <w:t>est repris au niveau des États en tant que Stratégie régionale de développement et de démarginalisation économiques (SEEDS) et au niveau local en tant que Stratégie locale de développement et de démarginalisation éc</w:t>
      </w:r>
      <w:r w:rsidR="00B0068A" w:rsidRPr="005D6CD4">
        <w:rPr>
          <w:lang w:val="fr-FR"/>
        </w:rPr>
        <w:t>o</w:t>
      </w:r>
      <w:r w:rsidR="00B0068A" w:rsidRPr="005D6CD4">
        <w:rPr>
          <w:lang w:val="fr-FR"/>
        </w:rPr>
        <w:t>nomiques (LEEDS) et au niveau du Territoire de la capitale fédérale en tant que Stratégie féd</w:t>
      </w:r>
      <w:r w:rsidR="00B0068A" w:rsidRPr="005D6CD4">
        <w:rPr>
          <w:lang w:val="fr-FR"/>
        </w:rPr>
        <w:t>é</w:t>
      </w:r>
      <w:r w:rsidR="00B0068A" w:rsidRPr="005D6CD4">
        <w:rPr>
          <w:lang w:val="fr-FR"/>
        </w:rPr>
        <w:t xml:space="preserve">rale de développement et de démarginalisation économiques (FEEDS). </w:t>
      </w:r>
    </w:p>
    <w:p w:rsidR="00B0068A" w:rsidRPr="005D6CD4" w:rsidRDefault="00C66CCC" w:rsidP="002310F2">
      <w:pPr>
        <w:pStyle w:val="SingleTxt"/>
        <w:rPr>
          <w:color w:val="FF0000"/>
          <w:lang w:val="fr-FR"/>
        </w:rPr>
      </w:pPr>
      <w:r>
        <w:rPr>
          <w:lang w:val="fr-FR"/>
        </w:rPr>
        <w:tab/>
      </w:r>
      <w:r w:rsidR="00B0068A" w:rsidRPr="005D6CD4">
        <w:rPr>
          <w:lang w:val="fr-FR"/>
        </w:rPr>
        <w:t xml:space="preserve">Les avantages supplémentaires mis en évidence dans le sixième rapport du </w:t>
      </w:r>
      <w:r w:rsidR="00B0068A">
        <w:rPr>
          <w:lang w:val="fr-FR"/>
        </w:rPr>
        <w:t>Nigéria</w:t>
      </w:r>
      <w:r w:rsidR="00B0068A" w:rsidRPr="005D6CD4">
        <w:rPr>
          <w:lang w:val="fr-FR"/>
        </w:rPr>
        <w:t xml:space="preserve"> sont liés à l</w:t>
      </w:r>
      <w:r w:rsidR="000A3D87">
        <w:rPr>
          <w:lang w:val="fr-FR"/>
        </w:rPr>
        <w:t>’</w:t>
      </w:r>
      <w:r w:rsidR="00B0068A" w:rsidRPr="005D6CD4">
        <w:rPr>
          <w:lang w:val="fr-FR"/>
        </w:rPr>
        <w:t>émergence d</w:t>
      </w:r>
      <w:r w:rsidR="000A3D87">
        <w:rPr>
          <w:lang w:val="fr-FR"/>
        </w:rPr>
        <w:t>’</w:t>
      </w:r>
      <w:r w:rsidR="00B0068A" w:rsidRPr="005D6CD4">
        <w:rPr>
          <w:lang w:val="fr-FR"/>
        </w:rPr>
        <w:t xml:space="preserve">une collaboration fructueuse entre le Gouvernement, les femmes et les ONG qui défendent les droits humains, dans le domaine de la procédure judiciaire stratégique concernant les dispositions de la Constitution de 1999 de la République fédérale du </w:t>
      </w:r>
      <w:r w:rsidR="00B0068A">
        <w:rPr>
          <w:lang w:val="fr-FR"/>
        </w:rPr>
        <w:t>Nigéria</w:t>
      </w:r>
      <w:r w:rsidR="00B0068A" w:rsidRPr="005D6CD4">
        <w:rPr>
          <w:lang w:val="fr-FR"/>
        </w:rPr>
        <w:t xml:space="preserve"> et les principes de </w:t>
      </w:r>
      <w:r w:rsidR="00B0068A">
        <w:rPr>
          <w:lang w:val="fr-FR"/>
        </w:rPr>
        <w:t>la Convention</w:t>
      </w:r>
      <w:r w:rsidR="00B0068A" w:rsidRPr="005D6CD4">
        <w:rPr>
          <w:lang w:val="fr-FR"/>
        </w:rPr>
        <w:t>.</w:t>
      </w:r>
      <w:r w:rsidR="00B0068A">
        <w:rPr>
          <w:lang w:val="fr-FR"/>
        </w:rPr>
        <w:t xml:space="preserve"> </w:t>
      </w:r>
      <w:r w:rsidR="00B0068A" w:rsidRPr="005D6CD4">
        <w:rPr>
          <w:lang w:val="fr-FR"/>
        </w:rPr>
        <w:t>Ceci a renforcé la réalisation potentielle des droits de la femme dans les d</w:t>
      </w:r>
      <w:r w:rsidR="00B0068A" w:rsidRPr="005D6CD4">
        <w:rPr>
          <w:lang w:val="fr-FR"/>
        </w:rPr>
        <w:t>o</w:t>
      </w:r>
      <w:r w:rsidR="00B0068A" w:rsidRPr="005D6CD4">
        <w:rPr>
          <w:lang w:val="fr-FR"/>
        </w:rPr>
        <w:t>maines publics et privés. L</w:t>
      </w:r>
      <w:r w:rsidR="000A3D87">
        <w:rPr>
          <w:lang w:val="fr-FR"/>
        </w:rPr>
        <w:t>’</w:t>
      </w:r>
      <w:r w:rsidR="00B0068A" w:rsidRPr="005D6CD4">
        <w:rPr>
          <w:lang w:val="fr-FR"/>
        </w:rPr>
        <w:t>initiative est consolidée par les documentations exhaustives de d</w:t>
      </w:r>
      <w:r w:rsidR="00B0068A" w:rsidRPr="005D6CD4">
        <w:rPr>
          <w:lang w:val="fr-FR"/>
        </w:rPr>
        <w:t>i</w:t>
      </w:r>
      <w:r w:rsidR="00B0068A" w:rsidRPr="005D6CD4">
        <w:rPr>
          <w:lang w:val="fr-FR"/>
        </w:rPr>
        <w:t xml:space="preserve">vers contextes et formes de lois et pratiques discriminatoires au </w:t>
      </w:r>
      <w:r w:rsidR="00B0068A">
        <w:rPr>
          <w:bCs/>
          <w:iCs/>
          <w:color w:val="000000"/>
          <w:lang w:val="fr-FR"/>
        </w:rPr>
        <w:t>Nigéria</w:t>
      </w:r>
      <w:r w:rsidR="00B0068A" w:rsidRPr="005D6CD4">
        <w:rPr>
          <w:bCs/>
          <w:iCs/>
          <w:color w:val="000000"/>
          <w:lang w:val="fr-FR"/>
        </w:rPr>
        <w:t>. L</w:t>
      </w:r>
      <w:r w:rsidR="000A3D87">
        <w:rPr>
          <w:bCs/>
          <w:iCs/>
          <w:color w:val="000000"/>
          <w:lang w:val="fr-FR"/>
        </w:rPr>
        <w:t>’</w:t>
      </w:r>
      <w:r w:rsidR="00B0068A" w:rsidRPr="005D6CD4">
        <w:rPr>
          <w:bCs/>
          <w:iCs/>
          <w:color w:val="000000"/>
          <w:lang w:val="fr-FR"/>
        </w:rPr>
        <w:t>un de</w:t>
      </w:r>
      <w:r w:rsidR="00B0068A">
        <w:rPr>
          <w:bCs/>
          <w:iCs/>
          <w:color w:val="000000"/>
          <w:lang w:val="fr-FR"/>
        </w:rPr>
        <w:t xml:space="preserve"> </w:t>
      </w:r>
      <w:r w:rsidR="00B0068A" w:rsidRPr="005D6CD4">
        <w:rPr>
          <w:bCs/>
          <w:iCs/>
          <w:color w:val="000000"/>
          <w:lang w:val="fr-FR"/>
        </w:rPr>
        <w:t xml:space="preserve">ces documents est le rapport sur </w:t>
      </w:r>
      <w:r w:rsidR="00D17E6C">
        <w:rPr>
          <w:bCs/>
          <w:iCs/>
          <w:color w:val="000000"/>
          <w:lang w:val="fr-FR"/>
        </w:rPr>
        <w:t>“ </w:t>
      </w:r>
      <w:r w:rsidR="00B0068A" w:rsidRPr="00621401">
        <w:rPr>
          <w:b/>
          <w:i/>
          <w:color w:val="000000"/>
          <w:lang w:val="fr-FR"/>
        </w:rPr>
        <w:t>La Constitution, les lois et réglementations nationales et étatiques, les r</w:t>
      </w:r>
      <w:r w:rsidR="00B0068A" w:rsidRPr="00621401">
        <w:rPr>
          <w:b/>
          <w:i/>
          <w:color w:val="000000"/>
          <w:lang w:val="fr-FR"/>
        </w:rPr>
        <w:t>è</w:t>
      </w:r>
      <w:r w:rsidR="00B0068A" w:rsidRPr="00621401">
        <w:rPr>
          <w:b/>
          <w:i/>
          <w:color w:val="000000"/>
          <w:lang w:val="fr-FR"/>
        </w:rPr>
        <w:t>glements des administrations locales, le droit coutumier et le droit religieux, les politiques et les pratiques et les décisions des tribunaux se rapportant aux lois relatives aux femmes et aux enfants, applicables au Nigéria</w:t>
      </w:r>
      <w:r w:rsidR="00B0068A">
        <w:rPr>
          <w:i/>
          <w:color w:val="000000"/>
          <w:lang w:val="fr-FR"/>
        </w:rPr>
        <w:t>.</w:t>
      </w:r>
      <w:r w:rsidR="000A3D87">
        <w:rPr>
          <w:i/>
          <w:color w:val="000000"/>
          <w:lang w:val="fr-FR"/>
        </w:rPr>
        <w:t> »</w:t>
      </w:r>
    </w:p>
    <w:p w:rsidR="00B0068A" w:rsidRPr="005D6CD4" w:rsidRDefault="00C66CCC" w:rsidP="002310F2">
      <w:pPr>
        <w:pStyle w:val="SingleTxt"/>
        <w:rPr>
          <w:lang w:val="fr-FR"/>
        </w:rPr>
      </w:pPr>
      <w:r>
        <w:rPr>
          <w:lang w:val="fr-FR"/>
        </w:rPr>
        <w:tab/>
      </w:r>
      <w:r w:rsidR="00B0068A" w:rsidRPr="005D6CD4">
        <w:rPr>
          <w:lang w:val="fr-FR"/>
        </w:rPr>
        <w:t xml:space="preserve">De même, au cours de la période visée par le rapport, le </w:t>
      </w:r>
      <w:r w:rsidR="00B0068A">
        <w:rPr>
          <w:lang w:val="fr-FR"/>
        </w:rPr>
        <w:t>Nigéria</w:t>
      </w:r>
      <w:r w:rsidR="00B0068A" w:rsidRPr="005D6CD4">
        <w:rPr>
          <w:lang w:val="fr-FR"/>
        </w:rPr>
        <w:t xml:space="preserve"> a ratifié le Protocol</w:t>
      </w:r>
      <w:r w:rsidR="00B0068A">
        <w:rPr>
          <w:lang w:val="fr-FR"/>
        </w:rPr>
        <w:t>e</w:t>
      </w:r>
      <w:r w:rsidR="00B0068A" w:rsidRPr="005D6CD4">
        <w:rPr>
          <w:lang w:val="fr-FR"/>
        </w:rPr>
        <w:t xml:space="preserve"> facultatif à </w:t>
      </w:r>
      <w:r w:rsidR="00B0068A">
        <w:rPr>
          <w:lang w:val="fr-FR"/>
        </w:rPr>
        <w:t>la Convention</w:t>
      </w:r>
      <w:r w:rsidR="00B0068A" w:rsidRPr="005D6CD4">
        <w:rPr>
          <w:lang w:val="fr-FR"/>
        </w:rPr>
        <w:t xml:space="preserve"> (2004) en tant qu</w:t>
      </w:r>
      <w:r w:rsidR="000A3D87">
        <w:rPr>
          <w:lang w:val="fr-FR"/>
        </w:rPr>
        <w:t>’</w:t>
      </w:r>
      <w:r w:rsidR="00B0068A" w:rsidRPr="005D6CD4">
        <w:rPr>
          <w:lang w:val="fr-FR"/>
        </w:rPr>
        <w:t>instrument international et ratifié deux instruments régi</w:t>
      </w:r>
      <w:r w:rsidR="00B0068A" w:rsidRPr="005D6CD4">
        <w:rPr>
          <w:lang w:val="fr-FR"/>
        </w:rPr>
        <w:t>o</w:t>
      </w:r>
      <w:r w:rsidR="00B0068A" w:rsidRPr="005D6CD4">
        <w:rPr>
          <w:lang w:val="fr-FR"/>
        </w:rPr>
        <w:t>naux, le Protocole de l</w:t>
      </w:r>
      <w:r w:rsidR="000A3D87">
        <w:rPr>
          <w:lang w:val="fr-FR"/>
        </w:rPr>
        <w:t>’</w:t>
      </w:r>
      <w:r w:rsidR="00B0068A" w:rsidRPr="005D6CD4">
        <w:rPr>
          <w:lang w:val="fr-FR"/>
        </w:rPr>
        <w:t>Union africaine sur les droits des femmes en Afrique et la Déclaration solennelle sur l</w:t>
      </w:r>
      <w:r w:rsidR="000A3D87">
        <w:rPr>
          <w:lang w:val="fr-FR"/>
        </w:rPr>
        <w:t>’</w:t>
      </w:r>
      <w:r w:rsidR="00B0068A" w:rsidRPr="005D6CD4">
        <w:rPr>
          <w:lang w:val="fr-FR"/>
        </w:rPr>
        <w:t xml:space="preserve">égalité des sexes en </w:t>
      </w:r>
      <w:r w:rsidR="00B0068A" w:rsidRPr="005D6CD4">
        <w:rPr>
          <w:bCs/>
          <w:lang w:val="fr-FR"/>
        </w:rPr>
        <w:t xml:space="preserve">Afrique. Ces </w:t>
      </w:r>
      <w:r w:rsidR="00B0068A" w:rsidRPr="005D6CD4">
        <w:rPr>
          <w:lang w:val="fr-FR"/>
        </w:rPr>
        <w:t>instruments mettent l</w:t>
      </w:r>
      <w:r w:rsidR="000A3D87">
        <w:rPr>
          <w:lang w:val="fr-FR"/>
        </w:rPr>
        <w:t>’</w:t>
      </w:r>
      <w:r w:rsidR="00B0068A" w:rsidRPr="005D6CD4">
        <w:rPr>
          <w:lang w:val="fr-FR"/>
        </w:rPr>
        <w:t>accent sur les oblig</w:t>
      </w:r>
      <w:r w:rsidR="00B0068A" w:rsidRPr="005D6CD4">
        <w:rPr>
          <w:lang w:val="fr-FR"/>
        </w:rPr>
        <w:t>a</w:t>
      </w:r>
      <w:r w:rsidR="00B0068A" w:rsidRPr="005D6CD4">
        <w:rPr>
          <w:lang w:val="fr-FR"/>
        </w:rPr>
        <w:t xml:space="preserve">tions incombant au </w:t>
      </w:r>
      <w:r w:rsidR="00B0068A">
        <w:rPr>
          <w:lang w:val="fr-FR"/>
        </w:rPr>
        <w:t>Nigéria</w:t>
      </w:r>
      <w:r w:rsidR="00B0068A" w:rsidRPr="005D6CD4">
        <w:rPr>
          <w:lang w:val="fr-FR"/>
        </w:rPr>
        <w:t xml:space="preserve"> en tant qu</w:t>
      </w:r>
      <w:r w:rsidR="000A3D87">
        <w:rPr>
          <w:lang w:val="fr-FR"/>
        </w:rPr>
        <w:t>’</w:t>
      </w:r>
      <w:r w:rsidR="00B0068A" w:rsidRPr="005D6CD4">
        <w:rPr>
          <w:lang w:val="fr-FR"/>
        </w:rPr>
        <w:t>État membre de mettre en place tous les mécanismes n</w:t>
      </w:r>
      <w:r w:rsidR="00B0068A" w:rsidRPr="005D6CD4">
        <w:rPr>
          <w:lang w:val="fr-FR"/>
        </w:rPr>
        <w:t>é</w:t>
      </w:r>
      <w:r w:rsidR="00B0068A" w:rsidRPr="005D6CD4">
        <w:rPr>
          <w:lang w:val="fr-FR"/>
        </w:rPr>
        <w:t>cessaires requis pour éliminer la discrimination fondée sur les sexes, assurer l</w:t>
      </w:r>
      <w:r w:rsidR="000A3D87">
        <w:rPr>
          <w:lang w:val="fr-FR"/>
        </w:rPr>
        <w:t>’</w:t>
      </w:r>
      <w:r w:rsidR="00B0068A" w:rsidRPr="005D6CD4">
        <w:rPr>
          <w:lang w:val="fr-FR"/>
        </w:rPr>
        <w:t>égalité et le re</w:t>
      </w:r>
      <w:r w:rsidR="00B0068A" w:rsidRPr="005D6CD4">
        <w:rPr>
          <w:lang w:val="fr-FR"/>
        </w:rPr>
        <w:t>s</w:t>
      </w:r>
      <w:r w:rsidR="00B0068A" w:rsidRPr="005D6CD4">
        <w:rPr>
          <w:lang w:val="fr-FR"/>
        </w:rPr>
        <w:t xml:space="preserve">pect de la dignité humaine de tous les hommes et femmes. </w:t>
      </w:r>
    </w:p>
    <w:p w:rsidR="00B0068A" w:rsidRPr="005D6CD4" w:rsidRDefault="00C66CCC" w:rsidP="002310F2">
      <w:pPr>
        <w:pStyle w:val="SingleTxt"/>
        <w:rPr>
          <w:lang w:val="fr-FR"/>
        </w:rPr>
      </w:pPr>
      <w:r>
        <w:rPr>
          <w:lang w:val="fr-FR"/>
        </w:rPr>
        <w:tab/>
      </w:r>
      <w:r w:rsidR="00B0068A" w:rsidRPr="005D6CD4">
        <w:rPr>
          <w:lang w:val="fr-FR"/>
        </w:rPr>
        <w:t xml:space="preserve">En conclusion, le sixième rapport </w:t>
      </w:r>
      <w:r w:rsidR="00B0068A">
        <w:rPr>
          <w:lang w:val="fr-FR"/>
        </w:rPr>
        <w:t xml:space="preserve">périodique </w:t>
      </w:r>
      <w:r w:rsidR="00B0068A" w:rsidRPr="005D6CD4">
        <w:rPr>
          <w:lang w:val="fr-FR"/>
        </w:rPr>
        <w:t xml:space="preserve">du </w:t>
      </w:r>
      <w:r w:rsidR="00B0068A">
        <w:rPr>
          <w:lang w:val="fr-FR"/>
        </w:rPr>
        <w:t>Nigéria</w:t>
      </w:r>
      <w:r w:rsidR="00B0068A" w:rsidRPr="005D6CD4">
        <w:rPr>
          <w:lang w:val="fr-FR"/>
        </w:rPr>
        <w:t xml:space="preserve"> met en exergue les éléments de preuve concrets d</w:t>
      </w:r>
      <w:r w:rsidR="000A3D87">
        <w:rPr>
          <w:lang w:val="fr-FR"/>
        </w:rPr>
        <w:t>’</w:t>
      </w:r>
      <w:r w:rsidR="00B0068A" w:rsidRPr="005D6CD4">
        <w:rPr>
          <w:lang w:val="fr-FR"/>
        </w:rPr>
        <w:t>un processus d</w:t>
      </w:r>
      <w:r w:rsidR="000A3D87">
        <w:rPr>
          <w:lang w:val="fr-FR"/>
        </w:rPr>
        <w:t>’</w:t>
      </w:r>
      <w:r w:rsidR="00B0068A" w:rsidRPr="005D6CD4">
        <w:rPr>
          <w:lang w:val="fr-FR"/>
        </w:rPr>
        <w:t>adoption de mesures cohérentes et systématiques visant à réaliser les aspirations de la Convention. Cet objectif se poursuit avec la participation active des femmes et des hommes, à tous les niveaux de l</w:t>
      </w:r>
      <w:r w:rsidR="000A3D87">
        <w:rPr>
          <w:lang w:val="fr-FR"/>
        </w:rPr>
        <w:t>’</w:t>
      </w:r>
      <w:r w:rsidR="00B0068A" w:rsidRPr="005D6CD4">
        <w:rPr>
          <w:lang w:val="fr-FR"/>
        </w:rPr>
        <w:t>administration et de la société, par le biais de consultations et de plaidoyer en vue d</w:t>
      </w:r>
      <w:r w:rsidR="000A3D87">
        <w:rPr>
          <w:lang w:val="fr-FR"/>
        </w:rPr>
        <w:t>’</w:t>
      </w:r>
      <w:r w:rsidR="00B0068A" w:rsidRPr="005D6CD4">
        <w:rPr>
          <w:lang w:val="fr-FR"/>
        </w:rPr>
        <w:t>instaurer des changements précieux et durables au plan des attitudes, des politiques et de la législation. Les mesures d</w:t>
      </w:r>
      <w:r w:rsidR="000A3D87">
        <w:rPr>
          <w:lang w:val="fr-FR"/>
        </w:rPr>
        <w:t>’</w:t>
      </w:r>
      <w:r w:rsidR="00B0068A" w:rsidRPr="005D6CD4">
        <w:rPr>
          <w:lang w:val="fr-FR"/>
        </w:rPr>
        <w:t>action p</w:t>
      </w:r>
      <w:r w:rsidR="00B0068A">
        <w:rPr>
          <w:lang w:val="fr-FR"/>
        </w:rPr>
        <w:t xml:space="preserve">ositive </w:t>
      </w:r>
      <w:r w:rsidR="00B0068A" w:rsidRPr="005D6CD4">
        <w:rPr>
          <w:lang w:val="fr-FR"/>
        </w:rPr>
        <w:t xml:space="preserve">sont reconnues comme étant une initiative justifiable pour corriger les inégalités criardes qui sont ancrées dans le contexte socioculturel du </w:t>
      </w:r>
      <w:r w:rsidR="00B0068A">
        <w:rPr>
          <w:lang w:val="fr-FR"/>
        </w:rPr>
        <w:t>Nigéria</w:t>
      </w:r>
      <w:r w:rsidR="00B0068A" w:rsidRPr="005D6CD4">
        <w:rPr>
          <w:lang w:val="fr-FR"/>
        </w:rPr>
        <w:t>. C</w:t>
      </w:r>
      <w:r w:rsidR="000A3D87">
        <w:rPr>
          <w:lang w:val="fr-FR"/>
        </w:rPr>
        <w:t>’</w:t>
      </w:r>
      <w:r w:rsidR="00B0068A" w:rsidRPr="005D6CD4">
        <w:rPr>
          <w:lang w:val="fr-FR"/>
        </w:rPr>
        <w:t>est une recommandation de la Conférence nationale sur la réforme politique de 2005, qui a marqué un tournant dans l</w:t>
      </w:r>
      <w:r w:rsidR="000A3D87">
        <w:rPr>
          <w:lang w:val="fr-FR"/>
        </w:rPr>
        <w:t>’</w:t>
      </w:r>
      <w:r w:rsidR="00B0068A" w:rsidRPr="005D6CD4">
        <w:rPr>
          <w:lang w:val="fr-FR"/>
        </w:rPr>
        <w:t xml:space="preserve">histoire du </w:t>
      </w:r>
      <w:r w:rsidR="00B0068A">
        <w:rPr>
          <w:lang w:val="fr-FR"/>
        </w:rPr>
        <w:t>Nigéria</w:t>
      </w:r>
      <w:r w:rsidR="00B0068A" w:rsidRPr="005D6CD4">
        <w:rPr>
          <w:lang w:val="fr-FR"/>
        </w:rPr>
        <w:t xml:space="preserve"> et qui a joué un rôle cr</w:t>
      </w:r>
      <w:r w:rsidR="00B0068A" w:rsidRPr="005D6CD4">
        <w:rPr>
          <w:lang w:val="fr-FR"/>
        </w:rPr>
        <w:t>u</w:t>
      </w:r>
      <w:r w:rsidR="00B0068A" w:rsidRPr="005D6CD4">
        <w:rPr>
          <w:lang w:val="fr-FR"/>
        </w:rPr>
        <w:t>cial dans le maintien de la démocratie. C</w:t>
      </w:r>
      <w:r w:rsidR="000A3D87">
        <w:rPr>
          <w:lang w:val="fr-FR"/>
        </w:rPr>
        <w:t>’</w:t>
      </w:r>
      <w:r w:rsidR="00B0068A" w:rsidRPr="005D6CD4">
        <w:rPr>
          <w:lang w:val="fr-FR"/>
        </w:rPr>
        <w:t xml:space="preserve">est une plateforme qui visait à réaliser ouvertement un consensus et poser des jalons pour le </w:t>
      </w:r>
      <w:r w:rsidR="00B0068A">
        <w:rPr>
          <w:lang w:val="fr-FR"/>
        </w:rPr>
        <w:t>Nigéria</w:t>
      </w:r>
      <w:r w:rsidR="00B0068A" w:rsidRPr="005D6CD4">
        <w:rPr>
          <w:lang w:val="fr-FR"/>
        </w:rPr>
        <w:t xml:space="preserve"> et son peuple, notamment les femmes. </w:t>
      </w:r>
    </w:p>
    <w:p w:rsidR="00C66CCC" w:rsidRDefault="00B0068A" w:rsidP="00C66CC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D6CD4">
        <w:rPr>
          <w:lang w:val="fr-FR"/>
        </w:rPr>
        <w:br w:type="page"/>
      </w:r>
      <w:r w:rsidRPr="00C66CCC">
        <w:rPr>
          <w:lang w:val="fr-FR"/>
        </w:rPr>
        <w:t>Partie I</w:t>
      </w:r>
    </w:p>
    <w:p w:rsidR="00C66CCC" w:rsidRPr="00C66CCC" w:rsidRDefault="00C66CCC" w:rsidP="00C66CC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C66CCC" w:rsidRPr="00C66CCC" w:rsidRDefault="00C66CCC" w:rsidP="00C66CC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B0068A" w:rsidRDefault="00C66CCC" w:rsidP="00C66CC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0068A" w:rsidRPr="00C66CCC">
        <w:rPr>
          <w:lang w:val="fr-FR"/>
        </w:rPr>
        <w:t>Introduction</w:t>
      </w:r>
    </w:p>
    <w:p w:rsidR="00C66CCC" w:rsidRPr="00C66CCC" w:rsidRDefault="00C66CCC" w:rsidP="00C66CCC">
      <w:pPr>
        <w:pStyle w:val="SingleTxt"/>
        <w:spacing w:after="0" w:line="120" w:lineRule="exact"/>
        <w:rPr>
          <w:sz w:val="10"/>
          <w:lang w:val="fr-FR"/>
        </w:rPr>
      </w:pPr>
    </w:p>
    <w:p w:rsidR="00C66CCC" w:rsidRPr="00C66CCC" w:rsidRDefault="00C66CCC" w:rsidP="00C66CCC">
      <w:pPr>
        <w:pStyle w:val="SingleTxt"/>
        <w:spacing w:after="0" w:line="120" w:lineRule="exact"/>
        <w:rPr>
          <w:sz w:val="10"/>
          <w:lang w:val="fr-FR"/>
        </w:rPr>
      </w:pPr>
    </w:p>
    <w:p w:rsidR="00B0068A" w:rsidRDefault="00C66CCC" w:rsidP="00C66CC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0068A" w:rsidRPr="00C66CCC">
        <w:rPr>
          <w:lang w:val="fr-FR"/>
        </w:rPr>
        <w:t>Généralités et période considérée</w:t>
      </w:r>
    </w:p>
    <w:p w:rsidR="00C66CCC" w:rsidRPr="00C66CCC" w:rsidRDefault="00C66CCC" w:rsidP="00C66CCC">
      <w:pPr>
        <w:pStyle w:val="SingleTxt"/>
        <w:spacing w:after="0" w:line="120" w:lineRule="exact"/>
        <w:rPr>
          <w:sz w:val="10"/>
          <w:lang w:val="fr-FR"/>
        </w:rPr>
      </w:pPr>
    </w:p>
    <w:p w:rsidR="00B0068A" w:rsidRDefault="00C66CCC" w:rsidP="00C66CCC">
      <w:pPr>
        <w:pStyle w:val="SingleTxt"/>
        <w:rPr>
          <w:lang w:val="fr-FR"/>
        </w:rPr>
      </w:pPr>
      <w:r>
        <w:rPr>
          <w:lang w:val="fr-FR"/>
        </w:rPr>
        <w:tab/>
      </w:r>
      <w:r w:rsidR="00B0068A" w:rsidRPr="00C66CCC">
        <w:rPr>
          <w:lang w:val="fr-FR"/>
        </w:rPr>
        <w:t>Le Nigéria, en tant que signataire de la Convention des Nations Unies sur l</w:t>
      </w:r>
      <w:r w:rsidR="000A3D87">
        <w:rPr>
          <w:lang w:val="fr-FR"/>
        </w:rPr>
        <w:t>’</w:t>
      </w:r>
      <w:r w:rsidR="00B0068A" w:rsidRPr="00C66CCC">
        <w:rPr>
          <w:lang w:val="fr-FR"/>
        </w:rPr>
        <w:t>élimination de to</w:t>
      </w:r>
      <w:r w:rsidR="00B0068A" w:rsidRPr="00C66CCC">
        <w:rPr>
          <w:lang w:val="fr-FR"/>
        </w:rPr>
        <w:t>u</w:t>
      </w:r>
      <w:r w:rsidR="00B0068A" w:rsidRPr="00C66CCC">
        <w:rPr>
          <w:lang w:val="fr-FR"/>
        </w:rPr>
        <w:t>tes les formes de discrimination à l</w:t>
      </w:r>
      <w:r w:rsidR="000A3D87">
        <w:rPr>
          <w:lang w:val="fr-FR"/>
        </w:rPr>
        <w:t>’</w:t>
      </w:r>
      <w:r w:rsidR="00B0068A" w:rsidRPr="00C66CCC">
        <w:rPr>
          <w:lang w:val="fr-FR"/>
        </w:rPr>
        <w:t>égard des femmes (CEDAW) et aux fins de s</w:t>
      </w:r>
      <w:r w:rsidR="000A3D87">
        <w:rPr>
          <w:lang w:val="fr-FR"/>
        </w:rPr>
        <w:t>’</w:t>
      </w:r>
      <w:r w:rsidR="00B0068A" w:rsidRPr="00C66CCC">
        <w:rPr>
          <w:lang w:val="fr-FR"/>
        </w:rPr>
        <w:t>acquitter de l</w:t>
      </w:r>
      <w:r w:rsidR="000A3D87">
        <w:rPr>
          <w:lang w:val="fr-FR"/>
        </w:rPr>
        <w:t>’</w:t>
      </w:r>
      <w:r w:rsidR="00B0068A" w:rsidRPr="00C66CCC">
        <w:rPr>
          <w:lang w:val="fr-FR"/>
        </w:rPr>
        <w:t>obligation qui lui incombe en vertu de l</w:t>
      </w:r>
      <w:r w:rsidR="000A3D87">
        <w:rPr>
          <w:lang w:val="fr-FR"/>
        </w:rPr>
        <w:t>’</w:t>
      </w:r>
      <w:r w:rsidR="00B0068A" w:rsidRPr="00C66CCC">
        <w:rPr>
          <w:b/>
          <w:lang w:val="fr-FR"/>
        </w:rPr>
        <w:t>article 18,</w:t>
      </w:r>
      <w:r w:rsidR="00B0068A" w:rsidRPr="00C66CCC">
        <w:rPr>
          <w:lang w:val="fr-FR"/>
        </w:rPr>
        <w:t xml:space="preserve"> a présenté son quatrième-cinquième ra</w:t>
      </w:r>
      <w:r w:rsidR="00B0068A" w:rsidRPr="00C66CCC">
        <w:rPr>
          <w:lang w:val="fr-FR"/>
        </w:rPr>
        <w:t>p</w:t>
      </w:r>
      <w:r w:rsidR="00B0068A" w:rsidRPr="00C66CCC">
        <w:rPr>
          <w:lang w:val="fr-FR"/>
        </w:rPr>
        <w:t>port périodique (pour la période 1994–2002) exposant les progrès enregistrés dans la mise en œuvre de la Convention. Le rapport a été examiné lors des 638</w:t>
      </w:r>
      <w:r w:rsidR="00B0068A" w:rsidRPr="00C66CCC">
        <w:rPr>
          <w:vertAlign w:val="superscript"/>
          <w:lang w:val="fr-FR"/>
        </w:rPr>
        <w:t>e</w:t>
      </w:r>
      <w:r w:rsidR="00B0068A" w:rsidRPr="00C66CCC">
        <w:rPr>
          <w:lang w:val="fr-FR"/>
        </w:rPr>
        <w:t xml:space="preserve"> et 639</w:t>
      </w:r>
      <w:r w:rsidR="00B0068A" w:rsidRPr="00C66CCC">
        <w:rPr>
          <w:vertAlign w:val="superscript"/>
          <w:lang w:val="fr-FR"/>
        </w:rPr>
        <w:t>e</w:t>
      </w:r>
      <w:r w:rsidR="00B0068A" w:rsidRPr="00C66CCC">
        <w:rPr>
          <w:lang w:val="fr-FR"/>
        </w:rPr>
        <w:t xml:space="preserve"> séances du Comité à sa trentième session tenue à New York, du 12 au 30 janvier 2004. Le présent sixième rapport périodique met à profit les efforts consentis dans le passé pour la mise en œuvre de la Conve</w:t>
      </w:r>
      <w:r w:rsidR="00B0068A" w:rsidRPr="00C66CCC">
        <w:rPr>
          <w:lang w:val="fr-FR"/>
        </w:rPr>
        <w:t>n</w:t>
      </w:r>
      <w:r w:rsidR="00B0068A" w:rsidRPr="00C66CCC">
        <w:rPr>
          <w:lang w:val="fr-FR"/>
        </w:rPr>
        <w:t>tion dans le contexte du Nigéria.</w:t>
      </w:r>
    </w:p>
    <w:p w:rsidR="00C66CCC" w:rsidRPr="00C66CCC" w:rsidRDefault="00C66CCC" w:rsidP="00C66CCC">
      <w:pPr>
        <w:pStyle w:val="SingleTxt"/>
        <w:spacing w:after="0" w:line="120" w:lineRule="exact"/>
        <w:rPr>
          <w:sz w:val="10"/>
          <w:lang w:val="fr-FR"/>
        </w:rPr>
      </w:pPr>
    </w:p>
    <w:p w:rsidR="00C66CCC" w:rsidRPr="00C66CCC" w:rsidRDefault="00C66CCC" w:rsidP="00C66CCC">
      <w:pPr>
        <w:pStyle w:val="SingleTxt"/>
        <w:spacing w:after="0" w:line="120" w:lineRule="exact"/>
        <w:rPr>
          <w:b/>
          <w:color w:val="0000FF"/>
          <w:sz w:val="10"/>
          <w:lang w:val="fr-FR"/>
        </w:rPr>
      </w:pPr>
    </w:p>
    <w:p w:rsidR="00B0068A" w:rsidRDefault="00C66CCC" w:rsidP="00C66CC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0068A" w:rsidRPr="00C66CCC">
        <w:rPr>
          <w:lang w:val="fr-FR"/>
        </w:rPr>
        <w:t>Profil démographique et organisation administrative du Nigéria</w:t>
      </w:r>
    </w:p>
    <w:p w:rsidR="00C66CCC" w:rsidRPr="00C66CCC" w:rsidRDefault="00C66CCC" w:rsidP="00C66CCC">
      <w:pPr>
        <w:pStyle w:val="SingleTxt"/>
        <w:spacing w:after="0" w:line="120" w:lineRule="exact"/>
        <w:rPr>
          <w:sz w:val="10"/>
          <w:lang w:val="fr-FR"/>
        </w:rPr>
      </w:pPr>
    </w:p>
    <w:p w:rsidR="00B0068A" w:rsidRDefault="00C66CCC" w:rsidP="00C66C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0068A" w:rsidRPr="00C66CCC">
        <w:rPr>
          <w:lang w:val="fr-FR"/>
        </w:rPr>
        <w:t>Géographie et population</w:t>
      </w:r>
    </w:p>
    <w:p w:rsidR="00C66CCC" w:rsidRPr="00C66CCC" w:rsidRDefault="00C66CCC" w:rsidP="00C66CCC">
      <w:pPr>
        <w:pStyle w:val="SingleTxt"/>
        <w:spacing w:after="0" w:line="120" w:lineRule="exact"/>
        <w:rPr>
          <w:sz w:val="10"/>
          <w:lang w:val="fr-FR"/>
        </w:rPr>
      </w:pPr>
    </w:p>
    <w:p w:rsidR="00B0068A" w:rsidRPr="00C66CCC" w:rsidRDefault="00C66CCC" w:rsidP="00C66CCC">
      <w:pPr>
        <w:pStyle w:val="SingleTxt"/>
        <w:rPr>
          <w:bCs/>
          <w:lang w:val="fr-FR"/>
        </w:rPr>
      </w:pPr>
      <w:r>
        <w:rPr>
          <w:bCs/>
          <w:lang w:val="fr-FR"/>
        </w:rPr>
        <w:tab/>
      </w:r>
      <w:r w:rsidR="00B0068A" w:rsidRPr="00C66CCC">
        <w:rPr>
          <w:bCs/>
          <w:lang w:val="fr-FR"/>
        </w:rPr>
        <w:t>Le Nigéria s</w:t>
      </w:r>
      <w:r w:rsidR="000A3D87">
        <w:rPr>
          <w:bCs/>
          <w:lang w:val="fr-FR"/>
        </w:rPr>
        <w:t>’</w:t>
      </w:r>
      <w:r w:rsidR="00B0068A" w:rsidRPr="00C66CCC">
        <w:rPr>
          <w:bCs/>
          <w:lang w:val="fr-FR"/>
        </w:rPr>
        <w:t>étend entre les 4</w:t>
      </w:r>
      <w:r w:rsidR="00B0068A" w:rsidRPr="00C66CCC">
        <w:rPr>
          <w:bCs/>
          <w:vertAlign w:val="superscript"/>
          <w:lang w:val="fr-FR"/>
        </w:rPr>
        <w:t>o</w:t>
      </w:r>
      <w:r w:rsidR="00B0068A" w:rsidRPr="00C66CCC">
        <w:rPr>
          <w:bCs/>
          <w:lang w:val="fr-FR"/>
        </w:rPr>
        <w:t>16</w:t>
      </w:r>
      <w:r w:rsidR="000A3D87">
        <w:rPr>
          <w:bCs/>
          <w:vertAlign w:val="superscript"/>
          <w:lang w:val="fr-FR"/>
        </w:rPr>
        <w:t>’</w:t>
      </w:r>
      <w:r w:rsidR="00B0068A" w:rsidRPr="00C66CCC">
        <w:rPr>
          <w:bCs/>
          <w:vertAlign w:val="superscript"/>
          <w:lang w:val="fr-FR"/>
        </w:rPr>
        <w:t xml:space="preserve"> </w:t>
      </w:r>
      <w:r w:rsidR="00B0068A" w:rsidRPr="00C66CCC">
        <w:rPr>
          <w:bCs/>
          <w:lang w:val="fr-FR"/>
        </w:rPr>
        <w:t>et 13</w:t>
      </w:r>
      <w:r w:rsidR="00B0068A" w:rsidRPr="00C66CCC">
        <w:rPr>
          <w:bCs/>
          <w:vertAlign w:val="superscript"/>
          <w:lang w:val="fr-FR"/>
        </w:rPr>
        <w:t>o</w:t>
      </w:r>
      <w:r w:rsidR="00B0068A" w:rsidRPr="00C66CCC">
        <w:rPr>
          <w:bCs/>
          <w:lang w:val="fr-FR"/>
        </w:rPr>
        <w:t>53 de latitude Nord et entre les 2</w:t>
      </w:r>
      <w:r w:rsidR="00B0068A" w:rsidRPr="00C66CCC">
        <w:rPr>
          <w:bCs/>
          <w:vertAlign w:val="superscript"/>
          <w:lang w:val="fr-FR"/>
        </w:rPr>
        <w:t>o</w:t>
      </w:r>
      <w:r w:rsidR="00B0068A" w:rsidRPr="00C66CCC">
        <w:rPr>
          <w:bCs/>
          <w:lang w:val="fr-FR"/>
        </w:rPr>
        <w:t>40</w:t>
      </w:r>
      <w:r w:rsidR="000A3D87">
        <w:rPr>
          <w:bCs/>
          <w:vertAlign w:val="superscript"/>
          <w:lang w:val="fr-FR"/>
        </w:rPr>
        <w:t>’</w:t>
      </w:r>
      <w:r w:rsidR="00B0068A" w:rsidRPr="00C66CCC">
        <w:rPr>
          <w:bCs/>
          <w:lang w:val="fr-FR"/>
        </w:rPr>
        <w:t xml:space="preserve"> et 14</w:t>
      </w:r>
      <w:r w:rsidR="00B0068A" w:rsidRPr="00C66CCC">
        <w:rPr>
          <w:bCs/>
          <w:vertAlign w:val="superscript"/>
          <w:lang w:val="fr-FR"/>
        </w:rPr>
        <w:t>o</w:t>
      </w:r>
      <w:r w:rsidR="00B0068A" w:rsidRPr="00C66CCC">
        <w:rPr>
          <w:bCs/>
          <w:lang w:val="fr-FR"/>
        </w:rPr>
        <w:t>41</w:t>
      </w:r>
      <w:r w:rsidR="000A3D87">
        <w:rPr>
          <w:bCs/>
          <w:lang w:val="fr-FR"/>
        </w:rPr>
        <w:t>’</w:t>
      </w:r>
      <w:r w:rsidR="00B0068A" w:rsidRPr="00C66CCC">
        <w:rPr>
          <w:bCs/>
          <w:lang w:val="fr-FR"/>
        </w:rPr>
        <w:t xml:space="preserve"> de long</w:t>
      </w:r>
      <w:r w:rsidR="00B0068A" w:rsidRPr="00C66CCC">
        <w:rPr>
          <w:bCs/>
          <w:lang w:val="fr-FR"/>
        </w:rPr>
        <w:t>i</w:t>
      </w:r>
      <w:r w:rsidR="00B0068A" w:rsidRPr="00C66CCC">
        <w:rPr>
          <w:bCs/>
          <w:lang w:val="fr-FR"/>
        </w:rPr>
        <w:t>tude Est. Il est situé en Afrique de l</w:t>
      </w:r>
      <w:r w:rsidR="000A3D87">
        <w:rPr>
          <w:bCs/>
          <w:lang w:val="fr-FR"/>
        </w:rPr>
        <w:t>’</w:t>
      </w:r>
      <w:r w:rsidR="00B0068A" w:rsidRPr="00C66CCC">
        <w:rPr>
          <w:bCs/>
          <w:lang w:val="fr-FR"/>
        </w:rPr>
        <w:t>Ouest, limité à l</w:t>
      </w:r>
      <w:r w:rsidR="000A3D87">
        <w:rPr>
          <w:bCs/>
          <w:lang w:val="fr-FR"/>
        </w:rPr>
        <w:t>’</w:t>
      </w:r>
      <w:r w:rsidR="00B0068A" w:rsidRPr="00C66CCC">
        <w:rPr>
          <w:bCs/>
          <w:lang w:val="fr-FR"/>
        </w:rPr>
        <w:t>Ouest par la République du Bénin, au Nord par la République du Niger et à l</w:t>
      </w:r>
      <w:r w:rsidR="000A3D87">
        <w:rPr>
          <w:bCs/>
          <w:lang w:val="fr-FR"/>
        </w:rPr>
        <w:t>’</w:t>
      </w:r>
      <w:r w:rsidR="00B0068A" w:rsidRPr="00C66CCC">
        <w:rPr>
          <w:bCs/>
          <w:lang w:val="fr-FR"/>
        </w:rPr>
        <w:t>Est par la République du Cameroun. Au Sud, le Nigéria est limité par l</w:t>
      </w:r>
      <w:r w:rsidR="000A3D87">
        <w:rPr>
          <w:bCs/>
          <w:lang w:val="fr-FR"/>
        </w:rPr>
        <w:t>’</w:t>
      </w:r>
      <w:r w:rsidR="00B0068A" w:rsidRPr="00C66CCC">
        <w:rPr>
          <w:bCs/>
          <w:lang w:val="fr-FR"/>
        </w:rPr>
        <w:t>Océan Atlantique, sur quelque 800 kilomètres, allant de Badagry à l</w:t>
      </w:r>
      <w:r w:rsidR="000A3D87">
        <w:rPr>
          <w:bCs/>
          <w:lang w:val="fr-FR"/>
        </w:rPr>
        <w:t>’</w:t>
      </w:r>
      <w:r w:rsidR="00B0068A" w:rsidRPr="00C66CCC">
        <w:rPr>
          <w:bCs/>
          <w:lang w:val="fr-FR"/>
        </w:rPr>
        <w:t>Ouest au Rio del Rey à l</w:t>
      </w:r>
      <w:r w:rsidR="000A3D87">
        <w:rPr>
          <w:bCs/>
          <w:lang w:val="fr-FR"/>
        </w:rPr>
        <w:t>’</w:t>
      </w:r>
      <w:r w:rsidR="00B0068A" w:rsidRPr="00C66CCC">
        <w:rPr>
          <w:bCs/>
          <w:lang w:val="fr-FR"/>
        </w:rPr>
        <w:t>Est. Sa superficie est de 923 768 kilomètres carrés et la végétation va de la f</w:t>
      </w:r>
      <w:r w:rsidR="00B0068A" w:rsidRPr="00C66CCC">
        <w:rPr>
          <w:bCs/>
          <w:lang w:val="fr-FR"/>
        </w:rPr>
        <w:t>o</w:t>
      </w:r>
      <w:r w:rsidR="00B0068A" w:rsidRPr="00C66CCC">
        <w:rPr>
          <w:bCs/>
          <w:lang w:val="fr-FR"/>
        </w:rPr>
        <w:t>rêt de palétuviers sur la côte au désert dans l</w:t>
      </w:r>
      <w:r w:rsidR="000A3D87">
        <w:rPr>
          <w:bCs/>
          <w:lang w:val="fr-FR"/>
        </w:rPr>
        <w:t>’</w:t>
      </w:r>
      <w:r w:rsidR="00B0068A" w:rsidRPr="00C66CCC">
        <w:rPr>
          <w:bCs/>
          <w:lang w:val="fr-FR"/>
        </w:rPr>
        <w:t>extrême-Nord.</w:t>
      </w:r>
    </w:p>
    <w:p w:rsidR="00621401" w:rsidRPr="00D35192" w:rsidRDefault="002B0141" w:rsidP="00621401">
      <w:pPr>
        <w:pStyle w:val="Figures"/>
        <w:jc w:val="both"/>
        <w:rPr>
          <w:sz w:val="18"/>
          <w:lang w:val="fr-FR"/>
        </w:rPr>
      </w:pPr>
      <w:r>
        <w:rPr>
          <w:noProof/>
        </w:rPr>
        <w:pict>
          <v:shapetype id="_x0000_t202" coordsize="21600,21600" o:spt="202" path="m,l,21600r21600,l21600,xe">
            <v:stroke joinstyle="miter"/>
            <v:path gradientshapeok="t" o:connecttype="rect"/>
          </v:shapetype>
          <v:shape id="_x0000_s2060" type="#_x0000_t202" style="position:absolute;left:0;text-align:left;margin-left:304.3pt;margin-top:13pt;width:126pt;height:243pt;z-index:2">
            <v:textbox>
              <w:txbxContent>
                <w:p w:rsidR="00D32F3D" w:rsidRDefault="00D32F3D">
                  <w:r w:rsidRPr="00C66CCC">
                    <w:rPr>
                      <w:bCs/>
                      <w:lang w:val="fr-FR"/>
                    </w:rPr>
                    <w:t>La structure administrative et pol</w:t>
                  </w:r>
                  <w:r w:rsidRPr="00C66CCC">
                    <w:rPr>
                      <w:bCs/>
                      <w:lang w:val="fr-FR"/>
                    </w:rPr>
                    <w:t>i</w:t>
                  </w:r>
                  <w:r w:rsidRPr="00C66CCC">
                    <w:rPr>
                      <w:bCs/>
                      <w:lang w:val="fr-FR"/>
                    </w:rPr>
                    <w:t>tique en place depuis le retour au régime démocratique, en mai 1999, subsiste encore dans le pays. Les États, les administrations locales et les zones géopolitiques dont il a été fait mention dans le précédent ra</w:t>
                  </w:r>
                  <w:r w:rsidRPr="00C66CCC">
                    <w:rPr>
                      <w:bCs/>
                      <w:lang w:val="fr-FR"/>
                    </w:rPr>
                    <w:t>p</w:t>
                  </w:r>
                  <w:r w:rsidRPr="00C66CCC">
                    <w:rPr>
                      <w:bCs/>
                      <w:lang w:val="fr-FR"/>
                    </w:rPr>
                    <w:t xml:space="preserve">port de pays, continuent de servir de structures de gouvernance. Il existe actuellement 774 zones d’administration locale dans le pays. Celui-ci a </w:t>
                  </w:r>
                  <w:r>
                    <w:rPr>
                      <w:bCs/>
                      <w:lang w:val="fr-FR"/>
                    </w:rPr>
                    <w:t xml:space="preserve">un </w:t>
                  </w:r>
                  <w:r w:rsidRPr="00C66CCC">
                    <w:rPr>
                      <w:bCs/>
                      <w:lang w:val="fr-FR"/>
                    </w:rPr>
                    <w:t xml:space="preserve">système présidentiel </w:t>
                  </w:r>
                </w:p>
              </w:txbxContent>
            </v:textbox>
          </v:shape>
        </w:pict>
      </w:r>
      <w:r w:rsidR="00621401" w:rsidRPr="00D35192">
        <w:rPr>
          <w:sz w:val="18"/>
          <w:lang w:val="fr-FR"/>
        </w:rPr>
        <w:tab/>
      </w:r>
      <w:r w:rsidR="00621401" w:rsidRPr="00D35192">
        <w:rPr>
          <w:sz w:val="18"/>
          <w:lang w:val="fr-FR"/>
        </w:rPr>
        <w:tab/>
      </w:r>
      <w:r w:rsidR="00621401" w:rsidRPr="00D35192">
        <w:rPr>
          <w:sz w:val="18"/>
          <w:lang w:val="fr-FR"/>
        </w:rPr>
        <w:tab/>
        <w:t xml:space="preserve">Figure 1.1— États de la République fédérale du Nigeria </w:t>
      </w:r>
    </w:p>
    <w:p w:rsidR="00621401" w:rsidRPr="00621401" w:rsidRDefault="00621401" w:rsidP="00621401">
      <w:pPr>
        <w:pStyle w:val="SingleTxt"/>
        <w:spacing w:after="0" w:line="120" w:lineRule="exact"/>
        <w:rPr>
          <w:bCs/>
          <w:sz w:val="10"/>
          <w:szCs w:val="24"/>
          <w:lang w:val="fr-FR"/>
        </w:rPr>
      </w:pPr>
    </w:p>
    <w:p w:rsidR="00621401" w:rsidRDefault="002B0141" w:rsidP="00621401">
      <w:pPr>
        <w:pStyle w:val="SingleTxt"/>
        <w:spacing w:after="0" w:line="240" w:lineRule="auto"/>
        <w:rPr>
          <w:bCs/>
          <w:sz w:val="24"/>
          <w:szCs w:val="24"/>
          <w:lang w:val="fr-FR"/>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75pt;height:195pt">
            <v:imagedata r:id="rId14" o:title=""/>
          </v:shape>
        </w:pict>
      </w:r>
    </w:p>
    <w:p w:rsidR="00621401" w:rsidRPr="00D35192" w:rsidRDefault="00621401" w:rsidP="00621401">
      <w:pPr>
        <w:rPr>
          <w:b/>
          <w:sz w:val="16"/>
          <w:szCs w:val="16"/>
          <w:lang w:val="en-CA"/>
        </w:rPr>
      </w:pPr>
      <w:r>
        <w:rPr>
          <w:b/>
          <w:i/>
          <w:sz w:val="16"/>
          <w:szCs w:val="16"/>
        </w:rPr>
        <w:tab/>
      </w:r>
      <w:r>
        <w:rPr>
          <w:b/>
          <w:i/>
          <w:sz w:val="16"/>
          <w:szCs w:val="16"/>
        </w:rPr>
        <w:tab/>
      </w:r>
      <w:r>
        <w:rPr>
          <w:b/>
          <w:i/>
          <w:sz w:val="16"/>
          <w:szCs w:val="16"/>
        </w:rPr>
        <w:tab/>
      </w:r>
      <w:r w:rsidRPr="00D35192">
        <w:rPr>
          <w:b/>
          <w:i/>
          <w:sz w:val="16"/>
          <w:szCs w:val="16"/>
          <w:lang w:val="en-CA"/>
        </w:rPr>
        <w:t>Source: Children</w:t>
      </w:r>
      <w:r w:rsidR="000A3D87" w:rsidRPr="00D35192">
        <w:rPr>
          <w:b/>
          <w:i/>
          <w:sz w:val="16"/>
          <w:szCs w:val="16"/>
          <w:lang w:val="en-CA"/>
        </w:rPr>
        <w:t>’</w:t>
      </w:r>
      <w:r w:rsidRPr="00D35192">
        <w:rPr>
          <w:b/>
          <w:i/>
          <w:sz w:val="16"/>
          <w:szCs w:val="16"/>
          <w:lang w:val="en-CA"/>
        </w:rPr>
        <w:t>s &amp; Women</w:t>
      </w:r>
      <w:r w:rsidR="000A3D87" w:rsidRPr="00D35192">
        <w:rPr>
          <w:b/>
          <w:i/>
          <w:sz w:val="16"/>
          <w:szCs w:val="16"/>
          <w:lang w:val="en-CA"/>
        </w:rPr>
        <w:t>’</w:t>
      </w:r>
      <w:r w:rsidRPr="00D35192">
        <w:rPr>
          <w:b/>
          <w:i/>
          <w:sz w:val="16"/>
          <w:szCs w:val="16"/>
          <w:lang w:val="en-CA"/>
        </w:rPr>
        <w:t xml:space="preserve">s Rights in </w:t>
      </w:r>
      <w:smartTag w:uri="urn:schemas-microsoft-com:office:smarttags" w:element="country-region">
        <w:smartTag w:uri="urn:schemas-microsoft-com:office:smarttags" w:element="place">
          <w:r w:rsidRPr="00D35192">
            <w:rPr>
              <w:b/>
              <w:i/>
              <w:sz w:val="16"/>
              <w:szCs w:val="16"/>
              <w:lang w:val="en-CA"/>
            </w:rPr>
            <w:t>Nigeria</w:t>
          </w:r>
        </w:smartTag>
      </w:smartTag>
      <w:r w:rsidRPr="00D35192">
        <w:rPr>
          <w:b/>
          <w:i/>
          <w:sz w:val="16"/>
          <w:szCs w:val="16"/>
          <w:lang w:val="en-CA"/>
        </w:rPr>
        <w:t xml:space="preserve">: </w:t>
      </w:r>
      <w:r w:rsidR="002B0141" w:rsidRPr="00D35192">
        <w:rPr>
          <w:b/>
          <w:i/>
          <w:sz w:val="16"/>
          <w:szCs w:val="16"/>
          <w:lang w:val="en-CA"/>
        </w:rPr>
        <w:br/>
      </w:r>
      <w:r w:rsidR="002B0141" w:rsidRPr="00D35192">
        <w:rPr>
          <w:b/>
          <w:i/>
          <w:sz w:val="16"/>
          <w:szCs w:val="16"/>
          <w:lang w:val="en-CA"/>
        </w:rPr>
        <w:tab/>
      </w:r>
      <w:r w:rsidR="002B0141" w:rsidRPr="00D35192">
        <w:rPr>
          <w:b/>
          <w:i/>
          <w:sz w:val="16"/>
          <w:szCs w:val="16"/>
          <w:lang w:val="en-CA"/>
        </w:rPr>
        <w:tab/>
      </w:r>
      <w:r w:rsidR="002B0141" w:rsidRPr="00D35192">
        <w:rPr>
          <w:b/>
          <w:i/>
          <w:sz w:val="16"/>
          <w:szCs w:val="16"/>
          <w:lang w:val="en-CA"/>
        </w:rPr>
        <w:tab/>
      </w:r>
      <w:r w:rsidRPr="00D35192">
        <w:rPr>
          <w:b/>
          <w:i/>
          <w:sz w:val="16"/>
          <w:szCs w:val="16"/>
          <w:lang w:val="en-CA"/>
        </w:rPr>
        <w:t>A Wake-up Call (SAA-2001)</w:t>
      </w:r>
    </w:p>
    <w:p w:rsidR="00621401" w:rsidRPr="00D35192" w:rsidRDefault="00621401" w:rsidP="00621401">
      <w:pPr>
        <w:pStyle w:val="SingleTxt"/>
        <w:spacing w:after="0" w:line="240" w:lineRule="auto"/>
        <w:rPr>
          <w:bCs/>
          <w:sz w:val="24"/>
          <w:szCs w:val="24"/>
          <w:lang w:val="en-CA"/>
        </w:rPr>
      </w:pPr>
    </w:p>
    <w:p w:rsidR="00621401" w:rsidRPr="00D35192" w:rsidRDefault="00621401" w:rsidP="00621401">
      <w:pPr>
        <w:pStyle w:val="SingleTxt"/>
        <w:spacing w:after="0" w:line="240" w:lineRule="auto"/>
        <w:rPr>
          <w:bCs/>
          <w:sz w:val="24"/>
          <w:szCs w:val="24"/>
          <w:lang w:val="en-CA"/>
        </w:rPr>
      </w:pPr>
    </w:p>
    <w:p w:rsidR="00621401" w:rsidRPr="00D35192" w:rsidRDefault="00621401" w:rsidP="00621401">
      <w:pPr>
        <w:pStyle w:val="SingleTxt"/>
        <w:spacing w:after="0" w:line="240" w:lineRule="auto"/>
        <w:rPr>
          <w:bCs/>
          <w:sz w:val="24"/>
          <w:szCs w:val="24"/>
          <w:lang w:val="en-CA"/>
        </w:rPr>
      </w:pPr>
    </w:p>
    <w:p w:rsidR="00B0068A" w:rsidRDefault="002B0141" w:rsidP="00430042">
      <w:pPr>
        <w:pStyle w:val="SingleTxt"/>
        <w:spacing w:line="240" w:lineRule="auto"/>
        <w:rPr>
          <w:bCs/>
          <w:lang w:val="fr-FR"/>
        </w:rPr>
      </w:pPr>
      <w:r w:rsidRPr="002B0141">
        <w:rPr>
          <w:bCs/>
          <w:lang w:val="fr-FR"/>
        </w:rPr>
        <w:t>à trois niveaux</w:t>
      </w:r>
      <w:r>
        <w:rPr>
          <w:bCs/>
          <w:sz w:val="24"/>
          <w:szCs w:val="24"/>
          <w:lang w:val="fr-FR"/>
        </w:rPr>
        <w:t xml:space="preserve"> </w:t>
      </w:r>
      <w:r w:rsidR="00B0068A" w:rsidRPr="00C66CCC">
        <w:rPr>
          <w:bCs/>
          <w:lang w:val="fr-FR"/>
        </w:rPr>
        <w:t>avec l</w:t>
      </w:r>
      <w:r w:rsidR="000A3D87">
        <w:rPr>
          <w:bCs/>
          <w:lang w:val="fr-FR"/>
        </w:rPr>
        <w:t>’</w:t>
      </w:r>
      <w:r w:rsidR="00B0068A" w:rsidRPr="00C66CCC">
        <w:rPr>
          <w:bCs/>
          <w:lang w:val="fr-FR"/>
        </w:rPr>
        <w:t>administration fédérale const</w:t>
      </w:r>
      <w:r w:rsidR="00B0068A" w:rsidRPr="00C66CCC">
        <w:rPr>
          <w:bCs/>
          <w:lang w:val="fr-FR"/>
        </w:rPr>
        <w:t>i</w:t>
      </w:r>
      <w:r w:rsidR="00B0068A" w:rsidRPr="00C66CCC">
        <w:rPr>
          <w:bCs/>
          <w:lang w:val="fr-FR"/>
        </w:rPr>
        <w:t>tuée d</w:t>
      </w:r>
      <w:r w:rsidR="000A3D87">
        <w:rPr>
          <w:bCs/>
          <w:lang w:val="fr-FR"/>
        </w:rPr>
        <w:t>’</w:t>
      </w:r>
      <w:r w:rsidR="00B0068A" w:rsidRPr="00C66CCC">
        <w:rPr>
          <w:bCs/>
          <w:lang w:val="fr-FR"/>
        </w:rPr>
        <w:t>un pouvoir exécutif, d</w:t>
      </w:r>
      <w:r w:rsidR="000A3D87">
        <w:rPr>
          <w:bCs/>
          <w:lang w:val="fr-FR"/>
        </w:rPr>
        <w:t>’</w:t>
      </w:r>
      <w:r w:rsidR="00B0068A" w:rsidRPr="00C66CCC">
        <w:rPr>
          <w:bCs/>
          <w:lang w:val="fr-FR"/>
        </w:rPr>
        <w:t>un pouvoir législatif à deux chambres et d</w:t>
      </w:r>
      <w:r w:rsidR="000A3D87">
        <w:rPr>
          <w:bCs/>
          <w:lang w:val="fr-FR"/>
        </w:rPr>
        <w:t>’</w:t>
      </w:r>
      <w:r w:rsidR="00B0068A" w:rsidRPr="00C66CCC">
        <w:rPr>
          <w:bCs/>
          <w:lang w:val="fr-FR"/>
        </w:rPr>
        <w:t>un pouvoir judiciaire. Chaque État a un système exécutif et une assemblée indépendants et chaque administration l</w:t>
      </w:r>
      <w:r w:rsidR="00B0068A" w:rsidRPr="00C66CCC">
        <w:rPr>
          <w:bCs/>
          <w:lang w:val="fr-FR"/>
        </w:rPr>
        <w:t>o</w:t>
      </w:r>
      <w:r w:rsidR="00B0068A" w:rsidRPr="00C66CCC">
        <w:rPr>
          <w:bCs/>
          <w:lang w:val="fr-FR"/>
        </w:rPr>
        <w:t>cale est dirigée par un président et un conseil.</w:t>
      </w:r>
    </w:p>
    <w:p w:rsidR="00B0068A" w:rsidRPr="005D6CD4" w:rsidRDefault="00C66CCC" w:rsidP="00C66CCC">
      <w:pPr>
        <w:pStyle w:val="SingleTxt"/>
        <w:rPr>
          <w:bCs/>
          <w:sz w:val="24"/>
          <w:szCs w:val="24"/>
          <w:lang w:val="fr-FR"/>
        </w:rPr>
      </w:pPr>
      <w:r>
        <w:rPr>
          <w:bCs/>
          <w:lang w:val="fr-FR"/>
        </w:rPr>
        <w:tab/>
      </w:r>
      <w:r w:rsidR="00B0068A" w:rsidRPr="00C66CCC">
        <w:rPr>
          <w:bCs/>
          <w:lang w:val="fr-FR"/>
        </w:rPr>
        <w:t>Le recensement de 1991 a estimé la population à 88 992 220 habitants. Sur la base du taux d</w:t>
      </w:r>
      <w:r w:rsidR="000A3D87">
        <w:rPr>
          <w:bCs/>
          <w:lang w:val="fr-FR"/>
        </w:rPr>
        <w:t>’</w:t>
      </w:r>
      <w:r w:rsidR="00B0068A" w:rsidRPr="00C66CCC">
        <w:rPr>
          <w:bCs/>
          <w:lang w:val="fr-FR"/>
        </w:rPr>
        <w:t>accroissement prévu de 2,83 % par an, la population estimative actuelle en 2004 se chiffre à 126 millions environ, dont près de 49,7 % devraient être des femmes. Les résultats du recens</w:t>
      </w:r>
      <w:r w:rsidR="00B0068A" w:rsidRPr="00C66CCC">
        <w:rPr>
          <w:bCs/>
          <w:lang w:val="fr-FR"/>
        </w:rPr>
        <w:t>e</w:t>
      </w:r>
      <w:r w:rsidR="00B0068A" w:rsidRPr="00C66CCC">
        <w:rPr>
          <w:bCs/>
          <w:lang w:val="fr-FR"/>
        </w:rPr>
        <w:t>ment de mars 2006 ne sont toujours pas connus, mais il est peu probable qu</w:t>
      </w:r>
      <w:r w:rsidR="000A3D87">
        <w:rPr>
          <w:bCs/>
          <w:lang w:val="fr-FR"/>
        </w:rPr>
        <w:t>’</w:t>
      </w:r>
      <w:r w:rsidR="00B0068A" w:rsidRPr="00C66CCC">
        <w:rPr>
          <w:bCs/>
          <w:lang w:val="fr-FR"/>
        </w:rPr>
        <w:t>ils changent le st</w:t>
      </w:r>
      <w:r w:rsidR="00B0068A" w:rsidRPr="00C66CCC">
        <w:rPr>
          <w:bCs/>
          <w:lang w:val="fr-FR"/>
        </w:rPr>
        <w:t>a</w:t>
      </w:r>
      <w:r w:rsidR="00B0068A" w:rsidRPr="00C66CCC">
        <w:rPr>
          <w:bCs/>
          <w:lang w:val="fr-FR"/>
        </w:rPr>
        <w:t>tut du Nigéria en tant que le pays le plus peuplé d</w:t>
      </w:r>
      <w:r w:rsidR="000A3D87">
        <w:rPr>
          <w:bCs/>
          <w:lang w:val="fr-FR"/>
        </w:rPr>
        <w:t>’</w:t>
      </w:r>
      <w:r w:rsidR="00B0068A" w:rsidRPr="00C66CCC">
        <w:rPr>
          <w:bCs/>
          <w:lang w:val="fr-FR"/>
        </w:rPr>
        <w:t>Afrique et le dixième pays le plus peuplé au monde. Le Nigéria demeure un pays à prédominance rurale, un tiers environ de la population vivant en milieu urbain, les deux autres tiers se trouvant dans les zones rurales.</w:t>
      </w:r>
    </w:p>
    <w:tbl>
      <w:tblPr>
        <w:tblpPr w:leftFromText="180" w:rightFromText="180" w:vertAnchor="text" w:horzAnchor="margin" w:tblpXSpec="right" w:tblpY="194"/>
        <w:tblOverlap w:val="never"/>
        <w:tblW w:w="0" w:type="auto"/>
        <w:tblLayout w:type="fixed"/>
        <w:tblLook w:val="01E0"/>
      </w:tblPr>
      <w:tblGrid>
        <w:gridCol w:w="1800"/>
        <w:gridCol w:w="900"/>
        <w:gridCol w:w="1080"/>
        <w:gridCol w:w="720"/>
      </w:tblGrid>
      <w:tr w:rsidR="00B0068A" w:rsidRPr="00C66CCC">
        <w:trPr>
          <w:tblHeader/>
        </w:trPr>
        <w:tc>
          <w:tcPr>
            <w:tcW w:w="4500" w:type="dxa"/>
            <w:gridSpan w:val="4"/>
            <w:tcBorders>
              <w:top w:val="single" w:sz="4" w:space="0" w:color="auto"/>
              <w:bottom w:val="single" w:sz="12" w:space="0" w:color="auto"/>
            </w:tcBorders>
            <w:shd w:val="clear" w:color="auto" w:fill="auto"/>
            <w:vAlign w:val="bottom"/>
          </w:tcPr>
          <w:p w:rsidR="00B0068A" w:rsidRPr="00C66CCC" w:rsidRDefault="00B0068A" w:rsidP="00C66CCC">
            <w:pPr>
              <w:suppressAutoHyphens/>
              <w:spacing w:before="80" w:after="80" w:line="160" w:lineRule="exact"/>
              <w:ind w:right="43"/>
              <w:rPr>
                <w:b/>
                <w:bCs/>
                <w:i/>
                <w:sz w:val="14"/>
                <w:szCs w:val="22"/>
                <w:lang w:val="fr-FR"/>
              </w:rPr>
            </w:pPr>
            <w:r w:rsidRPr="00C66CCC">
              <w:rPr>
                <w:b/>
                <w:bCs/>
                <w:i/>
                <w:sz w:val="14"/>
                <w:szCs w:val="22"/>
                <w:lang w:val="fr-FR"/>
              </w:rPr>
              <w:t xml:space="preserve">Tableau 1.1 </w:t>
            </w:r>
            <w:r w:rsidR="002D5B1A">
              <w:rPr>
                <w:b/>
                <w:bCs/>
                <w:i/>
                <w:sz w:val="14"/>
                <w:szCs w:val="22"/>
                <w:lang w:val="fr-FR"/>
              </w:rPr>
              <w:br/>
            </w:r>
            <w:r w:rsidRPr="00C66CCC">
              <w:rPr>
                <w:b/>
                <w:bCs/>
                <w:i/>
                <w:sz w:val="14"/>
                <w:szCs w:val="22"/>
                <w:lang w:val="fr-FR"/>
              </w:rPr>
              <w:t xml:space="preserve">Taux de croissance du PIB en pourcentage et en valeur réelle, </w:t>
            </w:r>
            <w:r w:rsidR="002D5B1A">
              <w:rPr>
                <w:b/>
                <w:bCs/>
                <w:i/>
                <w:sz w:val="14"/>
                <w:szCs w:val="22"/>
                <w:lang w:val="fr-FR"/>
              </w:rPr>
              <w:br/>
            </w:r>
            <w:r w:rsidRPr="00C66CCC">
              <w:rPr>
                <w:b/>
                <w:bCs/>
                <w:i/>
                <w:sz w:val="14"/>
                <w:szCs w:val="22"/>
                <w:lang w:val="fr-FR"/>
              </w:rPr>
              <w:t xml:space="preserve">2002-2004 </w:t>
            </w:r>
          </w:p>
        </w:tc>
      </w:tr>
      <w:tr w:rsidR="00C66CCC" w:rsidRPr="00C66CCC">
        <w:trPr>
          <w:trHeight w:hRule="exact" w:val="115"/>
          <w:tblHeader/>
        </w:trPr>
        <w:tc>
          <w:tcPr>
            <w:tcW w:w="1800" w:type="dxa"/>
            <w:tcBorders>
              <w:top w:val="single" w:sz="12" w:space="0" w:color="auto"/>
            </w:tcBorders>
            <w:shd w:val="clear" w:color="auto" w:fill="auto"/>
            <w:vAlign w:val="bottom"/>
          </w:tcPr>
          <w:p w:rsidR="00C66CCC" w:rsidRPr="00C66CCC" w:rsidRDefault="00C66CCC" w:rsidP="00C66CCC">
            <w:pPr>
              <w:suppressAutoHyphens/>
              <w:spacing w:before="40" w:after="40" w:line="210" w:lineRule="exact"/>
              <w:ind w:right="43"/>
              <w:jc w:val="right"/>
              <w:rPr>
                <w:b/>
                <w:bCs/>
                <w:sz w:val="17"/>
                <w:szCs w:val="22"/>
                <w:lang w:val="fr-FR"/>
              </w:rPr>
            </w:pPr>
          </w:p>
        </w:tc>
        <w:tc>
          <w:tcPr>
            <w:tcW w:w="900" w:type="dxa"/>
            <w:tcBorders>
              <w:top w:val="single" w:sz="12" w:space="0" w:color="auto"/>
            </w:tcBorders>
            <w:shd w:val="clear" w:color="auto" w:fill="auto"/>
            <w:vAlign w:val="bottom"/>
          </w:tcPr>
          <w:p w:rsidR="00C66CCC" w:rsidRPr="00C66CCC" w:rsidRDefault="00C66CCC" w:rsidP="00C66CCC">
            <w:pPr>
              <w:suppressAutoHyphens/>
              <w:spacing w:before="40" w:after="40" w:line="210" w:lineRule="exact"/>
              <w:ind w:right="43"/>
              <w:jc w:val="right"/>
              <w:rPr>
                <w:b/>
                <w:bCs/>
                <w:sz w:val="17"/>
                <w:szCs w:val="22"/>
                <w:lang w:val="fr-FR"/>
              </w:rPr>
            </w:pPr>
          </w:p>
        </w:tc>
        <w:tc>
          <w:tcPr>
            <w:tcW w:w="1080" w:type="dxa"/>
            <w:tcBorders>
              <w:top w:val="single" w:sz="12" w:space="0" w:color="auto"/>
            </w:tcBorders>
            <w:shd w:val="clear" w:color="auto" w:fill="auto"/>
            <w:vAlign w:val="bottom"/>
          </w:tcPr>
          <w:p w:rsidR="00C66CCC" w:rsidRPr="00C66CCC" w:rsidRDefault="00C66CCC" w:rsidP="00C66CCC">
            <w:pPr>
              <w:suppressAutoHyphens/>
              <w:spacing w:before="40" w:after="40" w:line="210" w:lineRule="exact"/>
              <w:ind w:right="43"/>
              <w:jc w:val="right"/>
              <w:rPr>
                <w:b/>
                <w:bCs/>
                <w:sz w:val="17"/>
                <w:szCs w:val="22"/>
                <w:lang w:val="fr-FR"/>
              </w:rPr>
            </w:pPr>
          </w:p>
        </w:tc>
        <w:tc>
          <w:tcPr>
            <w:tcW w:w="720" w:type="dxa"/>
            <w:tcBorders>
              <w:top w:val="single" w:sz="12" w:space="0" w:color="auto"/>
            </w:tcBorders>
            <w:shd w:val="clear" w:color="auto" w:fill="auto"/>
            <w:vAlign w:val="bottom"/>
          </w:tcPr>
          <w:p w:rsidR="00C66CCC" w:rsidRPr="00C66CCC" w:rsidRDefault="00C66CCC" w:rsidP="00C66CCC">
            <w:pPr>
              <w:suppressAutoHyphens/>
              <w:spacing w:before="40" w:after="40" w:line="210" w:lineRule="exact"/>
              <w:ind w:right="43"/>
              <w:rPr>
                <w:b/>
                <w:bCs/>
                <w:sz w:val="17"/>
                <w:szCs w:val="22"/>
                <w:lang w:val="fr-FR"/>
              </w:rPr>
            </w:pPr>
          </w:p>
        </w:tc>
      </w:tr>
      <w:tr w:rsidR="00B0068A" w:rsidRPr="00C66CCC">
        <w:tc>
          <w:tcPr>
            <w:tcW w:w="1800" w:type="dxa"/>
            <w:shd w:val="clear" w:color="auto" w:fill="auto"/>
            <w:vAlign w:val="bottom"/>
          </w:tcPr>
          <w:p w:rsidR="00B0068A" w:rsidRPr="00C66CCC" w:rsidRDefault="00B0068A" w:rsidP="00C66CCC">
            <w:pPr>
              <w:tabs>
                <w:tab w:val="left" w:pos="288"/>
                <w:tab w:val="left" w:pos="576"/>
                <w:tab w:val="left" w:pos="864"/>
                <w:tab w:val="left" w:pos="1152"/>
              </w:tabs>
              <w:suppressAutoHyphens/>
              <w:spacing w:before="40" w:after="40" w:line="210" w:lineRule="exact"/>
              <w:ind w:right="43"/>
              <w:rPr>
                <w:b/>
                <w:bCs/>
                <w:sz w:val="17"/>
                <w:szCs w:val="22"/>
                <w:lang w:val="fr-FR"/>
              </w:rPr>
            </w:pPr>
            <w:r w:rsidRPr="00C66CCC">
              <w:rPr>
                <w:b/>
                <w:bCs/>
                <w:sz w:val="17"/>
                <w:szCs w:val="22"/>
                <w:lang w:val="fr-FR"/>
              </w:rPr>
              <w:t>Secteur</w:t>
            </w:r>
          </w:p>
        </w:tc>
        <w:tc>
          <w:tcPr>
            <w:tcW w:w="900" w:type="dxa"/>
            <w:shd w:val="clear" w:color="auto" w:fill="auto"/>
            <w:vAlign w:val="bottom"/>
          </w:tcPr>
          <w:p w:rsidR="00B0068A" w:rsidRPr="00C66CCC" w:rsidRDefault="00B0068A" w:rsidP="00C66CCC">
            <w:pPr>
              <w:tabs>
                <w:tab w:val="left" w:pos="288"/>
                <w:tab w:val="left" w:pos="576"/>
                <w:tab w:val="left" w:pos="864"/>
                <w:tab w:val="left" w:pos="1152"/>
              </w:tabs>
              <w:suppressAutoHyphens/>
              <w:spacing w:before="40" w:after="40" w:line="210" w:lineRule="exact"/>
              <w:ind w:right="43"/>
              <w:rPr>
                <w:b/>
                <w:bCs/>
                <w:sz w:val="17"/>
                <w:szCs w:val="22"/>
                <w:lang w:val="fr-FR"/>
              </w:rPr>
            </w:pPr>
            <w:r w:rsidRPr="00C66CCC">
              <w:rPr>
                <w:b/>
                <w:bCs/>
                <w:sz w:val="17"/>
                <w:szCs w:val="22"/>
                <w:lang w:val="fr-FR"/>
              </w:rPr>
              <w:t>2002</w:t>
            </w:r>
          </w:p>
        </w:tc>
        <w:tc>
          <w:tcPr>
            <w:tcW w:w="1080" w:type="dxa"/>
            <w:shd w:val="clear" w:color="auto" w:fill="auto"/>
            <w:vAlign w:val="bottom"/>
          </w:tcPr>
          <w:p w:rsidR="00B0068A" w:rsidRPr="00C66CCC" w:rsidRDefault="00B0068A" w:rsidP="00C66CCC">
            <w:pPr>
              <w:tabs>
                <w:tab w:val="left" w:pos="288"/>
                <w:tab w:val="left" w:pos="576"/>
                <w:tab w:val="left" w:pos="864"/>
                <w:tab w:val="left" w:pos="1152"/>
              </w:tabs>
              <w:suppressAutoHyphens/>
              <w:spacing w:before="40" w:after="40" w:line="210" w:lineRule="exact"/>
              <w:ind w:right="43"/>
              <w:rPr>
                <w:b/>
                <w:bCs/>
                <w:sz w:val="17"/>
                <w:szCs w:val="22"/>
                <w:lang w:val="fr-FR"/>
              </w:rPr>
            </w:pPr>
            <w:r w:rsidRPr="00C66CCC">
              <w:rPr>
                <w:b/>
                <w:bCs/>
                <w:sz w:val="17"/>
                <w:szCs w:val="22"/>
                <w:lang w:val="fr-FR"/>
              </w:rPr>
              <w:t>2003</w:t>
            </w:r>
          </w:p>
        </w:tc>
        <w:tc>
          <w:tcPr>
            <w:tcW w:w="720" w:type="dxa"/>
            <w:shd w:val="clear" w:color="auto" w:fill="auto"/>
            <w:vAlign w:val="bottom"/>
          </w:tcPr>
          <w:p w:rsidR="00B0068A" w:rsidRPr="00C66CCC" w:rsidRDefault="00B0068A" w:rsidP="00C66CCC">
            <w:pPr>
              <w:tabs>
                <w:tab w:val="left" w:pos="288"/>
                <w:tab w:val="left" w:pos="576"/>
                <w:tab w:val="left" w:pos="864"/>
                <w:tab w:val="left" w:pos="1152"/>
              </w:tabs>
              <w:suppressAutoHyphens/>
              <w:spacing w:before="40" w:after="40" w:line="210" w:lineRule="exact"/>
              <w:ind w:right="43"/>
              <w:rPr>
                <w:b/>
                <w:bCs/>
                <w:sz w:val="17"/>
                <w:szCs w:val="22"/>
                <w:lang w:val="fr-FR"/>
              </w:rPr>
            </w:pPr>
            <w:r w:rsidRPr="00C66CCC">
              <w:rPr>
                <w:b/>
                <w:bCs/>
                <w:sz w:val="17"/>
                <w:szCs w:val="22"/>
                <w:lang w:val="fr-FR"/>
              </w:rPr>
              <w:t>2004</w:t>
            </w:r>
          </w:p>
        </w:tc>
      </w:tr>
      <w:tr w:rsidR="00B0068A" w:rsidRPr="00C66CCC">
        <w:tc>
          <w:tcPr>
            <w:tcW w:w="1800" w:type="dxa"/>
            <w:shd w:val="clear" w:color="auto" w:fill="auto"/>
            <w:vAlign w:val="bottom"/>
          </w:tcPr>
          <w:p w:rsidR="00B0068A" w:rsidRPr="00C66CCC" w:rsidRDefault="00B0068A" w:rsidP="00C66CCC">
            <w:pPr>
              <w:tabs>
                <w:tab w:val="left" w:pos="288"/>
                <w:tab w:val="left" w:pos="576"/>
                <w:tab w:val="left" w:pos="864"/>
                <w:tab w:val="left" w:pos="1152"/>
              </w:tabs>
              <w:suppressAutoHyphens/>
              <w:spacing w:before="40" w:after="40" w:line="210" w:lineRule="exact"/>
              <w:ind w:right="43"/>
              <w:rPr>
                <w:b/>
                <w:bCs/>
                <w:sz w:val="17"/>
                <w:szCs w:val="22"/>
                <w:lang w:val="fr-FR"/>
              </w:rPr>
            </w:pPr>
            <w:r w:rsidRPr="00C66CCC">
              <w:rPr>
                <w:b/>
                <w:bCs/>
                <w:sz w:val="17"/>
                <w:szCs w:val="22"/>
                <w:lang w:val="fr-FR"/>
              </w:rPr>
              <w:t>Agriculture</w:t>
            </w:r>
          </w:p>
        </w:tc>
        <w:tc>
          <w:tcPr>
            <w:tcW w:w="900" w:type="dxa"/>
            <w:shd w:val="clear" w:color="auto" w:fill="auto"/>
            <w:vAlign w:val="bottom"/>
          </w:tcPr>
          <w:p w:rsidR="00B0068A" w:rsidRPr="00C66CCC" w:rsidRDefault="00B0068A" w:rsidP="00C66CCC">
            <w:pPr>
              <w:tabs>
                <w:tab w:val="left" w:pos="288"/>
                <w:tab w:val="left" w:pos="576"/>
                <w:tab w:val="left" w:pos="864"/>
                <w:tab w:val="left" w:pos="1152"/>
              </w:tabs>
              <w:suppressAutoHyphens/>
              <w:spacing w:before="40" w:after="40" w:line="210" w:lineRule="exact"/>
              <w:ind w:right="43"/>
              <w:rPr>
                <w:b/>
                <w:bCs/>
                <w:sz w:val="17"/>
                <w:szCs w:val="22"/>
                <w:lang w:val="fr-FR"/>
              </w:rPr>
            </w:pPr>
            <w:r w:rsidRPr="00C66CCC">
              <w:rPr>
                <w:b/>
                <w:bCs/>
                <w:sz w:val="17"/>
                <w:szCs w:val="22"/>
                <w:lang w:val="fr-FR"/>
              </w:rPr>
              <w:t>4,25</w:t>
            </w:r>
          </w:p>
        </w:tc>
        <w:tc>
          <w:tcPr>
            <w:tcW w:w="1080" w:type="dxa"/>
            <w:shd w:val="clear" w:color="auto" w:fill="auto"/>
            <w:vAlign w:val="bottom"/>
          </w:tcPr>
          <w:p w:rsidR="00B0068A" w:rsidRPr="00C66CCC" w:rsidRDefault="00B0068A" w:rsidP="00C66CCC">
            <w:pPr>
              <w:tabs>
                <w:tab w:val="left" w:pos="288"/>
                <w:tab w:val="left" w:pos="576"/>
                <w:tab w:val="left" w:pos="864"/>
                <w:tab w:val="left" w:pos="1152"/>
              </w:tabs>
              <w:suppressAutoHyphens/>
              <w:spacing w:before="40" w:after="40" w:line="210" w:lineRule="exact"/>
              <w:ind w:right="43"/>
              <w:rPr>
                <w:b/>
                <w:bCs/>
                <w:sz w:val="17"/>
                <w:szCs w:val="22"/>
                <w:lang w:val="fr-FR"/>
              </w:rPr>
            </w:pPr>
            <w:r w:rsidRPr="00C66CCC">
              <w:rPr>
                <w:b/>
                <w:bCs/>
                <w:sz w:val="17"/>
                <w:szCs w:val="22"/>
                <w:lang w:val="fr-FR"/>
              </w:rPr>
              <w:t>6,47</w:t>
            </w:r>
          </w:p>
        </w:tc>
        <w:tc>
          <w:tcPr>
            <w:tcW w:w="720" w:type="dxa"/>
            <w:shd w:val="clear" w:color="auto" w:fill="auto"/>
            <w:vAlign w:val="bottom"/>
          </w:tcPr>
          <w:p w:rsidR="00B0068A" w:rsidRPr="00C66CCC" w:rsidRDefault="00B0068A" w:rsidP="00C66CCC">
            <w:pPr>
              <w:tabs>
                <w:tab w:val="left" w:pos="288"/>
                <w:tab w:val="left" w:pos="576"/>
                <w:tab w:val="left" w:pos="864"/>
                <w:tab w:val="left" w:pos="1152"/>
              </w:tabs>
              <w:suppressAutoHyphens/>
              <w:spacing w:before="40" w:after="40" w:line="210" w:lineRule="exact"/>
              <w:ind w:right="43"/>
              <w:rPr>
                <w:b/>
                <w:bCs/>
                <w:sz w:val="17"/>
                <w:szCs w:val="22"/>
                <w:lang w:val="fr-FR"/>
              </w:rPr>
            </w:pPr>
            <w:r w:rsidRPr="00C66CCC">
              <w:rPr>
                <w:b/>
                <w:bCs/>
                <w:sz w:val="17"/>
                <w:szCs w:val="22"/>
                <w:lang w:val="fr-FR"/>
              </w:rPr>
              <w:t>6,50</w:t>
            </w:r>
          </w:p>
        </w:tc>
      </w:tr>
      <w:tr w:rsidR="00B0068A" w:rsidRPr="00C66CCC">
        <w:tc>
          <w:tcPr>
            <w:tcW w:w="1800" w:type="dxa"/>
            <w:shd w:val="clear" w:color="auto" w:fill="auto"/>
            <w:vAlign w:val="bottom"/>
          </w:tcPr>
          <w:p w:rsidR="00B0068A" w:rsidRPr="00C66CCC" w:rsidRDefault="00B0068A" w:rsidP="00C66CCC">
            <w:pPr>
              <w:tabs>
                <w:tab w:val="left" w:pos="288"/>
                <w:tab w:val="left" w:pos="576"/>
                <w:tab w:val="left" w:pos="864"/>
                <w:tab w:val="left" w:pos="1152"/>
              </w:tabs>
              <w:suppressAutoHyphens/>
              <w:spacing w:before="40" w:after="40" w:line="210" w:lineRule="exact"/>
              <w:ind w:right="43"/>
              <w:rPr>
                <w:b/>
                <w:bCs/>
                <w:sz w:val="17"/>
                <w:szCs w:val="22"/>
                <w:lang w:val="fr-FR"/>
              </w:rPr>
            </w:pPr>
            <w:r w:rsidRPr="00C66CCC">
              <w:rPr>
                <w:b/>
                <w:bCs/>
                <w:sz w:val="17"/>
                <w:szCs w:val="22"/>
                <w:lang w:val="fr-FR"/>
              </w:rPr>
              <w:t>Pétrole et gaz</w:t>
            </w:r>
          </w:p>
        </w:tc>
        <w:tc>
          <w:tcPr>
            <w:tcW w:w="900" w:type="dxa"/>
            <w:shd w:val="clear" w:color="auto" w:fill="auto"/>
            <w:vAlign w:val="bottom"/>
          </w:tcPr>
          <w:p w:rsidR="00B0068A" w:rsidRPr="00C66CCC" w:rsidRDefault="00B0068A" w:rsidP="00C66CCC">
            <w:pPr>
              <w:tabs>
                <w:tab w:val="left" w:pos="288"/>
                <w:tab w:val="left" w:pos="576"/>
                <w:tab w:val="left" w:pos="864"/>
                <w:tab w:val="left" w:pos="1152"/>
              </w:tabs>
              <w:suppressAutoHyphens/>
              <w:spacing w:before="40" w:after="40" w:line="210" w:lineRule="exact"/>
              <w:ind w:right="43"/>
              <w:rPr>
                <w:b/>
                <w:bCs/>
                <w:sz w:val="17"/>
                <w:szCs w:val="22"/>
                <w:lang w:val="fr-FR"/>
              </w:rPr>
            </w:pPr>
            <w:r w:rsidRPr="00C66CCC">
              <w:rPr>
                <w:b/>
                <w:bCs/>
                <w:sz w:val="17"/>
                <w:szCs w:val="22"/>
                <w:lang w:val="fr-FR"/>
              </w:rPr>
              <w:t>-5,71</w:t>
            </w:r>
          </w:p>
        </w:tc>
        <w:tc>
          <w:tcPr>
            <w:tcW w:w="1080" w:type="dxa"/>
            <w:shd w:val="clear" w:color="auto" w:fill="auto"/>
            <w:vAlign w:val="bottom"/>
          </w:tcPr>
          <w:p w:rsidR="00B0068A" w:rsidRPr="00C66CCC" w:rsidRDefault="00B0068A" w:rsidP="00C66CCC">
            <w:pPr>
              <w:tabs>
                <w:tab w:val="left" w:pos="288"/>
                <w:tab w:val="left" w:pos="576"/>
                <w:tab w:val="left" w:pos="864"/>
                <w:tab w:val="left" w:pos="1152"/>
              </w:tabs>
              <w:suppressAutoHyphens/>
              <w:spacing w:before="40" w:after="40" w:line="210" w:lineRule="exact"/>
              <w:ind w:right="43"/>
              <w:rPr>
                <w:b/>
                <w:bCs/>
                <w:sz w:val="17"/>
                <w:szCs w:val="22"/>
                <w:lang w:val="fr-FR"/>
              </w:rPr>
            </w:pPr>
            <w:r w:rsidRPr="00C66CCC">
              <w:rPr>
                <w:b/>
                <w:bCs/>
                <w:sz w:val="17"/>
                <w:szCs w:val="22"/>
                <w:lang w:val="fr-FR"/>
              </w:rPr>
              <w:t>23,9</w:t>
            </w:r>
          </w:p>
        </w:tc>
        <w:tc>
          <w:tcPr>
            <w:tcW w:w="720" w:type="dxa"/>
            <w:shd w:val="clear" w:color="auto" w:fill="auto"/>
            <w:vAlign w:val="bottom"/>
          </w:tcPr>
          <w:p w:rsidR="00B0068A" w:rsidRPr="00C66CCC" w:rsidRDefault="00B0068A" w:rsidP="00C66CCC">
            <w:pPr>
              <w:tabs>
                <w:tab w:val="left" w:pos="288"/>
                <w:tab w:val="left" w:pos="576"/>
                <w:tab w:val="left" w:pos="864"/>
                <w:tab w:val="left" w:pos="1152"/>
              </w:tabs>
              <w:suppressAutoHyphens/>
              <w:spacing w:before="40" w:after="40" w:line="210" w:lineRule="exact"/>
              <w:ind w:right="43"/>
              <w:rPr>
                <w:b/>
                <w:bCs/>
                <w:sz w:val="17"/>
                <w:szCs w:val="22"/>
                <w:lang w:val="fr-FR"/>
              </w:rPr>
            </w:pPr>
            <w:r w:rsidRPr="00C66CCC">
              <w:rPr>
                <w:b/>
                <w:bCs/>
                <w:sz w:val="17"/>
                <w:szCs w:val="22"/>
                <w:lang w:val="fr-FR"/>
              </w:rPr>
              <w:t>3,3</w:t>
            </w:r>
          </w:p>
        </w:tc>
      </w:tr>
      <w:tr w:rsidR="00B0068A" w:rsidRPr="00C66CCC">
        <w:trPr>
          <w:trHeight w:val="70"/>
        </w:trPr>
        <w:tc>
          <w:tcPr>
            <w:tcW w:w="1800" w:type="dxa"/>
            <w:shd w:val="clear" w:color="auto" w:fill="auto"/>
            <w:vAlign w:val="bottom"/>
          </w:tcPr>
          <w:p w:rsidR="00B0068A" w:rsidRPr="00C66CCC" w:rsidRDefault="00B0068A" w:rsidP="00C66CCC">
            <w:pPr>
              <w:tabs>
                <w:tab w:val="left" w:pos="288"/>
                <w:tab w:val="left" w:pos="576"/>
                <w:tab w:val="left" w:pos="864"/>
                <w:tab w:val="left" w:pos="1152"/>
              </w:tabs>
              <w:suppressAutoHyphens/>
              <w:spacing w:before="40" w:after="40" w:line="210" w:lineRule="exact"/>
              <w:ind w:right="43"/>
              <w:rPr>
                <w:b/>
                <w:bCs/>
                <w:sz w:val="17"/>
                <w:szCs w:val="22"/>
                <w:lang w:val="fr-FR"/>
              </w:rPr>
            </w:pPr>
            <w:r w:rsidRPr="00C66CCC">
              <w:rPr>
                <w:b/>
                <w:bCs/>
                <w:sz w:val="17"/>
                <w:szCs w:val="22"/>
                <w:lang w:val="fr-FR"/>
              </w:rPr>
              <w:t>Commerce de distribution</w:t>
            </w:r>
          </w:p>
        </w:tc>
        <w:tc>
          <w:tcPr>
            <w:tcW w:w="900" w:type="dxa"/>
            <w:shd w:val="clear" w:color="auto" w:fill="auto"/>
            <w:vAlign w:val="bottom"/>
          </w:tcPr>
          <w:p w:rsidR="00B0068A" w:rsidRPr="00C66CCC" w:rsidRDefault="00B0068A" w:rsidP="00C66CCC">
            <w:pPr>
              <w:tabs>
                <w:tab w:val="left" w:pos="288"/>
                <w:tab w:val="left" w:pos="576"/>
                <w:tab w:val="left" w:pos="864"/>
                <w:tab w:val="left" w:pos="1152"/>
              </w:tabs>
              <w:suppressAutoHyphens/>
              <w:spacing w:before="40" w:after="40" w:line="210" w:lineRule="exact"/>
              <w:ind w:right="43"/>
              <w:rPr>
                <w:b/>
                <w:bCs/>
                <w:sz w:val="17"/>
                <w:szCs w:val="22"/>
                <w:lang w:val="fr-FR"/>
              </w:rPr>
            </w:pPr>
            <w:r w:rsidRPr="00C66CCC">
              <w:rPr>
                <w:b/>
                <w:bCs/>
                <w:sz w:val="17"/>
                <w:szCs w:val="22"/>
                <w:lang w:val="fr-FR"/>
              </w:rPr>
              <w:t>6,48</w:t>
            </w:r>
          </w:p>
        </w:tc>
        <w:tc>
          <w:tcPr>
            <w:tcW w:w="1080" w:type="dxa"/>
            <w:shd w:val="clear" w:color="auto" w:fill="auto"/>
            <w:vAlign w:val="bottom"/>
          </w:tcPr>
          <w:p w:rsidR="00B0068A" w:rsidRPr="00C66CCC" w:rsidRDefault="00B0068A" w:rsidP="00C66CCC">
            <w:pPr>
              <w:tabs>
                <w:tab w:val="left" w:pos="288"/>
                <w:tab w:val="left" w:pos="576"/>
                <w:tab w:val="left" w:pos="864"/>
                <w:tab w:val="left" w:pos="1152"/>
              </w:tabs>
              <w:suppressAutoHyphens/>
              <w:spacing w:before="40" w:after="40" w:line="210" w:lineRule="exact"/>
              <w:ind w:right="43"/>
              <w:rPr>
                <w:b/>
                <w:bCs/>
                <w:sz w:val="17"/>
                <w:szCs w:val="22"/>
                <w:lang w:val="fr-FR"/>
              </w:rPr>
            </w:pPr>
            <w:r w:rsidRPr="00C66CCC">
              <w:rPr>
                <w:b/>
                <w:bCs/>
                <w:sz w:val="17"/>
                <w:szCs w:val="22"/>
                <w:lang w:val="fr-FR"/>
              </w:rPr>
              <w:t>5,76</w:t>
            </w:r>
          </w:p>
        </w:tc>
        <w:tc>
          <w:tcPr>
            <w:tcW w:w="720" w:type="dxa"/>
            <w:shd w:val="clear" w:color="auto" w:fill="auto"/>
            <w:vAlign w:val="bottom"/>
          </w:tcPr>
          <w:p w:rsidR="00B0068A" w:rsidRPr="00C66CCC" w:rsidRDefault="00B0068A" w:rsidP="00C66CCC">
            <w:pPr>
              <w:tabs>
                <w:tab w:val="left" w:pos="288"/>
                <w:tab w:val="left" w:pos="576"/>
                <w:tab w:val="left" w:pos="864"/>
                <w:tab w:val="left" w:pos="1152"/>
              </w:tabs>
              <w:suppressAutoHyphens/>
              <w:spacing w:before="40" w:after="40" w:line="210" w:lineRule="exact"/>
              <w:ind w:right="43"/>
              <w:rPr>
                <w:b/>
                <w:bCs/>
                <w:sz w:val="17"/>
                <w:szCs w:val="22"/>
                <w:lang w:val="fr-FR"/>
              </w:rPr>
            </w:pPr>
            <w:r w:rsidRPr="00C66CCC">
              <w:rPr>
                <w:b/>
                <w:bCs/>
                <w:sz w:val="17"/>
                <w:szCs w:val="22"/>
                <w:lang w:val="fr-FR"/>
              </w:rPr>
              <w:t>9,7</w:t>
            </w:r>
          </w:p>
        </w:tc>
      </w:tr>
      <w:tr w:rsidR="00B0068A" w:rsidRPr="00C66CCC">
        <w:tc>
          <w:tcPr>
            <w:tcW w:w="1800" w:type="dxa"/>
            <w:shd w:val="clear" w:color="auto" w:fill="auto"/>
            <w:vAlign w:val="bottom"/>
          </w:tcPr>
          <w:p w:rsidR="00B0068A" w:rsidRPr="00C66CCC" w:rsidRDefault="00B0068A" w:rsidP="00C66CCC">
            <w:pPr>
              <w:tabs>
                <w:tab w:val="left" w:pos="288"/>
                <w:tab w:val="left" w:pos="576"/>
                <w:tab w:val="left" w:pos="864"/>
                <w:tab w:val="left" w:pos="1152"/>
              </w:tabs>
              <w:suppressAutoHyphens/>
              <w:spacing w:before="40" w:after="40" w:line="210" w:lineRule="exact"/>
              <w:ind w:right="43"/>
              <w:rPr>
                <w:b/>
                <w:bCs/>
                <w:sz w:val="17"/>
                <w:szCs w:val="22"/>
                <w:lang w:val="fr-FR"/>
              </w:rPr>
            </w:pPr>
            <w:r w:rsidRPr="00C66CCC">
              <w:rPr>
                <w:b/>
                <w:bCs/>
                <w:sz w:val="17"/>
                <w:szCs w:val="22"/>
                <w:lang w:val="fr-FR"/>
              </w:rPr>
              <w:t>Industries m</w:t>
            </w:r>
            <w:r w:rsidRPr="00C66CCC">
              <w:rPr>
                <w:b/>
                <w:bCs/>
                <w:sz w:val="17"/>
                <w:szCs w:val="22"/>
                <w:lang w:val="fr-FR"/>
              </w:rPr>
              <w:t>a</w:t>
            </w:r>
            <w:r w:rsidRPr="00C66CCC">
              <w:rPr>
                <w:b/>
                <w:bCs/>
                <w:sz w:val="17"/>
                <w:szCs w:val="22"/>
                <w:lang w:val="fr-FR"/>
              </w:rPr>
              <w:t>nufacturières</w:t>
            </w:r>
          </w:p>
        </w:tc>
        <w:tc>
          <w:tcPr>
            <w:tcW w:w="900" w:type="dxa"/>
            <w:shd w:val="clear" w:color="auto" w:fill="auto"/>
            <w:vAlign w:val="bottom"/>
          </w:tcPr>
          <w:p w:rsidR="00B0068A" w:rsidRPr="00C66CCC" w:rsidRDefault="00B0068A" w:rsidP="00C66CCC">
            <w:pPr>
              <w:tabs>
                <w:tab w:val="left" w:pos="288"/>
                <w:tab w:val="left" w:pos="576"/>
                <w:tab w:val="left" w:pos="864"/>
                <w:tab w:val="left" w:pos="1152"/>
              </w:tabs>
              <w:suppressAutoHyphens/>
              <w:spacing w:before="40" w:after="40" w:line="210" w:lineRule="exact"/>
              <w:ind w:right="43"/>
              <w:rPr>
                <w:b/>
                <w:bCs/>
                <w:sz w:val="17"/>
                <w:szCs w:val="22"/>
                <w:lang w:val="fr-FR"/>
              </w:rPr>
            </w:pPr>
            <w:r w:rsidRPr="00C66CCC">
              <w:rPr>
                <w:b/>
                <w:bCs/>
                <w:sz w:val="17"/>
                <w:szCs w:val="22"/>
                <w:lang w:val="fr-FR"/>
              </w:rPr>
              <w:t>10,07</w:t>
            </w:r>
          </w:p>
        </w:tc>
        <w:tc>
          <w:tcPr>
            <w:tcW w:w="1080" w:type="dxa"/>
            <w:shd w:val="clear" w:color="auto" w:fill="auto"/>
            <w:vAlign w:val="bottom"/>
          </w:tcPr>
          <w:p w:rsidR="00B0068A" w:rsidRPr="00C66CCC" w:rsidRDefault="00B0068A" w:rsidP="00C66CCC">
            <w:pPr>
              <w:tabs>
                <w:tab w:val="left" w:pos="288"/>
                <w:tab w:val="left" w:pos="576"/>
                <w:tab w:val="left" w:pos="864"/>
                <w:tab w:val="left" w:pos="1152"/>
              </w:tabs>
              <w:suppressAutoHyphens/>
              <w:spacing w:before="40" w:after="40" w:line="210" w:lineRule="exact"/>
              <w:ind w:right="43"/>
              <w:rPr>
                <w:b/>
                <w:bCs/>
                <w:sz w:val="17"/>
                <w:szCs w:val="22"/>
                <w:lang w:val="fr-FR"/>
              </w:rPr>
            </w:pPr>
            <w:r w:rsidRPr="00C66CCC">
              <w:rPr>
                <w:b/>
                <w:bCs/>
                <w:sz w:val="17"/>
                <w:szCs w:val="22"/>
                <w:lang w:val="fr-FR"/>
              </w:rPr>
              <w:t>5,66</w:t>
            </w:r>
          </w:p>
        </w:tc>
        <w:tc>
          <w:tcPr>
            <w:tcW w:w="720" w:type="dxa"/>
            <w:shd w:val="clear" w:color="auto" w:fill="auto"/>
            <w:vAlign w:val="bottom"/>
          </w:tcPr>
          <w:p w:rsidR="00B0068A" w:rsidRPr="00C66CCC" w:rsidRDefault="00B0068A" w:rsidP="00C66CCC">
            <w:pPr>
              <w:tabs>
                <w:tab w:val="left" w:pos="288"/>
                <w:tab w:val="left" w:pos="576"/>
                <w:tab w:val="left" w:pos="864"/>
                <w:tab w:val="left" w:pos="1152"/>
              </w:tabs>
              <w:suppressAutoHyphens/>
              <w:spacing w:before="40" w:after="40" w:line="210" w:lineRule="exact"/>
              <w:ind w:right="43"/>
              <w:rPr>
                <w:b/>
                <w:bCs/>
                <w:sz w:val="17"/>
                <w:szCs w:val="22"/>
                <w:lang w:val="fr-FR"/>
              </w:rPr>
            </w:pPr>
            <w:r w:rsidRPr="00C66CCC">
              <w:rPr>
                <w:b/>
                <w:bCs/>
                <w:sz w:val="17"/>
                <w:szCs w:val="22"/>
                <w:lang w:val="fr-FR"/>
              </w:rPr>
              <w:t>10</w:t>
            </w:r>
          </w:p>
        </w:tc>
      </w:tr>
      <w:tr w:rsidR="00B0068A" w:rsidRPr="00C66CCC">
        <w:tc>
          <w:tcPr>
            <w:tcW w:w="1800" w:type="dxa"/>
            <w:shd w:val="clear" w:color="auto" w:fill="auto"/>
            <w:vAlign w:val="bottom"/>
          </w:tcPr>
          <w:p w:rsidR="00B0068A" w:rsidRPr="00C66CCC" w:rsidRDefault="00B0068A" w:rsidP="00C66CCC">
            <w:pPr>
              <w:tabs>
                <w:tab w:val="left" w:pos="288"/>
                <w:tab w:val="left" w:pos="576"/>
                <w:tab w:val="left" w:pos="864"/>
                <w:tab w:val="left" w:pos="1152"/>
              </w:tabs>
              <w:suppressAutoHyphens/>
              <w:spacing w:before="40" w:after="40" w:line="210" w:lineRule="exact"/>
              <w:ind w:right="43"/>
              <w:rPr>
                <w:b/>
                <w:bCs/>
                <w:sz w:val="17"/>
                <w:szCs w:val="22"/>
                <w:lang w:val="fr-FR"/>
              </w:rPr>
            </w:pPr>
            <w:r w:rsidRPr="00C66CCC">
              <w:rPr>
                <w:b/>
                <w:bCs/>
                <w:sz w:val="17"/>
                <w:szCs w:val="22"/>
                <w:lang w:val="fr-FR"/>
              </w:rPr>
              <w:t>Autres</w:t>
            </w:r>
          </w:p>
        </w:tc>
        <w:tc>
          <w:tcPr>
            <w:tcW w:w="900" w:type="dxa"/>
            <w:shd w:val="clear" w:color="auto" w:fill="auto"/>
            <w:vAlign w:val="bottom"/>
          </w:tcPr>
          <w:p w:rsidR="00B0068A" w:rsidRPr="00C66CCC" w:rsidRDefault="00B0068A" w:rsidP="00C66CCC">
            <w:pPr>
              <w:tabs>
                <w:tab w:val="left" w:pos="288"/>
                <w:tab w:val="left" w:pos="576"/>
                <w:tab w:val="left" w:pos="864"/>
                <w:tab w:val="left" w:pos="1152"/>
              </w:tabs>
              <w:suppressAutoHyphens/>
              <w:spacing w:before="40" w:after="40" w:line="210" w:lineRule="exact"/>
              <w:ind w:right="43"/>
              <w:rPr>
                <w:b/>
                <w:bCs/>
                <w:sz w:val="17"/>
                <w:szCs w:val="22"/>
                <w:lang w:val="fr-FR"/>
              </w:rPr>
            </w:pPr>
            <w:r w:rsidRPr="00C66CCC">
              <w:rPr>
                <w:b/>
                <w:bCs/>
                <w:sz w:val="17"/>
                <w:szCs w:val="22"/>
                <w:lang w:val="fr-FR"/>
              </w:rPr>
              <w:t>17,67</w:t>
            </w:r>
          </w:p>
        </w:tc>
        <w:tc>
          <w:tcPr>
            <w:tcW w:w="1080" w:type="dxa"/>
            <w:shd w:val="clear" w:color="auto" w:fill="auto"/>
            <w:vAlign w:val="bottom"/>
          </w:tcPr>
          <w:p w:rsidR="00B0068A" w:rsidRPr="00C66CCC" w:rsidRDefault="00B0068A" w:rsidP="00C66CCC">
            <w:pPr>
              <w:tabs>
                <w:tab w:val="left" w:pos="288"/>
                <w:tab w:val="left" w:pos="576"/>
                <w:tab w:val="left" w:pos="864"/>
                <w:tab w:val="left" w:pos="1152"/>
              </w:tabs>
              <w:suppressAutoHyphens/>
              <w:spacing w:before="40" w:after="40" w:line="210" w:lineRule="exact"/>
              <w:ind w:right="43"/>
              <w:rPr>
                <w:b/>
                <w:bCs/>
                <w:sz w:val="17"/>
                <w:szCs w:val="22"/>
                <w:lang w:val="fr-FR"/>
              </w:rPr>
            </w:pPr>
            <w:r w:rsidRPr="00C66CCC">
              <w:rPr>
                <w:b/>
                <w:bCs/>
                <w:sz w:val="17"/>
                <w:szCs w:val="22"/>
                <w:lang w:val="fr-FR"/>
              </w:rPr>
              <w:t>-1,34</w:t>
            </w:r>
          </w:p>
        </w:tc>
        <w:tc>
          <w:tcPr>
            <w:tcW w:w="720" w:type="dxa"/>
            <w:shd w:val="clear" w:color="auto" w:fill="auto"/>
            <w:vAlign w:val="bottom"/>
          </w:tcPr>
          <w:p w:rsidR="00B0068A" w:rsidRPr="00C66CCC" w:rsidRDefault="00B0068A" w:rsidP="00C66CCC">
            <w:pPr>
              <w:tabs>
                <w:tab w:val="left" w:pos="288"/>
                <w:tab w:val="left" w:pos="576"/>
                <w:tab w:val="left" w:pos="864"/>
                <w:tab w:val="left" w:pos="1152"/>
              </w:tabs>
              <w:suppressAutoHyphens/>
              <w:spacing w:before="40" w:after="40" w:line="210" w:lineRule="exact"/>
              <w:ind w:right="43"/>
              <w:rPr>
                <w:b/>
                <w:bCs/>
                <w:sz w:val="17"/>
                <w:szCs w:val="22"/>
                <w:lang w:val="fr-FR"/>
              </w:rPr>
            </w:pPr>
            <w:r w:rsidRPr="00C66CCC">
              <w:rPr>
                <w:b/>
                <w:bCs/>
                <w:sz w:val="17"/>
                <w:szCs w:val="22"/>
                <w:lang w:val="fr-FR"/>
              </w:rPr>
              <w:t>7,2</w:t>
            </w:r>
          </w:p>
        </w:tc>
      </w:tr>
      <w:tr w:rsidR="00B0068A" w:rsidRPr="00C66CCC">
        <w:tc>
          <w:tcPr>
            <w:tcW w:w="1800" w:type="dxa"/>
            <w:shd w:val="clear" w:color="auto" w:fill="auto"/>
            <w:vAlign w:val="bottom"/>
          </w:tcPr>
          <w:p w:rsidR="00B0068A" w:rsidRPr="00C66CCC" w:rsidRDefault="00B0068A" w:rsidP="00C66CCC">
            <w:pPr>
              <w:tabs>
                <w:tab w:val="left" w:pos="288"/>
                <w:tab w:val="left" w:pos="576"/>
                <w:tab w:val="left" w:pos="864"/>
                <w:tab w:val="left" w:pos="1152"/>
              </w:tabs>
              <w:suppressAutoHyphens/>
              <w:spacing w:before="40" w:after="40" w:line="210" w:lineRule="exact"/>
              <w:ind w:right="43"/>
              <w:rPr>
                <w:b/>
                <w:bCs/>
                <w:sz w:val="17"/>
                <w:szCs w:val="22"/>
                <w:lang w:val="fr-FR"/>
              </w:rPr>
            </w:pPr>
            <w:r w:rsidRPr="00C66CCC">
              <w:rPr>
                <w:b/>
                <w:bCs/>
                <w:sz w:val="17"/>
                <w:szCs w:val="22"/>
                <w:lang w:val="fr-FR"/>
              </w:rPr>
              <w:t>PIB</w:t>
            </w:r>
          </w:p>
        </w:tc>
        <w:tc>
          <w:tcPr>
            <w:tcW w:w="900" w:type="dxa"/>
            <w:shd w:val="clear" w:color="auto" w:fill="auto"/>
            <w:vAlign w:val="bottom"/>
          </w:tcPr>
          <w:p w:rsidR="00B0068A" w:rsidRPr="00C66CCC" w:rsidRDefault="00B0068A" w:rsidP="00C66CCC">
            <w:pPr>
              <w:tabs>
                <w:tab w:val="left" w:pos="288"/>
                <w:tab w:val="left" w:pos="576"/>
                <w:tab w:val="left" w:pos="864"/>
                <w:tab w:val="left" w:pos="1152"/>
              </w:tabs>
              <w:suppressAutoHyphens/>
              <w:spacing w:before="40" w:after="40" w:line="210" w:lineRule="exact"/>
              <w:ind w:right="43"/>
              <w:rPr>
                <w:b/>
                <w:bCs/>
                <w:sz w:val="17"/>
                <w:szCs w:val="22"/>
                <w:lang w:val="fr-FR"/>
              </w:rPr>
            </w:pPr>
            <w:r w:rsidRPr="00C66CCC">
              <w:rPr>
                <w:b/>
                <w:bCs/>
                <w:sz w:val="17"/>
                <w:szCs w:val="22"/>
                <w:lang w:val="fr-FR"/>
              </w:rPr>
              <w:t>3,49</w:t>
            </w:r>
          </w:p>
        </w:tc>
        <w:tc>
          <w:tcPr>
            <w:tcW w:w="1080" w:type="dxa"/>
            <w:shd w:val="clear" w:color="auto" w:fill="auto"/>
            <w:vAlign w:val="bottom"/>
          </w:tcPr>
          <w:p w:rsidR="00B0068A" w:rsidRPr="00C66CCC" w:rsidRDefault="00B0068A" w:rsidP="00C66CCC">
            <w:pPr>
              <w:tabs>
                <w:tab w:val="left" w:pos="288"/>
                <w:tab w:val="left" w:pos="576"/>
                <w:tab w:val="left" w:pos="864"/>
                <w:tab w:val="left" w:pos="1152"/>
              </w:tabs>
              <w:suppressAutoHyphens/>
              <w:spacing w:before="40" w:after="40" w:line="210" w:lineRule="exact"/>
              <w:ind w:right="43"/>
              <w:rPr>
                <w:b/>
                <w:bCs/>
                <w:sz w:val="17"/>
                <w:szCs w:val="22"/>
                <w:lang w:val="fr-FR"/>
              </w:rPr>
            </w:pPr>
            <w:r w:rsidRPr="00C66CCC">
              <w:rPr>
                <w:b/>
                <w:bCs/>
                <w:sz w:val="17"/>
                <w:szCs w:val="22"/>
                <w:lang w:val="fr-FR"/>
              </w:rPr>
              <w:t>10,23</w:t>
            </w:r>
          </w:p>
        </w:tc>
        <w:tc>
          <w:tcPr>
            <w:tcW w:w="720" w:type="dxa"/>
            <w:shd w:val="clear" w:color="auto" w:fill="auto"/>
            <w:vAlign w:val="bottom"/>
          </w:tcPr>
          <w:p w:rsidR="00B0068A" w:rsidRPr="00C66CCC" w:rsidRDefault="00B0068A" w:rsidP="00C66CCC">
            <w:pPr>
              <w:tabs>
                <w:tab w:val="left" w:pos="288"/>
                <w:tab w:val="left" w:pos="576"/>
                <w:tab w:val="left" w:pos="864"/>
                <w:tab w:val="left" w:pos="1152"/>
              </w:tabs>
              <w:suppressAutoHyphens/>
              <w:spacing w:before="40" w:after="40" w:line="210" w:lineRule="exact"/>
              <w:ind w:right="43"/>
              <w:rPr>
                <w:b/>
                <w:bCs/>
                <w:sz w:val="17"/>
                <w:szCs w:val="22"/>
                <w:lang w:val="fr-FR"/>
              </w:rPr>
            </w:pPr>
            <w:r w:rsidRPr="00C66CCC">
              <w:rPr>
                <w:b/>
                <w:bCs/>
                <w:sz w:val="17"/>
                <w:szCs w:val="22"/>
                <w:lang w:val="fr-FR"/>
              </w:rPr>
              <w:t>6,09</w:t>
            </w:r>
          </w:p>
        </w:tc>
      </w:tr>
      <w:tr w:rsidR="00B0068A" w:rsidRPr="00C66CCC">
        <w:trPr>
          <w:cantSplit/>
        </w:trPr>
        <w:tc>
          <w:tcPr>
            <w:tcW w:w="4500" w:type="dxa"/>
            <w:gridSpan w:val="4"/>
            <w:tcBorders>
              <w:bottom w:val="single" w:sz="12" w:space="0" w:color="auto"/>
            </w:tcBorders>
            <w:shd w:val="clear" w:color="auto" w:fill="auto"/>
            <w:vAlign w:val="bottom"/>
          </w:tcPr>
          <w:p w:rsidR="00B0068A" w:rsidRPr="00C66CCC" w:rsidRDefault="00B0068A" w:rsidP="00C66CCC">
            <w:pPr>
              <w:tabs>
                <w:tab w:val="left" w:pos="288"/>
                <w:tab w:val="left" w:pos="576"/>
                <w:tab w:val="left" w:pos="864"/>
                <w:tab w:val="left" w:pos="1152"/>
              </w:tabs>
              <w:suppressAutoHyphens/>
              <w:spacing w:before="40" w:after="40" w:line="210" w:lineRule="exact"/>
              <w:ind w:right="43"/>
              <w:rPr>
                <w:b/>
                <w:bCs/>
                <w:sz w:val="17"/>
                <w:szCs w:val="22"/>
                <w:lang w:val="fr-FR"/>
              </w:rPr>
            </w:pPr>
            <w:r w:rsidRPr="00C66CCC">
              <w:rPr>
                <w:b/>
                <w:sz w:val="17"/>
                <w:szCs w:val="22"/>
                <w:lang w:val="fr-FR"/>
              </w:rPr>
              <w:t>Source : Bureau national de statistique</w:t>
            </w:r>
          </w:p>
        </w:tc>
      </w:tr>
    </w:tbl>
    <w:p w:rsidR="002D5B1A" w:rsidRPr="002D5B1A" w:rsidRDefault="002D5B1A" w:rsidP="002D5B1A">
      <w:pPr>
        <w:pStyle w:val="SingleTxt"/>
        <w:spacing w:after="0" w:line="120" w:lineRule="exact"/>
        <w:rPr>
          <w:sz w:val="10"/>
          <w:lang w:val="fr-FR"/>
        </w:rPr>
      </w:pPr>
    </w:p>
    <w:p w:rsidR="00B0068A" w:rsidRDefault="002D5B1A" w:rsidP="002D5B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0068A" w:rsidRPr="00C66CCC">
        <w:rPr>
          <w:lang w:val="fr-FR"/>
        </w:rPr>
        <w:t>Profil macroéconomique</w:t>
      </w:r>
    </w:p>
    <w:p w:rsidR="002D5B1A" w:rsidRPr="002D5B1A" w:rsidRDefault="002D5B1A" w:rsidP="002D5B1A">
      <w:pPr>
        <w:pStyle w:val="SingleTxt"/>
        <w:spacing w:after="0" w:line="120" w:lineRule="exact"/>
        <w:rPr>
          <w:sz w:val="10"/>
          <w:lang w:val="fr-FR"/>
        </w:rPr>
      </w:pPr>
    </w:p>
    <w:p w:rsidR="002D5B1A" w:rsidRDefault="002D5B1A" w:rsidP="00C66CCC">
      <w:pPr>
        <w:pStyle w:val="SingleTxt"/>
        <w:rPr>
          <w:lang w:val="fr-FR"/>
        </w:rPr>
      </w:pPr>
      <w:r>
        <w:rPr>
          <w:lang w:val="fr-FR"/>
        </w:rPr>
        <w:tab/>
      </w:r>
      <w:r w:rsidR="00B0068A" w:rsidRPr="00C66CCC">
        <w:rPr>
          <w:lang w:val="fr-FR"/>
        </w:rPr>
        <w:t>Des progrès ont été enregistrés dans le rétabli</w:t>
      </w:r>
      <w:r w:rsidR="00B0068A" w:rsidRPr="00C66CCC">
        <w:rPr>
          <w:lang w:val="fr-FR"/>
        </w:rPr>
        <w:t>s</w:t>
      </w:r>
      <w:r w:rsidR="00B0068A" w:rsidRPr="00C66CCC">
        <w:rPr>
          <w:lang w:val="fr-FR"/>
        </w:rPr>
        <w:t>sement de la stabilité macroéconomique au cours de la période écoulée entre le présent ra</w:t>
      </w:r>
      <w:r w:rsidR="00B0068A" w:rsidRPr="00C66CCC">
        <w:rPr>
          <w:lang w:val="fr-FR"/>
        </w:rPr>
        <w:t>p</w:t>
      </w:r>
      <w:r w:rsidR="00B0068A" w:rsidRPr="00C66CCC">
        <w:rPr>
          <w:lang w:val="fr-FR"/>
        </w:rPr>
        <w:t xml:space="preserve">port et le dernier, comme il apparaît au Tableau 1.1. </w:t>
      </w:r>
    </w:p>
    <w:p w:rsidR="00B0068A" w:rsidRPr="00C66CCC" w:rsidRDefault="002D5B1A" w:rsidP="00342F79">
      <w:pPr>
        <w:pStyle w:val="SingleTxt"/>
        <w:spacing w:after="0" w:line="240" w:lineRule="auto"/>
        <w:rPr>
          <w:lang w:val="fr-FR"/>
        </w:rPr>
      </w:pPr>
      <w:r>
        <w:rPr>
          <w:lang w:val="fr-FR"/>
        </w:rPr>
        <w:tab/>
      </w:r>
      <w:r w:rsidRPr="00C66CCC">
        <w:rPr>
          <w:lang w:val="fr-FR"/>
        </w:rPr>
        <w:t>La montée en flèche du taux de croissance du PIB, de 3,49 % en 2002 à 10,23 % en 2003 et la chute à 6,09 % en 2004 (Figure 1.1) sont imp</w:t>
      </w:r>
      <w:r w:rsidRPr="00C66CCC">
        <w:rPr>
          <w:lang w:val="fr-FR"/>
        </w:rPr>
        <w:t>u</w:t>
      </w:r>
      <w:r w:rsidRPr="00C66CCC">
        <w:rPr>
          <w:lang w:val="fr-FR"/>
        </w:rPr>
        <w:t xml:space="preserve">tables aux fluctuations des revenus du secteur du pétrole et du gaz. Dans le secteur agricole, où les femmes interviennent pour </w:t>
      </w:r>
      <w:r w:rsidRPr="00C66CCC">
        <w:rPr>
          <w:rFonts w:eastAsia="SimSun"/>
          <w:lang w:val="fr-FR"/>
        </w:rPr>
        <w:t>70</w:t>
      </w:r>
      <w:r w:rsidR="00880781">
        <w:rPr>
          <w:rFonts w:eastAsia="SimSun"/>
          <w:lang w:val="fr-FR"/>
        </w:rPr>
        <w:t> </w:t>
      </w:r>
      <w:r w:rsidRPr="00C66CCC">
        <w:rPr>
          <w:rFonts w:eastAsia="SimSun"/>
          <w:lang w:val="fr-FR"/>
        </w:rPr>
        <w:t>% dans les activ</w:t>
      </w:r>
      <w:r w:rsidRPr="00C66CCC">
        <w:rPr>
          <w:rFonts w:eastAsia="SimSun"/>
          <w:lang w:val="fr-FR"/>
        </w:rPr>
        <w:t>i</w:t>
      </w:r>
      <w:r w:rsidRPr="00C66CCC">
        <w:rPr>
          <w:rFonts w:eastAsia="SimSun"/>
          <w:lang w:val="fr-FR"/>
        </w:rPr>
        <w:t>tés agricoles et 90 % dans l</w:t>
      </w:r>
      <w:r w:rsidR="000A3D87">
        <w:rPr>
          <w:rFonts w:eastAsia="SimSun"/>
          <w:lang w:val="fr-FR"/>
        </w:rPr>
        <w:t>’</w:t>
      </w:r>
      <w:r w:rsidRPr="00C66CCC">
        <w:rPr>
          <w:rFonts w:eastAsia="SimSun"/>
          <w:lang w:val="fr-FR"/>
        </w:rPr>
        <w:t>élevage, le taux de croissance a aussi enregistré une progression r</w:t>
      </w:r>
      <w:r w:rsidRPr="00C66CCC">
        <w:rPr>
          <w:rFonts w:eastAsia="SimSun"/>
          <w:lang w:val="fr-FR"/>
        </w:rPr>
        <w:t>é</w:t>
      </w:r>
      <w:r w:rsidRPr="00C66CCC">
        <w:rPr>
          <w:rFonts w:eastAsia="SimSun"/>
          <w:lang w:val="fr-FR"/>
        </w:rPr>
        <w:t>gulière, situation qui n</w:t>
      </w:r>
      <w:r w:rsidR="000A3D87">
        <w:rPr>
          <w:rFonts w:eastAsia="SimSun"/>
          <w:lang w:val="fr-FR"/>
        </w:rPr>
        <w:t>’</w:t>
      </w:r>
      <w:r w:rsidRPr="00C66CCC">
        <w:rPr>
          <w:rFonts w:eastAsia="SimSun"/>
          <w:lang w:val="fr-FR"/>
        </w:rPr>
        <w:t>est pas sans rapport avec la priorité accordée à l</w:t>
      </w:r>
      <w:r w:rsidR="000A3D87">
        <w:rPr>
          <w:rFonts w:eastAsia="SimSun"/>
          <w:lang w:val="fr-FR"/>
        </w:rPr>
        <w:t>’</w:t>
      </w:r>
      <w:r w:rsidRPr="00C66CCC">
        <w:rPr>
          <w:rFonts w:eastAsia="SimSun"/>
          <w:lang w:val="fr-FR"/>
        </w:rPr>
        <w:t>agriculture par le Go</w:t>
      </w:r>
      <w:r w:rsidRPr="00C66CCC">
        <w:rPr>
          <w:rFonts w:eastAsia="SimSun"/>
          <w:lang w:val="fr-FR"/>
        </w:rPr>
        <w:t>u</w:t>
      </w:r>
      <w:r w:rsidRPr="00C66CCC">
        <w:rPr>
          <w:rFonts w:eastAsia="SimSun"/>
          <w:lang w:val="fr-FR"/>
        </w:rPr>
        <w:t>vernement actuel.</w:t>
      </w:r>
    </w:p>
    <w:p w:rsidR="00342F79" w:rsidRDefault="00342F79" w:rsidP="00342F79">
      <w:pPr>
        <w:pStyle w:val="SingleTxt"/>
        <w:spacing w:after="0" w:line="240" w:lineRule="auto"/>
        <w:rPr>
          <w:lang w:val="fr-FR"/>
        </w:rPr>
      </w:pPr>
    </w:p>
    <w:p w:rsidR="00342F79" w:rsidRPr="00342F79" w:rsidRDefault="00342F79" w:rsidP="00342F79">
      <w:pPr>
        <w:pStyle w:val="SingleTxt"/>
        <w:spacing w:after="0" w:line="240" w:lineRule="auto"/>
        <w:jc w:val="left"/>
        <w:rPr>
          <w:lang w:val="fr-FR"/>
        </w:rPr>
      </w:pPr>
      <w:r w:rsidRPr="00342F79">
        <w:rPr>
          <w:lang w:val="fr-FR"/>
        </w:rPr>
        <w:t>Tableau 1.2</w:t>
      </w:r>
      <w:r>
        <w:rPr>
          <w:lang w:val="fr-FR"/>
        </w:rPr>
        <w:br/>
      </w:r>
      <w:r w:rsidRPr="00342F79">
        <w:rPr>
          <w:b/>
          <w:lang w:val="fr-FR"/>
        </w:rPr>
        <w:t>Répartition de la contribution sectorielle au PIB en pourcentage et en valeur réelle, 2001-2004</w:t>
      </w:r>
    </w:p>
    <w:p w:rsidR="00342F79" w:rsidRDefault="00342F79" w:rsidP="00342F79">
      <w:pPr>
        <w:pStyle w:val="SingleTxt"/>
        <w:spacing w:after="0" w:line="240" w:lineRule="auto"/>
        <w:rPr>
          <w:lang w:val="fr-FR"/>
        </w:rPr>
      </w:pPr>
    </w:p>
    <w:tbl>
      <w:tblPr>
        <w:tblW w:w="0" w:type="auto"/>
        <w:tblInd w:w="1260" w:type="dxa"/>
        <w:tblLayout w:type="fixed"/>
        <w:tblCellMar>
          <w:left w:w="0" w:type="dxa"/>
          <w:right w:w="0" w:type="dxa"/>
        </w:tblCellMar>
        <w:tblLook w:val="0000"/>
      </w:tblPr>
      <w:tblGrid>
        <w:gridCol w:w="1464"/>
        <w:gridCol w:w="876"/>
        <w:gridCol w:w="990"/>
        <w:gridCol w:w="1080"/>
        <w:gridCol w:w="1080"/>
      </w:tblGrid>
      <w:tr w:rsidR="00342F79" w:rsidRPr="00342F79">
        <w:tblPrEx>
          <w:tblCellMar>
            <w:top w:w="0" w:type="dxa"/>
            <w:bottom w:w="0" w:type="dxa"/>
          </w:tblCellMar>
        </w:tblPrEx>
        <w:trPr>
          <w:tblHeader/>
        </w:trPr>
        <w:tc>
          <w:tcPr>
            <w:tcW w:w="1464" w:type="dxa"/>
            <w:tcBorders>
              <w:top w:val="single" w:sz="4" w:space="0" w:color="auto"/>
              <w:bottom w:val="single" w:sz="12" w:space="0" w:color="auto"/>
            </w:tcBorders>
            <w:shd w:val="clear" w:color="auto" w:fill="auto"/>
            <w:vAlign w:val="bottom"/>
          </w:tcPr>
          <w:p w:rsidR="00342F79" w:rsidRPr="00342F79" w:rsidRDefault="00342F79" w:rsidP="00342F79">
            <w:pPr>
              <w:tabs>
                <w:tab w:val="left" w:pos="288"/>
                <w:tab w:val="left" w:pos="576"/>
                <w:tab w:val="left" w:pos="864"/>
                <w:tab w:val="left" w:pos="1152"/>
              </w:tabs>
              <w:suppressAutoHyphens/>
              <w:spacing w:before="80" w:after="80" w:line="160" w:lineRule="exact"/>
              <w:ind w:right="43"/>
              <w:rPr>
                <w:i/>
                <w:sz w:val="14"/>
                <w:lang w:val="fr-FR"/>
              </w:rPr>
            </w:pPr>
            <w:r>
              <w:rPr>
                <w:i/>
                <w:sz w:val="14"/>
                <w:lang w:val="fr-FR"/>
              </w:rPr>
              <w:t>Secteurs</w:t>
            </w:r>
          </w:p>
        </w:tc>
        <w:tc>
          <w:tcPr>
            <w:tcW w:w="876" w:type="dxa"/>
            <w:tcBorders>
              <w:top w:val="single" w:sz="4" w:space="0" w:color="auto"/>
              <w:bottom w:val="single" w:sz="12" w:space="0" w:color="auto"/>
            </w:tcBorders>
            <w:shd w:val="clear" w:color="auto" w:fill="auto"/>
            <w:vAlign w:val="bottom"/>
          </w:tcPr>
          <w:p w:rsidR="00342F79" w:rsidRPr="00342F79" w:rsidRDefault="00342F79" w:rsidP="00342F79">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2001</w:t>
            </w:r>
          </w:p>
        </w:tc>
        <w:tc>
          <w:tcPr>
            <w:tcW w:w="990" w:type="dxa"/>
            <w:tcBorders>
              <w:top w:val="single" w:sz="4" w:space="0" w:color="auto"/>
              <w:bottom w:val="single" w:sz="12" w:space="0" w:color="auto"/>
            </w:tcBorders>
            <w:shd w:val="clear" w:color="auto" w:fill="auto"/>
            <w:vAlign w:val="bottom"/>
          </w:tcPr>
          <w:p w:rsidR="00342F79" w:rsidRPr="00342F79" w:rsidRDefault="00342F79" w:rsidP="00342F79">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2002</w:t>
            </w:r>
          </w:p>
        </w:tc>
        <w:tc>
          <w:tcPr>
            <w:tcW w:w="1080" w:type="dxa"/>
            <w:tcBorders>
              <w:top w:val="single" w:sz="4" w:space="0" w:color="auto"/>
              <w:bottom w:val="single" w:sz="12" w:space="0" w:color="auto"/>
            </w:tcBorders>
            <w:shd w:val="clear" w:color="auto" w:fill="auto"/>
            <w:vAlign w:val="bottom"/>
          </w:tcPr>
          <w:p w:rsidR="00342F79" w:rsidRPr="00342F79" w:rsidRDefault="00342F79" w:rsidP="00342F79">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2003</w:t>
            </w:r>
          </w:p>
        </w:tc>
        <w:tc>
          <w:tcPr>
            <w:tcW w:w="1080" w:type="dxa"/>
            <w:tcBorders>
              <w:top w:val="single" w:sz="4" w:space="0" w:color="auto"/>
              <w:bottom w:val="single" w:sz="12" w:space="0" w:color="auto"/>
            </w:tcBorders>
            <w:shd w:val="clear" w:color="auto" w:fill="auto"/>
            <w:vAlign w:val="bottom"/>
          </w:tcPr>
          <w:p w:rsidR="00342F79" w:rsidRPr="00342F79" w:rsidRDefault="00342F79" w:rsidP="00342F79">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2004</w:t>
            </w:r>
          </w:p>
        </w:tc>
      </w:tr>
      <w:tr w:rsidR="00342F79" w:rsidRPr="00342F79">
        <w:tblPrEx>
          <w:tblCellMar>
            <w:top w:w="0" w:type="dxa"/>
            <w:bottom w:w="0" w:type="dxa"/>
          </w:tblCellMar>
        </w:tblPrEx>
        <w:trPr>
          <w:trHeight w:hRule="exact" w:val="115"/>
          <w:tblHeader/>
        </w:trPr>
        <w:tc>
          <w:tcPr>
            <w:tcW w:w="1464" w:type="dxa"/>
            <w:tcBorders>
              <w:top w:val="single" w:sz="12" w:space="0" w:color="auto"/>
            </w:tcBorders>
            <w:shd w:val="clear" w:color="auto" w:fill="auto"/>
            <w:vAlign w:val="bottom"/>
          </w:tcPr>
          <w:p w:rsidR="00342F79" w:rsidRPr="00342F79" w:rsidRDefault="00342F79" w:rsidP="00342F79">
            <w:pPr>
              <w:tabs>
                <w:tab w:val="left" w:pos="288"/>
                <w:tab w:val="left" w:pos="576"/>
                <w:tab w:val="left" w:pos="864"/>
                <w:tab w:val="left" w:pos="1152"/>
              </w:tabs>
              <w:suppressAutoHyphens/>
              <w:spacing w:before="40" w:after="40" w:line="210" w:lineRule="exact"/>
              <w:ind w:right="43"/>
              <w:rPr>
                <w:sz w:val="17"/>
                <w:lang w:val="fr-FR"/>
              </w:rPr>
            </w:pPr>
          </w:p>
        </w:tc>
        <w:tc>
          <w:tcPr>
            <w:tcW w:w="876" w:type="dxa"/>
            <w:tcBorders>
              <w:top w:val="single" w:sz="12" w:space="0" w:color="auto"/>
            </w:tcBorders>
            <w:shd w:val="clear" w:color="auto" w:fill="auto"/>
            <w:vAlign w:val="bottom"/>
          </w:tcPr>
          <w:p w:rsidR="00342F79" w:rsidRPr="00342F79" w:rsidRDefault="00342F79" w:rsidP="00342F79">
            <w:pPr>
              <w:tabs>
                <w:tab w:val="left" w:pos="288"/>
                <w:tab w:val="left" w:pos="576"/>
                <w:tab w:val="left" w:pos="864"/>
                <w:tab w:val="left" w:pos="1152"/>
              </w:tabs>
              <w:suppressAutoHyphens/>
              <w:spacing w:before="40" w:after="40" w:line="210" w:lineRule="exact"/>
              <w:ind w:right="43"/>
              <w:jc w:val="right"/>
              <w:rPr>
                <w:sz w:val="17"/>
                <w:lang w:val="fr-FR"/>
              </w:rPr>
            </w:pPr>
          </w:p>
        </w:tc>
        <w:tc>
          <w:tcPr>
            <w:tcW w:w="990" w:type="dxa"/>
            <w:tcBorders>
              <w:top w:val="single" w:sz="12" w:space="0" w:color="auto"/>
            </w:tcBorders>
            <w:shd w:val="clear" w:color="auto" w:fill="auto"/>
            <w:vAlign w:val="bottom"/>
          </w:tcPr>
          <w:p w:rsidR="00342F79" w:rsidRPr="00342F79" w:rsidRDefault="00342F79" w:rsidP="00342F79">
            <w:pPr>
              <w:tabs>
                <w:tab w:val="left" w:pos="288"/>
                <w:tab w:val="left" w:pos="576"/>
                <w:tab w:val="left" w:pos="864"/>
                <w:tab w:val="left" w:pos="1152"/>
              </w:tabs>
              <w:suppressAutoHyphens/>
              <w:spacing w:before="40" w:after="40" w:line="210" w:lineRule="exact"/>
              <w:ind w:right="43"/>
              <w:jc w:val="right"/>
              <w:rPr>
                <w:sz w:val="17"/>
                <w:lang w:val="fr-FR"/>
              </w:rPr>
            </w:pPr>
          </w:p>
        </w:tc>
        <w:tc>
          <w:tcPr>
            <w:tcW w:w="1080" w:type="dxa"/>
            <w:tcBorders>
              <w:top w:val="single" w:sz="12" w:space="0" w:color="auto"/>
            </w:tcBorders>
            <w:shd w:val="clear" w:color="auto" w:fill="auto"/>
            <w:vAlign w:val="bottom"/>
          </w:tcPr>
          <w:p w:rsidR="00342F79" w:rsidRPr="00342F79" w:rsidRDefault="00342F79" w:rsidP="00342F79">
            <w:pPr>
              <w:tabs>
                <w:tab w:val="left" w:pos="288"/>
                <w:tab w:val="left" w:pos="576"/>
                <w:tab w:val="left" w:pos="864"/>
                <w:tab w:val="left" w:pos="1152"/>
              </w:tabs>
              <w:suppressAutoHyphens/>
              <w:spacing w:before="40" w:after="40" w:line="210" w:lineRule="exact"/>
              <w:ind w:right="43"/>
              <w:jc w:val="right"/>
              <w:rPr>
                <w:sz w:val="17"/>
                <w:lang w:val="fr-FR"/>
              </w:rPr>
            </w:pPr>
          </w:p>
        </w:tc>
        <w:tc>
          <w:tcPr>
            <w:tcW w:w="1080" w:type="dxa"/>
            <w:tcBorders>
              <w:top w:val="single" w:sz="12" w:space="0" w:color="auto"/>
            </w:tcBorders>
            <w:shd w:val="clear" w:color="auto" w:fill="auto"/>
            <w:vAlign w:val="bottom"/>
          </w:tcPr>
          <w:p w:rsidR="00342F79" w:rsidRPr="00342F79" w:rsidRDefault="00342F79" w:rsidP="00342F79">
            <w:pPr>
              <w:tabs>
                <w:tab w:val="left" w:pos="288"/>
                <w:tab w:val="left" w:pos="576"/>
                <w:tab w:val="left" w:pos="864"/>
                <w:tab w:val="left" w:pos="1152"/>
              </w:tabs>
              <w:suppressAutoHyphens/>
              <w:spacing w:before="40" w:after="40" w:line="210" w:lineRule="exact"/>
              <w:ind w:right="43"/>
              <w:jc w:val="right"/>
              <w:rPr>
                <w:sz w:val="17"/>
                <w:lang w:val="fr-FR"/>
              </w:rPr>
            </w:pPr>
          </w:p>
        </w:tc>
      </w:tr>
      <w:tr w:rsidR="00342F79" w:rsidRPr="00342F79">
        <w:tblPrEx>
          <w:tblCellMar>
            <w:top w:w="0" w:type="dxa"/>
            <w:bottom w:w="0" w:type="dxa"/>
          </w:tblCellMar>
        </w:tblPrEx>
        <w:tc>
          <w:tcPr>
            <w:tcW w:w="1464" w:type="dxa"/>
            <w:shd w:val="clear" w:color="auto" w:fill="auto"/>
          </w:tcPr>
          <w:p w:rsidR="00342F79" w:rsidRPr="00EA484A" w:rsidRDefault="00342F79" w:rsidP="00EA484A">
            <w:pPr>
              <w:spacing w:before="40" w:after="40" w:line="210" w:lineRule="exact"/>
              <w:ind w:right="43"/>
              <w:rPr>
                <w:sz w:val="17"/>
                <w:szCs w:val="17"/>
              </w:rPr>
            </w:pPr>
            <w:r w:rsidRPr="00EA484A">
              <w:rPr>
                <w:sz w:val="17"/>
                <w:szCs w:val="17"/>
              </w:rPr>
              <w:t>Agriculture</w:t>
            </w:r>
          </w:p>
        </w:tc>
        <w:tc>
          <w:tcPr>
            <w:tcW w:w="876" w:type="dxa"/>
            <w:shd w:val="clear" w:color="auto" w:fill="auto"/>
            <w:vAlign w:val="bottom"/>
          </w:tcPr>
          <w:p w:rsidR="00342F79" w:rsidRPr="00EA484A" w:rsidRDefault="00342F79" w:rsidP="004A14DA">
            <w:pPr>
              <w:spacing w:before="40" w:after="40" w:line="210" w:lineRule="exact"/>
              <w:ind w:right="43"/>
              <w:jc w:val="right"/>
              <w:rPr>
                <w:sz w:val="17"/>
                <w:szCs w:val="17"/>
              </w:rPr>
            </w:pPr>
            <w:r w:rsidRPr="00EA484A">
              <w:rPr>
                <w:sz w:val="17"/>
                <w:szCs w:val="17"/>
              </w:rPr>
              <w:t>29,66</w:t>
            </w:r>
          </w:p>
        </w:tc>
        <w:tc>
          <w:tcPr>
            <w:tcW w:w="990" w:type="dxa"/>
            <w:shd w:val="clear" w:color="auto" w:fill="auto"/>
            <w:vAlign w:val="bottom"/>
          </w:tcPr>
          <w:p w:rsidR="00342F79" w:rsidRPr="00EA484A" w:rsidRDefault="00342F79" w:rsidP="004A14DA">
            <w:pPr>
              <w:spacing w:before="40" w:after="40" w:line="210" w:lineRule="exact"/>
              <w:ind w:right="43"/>
              <w:jc w:val="right"/>
              <w:rPr>
                <w:sz w:val="17"/>
                <w:szCs w:val="17"/>
              </w:rPr>
            </w:pPr>
            <w:r w:rsidRPr="00EA484A">
              <w:rPr>
                <w:sz w:val="17"/>
                <w:szCs w:val="17"/>
              </w:rPr>
              <w:t>29,85</w:t>
            </w:r>
          </w:p>
        </w:tc>
        <w:tc>
          <w:tcPr>
            <w:tcW w:w="1080" w:type="dxa"/>
            <w:shd w:val="clear" w:color="auto" w:fill="auto"/>
            <w:vAlign w:val="bottom"/>
          </w:tcPr>
          <w:p w:rsidR="00342F79" w:rsidRPr="00EA484A" w:rsidRDefault="00342F79" w:rsidP="004A14DA">
            <w:pPr>
              <w:spacing w:before="40" w:after="40" w:line="210" w:lineRule="exact"/>
              <w:ind w:right="43"/>
              <w:jc w:val="right"/>
              <w:rPr>
                <w:sz w:val="17"/>
                <w:szCs w:val="17"/>
              </w:rPr>
            </w:pPr>
            <w:r w:rsidRPr="00EA484A">
              <w:rPr>
                <w:sz w:val="17"/>
                <w:szCs w:val="17"/>
              </w:rPr>
              <w:t>28,85</w:t>
            </w:r>
          </w:p>
        </w:tc>
        <w:tc>
          <w:tcPr>
            <w:tcW w:w="1080" w:type="dxa"/>
            <w:shd w:val="clear" w:color="auto" w:fill="auto"/>
            <w:vAlign w:val="bottom"/>
          </w:tcPr>
          <w:p w:rsidR="00342F79" w:rsidRPr="00EA484A" w:rsidRDefault="00342F79" w:rsidP="004A14DA">
            <w:pPr>
              <w:spacing w:before="40" w:after="40" w:line="210" w:lineRule="exact"/>
              <w:ind w:right="43"/>
              <w:jc w:val="right"/>
              <w:rPr>
                <w:sz w:val="17"/>
                <w:szCs w:val="17"/>
              </w:rPr>
            </w:pPr>
            <w:r w:rsidRPr="00EA484A">
              <w:rPr>
                <w:sz w:val="17"/>
                <w:szCs w:val="17"/>
              </w:rPr>
              <w:t>31,46</w:t>
            </w:r>
          </w:p>
        </w:tc>
      </w:tr>
      <w:tr w:rsidR="00342F79" w:rsidRPr="00342F79">
        <w:tblPrEx>
          <w:tblCellMar>
            <w:top w:w="0" w:type="dxa"/>
            <w:bottom w:w="0" w:type="dxa"/>
          </w:tblCellMar>
        </w:tblPrEx>
        <w:tc>
          <w:tcPr>
            <w:tcW w:w="1464" w:type="dxa"/>
            <w:shd w:val="clear" w:color="auto" w:fill="auto"/>
          </w:tcPr>
          <w:p w:rsidR="00342F79" w:rsidRPr="00EA484A" w:rsidRDefault="00342F79" w:rsidP="00EA484A">
            <w:pPr>
              <w:spacing w:before="40" w:after="40" w:line="210" w:lineRule="exact"/>
              <w:ind w:right="43"/>
              <w:rPr>
                <w:sz w:val="17"/>
                <w:szCs w:val="17"/>
              </w:rPr>
            </w:pPr>
            <w:r w:rsidRPr="00EA484A">
              <w:rPr>
                <w:sz w:val="17"/>
                <w:szCs w:val="17"/>
              </w:rPr>
              <w:t>Pétrole et gaz</w:t>
            </w:r>
          </w:p>
        </w:tc>
        <w:tc>
          <w:tcPr>
            <w:tcW w:w="876" w:type="dxa"/>
            <w:shd w:val="clear" w:color="auto" w:fill="auto"/>
            <w:vAlign w:val="bottom"/>
          </w:tcPr>
          <w:p w:rsidR="00342F79" w:rsidRPr="00EA484A" w:rsidRDefault="00342F79" w:rsidP="004A14DA">
            <w:pPr>
              <w:spacing w:before="40" w:after="40" w:line="210" w:lineRule="exact"/>
              <w:ind w:right="43"/>
              <w:jc w:val="right"/>
              <w:rPr>
                <w:sz w:val="17"/>
                <w:szCs w:val="17"/>
              </w:rPr>
            </w:pPr>
            <w:r w:rsidRPr="00EA484A">
              <w:rPr>
                <w:sz w:val="17"/>
                <w:szCs w:val="17"/>
              </w:rPr>
              <w:t>32,65</w:t>
            </w:r>
          </w:p>
        </w:tc>
        <w:tc>
          <w:tcPr>
            <w:tcW w:w="990" w:type="dxa"/>
            <w:shd w:val="clear" w:color="auto" w:fill="auto"/>
            <w:vAlign w:val="bottom"/>
          </w:tcPr>
          <w:p w:rsidR="00342F79" w:rsidRPr="00EA484A" w:rsidRDefault="00342F79" w:rsidP="004A14DA">
            <w:pPr>
              <w:spacing w:before="40" w:after="40" w:line="210" w:lineRule="exact"/>
              <w:ind w:right="43"/>
              <w:jc w:val="right"/>
              <w:rPr>
                <w:sz w:val="17"/>
                <w:szCs w:val="17"/>
              </w:rPr>
            </w:pPr>
            <w:r w:rsidRPr="00EA484A">
              <w:rPr>
                <w:sz w:val="17"/>
                <w:szCs w:val="17"/>
              </w:rPr>
              <w:t>29,75</w:t>
            </w:r>
          </w:p>
        </w:tc>
        <w:tc>
          <w:tcPr>
            <w:tcW w:w="1080" w:type="dxa"/>
            <w:shd w:val="clear" w:color="auto" w:fill="auto"/>
            <w:vAlign w:val="bottom"/>
          </w:tcPr>
          <w:p w:rsidR="00342F79" w:rsidRPr="00EA484A" w:rsidRDefault="00342F79" w:rsidP="004A14DA">
            <w:pPr>
              <w:spacing w:before="40" w:after="40" w:line="210" w:lineRule="exact"/>
              <w:ind w:right="43"/>
              <w:jc w:val="right"/>
              <w:rPr>
                <w:sz w:val="17"/>
                <w:szCs w:val="17"/>
              </w:rPr>
            </w:pPr>
            <w:r w:rsidRPr="00EA484A">
              <w:rPr>
                <w:sz w:val="17"/>
                <w:szCs w:val="17"/>
              </w:rPr>
              <w:t>33,44</w:t>
            </w:r>
          </w:p>
        </w:tc>
        <w:tc>
          <w:tcPr>
            <w:tcW w:w="1080" w:type="dxa"/>
            <w:shd w:val="clear" w:color="auto" w:fill="auto"/>
            <w:vAlign w:val="bottom"/>
          </w:tcPr>
          <w:p w:rsidR="00342F79" w:rsidRPr="00EA484A" w:rsidRDefault="00342F79" w:rsidP="004A14DA">
            <w:pPr>
              <w:spacing w:before="40" w:after="40" w:line="210" w:lineRule="exact"/>
              <w:ind w:right="43"/>
              <w:jc w:val="right"/>
              <w:rPr>
                <w:sz w:val="17"/>
                <w:szCs w:val="17"/>
              </w:rPr>
            </w:pPr>
            <w:r w:rsidRPr="00EA484A">
              <w:rPr>
                <w:sz w:val="17"/>
                <w:szCs w:val="17"/>
              </w:rPr>
              <w:t>32,56</w:t>
            </w:r>
          </w:p>
        </w:tc>
      </w:tr>
      <w:tr w:rsidR="00342F79" w:rsidRPr="00342F79">
        <w:tblPrEx>
          <w:tblCellMar>
            <w:top w:w="0" w:type="dxa"/>
            <w:bottom w:w="0" w:type="dxa"/>
          </w:tblCellMar>
        </w:tblPrEx>
        <w:tc>
          <w:tcPr>
            <w:tcW w:w="1464" w:type="dxa"/>
            <w:shd w:val="clear" w:color="auto" w:fill="auto"/>
          </w:tcPr>
          <w:p w:rsidR="00342F79" w:rsidRPr="00EA484A" w:rsidRDefault="00342F79" w:rsidP="00EA484A">
            <w:pPr>
              <w:spacing w:before="40" w:after="40" w:line="210" w:lineRule="exact"/>
              <w:ind w:right="43"/>
              <w:rPr>
                <w:sz w:val="17"/>
                <w:szCs w:val="17"/>
              </w:rPr>
            </w:pPr>
            <w:r w:rsidRPr="00EA484A">
              <w:rPr>
                <w:sz w:val="17"/>
                <w:szCs w:val="17"/>
              </w:rPr>
              <w:t>Commerce de distribution</w:t>
            </w:r>
          </w:p>
        </w:tc>
        <w:tc>
          <w:tcPr>
            <w:tcW w:w="876" w:type="dxa"/>
            <w:shd w:val="clear" w:color="auto" w:fill="auto"/>
            <w:vAlign w:val="bottom"/>
          </w:tcPr>
          <w:p w:rsidR="00342F79" w:rsidRPr="00EA484A" w:rsidRDefault="00342F79" w:rsidP="004A14DA">
            <w:pPr>
              <w:spacing w:before="40" w:after="40" w:line="210" w:lineRule="exact"/>
              <w:ind w:right="43"/>
              <w:jc w:val="right"/>
              <w:rPr>
                <w:sz w:val="17"/>
                <w:szCs w:val="17"/>
              </w:rPr>
            </w:pPr>
            <w:r w:rsidRPr="00EA484A">
              <w:rPr>
                <w:sz w:val="17"/>
                <w:szCs w:val="17"/>
              </w:rPr>
              <w:t>12,85</w:t>
            </w:r>
          </w:p>
        </w:tc>
        <w:tc>
          <w:tcPr>
            <w:tcW w:w="990" w:type="dxa"/>
            <w:shd w:val="clear" w:color="auto" w:fill="auto"/>
            <w:vAlign w:val="bottom"/>
          </w:tcPr>
          <w:p w:rsidR="00342F79" w:rsidRPr="00EA484A" w:rsidRDefault="00342F79" w:rsidP="004A14DA">
            <w:pPr>
              <w:spacing w:before="40" w:after="40" w:line="210" w:lineRule="exact"/>
              <w:ind w:right="43"/>
              <w:jc w:val="right"/>
              <w:rPr>
                <w:sz w:val="17"/>
                <w:szCs w:val="17"/>
              </w:rPr>
            </w:pPr>
            <w:r w:rsidRPr="00EA484A">
              <w:rPr>
                <w:sz w:val="17"/>
                <w:szCs w:val="17"/>
              </w:rPr>
              <w:t>13,22</w:t>
            </w:r>
          </w:p>
        </w:tc>
        <w:tc>
          <w:tcPr>
            <w:tcW w:w="1080" w:type="dxa"/>
            <w:shd w:val="clear" w:color="auto" w:fill="auto"/>
            <w:vAlign w:val="bottom"/>
          </w:tcPr>
          <w:p w:rsidR="00342F79" w:rsidRPr="00EA484A" w:rsidRDefault="00342F79" w:rsidP="004A14DA">
            <w:pPr>
              <w:spacing w:before="40" w:after="40" w:line="210" w:lineRule="exact"/>
              <w:ind w:right="43"/>
              <w:jc w:val="right"/>
              <w:rPr>
                <w:sz w:val="17"/>
                <w:szCs w:val="17"/>
              </w:rPr>
            </w:pPr>
            <w:r w:rsidRPr="00EA484A">
              <w:rPr>
                <w:sz w:val="17"/>
                <w:szCs w:val="17"/>
              </w:rPr>
              <w:t>12,68</w:t>
            </w:r>
          </w:p>
        </w:tc>
        <w:tc>
          <w:tcPr>
            <w:tcW w:w="1080" w:type="dxa"/>
            <w:shd w:val="clear" w:color="auto" w:fill="auto"/>
            <w:vAlign w:val="bottom"/>
          </w:tcPr>
          <w:p w:rsidR="00342F79" w:rsidRPr="00EA484A" w:rsidRDefault="00342F79" w:rsidP="004A14DA">
            <w:pPr>
              <w:spacing w:before="40" w:after="40" w:line="210" w:lineRule="exact"/>
              <w:ind w:right="43"/>
              <w:jc w:val="right"/>
              <w:rPr>
                <w:sz w:val="17"/>
                <w:szCs w:val="17"/>
              </w:rPr>
            </w:pPr>
            <w:r w:rsidRPr="00EA484A">
              <w:rPr>
                <w:sz w:val="17"/>
                <w:szCs w:val="17"/>
              </w:rPr>
              <w:t>13,12</w:t>
            </w:r>
          </w:p>
        </w:tc>
      </w:tr>
      <w:tr w:rsidR="00342F79" w:rsidRPr="00342F79">
        <w:tblPrEx>
          <w:tblCellMar>
            <w:top w:w="0" w:type="dxa"/>
            <w:bottom w:w="0" w:type="dxa"/>
          </w:tblCellMar>
        </w:tblPrEx>
        <w:tc>
          <w:tcPr>
            <w:tcW w:w="1464" w:type="dxa"/>
            <w:shd w:val="clear" w:color="auto" w:fill="auto"/>
          </w:tcPr>
          <w:p w:rsidR="00342F79" w:rsidRPr="00EA484A" w:rsidRDefault="00342F79" w:rsidP="00EA484A">
            <w:pPr>
              <w:spacing w:before="40" w:after="40" w:line="210" w:lineRule="exact"/>
              <w:ind w:right="43"/>
              <w:rPr>
                <w:sz w:val="17"/>
                <w:szCs w:val="17"/>
              </w:rPr>
            </w:pPr>
            <w:r w:rsidRPr="00EA484A">
              <w:rPr>
                <w:sz w:val="17"/>
                <w:szCs w:val="17"/>
              </w:rPr>
              <w:t>Industries manufacturières</w:t>
            </w:r>
          </w:p>
        </w:tc>
        <w:tc>
          <w:tcPr>
            <w:tcW w:w="876" w:type="dxa"/>
            <w:shd w:val="clear" w:color="auto" w:fill="auto"/>
            <w:vAlign w:val="bottom"/>
          </w:tcPr>
          <w:p w:rsidR="00342F79" w:rsidRPr="00EA484A" w:rsidRDefault="00342F79" w:rsidP="004A14DA">
            <w:pPr>
              <w:spacing w:before="40" w:after="40" w:line="210" w:lineRule="exact"/>
              <w:ind w:right="43"/>
              <w:jc w:val="right"/>
              <w:rPr>
                <w:sz w:val="17"/>
                <w:szCs w:val="17"/>
              </w:rPr>
            </w:pPr>
            <w:r w:rsidRPr="00EA484A">
              <w:rPr>
                <w:sz w:val="17"/>
                <w:szCs w:val="17"/>
              </w:rPr>
              <w:t>4,33</w:t>
            </w:r>
          </w:p>
        </w:tc>
        <w:tc>
          <w:tcPr>
            <w:tcW w:w="990" w:type="dxa"/>
            <w:shd w:val="clear" w:color="auto" w:fill="auto"/>
            <w:vAlign w:val="bottom"/>
          </w:tcPr>
          <w:p w:rsidR="00342F79" w:rsidRPr="00EA484A" w:rsidRDefault="00342F79" w:rsidP="004A14DA">
            <w:pPr>
              <w:spacing w:before="40" w:after="40" w:line="210" w:lineRule="exact"/>
              <w:ind w:right="43"/>
              <w:jc w:val="right"/>
              <w:rPr>
                <w:sz w:val="17"/>
                <w:szCs w:val="17"/>
              </w:rPr>
            </w:pPr>
            <w:r w:rsidRPr="00EA484A">
              <w:rPr>
                <w:sz w:val="17"/>
                <w:szCs w:val="17"/>
              </w:rPr>
              <w:t>4,62</w:t>
            </w:r>
          </w:p>
        </w:tc>
        <w:tc>
          <w:tcPr>
            <w:tcW w:w="1080" w:type="dxa"/>
            <w:shd w:val="clear" w:color="auto" w:fill="auto"/>
            <w:vAlign w:val="bottom"/>
          </w:tcPr>
          <w:p w:rsidR="00342F79" w:rsidRPr="00EA484A" w:rsidRDefault="00342F79" w:rsidP="004A14DA">
            <w:pPr>
              <w:spacing w:before="40" w:after="40" w:line="210" w:lineRule="exact"/>
              <w:ind w:right="43"/>
              <w:jc w:val="right"/>
              <w:rPr>
                <w:sz w:val="17"/>
                <w:szCs w:val="17"/>
              </w:rPr>
            </w:pPr>
            <w:r w:rsidRPr="00EA484A">
              <w:rPr>
                <w:sz w:val="17"/>
                <w:szCs w:val="17"/>
              </w:rPr>
              <w:t>4,41</w:t>
            </w:r>
          </w:p>
        </w:tc>
        <w:tc>
          <w:tcPr>
            <w:tcW w:w="1080" w:type="dxa"/>
            <w:shd w:val="clear" w:color="auto" w:fill="auto"/>
            <w:vAlign w:val="bottom"/>
          </w:tcPr>
          <w:p w:rsidR="00342F79" w:rsidRPr="00EA484A" w:rsidRDefault="00342F79" w:rsidP="004A14DA">
            <w:pPr>
              <w:spacing w:before="40" w:after="40" w:line="210" w:lineRule="exact"/>
              <w:ind w:right="43"/>
              <w:jc w:val="right"/>
              <w:rPr>
                <w:sz w:val="17"/>
                <w:szCs w:val="17"/>
              </w:rPr>
            </w:pPr>
            <w:r w:rsidRPr="00EA484A">
              <w:rPr>
                <w:sz w:val="17"/>
                <w:szCs w:val="17"/>
              </w:rPr>
              <w:t>4,59</w:t>
            </w:r>
          </w:p>
        </w:tc>
      </w:tr>
      <w:tr w:rsidR="00342F79" w:rsidRPr="00342F79">
        <w:tblPrEx>
          <w:tblCellMar>
            <w:top w:w="0" w:type="dxa"/>
            <w:bottom w:w="0" w:type="dxa"/>
          </w:tblCellMar>
        </w:tblPrEx>
        <w:tc>
          <w:tcPr>
            <w:tcW w:w="1464" w:type="dxa"/>
            <w:tcBorders>
              <w:bottom w:val="single" w:sz="4" w:space="0" w:color="auto"/>
            </w:tcBorders>
            <w:shd w:val="clear" w:color="auto" w:fill="auto"/>
          </w:tcPr>
          <w:p w:rsidR="00342F79" w:rsidRPr="00EA484A" w:rsidRDefault="00342F79" w:rsidP="00EA484A">
            <w:pPr>
              <w:spacing w:before="40" w:after="81" w:line="210" w:lineRule="exact"/>
              <w:ind w:right="43"/>
              <w:rPr>
                <w:sz w:val="17"/>
                <w:szCs w:val="17"/>
              </w:rPr>
            </w:pPr>
            <w:r w:rsidRPr="00EA484A">
              <w:rPr>
                <w:sz w:val="17"/>
                <w:szCs w:val="17"/>
              </w:rPr>
              <w:t>Autres +</w:t>
            </w:r>
          </w:p>
        </w:tc>
        <w:tc>
          <w:tcPr>
            <w:tcW w:w="876" w:type="dxa"/>
            <w:tcBorders>
              <w:bottom w:val="single" w:sz="4" w:space="0" w:color="auto"/>
            </w:tcBorders>
            <w:shd w:val="clear" w:color="auto" w:fill="auto"/>
            <w:vAlign w:val="bottom"/>
          </w:tcPr>
          <w:p w:rsidR="00342F79" w:rsidRPr="00EA484A" w:rsidRDefault="00342F79" w:rsidP="004A14DA">
            <w:pPr>
              <w:spacing w:before="40" w:after="81" w:line="210" w:lineRule="exact"/>
              <w:ind w:right="43"/>
              <w:jc w:val="right"/>
              <w:rPr>
                <w:sz w:val="17"/>
                <w:szCs w:val="17"/>
              </w:rPr>
            </w:pPr>
            <w:r w:rsidRPr="00EA484A">
              <w:rPr>
                <w:sz w:val="17"/>
                <w:szCs w:val="17"/>
              </w:rPr>
              <w:t>20,51</w:t>
            </w:r>
          </w:p>
        </w:tc>
        <w:tc>
          <w:tcPr>
            <w:tcW w:w="990" w:type="dxa"/>
            <w:tcBorders>
              <w:bottom w:val="single" w:sz="4" w:space="0" w:color="auto"/>
            </w:tcBorders>
            <w:shd w:val="clear" w:color="auto" w:fill="auto"/>
            <w:vAlign w:val="bottom"/>
          </w:tcPr>
          <w:p w:rsidR="00342F79" w:rsidRPr="00EA484A" w:rsidRDefault="00342F79" w:rsidP="004A14DA">
            <w:pPr>
              <w:spacing w:before="40" w:after="81" w:line="210" w:lineRule="exact"/>
              <w:ind w:right="43"/>
              <w:jc w:val="right"/>
              <w:rPr>
                <w:sz w:val="17"/>
                <w:szCs w:val="17"/>
              </w:rPr>
            </w:pPr>
            <w:r w:rsidRPr="00EA484A">
              <w:rPr>
                <w:sz w:val="17"/>
                <w:szCs w:val="17"/>
              </w:rPr>
              <w:t>22,56</w:t>
            </w:r>
          </w:p>
        </w:tc>
        <w:tc>
          <w:tcPr>
            <w:tcW w:w="1080" w:type="dxa"/>
            <w:tcBorders>
              <w:bottom w:val="single" w:sz="4" w:space="0" w:color="auto"/>
            </w:tcBorders>
            <w:shd w:val="clear" w:color="auto" w:fill="auto"/>
            <w:vAlign w:val="bottom"/>
          </w:tcPr>
          <w:p w:rsidR="00342F79" w:rsidRPr="00EA484A" w:rsidRDefault="00342F79" w:rsidP="004A14DA">
            <w:pPr>
              <w:spacing w:before="40" w:after="81" w:line="210" w:lineRule="exact"/>
              <w:ind w:right="43"/>
              <w:jc w:val="right"/>
              <w:rPr>
                <w:sz w:val="17"/>
                <w:szCs w:val="17"/>
              </w:rPr>
            </w:pPr>
            <w:r w:rsidRPr="00EA484A">
              <w:rPr>
                <w:sz w:val="17"/>
                <w:szCs w:val="17"/>
              </w:rPr>
              <w:t>20,49</w:t>
            </w:r>
          </w:p>
        </w:tc>
        <w:tc>
          <w:tcPr>
            <w:tcW w:w="1080" w:type="dxa"/>
            <w:tcBorders>
              <w:bottom w:val="single" w:sz="4" w:space="0" w:color="auto"/>
            </w:tcBorders>
            <w:shd w:val="clear" w:color="auto" w:fill="auto"/>
            <w:vAlign w:val="bottom"/>
          </w:tcPr>
          <w:p w:rsidR="00342F79" w:rsidRPr="00EA484A" w:rsidRDefault="00342F79" w:rsidP="004A14DA">
            <w:pPr>
              <w:spacing w:before="40" w:after="81" w:line="210" w:lineRule="exact"/>
              <w:ind w:right="43"/>
              <w:jc w:val="right"/>
              <w:rPr>
                <w:sz w:val="17"/>
                <w:szCs w:val="17"/>
              </w:rPr>
            </w:pPr>
            <w:r w:rsidRPr="00EA484A">
              <w:rPr>
                <w:sz w:val="17"/>
                <w:szCs w:val="17"/>
              </w:rPr>
              <w:t>18,27</w:t>
            </w:r>
          </w:p>
        </w:tc>
      </w:tr>
      <w:tr w:rsidR="00EA484A" w:rsidRPr="00EA484A">
        <w:tblPrEx>
          <w:tblCellMar>
            <w:top w:w="0" w:type="dxa"/>
            <w:bottom w:w="0" w:type="dxa"/>
          </w:tblCellMar>
        </w:tblPrEx>
        <w:tc>
          <w:tcPr>
            <w:tcW w:w="1464" w:type="dxa"/>
            <w:tcBorders>
              <w:top w:val="single" w:sz="4" w:space="0" w:color="auto"/>
              <w:bottom w:val="single" w:sz="12" w:space="0" w:color="auto"/>
            </w:tcBorders>
            <w:shd w:val="clear" w:color="auto" w:fill="auto"/>
          </w:tcPr>
          <w:p w:rsidR="00EA484A" w:rsidRPr="00EA484A" w:rsidRDefault="00EA484A" w:rsidP="00EA484A">
            <w:pPr>
              <w:spacing w:before="81" w:after="81" w:line="210" w:lineRule="exact"/>
              <w:ind w:right="43"/>
              <w:rPr>
                <w:b/>
                <w:sz w:val="17"/>
                <w:szCs w:val="17"/>
              </w:rPr>
            </w:pPr>
            <w:r w:rsidRPr="00EA484A">
              <w:rPr>
                <w:b/>
                <w:sz w:val="17"/>
                <w:szCs w:val="17"/>
              </w:rPr>
              <w:t>Total</w:t>
            </w:r>
          </w:p>
        </w:tc>
        <w:tc>
          <w:tcPr>
            <w:tcW w:w="876" w:type="dxa"/>
            <w:tcBorders>
              <w:top w:val="single" w:sz="4" w:space="0" w:color="auto"/>
              <w:bottom w:val="single" w:sz="12" w:space="0" w:color="auto"/>
            </w:tcBorders>
            <w:shd w:val="clear" w:color="auto" w:fill="auto"/>
            <w:vAlign w:val="bottom"/>
          </w:tcPr>
          <w:p w:rsidR="00EA484A" w:rsidRPr="00EA484A" w:rsidRDefault="00EA484A" w:rsidP="004A14DA">
            <w:pPr>
              <w:spacing w:before="81" w:after="81" w:line="210" w:lineRule="exact"/>
              <w:ind w:right="43"/>
              <w:jc w:val="right"/>
              <w:rPr>
                <w:b/>
                <w:sz w:val="17"/>
                <w:szCs w:val="17"/>
              </w:rPr>
            </w:pPr>
            <w:r w:rsidRPr="00EA484A">
              <w:rPr>
                <w:b/>
                <w:sz w:val="17"/>
                <w:szCs w:val="17"/>
              </w:rPr>
              <w:t>100</w:t>
            </w:r>
          </w:p>
        </w:tc>
        <w:tc>
          <w:tcPr>
            <w:tcW w:w="990" w:type="dxa"/>
            <w:tcBorders>
              <w:top w:val="single" w:sz="4" w:space="0" w:color="auto"/>
              <w:bottom w:val="single" w:sz="12" w:space="0" w:color="auto"/>
            </w:tcBorders>
            <w:shd w:val="clear" w:color="auto" w:fill="auto"/>
            <w:vAlign w:val="bottom"/>
          </w:tcPr>
          <w:p w:rsidR="00EA484A" w:rsidRPr="00EA484A" w:rsidRDefault="00EA484A" w:rsidP="004A14DA">
            <w:pPr>
              <w:spacing w:before="81" w:after="81" w:line="210" w:lineRule="exact"/>
              <w:ind w:right="43"/>
              <w:jc w:val="right"/>
              <w:rPr>
                <w:b/>
                <w:sz w:val="17"/>
                <w:szCs w:val="17"/>
              </w:rPr>
            </w:pPr>
            <w:r w:rsidRPr="00EA484A">
              <w:rPr>
                <w:b/>
                <w:sz w:val="17"/>
                <w:szCs w:val="17"/>
              </w:rPr>
              <w:t>100</w:t>
            </w:r>
          </w:p>
        </w:tc>
        <w:tc>
          <w:tcPr>
            <w:tcW w:w="1080" w:type="dxa"/>
            <w:tcBorders>
              <w:top w:val="single" w:sz="4" w:space="0" w:color="auto"/>
              <w:bottom w:val="single" w:sz="12" w:space="0" w:color="auto"/>
            </w:tcBorders>
            <w:shd w:val="clear" w:color="auto" w:fill="auto"/>
            <w:vAlign w:val="bottom"/>
          </w:tcPr>
          <w:p w:rsidR="00EA484A" w:rsidRPr="00EA484A" w:rsidRDefault="00EA484A" w:rsidP="004A14DA">
            <w:pPr>
              <w:spacing w:before="81" w:after="81" w:line="210" w:lineRule="exact"/>
              <w:ind w:right="43"/>
              <w:jc w:val="right"/>
              <w:rPr>
                <w:b/>
                <w:sz w:val="17"/>
                <w:szCs w:val="17"/>
              </w:rPr>
            </w:pPr>
            <w:r w:rsidRPr="00EA484A">
              <w:rPr>
                <w:b/>
                <w:sz w:val="17"/>
                <w:szCs w:val="17"/>
              </w:rPr>
              <w:t>100</w:t>
            </w:r>
          </w:p>
        </w:tc>
        <w:tc>
          <w:tcPr>
            <w:tcW w:w="1080" w:type="dxa"/>
            <w:tcBorders>
              <w:top w:val="single" w:sz="4" w:space="0" w:color="auto"/>
              <w:bottom w:val="single" w:sz="12" w:space="0" w:color="auto"/>
            </w:tcBorders>
            <w:shd w:val="clear" w:color="auto" w:fill="auto"/>
            <w:vAlign w:val="bottom"/>
          </w:tcPr>
          <w:p w:rsidR="00EA484A" w:rsidRPr="00EA484A" w:rsidRDefault="00EA484A" w:rsidP="004A14DA">
            <w:pPr>
              <w:spacing w:before="81" w:after="81" w:line="210" w:lineRule="exact"/>
              <w:ind w:right="43"/>
              <w:jc w:val="right"/>
              <w:rPr>
                <w:b/>
                <w:sz w:val="17"/>
                <w:szCs w:val="17"/>
              </w:rPr>
            </w:pPr>
            <w:r w:rsidRPr="00EA484A">
              <w:rPr>
                <w:b/>
                <w:sz w:val="17"/>
                <w:szCs w:val="17"/>
              </w:rPr>
              <w:t>100</w:t>
            </w:r>
          </w:p>
        </w:tc>
      </w:tr>
    </w:tbl>
    <w:p w:rsidR="00342F79" w:rsidRDefault="00342F79" w:rsidP="00342F79">
      <w:pPr>
        <w:pStyle w:val="SingleTxt"/>
        <w:spacing w:after="0" w:line="240" w:lineRule="auto"/>
        <w:rPr>
          <w:lang w:val="fr-FR"/>
        </w:rPr>
      </w:pPr>
    </w:p>
    <w:p w:rsidR="00EA484A" w:rsidRPr="00430042" w:rsidRDefault="00430042" w:rsidP="00342F79">
      <w:pPr>
        <w:pStyle w:val="SingleTxt"/>
        <w:spacing w:after="0" w:line="240" w:lineRule="auto"/>
        <w:rPr>
          <w:sz w:val="17"/>
          <w:szCs w:val="17"/>
          <w:lang w:val="fr-FR"/>
        </w:rPr>
      </w:pPr>
      <w:r w:rsidRPr="00430042">
        <w:rPr>
          <w:bCs/>
          <w:i/>
          <w:sz w:val="17"/>
          <w:szCs w:val="17"/>
          <w:lang w:val="fr-FR"/>
        </w:rPr>
        <w:t>Source</w:t>
      </w:r>
      <w:r w:rsidRPr="00430042">
        <w:rPr>
          <w:bCs/>
          <w:sz w:val="17"/>
          <w:szCs w:val="17"/>
          <w:lang w:val="fr-FR"/>
        </w:rPr>
        <w:t xml:space="preserve"> : Bureau national de la statistique : 2004</w:t>
      </w:r>
    </w:p>
    <w:p w:rsidR="00342F79" w:rsidRDefault="00342F79" w:rsidP="00342F79">
      <w:pPr>
        <w:pStyle w:val="SingleTxt"/>
        <w:spacing w:after="0" w:line="240" w:lineRule="auto"/>
        <w:rPr>
          <w:lang w:val="fr-FR"/>
        </w:rPr>
      </w:pPr>
    </w:p>
    <w:p w:rsidR="00B0068A" w:rsidRDefault="00B0068A" w:rsidP="00EA484A">
      <w:pPr>
        <w:pStyle w:val="SingleTxt"/>
        <w:jc w:val="left"/>
        <w:rPr>
          <w:lang w:val="fr-FR"/>
        </w:rPr>
      </w:pPr>
      <w:r w:rsidRPr="005D6CD4">
        <w:rPr>
          <w:lang w:val="fr-FR"/>
        </w:rPr>
        <w:t>Figure 1.2</w:t>
      </w:r>
      <w:r w:rsidR="00EA484A">
        <w:rPr>
          <w:lang w:val="fr-FR"/>
        </w:rPr>
        <w:br/>
      </w:r>
      <w:r w:rsidRPr="00EA484A">
        <w:rPr>
          <w:b/>
          <w:lang w:val="fr-FR"/>
        </w:rPr>
        <w:t>Taux de croissance du PIB (%) en valeur réelle, 2002- 2004</w:t>
      </w:r>
    </w:p>
    <w:p w:rsidR="00880781" w:rsidRPr="00880781" w:rsidRDefault="00880781" w:rsidP="00880781">
      <w:pPr>
        <w:pStyle w:val="SingleTxt"/>
        <w:rPr>
          <w:bCs/>
          <w:lang w:val="fr-FR"/>
        </w:rPr>
      </w:pPr>
    </w:p>
    <w:p w:rsidR="00880781" w:rsidRDefault="007C13FD" w:rsidP="00880781">
      <w:pPr>
        <w:pStyle w:val="SingleTxt"/>
        <w:rPr>
          <w:bCs/>
          <w:lang w:val="fr-FR"/>
        </w:rPr>
      </w:pPr>
      <w:r>
        <w:rPr>
          <w:noProof/>
          <w:w w:val="100"/>
          <w:lang w:val="en-US"/>
        </w:rPr>
        <w:pict>
          <v:group id="_x0000_s2157" editas="canvas" style="position:absolute;left:0;text-align:left;margin-left:61.3pt;margin-top:.05pt;width:357.25pt;height:174.9pt;z-index:18" coordorigin="2421,2703" coordsize="7145,3498">
            <o:lock v:ext="edit" aspectratio="t"/>
            <v:shape id="_x0000_s2156" type="#_x0000_t75" style="position:absolute;left:2421;top:2703;width:7145;height:3498" o:preferrelative="f">
              <v:fill o:detectmouseclick="t"/>
              <v:path o:extrusionok="t" o:connecttype="none"/>
              <o:lock v:ext="edit" text="t"/>
            </v:shape>
            <v:rect id="_x0000_s2158" style="position:absolute;left:2421;top:5961;width:66;height:240;mso-wrap-style:none" filled="f" stroked="f">
              <v:textbox style="mso-fit-shape-to-text:t" inset="0,0,0,0">
                <w:txbxContent>
                  <w:p w:rsidR="00FE07AD" w:rsidRDefault="00FE07AD">
                    <w:r>
                      <w:rPr>
                        <w:color w:val="000000"/>
                        <w:sz w:val="24"/>
                        <w:szCs w:val="24"/>
                      </w:rPr>
                      <w:t xml:space="preserve"> </w:t>
                    </w:r>
                  </w:p>
                </w:txbxContent>
              </v:textbox>
            </v:rect>
            <v:group id="_x0000_s2290" style="position:absolute;left:2601;top:2704;width:6964;height:3297" coordorigin="2506,2609" coordsize="6964,3297">
              <v:rect id="_x0000_s2159" style="position:absolute;left:2506;top:2609;width:6134;height:3297" strokeweight="0"/>
              <v:rect id="_x0000_s2160" style="position:absolute;left:3268;top:2984;width:5321;height:1798" stroked="f"/>
              <v:line id="_x0000_s2161" style="position:absolute" from="3268,4782" to="8589,4783" strokeweight="0"/>
              <v:line id="_x0000_s2162" style="position:absolute" from="3268,4557" to="8589,4558" strokeweight="0"/>
              <v:line id="_x0000_s2163" style="position:absolute" from="3268,4107" to="8589,4108" strokeweight="0"/>
              <v:line id="_x0000_s2164" style="position:absolute" from="3268,3883" to="8589,3884" strokeweight="0"/>
              <v:line id="_x0000_s2165" style="position:absolute" from="3268,3658" to="8589,3659" strokeweight="0"/>
              <v:line id="_x0000_s2166" style="position:absolute" from="3268,3433" to="8589,3434" strokeweight="0"/>
              <v:line id="_x0000_s2167" style="position:absolute" from="3268,3208" to="8589,3209" strokeweight="0"/>
              <v:line id="_x0000_s2168" style="position:absolute" from="3268,2984" to="8589,2985" strokeweight="0"/>
              <v:rect id="_x0000_s2169" style="position:absolute;left:3268;top:2984;width:5321;height:1798" filled="f" strokecolor="gray" strokeweight=".85pt"/>
              <v:line id="_x0000_s2170" style="position:absolute" from="3268,2984" to="3269,4782" strokeweight="0"/>
              <v:line id="_x0000_s2171" style="position:absolute" from="3234,4782" to="3268,4783" strokeweight="0"/>
              <v:line id="_x0000_s2172" style="position:absolute" from="3234,4557" to="3268,4558" strokeweight="0"/>
              <v:line id="_x0000_s2173" style="position:absolute" from="3234,4332" to="3268,4333" strokeweight="0"/>
              <v:line id="_x0000_s2174" style="position:absolute" from="3234,4107" to="3268,4108" strokeweight="0"/>
              <v:line id="_x0000_s2175" style="position:absolute" from="3234,3883" to="3268,3884" strokeweight="0"/>
              <v:line id="_x0000_s2176" style="position:absolute" from="3234,3658" to="3268,3659" strokeweight="0"/>
              <v:line id="_x0000_s2177" style="position:absolute" from="3234,3433" to="3268,3434" strokeweight="0"/>
              <v:line id="_x0000_s2178" style="position:absolute" from="3234,3208" to="3268,3209" strokeweight="0"/>
              <v:line id="_x0000_s2179" style="position:absolute" from="3234,2984" to="3268,2985" strokeweight="0"/>
              <v:line id="_x0000_s2180" style="position:absolute" from="3268,4332" to="8589,4333" strokeweight="0"/>
              <v:line id="_x0000_s2181" style="position:absolute;flip:y" from="3268,4332" to="3269,4377" strokeweight="0"/>
              <v:line id="_x0000_s2182" style="position:absolute;flip:y" from="5048,4332" to="5049,4377" strokeweight="0"/>
              <v:line id="_x0000_s2183" style="position:absolute;flip:y" from="6810,4332" to="6811,4377" strokeweight="0"/>
              <v:line id="_x0000_s2184" style="position:absolute;flip:y" from="8589,4332" to="8590,4377" strokeweight="0"/>
              <v:line id="_x0000_s2185" style="position:absolute;flip:y" from="4149,4047" to="5929,4137" strokecolor="navy" strokeweight=".85pt"/>
              <v:line id="_x0000_s2186" style="position:absolute" from="5929,4047" to="7708,4048" strokecolor="navy" strokeweight=".85pt"/>
              <v:line id="_x0000_s2187" style="position:absolute;flip:y" from="4149,3253" to="5929,4587" strokecolor="fuchsia" strokeweight=".85pt"/>
              <v:line id="_x0000_s2188" style="position:absolute" from="5929,3253" to="7708,4182" strokecolor="fuchsia" strokeweight=".85pt"/>
              <v:line id="_x0000_s2189" style="position:absolute" from="4149,4047" to="5929,4077" strokecolor="yellow" strokeweight=".85pt"/>
              <v:line id="_x0000_s2190" style="position:absolute;flip:y" from="5929,3898" to="7708,4077" strokecolor="yellow" strokeweight=".85pt"/>
              <v:line id="_x0000_s2191" style="position:absolute" from="4149,3883" to="5929,4077" strokecolor="aqua" strokeweight=".85pt"/>
              <v:line id="_x0000_s2192" style="position:absolute;flip:y" from="5929,3883" to="7708,4077" strokecolor="aqua" strokeweight=".85pt"/>
              <v:line id="_x0000_s2193" style="position:absolute" from="4149,3538" to="5929,4392" strokecolor="purple" strokeweight=".85pt"/>
              <v:line id="_x0000_s2194" style="position:absolute;flip:y" from="5929,4003" to="7708,4392" strokecolor="purple" strokeweight=".85pt"/>
              <v:line id="_x0000_s2195" style="position:absolute;flip:y" from="4149,3868" to="5929,4182" strokecolor="maroon" strokeweight=".85pt"/>
              <v:line id="_x0000_s2196" style="position:absolute" from="5929,3868" to="7708,4062" strokecolor="maroon" strokeweight=".85pt"/>
              <v:shape id="_x0000_s2197" style="position:absolute;left:4099;top:4092;width:101;height:90" coordsize="101,90" path="m50,r51,45l50,90,,45,50,xe" fillcolor="navy" strokecolor="navy" strokeweight=".85pt">
                <v:path arrowok="t"/>
              </v:shape>
              <v:shape id="_x0000_s2198" style="position:absolute;left:5878;top:4003;width:102;height:89" coordsize="102,89" path="m51,r51,44l51,89,,44,51,xe" fillcolor="navy" strokecolor="navy" strokeweight=".85pt">
                <v:path arrowok="t"/>
              </v:shape>
              <v:shape id="_x0000_s2199" style="position:absolute;left:7657;top:4003;width:102;height:89" coordsize="102,89" path="m51,r51,44l51,89,,44,51,xe" fillcolor="navy" strokecolor="navy" strokeweight=".85pt">
                <v:path arrowok="t"/>
              </v:shape>
              <v:rect id="_x0000_s2200" style="position:absolute;left:4099;top:4542;width:101;height:90" fillcolor="fuchsia" strokecolor="fuchsia" strokeweight=".85pt"/>
              <v:rect id="_x0000_s2201" style="position:absolute;left:5878;top:3208;width:102;height:90" fillcolor="fuchsia" strokecolor="fuchsia" strokeweight=".85pt"/>
              <v:rect id="_x0000_s2202" style="position:absolute;left:7657;top:4137;width:102;height:90" fillcolor="fuchsia" strokecolor="fuchsia" strokeweight=".85pt"/>
              <v:shape id="_x0000_s2203" style="position:absolute;left:4099;top:4003;width:101;height:89" coordsize="101,89" path="m50,r51,89l,89,50,xe" fillcolor="yellow" strokecolor="yellow" strokeweight=".85pt">
                <v:path arrowok="t"/>
              </v:shape>
              <v:shape id="_x0000_s2204" style="position:absolute;left:5878;top:4032;width:102;height:90" coordsize="102,90" path="m51,r51,90l,90,51,xe" fillcolor="yellow" strokecolor="yellow" strokeweight=".85pt">
                <v:path arrowok="t"/>
              </v:shape>
              <v:shape id="_x0000_s2205" style="position:absolute;left:7657;top:3853;width:102;height:90" coordsize="102,90" path="m51,r51,90l,90,51,xe" fillcolor="yellow" strokecolor="yellow" strokeweight=".85pt">
                <v:path arrowok="t"/>
              </v:shape>
              <v:rect id="_x0000_s2206" style="position:absolute;left:4082;top:3823;width:169;height:150" filled="f" stroked="f"/>
              <v:line id="_x0000_s2207" style="position:absolute;flip:x y" from="4099,3838" to="4149,3883" strokecolor="aqua" strokeweight=".85pt"/>
              <v:line id="_x0000_s2208" style="position:absolute" from="4149,3883" to="4200,3928" strokecolor="aqua" strokeweight=".85pt"/>
              <v:line id="_x0000_s2209" style="position:absolute;flip:x" from="4099,3883" to="4149,3928" strokecolor="aqua" strokeweight=".85pt"/>
              <v:line id="_x0000_s2210" style="position:absolute;flip:y" from="4149,3838" to="4200,3883" strokecolor="aqua" strokeweight=".85pt"/>
              <v:rect id="_x0000_s2211" style="position:absolute;left:5861;top:4017;width:169;height:150" filled="f" stroked="f"/>
              <v:line id="_x0000_s2212" style="position:absolute;flip:x y" from="5878,4032" to="5929,4077" strokecolor="aqua" strokeweight=".85pt"/>
              <v:line id="_x0000_s2213" style="position:absolute" from="5929,4077" to="5980,4122" strokecolor="aqua" strokeweight=".85pt"/>
              <v:line id="_x0000_s2214" style="position:absolute;flip:x" from="5878,4077" to="5929,4122" strokecolor="aqua" strokeweight=".85pt"/>
              <v:line id="_x0000_s2215" style="position:absolute;flip:y" from="5929,4032" to="5980,4077" strokecolor="aqua" strokeweight=".85pt"/>
              <v:rect id="_x0000_s2216" style="position:absolute;left:7640;top:3823;width:170;height:150" filled="f" stroked="f"/>
              <v:line id="_x0000_s2217" style="position:absolute;flip:x y" from="7657,3838" to="7708,3883" strokecolor="aqua" strokeweight=".85pt"/>
              <v:line id="_x0000_s2218" style="position:absolute" from="7708,3883" to="7759,3928" strokecolor="aqua" strokeweight=".85pt"/>
              <v:line id="_x0000_s2219" style="position:absolute;flip:x" from="7657,3883" to="7708,3928" strokecolor="aqua" strokeweight=".85pt"/>
              <v:line id="_x0000_s2220" style="position:absolute;flip:y" from="7708,3838" to="7759,3883" strokecolor="aqua" strokeweight=".85pt"/>
              <v:rect id="_x0000_s2221" style="position:absolute;left:4082;top:3478;width:169;height:150" filled="f" stroked="f"/>
              <v:line id="_x0000_s2222" style="position:absolute;flip:x y" from="4099,3493" to="4149,3538" strokecolor="purple" strokeweight=".85pt"/>
              <v:line id="_x0000_s2223" style="position:absolute" from="4149,3538" to="4200,3583" strokecolor="purple" strokeweight=".85pt"/>
              <v:line id="_x0000_s2224" style="position:absolute;flip:x" from="4099,3538" to="4149,3583" strokecolor="purple" strokeweight=".85pt"/>
              <v:line id="_x0000_s2225" style="position:absolute;flip:y" from="4149,3493" to="4200,3538" strokecolor="purple" strokeweight=".85pt"/>
              <v:line id="_x0000_s2226" style="position:absolute;flip:y" from="4149,3493" to="4150,3538" strokecolor="purple" strokeweight=".85pt"/>
              <v:line id="_x0000_s2227" style="position:absolute" from="4149,3538" to="4150,3583" strokecolor="purple" strokeweight=".85pt"/>
              <v:rect id="_x0000_s2228" style="position:absolute;left:5861;top:4332;width:169;height:150" filled="f" stroked="f"/>
              <v:line id="_x0000_s2229" style="position:absolute;flip:x y" from="5878,4347" to="5929,4392" strokecolor="purple" strokeweight=".85pt"/>
              <v:line id="_x0000_s2230" style="position:absolute" from="5929,4392" to="5980,4437" strokecolor="purple" strokeweight=".85pt"/>
              <v:line id="_x0000_s2231" style="position:absolute;flip:x" from="5878,4392" to="5929,4437" strokecolor="purple" strokeweight=".85pt"/>
              <v:line id="_x0000_s2232" style="position:absolute;flip:y" from="5929,4347" to="5980,4392" strokecolor="purple" strokeweight=".85pt"/>
              <v:line id="_x0000_s2233" style="position:absolute;flip:y" from="5929,4347" to="5930,4392" strokecolor="purple" strokeweight=".85pt"/>
              <v:line id="_x0000_s2234" style="position:absolute" from="5929,4392" to="5930,4437" strokecolor="purple" strokeweight=".85pt"/>
              <v:rect id="_x0000_s2235" style="position:absolute;left:7640;top:3943;width:170;height:149" filled="f" stroked="f"/>
              <v:line id="_x0000_s2236" style="position:absolute;flip:x y" from="7657,3958" to="7708,4003" strokecolor="purple" strokeweight=".85pt"/>
              <v:line id="_x0000_s2237" style="position:absolute" from="7708,4003" to="7759,4047" strokecolor="purple" strokeweight=".85pt"/>
              <v:line id="_x0000_s2238" style="position:absolute;flip:x" from="7657,4003" to="7708,4047" strokecolor="purple" strokeweight=".85pt"/>
              <v:line id="_x0000_s2239" style="position:absolute;flip:y" from="7708,3958" to="7759,4003" strokecolor="purple" strokeweight=".85pt"/>
              <v:line id="_x0000_s2240" style="position:absolute;flip:y" from="7708,3958" to="7709,4003" strokecolor="purple" strokeweight=".85pt"/>
              <v:line id="_x0000_s2241" style="position:absolute" from="7708,4003" to="7709,4047" strokecolor="purple" strokeweight=".85pt"/>
              <v:oval id="_x0000_s2242" style="position:absolute;left:4099;top:4137;width:101;height:90" fillcolor="maroon" strokecolor="maroon" strokeweight=".85pt"/>
              <v:oval id="_x0000_s2243" style="position:absolute;left:5878;top:3823;width:102;height:90" fillcolor="maroon" strokecolor="maroon" strokeweight=".85pt"/>
              <v:oval id="_x0000_s2244" style="position:absolute;left:7657;top:4017;width:102;height:90" fillcolor="maroon" strokecolor="maroon" strokeweight=".85pt"/>
              <v:rect id="_x0000_s2245" style="position:absolute;left:2997;top:4722;width:161;height:480;mso-wrap-style:none" filled="f" stroked="f">
                <v:textbox style="mso-fit-shape-to-text:t" inset="0,0,0,0">
                  <w:txbxContent>
                    <w:p w:rsidR="00FE07AD" w:rsidRDefault="00FE07AD">
                      <w:r>
                        <w:rPr>
                          <w:rFonts w:ascii="Small Fonts" w:hAnsi="Small Fonts" w:cs="Small Fonts"/>
                          <w:color w:val="000000"/>
                          <w:sz w:val="10"/>
                          <w:szCs w:val="10"/>
                        </w:rPr>
                        <w:t>-10</w:t>
                      </w:r>
                    </w:p>
                  </w:txbxContent>
                </v:textbox>
              </v:rect>
              <v:rect id="_x0000_s2246" style="position:absolute;left:3065;top:4497;width:100;height:480;mso-wrap-style:none" filled="f" stroked="f">
                <v:textbox style="mso-fit-shape-to-text:t" inset="0,0,0,0">
                  <w:txbxContent>
                    <w:p w:rsidR="00FE07AD" w:rsidRDefault="00FE07AD">
                      <w:r>
                        <w:rPr>
                          <w:rFonts w:ascii="Small Fonts" w:hAnsi="Small Fonts" w:cs="Small Fonts"/>
                          <w:color w:val="000000"/>
                          <w:sz w:val="10"/>
                          <w:szCs w:val="10"/>
                        </w:rPr>
                        <w:t>-5</w:t>
                      </w:r>
                    </w:p>
                  </w:txbxContent>
                </v:textbox>
              </v:rect>
              <v:rect id="_x0000_s2247" style="position:absolute;left:3116;top:4272;width:62;height:240;mso-wrap-style:none" filled="f" stroked="f">
                <v:textbox style="mso-fit-shape-to-text:t" inset="0,0,0,0">
                  <w:txbxContent>
                    <w:p w:rsidR="00FE07AD" w:rsidRDefault="00FE07AD">
                      <w:r>
                        <w:rPr>
                          <w:rFonts w:ascii="Small Fonts" w:hAnsi="Small Fonts" w:cs="Small Fonts"/>
                          <w:color w:val="000000"/>
                          <w:sz w:val="10"/>
                          <w:szCs w:val="10"/>
                        </w:rPr>
                        <w:t>0</w:t>
                      </w:r>
                    </w:p>
                  </w:txbxContent>
                </v:textbox>
              </v:rect>
              <v:rect id="_x0000_s2248" style="position:absolute;left:3116;top:4047;width:62;height:240;mso-wrap-style:none" filled="f" stroked="f">
                <v:textbox style="mso-fit-shape-to-text:t" inset="0,0,0,0">
                  <w:txbxContent>
                    <w:p w:rsidR="00FE07AD" w:rsidRDefault="00FE07AD">
                      <w:r>
                        <w:rPr>
                          <w:rFonts w:ascii="Small Fonts" w:hAnsi="Small Fonts" w:cs="Small Fonts"/>
                          <w:color w:val="000000"/>
                          <w:sz w:val="10"/>
                          <w:szCs w:val="10"/>
                        </w:rPr>
                        <w:t>5</w:t>
                      </w:r>
                    </w:p>
                  </w:txbxContent>
                </v:textbox>
              </v:rect>
              <v:rect id="_x0000_s2249" style="position:absolute;left:3048;top:3823;width:123;height:480;mso-wrap-style:none" filled="f" stroked="f">
                <v:textbox style="mso-fit-shape-to-text:t" inset="0,0,0,0">
                  <w:txbxContent>
                    <w:p w:rsidR="00FE07AD" w:rsidRDefault="00FE07AD">
                      <w:r>
                        <w:rPr>
                          <w:rFonts w:ascii="Small Fonts" w:hAnsi="Small Fonts" w:cs="Small Fonts"/>
                          <w:color w:val="000000"/>
                          <w:sz w:val="10"/>
                          <w:szCs w:val="10"/>
                        </w:rPr>
                        <w:t>10</w:t>
                      </w:r>
                    </w:p>
                  </w:txbxContent>
                </v:textbox>
              </v:rect>
              <v:rect id="_x0000_s2250" style="position:absolute;left:3048;top:3598;width:123;height:480;mso-wrap-style:none" filled="f" stroked="f">
                <v:textbox style="mso-fit-shape-to-text:t" inset="0,0,0,0">
                  <w:txbxContent>
                    <w:p w:rsidR="00FE07AD" w:rsidRDefault="00FE07AD">
                      <w:r>
                        <w:rPr>
                          <w:rFonts w:ascii="Small Fonts" w:hAnsi="Small Fonts" w:cs="Small Fonts"/>
                          <w:color w:val="000000"/>
                          <w:sz w:val="10"/>
                          <w:szCs w:val="10"/>
                        </w:rPr>
                        <w:t>15</w:t>
                      </w:r>
                    </w:p>
                  </w:txbxContent>
                </v:textbox>
              </v:rect>
              <v:rect id="_x0000_s2251" style="position:absolute;left:3048;top:3373;width:123;height:480;mso-wrap-style:none" filled="f" stroked="f">
                <v:textbox style="mso-fit-shape-to-text:t" inset="0,0,0,0">
                  <w:txbxContent>
                    <w:p w:rsidR="00FE07AD" w:rsidRDefault="00FE07AD">
                      <w:r>
                        <w:rPr>
                          <w:rFonts w:ascii="Small Fonts" w:hAnsi="Small Fonts" w:cs="Small Fonts"/>
                          <w:color w:val="000000"/>
                          <w:sz w:val="10"/>
                          <w:szCs w:val="10"/>
                        </w:rPr>
                        <w:t>20</w:t>
                      </w:r>
                    </w:p>
                  </w:txbxContent>
                </v:textbox>
              </v:rect>
              <v:rect id="_x0000_s2252" style="position:absolute;left:3048;top:3148;width:123;height:480;mso-wrap-style:none" filled="f" stroked="f">
                <v:textbox style="mso-fit-shape-to-text:t" inset="0,0,0,0">
                  <w:txbxContent>
                    <w:p w:rsidR="00FE07AD" w:rsidRDefault="00FE07AD">
                      <w:r>
                        <w:rPr>
                          <w:rFonts w:ascii="Small Fonts" w:hAnsi="Small Fonts" w:cs="Small Fonts"/>
                          <w:color w:val="000000"/>
                          <w:sz w:val="10"/>
                          <w:szCs w:val="10"/>
                        </w:rPr>
                        <w:t>25</w:t>
                      </w:r>
                    </w:p>
                  </w:txbxContent>
                </v:textbox>
              </v:rect>
              <v:rect id="_x0000_s2253" style="position:absolute;left:3048;top:2924;width:123;height:480;mso-wrap-style:none" filled="f" stroked="f">
                <v:textbox style="mso-fit-shape-to-text:t" inset="0,0,0,0">
                  <w:txbxContent>
                    <w:p w:rsidR="00FE07AD" w:rsidRDefault="00FE07AD">
                      <w:r>
                        <w:rPr>
                          <w:rFonts w:ascii="Small Fonts" w:hAnsi="Small Fonts" w:cs="Small Fonts"/>
                          <w:color w:val="000000"/>
                          <w:sz w:val="10"/>
                          <w:szCs w:val="10"/>
                        </w:rPr>
                        <w:t>30</w:t>
                      </w:r>
                    </w:p>
                  </w:txbxContent>
                </v:textbox>
              </v:rect>
              <v:rect id="_x0000_s2254" style="position:absolute;left:3946;top:4467;width:383;height:480;mso-wrap-style:none" filled="f" stroked="f">
                <v:textbox style="mso-fit-shape-to-text:t" inset="0,0,0,0">
                  <w:txbxContent>
                    <w:p w:rsidR="00FE07AD" w:rsidRDefault="00FE07AD">
                      <w:r>
                        <w:rPr>
                          <w:rFonts w:ascii="Arial" w:hAnsi="Arial" w:cs="Arial"/>
                          <w:color w:val="000000"/>
                          <w:sz w:val="16"/>
                          <w:szCs w:val="16"/>
                        </w:rPr>
                        <w:t>2002</w:t>
                      </w:r>
                    </w:p>
                  </w:txbxContent>
                </v:textbox>
              </v:rect>
              <v:rect id="_x0000_s2255" style="position:absolute;left:5725;top:4467;width:383;height:480;mso-wrap-style:none" filled="f" stroked="f">
                <v:textbox style="mso-fit-shape-to-text:t" inset="0,0,0,0">
                  <w:txbxContent>
                    <w:p w:rsidR="00FE07AD" w:rsidRDefault="00FE07AD">
                      <w:r>
                        <w:rPr>
                          <w:rFonts w:ascii="Arial" w:hAnsi="Arial" w:cs="Arial"/>
                          <w:color w:val="000000"/>
                          <w:sz w:val="16"/>
                          <w:szCs w:val="16"/>
                        </w:rPr>
                        <w:t>2003</w:t>
                      </w:r>
                    </w:p>
                  </w:txbxContent>
                </v:textbox>
              </v:rect>
              <v:rect id="_x0000_s2256" style="position:absolute;left:7505;top:4467;width:383;height:480;mso-wrap-style:none" filled="f" stroked="f">
                <v:textbox style="mso-fit-shape-to-text:t" inset="0,0,0,0">
                  <w:txbxContent>
                    <w:p w:rsidR="00FE07AD" w:rsidRDefault="00FE07AD">
                      <w:r>
                        <w:rPr>
                          <w:rFonts w:ascii="Arial" w:hAnsi="Arial" w:cs="Arial"/>
                          <w:color w:val="000000"/>
                          <w:sz w:val="16"/>
                          <w:szCs w:val="16"/>
                        </w:rPr>
                        <w:t>2004</w:t>
                      </w:r>
                    </w:p>
                  </w:txbxContent>
                </v:textbox>
              </v:rect>
              <v:rect id="_x0000_s2257" style="position:absolute;left:5624;top:4872;width:240;height:480;mso-wrap-style:none" filled="f" stroked="f">
                <v:textbox style="mso-fit-shape-to-text:t" inset="0,0,0,0">
                  <w:txbxContent>
                    <w:p w:rsidR="00FE07AD" w:rsidRDefault="00FE07AD">
                      <w:r>
                        <w:rPr>
                          <w:rFonts w:ascii="Small Fonts" w:hAnsi="Small Fonts" w:cs="Small Fonts"/>
                          <w:b/>
                          <w:bCs/>
                          <w:color w:val="000000"/>
                          <w:sz w:val="10"/>
                          <w:szCs w:val="10"/>
                        </w:rPr>
                        <w:t>Year</w:t>
                      </w:r>
                    </w:p>
                  </w:txbxContent>
                </v:textbox>
              </v:rect>
              <v:shape id="_x0000_s2258" type="#_x0000_t75" style="position:absolute;left:2760;top:3478;width:135;height:779">
                <v:imagedata r:id="rId15" o:title=""/>
              </v:shape>
              <v:shape id="_x0000_s2259" type="#_x0000_t75" style="position:absolute;left:2760;top:3478;width:135;height:779">
                <v:imagedata r:id="rId16" o:title=""/>
              </v:shape>
              <v:rect id="_x0000_s2260" style="position:absolute;left:2506;top:5021;width:6964;height:450" strokeweight="0"/>
              <v:line id="_x0000_s2261" style="position:absolute" from="2692,5141" to="3150,5142" strokecolor="navy" strokeweight=".85pt"/>
              <v:shape id="_x0000_s2262" style="position:absolute;left:2862;top:5096;width:101;height:90" coordsize="101,90" path="m50,r51,45l50,90,,45,50,xe" fillcolor="navy" strokecolor="navy" strokeweight=".85pt">
                <v:path arrowok="t"/>
              </v:shape>
              <v:rect id="_x0000_s2263" style="position:absolute;left:3201;top:5036;width:882;height:480;mso-wrap-style:none" filled="f" stroked="f">
                <v:textbox style="mso-fit-shape-to-text:t" inset="0,0,0,0">
                  <w:txbxContent>
                    <w:p w:rsidR="00FE07AD" w:rsidRDefault="00FE07AD">
                      <w:r>
                        <w:rPr>
                          <w:rFonts w:ascii="Arial" w:hAnsi="Arial" w:cs="Arial"/>
                          <w:color w:val="000000"/>
                          <w:sz w:val="16"/>
                          <w:szCs w:val="16"/>
                        </w:rPr>
                        <w:t xml:space="preserve">Agriculture, </w:t>
                      </w:r>
                    </w:p>
                  </w:txbxContent>
                </v:textbox>
              </v:rect>
              <v:line id="_x0000_s2264" style="position:absolute" from="5014,5141" to="5471,5142" strokecolor="fuchsia" strokeweight=".85pt"/>
              <v:rect id="_x0000_s2265" style="position:absolute;left:5183;top:5096;width:102;height:90" fillcolor="fuchsia" strokecolor="fuchsia" strokeweight=".85pt"/>
              <v:rect id="_x0000_s2266" style="position:absolute;left:5522;top:5036;width:1024;height:480;mso-wrap-style:none" filled="f" stroked="f">
                <v:textbox style="mso-fit-shape-to-text:t" inset="0,0,0,0">
                  <w:txbxContent>
                    <w:p w:rsidR="00FE07AD" w:rsidRDefault="00FE07AD">
                      <w:r>
                        <w:rPr>
                          <w:rFonts w:ascii="Arial" w:hAnsi="Arial" w:cs="Arial"/>
                          <w:color w:val="000000"/>
                          <w:sz w:val="16"/>
                          <w:szCs w:val="16"/>
                        </w:rPr>
                        <w:t xml:space="preserve">Pétroleet gaz </w:t>
                      </w:r>
                    </w:p>
                  </w:txbxContent>
                </v:textbox>
              </v:rect>
              <v:line id="_x0000_s2267" style="position:absolute" from="7335,5141" to="7793,5142" strokecolor="yellow" strokeweight=".85pt"/>
              <v:shape id="_x0000_s2268" style="position:absolute;left:7505;top:5096;width:101;height:90" coordsize="101,90" path="m51,r50,90l,90,51,xe" fillcolor="yellow" strokecolor="yellow" strokeweight=".85pt">
                <v:path arrowok="t"/>
              </v:shape>
              <v:rect id="_x0000_s2269" style="position:absolute;left:7844;top:5036;width:873;height:480;mso-wrap-style:none" filled="f" stroked="f">
                <v:textbox style="mso-fit-shape-to-text:t" inset="0,0,0,0">
                  <w:txbxContent>
                    <w:p w:rsidR="00FE07AD" w:rsidRDefault="00FE07AD">
                      <w:r>
                        <w:rPr>
                          <w:rFonts w:ascii="Arial" w:hAnsi="Arial" w:cs="Arial"/>
                          <w:color w:val="000000"/>
                          <w:sz w:val="16"/>
                          <w:szCs w:val="16"/>
                        </w:rPr>
                        <w:t xml:space="preserve">Distribution </w:t>
                      </w:r>
                    </w:p>
                  </w:txbxContent>
                </v:textbox>
              </v:rect>
              <v:line id="_x0000_s2270" style="position:absolute" from="2692,5306" to="3150,5307" strokecolor="aqua" strokeweight=".85pt"/>
              <v:rect id="_x0000_s2271" style="position:absolute;left:2845;top:5246;width:169;height:150" filled="f" stroked="f"/>
              <v:line id="_x0000_s2272" style="position:absolute;flip:x y" from="2862,5261" to="2912,5306" strokecolor="aqua" strokeweight=".85pt"/>
              <v:line id="_x0000_s2273" style="position:absolute" from="2912,5306" to="2963,5351" strokecolor="aqua" strokeweight=".85pt"/>
              <v:line id="_x0000_s2274" style="position:absolute;flip:x" from="2862,5306" to="2912,5351" strokecolor="aqua" strokeweight=".85pt"/>
              <v:line id="_x0000_s2275" style="position:absolute;flip:y" from="2912,5261" to="2963,5306" strokecolor="aqua" strokeweight=".85pt"/>
              <v:rect id="_x0000_s2276" style="position:absolute;left:3201;top:5201;width:1158;height:480;mso-wrap-style:none" filled="f" stroked="f">
                <v:textbox style="mso-fit-shape-to-text:t" inset="0,0,0,0">
                  <w:txbxContent>
                    <w:p w:rsidR="00FE07AD" w:rsidRDefault="00FE07AD">
                      <w:r>
                        <w:rPr>
                          <w:rFonts w:ascii="Arial" w:hAnsi="Arial" w:cs="Arial"/>
                          <w:color w:val="000000"/>
                          <w:sz w:val="16"/>
                          <w:szCs w:val="16"/>
                        </w:rPr>
                        <w:t>Transformation</w:t>
                      </w:r>
                    </w:p>
                  </w:txbxContent>
                </v:textbox>
              </v:rect>
              <v:line id="_x0000_s2277" style="position:absolute" from="5014,5306" to="5471,5307" strokecolor="purple" strokeweight=".85pt"/>
              <v:rect id="_x0000_s2278" style="position:absolute;left:5166;top:5246;width:170;height:150" filled="f" stroked="f"/>
              <v:line id="_x0000_s2279" style="position:absolute;flip:x y" from="5183,5261" to="5234,5306" strokecolor="purple" strokeweight=".85pt"/>
              <v:line id="_x0000_s2280" style="position:absolute" from="5234,5306" to="5285,5351" strokecolor="purple" strokeweight=".85pt"/>
              <v:line id="_x0000_s2281" style="position:absolute;flip:x" from="5183,5306" to="5234,5351" strokecolor="purple" strokeweight=".85pt"/>
              <v:line id="_x0000_s2282" style="position:absolute;flip:y" from="5234,5261" to="5285,5306" strokecolor="purple" strokeweight=".85pt"/>
              <v:line id="_x0000_s2283" style="position:absolute;flip:y" from="5234,5261" to="5235,5306" strokecolor="purple" strokeweight=".85pt"/>
              <v:line id="_x0000_s2284" style="position:absolute" from="5234,5306" to="5235,5351" strokecolor="purple" strokeweight=".85pt"/>
              <v:rect id="_x0000_s2285" style="position:absolute;left:5522;top:5201;width:501;height:480;mso-wrap-style:none" filled="f" stroked="f">
                <v:textbox style="mso-fit-shape-to-text:t" inset="0,0,0,0">
                  <w:txbxContent>
                    <w:p w:rsidR="00FE07AD" w:rsidRDefault="00FE07AD">
                      <w:r>
                        <w:rPr>
                          <w:rFonts w:ascii="Arial" w:hAnsi="Arial" w:cs="Arial"/>
                          <w:color w:val="000000"/>
                          <w:sz w:val="16"/>
                          <w:szCs w:val="16"/>
                        </w:rPr>
                        <w:t>Autres</w:t>
                      </w:r>
                    </w:p>
                  </w:txbxContent>
                </v:textbox>
              </v:rect>
              <v:line id="_x0000_s2286" style="position:absolute" from="7335,5306" to="7793,5307" strokecolor="maroon" strokeweight=".85pt"/>
              <v:oval id="_x0000_s2287" style="position:absolute;left:7505;top:5261;width:101;height:90" fillcolor="maroon" strokecolor="maroon" strokeweight=".85pt"/>
              <v:rect id="_x0000_s2288" style="position:absolute;left:7844;top:5201;width:278;height:480;mso-wrap-style:none" filled="f" stroked="f">
                <v:textbox style="mso-fit-shape-to-text:t" inset="0,0,0,0">
                  <w:txbxContent>
                    <w:p w:rsidR="00FE07AD" w:rsidRDefault="00FE07AD">
                      <w:r>
                        <w:rPr>
                          <w:rFonts w:ascii="Arial" w:hAnsi="Arial" w:cs="Arial"/>
                          <w:color w:val="000000"/>
                          <w:sz w:val="16"/>
                          <w:szCs w:val="16"/>
                        </w:rPr>
                        <w:t>PIB</w:t>
                      </w:r>
                    </w:p>
                  </w:txbxContent>
                </v:textbox>
              </v:rect>
              <v:rect id="_x0000_s2289" style="position:absolute;left:2506;top:2609;width:6134;height:3297" filled="f" strokeweight="0"/>
            </v:group>
          </v:group>
        </w:pict>
      </w:r>
    </w:p>
    <w:p w:rsidR="00880781" w:rsidRDefault="00880781" w:rsidP="00880781">
      <w:pPr>
        <w:pStyle w:val="SingleTxt"/>
        <w:rPr>
          <w:bCs/>
          <w:lang w:val="fr-FR"/>
        </w:rPr>
      </w:pPr>
    </w:p>
    <w:p w:rsidR="00880781" w:rsidRDefault="00880781" w:rsidP="00880781">
      <w:pPr>
        <w:pStyle w:val="SingleTxt"/>
        <w:rPr>
          <w:bCs/>
          <w:lang w:val="fr-FR"/>
        </w:rPr>
      </w:pPr>
    </w:p>
    <w:p w:rsidR="00880781" w:rsidRDefault="00880781" w:rsidP="00880781">
      <w:pPr>
        <w:pStyle w:val="SingleTxt"/>
        <w:rPr>
          <w:bCs/>
          <w:lang w:val="fr-FR"/>
        </w:rPr>
      </w:pPr>
    </w:p>
    <w:p w:rsidR="00880781" w:rsidRDefault="00880781" w:rsidP="00880781">
      <w:pPr>
        <w:pStyle w:val="SingleTxt"/>
        <w:rPr>
          <w:bCs/>
          <w:lang w:val="fr-FR"/>
        </w:rPr>
      </w:pPr>
    </w:p>
    <w:p w:rsidR="00880781" w:rsidRDefault="00880781" w:rsidP="00880781">
      <w:pPr>
        <w:pStyle w:val="SingleTxt"/>
        <w:rPr>
          <w:bCs/>
          <w:lang w:val="fr-FR"/>
        </w:rPr>
      </w:pPr>
    </w:p>
    <w:p w:rsidR="00880781" w:rsidRDefault="00880781" w:rsidP="00880781">
      <w:pPr>
        <w:pStyle w:val="SingleTxt"/>
        <w:rPr>
          <w:bCs/>
          <w:lang w:val="fr-FR"/>
        </w:rPr>
      </w:pPr>
    </w:p>
    <w:p w:rsidR="007C13FD" w:rsidRDefault="007C13FD" w:rsidP="00880781">
      <w:pPr>
        <w:pStyle w:val="SingleTxt"/>
        <w:rPr>
          <w:bCs/>
          <w:lang w:val="fr-FR"/>
        </w:rPr>
      </w:pPr>
    </w:p>
    <w:p w:rsidR="007C13FD" w:rsidRDefault="007C13FD" w:rsidP="00880781">
      <w:pPr>
        <w:pStyle w:val="SingleTxt"/>
        <w:rPr>
          <w:bCs/>
          <w:lang w:val="fr-FR"/>
        </w:rPr>
      </w:pPr>
    </w:p>
    <w:p w:rsidR="007C13FD" w:rsidRDefault="007C13FD" w:rsidP="00880781">
      <w:pPr>
        <w:pStyle w:val="SingleTxt"/>
        <w:rPr>
          <w:bCs/>
          <w:lang w:val="fr-FR"/>
        </w:rPr>
      </w:pPr>
    </w:p>
    <w:p w:rsidR="00880781" w:rsidRDefault="00EA484A" w:rsidP="00880781">
      <w:pPr>
        <w:pStyle w:val="SingleTxt"/>
        <w:rPr>
          <w:bCs/>
          <w:sz w:val="17"/>
          <w:szCs w:val="17"/>
          <w:lang w:val="fr-FR"/>
        </w:rPr>
      </w:pPr>
      <w:r w:rsidRPr="00EA484A">
        <w:rPr>
          <w:b/>
          <w:bCs/>
          <w:i/>
          <w:sz w:val="17"/>
          <w:szCs w:val="17"/>
          <w:lang w:val="fr-FR"/>
        </w:rPr>
        <w:t>Source</w:t>
      </w:r>
      <w:r w:rsidRPr="00EA484A">
        <w:rPr>
          <w:b/>
          <w:bCs/>
          <w:sz w:val="17"/>
          <w:szCs w:val="17"/>
          <w:lang w:val="fr-FR"/>
        </w:rPr>
        <w:t xml:space="preserve"> :</w:t>
      </w:r>
      <w:r w:rsidRPr="00EA484A">
        <w:rPr>
          <w:bCs/>
          <w:color w:val="FF0000"/>
          <w:sz w:val="17"/>
          <w:szCs w:val="17"/>
          <w:lang w:val="fr-FR"/>
        </w:rPr>
        <w:t xml:space="preserve"> </w:t>
      </w:r>
      <w:r w:rsidRPr="00EA484A">
        <w:rPr>
          <w:bCs/>
          <w:sz w:val="17"/>
          <w:szCs w:val="17"/>
          <w:lang w:val="fr-FR"/>
        </w:rPr>
        <w:t>Bureau national de la statistique : 2004</w:t>
      </w:r>
      <w:r>
        <w:rPr>
          <w:bCs/>
          <w:sz w:val="17"/>
          <w:szCs w:val="17"/>
          <w:lang w:val="fr-FR"/>
        </w:rPr>
        <w:t>.</w:t>
      </w:r>
    </w:p>
    <w:p w:rsidR="00B0068A" w:rsidRDefault="002D5B1A" w:rsidP="002D5B1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0068A" w:rsidRPr="005D6CD4">
        <w:rPr>
          <w:lang w:val="fr-FR"/>
        </w:rPr>
        <w:t>Processus de préparation</w:t>
      </w:r>
    </w:p>
    <w:p w:rsidR="002D5B1A" w:rsidRPr="002D5B1A" w:rsidRDefault="002D5B1A" w:rsidP="002D5B1A">
      <w:pPr>
        <w:pStyle w:val="SingleTxt"/>
        <w:spacing w:after="0" w:line="120" w:lineRule="exact"/>
        <w:rPr>
          <w:sz w:val="10"/>
          <w:lang w:val="fr-FR"/>
        </w:rPr>
      </w:pPr>
    </w:p>
    <w:p w:rsidR="002D5B1A" w:rsidRPr="002D5B1A" w:rsidRDefault="002D5B1A" w:rsidP="002D5B1A">
      <w:pPr>
        <w:pStyle w:val="SingleTxt"/>
        <w:spacing w:after="0" w:line="120" w:lineRule="exact"/>
        <w:rPr>
          <w:sz w:val="10"/>
          <w:lang w:val="fr-FR"/>
        </w:rPr>
      </w:pPr>
    </w:p>
    <w:p w:rsidR="00B0068A" w:rsidRPr="005D6CD4" w:rsidRDefault="007C13FD" w:rsidP="002D5B1A">
      <w:pPr>
        <w:pStyle w:val="SingleTxt"/>
        <w:rPr>
          <w:lang w:val="fr-FR"/>
        </w:rPr>
      </w:pPr>
      <w:r>
        <w:rPr>
          <w:lang w:val="fr-FR"/>
        </w:rPr>
        <w:tab/>
      </w:r>
      <w:r w:rsidR="00B0068A" w:rsidRPr="005D6CD4">
        <w:rPr>
          <w:lang w:val="fr-FR"/>
        </w:rPr>
        <w:t>Dans le cadre du processus de préparation du 6</w:t>
      </w:r>
      <w:r w:rsidR="00B0068A" w:rsidRPr="007B1D38">
        <w:rPr>
          <w:vertAlign w:val="superscript"/>
          <w:lang w:val="fr-FR"/>
        </w:rPr>
        <w:t>e</w:t>
      </w:r>
      <w:r w:rsidR="00B0068A">
        <w:rPr>
          <w:lang w:val="fr-FR"/>
        </w:rPr>
        <w:t xml:space="preserve"> </w:t>
      </w:r>
      <w:r w:rsidR="00B0068A" w:rsidRPr="005D6CD4">
        <w:rPr>
          <w:lang w:val="fr-FR"/>
        </w:rPr>
        <w:t>rapport périodique, un ensemble d</w:t>
      </w:r>
      <w:r w:rsidR="000A3D87">
        <w:rPr>
          <w:lang w:val="fr-FR"/>
        </w:rPr>
        <w:t>’</w:t>
      </w:r>
      <w:r w:rsidR="00B0068A" w:rsidRPr="005D6CD4">
        <w:rPr>
          <w:lang w:val="fr-FR"/>
        </w:rPr>
        <w:t xml:space="preserve">interventions a été convenu mutuellement par le </w:t>
      </w:r>
      <w:r w:rsidR="00B0068A">
        <w:rPr>
          <w:lang w:val="fr-FR"/>
        </w:rPr>
        <w:t>G</w:t>
      </w:r>
      <w:r w:rsidR="00B0068A" w:rsidRPr="005D6CD4">
        <w:rPr>
          <w:lang w:val="fr-FR"/>
        </w:rPr>
        <w:t>ouvernement, les organisations de la soci</w:t>
      </w:r>
      <w:r w:rsidR="00B0068A" w:rsidRPr="005D6CD4">
        <w:rPr>
          <w:lang w:val="fr-FR"/>
        </w:rPr>
        <w:t>é</w:t>
      </w:r>
      <w:r w:rsidR="00B0068A" w:rsidRPr="005D6CD4">
        <w:rPr>
          <w:lang w:val="fr-FR"/>
        </w:rPr>
        <w:t>té civile et les partenaires de développement et considéré comme présentant un intérêt vital pour l</w:t>
      </w:r>
      <w:r w:rsidR="000A3D87">
        <w:rPr>
          <w:lang w:val="fr-FR"/>
        </w:rPr>
        <w:t>’</w:t>
      </w:r>
      <w:r w:rsidR="00B0068A" w:rsidRPr="005D6CD4">
        <w:rPr>
          <w:lang w:val="fr-FR"/>
        </w:rPr>
        <w:t>établissement d</w:t>
      </w:r>
      <w:r w:rsidR="000A3D87">
        <w:rPr>
          <w:lang w:val="fr-FR"/>
        </w:rPr>
        <w:t>’</w:t>
      </w:r>
      <w:r w:rsidR="00B0068A" w:rsidRPr="005D6CD4">
        <w:rPr>
          <w:lang w:val="fr-FR"/>
        </w:rPr>
        <w:t xml:space="preserve">un rapport de consensus. Ces interventions consistent notamment à : </w:t>
      </w:r>
    </w:p>
    <w:p w:rsidR="00B0068A" w:rsidRPr="005D6CD4" w:rsidRDefault="00B0068A" w:rsidP="00AC2642">
      <w:pPr>
        <w:pStyle w:val="SingleTxt"/>
        <w:numPr>
          <w:ilvl w:val="2"/>
          <w:numId w:val="3"/>
        </w:numPr>
        <w:tabs>
          <w:tab w:val="clear" w:pos="2218"/>
          <w:tab w:val="clear" w:pos="3427"/>
          <w:tab w:val="left" w:pos="2160"/>
        </w:tabs>
        <w:ind w:left="2160" w:hanging="450"/>
        <w:rPr>
          <w:i/>
          <w:lang w:val="fr-FR"/>
        </w:rPr>
      </w:pPr>
      <w:r w:rsidRPr="002D5B1A">
        <w:rPr>
          <w:i/>
          <w:lang w:val="fr-FR"/>
        </w:rPr>
        <w:t>Faire</w:t>
      </w:r>
      <w:r w:rsidRPr="005D6CD4">
        <w:rPr>
          <w:lang w:val="fr-FR"/>
        </w:rPr>
        <w:t xml:space="preserve"> </w:t>
      </w:r>
      <w:r w:rsidRPr="00430042">
        <w:rPr>
          <w:b/>
          <w:i/>
          <w:lang w:val="fr-FR"/>
        </w:rPr>
        <w:t xml:space="preserve">participer régulièrement la société civile </w:t>
      </w:r>
      <w:r w:rsidRPr="005D6CD4">
        <w:rPr>
          <w:i/>
          <w:lang w:val="fr-FR"/>
        </w:rPr>
        <w:t>aux différentes phases du processus</w:t>
      </w:r>
      <w:r w:rsidR="008724C4">
        <w:rPr>
          <w:i/>
          <w:lang w:val="fr-FR"/>
        </w:rPr>
        <w:t>;</w:t>
      </w:r>
    </w:p>
    <w:p w:rsidR="00B0068A" w:rsidRPr="005D6CD4" w:rsidRDefault="00B0068A" w:rsidP="00AC2642">
      <w:pPr>
        <w:pStyle w:val="SingleTxt"/>
        <w:numPr>
          <w:ilvl w:val="2"/>
          <w:numId w:val="3"/>
        </w:numPr>
        <w:tabs>
          <w:tab w:val="clear" w:pos="2218"/>
          <w:tab w:val="clear" w:pos="3427"/>
          <w:tab w:val="left" w:pos="2160"/>
        </w:tabs>
        <w:ind w:left="2160" w:hanging="450"/>
        <w:rPr>
          <w:i/>
          <w:lang w:val="fr-FR"/>
        </w:rPr>
      </w:pPr>
      <w:r w:rsidRPr="005D6CD4">
        <w:rPr>
          <w:i/>
          <w:lang w:val="fr-FR"/>
        </w:rPr>
        <w:t xml:space="preserve">Encourager et impliquer </w:t>
      </w:r>
      <w:r w:rsidRPr="00430042">
        <w:rPr>
          <w:b/>
          <w:i/>
          <w:lang w:val="fr-FR"/>
        </w:rPr>
        <w:t>les institutions du système des Nations Unies et les partenaires de développement</w:t>
      </w:r>
      <w:r w:rsidRPr="005D6CD4">
        <w:rPr>
          <w:i/>
          <w:lang w:val="fr-FR"/>
        </w:rPr>
        <w:t>, afin qu</w:t>
      </w:r>
      <w:r w:rsidR="000A3D87">
        <w:rPr>
          <w:i/>
          <w:lang w:val="fr-FR"/>
        </w:rPr>
        <w:t>’</w:t>
      </w:r>
      <w:r w:rsidRPr="005D6CD4">
        <w:rPr>
          <w:i/>
          <w:lang w:val="fr-FR"/>
        </w:rPr>
        <w:t>ils apportent une</w:t>
      </w:r>
      <w:r w:rsidRPr="008B6D2B">
        <w:rPr>
          <w:b/>
          <w:i/>
          <w:lang w:val="fr-FR"/>
        </w:rPr>
        <w:t xml:space="preserve"> contribution technique et financière</w:t>
      </w:r>
      <w:r w:rsidRPr="005D6CD4">
        <w:rPr>
          <w:i/>
          <w:lang w:val="fr-FR"/>
        </w:rPr>
        <w:t xml:space="preserve"> correspondant aux mandats de leurs programmes respectifs et en réponse aux recommandations formulées par le Comité de </w:t>
      </w:r>
      <w:r>
        <w:rPr>
          <w:i/>
          <w:lang w:val="fr-FR"/>
        </w:rPr>
        <w:t>la Convention</w:t>
      </w:r>
      <w:r w:rsidR="008724C4">
        <w:rPr>
          <w:i/>
          <w:lang w:val="fr-FR"/>
        </w:rPr>
        <w:t>;</w:t>
      </w:r>
      <w:r>
        <w:rPr>
          <w:i/>
          <w:lang w:val="fr-FR"/>
        </w:rPr>
        <w:t xml:space="preserve"> </w:t>
      </w:r>
    </w:p>
    <w:p w:rsidR="00B0068A" w:rsidRPr="005D6CD4" w:rsidRDefault="00B0068A" w:rsidP="00AC2642">
      <w:pPr>
        <w:pStyle w:val="SingleTxt"/>
        <w:numPr>
          <w:ilvl w:val="2"/>
          <w:numId w:val="3"/>
        </w:numPr>
        <w:tabs>
          <w:tab w:val="clear" w:pos="2218"/>
          <w:tab w:val="clear" w:pos="3427"/>
          <w:tab w:val="left" w:pos="2160"/>
        </w:tabs>
        <w:ind w:left="2160" w:hanging="450"/>
        <w:rPr>
          <w:i/>
          <w:lang w:val="fr-FR"/>
        </w:rPr>
      </w:pPr>
      <w:r w:rsidRPr="005D6CD4">
        <w:rPr>
          <w:i/>
          <w:lang w:val="fr-FR"/>
        </w:rPr>
        <w:t xml:space="preserve">Élaborer et respecter un </w:t>
      </w:r>
      <w:r w:rsidRPr="008B6D2B">
        <w:rPr>
          <w:b/>
          <w:i/>
          <w:lang w:val="fr-FR"/>
        </w:rPr>
        <w:t>calendrier et un plan d</w:t>
      </w:r>
      <w:r w:rsidR="000A3D87" w:rsidRPr="008B6D2B">
        <w:rPr>
          <w:b/>
          <w:i/>
          <w:lang w:val="fr-FR"/>
        </w:rPr>
        <w:t>’</w:t>
      </w:r>
      <w:r w:rsidRPr="008B6D2B">
        <w:rPr>
          <w:b/>
          <w:i/>
          <w:lang w:val="fr-FR"/>
        </w:rPr>
        <w:t>action précis</w:t>
      </w:r>
      <w:r w:rsidRPr="005D6CD4">
        <w:rPr>
          <w:i/>
          <w:lang w:val="fr-FR"/>
        </w:rPr>
        <w:t xml:space="preserve"> pour la rédaction du rapport</w:t>
      </w:r>
      <w:r w:rsidR="008724C4">
        <w:rPr>
          <w:i/>
          <w:lang w:val="fr-FR"/>
        </w:rPr>
        <w:t>;</w:t>
      </w:r>
      <w:r w:rsidRPr="005D6CD4">
        <w:rPr>
          <w:i/>
          <w:lang w:val="fr-FR"/>
        </w:rPr>
        <w:t xml:space="preserve"> </w:t>
      </w:r>
    </w:p>
    <w:p w:rsidR="00B0068A" w:rsidRPr="005D6CD4" w:rsidRDefault="00B0068A" w:rsidP="00AC2642">
      <w:pPr>
        <w:pStyle w:val="SingleTxt"/>
        <w:numPr>
          <w:ilvl w:val="2"/>
          <w:numId w:val="3"/>
        </w:numPr>
        <w:tabs>
          <w:tab w:val="clear" w:pos="2218"/>
          <w:tab w:val="clear" w:pos="3427"/>
          <w:tab w:val="left" w:pos="2160"/>
        </w:tabs>
        <w:ind w:left="2160" w:hanging="450"/>
        <w:rPr>
          <w:i/>
          <w:lang w:val="fr-FR"/>
        </w:rPr>
      </w:pPr>
      <w:r w:rsidRPr="005D6CD4">
        <w:rPr>
          <w:i/>
          <w:lang w:val="fr-FR"/>
        </w:rPr>
        <w:t>Utiliser les remarques et observations finales formulées par le Comité de</w:t>
      </w:r>
      <w:r>
        <w:rPr>
          <w:i/>
          <w:lang w:val="fr-FR"/>
        </w:rPr>
        <w:t xml:space="preserve"> la Convention</w:t>
      </w:r>
      <w:r w:rsidRPr="005D6CD4">
        <w:rPr>
          <w:i/>
          <w:lang w:val="fr-FR"/>
        </w:rPr>
        <w:t xml:space="preserve"> concernant les 4</w:t>
      </w:r>
      <w:r w:rsidRPr="005D6CD4">
        <w:rPr>
          <w:i/>
          <w:vertAlign w:val="superscript"/>
          <w:lang w:val="fr-FR"/>
        </w:rPr>
        <w:t>e</w:t>
      </w:r>
      <w:r>
        <w:rPr>
          <w:i/>
          <w:lang w:val="fr-FR"/>
        </w:rPr>
        <w:t>-</w:t>
      </w:r>
      <w:r w:rsidRPr="005D6CD4">
        <w:rPr>
          <w:i/>
          <w:lang w:val="fr-FR"/>
        </w:rPr>
        <w:t xml:space="preserve"> 5</w:t>
      </w:r>
      <w:r w:rsidRPr="005D6CD4">
        <w:rPr>
          <w:i/>
          <w:vertAlign w:val="superscript"/>
          <w:lang w:val="fr-FR"/>
        </w:rPr>
        <w:t>e</w:t>
      </w:r>
      <w:r w:rsidRPr="005D6CD4">
        <w:rPr>
          <w:i/>
          <w:lang w:val="fr-FR"/>
        </w:rPr>
        <w:t xml:space="preserve"> rapport périodique de pays en tant que point de départ pour intégrer les progrès accomplis au 6</w:t>
      </w:r>
      <w:r w:rsidRPr="005D6CD4">
        <w:rPr>
          <w:i/>
          <w:vertAlign w:val="superscript"/>
          <w:lang w:val="fr-FR"/>
        </w:rPr>
        <w:t xml:space="preserve">e </w:t>
      </w:r>
      <w:r w:rsidRPr="005D6CD4">
        <w:rPr>
          <w:i/>
          <w:lang w:val="fr-FR"/>
        </w:rPr>
        <w:t>rapport périodique.</w:t>
      </w:r>
    </w:p>
    <w:p w:rsidR="00B0068A" w:rsidRPr="005D6CD4" w:rsidRDefault="002D5B1A" w:rsidP="002D5B1A">
      <w:pPr>
        <w:pStyle w:val="SingleTxt"/>
        <w:rPr>
          <w:bCs/>
          <w:iCs/>
          <w:lang w:val="fr-FR"/>
        </w:rPr>
      </w:pPr>
      <w:r>
        <w:rPr>
          <w:lang w:val="fr-FR"/>
        </w:rPr>
        <w:tab/>
      </w:r>
      <w:r w:rsidR="00B0068A" w:rsidRPr="005D6CD4">
        <w:rPr>
          <w:lang w:val="fr-FR"/>
        </w:rPr>
        <w:t xml:space="preserve">En complément des efforts actuellement déployés pour mettre en œuvre et populariser </w:t>
      </w:r>
      <w:r w:rsidR="00B0068A">
        <w:rPr>
          <w:lang w:val="fr-FR"/>
        </w:rPr>
        <w:t>la Convention</w:t>
      </w:r>
      <w:r w:rsidR="00B0068A" w:rsidRPr="005D6CD4">
        <w:rPr>
          <w:lang w:val="fr-FR"/>
        </w:rPr>
        <w:t>, l</w:t>
      </w:r>
      <w:r w:rsidR="000A3D87">
        <w:rPr>
          <w:lang w:val="fr-FR"/>
        </w:rPr>
        <w:t>’</w:t>
      </w:r>
      <w:r w:rsidR="00B0068A" w:rsidRPr="005D6CD4">
        <w:rPr>
          <w:lang w:val="fr-FR"/>
        </w:rPr>
        <w:t>on a reconnu la nécessité de mesures précises concernant l</w:t>
      </w:r>
      <w:r w:rsidR="000A3D87">
        <w:rPr>
          <w:lang w:val="fr-FR"/>
        </w:rPr>
        <w:t>’</w:t>
      </w:r>
      <w:r w:rsidR="00B0068A" w:rsidRPr="005D6CD4">
        <w:rPr>
          <w:lang w:val="fr-FR"/>
        </w:rPr>
        <w:t>établissement du ra</w:t>
      </w:r>
      <w:r w:rsidR="00B0068A" w:rsidRPr="005D6CD4">
        <w:rPr>
          <w:lang w:val="fr-FR"/>
        </w:rPr>
        <w:t>p</w:t>
      </w:r>
      <w:r w:rsidR="00B0068A" w:rsidRPr="005D6CD4">
        <w:rPr>
          <w:lang w:val="fr-FR"/>
        </w:rPr>
        <w:t xml:space="preserve">port. Les principales activités </w:t>
      </w:r>
      <w:r w:rsidR="00B0068A" w:rsidRPr="008B6D2B">
        <w:rPr>
          <w:b/>
          <w:lang w:val="fr-FR"/>
        </w:rPr>
        <w:t>ont démarré en octobre 2005 par la réunion consultative in</w:t>
      </w:r>
      <w:r w:rsidR="00B0068A" w:rsidRPr="008B6D2B">
        <w:rPr>
          <w:b/>
          <w:lang w:val="fr-FR"/>
        </w:rPr>
        <w:t>i</w:t>
      </w:r>
      <w:r w:rsidR="00B0068A" w:rsidRPr="008B6D2B">
        <w:rPr>
          <w:b/>
          <w:lang w:val="fr-FR"/>
        </w:rPr>
        <w:t>tiale de toutes les parties prenantes</w:t>
      </w:r>
      <w:r w:rsidR="00B0068A" w:rsidRPr="005D6CD4">
        <w:rPr>
          <w:lang w:val="fr-FR"/>
        </w:rPr>
        <w:t xml:space="preserve"> et ont abouti à l</w:t>
      </w:r>
      <w:r w:rsidR="000A3D87">
        <w:rPr>
          <w:lang w:val="fr-FR"/>
        </w:rPr>
        <w:t>’</w:t>
      </w:r>
      <w:r w:rsidR="00B0068A" w:rsidRPr="005D6CD4">
        <w:rPr>
          <w:lang w:val="fr-FR"/>
        </w:rPr>
        <w:t>impression, la présentation et la</w:t>
      </w:r>
      <w:r w:rsidR="00B0068A">
        <w:rPr>
          <w:lang w:val="fr-FR"/>
        </w:rPr>
        <w:t xml:space="preserve"> </w:t>
      </w:r>
      <w:r w:rsidR="00B0068A" w:rsidRPr="005D6CD4">
        <w:rPr>
          <w:lang w:val="fr-FR"/>
        </w:rPr>
        <w:t>public</w:t>
      </w:r>
      <w:r w:rsidR="00B0068A" w:rsidRPr="005D6CD4">
        <w:rPr>
          <w:lang w:val="fr-FR"/>
        </w:rPr>
        <w:t>a</w:t>
      </w:r>
      <w:r w:rsidR="00B0068A" w:rsidRPr="005D6CD4">
        <w:rPr>
          <w:lang w:val="fr-FR"/>
        </w:rPr>
        <w:t>tion du rapport.</w:t>
      </w:r>
      <w:r w:rsidR="00B0068A" w:rsidRPr="005D6CD4">
        <w:rPr>
          <w:i/>
          <w:lang w:val="fr-FR"/>
        </w:rPr>
        <w:t xml:space="preserve"> </w:t>
      </w:r>
      <w:r w:rsidR="00B0068A" w:rsidRPr="005D6CD4">
        <w:rPr>
          <w:lang w:val="fr-FR"/>
        </w:rPr>
        <w:t xml:space="preserve">La réunion a examiné et </w:t>
      </w:r>
      <w:r w:rsidR="00B0068A" w:rsidRPr="008B6D2B">
        <w:rPr>
          <w:b/>
          <w:lang w:val="fr-FR"/>
        </w:rPr>
        <w:t>adopté une stratégie et un plan d</w:t>
      </w:r>
      <w:r w:rsidR="000A3D87" w:rsidRPr="008B6D2B">
        <w:rPr>
          <w:b/>
          <w:lang w:val="fr-FR"/>
        </w:rPr>
        <w:t>’</w:t>
      </w:r>
      <w:r w:rsidR="00B0068A" w:rsidRPr="008B6D2B">
        <w:rPr>
          <w:b/>
          <w:lang w:val="fr-FR"/>
        </w:rPr>
        <w:t>action nationaux</w:t>
      </w:r>
      <w:r w:rsidR="00B0068A" w:rsidRPr="005D6CD4">
        <w:rPr>
          <w:lang w:val="fr-FR"/>
        </w:rPr>
        <w:t xml:space="preserve"> proposés par le ministère fédéral de la Condition de la femme. En outre, </w:t>
      </w:r>
      <w:r w:rsidR="00B0068A" w:rsidRPr="008B6D2B">
        <w:rPr>
          <w:b/>
          <w:lang w:val="fr-FR"/>
        </w:rPr>
        <w:t>les rôles et les re</w:t>
      </w:r>
      <w:r w:rsidR="00B0068A" w:rsidRPr="008B6D2B">
        <w:rPr>
          <w:b/>
          <w:lang w:val="fr-FR"/>
        </w:rPr>
        <w:t>s</w:t>
      </w:r>
      <w:r w:rsidR="00B0068A" w:rsidRPr="008B6D2B">
        <w:rPr>
          <w:b/>
          <w:lang w:val="fr-FR"/>
        </w:rPr>
        <w:t>ponsabilités</w:t>
      </w:r>
      <w:r w:rsidR="00B0068A" w:rsidRPr="005D6CD4">
        <w:rPr>
          <w:lang w:val="fr-FR"/>
        </w:rPr>
        <w:t xml:space="preserve"> des différentes parties prenantes ont été </w:t>
      </w:r>
      <w:r w:rsidR="00B0068A" w:rsidRPr="008B6D2B">
        <w:rPr>
          <w:b/>
          <w:lang w:val="fr-FR"/>
        </w:rPr>
        <w:t>déterminés et attribués</w:t>
      </w:r>
      <w:r w:rsidR="00B0068A" w:rsidRPr="005D6CD4">
        <w:rPr>
          <w:lang w:val="fr-FR"/>
        </w:rPr>
        <w:t>. Le plan d</w:t>
      </w:r>
      <w:r w:rsidR="000A3D87">
        <w:rPr>
          <w:lang w:val="fr-FR"/>
        </w:rPr>
        <w:t>’</w:t>
      </w:r>
      <w:r w:rsidR="00B0068A" w:rsidRPr="005D6CD4">
        <w:rPr>
          <w:lang w:val="fr-FR"/>
        </w:rPr>
        <w:t>activité détaillé élaboré sous la direction de</w:t>
      </w:r>
      <w:r w:rsidR="00B0068A">
        <w:rPr>
          <w:lang w:val="fr-FR"/>
        </w:rPr>
        <w:t>s</w:t>
      </w:r>
      <w:r w:rsidR="00B0068A" w:rsidRPr="005D6CD4">
        <w:rPr>
          <w:lang w:val="fr-FR"/>
        </w:rPr>
        <w:t xml:space="preserve"> s</w:t>
      </w:r>
      <w:r w:rsidR="00B0068A">
        <w:rPr>
          <w:lang w:val="fr-FR"/>
        </w:rPr>
        <w:t>ervices chargés des questions d</w:t>
      </w:r>
      <w:r w:rsidR="000A3D87">
        <w:rPr>
          <w:lang w:val="fr-FR"/>
        </w:rPr>
        <w:t>’</w:t>
      </w:r>
      <w:r w:rsidR="00B0068A">
        <w:rPr>
          <w:lang w:val="fr-FR"/>
        </w:rPr>
        <w:t xml:space="preserve">égalité des </w:t>
      </w:r>
      <w:r w:rsidR="00B0068A" w:rsidRPr="005D6CD4">
        <w:rPr>
          <w:lang w:val="fr-FR"/>
        </w:rPr>
        <w:t>sexes f</w:t>
      </w:r>
      <w:r w:rsidR="00B0068A" w:rsidRPr="005D6CD4">
        <w:rPr>
          <w:bCs/>
          <w:iCs/>
          <w:lang w:val="fr-FR"/>
        </w:rPr>
        <w:t>igure à l</w:t>
      </w:r>
      <w:r w:rsidR="000A3D87">
        <w:rPr>
          <w:bCs/>
          <w:iCs/>
          <w:lang w:val="fr-FR"/>
        </w:rPr>
        <w:t>’</w:t>
      </w:r>
      <w:r w:rsidR="00B0068A" w:rsidRPr="005D6CD4">
        <w:rPr>
          <w:bCs/>
          <w:iCs/>
          <w:lang w:val="fr-FR"/>
        </w:rPr>
        <w:t>A</w:t>
      </w:r>
      <w:r w:rsidR="00B0068A" w:rsidRPr="005D6CD4">
        <w:rPr>
          <w:iCs/>
          <w:lang w:val="fr-FR"/>
        </w:rPr>
        <w:t>nnexe I.</w:t>
      </w:r>
      <w:r w:rsidR="00B0068A" w:rsidRPr="005D6CD4">
        <w:rPr>
          <w:bCs/>
          <w:iCs/>
          <w:lang w:val="fr-FR"/>
        </w:rPr>
        <w:t xml:space="preserve"> </w:t>
      </w:r>
    </w:p>
    <w:p w:rsidR="00B0068A" w:rsidRPr="005D6CD4" w:rsidRDefault="002D5B1A" w:rsidP="002D5B1A">
      <w:pPr>
        <w:pStyle w:val="SingleTxt"/>
        <w:rPr>
          <w:lang w:val="fr-FR"/>
        </w:rPr>
      </w:pPr>
      <w:r>
        <w:rPr>
          <w:lang w:val="fr-FR"/>
        </w:rPr>
        <w:tab/>
      </w:r>
      <w:r w:rsidR="00B0068A" w:rsidRPr="005D6CD4">
        <w:rPr>
          <w:lang w:val="fr-FR"/>
        </w:rPr>
        <w:t xml:space="preserve">Afin de mettre en œuvre la stratégie, </w:t>
      </w:r>
      <w:r w:rsidR="00B0068A" w:rsidRPr="008B6D2B">
        <w:rPr>
          <w:b/>
          <w:lang w:val="fr-FR"/>
        </w:rPr>
        <w:t>plusieurs réunions consultatives et ateliers des parties prenantes</w:t>
      </w:r>
      <w:r w:rsidR="00B0068A" w:rsidRPr="005D6CD4">
        <w:rPr>
          <w:lang w:val="fr-FR"/>
        </w:rPr>
        <w:t xml:space="preserve"> ont été organisés et ont vu la participation d</w:t>
      </w:r>
      <w:r w:rsidR="000A3D87">
        <w:rPr>
          <w:lang w:val="fr-FR"/>
        </w:rPr>
        <w:t>’</w:t>
      </w:r>
      <w:r w:rsidR="00B0068A" w:rsidRPr="005D6CD4">
        <w:rPr>
          <w:lang w:val="fr-FR"/>
        </w:rPr>
        <w:t>un éventail de représentants de la soci</w:t>
      </w:r>
      <w:r w:rsidR="00B0068A" w:rsidRPr="005D6CD4">
        <w:rPr>
          <w:lang w:val="fr-FR"/>
        </w:rPr>
        <w:t>é</w:t>
      </w:r>
      <w:r w:rsidR="00B0068A" w:rsidRPr="005D6CD4">
        <w:rPr>
          <w:lang w:val="fr-FR"/>
        </w:rPr>
        <w:t>té civile, d</w:t>
      </w:r>
      <w:r w:rsidR="000A3D87">
        <w:rPr>
          <w:lang w:val="fr-FR"/>
        </w:rPr>
        <w:t>’</w:t>
      </w:r>
      <w:r w:rsidR="00B0068A" w:rsidRPr="005D6CD4">
        <w:rPr>
          <w:lang w:val="fr-FR"/>
        </w:rPr>
        <w:t>organisations de proximité, de milieux universitaires, de partenaires de développ</w:t>
      </w:r>
      <w:r w:rsidR="00B0068A" w:rsidRPr="005D6CD4">
        <w:rPr>
          <w:lang w:val="fr-FR"/>
        </w:rPr>
        <w:t>e</w:t>
      </w:r>
      <w:r w:rsidR="00B0068A" w:rsidRPr="005D6CD4">
        <w:rPr>
          <w:lang w:val="fr-FR"/>
        </w:rPr>
        <w:t>ment, de parlementaires, de départements ministériels concernés, d</w:t>
      </w:r>
      <w:r w:rsidR="000A3D87">
        <w:rPr>
          <w:lang w:val="fr-FR"/>
        </w:rPr>
        <w:t>’</w:t>
      </w:r>
      <w:r w:rsidR="00B0068A" w:rsidRPr="005D6CD4">
        <w:rPr>
          <w:lang w:val="fr-FR"/>
        </w:rPr>
        <w:t>institutions et d</w:t>
      </w:r>
      <w:r w:rsidR="000A3D87">
        <w:rPr>
          <w:lang w:val="fr-FR"/>
        </w:rPr>
        <w:t>’</w:t>
      </w:r>
      <w:r w:rsidR="00B0068A" w:rsidRPr="005D6CD4">
        <w:rPr>
          <w:lang w:val="fr-FR"/>
        </w:rPr>
        <w:t>entreprises parapubliques.</w:t>
      </w:r>
      <w:r w:rsidR="00B0068A">
        <w:rPr>
          <w:lang w:val="fr-FR"/>
        </w:rPr>
        <w:t xml:space="preserve"> </w:t>
      </w:r>
    </w:p>
    <w:p w:rsidR="00B0068A" w:rsidRPr="005D6CD4" w:rsidRDefault="002D5B1A" w:rsidP="002D5B1A">
      <w:pPr>
        <w:pStyle w:val="SingleTxt"/>
        <w:rPr>
          <w:lang w:val="fr-FR"/>
        </w:rPr>
      </w:pPr>
      <w:r>
        <w:rPr>
          <w:lang w:val="fr-FR"/>
        </w:rPr>
        <w:tab/>
      </w:r>
      <w:r w:rsidR="00B0068A" w:rsidRPr="005D6CD4">
        <w:rPr>
          <w:lang w:val="fr-FR"/>
        </w:rPr>
        <w:t xml:space="preserve">Le ministère fédérale de la Condition de la femme a ensuite mis sur pied une </w:t>
      </w:r>
      <w:r w:rsidR="00B0068A" w:rsidRPr="008B6D2B">
        <w:rPr>
          <w:b/>
          <w:lang w:val="fr-FR"/>
        </w:rPr>
        <w:t>équipe techn</w:t>
      </w:r>
      <w:r w:rsidR="00B0068A" w:rsidRPr="008B6D2B">
        <w:rPr>
          <w:b/>
          <w:lang w:val="fr-FR"/>
        </w:rPr>
        <w:t>i</w:t>
      </w:r>
      <w:r w:rsidR="00B0068A" w:rsidRPr="008B6D2B">
        <w:rPr>
          <w:b/>
          <w:lang w:val="fr-FR"/>
        </w:rPr>
        <w:t>que de 16 membres</w:t>
      </w:r>
      <w:r w:rsidR="00B0068A" w:rsidRPr="005D6CD4">
        <w:rPr>
          <w:lang w:val="fr-FR"/>
        </w:rPr>
        <w:t xml:space="preserve"> comprenant des coordinateurs nationaux, des dirigeants d</w:t>
      </w:r>
      <w:r w:rsidR="000A3D87">
        <w:rPr>
          <w:lang w:val="fr-FR"/>
        </w:rPr>
        <w:t>’</w:t>
      </w:r>
      <w:r w:rsidR="00B0068A" w:rsidRPr="005D6CD4">
        <w:rPr>
          <w:lang w:val="fr-FR"/>
        </w:rPr>
        <w:t>équipes de zone, de</w:t>
      </w:r>
      <w:r w:rsidR="00B0068A">
        <w:rPr>
          <w:lang w:val="fr-FR"/>
        </w:rPr>
        <w:t>s</w:t>
      </w:r>
      <w:r w:rsidR="00B0068A" w:rsidRPr="005D6CD4">
        <w:rPr>
          <w:lang w:val="fr-FR"/>
        </w:rPr>
        <w:t xml:space="preserve"> responsables fédéraux de la recherche et d</w:t>
      </w:r>
      <w:r w:rsidR="00B0068A">
        <w:rPr>
          <w:lang w:val="fr-FR"/>
        </w:rPr>
        <w:t xml:space="preserve">es </w:t>
      </w:r>
      <w:r w:rsidR="00B0068A" w:rsidRPr="005D6CD4">
        <w:rPr>
          <w:lang w:val="fr-FR"/>
        </w:rPr>
        <w:t>analystes de données</w:t>
      </w:r>
      <w:r w:rsidR="00B0068A">
        <w:rPr>
          <w:lang w:val="fr-FR"/>
        </w:rPr>
        <w:t xml:space="preserve"> </w:t>
      </w:r>
      <w:r w:rsidR="00B0068A" w:rsidRPr="005D6CD4">
        <w:rPr>
          <w:lang w:val="fr-FR"/>
        </w:rPr>
        <w:t>pour mener l</w:t>
      </w:r>
      <w:r w:rsidR="000A3D87">
        <w:rPr>
          <w:lang w:val="fr-FR"/>
        </w:rPr>
        <w:t>’</w:t>
      </w:r>
      <w:r w:rsidR="00B0068A" w:rsidRPr="005D6CD4">
        <w:rPr>
          <w:lang w:val="fr-FR"/>
        </w:rPr>
        <w:t>opération de collecte de données au plan national, d</w:t>
      </w:r>
      <w:r w:rsidR="000A3D87">
        <w:rPr>
          <w:lang w:val="fr-FR"/>
        </w:rPr>
        <w:t>’</w:t>
      </w:r>
      <w:r w:rsidR="00B0068A" w:rsidRPr="005D6CD4">
        <w:rPr>
          <w:lang w:val="fr-FR"/>
        </w:rPr>
        <w:t>analyse et d</w:t>
      </w:r>
      <w:r w:rsidR="000A3D87">
        <w:rPr>
          <w:lang w:val="fr-FR"/>
        </w:rPr>
        <w:t>’</w:t>
      </w:r>
      <w:r w:rsidR="00B0068A" w:rsidRPr="005D6CD4">
        <w:rPr>
          <w:lang w:val="fr-FR"/>
        </w:rPr>
        <w:t>assemblage de l</w:t>
      </w:r>
      <w:r w:rsidR="000A3D87">
        <w:rPr>
          <w:lang w:val="fr-FR"/>
        </w:rPr>
        <w:t>’</w:t>
      </w:r>
      <w:r w:rsidR="00B0068A" w:rsidRPr="005D6CD4">
        <w:rPr>
          <w:lang w:val="fr-FR"/>
        </w:rPr>
        <w:t>information nécessaire à l</w:t>
      </w:r>
      <w:r w:rsidR="000A3D87">
        <w:rPr>
          <w:lang w:val="fr-FR"/>
        </w:rPr>
        <w:t>’</w:t>
      </w:r>
      <w:r w:rsidR="00B0068A" w:rsidRPr="005D6CD4">
        <w:rPr>
          <w:lang w:val="fr-FR"/>
        </w:rPr>
        <w:t>élaboration du rapport de pays. L</w:t>
      </w:r>
      <w:r w:rsidR="000A3D87">
        <w:rPr>
          <w:lang w:val="fr-FR"/>
        </w:rPr>
        <w:t>’</w:t>
      </w:r>
      <w:r w:rsidR="00B0068A" w:rsidRPr="005D6CD4">
        <w:rPr>
          <w:lang w:val="fr-FR"/>
        </w:rPr>
        <w:t xml:space="preserve">équipe a suivi une </w:t>
      </w:r>
      <w:r w:rsidR="00B0068A" w:rsidRPr="008B6D2B">
        <w:rPr>
          <w:b/>
          <w:lang w:val="fr-FR"/>
        </w:rPr>
        <w:t>formation de deux jours sur la collecte de données</w:t>
      </w:r>
      <w:r w:rsidR="00B0068A" w:rsidRPr="005D6CD4">
        <w:rPr>
          <w:lang w:val="fr-FR"/>
        </w:rPr>
        <w:t>. Un atelier précédant la collecte de données à l</w:t>
      </w:r>
      <w:r w:rsidR="000A3D87">
        <w:rPr>
          <w:lang w:val="fr-FR"/>
        </w:rPr>
        <w:t>’</w:t>
      </w:r>
      <w:r w:rsidR="00B0068A" w:rsidRPr="005D6CD4">
        <w:rPr>
          <w:lang w:val="fr-FR"/>
        </w:rPr>
        <w:t>intention des re</w:t>
      </w:r>
      <w:r w:rsidR="00B0068A" w:rsidRPr="005D6CD4">
        <w:rPr>
          <w:lang w:val="fr-FR"/>
        </w:rPr>
        <w:t>s</w:t>
      </w:r>
      <w:r w:rsidR="00B0068A" w:rsidRPr="005D6CD4">
        <w:rPr>
          <w:lang w:val="fr-FR"/>
        </w:rPr>
        <w:t xml:space="preserve">ponsables des ministères de la Condition de la femme et du Développement social des 36 États du pays et du </w:t>
      </w:r>
      <w:r w:rsidR="00B0068A">
        <w:rPr>
          <w:lang w:val="fr-FR"/>
        </w:rPr>
        <w:t>T</w:t>
      </w:r>
      <w:r w:rsidR="00B0068A" w:rsidRPr="005D6CD4">
        <w:rPr>
          <w:lang w:val="fr-FR"/>
        </w:rPr>
        <w:t>erritoire de la capitale fédérale a été organisé pour former les responsables au niveau infranational aux techniques de mobilisation d</w:t>
      </w:r>
      <w:r w:rsidR="000A3D87">
        <w:rPr>
          <w:lang w:val="fr-FR"/>
        </w:rPr>
        <w:t>’</w:t>
      </w:r>
      <w:r w:rsidR="00B0068A" w:rsidRPr="005D6CD4">
        <w:rPr>
          <w:lang w:val="fr-FR"/>
        </w:rPr>
        <w:t>intrants pertinents dans le cadre de l</w:t>
      </w:r>
      <w:r w:rsidR="000A3D87">
        <w:rPr>
          <w:lang w:val="fr-FR"/>
        </w:rPr>
        <w:t>’</w:t>
      </w:r>
      <w:r w:rsidR="00B0068A" w:rsidRPr="005D6CD4">
        <w:rPr>
          <w:lang w:val="fr-FR"/>
        </w:rPr>
        <w:t xml:space="preserve">opération de collecte de données. </w:t>
      </w:r>
    </w:p>
    <w:p w:rsidR="00B0068A" w:rsidRPr="005D6CD4" w:rsidRDefault="002D5B1A" w:rsidP="002D5B1A">
      <w:pPr>
        <w:pStyle w:val="SingleTxt"/>
        <w:rPr>
          <w:lang w:val="fr-FR"/>
        </w:rPr>
      </w:pPr>
      <w:r>
        <w:rPr>
          <w:lang w:val="fr-FR"/>
        </w:rPr>
        <w:tab/>
      </w:r>
      <w:r w:rsidR="00B0068A" w:rsidRPr="008B6D2B">
        <w:rPr>
          <w:b/>
          <w:lang w:val="fr-FR"/>
        </w:rPr>
        <w:t>D</w:t>
      </w:r>
      <w:r w:rsidR="000A3D87" w:rsidRPr="008B6D2B">
        <w:rPr>
          <w:b/>
          <w:lang w:val="fr-FR"/>
        </w:rPr>
        <w:t>’</w:t>
      </w:r>
      <w:r w:rsidR="00B0068A" w:rsidRPr="008B6D2B">
        <w:rPr>
          <w:b/>
          <w:lang w:val="fr-FR"/>
        </w:rPr>
        <w:t>autres principales activités</w:t>
      </w:r>
      <w:r w:rsidR="00B0068A" w:rsidRPr="005D6CD4">
        <w:rPr>
          <w:lang w:val="fr-FR"/>
        </w:rPr>
        <w:t xml:space="preserve"> effectuées pour renforcer une large participation à la prépar</w:t>
      </w:r>
      <w:r w:rsidR="00B0068A" w:rsidRPr="005D6CD4">
        <w:rPr>
          <w:lang w:val="fr-FR"/>
        </w:rPr>
        <w:t>a</w:t>
      </w:r>
      <w:r w:rsidR="00B0068A" w:rsidRPr="005D6CD4">
        <w:rPr>
          <w:lang w:val="fr-FR"/>
        </w:rPr>
        <w:t>tion du rapport comprenaient les suivantes :</w:t>
      </w:r>
    </w:p>
    <w:p w:rsidR="00B0068A" w:rsidRPr="005D6CD4" w:rsidRDefault="00B0068A" w:rsidP="00AC2642">
      <w:pPr>
        <w:pStyle w:val="SingleTxt"/>
        <w:numPr>
          <w:ilvl w:val="2"/>
          <w:numId w:val="4"/>
        </w:numPr>
        <w:tabs>
          <w:tab w:val="clear" w:pos="1742"/>
          <w:tab w:val="clear" w:pos="3427"/>
          <w:tab w:val="left" w:pos="1710"/>
        </w:tabs>
        <w:ind w:left="1710" w:hanging="450"/>
        <w:rPr>
          <w:lang w:val="fr-FR"/>
        </w:rPr>
      </w:pPr>
      <w:r w:rsidRPr="008B6D2B">
        <w:rPr>
          <w:b/>
          <w:lang w:val="fr-FR"/>
        </w:rPr>
        <w:t>Annonces publiées</w:t>
      </w:r>
      <w:r w:rsidRPr="005D6CD4">
        <w:rPr>
          <w:lang w:val="fr-FR"/>
        </w:rPr>
        <w:t xml:space="preserve"> dans six (6) </w:t>
      </w:r>
      <w:r>
        <w:rPr>
          <w:lang w:val="fr-FR"/>
        </w:rPr>
        <w:t>grands</w:t>
      </w:r>
      <w:r w:rsidRPr="005D6CD4">
        <w:rPr>
          <w:lang w:val="fr-FR"/>
        </w:rPr>
        <w:t xml:space="preserve"> journaux nationaux demandant la contribution du grand public (voir annexe II). </w:t>
      </w:r>
    </w:p>
    <w:p w:rsidR="00B0068A" w:rsidRPr="005D6CD4" w:rsidRDefault="00B0068A" w:rsidP="00AC2642">
      <w:pPr>
        <w:pStyle w:val="SingleTxt"/>
        <w:numPr>
          <w:ilvl w:val="2"/>
          <w:numId w:val="4"/>
        </w:numPr>
        <w:tabs>
          <w:tab w:val="clear" w:pos="1742"/>
          <w:tab w:val="clear" w:pos="3427"/>
          <w:tab w:val="left" w:pos="1710"/>
        </w:tabs>
        <w:ind w:left="1710" w:hanging="450"/>
        <w:rPr>
          <w:lang w:val="fr-FR"/>
        </w:rPr>
      </w:pPr>
      <w:r w:rsidRPr="005D6CD4">
        <w:rPr>
          <w:lang w:val="fr-FR"/>
        </w:rPr>
        <w:t xml:space="preserve">Une boîte à lettres électronique </w:t>
      </w:r>
      <w:r w:rsidR="00D17E6C">
        <w:rPr>
          <w:lang w:val="fr-FR"/>
        </w:rPr>
        <w:t>“ </w:t>
      </w:r>
      <w:hyperlink r:id="rId17" w:history="1">
        <w:r w:rsidRPr="005D6CD4">
          <w:rPr>
            <w:rStyle w:val="Hyperlink"/>
            <w:b/>
            <w:bCs/>
            <w:sz w:val="24"/>
            <w:szCs w:val="24"/>
            <w:lang w:val="fr-FR"/>
          </w:rPr>
          <w:t>ngcedaw2005@yahoo.com</w:t>
        </w:r>
      </w:hyperlink>
      <w:r w:rsidR="000A3D87">
        <w:rPr>
          <w:bCs/>
          <w:lang w:val="fr-FR"/>
        </w:rPr>
        <w:t> »</w:t>
      </w:r>
      <w:r w:rsidRPr="005D6CD4">
        <w:rPr>
          <w:lang w:val="fr-FR"/>
        </w:rPr>
        <w:t xml:space="preserve"> a été créée pour permettre au grand public d</w:t>
      </w:r>
      <w:r w:rsidR="000A3D87">
        <w:rPr>
          <w:lang w:val="fr-FR"/>
        </w:rPr>
        <w:t>’</w:t>
      </w:r>
      <w:r w:rsidRPr="005D6CD4">
        <w:rPr>
          <w:lang w:val="fr-FR"/>
        </w:rPr>
        <w:t>apporter des contributions au rapport.</w:t>
      </w:r>
    </w:p>
    <w:p w:rsidR="00B0068A" w:rsidRPr="005D6CD4" w:rsidRDefault="00B0068A" w:rsidP="00AC2642">
      <w:pPr>
        <w:pStyle w:val="SingleTxt"/>
        <w:numPr>
          <w:ilvl w:val="2"/>
          <w:numId w:val="4"/>
        </w:numPr>
        <w:tabs>
          <w:tab w:val="clear" w:pos="1742"/>
          <w:tab w:val="clear" w:pos="3427"/>
          <w:tab w:val="left" w:pos="1710"/>
        </w:tabs>
        <w:ind w:left="1710" w:hanging="450"/>
        <w:rPr>
          <w:lang w:val="fr-FR"/>
        </w:rPr>
      </w:pPr>
      <w:r w:rsidRPr="005D6CD4">
        <w:rPr>
          <w:lang w:val="fr-FR"/>
        </w:rPr>
        <w:t xml:space="preserve">Élaboration et adaptation de </w:t>
      </w:r>
      <w:r w:rsidRPr="008B6D2B">
        <w:rPr>
          <w:b/>
          <w:lang w:val="fr-FR"/>
        </w:rPr>
        <w:t>Questionnaires</w:t>
      </w:r>
    </w:p>
    <w:p w:rsidR="00B0068A" w:rsidRPr="005D6CD4" w:rsidRDefault="00B0068A" w:rsidP="00AC2642">
      <w:pPr>
        <w:pStyle w:val="SingleTxt"/>
        <w:numPr>
          <w:ilvl w:val="2"/>
          <w:numId w:val="4"/>
        </w:numPr>
        <w:tabs>
          <w:tab w:val="clear" w:pos="1742"/>
          <w:tab w:val="clear" w:pos="3427"/>
          <w:tab w:val="left" w:pos="1710"/>
        </w:tabs>
        <w:ind w:left="1710" w:hanging="450"/>
        <w:rPr>
          <w:lang w:val="fr-FR"/>
        </w:rPr>
      </w:pPr>
      <w:r w:rsidRPr="005D6CD4">
        <w:rPr>
          <w:bCs/>
          <w:lang w:val="fr-FR"/>
        </w:rPr>
        <w:t>Logistique de la collecte, de l</w:t>
      </w:r>
      <w:r w:rsidR="000A3D87">
        <w:rPr>
          <w:bCs/>
          <w:lang w:val="fr-FR"/>
        </w:rPr>
        <w:t>’</w:t>
      </w:r>
      <w:r w:rsidRPr="005D6CD4">
        <w:rPr>
          <w:bCs/>
          <w:lang w:val="fr-FR"/>
        </w:rPr>
        <w:t>analyse, de l</w:t>
      </w:r>
      <w:r w:rsidR="000A3D87">
        <w:rPr>
          <w:bCs/>
          <w:lang w:val="fr-FR"/>
        </w:rPr>
        <w:t>’</w:t>
      </w:r>
      <w:r w:rsidRPr="005D6CD4">
        <w:rPr>
          <w:bCs/>
          <w:lang w:val="fr-FR"/>
        </w:rPr>
        <w:t>application et de la gestion efficaces de do</w:t>
      </w:r>
      <w:r w:rsidRPr="005D6CD4">
        <w:rPr>
          <w:bCs/>
          <w:lang w:val="fr-FR"/>
        </w:rPr>
        <w:t>n</w:t>
      </w:r>
      <w:r w:rsidRPr="005D6CD4">
        <w:rPr>
          <w:bCs/>
          <w:lang w:val="fr-FR"/>
        </w:rPr>
        <w:t>nées.</w:t>
      </w:r>
    </w:p>
    <w:p w:rsidR="00B0068A" w:rsidRPr="005D6CD4" w:rsidRDefault="00846B6F" w:rsidP="002D5B1A">
      <w:pPr>
        <w:pStyle w:val="SingleTxt"/>
        <w:rPr>
          <w:bCs/>
          <w:lang w:val="fr-FR"/>
        </w:rPr>
      </w:pPr>
      <w:r>
        <w:rPr>
          <w:bCs/>
          <w:lang w:val="fr-FR"/>
        </w:rPr>
        <w:tab/>
      </w:r>
      <w:r w:rsidR="00B0068A" w:rsidRPr="005D6CD4">
        <w:rPr>
          <w:bCs/>
          <w:lang w:val="fr-FR"/>
        </w:rPr>
        <w:t xml:space="preserve">Les rapports établis sur le terrain </w:t>
      </w:r>
      <w:r w:rsidR="00B0068A" w:rsidRPr="008B6D2B">
        <w:rPr>
          <w:b/>
          <w:bCs/>
          <w:lang w:val="fr-FR"/>
        </w:rPr>
        <w:t xml:space="preserve">ont été intégrés à un modèle commun </w:t>
      </w:r>
      <w:r w:rsidR="00B0068A" w:rsidRPr="005D6CD4">
        <w:rPr>
          <w:bCs/>
          <w:lang w:val="fr-FR"/>
        </w:rPr>
        <w:t>lors d</w:t>
      </w:r>
      <w:r w:rsidR="000A3D87">
        <w:rPr>
          <w:bCs/>
          <w:lang w:val="fr-FR"/>
        </w:rPr>
        <w:t>’</w:t>
      </w:r>
      <w:r w:rsidR="00B0068A" w:rsidRPr="005D6CD4">
        <w:rPr>
          <w:bCs/>
          <w:lang w:val="fr-FR"/>
        </w:rPr>
        <w:t>un atelier, tenu à Abuja, de rassemblement/harmonisation réunissant les chefs d</w:t>
      </w:r>
      <w:r w:rsidR="000A3D87">
        <w:rPr>
          <w:bCs/>
          <w:lang w:val="fr-FR"/>
        </w:rPr>
        <w:t>’</w:t>
      </w:r>
      <w:r w:rsidR="00B0068A" w:rsidRPr="005D6CD4">
        <w:rPr>
          <w:bCs/>
          <w:lang w:val="fr-FR"/>
        </w:rPr>
        <w:t>équipe de zone, les chercheurs nationaux, les analystes de données et les responsables d</w:t>
      </w:r>
      <w:r w:rsidR="000A3D87">
        <w:rPr>
          <w:bCs/>
          <w:lang w:val="fr-FR"/>
        </w:rPr>
        <w:t>’</w:t>
      </w:r>
      <w:r w:rsidR="00B0068A" w:rsidRPr="005D6CD4">
        <w:rPr>
          <w:bCs/>
          <w:lang w:val="fr-FR"/>
        </w:rPr>
        <w:t xml:space="preserve">organismes sectoriels concernés </w:t>
      </w:r>
      <w:r w:rsidR="00B0068A">
        <w:rPr>
          <w:bCs/>
          <w:lang w:val="fr-FR"/>
        </w:rPr>
        <w:t xml:space="preserve">et les </w:t>
      </w:r>
      <w:r w:rsidR="00B0068A" w:rsidRPr="005D6CD4">
        <w:rPr>
          <w:bCs/>
          <w:lang w:val="fr-FR"/>
        </w:rPr>
        <w:t>organisations de la société civile de 36 États et du Territoire de la capitale fédérale.</w:t>
      </w:r>
    </w:p>
    <w:p w:rsidR="00B0068A" w:rsidRPr="005D6CD4" w:rsidRDefault="00846B6F" w:rsidP="002D5B1A">
      <w:pPr>
        <w:pStyle w:val="SingleTxt"/>
        <w:rPr>
          <w:lang w:val="fr-FR"/>
        </w:rPr>
      </w:pPr>
      <w:r>
        <w:rPr>
          <w:lang w:val="fr-FR"/>
        </w:rPr>
        <w:tab/>
      </w:r>
      <w:r w:rsidR="00B0068A" w:rsidRPr="005D6CD4">
        <w:rPr>
          <w:lang w:val="fr-FR"/>
        </w:rPr>
        <w:t xml:space="preserve">Les différentes sessions et réunions organisées ont connu une large participation et </w:t>
      </w:r>
      <w:r w:rsidR="00B0068A" w:rsidRPr="008B6D2B">
        <w:rPr>
          <w:b/>
          <w:lang w:val="fr-FR"/>
        </w:rPr>
        <w:t>leurs résu</w:t>
      </w:r>
      <w:r w:rsidR="00B0068A" w:rsidRPr="008B6D2B">
        <w:rPr>
          <w:b/>
          <w:lang w:val="fr-FR"/>
        </w:rPr>
        <w:t>l</w:t>
      </w:r>
      <w:r w:rsidR="00B0068A" w:rsidRPr="008B6D2B">
        <w:rPr>
          <w:b/>
          <w:lang w:val="fr-FR"/>
        </w:rPr>
        <w:t>tats ont contribué notablement à jeter une lumière nouvelle sur l</w:t>
      </w:r>
      <w:r w:rsidR="000A3D87" w:rsidRPr="008B6D2B">
        <w:rPr>
          <w:b/>
          <w:lang w:val="fr-FR"/>
        </w:rPr>
        <w:t>’</w:t>
      </w:r>
      <w:r w:rsidR="00B0068A" w:rsidRPr="008B6D2B">
        <w:rPr>
          <w:b/>
          <w:lang w:val="fr-FR"/>
        </w:rPr>
        <w:t>état d</w:t>
      </w:r>
      <w:r w:rsidR="000A3D87" w:rsidRPr="008B6D2B">
        <w:rPr>
          <w:b/>
          <w:lang w:val="fr-FR"/>
        </w:rPr>
        <w:t>’</w:t>
      </w:r>
      <w:r w:rsidR="00B0068A" w:rsidRPr="008B6D2B">
        <w:rPr>
          <w:b/>
          <w:lang w:val="fr-FR"/>
        </w:rPr>
        <w:t>avancement de la mise en œuvre de la Convention</w:t>
      </w:r>
      <w:r w:rsidR="00B0068A" w:rsidRPr="005D6CD4">
        <w:rPr>
          <w:lang w:val="fr-FR"/>
        </w:rPr>
        <w:t>. Les données primaires et secondaires, les rapports de terrain et autres résultats des États de la Fédération ont été analysés</w:t>
      </w:r>
      <w:r w:rsidR="00B0068A">
        <w:rPr>
          <w:lang w:val="fr-FR"/>
        </w:rPr>
        <w:t>,</w:t>
      </w:r>
      <w:r w:rsidR="00B0068A" w:rsidRPr="005D6CD4">
        <w:rPr>
          <w:lang w:val="fr-FR"/>
        </w:rPr>
        <w:t xml:space="preserve"> harmonisés e</w:t>
      </w:r>
      <w:r w:rsidR="00B0068A">
        <w:rPr>
          <w:lang w:val="fr-FR"/>
        </w:rPr>
        <w:t xml:space="preserve">t présentées sous la forme </w:t>
      </w:r>
      <w:r w:rsidR="00B0068A" w:rsidRPr="008B6D2B">
        <w:rPr>
          <w:b/>
          <w:lang w:val="fr-FR"/>
        </w:rPr>
        <w:t>d</w:t>
      </w:r>
      <w:r w:rsidR="000A3D87" w:rsidRPr="008B6D2B">
        <w:rPr>
          <w:b/>
          <w:lang w:val="fr-FR"/>
        </w:rPr>
        <w:t>’</w:t>
      </w:r>
      <w:r w:rsidR="00B0068A" w:rsidRPr="008B6D2B">
        <w:rPr>
          <w:b/>
          <w:lang w:val="fr-FR"/>
        </w:rPr>
        <w:t>un seul avant-projet</w:t>
      </w:r>
      <w:r w:rsidR="00B0068A" w:rsidRPr="005D6CD4">
        <w:rPr>
          <w:lang w:val="fr-FR"/>
        </w:rPr>
        <w:t xml:space="preserve"> du 6</w:t>
      </w:r>
      <w:r w:rsidR="00B0068A" w:rsidRPr="00BA1B88">
        <w:rPr>
          <w:vertAlign w:val="superscript"/>
          <w:lang w:val="fr-FR"/>
        </w:rPr>
        <w:t>e</w:t>
      </w:r>
      <w:r w:rsidR="00B0068A">
        <w:rPr>
          <w:lang w:val="fr-FR"/>
        </w:rPr>
        <w:t xml:space="preserve"> </w:t>
      </w:r>
      <w:r w:rsidR="00B0068A" w:rsidRPr="005D6CD4">
        <w:rPr>
          <w:lang w:val="fr-FR"/>
        </w:rPr>
        <w:t>rapport périodique de pays. Les réponses aux public</w:t>
      </w:r>
      <w:r w:rsidR="00B0068A" w:rsidRPr="005D6CD4">
        <w:rPr>
          <w:lang w:val="fr-FR"/>
        </w:rPr>
        <w:t>a</w:t>
      </w:r>
      <w:r w:rsidR="00B0068A" w:rsidRPr="005D6CD4">
        <w:rPr>
          <w:lang w:val="fr-FR"/>
        </w:rPr>
        <w:t>tions d</w:t>
      </w:r>
      <w:r w:rsidR="00B0068A">
        <w:rPr>
          <w:lang w:val="fr-FR"/>
        </w:rPr>
        <w:t>ans les</w:t>
      </w:r>
      <w:r w:rsidR="00B0068A" w:rsidRPr="005D6CD4">
        <w:rPr>
          <w:lang w:val="fr-FR"/>
        </w:rPr>
        <w:t xml:space="preserve"> journaux ont aussi été intégrées à l</w:t>
      </w:r>
      <w:r w:rsidR="000A3D87">
        <w:rPr>
          <w:lang w:val="fr-FR"/>
        </w:rPr>
        <w:t>’</w:t>
      </w:r>
      <w:r w:rsidR="00B0068A" w:rsidRPr="005D6CD4">
        <w:rPr>
          <w:lang w:val="fr-FR"/>
        </w:rPr>
        <w:t xml:space="preserve">avant-projet. </w:t>
      </w:r>
    </w:p>
    <w:p w:rsidR="00B0068A" w:rsidRPr="005D6CD4" w:rsidRDefault="00846B6F" w:rsidP="002D5B1A">
      <w:pPr>
        <w:pStyle w:val="SingleTxt"/>
        <w:rPr>
          <w:lang w:val="fr-FR"/>
        </w:rPr>
      </w:pPr>
      <w:r>
        <w:rPr>
          <w:lang w:val="fr-FR"/>
        </w:rPr>
        <w:tab/>
      </w:r>
      <w:r w:rsidR="00B0068A" w:rsidRPr="005D6CD4">
        <w:rPr>
          <w:lang w:val="fr-FR"/>
        </w:rPr>
        <w:t xml:space="preserve">Une </w:t>
      </w:r>
      <w:r w:rsidR="00B0068A" w:rsidRPr="008B6D2B">
        <w:rPr>
          <w:b/>
          <w:lang w:val="fr-FR"/>
        </w:rPr>
        <w:t>réunion d</w:t>
      </w:r>
      <w:r w:rsidR="000A3D87" w:rsidRPr="008B6D2B">
        <w:rPr>
          <w:b/>
          <w:lang w:val="fr-FR"/>
        </w:rPr>
        <w:t>’</w:t>
      </w:r>
      <w:r w:rsidR="00B0068A" w:rsidRPr="008B6D2B">
        <w:rPr>
          <w:b/>
          <w:lang w:val="fr-FR"/>
        </w:rPr>
        <w:t>examen par les pairs</w:t>
      </w:r>
      <w:r w:rsidR="00B0068A" w:rsidRPr="005D6CD4">
        <w:rPr>
          <w:lang w:val="fr-FR"/>
        </w:rPr>
        <w:t xml:space="preserve"> a également été organisée</w:t>
      </w:r>
      <w:r w:rsidR="00B0068A">
        <w:rPr>
          <w:lang w:val="fr-FR"/>
        </w:rPr>
        <w:t xml:space="preserve"> </w:t>
      </w:r>
      <w:r w:rsidR="00B0068A" w:rsidRPr="005D6CD4">
        <w:rPr>
          <w:lang w:val="fr-FR"/>
        </w:rPr>
        <w:t xml:space="preserve">pour </w:t>
      </w:r>
      <w:r w:rsidR="00B0068A" w:rsidRPr="008B6D2B">
        <w:rPr>
          <w:b/>
          <w:lang w:val="fr-FR"/>
        </w:rPr>
        <w:t xml:space="preserve">délibérer </w:t>
      </w:r>
      <w:r w:rsidR="00B0068A" w:rsidRPr="005D6CD4">
        <w:rPr>
          <w:lang w:val="fr-FR"/>
        </w:rPr>
        <w:t xml:space="preserve">et évaluer et </w:t>
      </w:r>
      <w:r w:rsidR="00B0068A" w:rsidRPr="008B6D2B">
        <w:rPr>
          <w:b/>
          <w:lang w:val="fr-FR"/>
        </w:rPr>
        <w:t>approuver</w:t>
      </w:r>
      <w:r w:rsidR="00B0068A" w:rsidRPr="005D6CD4">
        <w:rPr>
          <w:lang w:val="fr-FR"/>
        </w:rPr>
        <w:t xml:space="preserve"> l</w:t>
      </w:r>
      <w:r w:rsidR="000A3D87">
        <w:rPr>
          <w:lang w:val="fr-FR"/>
        </w:rPr>
        <w:t>’</w:t>
      </w:r>
      <w:r w:rsidR="00B0068A" w:rsidRPr="005D6CD4">
        <w:rPr>
          <w:lang w:val="fr-FR"/>
        </w:rPr>
        <w:t>avant-projet de rapport. Au nombre des p</w:t>
      </w:r>
      <w:r w:rsidR="00B0068A" w:rsidRPr="005D6CD4">
        <w:rPr>
          <w:bCs/>
          <w:lang w:val="fr-FR"/>
        </w:rPr>
        <w:t>articipants figuraient des représentants d</w:t>
      </w:r>
      <w:r w:rsidR="000A3D87">
        <w:rPr>
          <w:bCs/>
          <w:lang w:val="fr-FR"/>
        </w:rPr>
        <w:t>’</w:t>
      </w:r>
      <w:r w:rsidR="00B0068A" w:rsidRPr="005D6CD4">
        <w:rPr>
          <w:bCs/>
          <w:lang w:val="fr-FR"/>
        </w:rPr>
        <w:t>institutions sectorielles, des partenaires de développement, des organisations de la société civile et des milieux universitaires. À la fin de l</w:t>
      </w:r>
      <w:r w:rsidR="000A3D87">
        <w:rPr>
          <w:bCs/>
          <w:lang w:val="fr-FR"/>
        </w:rPr>
        <w:t>’</w:t>
      </w:r>
      <w:r w:rsidR="00B0068A" w:rsidRPr="005D6CD4">
        <w:rPr>
          <w:bCs/>
          <w:lang w:val="fr-FR"/>
        </w:rPr>
        <w:t>examen par les pairs, le premier projet de rapport a été établi. Dans le cadre de l</w:t>
      </w:r>
      <w:r w:rsidR="000A3D87">
        <w:rPr>
          <w:bCs/>
          <w:lang w:val="fr-FR"/>
        </w:rPr>
        <w:t>’</w:t>
      </w:r>
      <w:r w:rsidR="00B0068A" w:rsidRPr="005D6CD4">
        <w:rPr>
          <w:bCs/>
          <w:lang w:val="fr-FR"/>
        </w:rPr>
        <w:t xml:space="preserve">opération de </w:t>
      </w:r>
      <w:r>
        <w:rPr>
          <w:bCs/>
          <w:lang w:val="fr-FR"/>
        </w:rPr>
        <w:t>v</w:t>
      </w:r>
      <w:r w:rsidR="00B0068A" w:rsidRPr="005D6CD4">
        <w:rPr>
          <w:bCs/>
          <w:lang w:val="fr-FR"/>
        </w:rPr>
        <w:t>alidation, un atelier d</w:t>
      </w:r>
      <w:r w:rsidR="000A3D87">
        <w:rPr>
          <w:bCs/>
          <w:lang w:val="fr-FR"/>
        </w:rPr>
        <w:t>’</w:t>
      </w:r>
      <w:r w:rsidR="00B0068A" w:rsidRPr="005D6CD4">
        <w:rPr>
          <w:bCs/>
          <w:lang w:val="fr-FR"/>
        </w:rPr>
        <w:t>examen par les pa</w:t>
      </w:r>
      <w:r w:rsidR="00B0068A" w:rsidRPr="005D6CD4">
        <w:rPr>
          <w:bCs/>
          <w:lang w:val="fr-FR"/>
        </w:rPr>
        <w:t>r</w:t>
      </w:r>
      <w:r w:rsidR="00B0068A" w:rsidRPr="005D6CD4">
        <w:rPr>
          <w:bCs/>
          <w:lang w:val="fr-FR"/>
        </w:rPr>
        <w:t>ties prenantes a été organisé dans les zones du Nord, du Sud et du Centre du pays, aux fins re</w:t>
      </w:r>
      <w:r w:rsidR="00B0068A" w:rsidRPr="005D6CD4">
        <w:rPr>
          <w:bCs/>
          <w:lang w:val="fr-FR"/>
        </w:rPr>
        <w:t>s</w:t>
      </w:r>
      <w:r w:rsidR="00B0068A" w:rsidRPr="005D6CD4">
        <w:rPr>
          <w:bCs/>
          <w:lang w:val="fr-FR"/>
        </w:rPr>
        <w:t>pectivement d</w:t>
      </w:r>
      <w:r w:rsidR="00B0068A">
        <w:rPr>
          <w:bCs/>
          <w:lang w:val="fr-FR"/>
        </w:rPr>
        <w:t>e procéder à l</w:t>
      </w:r>
      <w:r w:rsidR="000A3D87">
        <w:rPr>
          <w:bCs/>
          <w:lang w:val="fr-FR"/>
        </w:rPr>
        <w:t>’</w:t>
      </w:r>
      <w:r w:rsidR="00B0068A" w:rsidRPr="005D6CD4">
        <w:rPr>
          <w:bCs/>
          <w:lang w:val="fr-FR"/>
        </w:rPr>
        <w:t>examen</w:t>
      </w:r>
      <w:r w:rsidR="00B0068A">
        <w:rPr>
          <w:bCs/>
          <w:lang w:val="fr-FR"/>
        </w:rPr>
        <w:t xml:space="preserve"> et de recueillir les </w:t>
      </w:r>
      <w:r w:rsidR="00B0068A" w:rsidRPr="005D6CD4">
        <w:rPr>
          <w:bCs/>
          <w:lang w:val="fr-FR"/>
        </w:rPr>
        <w:t xml:space="preserve">réactions et </w:t>
      </w:r>
      <w:r w:rsidR="00B0068A">
        <w:rPr>
          <w:bCs/>
          <w:lang w:val="fr-FR"/>
        </w:rPr>
        <w:t xml:space="preserve">les </w:t>
      </w:r>
      <w:r w:rsidR="00B0068A" w:rsidRPr="005D6CD4">
        <w:rPr>
          <w:bCs/>
          <w:lang w:val="fr-FR"/>
        </w:rPr>
        <w:t xml:space="preserve">contributions </w:t>
      </w:r>
      <w:r w:rsidR="00B0068A">
        <w:rPr>
          <w:bCs/>
          <w:lang w:val="fr-FR"/>
        </w:rPr>
        <w:t xml:space="preserve">du </w:t>
      </w:r>
      <w:r w:rsidR="00B0068A" w:rsidRPr="005D6CD4">
        <w:rPr>
          <w:bCs/>
          <w:lang w:val="fr-FR"/>
        </w:rPr>
        <w:t>public au projet de rapport. À la fin de l</w:t>
      </w:r>
      <w:r w:rsidR="000A3D87">
        <w:rPr>
          <w:bCs/>
          <w:lang w:val="fr-FR"/>
        </w:rPr>
        <w:t>’</w:t>
      </w:r>
      <w:r w:rsidR="00B0068A" w:rsidRPr="005D6CD4">
        <w:rPr>
          <w:bCs/>
          <w:lang w:val="fr-FR"/>
        </w:rPr>
        <w:t>atelier des parties prenantes, un deuxième projet de rapport a été établi.</w:t>
      </w:r>
    </w:p>
    <w:p w:rsidR="00B0068A" w:rsidRPr="005D6CD4" w:rsidRDefault="00846B6F" w:rsidP="002D5B1A">
      <w:pPr>
        <w:pStyle w:val="SingleTxt"/>
        <w:rPr>
          <w:lang w:val="fr-FR"/>
        </w:rPr>
      </w:pPr>
      <w:r>
        <w:rPr>
          <w:lang w:val="fr-FR"/>
        </w:rPr>
        <w:tab/>
      </w:r>
      <w:r w:rsidR="00B0068A" w:rsidRPr="005D6CD4">
        <w:rPr>
          <w:lang w:val="fr-FR"/>
        </w:rPr>
        <w:t xml:space="preserve">Une </w:t>
      </w:r>
      <w:r w:rsidR="00B0068A" w:rsidRPr="008B6D2B">
        <w:rPr>
          <w:b/>
          <w:lang w:val="fr-FR"/>
        </w:rPr>
        <w:t>réunion de mise au point technique définitive de trois jours</w:t>
      </w:r>
      <w:r w:rsidR="00B0068A" w:rsidRPr="005D6CD4">
        <w:rPr>
          <w:lang w:val="fr-FR"/>
        </w:rPr>
        <w:t xml:space="preserve"> s</w:t>
      </w:r>
      <w:r w:rsidR="000A3D87">
        <w:rPr>
          <w:lang w:val="fr-FR"/>
        </w:rPr>
        <w:t>’</w:t>
      </w:r>
      <w:r w:rsidR="00B0068A" w:rsidRPr="005D6CD4">
        <w:rPr>
          <w:lang w:val="fr-FR"/>
        </w:rPr>
        <w:t>est tenue pour harmoniser les contributions apportées par la réunion d</w:t>
      </w:r>
      <w:r w:rsidR="000A3D87">
        <w:rPr>
          <w:lang w:val="fr-FR"/>
        </w:rPr>
        <w:t>’</w:t>
      </w:r>
      <w:r w:rsidR="00B0068A" w:rsidRPr="005D6CD4">
        <w:rPr>
          <w:lang w:val="fr-FR"/>
        </w:rPr>
        <w:t xml:space="preserve">examen des parties prenantes des zones et a établi le </w:t>
      </w:r>
      <w:r w:rsidR="00B0068A" w:rsidRPr="008B6D2B">
        <w:rPr>
          <w:b/>
          <w:lang w:val="fr-FR"/>
        </w:rPr>
        <w:t xml:space="preserve">troisième projet </w:t>
      </w:r>
      <w:r w:rsidR="00B0068A" w:rsidRPr="005D6CD4">
        <w:rPr>
          <w:lang w:val="fr-FR"/>
        </w:rPr>
        <w:t>de rapport. Cette version du rapport, qui a fait l</w:t>
      </w:r>
      <w:r w:rsidR="000A3D87">
        <w:rPr>
          <w:lang w:val="fr-FR"/>
        </w:rPr>
        <w:t>’</w:t>
      </w:r>
      <w:r w:rsidR="00B0068A" w:rsidRPr="005D6CD4">
        <w:rPr>
          <w:lang w:val="fr-FR"/>
        </w:rPr>
        <w:t xml:space="preserve">objet de consultations à plusieurs niveaux, a été mise en forme définitive, prête pour être </w:t>
      </w:r>
      <w:r w:rsidR="00B0068A" w:rsidRPr="008B6D2B">
        <w:rPr>
          <w:b/>
          <w:lang w:val="fr-FR"/>
        </w:rPr>
        <w:t>présentée au Comité des N</w:t>
      </w:r>
      <w:r w:rsidR="00B0068A" w:rsidRPr="008B6D2B">
        <w:rPr>
          <w:b/>
          <w:lang w:val="fr-FR"/>
        </w:rPr>
        <w:t>a</w:t>
      </w:r>
      <w:r w:rsidR="00B0068A" w:rsidRPr="008B6D2B">
        <w:rPr>
          <w:b/>
          <w:lang w:val="fr-FR"/>
        </w:rPr>
        <w:t>tions Unies sur la Convention</w:t>
      </w:r>
      <w:r w:rsidR="00B0068A" w:rsidRPr="005D6CD4">
        <w:rPr>
          <w:lang w:val="fr-FR"/>
        </w:rPr>
        <w:t xml:space="preserve"> par </w:t>
      </w:r>
      <w:r w:rsidR="00B0068A">
        <w:rPr>
          <w:lang w:val="fr-FR"/>
        </w:rPr>
        <w:t xml:space="preserve">le </w:t>
      </w:r>
      <w:r w:rsidR="00B0068A" w:rsidRPr="005D6CD4">
        <w:rPr>
          <w:lang w:val="fr-FR"/>
        </w:rPr>
        <w:t>ministère de</w:t>
      </w:r>
      <w:r w:rsidR="00B0068A">
        <w:rPr>
          <w:lang w:val="fr-FR"/>
        </w:rPr>
        <w:t>s Affaires é</w:t>
      </w:r>
      <w:r w:rsidR="00B0068A" w:rsidRPr="005D6CD4">
        <w:rPr>
          <w:lang w:val="fr-FR"/>
        </w:rPr>
        <w:t>trangères</w:t>
      </w:r>
      <w:r w:rsidR="00B0068A">
        <w:rPr>
          <w:lang w:val="fr-FR"/>
        </w:rPr>
        <w:t>, suivant la procédure appropriée</w:t>
      </w:r>
      <w:r w:rsidR="00B0068A" w:rsidRPr="005D6CD4">
        <w:rPr>
          <w:lang w:val="fr-FR"/>
        </w:rPr>
        <w:t>.</w:t>
      </w:r>
    </w:p>
    <w:p w:rsidR="00846B6F" w:rsidRPr="00846B6F" w:rsidRDefault="00846B6F" w:rsidP="00846B6F">
      <w:pPr>
        <w:pStyle w:val="SingleTxt"/>
        <w:spacing w:after="0" w:line="120" w:lineRule="exact"/>
        <w:rPr>
          <w:sz w:val="10"/>
          <w:lang w:val="fr-FR"/>
        </w:rPr>
      </w:pPr>
    </w:p>
    <w:p w:rsidR="00846B6F" w:rsidRPr="00846B6F" w:rsidRDefault="00846B6F" w:rsidP="00846B6F">
      <w:pPr>
        <w:pStyle w:val="SingleTxt"/>
        <w:spacing w:after="0" w:line="120" w:lineRule="exact"/>
        <w:rPr>
          <w:sz w:val="10"/>
          <w:lang w:val="fr-FR"/>
        </w:rPr>
      </w:pPr>
    </w:p>
    <w:p w:rsidR="00B0068A" w:rsidRDefault="00846B6F" w:rsidP="00846B6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0068A" w:rsidRPr="005D6CD4">
        <w:rPr>
          <w:lang w:val="fr-FR"/>
        </w:rPr>
        <w:t>Collaboration</w:t>
      </w:r>
    </w:p>
    <w:p w:rsidR="00846B6F" w:rsidRPr="00846B6F" w:rsidRDefault="00846B6F" w:rsidP="00846B6F">
      <w:pPr>
        <w:pStyle w:val="SingleTxt"/>
        <w:spacing w:after="0" w:line="120" w:lineRule="exact"/>
        <w:rPr>
          <w:sz w:val="10"/>
          <w:lang w:val="fr-FR"/>
        </w:rPr>
      </w:pPr>
    </w:p>
    <w:p w:rsidR="00B0068A" w:rsidRPr="005D6CD4" w:rsidRDefault="00846B6F" w:rsidP="002D5B1A">
      <w:pPr>
        <w:pStyle w:val="SingleTxt"/>
        <w:rPr>
          <w:lang w:val="fr-FR"/>
        </w:rPr>
      </w:pPr>
      <w:r>
        <w:rPr>
          <w:lang w:val="fr-FR"/>
        </w:rPr>
        <w:tab/>
      </w:r>
      <w:r w:rsidR="00B0068A" w:rsidRPr="005D6CD4">
        <w:rPr>
          <w:lang w:val="fr-FR"/>
        </w:rPr>
        <w:t>Des efforts ont été</w:t>
      </w:r>
      <w:r w:rsidR="00B0068A">
        <w:rPr>
          <w:lang w:val="fr-FR"/>
        </w:rPr>
        <w:t xml:space="preserve"> </w:t>
      </w:r>
      <w:r w:rsidR="00B0068A" w:rsidRPr="005D6CD4">
        <w:rPr>
          <w:lang w:val="fr-FR"/>
        </w:rPr>
        <w:t>consentis, notamment au cours des cinq dernières années, en vue de renfo</w:t>
      </w:r>
      <w:r w:rsidR="00B0068A" w:rsidRPr="005D6CD4">
        <w:rPr>
          <w:lang w:val="fr-FR"/>
        </w:rPr>
        <w:t>r</w:t>
      </w:r>
      <w:r w:rsidR="00B0068A" w:rsidRPr="005D6CD4">
        <w:rPr>
          <w:lang w:val="fr-FR"/>
        </w:rPr>
        <w:t>cer et d</w:t>
      </w:r>
      <w:r w:rsidR="000A3D87">
        <w:rPr>
          <w:lang w:val="fr-FR"/>
        </w:rPr>
        <w:t>’</w:t>
      </w:r>
      <w:r w:rsidR="00B0068A" w:rsidRPr="005D6CD4">
        <w:rPr>
          <w:lang w:val="fr-FR"/>
        </w:rPr>
        <w:t>améliorer la collaboration entre tous les groupes et particuliers concernés par les que</w:t>
      </w:r>
      <w:r w:rsidR="00B0068A" w:rsidRPr="005D6CD4">
        <w:rPr>
          <w:lang w:val="fr-FR"/>
        </w:rPr>
        <w:t>s</w:t>
      </w:r>
      <w:r w:rsidR="00B0068A" w:rsidRPr="005D6CD4">
        <w:rPr>
          <w:lang w:val="fr-FR"/>
        </w:rPr>
        <w:t>tions d</w:t>
      </w:r>
      <w:r w:rsidR="000A3D87">
        <w:rPr>
          <w:lang w:val="fr-FR"/>
        </w:rPr>
        <w:t>’</w:t>
      </w:r>
      <w:r w:rsidR="00B0068A" w:rsidRPr="005D6CD4">
        <w:rPr>
          <w:lang w:val="fr-FR"/>
        </w:rPr>
        <w:t>égalité des sexes et de promotion de la femme dans le domaine de la mise en œuvre de la Convention. Le ministère fédéral de la Condition de la femme a instauré des partenariats avec les institutions des Nations Unies, les organisations internationales, les partenaires de d</w:t>
      </w:r>
      <w:r w:rsidR="00B0068A" w:rsidRPr="005D6CD4">
        <w:rPr>
          <w:lang w:val="fr-FR"/>
        </w:rPr>
        <w:t>é</w:t>
      </w:r>
      <w:r w:rsidR="00B0068A" w:rsidRPr="005D6CD4">
        <w:rPr>
          <w:lang w:val="fr-FR"/>
        </w:rPr>
        <w:t xml:space="preserve">veloppement et les fondations dont les principaux sont les suivants : UNICEF, OIT, UNIFEM, ONUDC, UNESCO, OMS, ONUSIDA, FNUAP et PNUD. </w:t>
      </w:r>
    </w:p>
    <w:p w:rsidR="00B0068A" w:rsidRPr="005D6CD4" w:rsidRDefault="00846B6F" w:rsidP="002D5B1A">
      <w:pPr>
        <w:pStyle w:val="SingleTxt"/>
        <w:rPr>
          <w:lang w:val="fr-FR"/>
        </w:rPr>
      </w:pPr>
      <w:r>
        <w:rPr>
          <w:lang w:val="fr-FR"/>
        </w:rPr>
        <w:tab/>
      </w:r>
      <w:r w:rsidR="00B0068A" w:rsidRPr="005D6CD4">
        <w:rPr>
          <w:lang w:val="fr-FR"/>
        </w:rPr>
        <w:t>Le ministère fédéral de la Condition de la femme collabore également avec d</w:t>
      </w:r>
      <w:r w:rsidR="000A3D87">
        <w:rPr>
          <w:lang w:val="fr-FR"/>
        </w:rPr>
        <w:t>’</w:t>
      </w:r>
      <w:r w:rsidR="00B0068A" w:rsidRPr="005D6CD4">
        <w:rPr>
          <w:lang w:val="fr-FR"/>
        </w:rPr>
        <w:t>autres ministères fédéraux concernés tels que ceux de la Justice, du Travail et de la Productivité, de l</w:t>
      </w:r>
      <w:r w:rsidR="000A3D87">
        <w:rPr>
          <w:lang w:val="fr-FR"/>
        </w:rPr>
        <w:t>’</w:t>
      </w:r>
      <w:r w:rsidR="00B0068A" w:rsidRPr="005D6CD4">
        <w:rPr>
          <w:lang w:val="fr-FR"/>
        </w:rPr>
        <w:t>Information, de l</w:t>
      </w:r>
      <w:r w:rsidR="000A3D87">
        <w:rPr>
          <w:lang w:val="fr-FR"/>
        </w:rPr>
        <w:t>’</w:t>
      </w:r>
      <w:r w:rsidR="00B0068A" w:rsidRPr="005D6CD4">
        <w:rPr>
          <w:lang w:val="fr-FR"/>
        </w:rPr>
        <w:t>Éducation, de la Promotion de la police, de l</w:t>
      </w:r>
      <w:r w:rsidR="000A3D87">
        <w:rPr>
          <w:lang w:val="fr-FR"/>
        </w:rPr>
        <w:t>’</w:t>
      </w:r>
      <w:r w:rsidR="00B0068A" w:rsidRPr="005D6CD4">
        <w:rPr>
          <w:lang w:val="fr-FR"/>
        </w:rPr>
        <w:t>Intérieur, de la Condition de la femme, des Affaires étrangères, des Finances, de la Commission nationale du Plan et de la Sa</w:t>
      </w:r>
      <w:r w:rsidR="00B0068A" w:rsidRPr="005D6CD4">
        <w:rPr>
          <w:lang w:val="fr-FR"/>
        </w:rPr>
        <w:t>n</w:t>
      </w:r>
      <w:r w:rsidR="00B0068A" w:rsidRPr="005D6CD4">
        <w:rPr>
          <w:lang w:val="fr-FR"/>
        </w:rPr>
        <w:t>té, pour ne citer que ceux-là.</w:t>
      </w:r>
      <w:r w:rsidR="00B0068A">
        <w:rPr>
          <w:lang w:val="fr-FR"/>
        </w:rPr>
        <w:t xml:space="preserve"> </w:t>
      </w:r>
    </w:p>
    <w:p w:rsidR="00B0068A" w:rsidRPr="005D6CD4" w:rsidRDefault="00846B6F" w:rsidP="002D5B1A">
      <w:pPr>
        <w:pStyle w:val="SingleTxt"/>
        <w:rPr>
          <w:lang w:val="fr-FR"/>
        </w:rPr>
      </w:pPr>
      <w:r>
        <w:rPr>
          <w:lang w:val="fr-FR"/>
        </w:rPr>
        <w:tab/>
      </w:r>
      <w:r w:rsidR="00B0068A" w:rsidRPr="005D6CD4">
        <w:rPr>
          <w:lang w:val="fr-FR"/>
        </w:rPr>
        <w:t>En outre, le ministère fédéral de la Condition de la femme entretient des relations avec les m</w:t>
      </w:r>
      <w:r w:rsidR="00B0068A" w:rsidRPr="005D6CD4">
        <w:rPr>
          <w:lang w:val="fr-FR"/>
        </w:rPr>
        <w:t>i</w:t>
      </w:r>
      <w:r w:rsidR="00B0068A" w:rsidRPr="005D6CD4">
        <w:rPr>
          <w:lang w:val="fr-FR"/>
        </w:rPr>
        <w:t>nistères correspondants au niveau des États et autres institutions et sociétés parapubliques concernées telles que le Centre national de promotion de la femme, la Commission nationale des droits de l</w:t>
      </w:r>
      <w:r w:rsidR="000A3D87">
        <w:rPr>
          <w:lang w:val="fr-FR"/>
        </w:rPr>
        <w:t>’</w:t>
      </w:r>
      <w:r w:rsidR="00B0068A" w:rsidRPr="005D6CD4">
        <w:rPr>
          <w:lang w:val="fr-FR"/>
        </w:rPr>
        <w:t>homme, le Programme national d</w:t>
      </w:r>
      <w:r w:rsidR="000A3D87">
        <w:rPr>
          <w:lang w:val="fr-FR"/>
        </w:rPr>
        <w:t>’</w:t>
      </w:r>
      <w:r w:rsidR="00B0068A" w:rsidRPr="005D6CD4">
        <w:rPr>
          <w:lang w:val="fr-FR"/>
        </w:rPr>
        <w:t>éradication de la pauvreté, l</w:t>
      </w:r>
      <w:r w:rsidR="00B0068A">
        <w:rPr>
          <w:lang w:val="fr-FR"/>
        </w:rPr>
        <w:t>a NAPTIP</w:t>
      </w:r>
      <w:r w:rsidR="00B0068A" w:rsidRPr="005D6CD4">
        <w:rPr>
          <w:lang w:val="fr-FR"/>
        </w:rPr>
        <w:t xml:space="preserve"> et su</w:t>
      </w:r>
      <w:r w:rsidR="00B0068A" w:rsidRPr="005D6CD4">
        <w:rPr>
          <w:lang w:val="fr-FR"/>
        </w:rPr>
        <w:t>r</w:t>
      </w:r>
      <w:r w:rsidR="00B0068A" w:rsidRPr="005D6CD4">
        <w:rPr>
          <w:lang w:val="fr-FR"/>
        </w:rPr>
        <w:t>tout, le bureau du Conseiller spécial du Président sur les OMD.</w:t>
      </w:r>
    </w:p>
    <w:p w:rsidR="00B0068A" w:rsidRDefault="00846B6F" w:rsidP="002D5B1A">
      <w:pPr>
        <w:pStyle w:val="SingleTxt"/>
        <w:rPr>
          <w:lang w:val="fr-FR"/>
        </w:rPr>
      </w:pPr>
      <w:r>
        <w:rPr>
          <w:lang w:val="fr-FR"/>
        </w:rPr>
        <w:tab/>
      </w:r>
      <w:r w:rsidR="00B0068A" w:rsidRPr="005D6CD4">
        <w:rPr>
          <w:lang w:val="fr-FR"/>
        </w:rPr>
        <w:t>Les médias collaborent aussi avec le ministère fédéral de la Condition de la femme en matière de publicité, d</w:t>
      </w:r>
      <w:r w:rsidR="000A3D87">
        <w:rPr>
          <w:lang w:val="fr-FR"/>
        </w:rPr>
        <w:t>’</w:t>
      </w:r>
      <w:r w:rsidR="00B0068A" w:rsidRPr="005D6CD4">
        <w:rPr>
          <w:lang w:val="fr-FR"/>
        </w:rPr>
        <w:t>éducation du public et de plaidoyer, en particulier pour dénonc</w:t>
      </w:r>
      <w:r w:rsidR="00B0068A">
        <w:rPr>
          <w:lang w:val="fr-FR"/>
        </w:rPr>
        <w:t xml:space="preserve">er </w:t>
      </w:r>
      <w:r w:rsidR="00B0068A" w:rsidRPr="005D6CD4">
        <w:rPr>
          <w:lang w:val="fr-FR"/>
        </w:rPr>
        <w:t>la violence à l</w:t>
      </w:r>
      <w:r w:rsidR="000A3D87">
        <w:rPr>
          <w:lang w:val="fr-FR"/>
        </w:rPr>
        <w:t>’</w:t>
      </w:r>
      <w:r w:rsidR="00B0068A" w:rsidRPr="005D6CD4">
        <w:rPr>
          <w:lang w:val="fr-FR"/>
        </w:rPr>
        <w:t>égard des femmes, et attirer l</w:t>
      </w:r>
      <w:r w:rsidR="000A3D87">
        <w:rPr>
          <w:lang w:val="fr-FR"/>
        </w:rPr>
        <w:t>’</w:t>
      </w:r>
      <w:r w:rsidR="00B0068A" w:rsidRPr="005D6CD4">
        <w:rPr>
          <w:lang w:val="fr-FR"/>
        </w:rPr>
        <w:t>attention de la société civile et du grand public sur les réalis</w:t>
      </w:r>
      <w:r w:rsidR="00B0068A" w:rsidRPr="005D6CD4">
        <w:rPr>
          <w:lang w:val="fr-FR"/>
        </w:rPr>
        <w:t>a</w:t>
      </w:r>
      <w:r w:rsidR="00B0068A" w:rsidRPr="005D6CD4">
        <w:rPr>
          <w:lang w:val="fr-FR"/>
        </w:rPr>
        <w:t xml:space="preserve">tions des femmes et </w:t>
      </w:r>
      <w:r w:rsidR="00B0068A">
        <w:rPr>
          <w:lang w:val="fr-FR"/>
        </w:rPr>
        <w:t xml:space="preserve">sur les </w:t>
      </w:r>
      <w:r w:rsidR="00B0068A" w:rsidRPr="005D6CD4">
        <w:rPr>
          <w:lang w:val="fr-FR"/>
        </w:rPr>
        <w:t xml:space="preserve">résultats méritoires </w:t>
      </w:r>
      <w:r w:rsidR="00B0068A">
        <w:rPr>
          <w:lang w:val="fr-FR"/>
        </w:rPr>
        <w:t>qu</w:t>
      </w:r>
      <w:r w:rsidR="000A3D87">
        <w:rPr>
          <w:lang w:val="fr-FR"/>
        </w:rPr>
        <w:t>’</w:t>
      </w:r>
      <w:r w:rsidR="00B0068A">
        <w:rPr>
          <w:lang w:val="fr-FR"/>
        </w:rPr>
        <w:t xml:space="preserve">elles obtiennent </w:t>
      </w:r>
      <w:r w:rsidR="00B0068A" w:rsidRPr="005D6CD4">
        <w:rPr>
          <w:lang w:val="fr-FR"/>
        </w:rPr>
        <w:t xml:space="preserve">aux postes de leadership. </w:t>
      </w:r>
    </w:p>
    <w:p w:rsidR="000C5527" w:rsidRPr="000C5527" w:rsidRDefault="004A14DA" w:rsidP="000C5527">
      <w:pPr>
        <w:pStyle w:val="SingleTxt"/>
        <w:spacing w:after="0" w:line="120" w:lineRule="exact"/>
        <w:rPr>
          <w:sz w:val="10"/>
          <w:lang w:val="fr-FR"/>
        </w:rPr>
      </w:pPr>
      <w:r>
        <w:rPr>
          <w:sz w:val="10"/>
          <w:lang w:val="fr-FR"/>
        </w:rPr>
        <w:br w:type="page"/>
      </w:r>
    </w:p>
    <w:p w:rsidR="00B0068A" w:rsidRDefault="000C5527" w:rsidP="000C552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0068A">
        <w:rPr>
          <w:lang w:val="fr-FR"/>
        </w:rPr>
        <w:t xml:space="preserve">Réponses </w:t>
      </w:r>
      <w:r w:rsidR="00B0068A" w:rsidRPr="005D6CD4">
        <w:rPr>
          <w:lang w:val="fr-FR"/>
        </w:rPr>
        <w:t xml:space="preserve">du </w:t>
      </w:r>
      <w:r w:rsidR="00B0068A">
        <w:rPr>
          <w:lang w:val="fr-FR"/>
        </w:rPr>
        <w:t>Nigéria</w:t>
      </w:r>
      <w:r w:rsidR="00B0068A" w:rsidRPr="005D6CD4">
        <w:rPr>
          <w:lang w:val="fr-FR"/>
        </w:rPr>
        <w:t xml:space="preserve"> aux observations finales du Comité sur l</w:t>
      </w:r>
      <w:r w:rsidR="000A3D87">
        <w:rPr>
          <w:lang w:val="fr-FR"/>
        </w:rPr>
        <w:t>’</w:t>
      </w:r>
      <w:r w:rsidR="00B0068A" w:rsidRPr="005D6CD4">
        <w:rPr>
          <w:lang w:val="fr-FR"/>
        </w:rPr>
        <w:t>élimination de la discrim</w:t>
      </w:r>
      <w:r w:rsidR="00B0068A" w:rsidRPr="005D6CD4">
        <w:rPr>
          <w:lang w:val="fr-FR"/>
        </w:rPr>
        <w:t>i</w:t>
      </w:r>
      <w:r w:rsidR="00B0068A" w:rsidRPr="005D6CD4">
        <w:rPr>
          <w:lang w:val="fr-FR"/>
        </w:rPr>
        <w:t>nation à l</w:t>
      </w:r>
      <w:r w:rsidR="000A3D87">
        <w:rPr>
          <w:lang w:val="fr-FR"/>
        </w:rPr>
        <w:t>’</w:t>
      </w:r>
      <w:r w:rsidR="00B0068A" w:rsidRPr="005D6CD4">
        <w:rPr>
          <w:lang w:val="fr-FR"/>
        </w:rPr>
        <w:t>égard des femmes sur le quatrième-cinquième rapport</w:t>
      </w:r>
      <w:r w:rsidR="00B0068A">
        <w:rPr>
          <w:lang w:val="fr-FR"/>
        </w:rPr>
        <w:t xml:space="preserve"> périodique</w:t>
      </w:r>
    </w:p>
    <w:p w:rsidR="008B6D2B" w:rsidRPr="008B6D2B" w:rsidRDefault="008B6D2B" w:rsidP="008B6D2B">
      <w:pPr>
        <w:pStyle w:val="SingleTxt"/>
        <w:spacing w:after="0" w:line="120" w:lineRule="exact"/>
        <w:rPr>
          <w:bCs/>
          <w:sz w:val="10"/>
          <w:lang w:val="fr-FR"/>
        </w:rPr>
      </w:pPr>
    </w:p>
    <w:p w:rsidR="000C5527" w:rsidRPr="000C5527" w:rsidRDefault="000C5527" w:rsidP="000C5527">
      <w:pPr>
        <w:pStyle w:val="SingleTxt"/>
        <w:spacing w:after="0" w:line="120" w:lineRule="exact"/>
        <w:rPr>
          <w:bCs/>
          <w:sz w:val="10"/>
          <w:lang w:val="fr-FR"/>
        </w:rPr>
      </w:pPr>
    </w:p>
    <w:tbl>
      <w:tblPr>
        <w:tblW w:w="0" w:type="auto"/>
        <w:tblInd w:w="1368" w:type="dxa"/>
        <w:tblLook w:val="01E0"/>
      </w:tblPr>
      <w:tblGrid>
        <w:gridCol w:w="3646"/>
        <w:gridCol w:w="3734"/>
      </w:tblGrid>
      <w:tr w:rsidR="00B0068A" w:rsidRPr="00846B6F">
        <w:trPr>
          <w:tblHeader/>
        </w:trPr>
        <w:tc>
          <w:tcPr>
            <w:tcW w:w="3646" w:type="dxa"/>
            <w:tcBorders>
              <w:top w:val="single" w:sz="4" w:space="0" w:color="auto"/>
              <w:bottom w:val="single" w:sz="12" w:space="0" w:color="auto"/>
            </w:tcBorders>
            <w:shd w:val="clear" w:color="auto" w:fill="auto"/>
            <w:vAlign w:val="bottom"/>
          </w:tcPr>
          <w:p w:rsidR="00B0068A" w:rsidRPr="00846B6F" w:rsidRDefault="00B0068A" w:rsidP="00846B6F">
            <w:pPr>
              <w:suppressAutoHyphens/>
              <w:spacing w:before="80" w:after="80" w:line="160" w:lineRule="exact"/>
              <w:ind w:right="115"/>
              <w:rPr>
                <w:sz w:val="14"/>
                <w:szCs w:val="24"/>
                <w:lang w:val="fr-FR"/>
              </w:rPr>
            </w:pPr>
            <w:r w:rsidRPr="00846B6F">
              <w:rPr>
                <w:sz w:val="14"/>
                <w:szCs w:val="24"/>
                <w:lang w:val="fr-FR"/>
              </w:rPr>
              <w:t xml:space="preserve">Principaux domaines de préoccupation et recommandation </w:t>
            </w:r>
            <w:r w:rsidR="00846B6F">
              <w:rPr>
                <w:sz w:val="14"/>
                <w:szCs w:val="24"/>
                <w:lang w:val="fr-FR"/>
              </w:rPr>
              <w:br/>
            </w:r>
            <w:r w:rsidRPr="00846B6F">
              <w:rPr>
                <w:sz w:val="14"/>
                <w:szCs w:val="24"/>
                <w:lang w:val="fr-FR"/>
              </w:rPr>
              <w:t>(quatrième-cinquième rapport de pays)</w:t>
            </w:r>
          </w:p>
        </w:tc>
        <w:tc>
          <w:tcPr>
            <w:tcW w:w="3734" w:type="dxa"/>
            <w:tcBorders>
              <w:top w:val="single" w:sz="4" w:space="0" w:color="auto"/>
              <w:bottom w:val="single" w:sz="12" w:space="0" w:color="auto"/>
            </w:tcBorders>
            <w:shd w:val="clear" w:color="auto" w:fill="auto"/>
          </w:tcPr>
          <w:p w:rsidR="00B0068A" w:rsidRPr="00846B6F" w:rsidRDefault="00B0068A" w:rsidP="00846B6F">
            <w:pPr>
              <w:suppressAutoHyphens/>
              <w:spacing w:before="80" w:after="80" w:line="160" w:lineRule="exact"/>
              <w:ind w:right="115"/>
              <w:rPr>
                <w:sz w:val="14"/>
                <w:szCs w:val="24"/>
                <w:lang w:val="fr-FR"/>
              </w:rPr>
            </w:pPr>
            <w:r w:rsidRPr="00846B6F">
              <w:rPr>
                <w:sz w:val="14"/>
                <w:szCs w:val="24"/>
                <w:lang w:val="fr-FR"/>
              </w:rPr>
              <w:t>Mesure d</w:t>
            </w:r>
            <w:r w:rsidR="000A3D87">
              <w:rPr>
                <w:sz w:val="14"/>
                <w:szCs w:val="24"/>
                <w:lang w:val="fr-FR"/>
              </w:rPr>
              <w:t>’</w:t>
            </w:r>
            <w:r w:rsidRPr="00846B6F">
              <w:rPr>
                <w:sz w:val="14"/>
                <w:szCs w:val="24"/>
                <w:lang w:val="fr-FR"/>
              </w:rPr>
              <w:t xml:space="preserve">atténuation </w:t>
            </w:r>
            <w:r w:rsidR="00846B6F">
              <w:rPr>
                <w:sz w:val="14"/>
                <w:szCs w:val="24"/>
                <w:lang w:val="fr-FR"/>
              </w:rPr>
              <w:br/>
            </w:r>
            <w:r w:rsidRPr="00846B6F">
              <w:rPr>
                <w:sz w:val="14"/>
                <w:szCs w:val="24"/>
                <w:lang w:val="fr-FR"/>
              </w:rPr>
              <w:t>(sixième rapport de pays)</w:t>
            </w:r>
          </w:p>
        </w:tc>
      </w:tr>
      <w:tr w:rsidR="00846B6F" w:rsidRPr="00846B6F">
        <w:trPr>
          <w:trHeight w:hRule="exact" w:val="115"/>
          <w:tblHeader/>
        </w:trPr>
        <w:tc>
          <w:tcPr>
            <w:tcW w:w="3646" w:type="dxa"/>
            <w:tcBorders>
              <w:top w:val="single" w:sz="12" w:space="0" w:color="auto"/>
            </w:tcBorders>
            <w:shd w:val="clear" w:color="auto" w:fill="auto"/>
          </w:tcPr>
          <w:p w:rsidR="00846B6F" w:rsidRPr="00846B6F" w:rsidRDefault="00846B6F" w:rsidP="00846B6F">
            <w:pPr>
              <w:suppressAutoHyphens/>
              <w:spacing w:before="40" w:after="80"/>
              <w:ind w:right="115"/>
              <w:rPr>
                <w:szCs w:val="24"/>
                <w:lang w:val="fr-FR"/>
              </w:rPr>
            </w:pPr>
          </w:p>
        </w:tc>
        <w:tc>
          <w:tcPr>
            <w:tcW w:w="3734" w:type="dxa"/>
            <w:tcBorders>
              <w:top w:val="single" w:sz="12" w:space="0" w:color="auto"/>
            </w:tcBorders>
            <w:shd w:val="clear" w:color="auto" w:fill="auto"/>
          </w:tcPr>
          <w:p w:rsidR="00846B6F" w:rsidRPr="00846B6F" w:rsidRDefault="00846B6F" w:rsidP="00846B6F">
            <w:pPr>
              <w:suppressAutoHyphens/>
              <w:spacing w:before="40" w:after="80"/>
              <w:ind w:right="115"/>
              <w:rPr>
                <w:bCs/>
                <w:szCs w:val="24"/>
                <w:lang w:val="fr-FR"/>
              </w:rPr>
            </w:pPr>
          </w:p>
        </w:tc>
      </w:tr>
      <w:tr w:rsidR="00B0068A" w:rsidRPr="00846B6F">
        <w:tc>
          <w:tcPr>
            <w:tcW w:w="3646" w:type="dxa"/>
            <w:shd w:val="clear" w:color="auto" w:fill="auto"/>
          </w:tcPr>
          <w:p w:rsidR="00B0068A" w:rsidRPr="00846B6F" w:rsidRDefault="00B0068A" w:rsidP="00846B6F">
            <w:pPr>
              <w:tabs>
                <w:tab w:val="left" w:pos="288"/>
                <w:tab w:val="left" w:pos="576"/>
                <w:tab w:val="left" w:pos="864"/>
                <w:tab w:val="left" w:pos="1152"/>
              </w:tabs>
              <w:suppressAutoHyphens/>
              <w:spacing w:before="40" w:after="80"/>
              <w:ind w:right="115"/>
              <w:rPr>
                <w:szCs w:val="24"/>
                <w:lang w:val="fr-FR"/>
              </w:rPr>
            </w:pPr>
            <w:r w:rsidRPr="00846B6F">
              <w:rPr>
                <w:szCs w:val="24"/>
                <w:lang w:val="fr-FR"/>
              </w:rPr>
              <w:t>Intégrer la Convention à la législation nati</w:t>
            </w:r>
            <w:r w:rsidRPr="00846B6F">
              <w:rPr>
                <w:szCs w:val="24"/>
                <w:lang w:val="fr-FR"/>
              </w:rPr>
              <w:t>o</w:t>
            </w:r>
            <w:r w:rsidRPr="00846B6F">
              <w:rPr>
                <w:szCs w:val="24"/>
                <w:lang w:val="fr-FR"/>
              </w:rPr>
              <w:t>nale et préciser sa primauté sur les lois nati</w:t>
            </w:r>
            <w:r w:rsidRPr="00846B6F">
              <w:rPr>
                <w:szCs w:val="24"/>
                <w:lang w:val="fr-FR"/>
              </w:rPr>
              <w:t>o</w:t>
            </w:r>
            <w:r w:rsidRPr="00846B6F">
              <w:rPr>
                <w:szCs w:val="24"/>
                <w:lang w:val="fr-FR"/>
              </w:rPr>
              <w:t>nales, y compris sa justiciabilité et l</w:t>
            </w:r>
            <w:r w:rsidR="000A3D87">
              <w:rPr>
                <w:szCs w:val="24"/>
                <w:lang w:val="fr-FR"/>
              </w:rPr>
              <w:t>’</w:t>
            </w:r>
            <w:r w:rsidRPr="00846B6F">
              <w:rPr>
                <w:szCs w:val="24"/>
                <w:lang w:val="fr-FR"/>
              </w:rPr>
              <w:t>application des lois.</w:t>
            </w:r>
          </w:p>
        </w:tc>
        <w:tc>
          <w:tcPr>
            <w:tcW w:w="3734" w:type="dxa"/>
            <w:shd w:val="clear" w:color="auto" w:fill="auto"/>
          </w:tcPr>
          <w:p w:rsidR="00B0068A" w:rsidRPr="00846B6F" w:rsidRDefault="00B0068A" w:rsidP="00846B6F">
            <w:pPr>
              <w:tabs>
                <w:tab w:val="left" w:pos="288"/>
                <w:tab w:val="left" w:pos="576"/>
                <w:tab w:val="left" w:pos="864"/>
                <w:tab w:val="left" w:pos="1152"/>
              </w:tabs>
              <w:suppressAutoHyphens/>
              <w:spacing w:before="40" w:after="80"/>
              <w:ind w:right="115"/>
              <w:rPr>
                <w:bCs/>
                <w:szCs w:val="24"/>
                <w:lang w:val="fr-FR"/>
              </w:rPr>
            </w:pPr>
            <w:r w:rsidRPr="00846B6F">
              <w:rPr>
                <w:bCs/>
                <w:szCs w:val="24"/>
                <w:lang w:val="fr-FR"/>
              </w:rPr>
              <w:t>Processus d</w:t>
            </w:r>
            <w:r w:rsidR="000A3D87">
              <w:rPr>
                <w:bCs/>
                <w:szCs w:val="24"/>
                <w:lang w:val="fr-FR"/>
              </w:rPr>
              <w:t>’</w:t>
            </w:r>
            <w:r w:rsidRPr="00846B6F">
              <w:rPr>
                <w:bCs/>
                <w:szCs w:val="24"/>
                <w:lang w:val="fr-FR"/>
              </w:rPr>
              <w:t>intégration de la Convention sur la bonne trajectoire</w:t>
            </w:r>
          </w:p>
          <w:p w:rsidR="00B0068A" w:rsidRPr="00846B6F" w:rsidRDefault="00B0068A" w:rsidP="00846B6F">
            <w:pPr>
              <w:tabs>
                <w:tab w:val="left" w:pos="288"/>
                <w:tab w:val="left" w:pos="576"/>
                <w:tab w:val="left" w:pos="864"/>
                <w:tab w:val="left" w:pos="1152"/>
              </w:tabs>
              <w:suppressAutoHyphens/>
              <w:spacing w:before="40" w:after="80"/>
              <w:ind w:right="115"/>
              <w:rPr>
                <w:bCs/>
                <w:szCs w:val="24"/>
                <w:lang w:val="fr-FR"/>
              </w:rPr>
            </w:pPr>
            <w:r w:rsidRPr="00846B6F">
              <w:rPr>
                <w:bCs/>
                <w:szCs w:val="24"/>
                <w:lang w:val="fr-FR"/>
              </w:rPr>
              <w:t>Primauté de la Convention établie dans ce</w:t>
            </w:r>
            <w:r w:rsidRPr="00846B6F">
              <w:rPr>
                <w:bCs/>
                <w:szCs w:val="24"/>
                <w:lang w:val="fr-FR"/>
              </w:rPr>
              <w:t>r</w:t>
            </w:r>
            <w:r w:rsidRPr="00846B6F">
              <w:rPr>
                <w:bCs/>
                <w:szCs w:val="24"/>
                <w:lang w:val="fr-FR"/>
              </w:rPr>
              <w:t>tains cas historiques</w:t>
            </w:r>
          </w:p>
        </w:tc>
      </w:tr>
      <w:tr w:rsidR="00B0068A" w:rsidRPr="00846B6F">
        <w:tc>
          <w:tcPr>
            <w:tcW w:w="3646" w:type="dxa"/>
            <w:shd w:val="clear" w:color="auto" w:fill="auto"/>
          </w:tcPr>
          <w:p w:rsidR="00B0068A" w:rsidRPr="00846B6F" w:rsidRDefault="00B0068A" w:rsidP="00846B6F">
            <w:pPr>
              <w:tabs>
                <w:tab w:val="left" w:pos="288"/>
                <w:tab w:val="left" w:pos="576"/>
                <w:tab w:val="left" w:pos="864"/>
                <w:tab w:val="left" w:pos="1152"/>
              </w:tabs>
              <w:suppressAutoHyphens/>
              <w:spacing w:before="40" w:after="80"/>
              <w:ind w:right="115"/>
              <w:rPr>
                <w:b/>
                <w:szCs w:val="24"/>
                <w:lang w:val="fr-FR"/>
              </w:rPr>
            </w:pPr>
            <w:r w:rsidRPr="00846B6F">
              <w:rPr>
                <w:szCs w:val="24"/>
                <w:lang w:val="fr-FR"/>
              </w:rPr>
              <w:t>Terminer le processus d</w:t>
            </w:r>
            <w:r w:rsidR="000A3D87">
              <w:rPr>
                <w:szCs w:val="24"/>
                <w:lang w:val="fr-FR"/>
              </w:rPr>
              <w:t>’</w:t>
            </w:r>
            <w:r w:rsidRPr="00846B6F">
              <w:rPr>
                <w:szCs w:val="24"/>
                <w:lang w:val="fr-FR"/>
              </w:rPr>
              <w:t>intégration et faire en sorte que la Convention fasse partie intégrante du système de justice et de l</w:t>
            </w:r>
            <w:r w:rsidR="000A3D87">
              <w:rPr>
                <w:szCs w:val="24"/>
                <w:lang w:val="fr-FR"/>
              </w:rPr>
              <w:t>’</w:t>
            </w:r>
            <w:r w:rsidRPr="00846B6F">
              <w:rPr>
                <w:szCs w:val="24"/>
                <w:lang w:val="fr-FR"/>
              </w:rPr>
              <w:t>administration judiciaire.</w:t>
            </w:r>
          </w:p>
        </w:tc>
        <w:tc>
          <w:tcPr>
            <w:tcW w:w="3734" w:type="dxa"/>
            <w:shd w:val="clear" w:color="auto" w:fill="auto"/>
          </w:tcPr>
          <w:p w:rsidR="00B0068A" w:rsidRPr="00846B6F" w:rsidRDefault="00B0068A" w:rsidP="00846B6F">
            <w:pPr>
              <w:tabs>
                <w:tab w:val="left" w:pos="288"/>
                <w:tab w:val="left" w:pos="576"/>
                <w:tab w:val="left" w:pos="864"/>
                <w:tab w:val="left" w:pos="1152"/>
              </w:tabs>
              <w:suppressAutoHyphens/>
              <w:spacing w:before="40" w:after="80"/>
              <w:ind w:right="115"/>
              <w:rPr>
                <w:bCs/>
                <w:szCs w:val="24"/>
                <w:lang w:val="fr-FR"/>
              </w:rPr>
            </w:pPr>
            <w:r w:rsidRPr="00846B6F">
              <w:rPr>
                <w:bCs/>
                <w:szCs w:val="24"/>
                <w:lang w:val="fr-FR"/>
              </w:rPr>
              <w:t>Comme ci-dessus, processus pratiquement terminé</w:t>
            </w:r>
          </w:p>
        </w:tc>
      </w:tr>
      <w:tr w:rsidR="000C5527" w:rsidRPr="00846B6F">
        <w:tc>
          <w:tcPr>
            <w:tcW w:w="3646" w:type="dxa"/>
            <w:shd w:val="clear" w:color="auto" w:fill="auto"/>
          </w:tcPr>
          <w:p w:rsidR="000C5527" w:rsidRPr="000C5527" w:rsidRDefault="000C5527" w:rsidP="00846B6F">
            <w:pPr>
              <w:tabs>
                <w:tab w:val="left" w:pos="288"/>
                <w:tab w:val="left" w:pos="576"/>
                <w:tab w:val="left" w:pos="864"/>
                <w:tab w:val="left" w:pos="1152"/>
              </w:tabs>
              <w:suppressAutoHyphens/>
              <w:spacing w:before="40" w:after="80"/>
              <w:ind w:right="115"/>
              <w:rPr>
                <w:szCs w:val="24"/>
                <w:lang w:val="fr-FR"/>
              </w:rPr>
            </w:pPr>
            <w:r w:rsidRPr="000C5527">
              <w:rPr>
                <w:szCs w:val="24"/>
                <w:lang w:val="fr-FR"/>
              </w:rPr>
              <w:t>Persistance dans la Constitution de dispositions discriminatoires en matière de nationalité et d</w:t>
            </w:r>
            <w:r w:rsidR="000A3D87">
              <w:rPr>
                <w:szCs w:val="24"/>
                <w:lang w:val="fr-FR"/>
              </w:rPr>
              <w:t>’</w:t>
            </w:r>
            <w:r w:rsidRPr="000C5527">
              <w:rPr>
                <w:szCs w:val="24"/>
                <w:lang w:val="fr-FR"/>
              </w:rPr>
              <w:t>emploi des femmes; faible rythme des réformes législatives pour éliminer les pratiques discriminatoires.</w:t>
            </w:r>
          </w:p>
        </w:tc>
        <w:tc>
          <w:tcPr>
            <w:tcW w:w="3734" w:type="dxa"/>
            <w:shd w:val="clear" w:color="auto" w:fill="auto"/>
          </w:tcPr>
          <w:p w:rsidR="000C5527" w:rsidRPr="000C5527" w:rsidRDefault="000C5527" w:rsidP="00846B6F">
            <w:pPr>
              <w:tabs>
                <w:tab w:val="left" w:pos="288"/>
                <w:tab w:val="left" w:pos="576"/>
                <w:tab w:val="left" w:pos="864"/>
                <w:tab w:val="left" w:pos="1152"/>
              </w:tabs>
              <w:suppressAutoHyphens/>
              <w:spacing w:before="40" w:after="80"/>
              <w:ind w:right="115"/>
              <w:rPr>
                <w:szCs w:val="24"/>
                <w:lang w:val="fr-FR"/>
              </w:rPr>
            </w:pPr>
            <w:r w:rsidRPr="000C5527">
              <w:rPr>
                <w:szCs w:val="24"/>
                <w:lang w:val="fr-FR"/>
              </w:rPr>
              <w:t>Émergence d</w:t>
            </w:r>
            <w:r w:rsidR="000A3D87">
              <w:rPr>
                <w:szCs w:val="24"/>
                <w:lang w:val="fr-FR"/>
              </w:rPr>
              <w:t>’</w:t>
            </w:r>
            <w:r w:rsidRPr="000C5527">
              <w:rPr>
                <w:szCs w:val="24"/>
                <w:lang w:val="fr-FR"/>
              </w:rPr>
              <w:t>une collaboration fructueuse entre l</w:t>
            </w:r>
            <w:r w:rsidR="000A3D87">
              <w:rPr>
                <w:szCs w:val="24"/>
                <w:lang w:val="fr-FR"/>
              </w:rPr>
              <w:t>’</w:t>
            </w:r>
            <w:r w:rsidRPr="000C5527">
              <w:rPr>
                <w:szCs w:val="24"/>
                <w:lang w:val="fr-FR"/>
              </w:rPr>
              <w:t>administration et les ONG des femmes et des droits de l</w:t>
            </w:r>
            <w:r w:rsidR="000A3D87">
              <w:rPr>
                <w:szCs w:val="24"/>
                <w:lang w:val="fr-FR"/>
              </w:rPr>
              <w:t>’</w:t>
            </w:r>
            <w:r w:rsidRPr="000C5527">
              <w:rPr>
                <w:szCs w:val="24"/>
                <w:lang w:val="fr-FR"/>
              </w:rPr>
              <w:t>homme dans le domaine des contentieux stratégiques dans les dispositions de la Constitution de la République fédérale du Nigéria de 1999 et des principes des dispositions de la Convention.</w:t>
            </w:r>
          </w:p>
        </w:tc>
      </w:tr>
      <w:tr w:rsidR="00476BA3" w:rsidRPr="00846B6F">
        <w:tc>
          <w:tcPr>
            <w:tcW w:w="3646" w:type="dxa"/>
            <w:shd w:val="clear" w:color="auto" w:fill="auto"/>
          </w:tcPr>
          <w:p w:rsidR="00476BA3" w:rsidRPr="000C5527" w:rsidRDefault="00476BA3" w:rsidP="00846B6F">
            <w:pPr>
              <w:tabs>
                <w:tab w:val="left" w:pos="288"/>
                <w:tab w:val="left" w:pos="576"/>
                <w:tab w:val="left" w:pos="864"/>
                <w:tab w:val="left" w:pos="1152"/>
              </w:tabs>
              <w:suppressAutoHyphens/>
              <w:spacing w:before="40" w:after="80"/>
              <w:ind w:right="115"/>
              <w:rPr>
                <w:szCs w:val="24"/>
                <w:lang w:val="fr-FR"/>
              </w:rPr>
            </w:pPr>
            <w:r w:rsidRPr="00846B6F">
              <w:rPr>
                <w:szCs w:val="24"/>
                <w:lang w:val="fr-FR"/>
              </w:rPr>
              <w:t>Fixer des priorités assorties de calendriers concrets pour l</w:t>
            </w:r>
            <w:r w:rsidR="000A3D87">
              <w:rPr>
                <w:szCs w:val="24"/>
                <w:lang w:val="fr-FR"/>
              </w:rPr>
              <w:t>’</w:t>
            </w:r>
            <w:r w:rsidRPr="00846B6F">
              <w:rPr>
                <w:szCs w:val="24"/>
                <w:lang w:val="fr-FR"/>
              </w:rPr>
              <w:t>amendement de la Constit</w:t>
            </w:r>
            <w:r w:rsidRPr="00846B6F">
              <w:rPr>
                <w:szCs w:val="24"/>
                <w:lang w:val="fr-FR"/>
              </w:rPr>
              <w:t>u</w:t>
            </w:r>
            <w:r w:rsidRPr="00846B6F">
              <w:rPr>
                <w:szCs w:val="24"/>
                <w:lang w:val="fr-FR"/>
              </w:rPr>
              <w:t>tion par les systèmes législatifs fédéral et ét</w:t>
            </w:r>
            <w:r w:rsidRPr="00846B6F">
              <w:rPr>
                <w:szCs w:val="24"/>
                <w:lang w:val="fr-FR"/>
              </w:rPr>
              <w:t>a</w:t>
            </w:r>
            <w:r w:rsidRPr="00846B6F">
              <w:rPr>
                <w:szCs w:val="24"/>
                <w:lang w:val="fr-FR"/>
              </w:rPr>
              <w:t xml:space="preserve">tiques; </w:t>
            </w:r>
            <w:r w:rsidRPr="00846B6F">
              <w:rPr>
                <w:szCs w:val="24"/>
                <w:u w:val="single"/>
                <w:lang w:val="fr-FR"/>
              </w:rPr>
              <w:t>Intensifier la collaboration avec les parlementaires, les OSC et d</w:t>
            </w:r>
            <w:r w:rsidR="000A3D87">
              <w:rPr>
                <w:szCs w:val="24"/>
                <w:u w:val="single"/>
                <w:lang w:val="fr-FR"/>
              </w:rPr>
              <w:t>’</w:t>
            </w:r>
            <w:r w:rsidRPr="00846B6F">
              <w:rPr>
                <w:szCs w:val="24"/>
                <w:u w:val="single"/>
                <w:lang w:val="fr-FR"/>
              </w:rPr>
              <w:t>autres parties prenantes afin de réaliser l</w:t>
            </w:r>
            <w:r w:rsidR="000A3D87">
              <w:rPr>
                <w:szCs w:val="24"/>
                <w:u w:val="single"/>
                <w:lang w:val="fr-FR"/>
              </w:rPr>
              <w:t>’</w:t>
            </w:r>
            <w:r w:rsidRPr="00846B6F">
              <w:rPr>
                <w:szCs w:val="24"/>
                <w:u w:val="single"/>
                <w:lang w:val="fr-FR"/>
              </w:rPr>
              <w:t>égalité de facto pour les femmes.</w:t>
            </w:r>
          </w:p>
        </w:tc>
        <w:tc>
          <w:tcPr>
            <w:tcW w:w="3734" w:type="dxa"/>
            <w:shd w:val="clear" w:color="auto" w:fill="auto"/>
          </w:tcPr>
          <w:p w:rsidR="00476BA3" w:rsidRPr="000C5527" w:rsidRDefault="00476BA3" w:rsidP="00846B6F">
            <w:pPr>
              <w:tabs>
                <w:tab w:val="left" w:pos="288"/>
                <w:tab w:val="left" w:pos="576"/>
                <w:tab w:val="left" w:pos="864"/>
                <w:tab w:val="left" w:pos="1152"/>
              </w:tabs>
              <w:suppressAutoHyphens/>
              <w:spacing w:before="40" w:after="80"/>
              <w:ind w:right="115"/>
              <w:rPr>
                <w:szCs w:val="24"/>
                <w:lang w:val="fr-FR"/>
              </w:rPr>
            </w:pPr>
            <w:r w:rsidRPr="00846B6F">
              <w:rPr>
                <w:szCs w:val="24"/>
                <w:lang w:val="fr-FR"/>
              </w:rPr>
              <w:t>La formulation d</w:t>
            </w:r>
            <w:r w:rsidR="000A3D87">
              <w:rPr>
                <w:szCs w:val="24"/>
                <w:lang w:val="fr-FR"/>
              </w:rPr>
              <w:t>’</w:t>
            </w:r>
            <w:r w:rsidRPr="00846B6F">
              <w:rPr>
                <w:szCs w:val="24"/>
                <w:lang w:val="fr-FR"/>
              </w:rPr>
              <w:t>une politique en matière d</w:t>
            </w:r>
            <w:r w:rsidR="000A3D87">
              <w:rPr>
                <w:szCs w:val="24"/>
                <w:lang w:val="fr-FR"/>
              </w:rPr>
              <w:t>’</w:t>
            </w:r>
            <w:r w:rsidRPr="00846B6F">
              <w:rPr>
                <w:szCs w:val="24"/>
                <w:lang w:val="fr-FR"/>
              </w:rPr>
              <w:t>égalité des sexes en tant que moyen de pre</w:t>
            </w:r>
            <w:r w:rsidRPr="00846B6F">
              <w:rPr>
                <w:szCs w:val="24"/>
                <w:lang w:val="fr-FR"/>
              </w:rPr>
              <w:t>n</w:t>
            </w:r>
            <w:r w:rsidRPr="00846B6F">
              <w:rPr>
                <w:szCs w:val="24"/>
                <w:lang w:val="fr-FR"/>
              </w:rPr>
              <w:t>dre systématiquement en compte les questions d</w:t>
            </w:r>
            <w:r w:rsidR="000A3D87">
              <w:rPr>
                <w:szCs w:val="24"/>
                <w:lang w:val="fr-FR"/>
              </w:rPr>
              <w:t>’</w:t>
            </w:r>
            <w:r w:rsidRPr="00846B6F">
              <w:rPr>
                <w:szCs w:val="24"/>
                <w:lang w:val="fr-FR"/>
              </w:rPr>
              <w:t>égalité des sexes représente l</w:t>
            </w:r>
            <w:r w:rsidR="000A3D87">
              <w:rPr>
                <w:szCs w:val="24"/>
                <w:lang w:val="fr-FR"/>
              </w:rPr>
              <w:t>’</w:t>
            </w:r>
            <w:r w:rsidRPr="00846B6F">
              <w:rPr>
                <w:szCs w:val="24"/>
                <w:lang w:val="fr-FR"/>
              </w:rPr>
              <w:t>une des strat</w:t>
            </w:r>
            <w:r w:rsidRPr="00846B6F">
              <w:rPr>
                <w:szCs w:val="24"/>
                <w:lang w:val="fr-FR"/>
              </w:rPr>
              <w:t>é</w:t>
            </w:r>
            <w:r w:rsidRPr="00846B6F">
              <w:rPr>
                <w:szCs w:val="24"/>
                <w:lang w:val="fr-FR"/>
              </w:rPr>
              <w:t>gies concrètes utilisée par le Nigéria pour r</w:t>
            </w:r>
            <w:r w:rsidRPr="00846B6F">
              <w:rPr>
                <w:szCs w:val="24"/>
                <w:lang w:val="fr-FR"/>
              </w:rPr>
              <w:t>é</w:t>
            </w:r>
            <w:r w:rsidRPr="00846B6F">
              <w:rPr>
                <w:szCs w:val="24"/>
                <w:lang w:val="fr-FR"/>
              </w:rPr>
              <w:t>aliser les OMD, qui recouvre par extension les principes de la Convention. De ce fait, l</w:t>
            </w:r>
            <w:r w:rsidR="000A3D87">
              <w:rPr>
                <w:szCs w:val="24"/>
                <w:lang w:val="fr-FR"/>
              </w:rPr>
              <w:t>’</w:t>
            </w:r>
            <w:r w:rsidRPr="00846B6F">
              <w:rPr>
                <w:szCs w:val="24"/>
                <w:lang w:val="fr-FR"/>
              </w:rPr>
              <w:t>égalité des sexes est une notion qui est d</w:t>
            </w:r>
            <w:r w:rsidRPr="00846B6F">
              <w:rPr>
                <w:szCs w:val="24"/>
                <w:lang w:val="fr-FR"/>
              </w:rPr>
              <w:t>é</w:t>
            </w:r>
            <w:r w:rsidRPr="00846B6F">
              <w:rPr>
                <w:szCs w:val="24"/>
                <w:lang w:val="fr-FR"/>
              </w:rPr>
              <w:t>sormais bien comprise et l</w:t>
            </w:r>
            <w:r w:rsidR="000A3D87">
              <w:rPr>
                <w:szCs w:val="24"/>
                <w:lang w:val="fr-FR"/>
              </w:rPr>
              <w:t>’</w:t>
            </w:r>
            <w:r w:rsidRPr="00846B6F">
              <w:rPr>
                <w:szCs w:val="24"/>
                <w:lang w:val="fr-FR"/>
              </w:rPr>
              <w:t>on assiste à une s</w:t>
            </w:r>
            <w:r w:rsidRPr="00846B6F">
              <w:rPr>
                <w:szCs w:val="24"/>
                <w:lang w:val="fr-FR"/>
              </w:rPr>
              <w:t>o</w:t>
            </w:r>
            <w:r w:rsidRPr="00846B6F">
              <w:rPr>
                <w:szCs w:val="24"/>
                <w:lang w:val="fr-FR"/>
              </w:rPr>
              <w:t>lide mobilisation en faveur de sa prise en compte systématique dans les cadres de polit</w:t>
            </w:r>
            <w:r w:rsidRPr="00846B6F">
              <w:rPr>
                <w:szCs w:val="24"/>
                <w:lang w:val="fr-FR"/>
              </w:rPr>
              <w:t>i</w:t>
            </w:r>
            <w:r w:rsidRPr="00846B6F">
              <w:rPr>
                <w:szCs w:val="24"/>
                <w:lang w:val="fr-FR"/>
              </w:rPr>
              <w:t>que générale et les mécanismes institutionnels afin de garantir la réalisation et le suivi de l</w:t>
            </w:r>
            <w:r w:rsidR="000A3D87">
              <w:rPr>
                <w:szCs w:val="24"/>
                <w:lang w:val="fr-FR"/>
              </w:rPr>
              <w:t>’</w:t>
            </w:r>
            <w:r w:rsidRPr="00846B6F">
              <w:rPr>
                <w:szCs w:val="24"/>
                <w:lang w:val="fr-FR"/>
              </w:rPr>
              <w:t>égalité des sexes.</w:t>
            </w:r>
          </w:p>
        </w:tc>
      </w:tr>
      <w:tr w:rsidR="00B0068A" w:rsidRPr="00846B6F">
        <w:tc>
          <w:tcPr>
            <w:tcW w:w="3646" w:type="dxa"/>
            <w:shd w:val="clear" w:color="auto" w:fill="auto"/>
          </w:tcPr>
          <w:p w:rsidR="00B0068A" w:rsidRPr="00846B6F" w:rsidRDefault="00B0068A" w:rsidP="00846B6F">
            <w:pPr>
              <w:tabs>
                <w:tab w:val="left" w:pos="288"/>
                <w:tab w:val="left" w:pos="576"/>
                <w:tab w:val="left" w:pos="864"/>
                <w:tab w:val="left" w:pos="1152"/>
              </w:tabs>
              <w:suppressAutoHyphens/>
              <w:spacing w:before="40" w:after="80"/>
              <w:ind w:right="115"/>
              <w:rPr>
                <w:szCs w:val="24"/>
                <w:lang w:val="fr-FR"/>
              </w:rPr>
            </w:pPr>
            <w:r w:rsidRPr="00846B6F">
              <w:rPr>
                <w:szCs w:val="24"/>
                <w:lang w:val="fr-FR"/>
              </w:rPr>
              <w:t>Existence d</w:t>
            </w:r>
            <w:r w:rsidR="000A3D87">
              <w:rPr>
                <w:szCs w:val="24"/>
                <w:lang w:val="fr-FR"/>
              </w:rPr>
              <w:t>’</w:t>
            </w:r>
            <w:r w:rsidRPr="00846B6F">
              <w:rPr>
                <w:szCs w:val="24"/>
                <w:lang w:val="fr-FR"/>
              </w:rPr>
              <w:t>un système juridique à trois v</w:t>
            </w:r>
            <w:r w:rsidRPr="00846B6F">
              <w:rPr>
                <w:szCs w:val="24"/>
                <w:lang w:val="fr-FR"/>
              </w:rPr>
              <w:t>o</w:t>
            </w:r>
            <w:r w:rsidRPr="00846B6F">
              <w:rPr>
                <w:szCs w:val="24"/>
                <w:lang w:val="fr-FR"/>
              </w:rPr>
              <w:t>lets découlant du non-respect des obligations découlant de la Convention.</w:t>
            </w:r>
          </w:p>
        </w:tc>
        <w:tc>
          <w:tcPr>
            <w:tcW w:w="3734" w:type="dxa"/>
            <w:shd w:val="clear" w:color="auto" w:fill="auto"/>
          </w:tcPr>
          <w:p w:rsidR="00B0068A" w:rsidRPr="00846B6F" w:rsidRDefault="00B0068A" w:rsidP="00846B6F">
            <w:pPr>
              <w:tabs>
                <w:tab w:val="left" w:pos="288"/>
                <w:tab w:val="left" w:pos="576"/>
                <w:tab w:val="left" w:pos="864"/>
                <w:tab w:val="left" w:pos="1152"/>
              </w:tabs>
              <w:suppressAutoHyphens/>
              <w:spacing w:before="40" w:after="80"/>
              <w:ind w:right="115"/>
              <w:rPr>
                <w:bCs/>
                <w:szCs w:val="24"/>
                <w:lang w:val="fr-FR"/>
              </w:rPr>
            </w:pPr>
            <w:r w:rsidRPr="00846B6F">
              <w:rPr>
                <w:bCs/>
                <w:szCs w:val="24"/>
                <w:lang w:val="fr-FR"/>
              </w:rPr>
              <w:t>Les conclusions de l</w:t>
            </w:r>
            <w:r w:rsidR="000A3D87">
              <w:rPr>
                <w:bCs/>
                <w:szCs w:val="24"/>
                <w:lang w:val="fr-FR"/>
              </w:rPr>
              <w:t>’</w:t>
            </w:r>
            <w:r w:rsidRPr="00846B6F">
              <w:rPr>
                <w:bCs/>
                <w:szCs w:val="24"/>
                <w:lang w:val="fr-FR"/>
              </w:rPr>
              <w:t>enquête sur les contradi</w:t>
            </w:r>
            <w:r w:rsidRPr="00846B6F">
              <w:rPr>
                <w:bCs/>
                <w:szCs w:val="24"/>
                <w:lang w:val="fr-FR"/>
              </w:rPr>
              <w:t>c</w:t>
            </w:r>
            <w:r w:rsidRPr="00846B6F">
              <w:rPr>
                <w:bCs/>
                <w:szCs w:val="24"/>
                <w:lang w:val="fr-FR"/>
              </w:rPr>
              <w:t>tions du système judiciaire ont été publiées et sont disponibles à des fins de référence et d</w:t>
            </w:r>
            <w:r w:rsidR="000A3D87">
              <w:rPr>
                <w:bCs/>
                <w:szCs w:val="24"/>
                <w:lang w:val="fr-FR"/>
              </w:rPr>
              <w:t>’</w:t>
            </w:r>
            <w:r w:rsidRPr="00846B6F">
              <w:rPr>
                <w:bCs/>
                <w:szCs w:val="24"/>
                <w:lang w:val="fr-FR"/>
              </w:rPr>
              <w:t xml:space="preserve">utilisation à grande échelle. </w:t>
            </w:r>
          </w:p>
        </w:tc>
      </w:tr>
      <w:tr w:rsidR="00B0068A" w:rsidRPr="00846B6F">
        <w:tc>
          <w:tcPr>
            <w:tcW w:w="3646" w:type="dxa"/>
            <w:shd w:val="clear" w:color="auto" w:fill="auto"/>
          </w:tcPr>
          <w:p w:rsidR="00B0068A" w:rsidRPr="00846B6F" w:rsidRDefault="00B0068A" w:rsidP="00846B6F">
            <w:pPr>
              <w:tabs>
                <w:tab w:val="left" w:pos="288"/>
                <w:tab w:val="left" w:pos="576"/>
                <w:tab w:val="left" w:pos="864"/>
                <w:tab w:val="left" w:pos="1152"/>
              </w:tabs>
              <w:suppressAutoHyphens/>
              <w:spacing w:before="40" w:after="80"/>
              <w:ind w:right="115"/>
              <w:rPr>
                <w:szCs w:val="24"/>
                <w:lang w:val="fr-FR"/>
              </w:rPr>
            </w:pPr>
            <w:r w:rsidRPr="00846B6F">
              <w:rPr>
                <w:szCs w:val="24"/>
                <w:lang w:val="fr-FR"/>
              </w:rPr>
              <w:t xml:space="preserve">Répétition (voir 19, 22, 21) </w:t>
            </w:r>
          </w:p>
        </w:tc>
        <w:tc>
          <w:tcPr>
            <w:tcW w:w="3734" w:type="dxa"/>
            <w:shd w:val="clear" w:color="auto" w:fill="auto"/>
          </w:tcPr>
          <w:p w:rsidR="00B0068A" w:rsidRPr="00846B6F" w:rsidRDefault="00B0068A" w:rsidP="00846B6F">
            <w:pPr>
              <w:tabs>
                <w:tab w:val="left" w:pos="288"/>
                <w:tab w:val="left" w:pos="576"/>
                <w:tab w:val="left" w:pos="864"/>
                <w:tab w:val="left" w:pos="1152"/>
              </w:tabs>
              <w:suppressAutoHyphens/>
              <w:spacing w:before="40" w:after="80"/>
              <w:ind w:right="115"/>
              <w:rPr>
                <w:b/>
                <w:szCs w:val="24"/>
                <w:lang w:val="fr-FR"/>
              </w:rPr>
            </w:pPr>
          </w:p>
        </w:tc>
      </w:tr>
      <w:tr w:rsidR="00B0068A" w:rsidRPr="00846B6F">
        <w:tc>
          <w:tcPr>
            <w:tcW w:w="3646" w:type="dxa"/>
            <w:shd w:val="clear" w:color="auto" w:fill="auto"/>
          </w:tcPr>
          <w:p w:rsidR="00B0068A" w:rsidRPr="00846B6F" w:rsidRDefault="00B0068A" w:rsidP="00846B6F">
            <w:pPr>
              <w:tabs>
                <w:tab w:val="left" w:pos="288"/>
                <w:tab w:val="left" w:pos="576"/>
                <w:tab w:val="left" w:pos="864"/>
                <w:tab w:val="left" w:pos="1152"/>
              </w:tabs>
              <w:suppressAutoHyphens/>
              <w:spacing w:before="40" w:after="80"/>
              <w:ind w:right="115"/>
              <w:rPr>
                <w:szCs w:val="24"/>
                <w:lang w:val="fr-FR"/>
              </w:rPr>
            </w:pPr>
            <w:r w:rsidRPr="00846B6F">
              <w:rPr>
                <w:szCs w:val="24"/>
                <w:lang w:val="fr-FR"/>
              </w:rPr>
              <w:t>Prévalence de la violence à l</w:t>
            </w:r>
            <w:r w:rsidR="000A3D87">
              <w:rPr>
                <w:szCs w:val="24"/>
                <w:lang w:val="fr-FR"/>
              </w:rPr>
              <w:t>’</w:t>
            </w:r>
            <w:r w:rsidRPr="00846B6F">
              <w:rPr>
                <w:szCs w:val="24"/>
                <w:lang w:val="fr-FR"/>
              </w:rPr>
              <w:t>égard des fe</w:t>
            </w:r>
            <w:r w:rsidRPr="00846B6F">
              <w:rPr>
                <w:szCs w:val="24"/>
                <w:lang w:val="fr-FR"/>
              </w:rPr>
              <w:t>m</w:t>
            </w:r>
            <w:r w:rsidRPr="00846B6F">
              <w:rPr>
                <w:szCs w:val="24"/>
                <w:lang w:val="fr-FR"/>
              </w:rPr>
              <w:t>mes et du harcèlement sexuel sur le lieu de travail</w:t>
            </w:r>
            <w:r w:rsidR="008724C4" w:rsidRPr="00846B6F">
              <w:rPr>
                <w:szCs w:val="24"/>
                <w:lang w:val="fr-FR"/>
              </w:rPr>
              <w:t>;</w:t>
            </w:r>
            <w:r w:rsidRPr="00846B6F">
              <w:rPr>
                <w:szCs w:val="24"/>
                <w:lang w:val="fr-FR"/>
              </w:rPr>
              <w:t xml:space="preserve"> le projet de loi de 2002 sur la vi</w:t>
            </w:r>
            <w:r w:rsidRPr="00846B6F">
              <w:rPr>
                <w:szCs w:val="24"/>
                <w:lang w:val="fr-FR"/>
              </w:rPr>
              <w:t>o</w:t>
            </w:r>
            <w:r w:rsidRPr="00846B6F">
              <w:rPr>
                <w:szCs w:val="24"/>
                <w:lang w:val="fr-FR"/>
              </w:rPr>
              <w:t>lence à l</w:t>
            </w:r>
            <w:r w:rsidR="000A3D87">
              <w:rPr>
                <w:szCs w:val="24"/>
                <w:lang w:val="fr-FR"/>
              </w:rPr>
              <w:t>’</w:t>
            </w:r>
            <w:r w:rsidRPr="00846B6F">
              <w:rPr>
                <w:szCs w:val="24"/>
                <w:lang w:val="fr-FR"/>
              </w:rPr>
              <w:t>égard des femmes n</w:t>
            </w:r>
            <w:r w:rsidR="000A3D87">
              <w:rPr>
                <w:szCs w:val="24"/>
                <w:lang w:val="fr-FR"/>
              </w:rPr>
              <w:t>’</w:t>
            </w:r>
            <w:r w:rsidRPr="00846B6F">
              <w:rPr>
                <w:szCs w:val="24"/>
                <w:lang w:val="fr-FR"/>
              </w:rPr>
              <w:t>a toujours pas été promulgué.</w:t>
            </w:r>
          </w:p>
        </w:tc>
        <w:tc>
          <w:tcPr>
            <w:tcW w:w="3734" w:type="dxa"/>
            <w:shd w:val="clear" w:color="auto" w:fill="auto"/>
          </w:tcPr>
          <w:p w:rsidR="00B0068A" w:rsidRPr="00846B6F" w:rsidRDefault="00B0068A" w:rsidP="00846B6F">
            <w:pPr>
              <w:tabs>
                <w:tab w:val="left" w:pos="288"/>
                <w:tab w:val="left" w:pos="576"/>
                <w:tab w:val="left" w:pos="864"/>
                <w:tab w:val="left" w:pos="1152"/>
              </w:tabs>
              <w:suppressAutoHyphens/>
              <w:spacing w:before="40" w:after="80"/>
              <w:ind w:right="115"/>
              <w:rPr>
                <w:bCs/>
                <w:szCs w:val="24"/>
                <w:lang w:val="fr-FR"/>
              </w:rPr>
            </w:pPr>
            <w:r w:rsidRPr="00846B6F">
              <w:rPr>
                <w:bCs/>
                <w:szCs w:val="24"/>
                <w:lang w:val="fr-FR"/>
              </w:rPr>
              <w:t>Le projet de loi a été adopté dans certains États de la Fédération et attend d</w:t>
            </w:r>
            <w:r w:rsidR="000A3D87">
              <w:rPr>
                <w:bCs/>
                <w:szCs w:val="24"/>
                <w:lang w:val="fr-FR"/>
              </w:rPr>
              <w:t>’</w:t>
            </w:r>
            <w:r w:rsidRPr="00846B6F">
              <w:rPr>
                <w:bCs/>
                <w:szCs w:val="24"/>
                <w:lang w:val="fr-FR"/>
              </w:rPr>
              <w:t xml:space="preserve">être passé au niveau fédéral </w:t>
            </w:r>
          </w:p>
        </w:tc>
      </w:tr>
      <w:tr w:rsidR="00B0068A" w:rsidRPr="00846B6F">
        <w:tc>
          <w:tcPr>
            <w:tcW w:w="3646" w:type="dxa"/>
            <w:shd w:val="clear" w:color="auto" w:fill="auto"/>
          </w:tcPr>
          <w:p w:rsidR="00B0068A" w:rsidRPr="00846B6F" w:rsidRDefault="00B0068A" w:rsidP="00846B6F">
            <w:pPr>
              <w:tabs>
                <w:tab w:val="left" w:pos="288"/>
                <w:tab w:val="left" w:pos="576"/>
                <w:tab w:val="left" w:pos="864"/>
                <w:tab w:val="left" w:pos="1152"/>
              </w:tabs>
              <w:suppressAutoHyphens/>
              <w:spacing w:before="40" w:after="80"/>
              <w:ind w:right="115"/>
              <w:rPr>
                <w:szCs w:val="24"/>
                <w:lang w:val="fr-FR"/>
              </w:rPr>
            </w:pPr>
            <w:r w:rsidRPr="00846B6F">
              <w:rPr>
                <w:szCs w:val="24"/>
                <w:lang w:val="fr-FR"/>
              </w:rPr>
              <w:t>Reconnaître la violence à l</w:t>
            </w:r>
            <w:r w:rsidR="000A3D87">
              <w:rPr>
                <w:szCs w:val="24"/>
                <w:lang w:val="fr-FR"/>
              </w:rPr>
              <w:t>’</w:t>
            </w:r>
            <w:r w:rsidRPr="00846B6F">
              <w:rPr>
                <w:szCs w:val="24"/>
                <w:lang w:val="fr-FR"/>
              </w:rPr>
              <w:t>égard des femmes comme étant une violation de leurs droits te</w:t>
            </w:r>
            <w:r w:rsidRPr="00846B6F">
              <w:rPr>
                <w:szCs w:val="24"/>
                <w:lang w:val="fr-FR"/>
              </w:rPr>
              <w:t>r</w:t>
            </w:r>
            <w:r w:rsidRPr="00846B6F">
              <w:rPr>
                <w:szCs w:val="24"/>
                <w:lang w:val="fr-FR"/>
              </w:rPr>
              <w:t>mes de la Convention et accélérer les mesures visant à y faire face</w:t>
            </w:r>
            <w:r w:rsidR="008724C4" w:rsidRPr="00846B6F">
              <w:rPr>
                <w:szCs w:val="24"/>
                <w:lang w:val="fr-FR"/>
              </w:rPr>
              <w:t>;</w:t>
            </w:r>
            <w:r w:rsidRPr="00846B6F">
              <w:rPr>
                <w:szCs w:val="24"/>
                <w:lang w:val="fr-FR"/>
              </w:rPr>
              <w:t xml:space="preserve"> accès à la protection, aux centres d</w:t>
            </w:r>
            <w:r w:rsidR="000A3D87">
              <w:rPr>
                <w:szCs w:val="24"/>
                <w:lang w:val="fr-FR"/>
              </w:rPr>
              <w:t>’</w:t>
            </w:r>
            <w:r w:rsidRPr="00846B6F">
              <w:rPr>
                <w:szCs w:val="24"/>
                <w:lang w:val="fr-FR"/>
              </w:rPr>
              <w:t>accueil et autres services et r</w:t>
            </w:r>
            <w:r w:rsidRPr="00846B6F">
              <w:rPr>
                <w:szCs w:val="24"/>
                <w:lang w:val="fr-FR"/>
              </w:rPr>
              <w:t>é</w:t>
            </w:r>
            <w:r w:rsidRPr="00846B6F">
              <w:rPr>
                <w:szCs w:val="24"/>
                <w:lang w:val="fr-FR"/>
              </w:rPr>
              <w:t>paration effective pour toutes les femmes vi</w:t>
            </w:r>
            <w:r w:rsidRPr="00846B6F">
              <w:rPr>
                <w:szCs w:val="24"/>
                <w:lang w:val="fr-FR"/>
              </w:rPr>
              <w:t>c</w:t>
            </w:r>
            <w:r w:rsidRPr="00846B6F">
              <w:rPr>
                <w:szCs w:val="24"/>
                <w:lang w:val="fr-FR"/>
              </w:rPr>
              <w:t>times de violence et de harcèlement sexuel</w:t>
            </w:r>
            <w:r w:rsidR="008724C4" w:rsidRPr="00846B6F">
              <w:rPr>
                <w:szCs w:val="24"/>
                <w:lang w:val="fr-FR"/>
              </w:rPr>
              <w:t>;</w:t>
            </w:r>
            <w:r w:rsidRPr="00846B6F">
              <w:rPr>
                <w:szCs w:val="24"/>
                <w:lang w:val="fr-FR"/>
              </w:rPr>
              <w:t xml:space="preserve"> formation visant à sensibiliser aux questions d</w:t>
            </w:r>
            <w:r w:rsidR="000A3D87">
              <w:rPr>
                <w:szCs w:val="24"/>
                <w:lang w:val="fr-FR"/>
              </w:rPr>
              <w:t>’</w:t>
            </w:r>
            <w:r w:rsidRPr="00846B6F">
              <w:rPr>
                <w:szCs w:val="24"/>
                <w:lang w:val="fr-FR"/>
              </w:rPr>
              <w:t>égalité des sexes pour les responsables p</w:t>
            </w:r>
            <w:r w:rsidRPr="00846B6F">
              <w:rPr>
                <w:szCs w:val="24"/>
                <w:lang w:val="fr-FR"/>
              </w:rPr>
              <w:t>u</w:t>
            </w:r>
            <w:r w:rsidRPr="00846B6F">
              <w:rPr>
                <w:szCs w:val="24"/>
                <w:lang w:val="fr-FR"/>
              </w:rPr>
              <w:t>blics</w:t>
            </w:r>
            <w:r w:rsidR="008724C4" w:rsidRPr="00846B6F">
              <w:rPr>
                <w:szCs w:val="24"/>
                <w:lang w:val="fr-FR"/>
              </w:rPr>
              <w:t>;</w:t>
            </w:r>
            <w:r w:rsidRPr="00846B6F">
              <w:rPr>
                <w:szCs w:val="24"/>
                <w:lang w:val="fr-FR"/>
              </w:rPr>
              <w:t xml:space="preserve"> sensibilisation accrue du public par l</w:t>
            </w:r>
            <w:r w:rsidR="000A3D87">
              <w:rPr>
                <w:szCs w:val="24"/>
                <w:lang w:val="fr-FR"/>
              </w:rPr>
              <w:t>’</w:t>
            </w:r>
            <w:r w:rsidRPr="00846B6F">
              <w:rPr>
                <w:szCs w:val="24"/>
                <w:lang w:val="fr-FR"/>
              </w:rPr>
              <w:t>intermédiaire des médias et d</w:t>
            </w:r>
            <w:r w:rsidR="000A3D87">
              <w:rPr>
                <w:szCs w:val="24"/>
                <w:lang w:val="fr-FR"/>
              </w:rPr>
              <w:t>’</w:t>
            </w:r>
            <w:r w:rsidRPr="00846B6F">
              <w:rPr>
                <w:szCs w:val="24"/>
                <w:lang w:val="fr-FR"/>
              </w:rPr>
              <w:t>autres pr</w:t>
            </w:r>
            <w:r w:rsidRPr="00846B6F">
              <w:rPr>
                <w:szCs w:val="24"/>
                <w:lang w:val="fr-FR"/>
              </w:rPr>
              <w:t>o</w:t>
            </w:r>
            <w:r w:rsidRPr="00846B6F">
              <w:rPr>
                <w:szCs w:val="24"/>
                <w:lang w:val="fr-FR"/>
              </w:rPr>
              <w:t>grammes d</w:t>
            </w:r>
            <w:r w:rsidR="000A3D87">
              <w:rPr>
                <w:szCs w:val="24"/>
                <w:lang w:val="fr-FR"/>
              </w:rPr>
              <w:t>’</w:t>
            </w:r>
            <w:r w:rsidRPr="00846B6F">
              <w:rPr>
                <w:szCs w:val="24"/>
                <w:lang w:val="fr-FR"/>
              </w:rPr>
              <w:t>éducation afin de rendre une telle violence inacceptable aux plans social et m</w:t>
            </w:r>
            <w:r w:rsidRPr="00846B6F">
              <w:rPr>
                <w:szCs w:val="24"/>
                <w:lang w:val="fr-FR"/>
              </w:rPr>
              <w:t>o</w:t>
            </w:r>
            <w:r w:rsidRPr="00846B6F">
              <w:rPr>
                <w:szCs w:val="24"/>
                <w:lang w:val="fr-FR"/>
              </w:rPr>
              <w:t>ral.</w:t>
            </w:r>
          </w:p>
        </w:tc>
        <w:tc>
          <w:tcPr>
            <w:tcW w:w="3734" w:type="dxa"/>
            <w:shd w:val="clear" w:color="auto" w:fill="auto"/>
          </w:tcPr>
          <w:p w:rsidR="00B0068A" w:rsidRPr="00846B6F" w:rsidRDefault="00B0068A" w:rsidP="00846B6F">
            <w:pPr>
              <w:tabs>
                <w:tab w:val="left" w:pos="288"/>
                <w:tab w:val="left" w:pos="576"/>
                <w:tab w:val="left" w:pos="864"/>
                <w:tab w:val="left" w:pos="1152"/>
              </w:tabs>
              <w:suppressAutoHyphens/>
              <w:spacing w:before="40" w:after="80"/>
              <w:ind w:right="115"/>
              <w:rPr>
                <w:bCs/>
                <w:szCs w:val="24"/>
                <w:lang w:val="fr-FR"/>
              </w:rPr>
            </w:pPr>
            <w:r w:rsidRPr="00846B6F">
              <w:rPr>
                <w:bCs/>
                <w:szCs w:val="24"/>
                <w:lang w:val="fr-FR"/>
              </w:rPr>
              <w:t>Plusieurs campagnes sur la violence à l</w:t>
            </w:r>
            <w:r w:rsidR="000A3D87">
              <w:rPr>
                <w:bCs/>
                <w:szCs w:val="24"/>
                <w:lang w:val="fr-FR"/>
              </w:rPr>
              <w:t>’</w:t>
            </w:r>
            <w:r w:rsidRPr="00846B6F">
              <w:rPr>
                <w:bCs/>
                <w:szCs w:val="24"/>
                <w:lang w:val="fr-FR"/>
              </w:rPr>
              <w:t>égard des femmes et des filles lancées aux niveaux de la Fédération et des États. Projet de loi à l</w:t>
            </w:r>
            <w:r w:rsidR="000A3D87">
              <w:rPr>
                <w:bCs/>
                <w:szCs w:val="24"/>
                <w:lang w:val="fr-FR"/>
              </w:rPr>
              <w:t>’</w:t>
            </w:r>
            <w:r w:rsidRPr="00846B6F">
              <w:rPr>
                <w:bCs/>
                <w:szCs w:val="24"/>
                <w:lang w:val="fr-FR"/>
              </w:rPr>
              <w:t>étude. Plusieurs catégories de juristes, agents des forces de l</w:t>
            </w:r>
            <w:r w:rsidR="000A3D87">
              <w:rPr>
                <w:bCs/>
                <w:szCs w:val="24"/>
                <w:lang w:val="fr-FR"/>
              </w:rPr>
              <w:t>’</w:t>
            </w:r>
            <w:r w:rsidRPr="00846B6F">
              <w:rPr>
                <w:bCs/>
                <w:szCs w:val="24"/>
                <w:lang w:val="fr-FR"/>
              </w:rPr>
              <w:t>ordre et des services judiciaires formés dans le domaine de la protection de la femme et des questions d</w:t>
            </w:r>
            <w:r w:rsidR="000A3D87">
              <w:rPr>
                <w:bCs/>
                <w:szCs w:val="24"/>
                <w:lang w:val="fr-FR"/>
              </w:rPr>
              <w:t>’</w:t>
            </w:r>
            <w:r w:rsidRPr="00846B6F">
              <w:rPr>
                <w:bCs/>
                <w:szCs w:val="24"/>
                <w:lang w:val="fr-FR"/>
              </w:rPr>
              <w:t>égalité des sexes.</w:t>
            </w:r>
          </w:p>
        </w:tc>
      </w:tr>
      <w:tr w:rsidR="00B0068A" w:rsidRPr="00846B6F">
        <w:tc>
          <w:tcPr>
            <w:tcW w:w="3646" w:type="dxa"/>
            <w:shd w:val="clear" w:color="auto" w:fill="auto"/>
          </w:tcPr>
          <w:p w:rsidR="00B0068A" w:rsidRPr="00846B6F" w:rsidRDefault="00B0068A" w:rsidP="00846B6F">
            <w:pPr>
              <w:tabs>
                <w:tab w:val="left" w:pos="288"/>
                <w:tab w:val="left" w:pos="576"/>
                <w:tab w:val="left" w:pos="864"/>
                <w:tab w:val="left" w:pos="1152"/>
              </w:tabs>
              <w:suppressAutoHyphens/>
              <w:spacing w:before="40" w:after="80"/>
              <w:ind w:right="115"/>
              <w:rPr>
                <w:szCs w:val="24"/>
                <w:lang w:val="fr-FR"/>
              </w:rPr>
            </w:pPr>
            <w:r w:rsidRPr="00846B6F">
              <w:rPr>
                <w:szCs w:val="24"/>
                <w:lang w:val="fr-FR"/>
              </w:rPr>
              <w:t>Des pratiques traditionnelles nuisibles (PTN) continuent d</w:t>
            </w:r>
            <w:r w:rsidR="000A3D87">
              <w:rPr>
                <w:szCs w:val="24"/>
                <w:lang w:val="fr-FR"/>
              </w:rPr>
              <w:t>’</w:t>
            </w:r>
            <w:r w:rsidRPr="00846B6F">
              <w:rPr>
                <w:szCs w:val="24"/>
                <w:lang w:val="fr-FR"/>
              </w:rPr>
              <w:t>être acceptées, telles que les pr</w:t>
            </w:r>
            <w:r w:rsidRPr="00846B6F">
              <w:rPr>
                <w:szCs w:val="24"/>
                <w:lang w:val="fr-FR"/>
              </w:rPr>
              <w:t>a</w:t>
            </w:r>
            <w:r w:rsidRPr="00846B6F">
              <w:rPr>
                <w:szCs w:val="24"/>
                <w:lang w:val="fr-FR"/>
              </w:rPr>
              <w:t>tiques de veuvage, les mutilations génitales féminines (MGF), les mariages des enfants et mariages forcés malgré les interdictions pr</w:t>
            </w:r>
            <w:r w:rsidRPr="00846B6F">
              <w:rPr>
                <w:szCs w:val="24"/>
                <w:lang w:val="fr-FR"/>
              </w:rPr>
              <w:t>é</w:t>
            </w:r>
            <w:r w:rsidRPr="00846B6F">
              <w:rPr>
                <w:szCs w:val="24"/>
                <w:lang w:val="fr-FR"/>
              </w:rPr>
              <w:t xml:space="preserve">vues par la loi. </w:t>
            </w:r>
          </w:p>
        </w:tc>
        <w:tc>
          <w:tcPr>
            <w:tcW w:w="3734" w:type="dxa"/>
            <w:shd w:val="clear" w:color="auto" w:fill="auto"/>
          </w:tcPr>
          <w:p w:rsidR="00B0068A" w:rsidRPr="00846B6F" w:rsidRDefault="00B0068A" w:rsidP="00846B6F">
            <w:pPr>
              <w:tabs>
                <w:tab w:val="left" w:pos="288"/>
                <w:tab w:val="left" w:pos="576"/>
                <w:tab w:val="left" w:pos="864"/>
                <w:tab w:val="left" w:pos="1152"/>
              </w:tabs>
              <w:suppressAutoHyphens/>
              <w:spacing w:before="40" w:after="80"/>
              <w:ind w:right="115"/>
              <w:rPr>
                <w:bCs/>
                <w:szCs w:val="24"/>
                <w:lang w:val="fr-FR"/>
              </w:rPr>
            </w:pPr>
            <w:r w:rsidRPr="00846B6F">
              <w:rPr>
                <w:bCs/>
                <w:szCs w:val="24"/>
                <w:lang w:val="fr-FR"/>
              </w:rPr>
              <w:t>Visites de sensibilisation au plan national par la ministre de la Condition de la femme, en vue d</w:t>
            </w:r>
            <w:r w:rsidR="000A3D87">
              <w:rPr>
                <w:bCs/>
                <w:szCs w:val="24"/>
                <w:lang w:val="fr-FR"/>
              </w:rPr>
              <w:t>’</w:t>
            </w:r>
            <w:r w:rsidRPr="00846B6F">
              <w:rPr>
                <w:bCs/>
                <w:szCs w:val="24"/>
                <w:lang w:val="fr-FR"/>
              </w:rPr>
              <w:t>inciter les gouverneurs, chefs traditio</w:t>
            </w:r>
            <w:r w:rsidRPr="00846B6F">
              <w:rPr>
                <w:bCs/>
                <w:szCs w:val="24"/>
                <w:lang w:val="fr-FR"/>
              </w:rPr>
              <w:t>n</w:t>
            </w:r>
            <w:r w:rsidRPr="00846B6F">
              <w:rPr>
                <w:bCs/>
                <w:szCs w:val="24"/>
                <w:lang w:val="fr-FR"/>
              </w:rPr>
              <w:t>nels, et autres responsables publics à appuyer l</w:t>
            </w:r>
            <w:r w:rsidR="000A3D87">
              <w:rPr>
                <w:bCs/>
                <w:szCs w:val="24"/>
                <w:lang w:val="fr-FR"/>
              </w:rPr>
              <w:t>’</w:t>
            </w:r>
            <w:r w:rsidRPr="00846B6F">
              <w:rPr>
                <w:bCs/>
                <w:szCs w:val="24"/>
                <w:lang w:val="fr-FR"/>
              </w:rPr>
              <w:t>application des lois sur les PTN et la maltra</w:t>
            </w:r>
            <w:r w:rsidRPr="00846B6F">
              <w:rPr>
                <w:bCs/>
                <w:szCs w:val="24"/>
                <w:lang w:val="fr-FR"/>
              </w:rPr>
              <w:t>i</w:t>
            </w:r>
            <w:r w:rsidRPr="00846B6F">
              <w:rPr>
                <w:bCs/>
                <w:szCs w:val="24"/>
                <w:lang w:val="fr-FR"/>
              </w:rPr>
              <w:t>tance des enfants.</w:t>
            </w:r>
          </w:p>
        </w:tc>
      </w:tr>
      <w:tr w:rsidR="00B0068A" w:rsidRPr="00846B6F">
        <w:tc>
          <w:tcPr>
            <w:tcW w:w="3646" w:type="dxa"/>
            <w:shd w:val="clear" w:color="auto" w:fill="auto"/>
          </w:tcPr>
          <w:p w:rsidR="00B0068A" w:rsidRPr="00846B6F" w:rsidRDefault="00B0068A" w:rsidP="00846B6F">
            <w:pPr>
              <w:tabs>
                <w:tab w:val="left" w:pos="288"/>
                <w:tab w:val="left" w:pos="576"/>
                <w:tab w:val="left" w:pos="864"/>
                <w:tab w:val="left" w:pos="1152"/>
              </w:tabs>
              <w:suppressAutoHyphens/>
              <w:spacing w:before="40" w:after="80"/>
              <w:ind w:right="115"/>
              <w:rPr>
                <w:szCs w:val="24"/>
                <w:lang w:val="fr-FR"/>
              </w:rPr>
            </w:pPr>
            <w:r w:rsidRPr="00846B6F">
              <w:rPr>
                <w:szCs w:val="24"/>
                <w:lang w:val="fr-FR"/>
              </w:rPr>
              <w:t>Assurer le plein respect de la Loi sur les droits de l</w:t>
            </w:r>
            <w:r w:rsidR="000A3D87">
              <w:rPr>
                <w:szCs w:val="24"/>
                <w:lang w:val="fr-FR"/>
              </w:rPr>
              <w:t>’</w:t>
            </w:r>
            <w:r w:rsidRPr="00846B6F">
              <w:rPr>
                <w:szCs w:val="24"/>
                <w:lang w:val="fr-FR"/>
              </w:rPr>
              <w:t>enfant de 2003, qui fixe l</w:t>
            </w:r>
            <w:r w:rsidR="000A3D87">
              <w:rPr>
                <w:szCs w:val="24"/>
                <w:lang w:val="fr-FR"/>
              </w:rPr>
              <w:t>’</w:t>
            </w:r>
            <w:r w:rsidRPr="00846B6F">
              <w:rPr>
                <w:szCs w:val="24"/>
                <w:lang w:val="fr-FR"/>
              </w:rPr>
              <w:t>âge statutaire minimum du mariage à 18 ans dans toutes les régions du pays. Mettre fin à toutes les formes d</w:t>
            </w:r>
            <w:r w:rsidR="000A3D87">
              <w:rPr>
                <w:szCs w:val="24"/>
                <w:lang w:val="fr-FR"/>
              </w:rPr>
              <w:t>’</w:t>
            </w:r>
            <w:r w:rsidRPr="00846B6F">
              <w:rPr>
                <w:szCs w:val="24"/>
                <w:lang w:val="fr-FR"/>
              </w:rPr>
              <w:t>apathie manifestées par les organismes de maintien de l</w:t>
            </w:r>
            <w:r w:rsidR="000A3D87">
              <w:rPr>
                <w:szCs w:val="24"/>
                <w:lang w:val="fr-FR"/>
              </w:rPr>
              <w:t>’</w:t>
            </w:r>
            <w:r w:rsidRPr="00846B6F">
              <w:rPr>
                <w:szCs w:val="24"/>
                <w:lang w:val="fr-FR"/>
              </w:rPr>
              <w:t>ordre à l</w:t>
            </w:r>
            <w:r w:rsidR="000A3D87">
              <w:rPr>
                <w:szCs w:val="24"/>
                <w:lang w:val="fr-FR"/>
              </w:rPr>
              <w:t>’</w:t>
            </w:r>
            <w:r w:rsidRPr="00846B6F">
              <w:rPr>
                <w:szCs w:val="24"/>
                <w:lang w:val="fr-FR"/>
              </w:rPr>
              <w:t>égard de l</w:t>
            </w:r>
            <w:r w:rsidR="000A3D87">
              <w:rPr>
                <w:szCs w:val="24"/>
                <w:lang w:val="fr-FR"/>
              </w:rPr>
              <w:t>’</w:t>
            </w:r>
            <w:r w:rsidRPr="00846B6F">
              <w:rPr>
                <w:szCs w:val="24"/>
                <w:lang w:val="fr-FR"/>
              </w:rPr>
              <w:t>application de la législation en vigueur concernant l</w:t>
            </w:r>
            <w:r w:rsidR="000A3D87">
              <w:rPr>
                <w:szCs w:val="24"/>
                <w:lang w:val="fr-FR"/>
              </w:rPr>
              <w:t>’</w:t>
            </w:r>
            <w:r w:rsidRPr="00846B6F">
              <w:rPr>
                <w:szCs w:val="24"/>
                <w:lang w:val="fr-FR"/>
              </w:rPr>
              <w:t>élimination des PTN. Redoubler d</w:t>
            </w:r>
            <w:r w:rsidR="000A3D87">
              <w:rPr>
                <w:szCs w:val="24"/>
                <w:lang w:val="fr-FR"/>
              </w:rPr>
              <w:t>’</w:t>
            </w:r>
            <w:r w:rsidRPr="00846B6F">
              <w:rPr>
                <w:szCs w:val="24"/>
                <w:lang w:val="fr-FR"/>
              </w:rPr>
              <w:t>effort en vue d</w:t>
            </w:r>
            <w:r w:rsidR="000A3D87">
              <w:rPr>
                <w:szCs w:val="24"/>
                <w:lang w:val="fr-FR"/>
              </w:rPr>
              <w:t>’</w:t>
            </w:r>
            <w:r w:rsidRPr="00846B6F">
              <w:rPr>
                <w:szCs w:val="24"/>
                <w:lang w:val="fr-FR"/>
              </w:rPr>
              <w:t>élaborer et de mettre en œuvre un plan d</w:t>
            </w:r>
            <w:r w:rsidR="000A3D87">
              <w:rPr>
                <w:szCs w:val="24"/>
                <w:lang w:val="fr-FR"/>
              </w:rPr>
              <w:t>’</w:t>
            </w:r>
            <w:r w:rsidRPr="00846B6F">
              <w:rPr>
                <w:szCs w:val="24"/>
                <w:lang w:val="fr-FR"/>
              </w:rPr>
              <w:t>action national assorti d</w:t>
            </w:r>
            <w:r w:rsidR="000A3D87">
              <w:rPr>
                <w:szCs w:val="24"/>
                <w:lang w:val="fr-FR"/>
              </w:rPr>
              <w:t>’</w:t>
            </w:r>
            <w:r w:rsidRPr="00846B6F">
              <w:rPr>
                <w:szCs w:val="24"/>
                <w:lang w:val="fr-FR"/>
              </w:rPr>
              <w:t>une campagne de sensibilisation du public afin d</w:t>
            </w:r>
            <w:r w:rsidR="000A3D87">
              <w:rPr>
                <w:szCs w:val="24"/>
                <w:lang w:val="fr-FR"/>
              </w:rPr>
              <w:t>’</w:t>
            </w:r>
            <w:r w:rsidRPr="00846B6F">
              <w:rPr>
                <w:szCs w:val="24"/>
                <w:lang w:val="fr-FR"/>
              </w:rPr>
              <w:t>éliminer de telles pratiques. Entreprendre ces actions de concert avec les OSC, les ONG de femmes, les dirigeants traditionnels et religieux et d</w:t>
            </w:r>
            <w:r w:rsidR="000A3D87">
              <w:rPr>
                <w:szCs w:val="24"/>
                <w:lang w:val="fr-FR"/>
              </w:rPr>
              <w:t>’</w:t>
            </w:r>
            <w:r w:rsidRPr="00846B6F">
              <w:rPr>
                <w:szCs w:val="24"/>
                <w:lang w:val="fr-FR"/>
              </w:rPr>
              <w:t>autres acteurs afin de créer un environn</w:t>
            </w:r>
            <w:r w:rsidRPr="00846B6F">
              <w:rPr>
                <w:szCs w:val="24"/>
                <w:lang w:val="fr-FR"/>
              </w:rPr>
              <w:t>e</w:t>
            </w:r>
            <w:r w:rsidRPr="00846B6F">
              <w:rPr>
                <w:szCs w:val="24"/>
                <w:lang w:val="fr-FR"/>
              </w:rPr>
              <w:t>ment propice permettant d</w:t>
            </w:r>
            <w:r w:rsidR="000A3D87">
              <w:rPr>
                <w:szCs w:val="24"/>
                <w:lang w:val="fr-FR"/>
              </w:rPr>
              <w:t>’</w:t>
            </w:r>
            <w:r w:rsidRPr="00846B6F">
              <w:rPr>
                <w:szCs w:val="24"/>
                <w:lang w:val="fr-FR"/>
              </w:rPr>
              <w:t>éliminer plus rap</w:t>
            </w:r>
            <w:r w:rsidRPr="00846B6F">
              <w:rPr>
                <w:szCs w:val="24"/>
                <w:lang w:val="fr-FR"/>
              </w:rPr>
              <w:t>i</w:t>
            </w:r>
            <w:r w:rsidRPr="00846B6F">
              <w:rPr>
                <w:szCs w:val="24"/>
                <w:lang w:val="fr-FR"/>
              </w:rPr>
              <w:t>dement de telles pratiques, conformément à la Convention.</w:t>
            </w:r>
          </w:p>
        </w:tc>
        <w:tc>
          <w:tcPr>
            <w:tcW w:w="3734" w:type="dxa"/>
            <w:shd w:val="clear" w:color="auto" w:fill="auto"/>
          </w:tcPr>
          <w:p w:rsidR="00B0068A" w:rsidRPr="00846B6F" w:rsidRDefault="00B0068A" w:rsidP="00846B6F">
            <w:pPr>
              <w:tabs>
                <w:tab w:val="left" w:pos="288"/>
                <w:tab w:val="left" w:pos="576"/>
                <w:tab w:val="left" w:pos="864"/>
                <w:tab w:val="left" w:pos="1152"/>
              </w:tabs>
              <w:suppressAutoHyphens/>
              <w:spacing w:before="40" w:after="80"/>
              <w:ind w:right="115"/>
              <w:rPr>
                <w:bCs/>
                <w:szCs w:val="24"/>
                <w:lang w:val="fr-FR"/>
              </w:rPr>
            </w:pPr>
            <w:r w:rsidRPr="00846B6F">
              <w:rPr>
                <w:bCs/>
                <w:szCs w:val="24"/>
                <w:lang w:val="fr-FR"/>
              </w:rPr>
              <w:t>Prise de conscience accrue. La police a mis en place un bureau des droits de l</w:t>
            </w:r>
            <w:r w:rsidR="000A3D87">
              <w:rPr>
                <w:bCs/>
                <w:szCs w:val="24"/>
                <w:lang w:val="fr-FR"/>
              </w:rPr>
              <w:t>’</w:t>
            </w:r>
            <w:r w:rsidRPr="00846B6F">
              <w:rPr>
                <w:bCs/>
                <w:szCs w:val="24"/>
                <w:lang w:val="fr-FR"/>
              </w:rPr>
              <w:t xml:space="preserve">homme dans tous les commissariats de la Fédération.  </w:t>
            </w:r>
          </w:p>
        </w:tc>
      </w:tr>
      <w:tr w:rsidR="00B0068A" w:rsidRPr="00846B6F">
        <w:tc>
          <w:tcPr>
            <w:tcW w:w="3646" w:type="dxa"/>
            <w:shd w:val="clear" w:color="auto" w:fill="auto"/>
          </w:tcPr>
          <w:p w:rsidR="00B0068A" w:rsidRPr="00846B6F" w:rsidRDefault="00B0068A" w:rsidP="00846B6F">
            <w:pPr>
              <w:tabs>
                <w:tab w:val="left" w:pos="288"/>
                <w:tab w:val="left" w:pos="576"/>
                <w:tab w:val="left" w:pos="864"/>
                <w:tab w:val="left" w:pos="1152"/>
              </w:tabs>
              <w:suppressAutoHyphens/>
              <w:spacing w:before="40" w:after="80"/>
              <w:ind w:right="115"/>
              <w:rPr>
                <w:szCs w:val="24"/>
                <w:lang w:val="fr-FR"/>
              </w:rPr>
            </w:pPr>
            <w:r w:rsidRPr="00846B6F">
              <w:rPr>
                <w:szCs w:val="24"/>
                <w:lang w:val="fr-FR"/>
              </w:rPr>
              <w:t>Prévalence de la traite des femmes et de l</w:t>
            </w:r>
            <w:r w:rsidR="000A3D87">
              <w:rPr>
                <w:szCs w:val="24"/>
                <w:lang w:val="fr-FR"/>
              </w:rPr>
              <w:t>’</w:t>
            </w:r>
            <w:r w:rsidRPr="00846B6F">
              <w:rPr>
                <w:szCs w:val="24"/>
                <w:lang w:val="fr-FR"/>
              </w:rPr>
              <w:t>exploitation de la prostitution des femmes. Propagation des IST et du VIH/</w:t>
            </w:r>
            <w:r w:rsidR="00940485">
              <w:rPr>
                <w:szCs w:val="24"/>
                <w:lang w:val="fr-FR"/>
              </w:rPr>
              <w:t>SIDA</w:t>
            </w:r>
            <w:r w:rsidRPr="00846B6F">
              <w:rPr>
                <w:szCs w:val="24"/>
                <w:lang w:val="fr-FR"/>
              </w:rPr>
              <w:t xml:space="preserve"> exace</w:t>
            </w:r>
            <w:r w:rsidRPr="00846B6F">
              <w:rPr>
                <w:szCs w:val="24"/>
                <w:lang w:val="fr-FR"/>
              </w:rPr>
              <w:t>r</w:t>
            </w:r>
            <w:r w:rsidRPr="00846B6F">
              <w:rPr>
                <w:szCs w:val="24"/>
                <w:lang w:val="fr-FR"/>
              </w:rPr>
              <w:t>bée par l</w:t>
            </w:r>
            <w:r w:rsidR="000A3D87">
              <w:rPr>
                <w:szCs w:val="24"/>
                <w:lang w:val="fr-FR"/>
              </w:rPr>
              <w:t>’</w:t>
            </w:r>
            <w:r w:rsidRPr="00846B6F">
              <w:rPr>
                <w:szCs w:val="24"/>
                <w:lang w:val="fr-FR"/>
              </w:rPr>
              <w:t>exploitation sexuelle.</w:t>
            </w:r>
          </w:p>
        </w:tc>
        <w:tc>
          <w:tcPr>
            <w:tcW w:w="3734" w:type="dxa"/>
            <w:shd w:val="clear" w:color="auto" w:fill="auto"/>
          </w:tcPr>
          <w:p w:rsidR="00B0068A" w:rsidRPr="00846B6F" w:rsidRDefault="00B0068A" w:rsidP="00846B6F">
            <w:pPr>
              <w:tabs>
                <w:tab w:val="left" w:pos="288"/>
                <w:tab w:val="left" w:pos="576"/>
                <w:tab w:val="left" w:pos="864"/>
                <w:tab w:val="left" w:pos="1152"/>
              </w:tabs>
              <w:suppressAutoHyphens/>
              <w:spacing w:before="40" w:after="80"/>
              <w:ind w:right="115"/>
              <w:rPr>
                <w:bCs/>
                <w:szCs w:val="24"/>
                <w:lang w:val="fr-FR"/>
              </w:rPr>
            </w:pPr>
            <w:r w:rsidRPr="00846B6F">
              <w:rPr>
                <w:bCs/>
                <w:szCs w:val="24"/>
                <w:lang w:val="fr-FR"/>
              </w:rPr>
              <w:t>Principaux organismes en place affichant des résultats satisfaisants dans la lutte contre la traite des personnes.</w:t>
            </w:r>
          </w:p>
        </w:tc>
      </w:tr>
      <w:tr w:rsidR="00B0068A" w:rsidRPr="00846B6F">
        <w:tc>
          <w:tcPr>
            <w:tcW w:w="3646" w:type="dxa"/>
            <w:shd w:val="clear" w:color="auto" w:fill="auto"/>
          </w:tcPr>
          <w:p w:rsidR="00B0068A" w:rsidRPr="00846B6F" w:rsidRDefault="00B0068A" w:rsidP="00846B6F">
            <w:pPr>
              <w:tabs>
                <w:tab w:val="left" w:pos="288"/>
                <w:tab w:val="left" w:pos="576"/>
                <w:tab w:val="left" w:pos="864"/>
                <w:tab w:val="left" w:pos="1152"/>
              </w:tabs>
              <w:suppressAutoHyphens/>
              <w:spacing w:before="40" w:after="80"/>
              <w:ind w:right="115"/>
              <w:rPr>
                <w:szCs w:val="24"/>
                <w:lang w:val="fr-FR"/>
              </w:rPr>
            </w:pPr>
            <w:r w:rsidRPr="00846B6F">
              <w:rPr>
                <w:szCs w:val="24"/>
                <w:lang w:val="fr-FR"/>
              </w:rPr>
              <w:t>Assurer l</w:t>
            </w:r>
            <w:r w:rsidR="000A3D87">
              <w:rPr>
                <w:szCs w:val="24"/>
                <w:lang w:val="fr-FR"/>
              </w:rPr>
              <w:t>’</w:t>
            </w:r>
            <w:r w:rsidRPr="00846B6F">
              <w:rPr>
                <w:szCs w:val="24"/>
                <w:lang w:val="fr-FR"/>
              </w:rPr>
              <w:t>application intégrale de la Loi de 2003 sur l</w:t>
            </w:r>
            <w:r w:rsidR="000A3D87">
              <w:rPr>
                <w:szCs w:val="24"/>
                <w:lang w:val="fr-FR"/>
              </w:rPr>
              <w:t>’</w:t>
            </w:r>
            <w:r w:rsidRPr="00846B6F">
              <w:rPr>
                <w:szCs w:val="24"/>
                <w:lang w:val="fr-FR"/>
              </w:rPr>
              <w:t>interdiction de la traite des perso</w:t>
            </w:r>
            <w:r w:rsidRPr="00846B6F">
              <w:rPr>
                <w:szCs w:val="24"/>
                <w:lang w:val="fr-FR"/>
              </w:rPr>
              <w:t>n</w:t>
            </w:r>
            <w:r w:rsidRPr="00846B6F">
              <w:rPr>
                <w:szCs w:val="24"/>
                <w:lang w:val="fr-FR"/>
              </w:rPr>
              <w:t>nes et élaborer une stratégie globale de lutte contre cette pratique, y compris la poursuite et la punition des coupables, les conseils aux victimes et leur réinsertion, le renforcement des capacités des acteurs de la lutte contre la traite. Intensifier la coopération internati</w:t>
            </w:r>
            <w:r w:rsidRPr="00846B6F">
              <w:rPr>
                <w:szCs w:val="24"/>
                <w:lang w:val="fr-FR"/>
              </w:rPr>
              <w:t>o</w:t>
            </w:r>
            <w:r w:rsidRPr="00846B6F">
              <w:rPr>
                <w:szCs w:val="24"/>
                <w:lang w:val="fr-FR"/>
              </w:rPr>
              <w:t>nale, régionale et bilatérale avec d</w:t>
            </w:r>
            <w:r w:rsidR="000A3D87">
              <w:rPr>
                <w:szCs w:val="24"/>
                <w:lang w:val="fr-FR"/>
              </w:rPr>
              <w:t>’</w:t>
            </w:r>
            <w:r w:rsidRPr="00846B6F">
              <w:rPr>
                <w:szCs w:val="24"/>
                <w:lang w:val="fr-FR"/>
              </w:rPr>
              <w:t xml:space="preserve">autres pays de provenance, de transit et de destination des personnes victimes de la traite. </w:t>
            </w:r>
            <w:r w:rsidRPr="00846B6F">
              <w:rPr>
                <w:szCs w:val="24"/>
                <w:u w:val="single"/>
                <w:lang w:val="fr-FR"/>
              </w:rPr>
              <w:t>Introduire des mesures pour améliorer la situation économ</w:t>
            </w:r>
            <w:r w:rsidRPr="00846B6F">
              <w:rPr>
                <w:szCs w:val="24"/>
                <w:u w:val="single"/>
                <w:lang w:val="fr-FR"/>
              </w:rPr>
              <w:t>i</w:t>
            </w:r>
            <w:r w:rsidRPr="00846B6F">
              <w:rPr>
                <w:szCs w:val="24"/>
                <w:u w:val="single"/>
                <w:lang w:val="fr-FR"/>
              </w:rPr>
              <w:t>que des femmes en vue de mettre fin à leur vulnérabilité aux auteurs de la traite.</w:t>
            </w:r>
          </w:p>
        </w:tc>
        <w:tc>
          <w:tcPr>
            <w:tcW w:w="3734" w:type="dxa"/>
            <w:shd w:val="clear" w:color="auto" w:fill="auto"/>
          </w:tcPr>
          <w:p w:rsidR="00B0068A" w:rsidRPr="00846B6F" w:rsidRDefault="00B0068A" w:rsidP="00846B6F">
            <w:pPr>
              <w:tabs>
                <w:tab w:val="left" w:pos="288"/>
                <w:tab w:val="left" w:pos="576"/>
                <w:tab w:val="left" w:pos="864"/>
                <w:tab w:val="left" w:pos="1152"/>
              </w:tabs>
              <w:suppressAutoHyphens/>
              <w:spacing w:before="40" w:after="80"/>
              <w:ind w:right="115"/>
              <w:rPr>
                <w:szCs w:val="24"/>
                <w:lang w:val="fr-FR"/>
              </w:rPr>
            </w:pPr>
            <w:r w:rsidRPr="00846B6F">
              <w:rPr>
                <w:szCs w:val="24"/>
                <w:lang w:val="fr-FR"/>
              </w:rPr>
              <w:t>Introduction de la stratégie NEEDS (reprise à d</w:t>
            </w:r>
            <w:r w:rsidR="000A3D87">
              <w:rPr>
                <w:szCs w:val="24"/>
                <w:lang w:val="fr-FR"/>
              </w:rPr>
              <w:t>’</w:t>
            </w:r>
            <w:r w:rsidRPr="00846B6F">
              <w:rPr>
                <w:szCs w:val="24"/>
                <w:lang w:val="fr-FR"/>
              </w:rPr>
              <w:t>autres niveaux en tant que SEEDS, LEEDS et FEEDS) dont l</w:t>
            </w:r>
            <w:r w:rsidR="000A3D87">
              <w:rPr>
                <w:szCs w:val="24"/>
                <w:lang w:val="fr-FR"/>
              </w:rPr>
              <w:t>’</w:t>
            </w:r>
            <w:r w:rsidRPr="00846B6F">
              <w:rPr>
                <w:szCs w:val="24"/>
                <w:lang w:val="fr-FR"/>
              </w:rPr>
              <w:t>orientation générale consiste à améliorer sensiblement la qualité de vie des Nigérians ainsi qu</w:t>
            </w:r>
            <w:r w:rsidR="000A3D87">
              <w:rPr>
                <w:szCs w:val="24"/>
                <w:lang w:val="fr-FR"/>
              </w:rPr>
              <w:t>’</w:t>
            </w:r>
            <w:r w:rsidRPr="00846B6F">
              <w:rPr>
                <w:szCs w:val="24"/>
                <w:lang w:val="fr-FR"/>
              </w:rPr>
              <w:t>à créer des filets de sécurité sociale pour les groupes vulnérables, les fe</w:t>
            </w:r>
            <w:r w:rsidRPr="00846B6F">
              <w:rPr>
                <w:szCs w:val="24"/>
                <w:lang w:val="fr-FR"/>
              </w:rPr>
              <w:t>m</w:t>
            </w:r>
            <w:r w:rsidRPr="00846B6F">
              <w:rPr>
                <w:szCs w:val="24"/>
                <w:lang w:val="fr-FR"/>
              </w:rPr>
              <w:t xml:space="preserve">mes et les jeunes en particulier. </w:t>
            </w:r>
          </w:p>
        </w:tc>
      </w:tr>
      <w:tr w:rsidR="00B0068A" w:rsidRPr="00846B6F">
        <w:tc>
          <w:tcPr>
            <w:tcW w:w="3646" w:type="dxa"/>
            <w:shd w:val="clear" w:color="auto" w:fill="auto"/>
          </w:tcPr>
          <w:p w:rsidR="00B0068A" w:rsidRPr="00846B6F" w:rsidRDefault="00B0068A" w:rsidP="00846B6F">
            <w:pPr>
              <w:tabs>
                <w:tab w:val="left" w:pos="288"/>
                <w:tab w:val="left" w:pos="576"/>
                <w:tab w:val="left" w:pos="864"/>
                <w:tab w:val="left" w:pos="1152"/>
              </w:tabs>
              <w:suppressAutoHyphens/>
              <w:spacing w:before="40" w:after="80"/>
              <w:ind w:right="115"/>
              <w:rPr>
                <w:szCs w:val="24"/>
                <w:lang w:val="fr-FR"/>
              </w:rPr>
            </w:pPr>
            <w:r w:rsidRPr="00846B6F">
              <w:rPr>
                <w:szCs w:val="24"/>
                <w:lang w:val="fr-FR"/>
              </w:rPr>
              <w:t>Persistance des taux élevés d</w:t>
            </w:r>
            <w:r w:rsidR="000A3D87">
              <w:rPr>
                <w:szCs w:val="24"/>
                <w:lang w:val="fr-FR"/>
              </w:rPr>
              <w:t>’</w:t>
            </w:r>
            <w:r w:rsidRPr="00846B6F">
              <w:rPr>
                <w:szCs w:val="24"/>
                <w:lang w:val="fr-FR"/>
              </w:rPr>
              <w:t>analphabétisme chez les femmes et les filles, notamment dans les zones rurales et baisse de la qualité de l</w:t>
            </w:r>
            <w:r w:rsidR="000A3D87">
              <w:rPr>
                <w:szCs w:val="24"/>
                <w:lang w:val="fr-FR"/>
              </w:rPr>
              <w:t>’</w:t>
            </w:r>
            <w:r w:rsidRPr="00846B6F">
              <w:rPr>
                <w:szCs w:val="24"/>
                <w:lang w:val="fr-FR"/>
              </w:rPr>
              <w:t>éducation.</w:t>
            </w:r>
          </w:p>
        </w:tc>
        <w:tc>
          <w:tcPr>
            <w:tcW w:w="3734" w:type="dxa"/>
            <w:shd w:val="clear" w:color="auto" w:fill="auto"/>
          </w:tcPr>
          <w:p w:rsidR="00B0068A" w:rsidRPr="00846B6F" w:rsidRDefault="00B0068A" w:rsidP="00846B6F">
            <w:pPr>
              <w:tabs>
                <w:tab w:val="left" w:pos="288"/>
                <w:tab w:val="left" w:pos="576"/>
                <w:tab w:val="left" w:pos="864"/>
                <w:tab w:val="left" w:pos="1152"/>
              </w:tabs>
              <w:suppressAutoHyphens/>
              <w:spacing w:before="40" w:after="80"/>
              <w:ind w:right="115"/>
              <w:rPr>
                <w:bCs/>
                <w:szCs w:val="24"/>
                <w:lang w:val="fr-FR"/>
              </w:rPr>
            </w:pPr>
            <w:r w:rsidRPr="00846B6F">
              <w:rPr>
                <w:bCs/>
                <w:szCs w:val="24"/>
                <w:lang w:val="fr-FR"/>
              </w:rPr>
              <w:t>Nouvelles initiatives, telles que le programme d</w:t>
            </w:r>
            <w:r w:rsidR="000A3D87">
              <w:rPr>
                <w:bCs/>
                <w:szCs w:val="24"/>
                <w:lang w:val="fr-FR"/>
              </w:rPr>
              <w:t>’</w:t>
            </w:r>
            <w:r w:rsidRPr="00846B6F">
              <w:rPr>
                <w:bCs/>
                <w:szCs w:val="24"/>
                <w:lang w:val="fr-FR"/>
              </w:rPr>
              <w:t>alimentation dans les écoles et l</w:t>
            </w:r>
            <w:r w:rsidR="000A3D87">
              <w:rPr>
                <w:bCs/>
                <w:szCs w:val="24"/>
                <w:lang w:val="fr-FR"/>
              </w:rPr>
              <w:t>’</w:t>
            </w:r>
            <w:r w:rsidRPr="00846B6F">
              <w:rPr>
                <w:bCs/>
                <w:szCs w:val="24"/>
                <w:lang w:val="fr-FR"/>
              </w:rPr>
              <w:t>amélioration de l</w:t>
            </w:r>
            <w:r w:rsidR="000A3D87">
              <w:rPr>
                <w:bCs/>
                <w:szCs w:val="24"/>
                <w:lang w:val="fr-FR"/>
              </w:rPr>
              <w:t>’</w:t>
            </w:r>
            <w:r w:rsidRPr="00846B6F">
              <w:rPr>
                <w:bCs/>
                <w:szCs w:val="24"/>
                <w:lang w:val="fr-FR"/>
              </w:rPr>
              <w:t>hygiène, prises pour a</w:t>
            </w:r>
            <w:r w:rsidRPr="00846B6F">
              <w:rPr>
                <w:bCs/>
                <w:szCs w:val="24"/>
                <w:lang w:val="fr-FR"/>
              </w:rPr>
              <w:t>c</w:t>
            </w:r>
            <w:r w:rsidRPr="00846B6F">
              <w:rPr>
                <w:bCs/>
                <w:szCs w:val="24"/>
                <w:lang w:val="fr-FR"/>
              </w:rPr>
              <w:t>croître les inscriptions. Nombre d</w:t>
            </w:r>
            <w:r w:rsidR="000A3D87">
              <w:rPr>
                <w:bCs/>
                <w:szCs w:val="24"/>
                <w:lang w:val="fr-FR"/>
              </w:rPr>
              <w:t>’</w:t>
            </w:r>
            <w:r w:rsidRPr="00846B6F">
              <w:rPr>
                <w:bCs/>
                <w:szCs w:val="24"/>
                <w:lang w:val="fr-FR"/>
              </w:rPr>
              <w:t>années d</w:t>
            </w:r>
            <w:r w:rsidR="000A3D87">
              <w:rPr>
                <w:bCs/>
                <w:szCs w:val="24"/>
                <w:lang w:val="fr-FR"/>
              </w:rPr>
              <w:t>’</w:t>
            </w:r>
            <w:r w:rsidRPr="00846B6F">
              <w:rPr>
                <w:bCs/>
                <w:szCs w:val="24"/>
                <w:lang w:val="fr-FR"/>
              </w:rPr>
              <w:t>éducation de base porté à neuf.</w:t>
            </w:r>
          </w:p>
        </w:tc>
      </w:tr>
      <w:tr w:rsidR="00B0068A" w:rsidRPr="00846B6F">
        <w:tc>
          <w:tcPr>
            <w:tcW w:w="3646" w:type="dxa"/>
            <w:shd w:val="clear" w:color="auto" w:fill="auto"/>
          </w:tcPr>
          <w:p w:rsidR="00B0068A" w:rsidRPr="00846B6F" w:rsidRDefault="00B0068A" w:rsidP="00846B6F">
            <w:pPr>
              <w:tabs>
                <w:tab w:val="left" w:pos="288"/>
                <w:tab w:val="left" w:pos="576"/>
                <w:tab w:val="left" w:pos="864"/>
                <w:tab w:val="left" w:pos="1152"/>
              </w:tabs>
              <w:suppressAutoHyphens/>
              <w:spacing w:before="40" w:after="80"/>
              <w:ind w:right="115"/>
              <w:rPr>
                <w:szCs w:val="24"/>
                <w:lang w:val="fr-FR"/>
              </w:rPr>
            </w:pPr>
            <w:r w:rsidRPr="00846B6F">
              <w:rPr>
                <w:szCs w:val="24"/>
                <w:lang w:val="fr-FR"/>
              </w:rPr>
              <w:t>Assurer la mise en œuvre intégrale de la pol</w:t>
            </w:r>
            <w:r w:rsidRPr="00846B6F">
              <w:rPr>
                <w:szCs w:val="24"/>
                <w:lang w:val="fr-FR"/>
              </w:rPr>
              <w:t>i</w:t>
            </w:r>
            <w:r w:rsidRPr="00846B6F">
              <w:rPr>
                <w:szCs w:val="24"/>
                <w:lang w:val="fr-FR"/>
              </w:rPr>
              <w:t>tique de l</w:t>
            </w:r>
            <w:r w:rsidR="000A3D87">
              <w:rPr>
                <w:szCs w:val="24"/>
                <w:lang w:val="fr-FR"/>
              </w:rPr>
              <w:t>’</w:t>
            </w:r>
            <w:r w:rsidRPr="00846B6F">
              <w:rPr>
                <w:szCs w:val="24"/>
                <w:lang w:val="fr-FR"/>
              </w:rPr>
              <w:t>Éducation de base pour tous ado</w:t>
            </w:r>
            <w:r w:rsidRPr="00846B6F">
              <w:rPr>
                <w:szCs w:val="24"/>
                <w:lang w:val="fr-FR"/>
              </w:rPr>
              <w:t>p</w:t>
            </w:r>
            <w:r w:rsidRPr="00846B6F">
              <w:rPr>
                <w:szCs w:val="24"/>
                <w:lang w:val="fr-FR"/>
              </w:rPr>
              <w:t>tée en 1999, et la réalisation des objectifs d</w:t>
            </w:r>
            <w:r w:rsidR="000A3D87">
              <w:rPr>
                <w:szCs w:val="24"/>
                <w:lang w:val="fr-FR"/>
              </w:rPr>
              <w:t>’</w:t>
            </w:r>
            <w:r w:rsidRPr="00846B6F">
              <w:rPr>
                <w:szCs w:val="24"/>
                <w:lang w:val="fr-FR"/>
              </w:rPr>
              <w:t>éducation figurant dans la Politique nati</w:t>
            </w:r>
            <w:r w:rsidRPr="00846B6F">
              <w:rPr>
                <w:szCs w:val="24"/>
                <w:lang w:val="fr-FR"/>
              </w:rPr>
              <w:t>o</w:t>
            </w:r>
            <w:r w:rsidRPr="00846B6F">
              <w:rPr>
                <w:szCs w:val="24"/>
                <w:lang w:val="fr-FR"/>
              </w:rPr>
              <w:t>nale relative aux femmes, y compris l</w:t>
            </w:r>
            <w:r w:rsidR="000A3D87">
              <w:rPr>
                <w:szCs w:val="24"/>
                <w:lang w:val="fr-FR"/>
              </w:rPr>
              <w:t>’</w:t>
            </w:r>
            <w:r w:rsidRPr="00846B6F">
              <w:rPr>
                <w:szCs w:val="24"/>
                <w:lang w:val="fr-FR"/>
              </w:rPr>
              <w:t>appui de la communauté internationale. Établir un ordre de priorité dans le domaine de l</w:t>
            </w:r>
            <w:r w:rsidR="000A3D87">
              <w:rPr>
                <w:szCs w:val="24"/>
                <w:lang w:val="fr-FR"/>
              </w:rPr>
              <w:t>’</w:t>
            </w:r>
            <w:r w:rsidRPr="00846B6F">
              <w:rPr>
                <w:szCs w:val="24"/>
                <w:lang w:val="fr-FR"/>
              </w:rPr>
              <w:t>éducation des filles et des femmes, y co</w:t>
            </w:r>
            <w:r w:rsidRPr="00846B6F">
              <w:rPr>
                <w:szCs w:val="24"/>
                <w:lang w:val="fr-FR"/>
              </w:rPr>
              <w:t>m</w:t>
            </w:r>
            <w:r w:rsidRPr="00846B6F">
              <w:rPr>
                <w:szCs w:val="24"/>
                <w:lang w:val="fr-FR"/>
              </w:rPr>
              <w:t>pris la sensibilisation à l</w:t>
            </w:r>
            <w:r w:rsidR="000A3D87">
              <w:rPr>
                <w:szCs w:val="24"/>
                <w:lang w:val="fr-FR"/>
              </w:rPr>
              <w:t>’</w:t>
            </w:r>
            <w:r w:rsidRPr="00846B6F">
              <w:rPr>
                <w:szCs w:val="24"/>
                <w:lang w:val="fr-FR"/>
              </w:rPr>
              <w:t>importance de l</w:t>
            </w:r>
            <w:r w:rsidR="000A3D87">
              <w:rPr>
                <w:szCs w:val="24"/>
                <w:lang w:val="fr-FR"/>
              </w:rPr>
              <w:t>’</w:t>
            </w:r>
            <w:r w:rsidRPr="00846B6F">
              <w:rPr>
                <w:szCs w:val="24"/>
                <w:lang w:val="fr-FR"/>
              </w:rPr>
              <w:t>éducation en tant que droit humain fond</w:t>
            </w:r>
            <w:r w:rsidRPr="00846B6F">
              <w:rPr>
                <w:szCs w:val="24"/>
                <w:lang w:val="fr-FR"/>
              </w:rPr>
              <w:t>a</w:t>
            </w:r>
            <w:r w:rsidRPr="00846B6F">
              <w:rPr>
                <w:szCs w:val="24"/>
                <w:lang w:val="fr-FR"/>
              </w:rPr>
              <w:t>mental et base de la démarginalisation des femmes. Prendre des mesures ciblées assorties d</w:t>
            </w:r>
            <w:r w:rsidR="000A3D87">
              <w:rPr>
                <w:szCs w:val="24"/>
                <w:lang w:val="fr-FR"/>
              </w:rPr>
              <w:t>’</w:t>
            </w:r>
            <w:r w:rsidRPr="00846B6F">
              <w:rPr>
                <w:szCs w:val="24"/>
                <w:lang w:val="fr-FR"/>
              </w:rPr>
              <w:t>un échéancier concret, conformément à la Recommandation générale 25 sur les mesures temporaires spéciales, afin de relever le n</w:t>
            </w:r>
            <w:r w:rsidRPr="00846B6F">
              <w:rPr>
                <w:szCs w:val="24"/>
                <w:lang w:val="fr-FR"/>
              </w:rPr>
              <w:t>i</w:t>
            </w:r>
            <w:r w:rsidRPr="00846B6F">
              <w:rPr>
                <w:szCs w:val="24"/>
                <w:lang w:val="fr-FR"/>
              </w:rPr>
              <w:t>veau d</w:t>
            </w:r>
            <w:r w:rsidR="000A3D87">
              <w:rPr>
                <w:szCs w:val="24"/>
                <w:lang w:val="fr-FR"/>
              </w:rPr>
              <w:t>’</w:t>
            </w:r>
            <w:r w:rsidRPr="00846B6F">
              <w:rPr>
                <w:szCs w:val="24"/>
                <w:lang w:val="fr-FR"/>
              </w:rPr>
              <w:t>instruction des filles et des femmes, en particulier dans les zones rurales, pour assurer l</w:t>
            </w:r>
            <w:r w:rsidR="000A3D87">
              <w:rPr>
                <w:szCs w:val="24"/>
                <w:lang w:val="fr-FR"/>
              </w:rPr>
              <w:t>’</w:t>
            </w:r>
            <w:r w:rsidRPr="00846B6F">
              <w:rPr>
                <w:szCs w:val="24"/>
                <w:lang w:val="fr-FR"/>
              </w:rPr>
              <w:t>égalité d</w:t>
            </w:r>
            <w:r w:rsidR="000A3D87">
              <w:rPr>
                <w:szCs w:val="24"/>
                <w:lang w:val="fr-FR"/>
              </w:rPr>
              <w:t>’</w:t>
            </w:r>
            <w:r w:rsidRPr="00846B6F">
              <w:rPr>
                <w:szCs w:val="24"/>
                <w:lang w:val="fr-FR"/>
              </w:rPr>
              <w:t>accès des filles et des jeunes gens à tous les niveaux de l</w:t>
            </w:r>
            <w:r w:rsidR="000A3D87">
              <w:rPr>
                <w:szCs w:val="24"/>
                <w:lang w:val="fr-FR"/>
              </w:rPr>
              <w:t>’</w:t>
            </w:r>
            <w:r w:rsidRPr="00846B6F">
              <w:rPr>
                <w:szCs w:val="24"/>
                <w:lang w:val="fr-FR"/>
              </w:rPr>
              <w:t>enseignement, prévenir les abandons scolaires parmi les filles, en ra</w:t>
            </w:r>
            <w:r w:rsidRPr="00846B6F">
              <w:rPr>
                <w:szCs w:val="24"/>
                <w:lang w:val="fr-FR"/>
              </w:rPr>
              <w:t>i</w:t>
            </w:r>
            <w:r w:rsidRPr="00846B6F">
              <w:rPr>
                <w:szCs w:val="24"/>
                <w:lang w:val="fr-FR"/>
              </w:rPr>
              <w:t>son particulièrement des grossesses précoces et pour surmonter les attitudes traditionnelles qui constituent des obstacles à l</w:t>
            </w:r>
            <w:r w:rsidR="000A3D87">
              <w:rPr>
                <w:szCs w:val="24"/>
                <w:lang w:val="fr-FR"/>
              </w:rPr>
              <w:t>’</w:t>
            </w:r>
            <w:r w:rsidRPr="00846B6F">
              <w:rPr>
                <w:szCs w:val="24"/>
                <w:lang w:val="fr-FR"/>
              </w:rPr>
              <w:t>éducation des filles. Assurer la disponibilité des écoles pour tous, notamment les filles, afin d</w:t>
            </w:r>
            <w:r w:rsidR="000A3D87">
              <w:rPr>
                <w:szCs w:val="24"/>
                <w:lang w:val="fr-FR"/>
              </w:rPr>
              <w:t>’</w:t>
            </w:r>
            <w:r w:rsidRPr="00846B6F">
              <w:rPr>
                <w:szCs w:val="24"/>
                <w:lang w:val="fr-FR"/>
              </w:rPr>
              <w:t>inciter d</w:t>
            </w:r>
            <w:r w:rsidRPr="00846B6F">
              <w:rPr>
                <w:szCs w:val="24"/>
                <w:lang w:val="fr-FR"/>
              </w:rPr>
              <w:t>a</w:t>
            </w:r>
            <w:r w:rsidRPr="00846B6F">
              <w:rPr>
                <w:szCs w:val="24"/>
                <w:lang w:val="fr-FR"/>
              </w:rPr>
              <w:t>vantage les parents à envoyer leurs filles à l</w:t>
            </w:r>
            <w:r w:rsidR="000A3D87">
              <w:rPr>
                <w:szCs w:val="24"/>
                <w:lang w:val="fr-FR"/>
              </w:rPr>
              <w:t>’</w:t>
            </w:r>
            <w:r w:rsidRPr="00846B6F">
              <w:rPr>
                <w:szCs w:val="24"/>
                <w:lang w:val="fr-FR"/>
              </w:rPr>
              <w:t>école et accroître le recrutement d</w:t>
            </w:r>
            <w:r w:rsidR="000A3D87">
              <w:rPr>
                <w:szCs w:val="24"/>
                <w:lang w:val="fr-FR"/>
              </w:rPr>
              <w:t>’</w:t>
            </w:r>
            <w:r w:rsidRPr="00846B6F">
              <w:rPr>
                <w:szCs w:val="24"/>
                <w:lang w:val="fr-FR"/>
              </w:rPr>
              <w:t>enseignantes qualifiées à tous les niveaux de l</w:t>
            </w:r>
            <w:r w:rsidR="000A3D87">
              <w:rPr>
                <w:szCs w:val="24"/>
                <w:lang w:val="fr-FR"/>
              </w:rPr>
              <w:t>’</w:t>
            </w:r>
            <w:r w:rsidRPr="00846B6F">
              <w:rPr>
                <w:szCs w:val="24"/>
                <w:lang w:val="fr-FR"/>
              </w:rPr>
              <w:t>enseignement.</w:t>
            </w:r>
          </w:p>
        </w:tc>
        <w:tc>
          <w:tcPr>
            <w:tcW w:w="3734" w:type="dxa"/>
            <w:shd w:val="clear" w:color="auto" w:fill="auto"/>
          </w:tcPr>
          <w:p w:rsidR="00B0068A" w:rsidRPr="00846B6F" w:rsidRDefault="00B0068A" w:rsidP="00846B6F">
            <w:pPr>
              <w:tabs>
                <w:tab w:val="left" w:pos="288"/>
                <w:tab w:val="left" w:pos="576"/>
                <w:tab w:val="left" w:pos="864"/>
                <w:tab w:val="left" w:pos="1152"/>
              </w:tabs>
              <w:suppressAutoHyphens/>
              <w:spacing w:before="40" w:after="80"/>
              <w:ind w:right="115"/>
              <w:rPr>
                <w:bCs/>
                <w:szCs w:val="24"/>
                <w:lang w:val="fr-FR"/>
              </w:rPr>
            </w:pPr>
            <w:r w:rsidRPr="00846B6F">
              <w:rPr>
                <w:bCs/>
                <w:szCs w:val="24"/>
                <w:lang w:val="fr-FR"/>
              </w:rPr>
              <w:t>Mécanismes de mise en œuvre revigorés et étendus à tous les États de la Fédération.</w:t>
            </w:r>
          </w:p>
          <w:p w:rsidR="00B0068A" w:rsidRPr="00846B6F" w:rsidRDefault="00B0068A" w:rsidP="00846B6F">
            <w:pPr>
              <w:tabs>
                <w:tab w:val="left" w:pos="288"/>
                <w:tab w:val="left" w:pos="576"/>
                <w:tab w:val="left" w:pos="864"/>
                <w:tab w:val="left" w:pos="1152"/>
              </w:tabs>
              <w:suppressAutoHyphens/>
              <w:spacing w:before="40" w:after="80"/>
              <w:ind w:right="115"/>
              <w:rPr>
                <w:bCs/>
                <w:szCs w:val="24"/>
                <w:lang w:val="fr-FR"/>
              </w:rPr>
            </w:pPr>
          </w:p>
          <w:p w:rsidR="00B0068A" w:rsidRPr="00846B6F" w:rsidRDefault="00B0068A" w:rsidP="00846B6F">
            <w:pPr>
              <w:tabs>
                <w:tab w:val="left" w:pos="288"/>
                <w:tab w:val="left" w:pos="576"/>
                <w:tab w:val="left" w:pos="864"/>
                <w:tab w:val="left" w:pos="1152"/>
              </w:tabs>
              <w:suppressAutoHyphens/>
              <w:spacing w:before="40" w:after="80"/>
              <w:ind w:right="115"/>
              <w:rPr>
                <w:bCs/>
                <w:szCs w:val="24"/>
                <w:lang w:val="fr-FR"/>
              </w:rPr>
            </w:pPr>
            <w:r w:rsidRPr="00846B6F">
              <w:rPr>
                <w:bCs/>
                <w:szCs w:val="24"/>
                <w:lang w:val="fr-FR"/>
              </w:rPr>
              <w:t>Campagne de sensibilisation intensive sur l</w:t>
            </w:r>
            <w:r w:rsidR="000A3D87">
              <w:rPr>
                <w:bCs/>
                <w:szCs w:val="24"/>
                <w:lang w:val="fr-FR"/>
              </w:rPr>
              <w:t>’</w:t>
            </w:r>
            <w:r w:rsidRPr="00846B6F">
              <w:rPr>
                <w:bCs/>
                <w:szCs w:val="24"/>
                <w:lang w:val="fr-FR"/>
              </w:rPr>
              <w:t>importance de l</w:t>
            </w:r>
            <w:r w:rsidR="000A3D87">
              <w:rPr>
                <w:bCs/>
                <w:szCs w:val="24"/>
                <w:lang w:val="fr-FR"/>
              </w:rPr>
              <w:t>’</w:t>
            </w:r>
            <w:r w:rsidRPr="00846B6F">
              <w:rPr>
                <w:bCs/>
                <w:szCs w:val="24"/>
                <w:lang w:val="fr-FR"/>
              </w:rPr>
              <w:t>éducation des fillettes en cours dans tout le pays.</w:t>
            </w:r>
          </w:p>
        </w:tc>
      </w:tr>
      <w:tr w:rsidR="00B0068A" w:rsidRPr="00846B6F">
        <w:tc>
          <w:tcPr>
            <w:tcW w:w="3646" w:type="dxa"/>
            <w:shd w:val="clear" w:color="auto" w:fill="auto"/>
          </w:tcPr>
          <w:p w:rsidR="00B0068A" w:rsidRPr="00846B6F" w:rsidRDefault="00B0068A" w:rsidP="00846B6F">
            <w:pPr>
              <w:tabs>
                <w:tab w:val="left" w:pos="288"/>
                <w:tab w:val="left" w:pos="576"/>
                <w:tab w:val="left" w:pos="864"/>
                <w:tab w:val="left" w:pos="1152"/>
              </w:tabs>
              <w:suppressAutoHyphens/>
              <w:spacing w:before="40" w:after="80"/>
              <w:ind w:right="115"/>
              <w:rPr>
                <w:szCs w:val="24"/>
                <w:lang w:val="fr-FR"/>
              </w:rPr>
            </w:pPr>
            <w:r w:rsidRPr="00846B6F">
              <w:rPr>
                <w:szCs w:val="24"/>
                <w:lang w:val="fr-FR"/>
              </w:rPr>
              <w:t>Persistance de la législation, des dispositions administratives et des pratiques discriminato</w:t>
            </w:r>
            <w:r w:rsidRPr="00846B6F">
              <w:rPr>
                <w:szCs w:val="24"/>
                <w:lang w:val="fr-FR"/>
              </w:rPr>
              <w:t>i</w:t>
            </w:r>
            <w:r w:rsidRPr="00846B6F">
              <w:rPr>
                <w:szCs w:val="24"/>
                <w:lang w:val="fr-FR"/>
              </w:rPr>
              <w:t>res sur le marché du travail. Chez les femmes, les taux de chômage sont plus élevés, les di</w:t>
            </w:r>
            <w:r w:rsidRPr="00846B6F">
              <w:rPr>
                <w:szCs w:val="24"/>
                <w:lang w:val="fr-FR"/>
              </w:rPr>
              <w:t>f</w:t>
            </w:r>
            <w:r w:rsidRPr="00846B6F">
              <w:rPr>
                <w:szCs w:val="24"/>
                <w:lang w:val="fr-FR"/>
              </w:rPr>
              <w:t>férences de salaire persistent dans les secteurs privé et public et elles manquent d</w:t>
            </w:r>
            <w:r w:rsidR="000A3D87">
              <w:rPr>
                <w:szCs w:val="24"/>
                <w:lang w:val="fr-FR"/>
              </w:rPr>
              <w:t>’</w:t>
            </w:r>
            <w:r w:rsidRPr="00846B6F">
              <w:rPr>
                <w:szCs w:val="24"/>
                <w:lang w:val="fr-FR"/>
              </w:rPr>
              <w:t>une prote</w:t>
            </w:r>
            <w:r w:rsidRPr="00846B6F">
              <w:rPr>
                <w:szCs w:val="24"/>
                <w:lang w:val="fr-FR"/>
              </w:rPr>
              <w:t>c</w:t>
            </w:r>
            <w:r w:rsidRPr="00846B6F">
              <w:rPr>
                <w:szCs w:val="24"/>
                <w:lang w:val="fr-FR"/>
              </w:rPr>
              <w:t>tion sociale satisfaisante dans le secteur privé.</w:t>
            </w:r>
          </w:p>
        </w:tc>
        <w:tc>
          <w:tcPr>
            <w:tcW w:w="3734" w:type="dxa"/>
            <w:shd w:val="clear" w:color="auto" w:fill="auto"/>
          </w:tcPr>
          <w:p w:rsidR="00B0068A" w:rsidRPr="00846B6F" w:rsidRDefault="00B0068A" w:rsidP="00846B6F">
            <w:pPr>
              <w:tabs>
                <w:tab w:val="left" w:pos="288"/>
                <w:tab w:val="left" w:pos="576"/>
                <w:tab w:val="left" w:pos="864"/>
                <w:tab w:val="left" w:pos="1152"/>
              </w:tabs>
              <w:suppressAutoHyphens/>
              <w:spacing w:before="40" w:after="80"/>
              <w:ind w:right="115"/>
              <w:rPr>
                <w:bCs/>
                <w:szCs w:val="24"/>
                <w:lang w:val="fr-FR"/>
              </w:rPr>
            </w:pPr>
            <w:r w:rsidRPr="00846B6F">
              <w:rPr>
                <w:bCs/>
                <w:szCs w:val="24"/>
                <w:lang w:val="fr-FR"/>
              </w:rPr>
              <w:t>Le Congrès du Travail du Nigéria a adopté une politique sur l</w:t>
            </w:r>
            <w:r w:rsidR="000A3D87">
              <w:rPr>
                <w:bCs/>
                <w:szCs w:val="24"/>
                <w:lang w:val="fr-FR"/>
              </w:rPr>
              <w:t>’</w:t>
            </w:r>
            <w:r w:rsidRPr="00846B6F">
              <w:rPr>
                <w:bCs/>
                <w:szCs w:val="24"/>
                <w:lang w:val="fr-FR"/>
              </w:rPr>
              <w:t>égalité des sexes qui vise à orienter et engendrer la participation des fe</w:t>
            </w:r>
            <w:r w:rsidRPr="00846B6F">
              <w:rPr>
                <w:bCs/>
                <w:szCs w:val="24"/>
                <w:lang w:val="fr-FR"/>
              </w:rPr>
              <w:t>m</w:t>
            </w:r>
            <w:r w:rsidRPr="00846B6F">
              <w:rPr>
                <w:bCs/>
                <w:szCs w:val="24"/>
                <w:lang w:val="fr-FR"/>
              </w:rPr>
              <w:t>mes au marché du travail.</w:t>
            </w:r>
          </w:p>
          <w:p w:rsidR="00B0068A" w:rsidRPr="00846B6F" w:rsidRDefault="00B0068A" w:rsidP="00846B6F">
            <w:pPr>
              <w:tabs>
                <w:tab w:val="left" w:pos="288"/>
                <w:tab w:val="left" w:pos="576"/>
                <w:tab w:val="left" w:pos="864"/>
                <w:tab w:val="left" w:pos="1152"/>
              </w:tabs>
              <w:suppressAutoHyphens/>
              <w:spacing w:before="40" w:after="80"/>
              <w:ind w:right="115"/>
              <w:rPr>
                <w:b/>
                <w:szCs w:val="24"/>
                <w:lang w:val="fr-FR"/>
              </w:rPr>
            </w:pPr>
            <w:r w:rsidRPr="00846B6F">
              <w:rPr>
                <w:bCs/>
                <w:szCs w:val="24"/>
                <w:lang w:val="fr-FR"/>
              </w:rPr>
              <w:t>Accession remarquable des femmes aux postes de direction dans le secteur privé.</w:t>
            </w:r>
            <w:r w:rsidRPr="00846B6F">
              <w:rPr>
                <w:b/>
                <w:szCs w:val="24"/>
                <w:lang w:val="fr-FR"/>
              </w:rPr>
              <w:t xml:space="preserve"> </w:t>
            </w:r>
          </w:p>
        </w:tc>
      </w:tr>
      <w:tr w:rsidR="00B0068A" w:rsidRPr="00846B6F">
        <w:tc>
          <w:tcPr>
            <w:tcW w:w="3646" w:type="dxa"/>
            <w:shd w:val="clear" w:color="auto" w:fill="auto"/>
          </w:tcPr>
          <w:p w:rsidR="00B0068A" w:rsidRPr="00846B6F" w:rsidRDefault="00B0068A" w:rsidP="00846B6F">
            <w:pPr>
              <w:tabs>
                <w:tab w:val="left" w:pos="288"/>
                <w:tab w:val="left" w:pos="576"/>
                <w:tab w:val="left" w:pos="864"/>
                <w:tab w:val="left" w:pos="1152"/>
              </w:tabs>
              <w:suppressAutoHyphens/>
              <w:spacing w:before="40" w:after="80"/>
              <w:ind w:right="115"/>
              <w:rPr>
                <w:szCs w:val="24"/>
                <w:lang w:val="fr-FR"/>
              </w:rPr>
            </w:pPr>
            <w:r w:rsidRPr="00846B6F">
              <w:rPr>
                <w:szCs w:val="24"/>
                <w:lang w:val="fr-FR"/>
              </w:rPr>
              <w:t>Assurer des chances égales aux femmes et aux hommes sur le marché du travail, utiliser les mesures temporaires spéciales conformément à l</w:t>
            </w:r>
            <w:r w:rsidR="000A3D87">
              <w:rPr>
                <w:szCs w:val="24"/>
                <w:lang w:val="fr-FR"/>
              </w:rPr>
              <w:t>’</w:t>
            </w:r>
            <w:r w:rsidRPr="00846B6F">
              <w:rPr>
                <w:szCs w:val="24"/>
                <w:lang w:val="fr-FR"/>
              </w:rPr>
              <w:t>article 4, paragraphe 1, de la Convention et à la Recommandation générale 25 du Comité.</w:t>
            </w:r>
          </w:p>
        </w:tc>
        <w:tc>
          <w:tcPr>
            <w:tcW w:w="3734" w:type="dxa"/>
            <w:shd w:val="clear" w:color="auto" w:fill="auto"/>
          </w:tcPr>
          <w:p w:rsidR="00B0068A" w:rsidRPr="00846B6F" w:rsidRDefault="00B0068A" w:rsidP="00846B6F">
            <w:pPr>
              <w:tabs>
                <w:tab w:val="left" w:pos="288"/>
                <w:tab w:val="left" w:pos="576"/>
                <w:tab w:val="left" w:pos="864"/>
                <w:tab w:val="left" w:pos="1152"/>
              </w:tabs>
              <w:suppressAutoHyphens/>
              <w:spacing w:before="40" w:after="80"/>
              <w:ind w:right="115"/>
              <w:rPr>
                <w:bCs/>
                <w:szCs w:val="24"/>
                <w:lang w:val="fr-FR"/>
              </w:rPr>
            </w:pPr>
            <w:r w:rsidRPr="00846B6F">
              <w:rPr>
                <w:bCs/>
                <w:szCs w:val="24"/>
                <w:lang w:val="fr-FR"/>
              </w:rPr>
              <w:t>Le Gouvernement fédéral a adopté des mes</w:t>
            </w:r>
            <w:r w:rsidRPr="00846B6F">
              <w:rPr>
                <w:bCs/>
                <w:szCs w:val="24"/>
                <w:lang w:val="fr-FR"/>
              </w:rPr>
              <w:t>u</w:t>
            </w:r>
            <w:r w:rsidRPr="00846B6F">
              <w:rPr>
                <w:bCs/>
                <w:szCs w:val="24"/>
                <w:lang w:val="fr-FR"/>
              </w:rPr>
              <w:t>res pour améliorer le recrutement des femmes aux emplois du secteur public.</w:t>
            </w:r>
          </w:p>
        </w:tc>
      </w:tr>
      <w:tr w:rsidR="00B0068A" w:rsidRPr="00846B6F">
        <w:tc>
          <w:tcPr>
            <w:tcW w:w="3646" w:type="dxa"/>
            <w:shd w:val="clear" w:color="auto" w:fill="auto"/>
          </w:tcPr>
          <w:p w:rsidR="00B0068A" w:rsidRPr="00846B6F" w:rsidRDefault="00B0068A" w:rsidP="00846B6F">
            <w:pPr>
              <w:tabs>
                <w:tab w:val="left" w:pos="288"/>
                <w:tab w:val="left" w:pos="576"/>
                <w:tab w:val="left" w:pos="864"/>
                <w:tab w:val="left" w:pos="1152"/>
              </w:tabs>
              <w:suppressAutoHyphens/>
              <w:spacing w:before="40" w:after="80"/>
              <w:ind w:right="115"/>
              <w:rPr>
                <w:szCs w:val="24"/>
                <w:lang w:val="fr-FR"/>
              </w:rPr>
            </w:pPr>
            <w:r w:rsidRPr="00846B6F">
              <w:rPr>
                <w:szCs w:val="24"/>
                <w:lang w:val="fr-FR"/>
              </w:rPr>
              <w:t>La situation de la santé des femmes est pr</w:t>
            </w:r>
            <w:r w:rsidRPr="00846B6F">
              <w:rPr>
                <w:szCs w:val="24"/>
                <w:lang w:val="fr-FR"/>
              </w:rPr>
              <w:t>é</w:t>
            </w:r>
            <w:r w:rsidRPr="00846B6F">
              <w:rPr>
                <w:szCs w:val="24"/>
                <w:lang w:val="fr-FR"/>
              </w:rPr>
              <w:t>caire et les installations et services de soins de santé sont insuffisants et inadéquats. Les taux de mortalité maternelle sont élevés du fait d</w:t>
            </w:r>
            <w:r w:rsidR="000A3D87">
              <w:rPr>
                <w:szCs w:val="24"/>
                <w:lang w:val="fr-FR"/>
              </w:rPr>
              <w:t>’</w:t>
            </w:r>
            <w:r w:rsidRPr="00846B6F">
              <w:rPr>
                <w:szCs w:val="24"/>
                <w:lang w:val="fr-FR"/>
              </w:rPr>
              <w:t>avortements dangereux. La persistance des PTN se traduit par les blessures physiques et mentales chez les femmes et les filles.</w:t>
            </w:r>
          </w:p>
        </w:tc>
        <w:tc>
          <w:tcPr>
            <w:tcW w:w="3734" w:type="dxa"/>
            <w:shd w:val="clear" w:color="auto" w:fill="auto"/>
          </w:tcPr>
          <w:p w:rsidR="00B0068A" w:rsidRPr="00846B6F" w:rsidRDefault="00B0068A" w:rsidP="00846B6F">
            <w:pPr>
              <w:tabs>
                <w:tab w:val="left" w:pos="288"/>
                <w:tab w:val="left" w:pos="576"/>
                <w:tab w:val="left" w:pos="864"/>
                <w:tab w:val="left" w:pos="1152"/>
              </w:tabs>
              <w:suppressAutoHyphens/>
              <w:spacing w:before="40" w:after="80"/>
              <w:ind w:right="115"/>
              <w:rPr>
                <w:bCs/>
                <w:szCs w:val="24"/>
                <w:lang w:val="fr-FR"/>
              </w:rPr>
            </w:pPr>
            <w:r w:rsidRPr="00846B6F">
              <w:rPr>
                <w:bCs/>
                <w:szCs w:val="24"/>
                <w:lang w:val="fr-FR"/>
              </w:rPr>
              <w:t>Toutes les structures de soins de santé tertia</w:t>
            </w:r>
            <w:r w:rsidRPr="00846B6F">
              <w:rPr>
                <w:bCs/>
                <w:szCs w:val="24"/>
                <w:lang w:val="fr-FR"/>
              </w:rPr>
              <w:t>i</w:t>
            </w:r>
            <w:r w:rsidRPr="00846B6F">
              <w:rPr>
                <w:bCs/>
                <w:szCs w:val="24"/>
                <w:lang w:val="fr-FR"/>
              </w:rPr>
              <w:t>res du pays rénovées et équipées avec du m</w:t>
            </w:r>
            <w:r w:rsidRPr="00846B6F">
              <w:rPr>
                <w:bCs/>
                <w:szCs w:val="24"/>
                <w:lang w:val="fr-FR"/>
              </w:rPr>
              <w:t>a</w:t>
            </w:r>
            <w:r w:rsidRPr="00846B6F">
              <w:rPr>
                <w:bCs/>
                <w:szCs w:val="24"/>
                <w:lang w:val="fr-FR"/>
              </w:rPr>
              <w:t xml:space="preserve">tériel de soins de santé moderne. </w:t>
            </w:r>
          </w:p>
          <w:p w:rsidR="00B0068A" w:rsidRPr="00846B6F" w:rsidRDefault="00B0068A" w:rsidP="00846B6F">
            <w:pPr>
              <w:tabs>
                <w:tab w:val="left" w:pos="288"/>
                <w:tab w:val="left" w:pos="576"/>
                <w:tab w:val="left" w:pos="864"/>
                <w:tab w:val="left" w:pos="1152"/>
              </w:tabs>
              <w:suppressAutoHyphens/>
              <w:spacing w:before="40" w:after="80"/>
              <w:ind w:right="115"/>
              <w:rPr>
                <w:bCs/>
                <w:szCs w:val="24"/>
                <w:lang w:val="fr-FR"/>
              </w:rPr>
            </w:pPr>
            <w:r w:rsidRPr="00846B6F">
              <w:rPr>
                <w:bCs/>
                <w:szCs w:val="24"/>
                <w:lang w:val="fr-FR"/>
              </w:rPr>
              <w:t>Le budget de 2006 prévoit des crédits pour la rénovation des centres de soins de santé pr</w:t>
            </w:r>
            <w:r w:rsidRPr="00846B6F">
              <w:rPr>
                <w:bCs/>
                <w:szCs w:val="24"/>
                <w:lang w:val="fr-FR"/>
              </w:rPr>
              <w:t>i</w:t>
            </w:r>
            <w:r w:rsidRPr="00846B6F">
              <w:rPr>
                <w:bCs/>
                <w:szCs w:val="24"/>
                <w:lang w:val="fr-FR"/>
              </w:rPr>
              <w:t xml:space="preserve">maires à travers le pays. </w:t>
            </w:r>
          </w:p>
        </w:tc>
      </w:tr>
      <w:tr w:rsidR="00B0068A" w:rsidRPr="00846B6F">
        <w:tc>
          <w:tcPr>
            <w:tcW w:w="3646" w:type="dxa"/>
            <w:shd w:val="clear" w:color="auto" w:fill="auto"/>
          </w:tcPr>
          <w:p w:rsidR="00B0068A" w:rsidRPr="00846B6F" w:rsidRDefault="00B0068A" w:rsidP="00846B6F">
            <w:pPr>
              <w:tabs>
                <w:tab w:val="left" w:pos="288"/>
                <w:tab w:val="left" w:pos="576"/>
                <w:tab w:val="left" w:pos="864"/>
                <w:tab w:val="left" w:pos="1152"/>
              </w:tabs>
              <w:suppressAutoHyphens/>
              <w:spacing w:before="40" w:after="80"/>
              <w:ind w:right="115"/>
              <w:rPr>
                <w:szCs w:val="24"/>
                <w:lang w:val="fr-FR"/>
              </w:rPr>
            </w:pPr>
            <w:r w:rsidRPr="00846B6F">
              <w:rPr>
                <w:szCs w:val="24"/>
                <w:lang w:val="fr-FR"/>
              </w:rPr>
              <w:t>Affecter des ressources suffisantes pour am</w:t>
            </w:r>
            <w:r w:rsidRPr="00846B6F">
              <w:rPr>
                <w:szCs w:val="24"/>
                <w:lang w:val="fr-FR"/>
              </w:rPr>
              <w:t>é</w:t>
            </w:r>
            <w:r w:rsidRPr="00846B6F">
              <w:rPr>
                <w:szCs w:val="24"/>
                <w:lang w:val="fr-FR"/>
              </w:rPr>
              <w:t>liorer la santé des femmes, notamment en ce qui concerne la mortalité maternelle et infa</w:t>
            </w:r>
            <w:r w:rsidRPr="00846B6F">
              <w:rPr>
                <w:szCs w:val="24"/>
                <w:lang w:val="fr-FR"/>
              </w:rPr>
              <w:t>n</w:t>
            </w:r>
            <w:r w:rsidRPr="00846B6F">
              <w:rPr>
                <w:szCs w:val="24"/>
                <w:lang w:val="fr-FR"/>
              </w:rPr>
              <w:t>tile. Accroître l</w:t>
            </w:r>
            <w:r w:rsidR="000A3D87">
              <w:rPr>
                <w:szCs w:val="24"/>
                <w:lang w:val="fr-FR"/>
              </w:rPr>
              <w:t>’</w:t>
            </w:r>
            <w:r w:rsidRPr="00846B6F">
              <w:rPr>
                <w:szCs w:val="24"/>
                <w:lang w:val="fr-FR"/>
              </w:rPr>
              <w:t>accès des femmes et des filles à des services de soins de santé abordables, y compris les soins de santé de la procréation et accroître l</w:t>
            </w:r>
            <w:r w:rsidR="000A3D87">
              <w:rPr>
                <w:szCs w:val="24"/>
                <w:lang w:val="fr-FR"/>
              </w:rPr>
              <w:t>’</w:t>
            </w:r>
            <w:r w:rsidRPr="00846B6F">
              <w:rPr>
                <w:szCs w:val="24"/>
                <w:lang w:val="fr-FR"/>
              </w:rPr>
              <w:t>accès à des moyens abordables de planning familial pour tous. Évaluer l</w:t>
            </w:r>
            <w:r w:rsidR="000A3D87">
              <w:rPr>
                <w:szCs w:val="24"/>
                <w:lang w:val="fr-FR"/>
              </w:rPr>
              <w:t>’</w:t>
            </w:r>
            <w:r w:rsidRPr="00846B6F">
              <w:rPr>
                <w:szCs w:val="24"/>
                <w:lang w:val="fr-FR"/>
              </w:rPr>
              <w:t>incidence des lois relatives à l</w:t>
            </w:r>
            <w:r w:rsidR="000A3D87">
              <w:rPr>
                <w:szCs w:val="24"/>
                <w:lang w:val="fr-FR"/>
              </w:rPr>
              <w:t>’</w:t>
            </w:r>
            <w:r w:rsidRPr="00846B6F">
              <w:rPr>
                <w:szCs w:val="24"/>
                <w:lang w:val="fr-FR"/>
              </w:rPr>
              <w:t>avortement sur la santé des femmes. Introduire, en m</w:t>
            </w:r>
            <w:r w:rsidRPr="00846B6F">
              <w:rPr>
                <w:szCs w:val="24"/>
                <w:lang w:val="fr-FR"/>
              </w:rPr>
              <w:t>a</w:t>
            </w:r>
            <w:r w:rsidRPr="00846B6F">
              <w:rPr>
                <w:szCs w:val="24"/>
                <w:lang w:val="fr-FR"/>
              </w:rPr>
              <w:t>tière de santé des femmes, une stratégie gl</w:t>
            </w:r>
            <w:r w:rsidRPr="00846B6F">
              <w:rPr>
                <w:szCs w:val="24"/>
                <w:lang w:val="fr-FR"/>
              </w:rPr>
              <w:t>o</w:t>
            </w:r>
            <w:r w:rsidRPr="00846B6F">
              <w:rPr>
                <w:szCs w:val="24"/>
                <w:lang w:val="fr-FR"/>
              </w:rPr>
              <w:t>bale fondée sur le cycle de vie, en tenant compte de la Recommandation générale 24 sur les femmes et la santé.</w:t>
            </w:r>
          </w:p>
        </w:tc>
        <w:tc>
          <w:tcPr>
            <w:tcW w:w="3734" w:type="dxa"/>
            <w:shd w:val="clear" w:color="auto" w:fill="auto"/>
          </w:tcPr>
          <w:p w:rsidR="00B0068A" w:rsidRPr="00846B6F" w:rsidRDefault="00B0068A" w:rsidP="00846B6F">
            <w:pPr>
              <w:tabs>
                <w:tab w:val="left" w:pos="288"/>
                <w:tab w:val="left" w:pos="576"/>
                <w:tab w:val="left" w:pos="864"/>
                <w:tab w:val="left" w:pos="1152"/>
              </w:tabs>
              <w:suppressAutoHyphens/>
              <w:spacing w:before="40" w:after="80"/>
              <w:ind w:right="115"/>
              <w:rPr>
                <w:bCs/>
                <w:szCs w:val="24"/>
                <w:lang w:val="fr-FR"/>
              </w:rPr>
            </w:pPr>
            <w:r w:rsidRPr="00846B6F">
              <w:rPr>
                <w:bCs/>
                <w:szCs w:val="24"/>
                <w:lang w:val="fr-FR"/>
              </w:rPr>
              <w:t>De nombreux États offrent désormais aux femmes des services gratuits de soins prén</w:t>
            </w:r>
            <w:r w:rsidRPr="00846B6F">
              <w:rPr>
                <w:bCs/>
                <w:szCs w:val="24"/>
                <w:lang w:val="fr-FR"/>
              </w:rPr>
              <w:t>a</w:t>
            </w:r>
            <w:r w:rsidRPr="00846B6F">
              <w:rPr>
                <w:bCs/>
                <w:szCs w:val="24"/>
                <w:lang w:val="fr-FR"/>
              </w:rPr>
              <w:t>taux, y compris les soins d</w:t>
            </w:r>
            <w:r w:rsidR="000A3D87">
              <w:rPr>
                <w:bCs/>
                <w:szCs w:val="24"/>
                <w:lang w:val="fr-FR"/>
              </w:rPr>
              <w:t>’</w:t>
            </w:r>
            <w:r w:rsidRPr="00846B6F">
              <w:rPr>
                <w:bCs/>
                <w:szCs w:val="24"/>
                <w:lang w:val="fr-FR"/>
              </w:rPr>
              <w:t>urgence dans ce</w:t>
            </w:r>
            <w:r w:rsidRPr="00846B6F">
              <w:rPr>
                <w:bCs/>
                <w:szCs w:val="24"/>
                <w:lang w:val="fr-FR"/>
              </w:rPr>
              <w:t>r</w:t>
            </w:r>
            <w:r w:rsidRPr="00846B6F">
              <w:rPr>
                <w:bCs/>
                <w:szCs w:val="24"/>
                <w:lang w:val="fr-FR"/>
              </w:rPr>
              <w:t>tains cas.</w:t>
            </w:r>
          </w:p>
          <w:p w:rsidR="00B0068A" w:rsidRPr="00846B6F" w:rsidRDefault="00B0068A" w:rsidP="00846B6F">
            <w:pPr>
              <w:tabs>
                <w:tab w:val="left" w:pos="288"/>
                <w:tab w:val="left" w:pos="576"/>
                <w:tab w:val="left" w:pos="864"/>
                <w:tab w:val="left" w:pos="1152"/>
              </w:tabs>
              <w:suppressAutoHyphens/>
              <w:spacing w:before="40" w:after="80"/>
              <w:ind w:right="115"/>
              <w:rPr>
                <w:bCs/>
                <w:szCs w:val="24"/>
                <w:lang w:val="fr-FR"/>
              </w:rPr>
            </w:pPr>
            <w:r w:rsidRPr="00846B6F">
              <w:rPr>
                <w:bCs/>
                <w:szCs w:val="24"/>
                <w:lang w:val="fr-FR"/>
              </w:rPr>
              <w:t>Accès accru dans le pays aux services de soins après l</w:t>
            </w:r>
            <w:r w:rsidR="000A3D87">
              <w:rPr>
                <w:bCs/>
                <w:szCs w:val="24"/>
                <w:lang w:val="fr-FR"/>
              </w:rPr>
              <w:t>’</w:t>
            </w:r>
            <w:r w:rsidRPr="00846B6F">
              <w:rPr>
                <w:bCs/>
                <w:szCs w:val="24"/>
                <w:lang w:val="fr-FR"/>
              </w:rPr>
              <w:t xml:space="preserve">avortement. </w:t>
            </w:r>
          </w:p>
        </w:tc>
      </w:tr>
      <w:tr w:rsidR="00B0068A" w:rsidRPr="00846B6F">
        <w:tc>
          <w:tcPr>
            <w:tcW w:w="3646" w:type="dxa"/>
            <w:shd w:val="clear" w:color="auto" w:fill="auto"/>
          </w:tcPr>
          <w:p w:rsidR="00B0068A" w:rsidRPr="00846B6F" w:rsidRDefault="00B0068A" w:rsidP="00846B6F">
            <w:pPr>
              <w:tabs>
                <w:tab w:val="left" w:pos="288"/>
                <w:tab w:val="left" w:pos="576"/>
                <w:tab w:val="left" w:pos="864"/>
                <w:tab w:val="left" w:pos="1152"/>
              </w:tabs>
              <w:suppressAutoHyphens/>
              <w:spacing w:before="40" w:after="80"/>
              <w:ind w:right="115"/>
              <w:rPr>
                <w:szCs w:val="24"/>
                <w:lang w:val="fr-FR"/>
              </w:rPr>
            </w:pPr>
            <w:r w:rsidRPr="00846B6F">
              <w:rPr>
                <w:szCs w:val="24"/>
                <w:lang w:val="fr-FR"/>
              </w:rPr>
              <w:t>Faible nombre de femmes en politique, aux postes de leadership et de prise de décision. Persistance d</w:t>
            </w:r>
            <w:r w:rsidR="000A3D87">
              <w:rPr>
                <w:szCs w:val="24"/>
                <w:lang w:val="fr-FR"/>
              </w:rPr>
              <w:t>’</w:t>
            </w:r>
            <w:r w:rsidRPr="00846B6F">
              <w:rPr>
                <w:szCs w:val="24"/>
                <w:lang w:val="fr-FR"/>
              </w:rPr>
              <w:t>attitudes stéréotypes et patria</w:t>
            </w:r>
            <w:r w:rsidRPr="00846B6F">
              <w:rPr>
                <w:szCs w:val="24"/>
                <w:lang w:val="fr-FR"/>
              </w:rPr>
              <w:t>r</w:t>
            </w:r>
            <w:r w:rsidRPr="00846B6F">
              <w:rPr>
                <w:szCs w:val="24"/>
                <w:lang w:val="fr-FR"/>
              </w:rPr>
              <w:t>cales, qui considèrent les hommes comme étant des dirigeants naturels et pourraient e</w:t>
            </w:r>
            <w:r w:rsidRPr="00846B6F">
              <w:rPr>
                <w:szCs w:val="24"/>
                <w:lang w:val="fr-FR"/>
              </w:rPr>
              <w:t>m</w:t>
            </w:r>
            <w:r w:rsidRPr="00846B6F">
              <w:rPr>
                <w:szCs w:val="24"/>
                <w:lang w:val="fr-FR"/>
              </w:rPr>
              <w:t>pêcher les femmes de rechercher des postes de leadership.</w:t>
            </w:r>
          </w:p>
        </w:tc>
        <w:tc>
          <w:tcPr>
            <w:tcW w:w="3734" w:type="dxa"/>
            <w:shd w:val="clear" w:color="auto" w:fill="auto"/>
          </w:tcPr>
          <w:p w:rsidR="00B0068A" w:rsidRPr="00846B6F" w:rsidRDefault="00B0068A" w:rsidP="00846B6F">
            <w:pPr>
              <w:tabs>
                <w:tab w:val="left" w:pos="288"/>
                <w:tab w:val="left" w:pos="576"/>
                <w:tab w:val="left" w:pos="864"/>
                <w:tab w:val="left" w:pos="1152"/>
              </w:tabs>
              <w:suppressAutoHyphens/>
              <w:spacing w:before="40" w:after="80"/>
              <w:ind w:right="115"/>
              <w:rPr>
                <w:szCs w:val="24"/>
                <w:lang w:val="fr-FR"/>
              </w:rPr>
            </w:pPr>
            <w:r w:rsidRPr="00846B6F">
              <w:rPr>
                <w:szCs w:val="24"/>
                <w:lang w:val="fr-FR"/>
              </w:rPr>
              <w:t>Des mesures d</w:t>
            </w:r>
            <w:r w:rsidR="000A3D87">
              <w:rPr>
                <w:szCs w:val="24"/>
                <w:lang w:val="fr-FR"/>
              </w:rPr>
              <w:t>’</w:t>
            </w:r>
            <w:r w:rsidRPr="00846B6F">
              <w:rPr>
                <w:szCs w:val="24"/>
                <w:lang w:val="fr-FR"/>
              </w:rPr>
              <w:t>action positive ont été reco</w:t>
            </w:r>
            <w:r w:rsidRPr="00846B6F">
              <w:rPr>
                <w:szCs w:val="24"/>
                <w:lang w:val="fr-FR"/>
              </w:rPr>
              <w:t>n</w:t>
            </w:r>
            <w:r w:rsidRPr="00846B6F">
              <w:rPr>
                <w:szCs w:val="24"/>
                <w:lang w:val="fr-FR"/>
              </w:rPr>
              <w:t>nues comme un pas justifiable vers la répar</w:t>
            </w:r>
            <w:r w:rsidRPr="00846B6F">
              <w:rPr>
                <w:szCs w:val="24"/>
                <w:lang w:val="fr-FR"/>
              </w:rPr>
              <w:t>a</w:t>
            </w:r>
            <w:r w:rsidRPr="00846B6F">
              <w:rPr>
                <w:szCs w:val="24"/>
                <w:lang w:val="fr-FR"/>
              </w:rPr>
              <w:t>tion des inégalités criardes qui sont inhérentes au cadre socioculturel du Nigéria. Ces mesures ont été recommandées par la Conférence n</w:t>
            </w:r>
            <w:r w:rsidRPr="00846B6F">
              <w:rPr>
                <w:szCs w:val="24"/>
                <w:lang w:val="fr-FR"/>
              </w:rPr>
              <w:t>a</w:t>
            </w:r>
            <w:r w:rsidRPr="00846B6F">
              <w:rPr>
                <w:szCs w:val="24"/>
                <w:lang w:val="fr-FR"/>
              </w:rPr>
              <w:t>tionale sur la réforme politique de 2005.</w:t>
            </w:r>
          </w:p>
        </w:tc>
      </w:tr>
      <w:tr w:rsidR="00B0068A" w:rsidRPr="00846B6F">
        <w:tc>
          <w:tcPr>
            <w:tcW w:w="3646" w:type="dxa"/>
            <w:shd w:val="clear" w:color="auto" w:fill="auto"/>
          </w:tcPr>
          <w:p w:rsidR="00B0068A" w:rsidRPr="00846B6F" w:rsidRDefault="00B0068A" w:rsidP="00846B6F">
            <w:pPr>
              <w:tabs>
                <w:tab w:val="left" w:pos="288"/>
                <w:tab w:val="left" w:pos="576"/>
                <w:tab w:val="left" w:pos="864"/>
                <w:tab w:val="left" w:pos="1152"/>
              </w:tabs>
              <w:suppressAutoHyphens/>
              <w:spacing w:before="40" w:after="80"/>
              <w:ind w:right="115"/>
              <w:rPr>
                <w:szCs w:val="24"/>
                <w:lang w:val="fr-FR"/>
              </w:rPr>
            </w:pPr>
            <w:r w:rsidRPr="00846B6F">
              <w:rPr>
                <w:szCs w:val="24"/>
                <w:lang w:val="fr-FR"/>
              </w:rPr>
              <w:t>Prendre des mesures pour accroître le nombre de femmes aux postes de prise de décision à tous les niveaux et dans tous les domaines, compte tenu de la Recommandation générale 23 sur les femmes dans la vie politique et p</w:t>
            </w:r>
            <w:r w:rsidRPr="00846B6F">
              <w:rPr>
                <w:szCs w:val="24"/>
                <w:lang w:val="fr-FR"/>
              </w:rPr>
              <w:t>u</w:t>
            </w:r>
            <w:r w:rsidRPr="00846B6F">
              <w:rPr>
                <w:szCs w:val="24"/>
                <w:lang w:val="fr-FR"/>
              </w:rPr>
              <w:t>blique. Recourir à des mesures temporaires spéciales, conformément au paragraphe 1 de l</w:t>
            </w:r>
            <w:r w:rsidR="000A3D87">
              <w:rPr>
                <w:szCs w:val="24"/>
                <w:lang w:val="fr-FR"/>
              </w:rPr>
              <w:t>’</w:t>
            </w:r>
            <w:r w:rsidRPr="00846B6F">
              <w:rPr>
                <w:szCs w:val="24"/>
                <w:lang w:val="fr-FR"/>
              </w:rPr>
              <w:t>article 4 de la Convention et à la Reco</w:t>
            </w:r>
            <w:r w:rsidRPr="00846B6F">
              <w:rPr>
                <w:szCs w:val="24"/>
                <w:lang w:val="fr-FR"/>
              </w:rPr>
              <w:t>m</w:t>
            </w:r>
            <w:r w:rsidRPr="00846B6F">
              <w:rPr>
                <w:szCs w:val="24"/>
                <w:lang w:val="fr-FR"/>
              </w:rPr>
              <w:t>mandation générale 25, pour promouvoir les femmes aux postes de dirigeants, y compris dans le service diplomatique. Disponibilité accrue de programmes de formation pour les femmes et renforcement des campagnes de sensibilisation pour souligner l</w:t>
            </w:r>
            <w:r w:rsidR="000A3D87">
              <w:rPr>
                <w:szCs w:val="24"/>
                <w:lang w:val="fr-FR"/>
              </w:rPr>
              <w:t>’</w:t>
            </w:r>
            <w:r w:rsidRPr="00846B6F">
              <w:rPr>
                <w:szCs w:val="24"/>
                <w:lang w:val="fr-FR"/>
              </w:rPr>
              <w:t>importance de la participation des femmes à la prise de déc</w:t>
            </w:r>
            <w:r w:rsidRPr="00846B6F">
              <w:rPr>
                <w:szCs w:val="24"/>
                <w:lang w:val="fr-FR"/>
              </w:rPr>
              <w:t>i</w:t>
            </w:r>
            <w:r w:rsidRPr="00846B6F">
              <w:rPr>
                <w:szCs w:val="24"/>
                <w:lang w:val="fr-FR"/>
              </w:rPr>
              <w:t>sion à tous les niveaux.</w:t>
            </w:r>
          </w:p>
        </w:tc>
        <w:tc>
          <w:tcPr>
            <w:tcW w:w="3734" w:type="dxa"/>
            <w:shd w:val="clear" w:color="auto" w:fill="auto"/>
          </w:tcPr>
          <w:p w:rsidR="00B0068A" w:rsidRPr="00846B6F" w:rsidRDefault="00B0068A" w:rsidP="00846B6F">
            <w:pPr>
              <w:tabs>
                <w:tab w:val="left" w:pos="288"/>
                <w:tab w:val="left" w:pos="576"/>
                <w:tab w:val="left" w:pos="864"/>
                <w:tab w:val="left" w:pos="1152"/>
              </w:tabs>
              <w:suppressAutoHyphens/>
              <w:spacing w:before="40" w:after="80"/>
              <w:ind w:right="115"/>
              <w:rPr>
                <w:bCs/>
                <w:szCs w:val="24"/>
                <w:lang w:val="fr-FR"/>
              </w:rPr>
            </w:pPr>
            <w:r w:rsidRPr="00846B6F">
              <w:rPr>
                <w:bCs/>
                <w:szCs w:val="24"/>
                <w:lang w:val="fr-FR"/>
              </w:rPr>
              <w:t>Recommandations de grande portée sur l</w:t>
            </w:r>
            <w:r w:rsidR="000A3D87">
              <w:rPr>
                <w:bCs/>
                <w:szCs w:val="24"/>
                <w:lang w:val="fr-FR"/>
              </w:rPr>
              <w:t>’</w:t>
            </w:r>
            <w:r w:rsidRPr="00846B6F">
              <w:rPr>
                <w:bCs/>
                <w:szCs w:val="24"/>
                <w:lang w:val="fr-FR"/>
              </w:rPr>
              <w:t>égalité des sexes soumises à la Conférence nationale sur la réforme politique. Certaines des recommandations sont actuellement mises en œuvre par certains organismes, par exe</w:t>
            </w:r>
            <w:r w:rsidRPr="00846B6F">
              <w:rPr>
                <w:bCs/>
                <w:szCs w:val="24"/>
                <w:lang w:val="fr-FR"/>
              </w:rPr>
              <w:t>m</w:t>
            </w:r>
            <w:r w:rsidRPr="00846B6F">
              <w:rPr>
                <w:bCs/>
                <w:szCs w:val="24"/>
                <w:lang w:val="fr-FR"/>
              </w:rPr>
              <w:t xml:space="preserve">ple, la Commission du caractère fédéral. </w:t>
            </w:r>
          </w:p>
          <w:p w:rsidR="00B0068A" w:rsidRPr="00846B6F" w:rsidRDefault="00B0068A" w:rsidP="00846B6F">
            <w:pPr>
              <w:tabs>
                <w:tab w:val="left" w:pos="288"/>
                <w:tab w:val="left" w:pos="576"/>
                <w:tab w:val="left" w:pos="864"/>
                <w:tab w:val="left" w:pos="1152"/>
              </w:tabs>
              <w:suppressAutoHyphens/>
              <w:spacing w:before="40" w:after="80"/>
              <w:ind w:right="115"/>
              <w:rPr>
                <w:b/>
                <w:szCs w:val="24"/>
                <w:lang w:val="fr-FR"/>
              </w:rPr>
            </w:pPr>
            <w:r w:rsidRPr="00846B6F">
              <w:rPr>
                <w:bCs/>
                <w:szCs w:val="24"/>
                <w:lang w:val="fr-FR"/>
              </w:rPr>
              <w:t>Formation du Groupe d</w:t>
            </w:r>
            <w:r w:rsidR="000A3D87">
              <w:rPr>
                <w:bCs/>
                <w:szCs w:val="24"/>
                <w:lang w:val="fr-FR"/>
              </w:rPr>
              <w:t>’</w:t>
            </w:r>
            <w:r w:rsidRPr="00846B6F">
              <w:rPr>
                <w:bCs/>
                <w:szCs w:val="24"/>
                <w:lang w:val="fr-FR"/>
              </w:rPr>
              <w:t>action positive en m</w:t>
            </w:r>
            <w:r w:rsidRPr="00846B6F">
              <w:rPr>
                <w:bCs/>
                <w:szCs w:val="24"/>
                <w:lang w:val="fr-FR"/>
              </w:rPr>
              <w:t>a</w:t>
            </w:r>
            <w:r w:rsidRPr="00846B6F">
              <w:rPr>
                <w:bCs/>
                <w:szCs w:val="24"/>
                <w:lang w:val="fr-FR"/>
              </w:rPr>
              <w:t>tière d</w:t>
            </w:r>
            <w:r w:rsidR="000A3D87">
              <w:rPr>
                <w:bCs/>
                <w:szCs w:val="24"/>
                <w:lang w:val="fr-FR"/>
              </w:rPr>
              <w:t>’</w:t>
            </w:r>
            <w:r w:rsidRPr="00846B6F">
              <w:rPr>
                <w:bCs/>
                <w:szCs w:val="24"/>
                <w:lang w:val="fr-FR"/>
              </w:rPr>
              <w:t>égalité des sexes.</w:t>
            </w:r>
          </w:p>
        </w:tc>
      </w:tr>
      <w:tr w:rsidR="00B0068A" w:rsidRPr="00846B6F">
        <w:tc>
          <w:tcPr>
            <w:tcW w:w="3646" w:type="dxa"/>
            <w:shd w:val="clear" w:color="auto" w:fill="auto"/>
          </w:tcPr>
          <w:p w:rsidR="00B0068A" w:rsidRPr="00846B6F" w:rsidRDefault="00B0068A" w:rsidP="00846B6F">
            <w:pPr>
              <w:tabs>
                <w:tab w:val="left" w:pos="288"/>
                <w:tab w:val="left" w:pos="576"/>
                <w:tab w:val="left" w:pos="864"/>
                <w:tab w:val="left" w:pos="1152"/>
              </w:tabs>
              <w:suppressAutoHyphens/>
              <w:spacing w:before="40" w:after="80"/>
              <w:ind w:right="115"/>
              <w:rPr>
                <w:szCs w:val="24"/>
                <w:lang w:val="fr-FR"/>
              </w:rPr>
            </w:pPr>
            <w:r w:rsidRPr="00846B6F">
              <w:rPr>
                <w:szCs w:val="24"/>
                <w:lang w:val="fr-FR"/>
              </w:rPr>
              <w:t>Manque de suivi, d</w:t>
            </w:r>
            <w:r w:rsidR="000A3D87">
              <w:rPr>
                <w:szCs w:val="24"/>
                <w:lang w:val="fr-FR"/>
              </w:rPr>
              <w:t>’</w:t>
            </w:r>
            <w:r w:rsidRPr="00846B6F">
              <w:rPr>
                <w:szCs w:val="24"/>
                <w:lang w:val="fr-FR"/>
              </w:rPr>
              <w:t>évaluation et de données ventilées par sexe concernant les résultats de l</w:t>
            </w:r>
            <w:r w:rsidR="000A3D87">
              <w:rPr>
                <w:szCs w:val="24"/>
                <w:lang w:val="fr-FR"/>
              </w:rPr>
              <w:t>’</w:t>
            </w:r>
            <w:r w:rsidRPr="00846B6F">
              <w:rPr>
                <w:szCs w:val="24"/>
                <w:lang w:val="fr-FR"/>
              </w:rPr>
              <w:t>impact des interventions, lois et politiques existant et qui visent à démarginaliser les femmes.</w:t>
            </w:r>
          </w:p>
        </w:tc>
        <w:tc>
          <w:tcPr>
            <w:tcW w:w="3734" w:type="dxa"/>
            <w:shd w:val="clear" w:color="auto" w:fill="auto"/>
          </w:tcPr>
          <w:p w:rsidR="00B0068A" w:rsidRPr="00846B6F" w:rsidRDefault="00B0068A" w:rsidP="00846B6F">
            <w:pPr>
              <w:tabs>
                <w:tab w:val="left" w:pos="288"/>
                <w:tab w:val="left" w:pos="576"/>
                <w:tab w:val="left" w:pos="864"/>
                <w:tab w:val="left" w:pos="1152"/>
              </w:tabs>
              <w:suppressAutoHyphens/>
              <w:spacing w:before="40" w:after="80"/>
              <w:ind w:right="115"/>
              <w:rPr>
                <w:szCs w:val="24"/>
                <w:lang w:val="fr-FR"/>
              </w:rPr>
            </w:pPr>
            <w:r w:rsidRPr="00846B6F">
              <w:rPr>
                <w:szCs w:val="24"/>
                <w:lang w:val="fr-FR"/>
              </w:rPr>
              <w:t>Disponibilité accrue de données réparties par sexe grâce à la réforme du Bureau national de la statistique.</w:t>
            </w:r>
          </w:p>
        </w:tc>
      </w:tr>
      <w:tr w:rsidR="00B0068A" w:rsidRPr="00846B6F">
        <w:tc>
          <w:tcPr>
            <w:tcW w:w="3646" w:type="dxa"/>
            <w:shd w:val="clear" w:color="auto" w:fill="auto"/>
          </w:tcPr>
          <w:p w:rsidR="00B0068A" w:rsidRPr="00846B6F" w:rsidRDefault="00B0068A" w:rsidP="00846B6F">
            <w:pPr>
              <w:tabs>
                <w:tab w:val="left" w:pos="288"/>
                <w:tab w:val="left" w:pos="576"/>
                <w:tab w:val="left" w:pos="864"/>
                <w:tab w:val="left" w:pos="1152"/>
              </w:tabs>
              <w:suppressAutoHyphens/>
              <w:spacing w:before="40" w:after="80"/>
              <w:ind w:right="115"/>
              <w:rPr>
                <w:szCs w:val="24"/>
                <w:lang w:val="fr-FR"/>
              </w:rPr>
            </w:pPr>
            <w:r w:rsidRPr="00846B6F">
              <w:rPr>
                <w:szCs w:val="24"/>
                <w:lang w:val="fr-FR"/>
              </w:rPr>
              <w:t>Inclure dans le prochain rapport des données statistiques et l</w:t>
            </w:r>
            <w:r w:rsidR="000A3D87">
              <w:rPr>
                <w:szCs w:val="24"/>
                <w:lang w:val="fr-FR"/>
              </w:rPr>
              <w:t>’</w:t>
            </w:r>
            <w:r w:rsidRPr="00846B6F">
              <w:rPr>
                <w:szCs w:val="24"/>
                <w:lang w:val="fr-FR"/>
              </w:rPr>
              <w:t>analyse ventilées par sexe sur l</w:t>
            </w:r>
            <w:r w:rsidR="000A3D87">
              <w:rPr>
                <w:szCs w:val="24"/>
                <w:lang w:val="fr-FR"/>
              </w:rPr>
              <w:t>’</w:t>
            </w:r>
            <w:r w:rsidRPr="00846B6F">
              <w:rPr>
                <w:szCs w:val="24"/>
                <w:lang w:val="fr-FR"/>
              </w:rPr>
              <w:t>impact des politiques visant l</w:t>
            </w:r>
            <w:r w:rsidR="000A3D87">
              <w:rPr>
                <w:szCs w:val="24"/>
                <w:lang w:val="fr-FR"/>
              </w:rPr>
              <w:t>’</w:t>
            </w:r>
            <w:r w:rsidRPr="00846B6F">
              <w:rPr>
                <w:szCs w:val="24"/>
                <w:lang w:val="fr-FR"/>
              </w:rPr>
              <w:t>égalité des sexes et la mise en œuvre de la Convention.</w:t>
            </w:r>
          </w:p>
        </w:tc>
        <w:tc>
          <w:tcPr>
            <w:tcW w:w="3734" w:type="dxa"/>
            <w:shd w:val="clear" w:color="auto" w:fill="auto"/>
          </w:tcPr>
          <w:p w:rsidR="00B0068A" w:rsidRPr="00846B6F" w:rsidRDefault="00B0068A" w:rsidP="00846B6F">
            <w:pPr>
              <w:tabs>
                <w:tab w:val="left" w:pos="288"/>
                <w:tab w:val="left" w:pos="576"/>
                <w:tab w:val="left" w:pos="864"/>
                <w:tab w:val="left" w:pos="1152"/>
              </w:tabs>
              <w:suppressAutoHyphens/>
              <w:spacing w:before="40" w:after="80"/>
              <w:ind w:right="115"/>
              <w:rPr>
                <w:szCs w:val="24"/>
                <w:lang w:val="fr-FR"/>
              </w:rPr>
            </w:pPr>
            <w:r w:rsidRPr="00846B6F">
              <w:rPr>
                <w:szCs w:val="24"/>
                <w:lang w:val="fr-FR"/>
              </w:rPr>
              <w:t xml:space="preserve">Données actualisées fournies dans le présent rapport si elles sont disponibles. </w:t>
            </w:r>
          </w:p>
        </w:tc>
      </w:tr>
      <w:tr w:rsidR="00B0068A" w:rsidRPr="00846B6F">
        <w:tc>
          <w:tcPr>
            <w:tcW w:w="3646" w:type="dxa"/>
            <w:shd w:val="clear" w:color="auto" w:fill="auto"/>
          </w:tcPr>
          <w:p w:rsidR="00B0068A" w:rsidRPr="00846B6F" w:rsidRDefault="00B0068A" w:rsidP="00846B6F">
            <w:pPr>
              <w:tabs>
                <w:tab w:val="left" w:pos="288"/>
                <w:tab w:val="left" w:pos="576"/>
                <w:tab w:val="left" w:pos="864"/>
                <w:tab w:val="left" w:pos="1152"/>
              </w:tabs>
              <w:suppressAutoHyphens/>
              <w:spacing w:before="40" w:after="80"/>
              <w:ind w:right="115"/>
              <w:rPr>
                <w:szCs w:val="24"/>
                <w:lang w:val="fr-FR"/>
              </w:rPr>
            </w:pPr>
            <w:r w:rsidRPr="00846B6F">
              <w:rPr>
                <w:szCs w:val="24"/>
                <w:lang w:val="fr-FR"/>
              </w:rPr>
              <w:t>Ratifier le Protocole facultatif à la Convention et accepter sans délai les amendements de l</w:t>
            </w:r>
            <w:r w:rsidR="000A3D87">
              <w:rPr>
                <w:szCs w:val="24"/>
                <w:lang w:val="fr-FR"/>
              </w:rPr>
              <w:t>’</w:t>
            </w:r>
            <w:r w:rsidRPr="00846B6F">
              <w:rPr>
                <w:szCs w:val="24"/>
                <w:lang w:val="fr-FR"/>
              </w:rPr>
              <w:t>article 20, paragraphe 1 de la Convention concernant le temps de réunion du Comité.</w:t>
            </w:r>
          </w:p>
        </w:tc>
        <w:tc>
          <w:tcPr>
            <w:tcW w:w="3734" w:type="dxa"/>
            <w:shd w:val="clear" w:color="auto" w:fill="auto"/>
          </w:tcPr>
          <w:p w:rsidR="00B0068A" w:rsidRPr="00846B6F" w:rsidRDefault="00B0068A" w:rsidP="00846B6F">
            <w:pPr>
              <w:tabs>
                <w:tab w:val="left" w:pos="288"/>
                <w:tab w:val="left" w:pos="576"/>
                <w:tab w:val="left" w:pos="864"/>
                <w:tab w:val="left" w:pos="1152"/>
              </w:tabs>
              <w:suppressAutoHyphens/>
              <w:spacing w:before="40" w:after="80"/>
              <w:ind w:right="115"/>
              <w:rPr>
                <w:szCs w:val="24"/>
                <w:lang w:val="fr-FR"/>
              </w:rPr>
            </w:pPr>
            <w:r w:rsidRPr="00846B6F">
              <w:rPr>
                <w:szCs w:val="24"/>
                <w:lang w:val="fr-FR"/>
              </w:rPr>
              <w:t>Le Nigéria a ratifié un instrument internati</w:t>
            </w:r>
            <w:r w:rsidRPr="00846B6F">
              <w:rPr>
                <w:szCs w:val="24"/>
                <w:lang w:val="fr-FR"/>
              </w:rPr>
              <w:t>o</w:t>
            </w:r>
            <w:r w:rsidRPr="00846B6F">
              <w:rPr>
                <w:szCs w:val="24"/>
                <w:lang w:val="fr-FR"/>
              </w:rPr>
              <w:t>nal, le Protocole facultatif à la Convention (2004), signé et ratifié deux instruments régi</w:t>
            </w:r>
            <w:r w:rsidRPr="00846B6F">
              <w:rPr>
                <w:szCs w:val="24"/>
                <w:lang w:val="fr-FR"/>
              </w:rPr>
              <w:t>o</w:t>
            </w:r>
            <w:r w:rsidRPr="00846B6F">
              <w:rPr>
                <w:szCs w:val="24"/>
                <w:lang w:val="fr-FR"/>
              </w:rPr>
              <w:t>naux, le Protocole de l</w:t>
            </w:r>
            <w:r w:rsidR="000A3D87">
              <w:rPr>
                <w:szCs w:val="24"/>
                <w:lang w:val="fr-FR"/>
              </w:rPr>
              <w:t>’</w:t>
            </w:r>
            <w:r w:rsidRPr="00846B6F">
              <w:rPr>
                <w:szCs w:val="24"/>
                <w:lang w:val="fr-FR"/>
              </w:rPr>
              <w:t>Union africaine sur les droits des femmes en Afrique et la Déclaration solennelle sur l</w:t>
            </w:r>
            <w:r w:rsidR="000A3D87">
              <w:rPr>
                <w:szCs w:val="24"/>
                <w:lang w:val="fr-FR"/>
              </w:rPr>
              <w:t>’</w:t>
            </w:r>
            <w:r w:rsidRPr="00846B6F">
              <w:rPr>
                <w:szCs w:val="24"/>
                <w:lang w:val="fr-FR"/>
              </w:rPr>
              <w:t>égalité des sexes en Afrique.</w:t>
            </w:r>
          </w:p>
        </w:tc>
      </w:tr>
      <w:tr w:rsidR="00B0068A" w:rsidRPr="00846B6F">
        <w:tc>
          <w:tcPr>
            <w:tcW w:w="3646" w:type="dxa"/>
            <w:shd w:val="clear" w:color="auto" w:fill="auto"/>
          </w:tcPr>
          <w:p w:rsidR="00B0068A" w:rsidRPr="00846B6F" w:rsidRDefault="00B0068A" w:rsidP="00846B6F">
            <w:pPr>
              <w:tabs>
                <w:tab w:val="left" w:pos="288"/>
                <w:tab w:val="left" w:pos="576"/>
                <w:tab w:val="left" w:pos="864"/>
                <w:tab w:val="left" w:pos="1152"/>
              </w:tabs>
              <w:suppressAutoHyphens/>
              <w:spacing w:before="40" w:after="80"/>
              <w:ind w:right="115"/>
              <w:rPr>
                <w:szCs w:val="24"/>
                <w:lang w:val="fr-FR"/>
              </w:rPr>
            </w:pPr>
            <w:r w:rsidRPr="00846B6F">
              <w:rPr>
                <w:szCs w:val="24"/>
                <w:lang w:val="fr-FR"/>
              </w:rPr>
              <w:t>Répondre aux préoccupations exprimées dans les présentes remarques finales dans le pr</w:t>
            </w:r>
            <w:r w:rsidRPr="00846B6F">
              <w:rPr>
                <w:szCs w:val="24"/>
                <w:lang w:val="fr-FR"/>
              </w:rPr>
              <w:t>o</w:t>
            </w:r>
            <w:r w:rsidRPr="00846B6F">
              <w:rPr>
                <w:szCs w:val="24"/>
                <w:lang w:val="fr-FR"/>
              </w:rPr>
              <w:t>chain rapport périodique, qui doit être prése</w:t>
            </w:r>
            <w:r w:rsidRPr="00846B6F">
              <w:rPr>
                <w:szCs w:val="24"/>
                <w:lang w:val="fr-FR"/>
              </w:rPr>
              <w:t>n</w:t>
            </w:r>
            <w:r w:rsidRPr="00846B6F">
              <w:rPr>
                <w:szCs w:val="24"/>
                <w:lang w:val="fr-FR"/>
              </w:rPr>
              <w:t>té en 2006, aux termes de l</w:t>
            </w:r>
            <w:r w:rsidR="000A3D87">
              <w:rPr>
                <w:szCs w:val="24"/>
                <w:lang w:val="fr-FR"/>
              </w:rPr>
              <w:t>’</w:t>
            </w:r>
            <w:r w:rsidRPr="00846B6F">
              <w:rPr>
                <w:szCs w:val="24"/>
                <w:lang w:val="fr-FR"/>
              </w:rPr>
              <w:t>article 18 de la Convention.</w:t>
            </w:r>
          </w:p>
        </w:tc>
        <w:tc>
          <w:tcPr>
            <w:tcW w:w="3734" w:type="dxa"/>
            <w:shd w:val="clear" w:color="auto" w:fill="auto"/>
          </w:tcPr>
          <w:p w:rsidR="00B0068A" w:rsidRPr="00846B6F" w:rsidRDefault="00B0068A" w:rsidP="00846B6F">
            <w:pPr>
              <w:tabs>
                <w:tab w:val="left" w:pos="288"/>
                <w:tab w:val="left" w:pos="576"/>
                <w:tab w:val="left" w:pos="864"/>
                <w:tab w:val="left" w:pos="1152"/>
              </w:tabs>
              <w:suppressAutoHyphens/>
              <w:spacing w:before="40" w:after="80"/>
              <w:ind w:right="115"/>
              <w:rPr>
                <w:szCs w:val="24"/>
                <w:lang w:val="fr-FR"/>
              </w:rPr>
            </w:pPr>
            <w:r w:rsidRPr="00846B6F">
              <w:rPr>
                <w:szCs w:val="24"/>
                <w:lang w:val="fr-FR"/>
              </w:rPr>
              <w:t>Réponse initiale transmise en 2004 et no</w:t>
            </w:r>
            <w:r w:rsidRPr="00846B6F">
              <w:rPr>
                <w:szCs w:val="24"/>
                <w:lang w:val="fr-FR"/>
              </w:rPr>
              <w:t>u</w:t>
            </w:r>
            <w:r w:rsidRPr="00846B6F">
              <w:rPr>
                <w:szCs w:val="24"/>
                <w:lang w:val="fr-FR"/>
              </w:rPr>
              <w:t>veaux développements inclus dans le présent rapport</w:t>
            </w:r>
          </w:p>
        </w:tc>
      </w:tr>
      <w:tr w:rsidR="00B0068A" w:rsidRPr="00846B6F">
        <w:tc>
          <w:tcPr>
            <w:tcW w:w="3646" w:type="dxa"/>
            <w:shd w:val="clear" w:color="auto" w:fill="auto"/>
          </w:tcPr>
          <w:p w:rsidR="00B0068A" w:rsidRPr="00846B6F" w:rsidRDefault="00B0068A" w:rsidP="00846B6F">
            <w:pPr>
              <w:tabs>
                <w:tab w:val="left" w:pos="288"/>
                <w:tab w:val="left" w:pos="576"/>
                <w:tab w:val="left" w:pos="864"/>
                <w:tab w:val="left" w:pos="1152"/>
              </w:tabs>
              <w:suppressAutoHyphens/>
              <w:spacing w:before="40" w:after="80"/>
              <w:ind w:right="115"/>
              <w:rPr>
                <w:szCs w:val="24"/>
                <w:lang w:val="fr-FR"/>
              </w:rPr>
            </w:pPr>
            <w:r w:rsidRPr="00846B6F">
              <w:rPr>
                <w:szCs w:val="24"/>
                <w:lang w:val="fr-FR"/>
              </w:rPr>
              <w:t>Faire figurer dans le prochain rapport périod</w:t>
            </w:r>
            <w:r w:rsidRPr="00846B6F">
              <w:rPr>
                <w:szCs w:val="24"/>
                <w:lang w:val="fr-FR"/>
              </w:rPr>
              <w:t>i</w:t>
            </w:r>
            <w:r w:rsidRPr="00846B6F">
              <w:rPr>
                <w:szCs w:val="24"/>
                <w:lang w:val="fr-FR"/>
              </w:rPr>
              <w:t>que des informations sur la mise en œuvre des aspects des articles pertinents de la Conve</w:t>
            </w:r>
            <w:r w:rsidRPr="00846B6F">
              <w:rPr>
                <w:szCs w:val="24"/>
                <w:lang w:val="fr-FR"/>
              </w:rPr>
              <w:t>n</w:t>
            </w:r>
            <w:r w:rsidRPr="00846B6F">
              <w:rPr>
                <w:szCs w:val="24"/>
                <w:lang w:val="fr-FR"/>
              </w:rPr>
              <w:t>tion.</w:t>
            </w:r>
          </w:p>
        </w:tc>
        <w:tc>
          <w:tcPr>
            <w:tcW w:w="3734" w:type="dxa"/>
            <w:shd w:val="clear" w:color="auto" w:fill="auto"/>
          </w:tcPr>
          <w:p w:rsidR="00B0068A" w:rsidRPr="00846B6F" w:rsidRDefault="00B0068A" w:rsidP="00846B6F">
            <w:pPr>
              <w:tabs>
                <w:tab w:val="left" w:pos="288"/>
                <w:tab w:val="left" w:pos="576"/>
                <w:tab w:val="left" w:pos="864"/>
                <w:tab w:val="left" w:pos="1152"/>
              </w:tabs>
              <w:suppressAutoHyphens/>
              <w:spacing w:before="40" w:after="80"/>
              <w:ind w:right="115"/>
              <w:rPr>
                <w:szCs w:val="24"/>
                <w:lang w:val="fr-FR"/>
              </w:rPr>
            </w:pPr>
            <w:r w:rsidRPr="00846B6F">
              <w:rPr>
                <w:szCs w:val="24"/>
                <w:lang w:val="fr-FR"/>
              </w:rPr>
              <w:t>Dans le présent rapport figurent les dernières informations sur les progrès accomplis dans le processus de mise en œuvre.</w:t>
            </w:r>
          </w:p>
        </w:tc>
      </w:tr>
      <w:tr w:rsidR="00B0068A" w:rsidRPr="00846B6F">
        <w:tc>
          <w:tcPr>
            <w:tcW w:w="3646" w:type="dxa"/>
            <w:tcBorders>
              <w:bottom w:val="single" w:sz="12" w:space="0" w:color="auto"/>
            </w:tcBorders>
            <w:shd w:val="clear" w:color="auto" w:fill="auto"/>
          </w:tcPr>
          <w:p w:rsidR="00B0068A" w:rsidRPr="00846B6F" w:rsidRDefault="00B0068A" w:rsidP="00846B6F">
            <w:pPr>
              <w:tabs>
                <w:tab w:val="left" w:pos="288"/>
                <w:tab w:val="left" w:pos="576"/>
                <w:tab w:val="left" w:pos="864"/>
                <w:tab w:val="left" w:pos="1152"/>
              </w:tabs>
              <w:suppressAutoHyphens/>
              <w:spacing w:before="40" w:after="80"/>
              <w:ind w:right="115"/>
              <w:rPr>
                <w:szCs w:val="24"/>
                <w:lang w:val="fr-FR"/>
              </w:rPr>
            </w:pPr>
            <w:r w:rsidRPr="00846B6F">
              <w:rPr>
                <w:szCs w:val="24"/>
                <w:lang w:val="fr-FR"/>
              </w:rPr>
              <w:t>Sensibiliser en assurant la dissémination à grande échelle des présentes observations f</w:t>
            </w:r>
            <w:r w:rsidRPr="00846B6F">
              <w:rPr>
                <w:szCs w:val="24"/>
                <w:lang w:val="fr-FR"/>
              </w:rPr>
              <w:t>i</w:t>
            </w:r>
            <w:r w:rsidRPr="00846B6F">
              <w:rPr>
                <w:szCs w:val="24"/>
                <w:lang w:val="fr-FR"/>
              </w:rPr>
              <w:t>nales, notamment parmi les responsables de l</w:t>
            </w:r>
            <w:r w:rsidR="000A3D87">
              <w:rPr>
                <w:szCs w:val="24"/>
                <w:lang w:val="fr-FR"/>
              </w:rPr>
              <w:t>’</w:t>
            </w:r>
            <w:r w:rsidRPr="00846B6F">
              <w:rPr>
                <w:szCs w:val="24"/>
                <w:lang w:val="fr-FR"/>
              </w:rPr>
              <w:t>administration, les hommes et femmes pol</w:t>
            </w:r>
            <w:r w:rsidRPr="00846B6F">
              <w:rPr>
                <w:szCs w:val="24"/>
                <w:lang w:val="fr-FR"/>
              </w:rPr>
              <w:t>i</w:t>
            </w:r>
            <w:r w:rsidRPr="00846B6F">
              <w:rPr>
                <w:szCs w:val="24"/>
                <w:lang w:val="fr-FR"/>
              </w:rPr>
              <w:t>tiques et autres Nigérians, aux mesures prises jusqu</w:t>
            </w:r>
            <w:r w:rsidR="000A3D87">
              <w:rPr>
                <w:szCs w:val="24"/>
                <w:lang w:val="fr-FR"/>
              </w:rPr>
              <w:t>’</w:t>
            </w:r>
            <w:r w:rsidRPr="00846B6F">
              <w:rPr>
                <w:szCs w:val="24"/>
                <w:lang w:val="fr-FR"/>
              </w:rPr>
              <w:t>ici et à celles qu</w:t>
            </w:r>
            <w:r w:rsidR="000A3D87">
              <w:rPr>
                <w:szCs w:val="24"/>
                <w:lang w:val="fr-FR"/>
              </w:rPr>
              <w:t>’</w:t>
            </w:r>
            <w:r w:rsidRPr="00846B6F">
              <w:rPr>
                <w:szCs w:val="24"/>
                <w:lang w:val="fr-FR"/>
              </w:rPr>
              <w:t>il sera nécessaire de prendre à l</w:t>
            </w:r>
            <w:r w:rsidR="000A3D87">
              <w:rPr>
                <w:szCs w:val="24"/>
                <w:lang w:val="fr-FR"/>
              </w:rPr>
              <w:t>’</w:t>
            </w:r>
            <w:r w:rsidRPr="00846B6F">
              <w:rPr>
                <w:szCs w:val="24"/>
                <w:lang w:val="fr-FR"/>
              </w:rPr>
              <w:t>avenir pour assurer l</w:t>
            </w:r>
            <w:r w:rsidR="000A3D87">
              <w:rPr>
                <w:szCs w:val="24"/>
                <w:lang w:val="fr-FR"/>
              </w:rPr>
              <w:t>’</w:t>
            </w:r>
            <w:r w:rsidRPr="00846B6F">
              <w:rPr>
                <w:szCs w:val="24"/>
                <w:lang w:val="fr-FR"/>
              </w:rPr>
              <w:t>égalité de droit et de fait pour les femmes. Continuer de diffuser à grande échelle, notamment parmi les organisations des droits de la femme et des droits humains, la Convention et son Prot</w:t>
            </w:r>
            <w:r w:rsidRPr="00846B6F">
              <w:rPr>
                <w:szCs w:val="24"/>
                <w:lang w:val="fr-FR"/>
              </w:rPr>
              <w:t>o</w:t>
            </w:r>
            <w:r w:rsidRPr="00846B6F">
              <w:rPr>
                <w:szCs w:val="24"/>
                <w:lang w:val="fr-FR"/>
              </w:rPr>
              <w:t>cole facultatif, les recommandations générales du Comité, la Déclaration et le Programme d</w:t>
            </w:r>
            <w:r w:rsidR="000A3D87">
              <w:rPr>
                <w:szCs w:val="24"/>
                <w:lang w:val="fr-FR"/>
              </w:rPr>
              <w:t>’</w:t>
            </w:r>
            <w:r w:rsidRPr="00846B6F">
              <w:rPr>
                <w:szCs w:val="24"/>
                <w:lang w:val="fr-FR"/>
              </w:rPr>
              <w:t>action de Beijing et les résultats de la vingt-troisième session extraordinaire de l</w:t>
            </w:r>
            <w:r w:rsidR="000A3D87">
              <w:rPr>
                <w:szCs w:val="24"/>
                <w:lang w:val="fr-FR"/>
              </w:rPr>
              <w:t>’</w:t>
            </w:r>
            <w:r w:rsidRPr="00846B6F">
              <w:rPr>
                <w:szCs w:val="24"/>
                <w:lang w:val="fr-FR"/>
              </w:rPr>
              <w:t xml:space="preserve">Assemblée générale, intitulée </w:t>
            </w:r>
            <w:r w:rsidR="006D3FC4">
              <w:rPr>
                <w:szCs w:val="24"/>
                <w:lang w:val="fr-FR"/>
              </w:rPr>
              <w:t>« </w:t>
            </w:r>
            <w:r w:rsidRPr="00846B6F">
              <w:rPr>
                <w:szCs w:val="24"/>
                <w:lang w:val="fr-FR"/>
              </w:rPr>
              <w:t>Femmes 2000 : parité hommes-femmes, développ</w:t>
            </w:r>
            <w:r w:rsidRPr="00846B6F">
              <w:rPr>
                <w:szCs w:val="24"/>
                <w:lang w:val="fr-FR"/>
              </w:rPr>
              <w:t>e</w:t>
            </w:r>
            <w:r w:rsidRPr="00846B6F">
              <w:rPr>
                <w:szCs w:val="24"/>
                <w:lang w:val="fr-FR"/>
              </w:rPr>
              <w:t>ment et paix pour le XXI</w:t>
            </w:r>
            <w:r w:rsidRPr="00846B6F">
              <w:rPr>
                <w:szCs w:val="24"/>
                <w:vertAlign w:val="superscript"/>
                <w:lang w:val="fr-FR"/>
              </w:rPr>
              <w:t>e</w:t>
            </w:r>
            <w:r w:rsidR="006D3FC4">
              <w:rPr>
                <w:szCs w:val="24"/>
                <w:vertAlign w:val="superscript"/>
                <w:lang w:val="fr-FR"/>
              </w:rPr>
              <w:t> </w:t>
            </w:r>
            <w:r w:rsidRPr="00846B6F">
              <w:rPr>
                <w:szCs w:val="24"/>
                <w:lang w:val="fr-FR"/>
              </w:rPr>
              <w:t>siècle</w:t>
            </w:r>
            <w:r w:rsidR="000A3D87">
              <w:rPr>
                <w:szCs w:val="24"/>
                <w:lang w:val="fr-FR"/>
              </w:rPr>
              <w:t> »</w:t>
            </w:r>
            <w:r w:rsidRPr="00846B6F">
              <w:rPr>
                <w:szCs w:val="24"/>
                <w:lang w:val="fr-FR"/>
              </w:rPr>
              <w:t>.</w:t>
            </w:r>
          </w:p>
        </w:tc>
        <w:tc>
          <w:tcPr>
            <w:tcW w:w="3734" w:type="dxa"/>
            <w:tcBorders>
              <w:bottom w:val="single" w:sz="12" w:space="0" w:color="auto"/>
            </w:tcBorders>
            <w:shd w:val="clear" w:color="auto" w:fill="auto"/>
          </w:tcPr>
          <w:p w:rsidR="00B0068A" w:rsidRPr="00846B6F" w:rsidRDefault="00B0068A" w:rsidP="00846B6F">
            <w:pPr>
              <w:tabs>
                <w:tab w:val="left" w:pos="288"/>
                <w:tab w:val="left" w:pos="576"/>
                <w:tab w:val="left" w:pos="864"/>
                <w:tab w:val="left" w:pos="1152"/>
              </w:tabs>
              <w:suppressAutoHyphens/>
              <w:spacing w:before="40" w:after="80"/>
              <w:ind w:right="115"/>
              <w:rPr>
                <w:bCs/>
                <w:szCs w:val="24"/>
                <w:lang w:val="fr-FR"/>
              </w:rPr>
            </w:pPr>
            <w:r w:rsidRPr="00846B6F">
              <w:rPr>
                <w:bCs/>
                <w:szCs w:val="24"/>
                <w:lang w:val="fr-FR"/>
              </w:rPr>
              <w:t>Rapport final publié à grande échelle entre les principaux décideurs.</w:t>
            </w:r>
          </w:p>
        </w:tc>
      </w:tr>
    </w:tbl>
    <w:p w:rsidR="00620C41" w:rsidRDefault="00620C41" w:rsidP="00CF5B1B">
      <w:pPr>
        <w:pStyle w:val="SingleTxt"/>
      </w:pPr>
    </w:p>
    <w:p w:rsidR="00620C41" w:rsidRDefault="00620C41" w:rsidP="00620C4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br w:type="page"/>
      </w:r>
      <w:r w:rsidRPr="005D6CD4">
        <w:rPr>
          <w:lang w:val="fr-FR"/>
        </w:rPr>
        <w:t>Partie 2</w:t>
      </w:r>
    </w:p>
    <w:p w:rsidR="00620C41" w:rsidRPr="00620C41" w:rsidRDefault="00620C41" w:rsidP="00620C4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620C41" w:rsidRPr="00620C41" w:rsidRDefault="00620C41" w:rsidP="00620C4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620C41" w:rsidRDefault="00620C41" w:rsidP="00620C4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D6CD4">
        <w:rPr>
          <w:lang w:val="fr-FR"/>
        </w:rPr>
        <w:t>Rapport d</w:t>
      </w:r>
      <w:r w:rsidR="000A3D87">
        <w:rPr>
          <w:lang w:val="fr-FR"/>
        </w:rPr>
        <w:t>’</w:t>
      </w:r>
      <w:r w:rsidRPr="005D6CD4">
        <w:rPr>
          <w:lang w:val="fr-FR"/>
        </w:rPr>
        <w:t xml:space="preserve">activité sur la mise en œuvre de </w:t>
      </w:r>
      <w:r>
        <w:rPr>
          <w:lang w:val="fr-FR"/>
        </w:rPr>
        <w:t>la Convention</w:t>
      </w:r>
    </w:p>
    <w:p w:rsidR="00620C41" w:rsidRPr="00620C41" w:rsidRDefault="00620C41" w:rsidP="00620C41">
      <w:pPr>
        <w:pStyle w:val="SingleTxt"/>
        <w:spacing w:after="0" w:line="120" w:lineRule="exact"/>
        <w:rPr>
          <w:sz w:val="10"/>
          <w:lang w:val="fr-FR"/>
        </w:rPr>
      </w:pPr>
    </w:p>
    <w:p w:rsidR="00620C41" w:rsidRPr="00620C41" w:rsidRDefault="00620C41" w:rsidP="00620C41">
      <w:pPr>
        <w:pStyle w:val="SingleTxt"/>
        <w:spacing w:after="0" w:line="120" w:lineRule="exact"/>
        <w:rPr>
          <w:sz w:val="10"/>
          <w:lang w:val="fr-FR"/>
        </w:rPr>
      </w:pPr>
    </w:p>
    <w:p w:rsidR="00620C41" w:rsidRDefault="00D17E6C" w:rsidP="00620C4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620C41" w:rsidRPr="005D6CD4">
        <w:rPr>
          <w:lang w:val="fr-FR"/>
        </w:rPr>
        <w:t xml:space="preserve">Article </w:t>
      </w:r>
      <w:r>
        <w:rPr>
          <w:lang w:val="fr-FR"/>
        </w:rPr>
        <w:t xml:space="preserve">Premier : </w:t>
      </w:r>
      <w:r w:rsidR="00620C41" w:rsidRPr="005D6CD4">
        <w:rPr>
          <w:lang w:val="fr-FR"/>
        </w:rPr>
        <w:t>Définition de la discrimination à l</w:t>
      </w:r>
      <w:r w:rsidR="000A3D87">
        <w:rPr>
          <w:lang w:val="fr-FR"/>
        </w:rPr>
        <w:t>’</w:t>
      </w:r>
      <w:r w:rsidR="00620C41" w:rsidRPr="005D6CD4">
        <w:rPr>
          <w:lang w:val="fr-FR"/>
        </w:rPr>
        <w:t>égard des femmes</w:t>
      </w:r>
    </w:p>
    <w:p w:rsidR="00620C41" w:rsidRPr="00620C41" w:rsidRDefault="00620C41" w:rsidP="00620C41">
      <w:pPr>
        <w:pStyle w:val="SingleTxt"/>
        <w:spacing w:after="0" w:line="120" w:lineRule="exact"/>
        <w:rPr>
          <w:sz w:val="10"/>
          <w:lang w:val="fr-FR"/>
        </w:rPr>
      </w:pPr>
    </w:p>
    <w:p w:rsidR="00620C41" w:rsidRDefault="00620C41" w:rsidP="00620C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5D6CD4">
        <w:rPr>
          <w:lang w:val="fr-FR"/>
        </w:rPr>
        <w:t xml:space="preserve">1.0 </w:t>
      </w:r>
      <w:r w:rsidRPr="005D6CD4">
        <w:rPr>
          <w:lang w:val="fr-FR"/>
        </w:rPr>
        <w:tab/>
        <w:t>Cadre juridique</w:t>
      </w:r>
    </w:p>
    <w:p w:rsidR="00620C41" w:rsidRPr="00620C41" w:rsidRDefault="00620C41" w:rsidP="00620C41">
      <w:pPr>
        <w:pStyle w:val="SingleTxt"/>
        <w:spacing w:after="0" w:line="120" w:lineRule="exact"/>
        <w:rPr>
          <w:sz w:val="10"/>
          <w:lang w:val="fr-FR"/>
        </w:rPr>
      </w:pPr>
    </w:p>
    <w:p w:rsidR="00CF5B1B" w:rsidRDefault="00877CB0" w:rsidP="00877C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bCs/>
          <w:lang w:val="fr-FR"/>
        </w:rPr>
        <w:tab/>
      </w:r>
      <w:r w:rsidR="00620C41" w:rsidRPr="005D6CD4">
        <w:rPr>
          <w:bCs/>
          <w:lang w:val="fr-FR"/>
        </w:rPr>
        <w:t>1.1</w:t>
      </w:r>
      <w:r w:rsidR="00620C41" w:rsidRPr="005D6CD4">
        <w:rPr>
          <w:lang w:val="fr-FR"/>
        </w:rPr>
        <w:t xml:space="preserve"> </w:t>
      </w:r>
      <w:r w:rsidR="003A6F57">
        <w:rPr>
          <w:lang w:val="fr-FR"/>
        </w:rPr>
        <w:tab/>
      </w:r>
      <w:r w:rsidR="00620C41" w:rsidRPr="00877CB0">
        <w:rPr>
          <w:b w:val="0"/>
          <w:lang w:val="fr-FR"/>
        </w:rPr>
        <w:t>Comme indiqué dans les précédents rapports de pays, le Nigéria approuve et maintient la définition de la discrimination telle qu</w:t>
      </w:r>
      <w:r w:rsidR="000A3D87" w:rsidRPr="00877CB0">
        <w:rPr>
          <w:b w:val="0"/>
          <w:lang w:val="fr-FR"/>
        </w:rPr>
        <w:t>’</w:t>
      </w:r>
      <w:r w:rsidR="00620C41" w:rsidRPr="00877CB0">
        <w:rPr>
          <w:b w:val="0"/>
          <w:lang w:val="fr-FR"/>
        </w:rPr>
        <w:t>épousée par la Convention. Plus précisément, la Constitution du Nigéria de 1999, chapitre IV, section 42 I), a) et b)</w:t>
      </w:r>
      <w:r w:rsidR="00D17E6C" w:rsidRPr="00877CB0">
        <w:rPr>
          <w:b w:val="0"/>
          <w:lang w:val="fr-FR"/>
        </w:rPr>
        <w:t>;</w:t>
      </w:r>
      <w:r w:rsidR="00620C41" w:rsidRPr="00877CB0">
        <w:rPr>
          <w:b w:val="0"/>
          <w:lang w:val="fr-FR"/>
        </w:rPr>
        <w:t xml:space="preserve"> 2) et 3) proscrit contre tout citoyen, la discrimination fondée sur le sexe, la religion, l</w:t>
      </w:r>
      <w:r w:rsidR="000A3D87" w:rsidRPr="00877CB0">
        <w:rPr>
          <w:b w:val="0"/>
          <w:lang w:val="fr-FR"/>
        </w:rPr>
        <w:t>’</w:t>
      </w:r>
      <w:r w:rsidR="00620C41" w:rsidRPr="00877CB0">
        <w:rPr>
          <w:b w:val="0"/>
          <w:lang w:val="fr-FR"/>
        </w:rPr>
        <w:t>appartenance ethnique, l</w:t>
      </w:r>
      <w:r w:rsidR="000A3D87" w:rsidRPr="00877CB0">
        <w:rPr>
          <w:b w:val="0"/>
          <w:lang w:val="fr-FR"/>
        </w:rPr>
        <w:t>’</w:t>
      </w:r>
      <w:r w:rsidR="00620C41" w:rsidRPr="00877CB0">
        <w:rPr>
          <w:b w:val="0"/>
          <w:lang w:val="fr-FR"/>
        </w:rPr>
        <w:t>âge ou les circonstances de la naissance.</w:t>
      </w:r>
    </w:p>
    <w:p w:rsidR="003A6F57" w:rsidRPr="00E15507" w:rsidRDefault="00D17E6C" w:rsidP="00D17E6C">
      <w:pPr>
        <w:pStyle w:val="SingleTxt"/>
        <w:ind w:right="4900"/>
        <w:rPr>
          <w:lang w:val="fr-FR"/>
        </w:rPr>
      </w:pPr>
      <w:r>
        <w:rPr>
          <w:noProof/>
          <w:w w:val="100"/>
          <w:lang w:val="en-US"/>
        </w:rPr>
        <w:pict>
          <v:shape id="_x0000_s2064" type="#_x0000_t202" style="position:absolute;left:0;text-align:left;margin-left:259.3pt;margin-top:5.5pt;width:171pt;height:378pt;z-index:3">
            <v:textbox>
              <w:txbxContent>
                <w:p w:rsidR="00D32F3D" w:rsidRPr="00877CB0" w:rsidRDefault="00D32F3D" w:rsidP="009D597F">
                  <w:pPr>
                    <w:rPr>
                      <w:b/>
                    </w:rPr>
                  </w:pPr>
                  <w:r w:rsidRPr="00877CB0">
                    <w:rPr>
                      <w:b/>
                    </w:rPr>
                    <w:t>Encadré 1.1</w:t>
                  </w:r>
                </w:p>
                <w:p w:rsidR="00877CB0" w:rsidRPr="00877CB0" w:rsidRDefault="00877CB0" w:rsidP="00877CB0">
                  <w:pPr>
                    <w:spacing w:line="120" w:lineRule="exact"/>
                    <w:rPr>
                      <w:sz w:val="10"/>
                    </w:rPr>
                  </w:pPr>
                </w:p>
                <w:p w:rsidR="00D32F3D" w:rsidRPr="00877CB0" w:rsidRDefault="00D32F3D" w:rsidP="009D597F">
                  <w:pPr>
                    <w:tabs>
                      <w:tab w:val="left" w:pos="270"/>
                    </w:tabs>
                    <w:ind w:left="270" w:hanging="270"/>
                    <w:rPr>
                      <w:b/>
                      <w:i/>
                    </w:rPr>
                  </w:pPr>
                  <w:r w:rsidRPr="00877CB0">
                    <w:rPr>
                      <w:b/>
                      <w:i/>
                    </w:rPr>
                    <w:t>•</w:t>
                  </w:r>
                  <w:r w:rsidRPr="00877CB0">
                    <w:rPr>
                      <w:b/>
                      <w:i/>
                    </w:rPr>
                    <w:tab/>
                    <w:t>Convention et son Protocole facultatif</w:t>
                  </w:r>
                </w:p>
                <w:p w:rsidR="00D32F3D" w:rsidRPr="00877CB0" w:rsidRDefault="00D32F3D" w:rsidP="009D597F">
                  <w:pPr>
                    <w:tabs>
                      <w:tab w:val="left" w:pos="270"/>
                    </w:tabs>
                    <w:rPr>
                      <w:b/>
                      <w:i/>
                    </w:rPr>
                  </w:pPr>
                  <w:r w:rsidRPr="00877CB0">
                    <w:rPr>
                      <w:b/>
                      <w:i/>
                    </w:rPr>
                    <w:t>•</w:t>
                  </w:r>
                  <w:r w:rsidRPr="00877CB0">
                    <w:rPr>
                      <w:b/>
                      <w:i/>
                    </w:rPr>
                    <w:tab/>
                    <w:t xml:space="preserve">Programme d’action de Beijing </w:t>
                  </w:r>
                </w:p>
                <w:p w:rsidR="00D32F3D" w:rsidRPr="00877CB0" w:rsidRDefault="00D32F3D" w:rsidP="009D597F">
                  <w:pPr>
                    <w:tabs>
                      <w:tab w:val="left" w:pos="270"/>
                    </w:tabs>
                    <w:rPr>
                      <w:b/>
                      <w:i/>
                    </w:rPr>
                  </w:pPr>
                  <w:r w:rsidRPr="00877CB0">
                    <w:rPr>
                      <w:b/>
                      <w:i/>
                    </w:rPr>
                    <w:t>•</w:t>
                  </w:r>
                  <w:r w:rsidRPr="00877CB0">
                    <w:rPr>
                      <w:b/>
                      <w:i/>
                    </w:rPr>
                    <w:tab/>
                    <w:t>Déclaration de Rio+10</w:t>
                  </w:r>
                </w:p>
                <w:p w:rsidR="00D32F3D" w:rsidRPr="00877CB0" w:rsidRDefault="00D32F3D" w:rsidP="009D597F">
                  <w:pPr>
                    <w:tabs>
                      <w:tab w:val="left" w:pos="270"/>
                    </w:tabs>
                    <w:ind w:left="270" w:hanging="270"/>
                    <w:rPr>
                      <w:b/>
                      <w:i/>
                    </w:rPr>
                  </w:pPr>
                  <w:r w:rsidRPr="00877CB0">
                    <w:rPr>
                      <w:b/>
                      <w:i/>
                    </w:rPr>
                    <w:t>•</w:t>
                  </w:r>
                  <w:r w:rsidRPr="00877CB0">
                    <w:rPr>
                      <w:b/>
                      <w:i/>
                    </w:rPr>
                    <w:tab/>
                    <w:t>Protocole de l’UA à la Charte africaine sur les droits des femmes en Afrique</w:t>
                  </w:r>
                </w:p>
                <w:p w:rsidR="00D32F3D" w:rsidRPr="00877CB0" w:rsidRDefault="00D32F3D" w:rsidP="009D597F">
                  <w:pPr>
                    <w:tabs>
                      <w:tab w:val="left" w:pos="270"/>
                    </w:tabs>
                    <w:ind w:left="270" w:hanging="270"/>
                    <w:rPr>
                      <w:b/>
                      <w:i/>
                    </w:rPr>
                  </w:pPr>
                  <w:r w:rsidRPr="00877CB0">
                    <w:rPr>
                      <w:b/>
                      <w:i/>
                    </w:rPr>
                    <w:t>•</w:t>
                  </w:r>
                  <w:r w:rsidRPr="00877CB0">
                    <w:rPr>
                      <w:b/>
                      <w:i/>
                    </w:rPr>
                    <w:tab/>
                    <w:t>Déclaration solennelle sur l’égalité des sexes en Afrique</w:t>
                  </w:r>
                </w:p>
                <w:p w:rsidR="00D32F3D" w:rsidRPr="00877CB0" w:rsidRDefault="00D32F3D" w:rsidP="009D597F">
                  <w:pPr>
                    <w:tabs>
                      <w:tab w:val="left" w:pos="270"/>
                    </w:tabs>
                    <w:ind w:left="270" w:hanging="270"/>
                    <w:rPr>
                      <w:b/>
                      <w:i/>
                    </w:rPr>
                  </w:pPr>
                  <w:r w:rsidRPr="00877CB0">
                    <w:rPr>
                      <w:b/>
                      <w:i/>
                    </w:rPr>
                    <w:t>•</w:t>
                  </w:r>
                  <w:r w:rsidRPr="00877CB0">
                    <w:rPr>
                      <w:b/>
                      <w:i/>
                    </w:rPr>
                    <w:tab/>
                    <w:t>Convention des Nations Unies contre la criminalité transnationale organisée</w:t>
                  </w:r>
                </w:p>
                <w:p w:rsidR="00D32F3D" w:rsidRPr="00877CB0" w:rsidRDefault="00D32F3D" w:rsidP="009D597F">
                  <w:pPr>
                    <w:tabs>
                      <w:tab w:val="left" w:pos="270"/>
                    </w:tabs>
                    <w:ind w:left="270" w:hanging="270"/>
                    <w:rPr>
                      <w:b/>
                      <w:i/>
                    </w:rPr>
                  </w:pPr>
                  <w:r w:rsidRPr="00877CB0">
                    <w:rPr>
                      <w:b/>
                      <w:i/>
                    </w:rPr>
                    <w:t>•</w:t>
                  </w:r>
                  <w:r w:rsidRPr="00877CB0">
                    <w:rPr>
                      <w:b/>
                      <w:i/>
                    </w:rPr>
                    <w:tab/>
                    <w:t>Protocole pour prévenir, supprimer et punir la traite des personnes, en particulier des femmes et des enfants, complétant la Convention des Nations Unies contre la criminalité transnationale organisée</w:t>
                  </w:r>
                </w:p>
                <w:p w:rsidR="00D32F3D" w:rsidRPr="00877CB0" w:rsidRDefault="00D32F3D" w:rsidP="009D597F">
                  <w:pPr>
                    <w:tabs>
                      <w:tab w:val="left" w:pos="270"/>
                    </w:tabs>
                    <w:ind w:left="270" w:hanging="270"/>
                    <w:rPr>
                      <w:b/>
                      <w:i/>
                    </w:rPr>
                  </w:pPr>
                  <w:r w:rsidRPr="00877CB0">
                    <w:rPr>
                      <w:b/>
                      <w:i/>
                    </w:rPr>
                    <w:t>•</w:t>
                  </w:r>
                  <w:r w:rsidRPr="00877CB0">
                    <w:rPr>
                      <w:b/>
                      <w:i/>
                    </w:rPr>
                    <w:tab/>
                    <w:t>Convention contre la torture et autres peines ou traitements cruels, inhumains ou dégradants</w:t>
                  </w:r>
                </w:p>
                <w:p w:rsidR="00D32F3D" w:rsidRPr="00877CB0" w:rsidRDefault="00D32F3D" w:rsidP="009D597F">
                  <w:pPr>
                    <w:tabs>
                      <w:tab w:val="left" w:pos="270"/>
                    </w:tabs>
                    <w:ind w:left="270" w:hanging="270"/>
                    <w:rPr>
                      <w:b/>
                      <w:i/>
                    </w:rPr>
                  </w:pPr>
                  <w:r w:rsidRPr="00877CB0">
                    <w:rPr>
                      <w:b/>
                      <w:i/>
                    </w:rPr>
                    <w:t>•</w:t>
                  </w:r>
                  <w:r w:rsidRPr="00877CB0">
                    <w:rPr>
                      <w:b/>
                      <w:i/>
                    </w:rPr>
                    <w:tab/>
                    <w:t>Pacte international sur les droits civils et politiques</w:t>
                  </w:r>
                </w:p>
                <w:p w:rsidR="00D32F3D" w:rsidRPr="00877CB0" w:rsidRDefault="00D32F3D" w:rsidP="009D597F">
                  <w:pPr>
                    <w:tabs>
                      <w:tab w:val="left" w:pos="270"/>
                    </w:tabs>
                    <w:ind w:left="270" w:hanging="270"/>
                    <w:rPr>
                      <w:b/>
                      <w:i/>
                    </w:rPr>
                  </w:pPr>
                  <w:r w:rsidRPr="00877CB0">
                    <w:rPr>
                      <w:b/>
                      <w:i/>
                    </w:rPr>
                    <w:t>•</w:t>
                  </w:r>
                  <w:r w:rsidRPr="00877CB0">
                    <w:rPr>
                      <w:b/>
                      <w:i/>
                    </w:rPr>
                    <w:tab/>
                    <w:t>Pacte international sur les droits économiques, sociaux et culturels</w:t>
                  </w:r>
                </w:p>
              </w:txbxContent>
            </v:textbox>
          </v:shape>
        </w:pict>
      </w:r>
      <w:r w:rsidR="003A6F57" w:rsidRPr="00E15507">
        <w:rPr>
          <w:lang w:val="fr-FR"/>
        </w:rPr>
        <w:t>Pour attester davantage cet engagement envers cette définition et les dispositions constitutionnelles, le Gouvernement du Nigéria a signé, ratifié et intégré à la législation nationale dans certains cas, tous les traités et programmes internationaux et sous-régionaux qui retiennent les principes et les idéaux de non-discrimination, de promotion et de protection des droits des femmes en tant que droits humains ainsi que le maintien de mesures de démarginalisation des femmes et de promotion de l</w:t>
      </w:r>
      <w:r w:rsidR="000A3D87">
        <w:rPr>
          <w:lang w:val="fr-FR"/>
        </w:rPr>
        <w:t>’</w:t>
      </w:r>
      <w:r w:rsidR="003A6F57" w:rsidRPr="00E15507">
        <w:rPr>
          <w:lang w:val="fr-FR"/>
        </w:rPr>
        <w:t>égalité des sexes. Ces instruments nécessitent la mise en place, par les États membres, de tous les mécanismes nécessaires pour éliminer la discrimination sexiste et, en outre, assurer l</w:t>
      </w:r>
      <w:r w:rsidR="000A3D87">
        <w:rPr>
          <w:lang w:val="fr-FR"/>
        </w:rPr>
        <w:t>’</w:t>
      </w:r>
      <w:r w:rsidR="003A6F57" w:rsidRPr="00E15507">
        <w:rPr>
          <w:lang w:val="fr-FR"/>
        </w:rPr>
        <w:t>égalité et la dignité humaine à tous les citoyens indépendamment du sexe afin de s</w:t>
      </w:r>
      <w:r w:rsidR="000A3D87">
        <w:rPr>
          <w:lang w:val="fr-FR"/>
        </w:rPr>
        <w:t>’</w:t>
      </w:r>
      <w:r w:rsidR="003A6F57" w:rsidRPr="00E15507">
        <w:rPr>
          <w:lang w:val="fr-FR"/>
        </w:rPr>
        <w:t>acquitter ainsi de leurs obligations. Cette initiative exceptionnelle témoigne de la volonté du pays de s</w:t>
      </w:r>
      <w:r w:rsidR="000A3D87">
        <w:rPr>
          <w:lang w:val="fr-FR"/>
        </w:rPr>
        <w:t>’</w:t>
      </w:r>
      <w:r w:rsidR="003A6F57" w:rsidRPr="00E15507">
        <w:rPr>
          <w:lang w:val="fr-FR"/>
        </w:rPr>
        <w:t>acquitter des obligations prévues par la Convention et d</w:t>
      </w:r>
      <w:r w:rsidR="000A3D87">
        <w:rPr>
          <w:lang w:val="fr-FR"/>
        </w:rPr>
        <w:t>’</w:t>
      </w:r>
      <w:r w:rsidR="003A6F57" w:rsidRPr="00E15507">
        <w:rPr>
          <w:lang w:val="fr-FR"/>
        </w:rPr>
        <w:t>autres instruments connexes et montre, par implication, que le Nigéria souscrit à la définition de la discrimination et qu</w:t>
      </w:r>
      <w:r w:rsidR="000A3D87">
        <w:rPr>
          <w:lang w:val="fr-FR"/>
        </w:rPr>
        <w:t>’</w:t>
      </w:r>
      <w:r w:rsidR="003A6F57" w:rsidRPr="00E15507">
        <w:rPr>
          <w:lang w:val="fr-FR"/>
        </w:rPr>
        <w:t>il est déterminé à barrer la voie à toutes les pratiques discriminatoires à l</w:t>
      </w:r>
      <w:r w:rsidR="000A3D87">
        <w:rPr>
          <w:lang w:val="fr-FR"/>
        </w:rPr>
        <w:t>’</w:t>
      </w:r>
      <w:r w:rsidR="003A6F57" w:rsidRPr="00E15507">
        <w:rPr>
          <w:lang w:val="fr-FR"/>
        </w:rPr>
        <w:t>égard des femmes. L</w:t>
      </w:r>
      <w:r w:rsidR="000A3D87">
        <w:rPr>
          <w:lang w:val="fr-FR"/>
        </w:rPr>
        <w:t>’</w:t>
      </w:r>
      <w:r w:rsidR="003A6F57" w:rsidRPr="00E15507">
        <w:rPr>
          <w:lang w:val="fr-FR"/>
        </w:rPr>
        <w:t>Encadré 1.1 présente les instruments internationaux et sous-régionaux connexes qui renforcent les idéaux de la déclaration.</w:t>
      </w:r>
    </w:p>
    <w:p w:rsidR="003A6F57" w:rsidRDefault="003A6F57" w:rsidP="00E15507">
      <w:pPr>
        <w:pStyle w:val="SingleTxt"/>
        <w:rPr>
          <w:bCs/>
          <w:lang w:val="fr-FR"/>
        </w:rPr>
      </w:pPr>
      <w:r w:rsidRPr="00E15507">
        <w:rPr>
          <w:b/>
          <w:lang w:val="fr-FR"/>
        </w:rPr>
        <w:t xml:space="preserve">1.1.2 </w:t>
      </w:r>
      <w:r w:rsidR="009D597F">
        <w:rPr>
          <w:b/>
          <w:lang w:val="fr-FR"/>
        </w:rPr>
        <w:t xml:space="preserve"> </w:t>
      </w:r>
      <w:r w:rsidRPr="00E15507">
        <w:rPr>
          <w:bCs/>
          <w:lang w:val="fr-FR"/>
        </w:rPr>
        <w:t>Il importe de relever que la Charte africaine sur les droits de l</w:t>
      </w:r>
      <w:r w:rsidR="000A3D87">
        <w:rPr>
          <w:bCs/>
          <w:lang w:val="fr-FR"/>
        </w:rPr>
        <w:t>’</w:t>
      </w:r>
      <w:r w:rsidRPr="00E15507">
        <w:rPr>
          <w:bCs/>
          <w:lang w:val="fr-FR"/>
        </w:rPr>
        <w:t>homme et des peuples a été intégrée à la législation nationale par le biais de la (Loi sur la ratification et l</w:t>
      </w:r>
      <w:r w:rsidR="000A3D87">
        <w:rPr>
          <w:bCs/>
          <w:lang w:val="fr-FR"/>
        </w:rPr>
        <w:t>’</w:t>
      </w:r>
      <w:r w:rsidRPr="00E15507">
        <w:rPr>
          <w:bCs/>
          <w:lang w:val="fr-FR"/>
        </w:rPr>
        <w:t>application de la) Charte de l</w:t>
      </w:r>
      <w:r w:rsidR="000A3D87">
        <w:rPr>
          <w:bCs/>
          <w:lang w:val="fr-FR"/>
        </w:rPr>
        <w:t>’</w:t>
      </w:r>
      <w:r w:rsidRPr="00E15507">
        <w:rPr>
          <w:bCs/>
          <w:lang w:val="fr-FR"/>
        </w:rPr>
        <w:t>Union africaine sur les droits de l</w:t>
      </w:r>
      <w:r w:rsidR="000A3D87">
        <w:rPr>
          <w:bCs/>
          <w:lang w:val="fr-FR"/>
        </w:rPr>
        <w:t>’</w:t>
      </w:r>
      <w:r w:rsidRPr="00E15507">
        <w:rPr>
          <w:bCs/>
          <w:lang w:val="fr-FR"/>
        </w:rPr>
        <w:t>homme et des peuples, Chap A9  des Lois de la République fédérale du Nigéria, 2004.</w:t>
      </w:r>
    </w:p>
    <w:p w:rsidR="009D597F" w:rsidRPr="009D597F" w:rsidRDefault="009D597F" w:rsidP="009D597F">
      <w:pPr>
        <w:pStyle w:val="SingleTxt"/>
        <w:spacing w:after="0" w:line="120" w:lineRule="exact"/>
        <w:rPr>
          <w:bCs/>
          <w:sz w:val="10"/>
          <w:lang w:val="fr-FR"/>
        </w:rPr>
      </w:pPr>
    </w:p>
    <w:p w:rsidR="003A6F57" w:rsidRDefault="009D597F" w:rsidP="009D59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3A6F57" w:rsidRPr="00E15507">
        <w:rPr>
          <w:lang w:val="fr-FR"/>
        </w:rPr>
        <w:t xml:space="preserve">1.2 </w:t>
      </w:r>
      <w:r>
        <w:rPr>
          <w:lang w:val="fr-FR"/>
        </w:rPr>
        <w:tab/>
      </w:r>
      <w:r w:rsidR="003A6F57" w:rsidRPr="00E15507">
        <w:rPr>
          <w:lang w:val="fr-FR"/>
        </w:rPr>
        <w:t>Mesures administratives</w:t>
      </w:r>
    </w:p>
    <w:p w:rsidR="009D597F" w:rsidRPr="009D597F" w:rsidRDefault="009D597F" w:rsidP="009D597F">
      <w:pPr>
        <w:pStyle w:val="SingleTxt"/>
        <w:spacing w:after="0" w:line="120" w:lineRule="exact"/>
        <w:rPr>
          <w:sz w:val="10"/>
          <w:lang w:val="fr-FR"/>
        </w:rPr>
      </w:pPr>
    </w:p>
    <w:p w:rsidR="003A6F57" w:rsidRDefault="003A6F57" w:rsidP="00E15507">
      <w:pPr>
        <w:pStyle w:val="SingleTxt"/>
        <w:rPr>
          <w:color w:val="333333"/>
          <w:lang w:val="fr-FR"/>
        </w:rPr>
      </w:pPr>
      <w:r w:rsidRPr="00E15507">
        <w:rPr>
          <w:b/>
          <w:bCs/>
          <w:color w:val="333333"/>
          <w:lang w:val="fr-FR"/>
        </w:rPr>
        <w:t>1.2.1</w:t>
      </w:r>
      <w:r w:rsidRPr="00E15507">
        <w:rPr>
          <w:color w:val="333333"/>
          <w:lang w:val="fr-FR"/>
        </w:rPr>
        <w:t xml:space="preserve"> </w:t>
      </w:r>
      <w:r w:rsidR="009D597F">
        <w:rPr>
          <w:color w:val="333333"/>
          <w:lang w:val="fr-FR"/>
        </w:rPr>
        <w:t xml:space="preserve"> </w:t>
      </w:r>
      <w:r w:rsidRPr="00E15507">
        <w:rPr>
          <w:color w:val="333333"/>
          <w:lang w:val="fr-FR"/>
        </w:rPr>
        <w:t>Le ministère fédéral de la Justice est la principale entité chargée de mettre en place des mécanismes pour garantir la protection des droits fondamentaux de l</w:t>
      </w:r>
      <w:r w:rsidR="000A3D87">
        <w:rPr>
          <w:color w:val="333333"/>
          <w:lang w:val="fr-FR"/>
        </w:rPr>
        <w:t>’</w:t>
      </w:r>
      <w:r w:rsidRPr="00E15507">
        <w:rPr>
          <w:color w:val="333333"/>
          <w:lang w:val="fr-FR"/>
        </w:rPr>
        <w:t>homme et l</w:t>
      </w:r>
      <w:r w:rsidR="000A3D87">
        <w:rPr>
          <w:color w:val="333333"/>
          <w:lang w:val="fr-FR"/>
        </w:rPr>
        <w:t>’</w:t>
      </w:r>
      <w:r w:rsidRPr="00E15507">
        <w:rPr>
          <w:color w:val="333333"/>
          <w:lang w:val="fr-FR"/>
        </w:rPr>
        <w:t>accès à la justice. Les autres institutions de maintien de l</w:t>
      </w:r>
      <w:r w:rsidR="000A3D87">
        <w:rPr>
          <w:color w:val="333333"/>
          <w:lang w:val="fr-FR"/>
        </w:rPr>
        <w:t>’</w:t>
      </w:r>
      <w:r w:rsidRPr="00E15507">
        <w:rPr>
          <w:color w:val="333333"/>
          <w:lang w:val="fr-FR"/>
        </w:rPr>
        <w:t>ordre et de réglementation qui contribuent directement à protéger les citoyens de la discrimination comprennent la police du Nigéria, la Commission nationale des droits de l</w:t>
      </w:r>
      <w:r w:rsidR="000A3D87">
        <w:rPr>
          <w:color w:val="333333"/>
          <w:lang w:val="fr-FR"/>
        </w:rPr>
        <w:t>’</w:t>
      </w:r>
      <w:r w:rsidRPr="00E15507">
        <w:rPr>
          <w:color w:val="333333"/>
          <w:lang w:val="fr-FR"/>
        </w:rPr>
        <w:t>homme, la Commission de la réforme judiciaire, le Conseil de l</w:t>
      </w:r>
      <w:r w:rsidR="000A3D87">
        <w:rPr>
          <w:color w:val="333333"/>
          <w:lang w:val="fr-FR"/>
        </w:rPr>
        <w:t>’</w:t>
      </w:r>
      <w:r w:rsidRPr="00E15507">
        <w:rPr>
          <w:color w:val="333333"/>
          <w:lang w:val="fr-FR"/>
        </w:rPr>
        <w:t>assistance judiciaire et la NAPTIP. Le ministère fédéral de la Condition de la femme, le Bureau du Code de conduite et la Commission du caractère fédéral s</w:t>
      </w:r>
      <w:r w:rsidR="000A3D87">
        <w:rPr>
          <w:color w:val="333333"/>
          <w:lang w:val="fr-FR"/>
        </w:rPr>
        <w:t>’</w:t>
      </w:r>
      <w:r w:rsidRPr="00E15507">
        <w:rPr>
          <w:color w:val="333333"/>
          <w:lang w:val="fr-FR"/>
        </w:rPr>
        <w:t>attachent tous à compléter les efforts déployés par les pouvoirs publics pour le fonctionnement d</w:t>
      </w:r>
      <w:r w:rsidR="000A3D87">
        <w:rPr>
          <w:color w:val="333333"/>
          <w:lang w:val="fr-FR"/>
        </w:rPr>
        <w:t>’</w:t>
      </w:r>
      <w:r w:rsidRPr="00E15507">
        <w:rPr>
          <w:color w:val="333333"/>
          <w:lang w:val="fr-FR"/>
        </w:rPr>
        <w:t>un système d</w:t>
      </w:r>
      <w:r w:rsidR="000A3D87">
        <w:rPr>
          <w:color w:val="333333"/>
          <w:lang w:val="fr-FR"/>
        </w:rPr>
        <w:t>’</w:t>
      </w:r>
      <w:r w:rsidRPr="00E15507">
        <w:rPr>
          <w:color w:val="333333"/>
          <w:lang w:val="fr-FR"/>
        </w:rPr>
        <w:t>administration de la justice sain garantissant la protection contre la discrimination.</w:t>
      </w:r>
    </w:p>
    <w:p w:rsidR="009D597F" w:rsidRPr="009D597F" w:rsidRDefault="009D597F" w:rsidP="009D597F">
      <w:pPr>
        <w:pStyle w:val="SingleTxt"/>
        <w:spacing w:after="0" w:line="120" w:lineRule="exact"/>
        <w:rPr>
          <w:color w:val="333333"/>
          <w:sz w:val="10"/>
          <w:lang w:val="fr-FR"/>
        </w:rPr>
      </w:pPr>
    </w:p>
    <w:p w:rsidR="003A6F57" w:rsidRDefault="009D597F" w:rsidP="009D59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3A6F57" w:rsidRPr="00E15507">
        <w:rPr>
          <w:lang w:val="fr-FR"/>
        </w:rPr>
        <w:t xml:space="preserve">1.3 </w:t>
      </w:r>
      <w:r>
        <w:rPr>
          <w:lang w:val="fr-FR"/>
        </w:rPr>
        <w:tab/>
      </w:r>
      <w:r w:rsidR="003A6F57" w:rsidRPr="00E15507">
        <w:rPr>
          <w:lang w:val="fr-FR"/>
        </w:rPr>
        <w:t>Avancées enregistrées au cours de la période visée par le rapport</w:t>
      </w:r>
    </w:p>
    <w:p w:rsidR="009D597F" w:rsidRPr="009D597F" w:rsidRDefault="009D597F" w:rsidP="009D597F">
      <w:pPr>
        <w:pStyle w:val="SingleTxt"/>
        <w:spacing w:after="0" w:line="120" w:lineRule="exact"/>
        <w:rPr>
          <w:sz w:val="10"/>
          <w:lang w:val="fr-FR"/>
        </w:rPr>
      </w:pPr>
    </w:p>
    <w:p w:rsidR="003A6F57" w:rsidRPr="00E15507" w:rsidRDefault="003A6F57" w:rsidP="00E15507">
      <w:pPr>
        <w:pStyle w:val="SingleTxt"/>
        <w:rPr>
          <w:lang w:val="fr-FR"/>
        </w:rPr>
      </w:pPr>
      <w:r w:rsidRPr="00E15507">
        <w:rPr>
          <w:b/>
          <w:bCs/>
          <w:lang w:val="fr-FR"/>
        </w:rPr>
        <w:t>1.3.1</w:t>
      </w:r>
      <w:r w:rsidRPr="00E15507">
        <w:rPr>
          <w:lang w:val="fr-FR"/>
        </w:rPr>
        <w:t xml:space="preserve"> </w:t>
      </w:r>
      <w:r w:rsidR="009D597F">
        <w:rPr>
          <w:lang w:val="fr-FR"/>
        </w:rPr>
        <w:t xml:space="preserve"> </w:t>
      </w:r>
      <w:r w:rsidRPr="00E15507">
        <w:rPr>
          <w:lang w:val="fr-FR"/>
        </w:rPr>
        <w:t>L</w:t>
      </w:r>
      <w:r w:rsidR="000A3D87">
        <w:rPr>
          <w:lang w:val="fr-FR"/>
        </w:rPr>
        <w:t>’</w:t>
      </w:r>
      <w:r w:rsidRPr="00E15507">
        <w:rPr>
          <w:lang w:val="fr-FR"/>
        </w:rPr>
        <w:t>environnement favorable créé par le caractère démocratique de la classe politique nationale donne lieu à une société civile dynamique, engagée sur la voie de la promotion et de la protection du droit des femmes et des filles à la garantie contre toutes les formes de discrimination. Au nombre des mesures pertinentes figurent la conception et la mise en œuvre de programmes et d</w:t>
      </w:r>
      <w:r w:rsidR="000A3D87">
        <w:rPr>
          <w:lang w:val="fr-FR"/>
        </w:rPr>
        <w:t>’</w:t>
      </w:r>
      <w:r w:rsidRPr="00E15507">
        <w:rPr>
          <w:lang w:val="fr-FR"/>
        </w:rPr>
        <w:t>activités visant à défier les structures et les systèmes qui souvent réfutent la définition de la non-discrimination, dépourvoient les femmes et favorisent les inégalités. Les structures de protection des droits de la femme au niveau fédéral sont très actives dans la quête de l</w:t>
      </w:r>
      <w:r w:rsidR="000A3D87">
        <w:rPr>
          <w:lang w:val="fr-FR"/>
        </w:rPr>
        <w:t>’</w:t>
      </w:r>
      <w:r w:rsidRPr="00E15507">
        <w:rPr>
          <w:lang w:val="fr-FR"/>
        </w:rPr>
        <w:t>équité et de l</w:t>
      </w:r>
      <w:r w:rsidR="000A3D87">
        <w:rPr>
          <w:lang w:val="fr-FR"/>
        </w:rPr>
        <w:t>’</w:t>
      </w:r>
      <w:r w:rsidRPr="00E15507">
        <w:rPr>
          <w:lang w:val="fr-FR"/>
        </w:rPr>
        <w:t>égalité entre les sexes.</w:t>
      </w:r>
    </w:p>
    <w:p w:rsidR="003A6F57" w:rsidRDefault="003A6F57" w:rsidP="00E15507">
      <w:pPr>
        <w:pStyle w:val="SingleTxt"/>
        <w:rPr>
          <w:color w:val="000000"/>
          <w:lang w:val="fr-FR"/>
        </w:rPr>
      </w:pPr>
      <w:r w:rsidRPr="00E15507">
        <w:rPr>
          <w:b/>
          <w:bCs/>
          <w:color w:val="000000"/>
          <w:lang w:val="fr-FR"/>
        </w:rPr>
        <w:t xml:space="preserve">1.3.2 </w:t>
      </w:r>
      <w:r w:rsidR="009D597F">
        <w:rPr>
          <w:b/>
          <w:bCs/>
          <w:color w:val="000000"/>
          <w:lang w:val="fr-FR"/>
        </w:rPr>
        <w:t xml:space="preserve"> </w:t>
      </w:r>
      <w:r w:rsidRPr="00E15507">
        <w:rPr>
          <w:bCs/>
          <w:color w:val="000000"/>
          <w:lang w:val="fr-FR"/>
        </w:rPr>
        <w:t xml:space="preserve">En juin </w:t>
      </w:r>
      <w:r w:rsidRPr="00E15507">
        <w:rPr>
          <w:color w:val="000000"/>
          <w:lang w:val="fr-FR"/>
        </w:rPr>
        <w:t>2006, la police nigériane a établi des bureaux des droits de l</w:t>
      </w:r>
      <w:r w:rsidR="000A3D87">
        <w:rPr>
          <w:color w:val="000000"/>
          <w:lang w:val="fr-FR"/>
        </w:rPr>
        <w:t>’</w:t>
      </w:r>
      <w:r w:rsidRPr="00E15507">
        <w:rPr>
          <w:color w:val="000000"/>
          <w:lang w:val="fr-FR"/>
        </w:rPr>
        <w:t>homme dans tous les postes de police. Les agents de police subiront également une formation aux droits de l</w:t>
      </w:r>
      <w:r w:rsidR="000A3D87">
        <w:rPr>
          <w:color w:val="000000"/>
          <w:lang w:val="fr-FR"/>
        </w:rPr>
        <w:t>’</w:t>
      </w:r>
      <w:r w:rsidRPr="00E15507">
        <w:rPr>
          <w:color w:val="000000"/>
          <w:lang w:val="fr-FR"/>
        </w:rPr>
        <w:t>homme pour leur permettre de maintenir les principes des droits de l</w:t>
      </w:r>
      <w:r w:rsidR="000A3D87">
        <w:rPr>
          <w:color w:val="000000"/>
          <w:lang w:val="fr-FR"/>
        </w:rPr>
        <w:t>’</w:t>
      </w:r>
      <w:r w:rsidRPr="00E15507">
        <w:rPr>
          <w:color w:val="000000"/>
          <w:lang w:val="fr-FR"/>
        </w:rPr>
        <w:t>homme dans leurs rapports avec le public, indépendamment du sexe et d</w:t>
      </w:r>
      <w:r w:rsidR="000A3D87">
        <w:rPr>
          <w:color w:val="000000"/>
          <w:lang w:val="fr-FR"/>
        </w:rPr>
        <w:t>’</w:t>
      </w:r>
      <w:r w:rsidRPr="00E15507">
        <w:rPr>
          <w:color w:val="000000"/>
          <w:lang w:val="fr-FR"/>
        </w:rPr>
        <w:t>affirmer dans la pratique les principes de non-discrimination.</w:t>
      </w:r>
    </w:p>
    <w:p w:rsidR="009D597F" w:rsidRPr="009D597F" w:rsidRDefault="009D597F" w:rsidP="009D597F">
      <w:pPr>
        <w:pStyle w:val="SingleTxt"/>
        <w:spacing w:after="0" w:line="120" w:lineRule="exact"/>
        <w:rPr>
          <w:color w:val="000000"/>
          <w:sz w:val="10"/>
          <w:lang w:val="fr-FR"/>
        </w:rPr>
      </w:pPr>
    </w:p>
    <w:p w:rsidR="003A6F57" w:rsidRDefault="009D597F" w:rsidP="009D59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3A6F57" w:rsidRPr="00E15507">
        <w:rPr>
          <w:lang w:val="fr-FR"/>
        </w:rPr>
        <w:t xml:space="preserve">1.4 </w:t>
      </w:r>
      <w:r w:rsidR="003A6F57" w:rsidRPr="00E15507">
        <w:rPr>
          <w:lang w:val="fr-FR"/>
        </w:rPr>
        <w:tab/>
        <w:t xml:space="preserve">Mesures juridiques et judiciaires </w:t>
      </w:r>
    </w:p>
    <w:p w:rsidR="009D597F" w:rsidRPr="009D597F" w:rsidRDefault="009D597F" w:rsidP="009D597F">
      <w:pPr>
        <w:pStyle w:val="SingleTxt"/>
        <w:spacing w:after="0" w:line="120" w:lineRule="exact"/>
        <w:rPr>
          <w:sz w:val="10"/>
          <w:lang w:val="fr-FR"/>
        </w:rPr>
      </w:pPr>
    </w:p>
    <w:p w:rsidR="003A6F57" w:rsidRPr="00E15507" w:rsidRDefault="003A6F57" w:rsidP="00E15507">
      <w:pPr>
        <w:pStyle w:val="SingleTxt"/>
        <w:rPr>
          <w:lang w:val="fr-FR"/>
        </w:rPr>
      </w:pPr>
      <w:r w:rsidRPr="00E15507">
        <w:rPr>
          <w:b/>
          <w:bCs/>
          <w:lang w:val="fr-FR"/>
        </w:rPr>
        <w:t>1.4.1</w:t>
      </w:r>
      <w:r w:rsidRPr="00E15507">
        <w:rPr>
          <w:lang w:val="fr-FR"/>
        </w:rPr>
        <w:t xml:space="preserve"> Au Nigéria persistent des lois, politiques et conventions sociales qui permettent la discrimination à l</w:t>
      </w:r>
      <w:r w:rsidR="000A3D87">
        <w:rPr>
          <w:lang w:val="fr-FR"/>
        </w:rPr>
        <w:t>’</w:t>
      </w:r>
      <w:r w:rsidRPr="00E15507">
        <w:rPr>
          <w:lang w:val="fr-FR"/>
        </w:rPr>
        <w:t>égard des femmes. C</w:t>
      </w:r>
      <w:r w:rsidR="000A3D87">
        <w:rPr>
          <w:lang w:val="fr-FR"/>
        </w:rPr>
        <w:t>’</w:t>
      </w:r>
      <w:r w:rsidRPr="00E15507">
        <w:rPr>
          <w:lang w:val="fr-FR"/>
        </w:rPr>
        <w:t>est ainsi que la section</w:t>
      </w:r>
      <w:r w:rsidR="00877CB0">
        <w:rPr>
          <w:lang w:val="fr-FR"/>
        </w:rPr>
        <w:t> </w:t>
      </w:r>
      <w:r w:rsidRPr="00E15507">
        <w:rPr>
          <w:lang w:val="fr-FR"/>
        </w:rPr>
        <w:t>55</w:t>
      </w:r>
      <w:r w:rsidR="00877CB0">
        <w:rPr>
          <w:lang w:val="fr-FR"/>
        </w:rPr>
        <w:t> </w:t>
      </w:r>
      <w:r w:rsidRPr="00E15507">
        <w:rPr>
          <w:lang w:val="fr-FR"/>
        </w:rPr>
        <w:t>1)</w:t>
      </w:r>
      <w:r w:rsidR="00877CB0">
        <w:rPr>
          <w:lang w:val="fr-FR"/>
        </w:rPr>
        <w:t> </w:t>
      </w:r>
      <w:r w:rsidRPr="00E15507">
        <w:rPr>
          <w:lang w:val="fr-FR"/>
        </w:rPr>
        <w:t>d) du Code pénal, qui est applicable dans la partie Nord du pays, permet à l</w:t>
      </w:r>
      <w:r w:rsidR="000A3D87">
        <w:rPr>
          <w:lang w:val="fr-FR"/>
        </w:rPr>
        <w:t>’</w:t>
      </w:r>
      <w:r w:rsidRPr="00E15507">
        <w:rPr>
          <w:lang w:val="fr-FR"/>
        </w:rPr>
        <w:t>homme de battre sa femme pour la corriger. Toutefois, suite à des campagnes intensives de sensibilisation, de plaidoyer et de protection des droits de l</w:t>
      </w:r>
      <w:r w:rsidR="000A3D87">
        <w:rPr>
          <w:lang w:val="fr-FR"/>
        </w:rPr>
        <w:t>’</w:t>
      </w:r>
      <w:r w:rsidRPr="00E15507">
        <w:rPr>
          <w:lang w:val="fr-FR"/>
        </w:rPr>
        <w:t>homme ainsi que de formation aux questions d</w:t>
      </w:r>
      <w:r w:rsidR="000A3D87">
        <w:rPr>
          <w:lang w:val="fr-FR"/>
        </w:rPr>
        <w:t>’</w:t>
      </w:r>
      <w:r w:rsidRPr="00E15507">
        <w:rPr>
          <w:lang w:val="fr-FR"/>
        </w:rPr>
        <w:t>égalité des sexes visant des institutions stratégiques telles que les services judiciaires, certains tribunaux du Nigéria se montrent sensibles aux aspects liés aux considérations d</w:t>
      </w:r>
      <w:r w:rsidR="000A3D87">
        <w:rPr>
          <w:lang w:val="fr-FR"/>
        </w:rPr>
        <w:t>’</w:t>
      </w:r>
      <w:r w:rsidRPr="00E15507">
        <w:rPr>
          <w:lang w:val="fr-FR"/>
        </w:rPr>
        <w:t>égalité des sexes des cas qui leur sont soumis.</w:t>
      </w:r>
    </w:p>
    <w:p w:rsidR="003A6F57" w:rsidRPr="00E15507" w:rsidRDefault="009D597F" w:rsidP="00E15507">
      <w:pPr>
        <w:pStyle w:val="SingleTxt"/>
        <w:rPr>
          <w:lang w:val="fr-FR"/>
        </w:rPr>
      </w:pPr>
      <w:r>
        <w:rPr>
          <w:lang w:val="fr-FR"/>
        </w:rPr>
        <w:tab/>
      </w:r>
      <w:r w:rsidR="003A6F57" w:rsidRPr="00E15507">
        <w:rPr>
          <w:lang w:val="fr-FR"/>
        </w:rPr>
        <w:t>Les décisions judiciaires des différents tribunaux au sein des trois systèmes judiciaires du pays dénotent une tendance à de l</w:t>
      </w:r>
      <w:r w:rsidR="000A3D87">
        <w:rPr>
          <w:lang w:val="fr-FR"/>
        </w:rPr>
        <w:t>’</w:t>
      </w:r>
      <w:r w:rsidR="003A6F57" w:rsidRPr="00E15507">
        <w:rPr>
          <w:lang w:val="fr-FR"/>
        </w:rPr>
        <w:t>activisme visant à éliminer du système l</w:t>
      </w:r>
      <w:r w:rsidR="000A3D87">
        <w:rPr>
          <w:lang w:val="fr-FR"/>
        </w:rPr>
        <w:t>’</w:t>
      </w:r>
      <w:r w:rsidR="003A6F57" w:rsidRPr="00E15507">
        <w:rPr>
          <w:lang w:val="fr-FR"/>
        </w:rPr>
        <w:t>arbitraire dans la manière dont les questions concernant les femmes sont traitées. Les décisions rendues par les tribunaux d</w:t>
      </w:r>
      <w:r w:rsidR="000A3D87">
        <w:rPr>
          <w:lang w:val="fr-FR"/>
        </w:rPr>
        <w:t>’</w:t>
      </w:r>
      <w:r w:rsidR="003A6F57" w:rsidRPr="00E15507">
        <w:rPr>
          <w:lang w:val="fr-FR"/>
        </w:rPr>
        <w:t>instance inférieure font l</w:t>
      </w:r>
      <w:r w:rsidR="000A3D87">
        <w:rPr>
          <w:lang w:val="fr-FR"/>
        </w:rPr>
        <w:t>’</w:t>
      </w:r>
      <w:r w:rsidR="003A6F57" w:rsidRPr="00E15507">
        <w:rPr>
          <w:lang w:val="fr-FR"/>
        </w:rPr>
        <w:t>objet d</w:t>
      </w:r>
      <w:r w:rsidR="000A3D87">
        <w:rPr>
          <w:lang w:val="fr-FR"/>
        </w:rPr>
        <w:t>’</w:t>
      </w:r>
      <w:r w:rsidR="003A6F57" w:rsidRPr="00E15507">
        <w:rPr>
          <w:lang w:val="fr-FR"/>
        </w:rPr>
        <w:t>appel auprès des tribunaux d</w:t>
      </w:r>
      <w:r w:rsidR="000A3D87">
        <w:rPr>
          <w:lang w:val="fr-FR"/>
        </w:rPr>
        <w:t>’</w:t>
      </w:r>
      <w:r w:rsidR="003A6F57" w:rsidRPr="00E15507">
        <w:rPr>
          <w:lang w:val="fr-FR"/>
        </w:rPr>
        <w:t>instance supérieure et les juges sont sensés accorder de l</w:t>
      </w:r>
      <w:r w:rsidR="000A3D87">
        <w:rPr>
          <w:lang w:val="fr-FR"/>
        </w:rPr>
        <w:t>’</w:t>
      </w:r>
      <w:r w:rsidR="003A6F57" w:rsidRPr="00E15507">
        <w:rPr>
          <w:lang w:val="fr-FR"/>
        </w:rPr>
        <w:t>attention aux dispositions institutionnelles et aux obligations incombant au Nigéria en vertu du droit international en traitant ces cas.</w:t>
      </w:r>
    </w:p>
    <w:p w:rsidR="003A6F57" w:rsidRPr="00E15507" w:rsidRDefault="003A6F57" w:rsidP="00E15507">
      <w:pPr>
        <w:pStyle w:val="SingleTxt"/>
        <w:rPr>
          <w:lang w:val="fr-FR"/>
        </w:rPr>
      </w:pPr>
      <w:r w:rsidRPr="00E15507">
        <w:rPr>
          <w:b/>
          <w:bCs/>
          <w:lang w:val="fr-FR"/>
        </w:rPr>
        <w:t>1.4.2</w:t>
      </w:r>
      <w:r w:rsidRPr="00E15507">
        <w:rPr>
          <w:lang w:val="fr-FR"/>
        </w:rPr>
        <w:t xml:space="preserve"> </w:t>
      </w:r>
      <w:r w:rsidR="009D597F">
        <w:rPr>
          <w:lang w:val="fr-FR"/>
        </w:rPr>
        <w:t xml:space="preserve"> </w:t>
      </w:r>
      <w:r w:rsidRPr="00E15507">
        <w:rPr>
          <w:lang w:val="fr-FR"/>
        </w:rPr>
        <w:t>Les décisions les plus marquantes à cet égard rendues au cours de la période sous revue comprennent les suivantes :</w:t>
      </w:r>
    </w:p>
    <w:p w:rsidR="003A6F57" w:rsidRPr="00E15507" w:rsidRDefault="009D597F" w:rsidP="009D597F">
      <w:pPr>
        <w:pStyle w:val="SingleTxt"/>
        <w:tabs>
          <w:tab w:val="clear" w:pos="1267"/>
        </w:tabs>
        <w:ind w:left="1710" w:hanging="443"/>
        <w:rPr>
          <w:lang w:val="fr-FR"/>
        </w:rPr>
      </w:pPr>
      <w:r>
        <w:rPr>
          <w:lang w:val="fr-FR"/>
        </w:rPr>
        <w:t>1.</w:t>
      </w:r>
      <w:r>
        <w:rPr>
          <w:lang w:val="fr-FR"/>
        </w:rPr>
        <w:tab/>
      </w:r>
      <w:r w:rsidR="003A6F57" w:rsidRPr="00E15507">
        <w:rPr>
          <w:lang w:val="fr-FR"/>
        </w:rPr>
        <w:t>La décision d</w:t>
      </w:r>
      <w:r w:rsidR="000A3D87">
        <w:rPr>
          <w:lang w:val="fr-FR"/>
        </w:rPr>
        <w:t>’</w:t>
      </w:r>
      <w:r w:rsidR="003A6F57" w:rsidRPr="00E15507">
        <w:rPr>
          <w:lang w:val="fr-FR"/>
        </w:rPr>
        <w:t>un tribunal islamique qui a confirmé le droit d</w:t>
      </w:r>
      <w:r w:rsidR="000A3D87">
        <w:rPr>
          <w:lang w:val="fr-FR"/>
        </w:rPr>
        <w:t>’</w:t>
      </w:r>
      <w:r w:rsidR="003A6F57" w:rsidRPr="00E15507">
        <w:rPr>
          <w:lang w:val="fr-FR"/>
        </w:rPr>
        <w:t>une fille/femme de choisir son partenaire, en ordonnant la dissolution du mariage. La décision a tenu compte des sévices subis par la femme ainsi que du fait qu</w:t>
      </w:r>
      <w:r w:rsidR="000A3D87">
        <w:rPr>
          <w:lang w:val="fr-FR"/>
        </w:rPr>
        <w:t>’</w:t>
      </w:r>
      <w:r w:rsidR="003A6F57" w:rsidRPr="00E15507">
        <w:rPr>
          <w:lang w:val="fr-FR"/>
        </w:rPr>
        <w:t>elle a été dès le début forcée à se marier. Il ressort des détails de l</w:t>
      </w:r>
      <w:r w:rsidR="000A3D87">
        <w:rPr>
          <w:lang w:val="fr-FR"/>
        </w:rPr>
        <w:t>’</w:t>
      </w:r>
      <w:r w:rsidR="003A6F57" w:rsidRPr="00E15507">
        <w:rPr>
          <w:lang w:val="fr-FR"/>
        </w:rPr>
        <w:t xml:space="preserve">affaire que dans le </w:t>
      </w:r>
      <w:r w:rsidR="003A6F57" w:rsidRPr="00E15507">
        <w:rPr>
          <w:b/>
          <w:lang w:val="fr-FR"/>
        </w:rPr>
        <w:t>Cas n</w:t>
      </w:r>
      <w:r w:rsidR="003A6F57" w:rsidRPr="00E15507">
        <w:rPr>
          <w:b/>
          <w:vertAlign w:val="superscript"/>
          <w:lang w:val="fr-FR"/>
        </w:rPr>
        <w:t>o</w:t>
      </w:r>
      <w:r w:rsidR="000A3D87">
        <w:rPr>
          <w:b/>
          <w:vertAlign w:val="superscript"/>
          <w:lang w:val="fr-FR"/>
        </w:rPr>
        <w:t> </w:t>
      </w:r>
      <w:r w:rsidR="003A6F57" w:rsidRPr="00E15507">
        <w:rPr>
          <w:b/>
          <w:lang w:val="fr-FR"/>
        </w:rPr>
        <w:t xml:space="preserve">TRS/SCA/CV/AP/12/GM/2005, </w:t>
      </w:r>
      <w:r w:rsidR="003A6F57" w:rsidRPr="00E15507">
        <w:rPr>
          <w:lang w:val="fr-FR"/>
        </w:rPr>
        <w:t xml:space="preserve">concernant </w:t>
      </w:r>
      <w:r w:rsidR="003A6F57" w:rsidRPr="00E15507">
        <w:rPr>
          <w:b/>
          <w:lang w:val="fr-FR"/>
        </w:rPr>
        <w:t>Hafsatu Buba</w:t>
      </w:r>
      <w:r w:rsidR="003A6F57" w:rsidRPr="00E15507">
        <w:rPr>
          <w:lang w:val="fr-FR"/>
        </w:rPr>
        <w:t xml:space="preserve">, la </w:t>
      </w:r>
      <w:r w:rsidR="003A6F57" w:rsidRPr="00E15507">
        <w:rPr>
          <w:b/>
          <w:lang w:val="fr-FR"/>
        </w:rPr>
        <w:t>cour d</w:t>
      </w:r>
      <w:r w:rsidR="000A3D87">
        <w:rPr>
          <w:b/>
          <w:lang w:val="fr-FR"/>
        </w:rPr>
        <w:t>’</w:t>
      </w:r>
      <w:r w:rsidR="003A6F57" w:rsidRPr="00E15507">
        <w:rPr>
          <w:b/>
          <w:lang w:val="fr-FR"/>
        </w:rPr>
        <w:t>appel de la sharia</w:t>
      </w:r>
      <w:r w:rsidR="003A6F57" w:rsidRPr="00E15507">
        <w:rPr>
          <w:lang w:val="fr-FR"/>
        </w:rPr>
        <w:t xml:space="preserve"> siégeant dans l</w:t>
      </w:r>
      <w:r w:rsidR="000A3D87">
        <w:rPr>
          <w:lang w:val="fr-FR"/>
        </w:rPr>
        <w:t>’</w:t>
      </w:r>
      <w:r w:rsidR="003A6F57" w:rsidRPr="00E15507">
        <w:rPr>
          <w:lang w:val="fr-FR"/>
        </w:rPr>
        <w:t xml:space="preserve">État de Taraba a confirmé la décision du </w:t>
      </w:r>
      <w:r w:rsidR="003A6F57" w:rsidRPr="00E15507">
        <w:rPr>
          <w:b/>
          <w:lang w:val="fr-FR"/>
        </w:rPr>
        <w:t>tribunal de grande instance</w:t>
      </w:r>
      <w:r w:rsidR="003A6F57" w:rsidRPr="00E15507">
        <w:rPr>
          <w:lang w:val="fr-FR"/>
        </w:rPr>
        <w:t xml:space="preserve"> et dissous son mariage à son mari en se fondant sur le fait que son consentent n</w:t>
      </w:r>
      <w:r w:rsidR="000A3D87">
        <w:rPr>
          <w:lang w:val="fr-FR"/>
        </w:rPr>
        <w:t>’</w:t>
      </w:r>
      <w:r w:rsidR="003A6F57" w:rsidRPr="00E15507">
        <w:rPr>
          <w:lang w:val="fr-FR"/>
        </w:rPr>
        <w:t>a pas été demandé ni obtenu, et que le mariage lui a été imposé. L</w:t>
      </w:r>
      <w:r w:rsidR="000A3D87">
        <w:rPr>
          <w:lang w:val="fr-FR"/>
        </w:rPr>
        <w:t>’</w:t>
      </w:r>
      <w:r w:rsidR="003A6F57" w:rsidRPr="00E15507">
        <w:rPr>
          <w:lang w:val="fr-FR"/>
        </w:rPr>
        <w:t>affaire a été rendue publique à Jalingo, État de Taraba.</w:t>
      </w:r>
    </w:p>
    <w:p w:rsidR="003A6F57" w:rsidRPr="00E15507" w:rsidRDefault="009D597F" w:rsidP="009D597F">
      <w:pPr>
        <w:pStyle w:val="SingleTxt"/>
        <w:tabs>
          <w:tab w:val="clear" w:pos="1267"/>
        </w:tabs>
        <w:ind w:left="1710" w:hanging="450"/>
        <w:rPr>
          <w:lang w:val="fr-FR"/>
        </w:rPr>
      </w:pPr>
      <w:r>
        <w:rPr>
          <w:lang w:val="fr-FR"/>
        </w:rPr>
        <w:t>2.</w:t>
      </w:r>
      <w:r>
        <w:rPr>
          <w:lang w:val="fr-FR"/>
        </w:rPr>
        <w:tab/>
      </w:r>
      <w:r w:rsidR="003A6F57" w:rsidRPr="00E15507">
        <w:rPr>
          <w:lang w:val="fr-FR"/>
        </w:rPr>
        <w:t>La décision d</w:t>
      </w:r>
      <w:r w:rsidR="000A3D87">
        <w:rPr>
          <w:lang w:val="fr-FR"/>
        </w:rPr>
        <w:t>’</w:t>
      </w:r>
      <w:r w:rsidR="003A6F57" w:rsidRPr="00E15507">
        <w:rPr>
          <w:lang w:val="fr-FR"/>
        </w:rPr>
        <w:t>un tribunal de common law qui a dissous un mariage pour motif de violence et d</w:t>
      </w:r>
      <w:r w:rsidR="000A3D87">
        <w:rPr>
          <w:lang w:val="fr-FR"/>
        </w:rPr>
        <w:t>’</w:t>
      </w:r>
      <w:r w:rsidR="003A6F57" w:rsidRPr="00E15507">
        <w:rPr>
          <w:lang w:val="fr-FR"/>
        </w:rPr>
        <w:t>absence de consentement au mariage. Il ressort des détails de l</w:t>
      </w:r>
      <w:r w:rsidR="000A3D87">
        <w:rPr>
          <w:lang w:val="fr-FR"/>
        </w:rPr>
        <w:t>’</w:t>
      </w:r>
      <w:r w:rsidR="003A6F57" w:rsidRPr="00E15507">
        <w:rPr>
          <w:lang w:val="fr-FR"/>
        </w:rPr>
        <w:t xml:space="preserve">affaire que dans le </w:t>
      </w:r>
      <w:r w:rsidR="003A6F57" w:rsidRPr="00E15507">
        <w:rPr>
          <w:b/>
          <w:lang w:val="fr-FR"/>
        </w:rPr>
        <w:t>Cas n</w:t>
      </w:r>
      <w:r w:rsidR="003A6F57" w:rsidRPr="00E15507">
        <w:rPr>
          <w:b/>
          <w:vertAlign w:val="superscript"/>
          <w:lang w:val="fr-FR"/>
        </w:rPr>
        <w:t>o</w:t>
      </w:r>
      <w:r w:rsidR="000A3D87">
        <w:rPr>
          <w:b/>
          <w:vertAlign w:val="superscript"/>
          <w:lang w:val="fr-FR"/>
        </w:rPr>
        <w:t> </w:t>
      </w:r>
      <w:r w:rsidR="003A6F57" w:rsidRPr="00E15507">
        <w:rPr>
          <w:b/>
          <w:lang w:val="fr-FR"/>
        </w:rPr>
        <w:t xml:space="preserve">CVSL/97/2000, </w:t>
      </w:r>
      <w:r w:rsidR="003A6F57" w:rsidRPr="00E15507">
        <w:rPr>
          <w:lang w:val="fr-FR"/>
        </w:rPr>
        <w:t>concernant</w:t>
      </w:r>
      <w:r w:rsidR="003A6F57" w:rsidRPr="00E15507">
        <w:rPr>
          <w:b/>
          <w:lang w:val="fr-FR"/>
        </w:rPr>
        <w:t xml:space="preserve"> Husaina Bashir, </w:t>
      </w:r>
      <w:r w:rsidR="003A6F57" w:rsidRPr="00E15507">
        <w:rPr>
          <w:bCs/>
          <w:lang w:val="fr-FR"/>
        </w:rPr>
        <w:t>les q</w:t>
      </w:r>
      <w:r w:rsidR="003A6F57" w:rsidRPr="00E15507">
        <w:rPr>
          <w:lang w:val="fr-FR"/>
        </w:rPr>
        <w:t xml:space="preserve">adis/juges siégeant au </w:t>
      </w:r>
      <w:r w:rsidR="003A6F57" w:rsidRPr="00E15507">
        <w:rPr>
          <w:b/>
          <w:lang w:val="fr-FR"/>
        </w:rPr>
        <w:t>tribunal de grande instance</w:t>
      </w:r>
      <w:r w:rsidR="003A6F57" w:rsidRPr="00E15507">
        <w:rPr>
          <w:lang w:val="fr-FR"/>
        </w:rPr>
        <w:t xml:space="preserve"> de Mutum Biyu, État de Taraba State, ont dissous son mariage à son mari quand elle a allégué qu</w:t>
      </w:r>
      <w:r w:rsidR="000A3D87">
        <w:rPr>
          <w:lang w:val="fr-FR"/>
        </w:rPr>
        <w:t>’</w:t>
      </w:r>
      <w:r w:rsidR="003A6F57" w:rsidRPr="00E15507">
        <w:rPr>
          <w:lang w:val="fr-FR"/>
        </w:rPr>
        <w:t>elle a subi des sévices persistants, en sus du fait qu</w:t>
      </w:r>
      <w:r w:rsidR="000A3D87">
        <w:rPr>
          <w:lang w:val="fr-FR"/>
        </w:rPr>
        <w:t>’</w:t>
      </w:r>
      <w:r w:rsidR="003A6F57" w:rsidRPr="00E15507">
        <w:rPr>
          <w:lang w:val="fr-FR"/>
        </w:rPr>
        <w:t xml:space="preserve">elle a été forcée de se marier par sa mère et son oncle. </w:t>
      </w:r>
    </w:p>
    <w:p w:rsidR="003A6F57" w:rsidRPr="00E15507" w:rsidRDefault="009D597F" w:rsidP="009D597F">
      <w:pPr>
        <w:pStyle w:val="SingleTxt"/>
        <w:tabs>
          <w:tab w:val="clear" w:pos="1267"/>
        </w:tabs>
        <w:ind w:left="1710" w:hanging="443"/>
        <w:rPr>
          <w:lang w:val="fr-FR"/>
        </w:rPr>
      </w:pPr>
      <w:r>
        <w:rPr>
          <w:lang w:val="fr-FR"/>
        </w:rPr>
        <w:t>3.</w:t>
      </w:r>
      <w:r>
        <w:rPr>
          <w:lang w:val="fr-FR"/>
        </w:rPr>
        <w:tab/>
      </w:r>
      <w:r w:rsidR="003A6F57" w:rsidRPr="00E15507">
        <w:rPr>
          <w:lang w:val="fr-FR"/>
        </w:rPr>
        <w:t>Une instance en appel devant une cour d</w:t>
      </w:r>
      <w:r w:rsidR="000A3D87">
        <w:rPr>
          <w:lang w:val="fr-FR"/>
        </w:rPr>
        <w:t>’</w:t>
      </w:r>
      <w:r w:rsidR="003A6F57" w:rsidRPr="00E15507">
        <w:rPr>
          <w:lang w:val="fr-FR"/>
        </w:rPr>
        <w:t>appel fédérale dans laquelle une jeune femme de Funtua dans l</w:t>
      </w:r>
      <w:r w:rsidR="000A3D87">
        <w:rPr>
          <w:lang w:val="fr-FR"/>
        </w:rPr>
        <w:t>’</w:t>
      </w:r>
      <w:r w:rsidR="003A6F57" w:rsidRPr="00E15507">
        <w:rPr>
          <w:lang w:val="fr-FR"/>
        </w:rPr>
        <w:t>État de Katsina, fait appel contre une décision d</w:t>
      </w:r>
      <w:r w:rsidR="000A3D87">
        <w:rPr>
          <w:lang w:val="fr-FR"/>
        </w:rPr>
        <w:t>’</w:t>
      </w:r>
      <w:r w:rsidR="003A6F57" w:rsidRPr="00E15507">
        <w:rPr>
          <w:lang w:val="fr-FR"/>
        </w:rPr>
        <w:t>une cour d</w:t>
      </w:r>
      <w:r w:rsidR="000A3D87">
        <w:rPr>
          <w:lang w:val="fr-FR"/>
        </w:rPr>
        <w:t>’</w:t>
      </w:r>
      <w:r w:rsidR="003A6F57" w:rsidRPr="00E15507">
        <w:rPr>
          <w:lang w:val="fr-FR"/>
        </w:rPr>
        <w:t>appel islamique qui lui a refusé le droit de se marier à un homme de son choix. Les principaux faits à juger sont les suivants :</w:t>
      </w:r>
    </w:p>
    <w:p w:rsidR="003A6F57" w:rsidRPr="00E15507" w:rsidRDefault="009D597F" w:rsidP="009D597F">
      <w:pPr>
        <w:pStyle w:val="SingleTxt"/>
        <w:tabs>
          <w:tab w:val="clear" w:pos="1267"/>
        </w:tabs>
        <w:ind w:left="2250" w:hanging="990"/>
        <w:rPr>
          <w:lang w:val="fr-FR"/>
        </w:rPr>
      </w:pPr>
      <w:r>
        <w:rPr>
          <w:lang w:val="fr-FR"/>
        </w:rPr>
        <w:tab/>
      </w:r>
      <w:r w:rsidR="003A6F57" w:rsidRPr="00E15507">
        <w:rPr>
          <w:lang w:val="fr-FR"/>
        </w:rPr>
        <w:t xml:space="preserve">a) </w:t>
      </w:r>
      <w:r w:rsidR="003A6F57" w:rsidRPr="00E15507">
        <w:rPr>
          <w:lang w:val="fr-FR"/>
        </w:rPr>
        <w:tab/>
        <w:t>Le droit d</w:t>
      </w:r>
      <w:r w:rsidR="000A3D87">
        <w:rPr>
          <w:lang w:val="fr-FR"/>
        </w:rPr>
        <w:t>’</w:t>
      </w:r>
      <w:r w:rsidR="003A6F57" w:rsidRPr="00E15507">
        <w:rPr>
          <w:lang w:val="fr-FR"/>
        </w:rPr>
        <w:t>un père en tant que wakil (gardien) par rapport au droit d</w:t>
      </w:r>
      <w:r w:rsidR="000A3D87">
        <w:rPr>
          <w:lang w:val="fr-FR"/>
        </w:rPr>
        <w:t>’</w:t>
      </w:r>
      <w:r w:rsidR="003A6F57" w:rsidRPr="00E15507">
        <w:rPr>
          <w:lang w:val="fr-FR"/>
        </w:rPr>
        <w:t>une fille majeure et/ou d</w:t>
      </w:r>
      <w:r w:rsidR="000A3D87">
        <w:rPr>
          <w:lang w:val="fr-FR"/>
        </w:rPr>
        <w:t>’</w:t>
      </w:r>
      <w:r w:rsidR="003A6F57" w:rsidRPr="00E15507">
        <w:rPr>
          <w:lang w:val="fr-FR"/>
        </w:rPr>
        <w:t>une divorcée de se marier à un homme de son choix.</w:t>
      </w:r>
    </w:p>
    <w:p w:rsidR="003A6F57" w:rsidRPr="00E15507" w:rsidRDefault="009D597F" w:rsidP="009D597F">
      <w:pPr>
        <w:pStyle w:val="SingleTxt"/>
        <w:ind w:left="2250" w:hanging="990"/>
        <w:rPr>
          <w:lang w:val="fr-FR"/>
        </w:rPr>
      </w:pPr>
      <w:r>
        <w:rPr>
          <w:lang w:val="fr-FR"/>
        </w:rPr>
        <w:tab/>
      </w:r>
      <w:r w:rsidR="00AE0B41">
        <w:rPr>
          <w:lang w:val="fr-FR"/>
        </w:rPr>
        <w:tab/>
      </w:r>
      <w:r w:rsidR="003A6F57" w:rsidRPr="00E15507">
        <w:rPr>
          <w:lang w:val="fr-FR"/>
        </w:rPr>
        <w:t xml:space="preserve">b) </w:t>
      </w:r>
      <w:r w:rsidR="003A6F57" w:rsidRPr="00E15507">
        <w:rPr>
          <w:lang w:val="fr-FR"/>
        </w:rPr>
        <w:tab/>
        <w:t>La validité d</w:t>
      </w:r>
      <w:r w:rsidR="000A3D87">
        <w:rPr>
          <w:lang w:val="fr-FR"/>
        </w:rPr>
        <w:t>’</w:t>
      </w:r>
      <w:r w:rsidR="003A6F57" w:rsidRPr="00E15507">
        <w:rPr>
          <w:lang w:val="fr-FR"/>
        </w:rPr>
        <w:t>une procédure adoptée par un tribunal islamique d</w:t>
      </w:r>
      <w:r w:rsidR="000A3D87">
        <w:rPr>
          <w:lang w:val="fr-FR"/>
        </w:rPr>
        <w:t>’</w:t>
      </w:r>
      <w:r w:rsidR="003A6F57" w:rsidRPr="00E15507">
        <w:rPr>
          <w:lang w:val="fr-FR"/>
        </w:rPr>
        <w:t xml:space="preserve">instance inférieure de contracter le mariage avec la personne choisie. </w:t>
      </w:r>
    </w:p>
    <w:p w:rsidR="003A6F57" w:rsidRPr="00E15507" w:rsidRDefault="00AE0B41" w:rsidP="00E15507">
      <w:pPr>
        <w:pStyle w:val="SingleTxt"/>
        <w:rPr>
          <w:lang w:val="fr-FR"/>
        </w:rPr>
      </w:pPr>
      <w:r>
        <w:rPr>
          <w:lang w:val="fr-FR"/>
        </w:rPr>
        <w:tab/>
      </w:r>
      <w:r w:rsidR="003A6F57" w:rsidRPr="00E15507">
        <w:rPr>
          <w:lang w:val="fr-FR"/>
        </w:rPr>
        <w:t>Les motifs de l</w:t>
      </w:r>
      <w:r w:rsidR="000A3D87">
        <w:rPr>
          <w:lang w:val="fr-FR"/>
        </w:rPr>
        <w:t>’</w:t>
      </w:r>
      <w:r w:rsidR="003A6F57" w:rsidRPr="00E15507">
        <w:rPr>
          <w:lang w:val="fr-FR"/>
        </w:rPr>
        <w:t xml:space="preserve">appel comprennent la violation de ce qui suit : </w:t>
      </w:r>
    </w:p>
    <w:p w:rsidR="003A6F57" w:rsidRPr="00E15507" w:rsidRDefault="00AE0B41" w:rsidP="009546E1">
      <w:pPr>
        <w:pStyle w:val="SingleTxt"/>
        <w:numPr>
          <w:ilvl w:val="2"/>
          <w:numId w:val="7"/>
        </w:numPr>
        <w:tabs>
          <w:tab w:val="clear" w:pos="3427"/>
        </w:tabs>
        <w:ind w:left="2250" w:hanging="540"/>
        <w:rPr>
          <w:b/>
          <w:bCs/>
          <w:i/>
          <w:iCs/>
          <w:lang w:val="fr-FR"/>
        </w:rPr>
      </w:pPr>
      <w:r>
        <w:rPr>
          <w:b/>
          <w:bCs/>
          <w:i/>
          <w:iCs/>
          <w:lang w:val="fr-FR"/>
        </w:rPr>
        <w:tab/>
      </w:r>
      <w:r w:rsidR="003A6F57" w:rsidRPr="00E15507">
        <w:rPr>
          <w:b/>
          <w:bCs/>
          <w:i/>
          <w:iCs/>
          <w:lang w:val="fr-FR"/>
        </w:rPr>
        <w:t xml:space="preserve">Son droit en tant que divorcée (aux termes du droit islamique) de contracter un mariage </w:t>
      </w:r>
    </w:p>
    <w:p w:rsidR="003A6F57" w:rsidRPr="00E15507" w:rsidRDefault="00AE0B41" w:rsidP="009546E1">
      <w:pPr>
        <w:pStyle w:val="SingleTxt"/>
        <w:numPr>
          <w:ilvl w:val="2"/>
          <w:numId w:val="7"/>
        </w:numPr>
        <w:tabs>
          <w:tab w:val="clear" w:pos="3427"/>
        </w:tabs>
        <w:ind w:left="2250" w:hanging="540"/>
        <w:rPr>
          <w:b/>
          <w:bCs/>
          <w:i/>
          <w:iCs/>
          <w:lang w:val="fr-FR"/>
        </w:rPr>
      </w:pPr>
      <w:r>
        <w:rPr>
          <w:b/>
          <w:bCs/>
          <w:i/>
          <w:iCs/>
          <w:lang w:val="fr-FR"/>
        </w:rPr>
        <w:tab/>
      </w:r>
      <w:r w:rsidR="003A6F57" w:rsidRPr="00E15507">
        <w:rPr>
          <w:b/>
          <w:bCs/>
          <w:i/>
          <w:iCs/>
          <w:lang w:val="fr-FR"/>
        </w:rPr>
        <w:t>Les dispositions de la Constitution du Nigéria concernant la garantie contre la discrimination sexiste, la liberté des croyances religieuses et la liberté de la personne.</w:t>
      </w:r>
    </w:p>
    <w:p w:rsidR="003A6F57" w:rsidRPr="00E15507" w:rsidRDefault="00AE0B41" w:rsidP="009546E1">
      <w:pPr>
        <w:pStyle w:val="SingleTxt"/>
        <w:numPr>
          <w:ilvl w:val="2"/>
          <w:numId w:val="7"/>
        </w:numPr>
        <w:tabs>
          <w:tab w:val="clear" w:pos="3427"/>
        </w:tabs>
        <w:ind w:left="2250" w:hanging="540"/>
        <w:rPr>
          <w:lang w:val="fr-FR"/>
        </w:rPr>
      </w:pPr>
      <w:r>
        <w:rPr>
          <w:b/>
          <w:bCs/>
          <w:i/>
          <w:iCs/>
          <w:lang w:val="fr-FR"/>
        </w:rPr>
        <w:tab/>
      </w:r>
      <w:r w:rsidR="003A6F57" w:rsidRPr="00E15507">
        <w:rPr>
          <w:b/>
          <w:bCs/>
          <w:i/>
          <w:iCs/>
          <w:lang w:val="fr-FR"/>
        </w:rPr>
        <w:t>Les obligations internationales du Nigéria concernant la discrimination sur la base du sexe telles qu</w:t>
      </w:r>
      <w:r w:rsidR="000A3D87">
        <w:rPr>
          <w:b/>
          <w:bCs/>
          <w:i/>
          <w:iCs/>
          <w:lang w:val="fr-FR"/>
        </w:rPr>
        <w:t>’</w:t>
      </w:r>
      <w:r w:rsidR="003A6F57" w:rsidRPr="00E15507">
        <w:rPr>
          <w:b/>
          <w:bCs/>
          <w:i/>
          <w:iCs/>
          <w:lang w:val="fr-FR"/>
        </w:rPr>
        <w:t>elles sont enchâssées dans l</w:t>
      </w:r>
      <w:r w:rsidR="000A3D87">
        <w:rPr>
          <w:b/>
          <w:bCs/>
          <w:i/>
          <w:iCs/>
          <w:lang w:val="fr-FR"/>
        </w:rPr>
        <w:t>’</w:t>
      </w:r>
      <w:r w:rsidR="003A6F57" w:rsidRPr="00E15507">
        <w:rPr>
          <w:b/>
          <w:bCs/>
          <w:i/>
          <w:iCs/>
          <w:lang w:val="fr-FR"/>
        </w:rPr>
        <w:t>article 18 3) de la Charte africaine des droits de l</w:t>
      </w:r>
      <w:r w:rsidR="000A3D87">
        <w:rPr>
          <w:b/>
          <w:bCs/>
          <w:i/>
          <w:iCs/>
          <w:lang w:val="fr-FR"/>
        </w:rPr>
        <w:t>’</w:t>
      </w:r>
      <w:r w:rsidR="003A6F57" w:rsidRPr="00E15507">
        <w:rPr>
          <w:b/>
          <w:bCs/>
          <w:i/>
          <w:iCs/>
          <w:lang w:val="fr-FR"/>
        </w:rPr>
        <w:t>homme et des peuples (Loi sur la ratification et l</w:t>
      </w:r>
      <w:r w:rsidR="000A3D87">
        <w:rPr>
          <w:b/>
          <w:bCs/>
          <w:i/>
          <w:iCs/>
          <w:lang w:val="fr-FR"/>
        </w:rPr>
        <w:t>’</w:t>
      </w:r>
      <w:r w:rsidR="003A6F57" w:rsidRPr="00E15507">
        <w:rPr>
          <w:b/>
          <w:bCs/>
          <w:i/>
          <w:iCs/>
          <w:lang w:val="fr-FR"/>
        </w:rPr>
        <w:t>application, chap A9), Lois de la République fédérale du Nigéria.</w:t>
      </w:r>
      <w:r w:rsidR="003A6F57" w:rsidRPr="00E15507">
        <w:rPr>
          <w:lang w:val="fr-FR"/>
        </w:rPr>
        <w:t xml:space="preserve"> </w:t>
      </w:r>
    </w:p>
    <w:p w:rsidR="003A6F57" w:rsidRPr="00E15507" w:rsidRDefault="003A6F57" w:rsidP="00AE0B41">
      <w:pPr>
        <w:pStyle w:val="SingleTxt"/>
        <w:tabs>
          <w:tab w:val="clear" w:pos="1267"/>
        </w:tabs>
        <w:ind w:left="1710" w:hanging="443"/>
        <w:rPr>
          <w:lang w:val="fr-FR"/>
        </w:rPr>
      </w:pPr>
      <w:r w:rsidRPr="00E15507">
        <w:rPr>
          <w:lang w:val="fr-FR"/>
        </w:rPr>
        <w:t xml:space="preserve">4. </w:t>
      </w:r>
      <w:r w:rsidR="00AE0B41">
        <w:rPr>
          <w:lang w:val="fr-FR"/>
        </w:rPr>
        <w:tab/>
      </w:r>
      <w:r w:rsidRPr="00E15507">
        <w:rPr>
          <w:lang w:val="fr-FR"/>
        </w:rPr>
        <w:t>Un procès en cours (</w:t>
      </w:r>
      <w:r w:rsidRPr="00E15507">
        <w:rPr>
          <w:b/>
          <w:lang w:val="fr-FR"/>
        </w:rPr>
        <w:t>Cas n</w:t>
      </w:r>
      <w:r w:rsidRPr="00E15507">
        <w:rPr>
          <w:b/>
          <w:vertAlign w:val="superscript"/>
          <w:lang w:val="fr-FR"/>
        </w:rPr>
        <w:t>o</w:t>
      </w:r>
      <w:r w:rsidR="000A3D87">
        <w:rPr>
          <w:b/>
          <w:vertAlign w:val="superscript"/>
          <w:lang w:val="fr-FR"/>
        </w:rPr>
        <w:t> </w:t>
      </w:r>
      <w:r w:rsidRPr="00E15507">
        <w:rPr>
          <w:b/>
          <w:lang w:val="fr-FR"/>
        </w:rPr>
        <w:t>FCT/cV/178/2002</w:t>
      </w:r>
      <w:r w:rsidRPr="00E15507">
        <w:rPr>
          <w:lang w:val="fr-FR"/>
        </w:rPr>
        <w:t>) devant une haute instance judiciaire du Territoire de la capitale fédérale, portant sur la défense des droits de cinq (5) jeunes filles mineures, par le biais d</w:t>
      </w:r>
      <w:r w:rsidR="000A3D87">
        <w:rPr>
          <w:lang w:val="fr-FR"/>
        </w:rPr>
        <w:t>’</w:t>
      </w:r>
      <w:r w:rsidRPr="00E15507">
        <w:rPr>
          <w:lang w:val="fr-FR"/>
        </w:rPr>
        <w:t>une décision de :</w:t>
      </w:r>
    </w:p>
    <w:p w:rsidR="003A6F57" w:rsidRPr="00E15507" w:rsidRDefault="00AE0B41" w:rsidP="00AE0B41">
      <w:pPr>
        <w:pStyle w:val="SingleTxt"/>
        <w:tabs>
          <w:tab w:val="clear" w:pos="1267"/>
        </w:tabs>
        <w:ind w:left="2250" w:hanging="983"/>
        <w:rPr>
          <w:lang w:val="fr-FR"/>
        </w:rPr>
      </w:pPr>
      <w:r>
        <w:rPr>
          <w:lang w:val="fr-FR"/>
        </w:rPr>
        <w:tab/>
      </w:r>
      <w:r w:rsidR="003A6F57" w:rsidRPr="00E15507">
        <w:rPr>
          <w:lang w:val="fr-FR"/>
        </w:rPr>
        <w:t xml:space="preserve">a) </w:t>
      </w:r>
      <w:r>
        <w:rPr>
          <w:lang w:val="fr-FR"/>
        </w:rPr>
        <w:tab/>
      </w:r>
      <w:r>
        <w:rPr>
          <w:lang w:val="fr-FR"/>
        </w:rPr>
        <w:tab/>
        <w:t>C</w:t>
      </w:r>
      <w:r w:rsidR="003A6F57" w:rsidRPr="00E15507">
        <w:rPr>
          <w:lang w:val="fr-FR"/>
        </w:rPr>
        <w:t>onfirmer la validité du testament laissé par leur père décédé dans lequel elles sont bénéficiaires de même que leur mère décédée.</w:t>
      </w:r>
    </w:p>
    <w:p w:rsidR="003A6F57" w:rsidRPr="00E15507" w:rsidRDefault="00AE0B41" w:rsidP="00903601">
      <w:pPr>
        <w:pStyle w:val="SingleTxt"/>
        <w:tabs>
          <w:tab w:val="clear" w:pos="1267"/>
        </w:tabs>
        <w:ind w:left="2250" w:hanging="983"/>
        <w:rPr>
          <w:lang w:val="fr-FR"/>
        </w:rPr>
      </w:pPr>
      <w:r>
        <w:rPr>
          <w:lang w:val="fr-FR"/>
        </w:rPr>
        <w:tab/>
      </w:r>
      <w:r w:rsidR="003A6F57" w:rsidRPr="00E15507">
        <w:rPr>
          <w:lang w:val="fr-FR"/>
        </w:rPr>
        <w:t xml:space="preserve">b) </w:t>
      </w:r>
      <w:r>
        <w:rPr>
          <w:lang w:val="fr-FR"/>
        </w:rPr>
        <w:tab/>
        <w:t>F</w:t>
      </w:r>
      <w:r w:rsidR="003A6F57" w:rsidRPr="00E15507">
        <w:rPr>
          <w:lang w:val="fr-FR"/>
        </w:rPr>
        <w:t>aire une déclaration selon laquelle la coutume igbo sur l</w:t>
      </w:r>
      <w:r w:rsidR="000A3D87">
        <w:rPr>
          <w:lang w:val="fr-FR"/>
        </w:rPr>
        <w:t>’</w:t>
      </w:r>
      <w:r w:rsidR="003A6F57" w:rsidRPr="00E15507">
        <w:rPr>
          <w:lang w:val="fr-FR"/>
        </w:rPr>
        <w:t>héritage qui prive les cinq (5) filles orphelines de l</w:t>
      </w:r>
      <w:r w:rsidR="000A3D87">
        <w:rPr>
          <w:lang w:val="fr-FR"/>
        </w:rPr>
        <w:t>’</w:t>
      </w:r>
      <w:r w:rsidR="003A6F57" w:rsidRPr="00E15507">
        <w:rPr>
          <w:lang w:val="fr-FR"/>
        </w:rPr>
        <w:t>héritage de leur père constitue une violation de leur droit à la garantie contre la discrimination sur la base du sexe telle qu</w:t>
      </w:r>
      <w:r w:rsidR="000A3D87">
        <w:rPr>
          <w:lang w:val="fr-FR"/>
        </w:rPr>
        <w:t>’</w:t>
      </w:r>
      <w:r w:rsidR="003A6F57" w:rsidRPr="00E15507">
        <w:rPr>
          <w:lang w:val="fr-FR"/>
        </w:rPr>
        <w:t>elle est prévue par la Constitution de la République fédérale du Nigéria de 1999 et les obligations incombant au Nigéria en vertu du droit international, en particulier la Charte africaine sur les droits de l</w:t>
      </w:r>
      <w:r w:rsidR="000A3D87">
        <w:rPr>
          <w:lang w:val="fr-FR"/>
        </w:rPr>
        <w:t>’</w:t>
      </w:r>
      <w:r w:rsidR="003A6F57" w:rsidRPr="00E15507">
        <w:rPr>
          <w:lang w:val="fr-FR"/>
        </w:rPr>
        <w:t xml:space="preserve">homme et des peuples. </w:t>
      </w:r>
    </w:p>
    <w:p w:rsidR="003A6F57" w:rsidRPr="00E15507" w:rsidRDefault="003A6F57" w:rsidP="00903601">
      <w:pPr>
        <w:pStyle w:val="SingleTxt"/>
        <w:tabs>
          <w:tab w:val="clear" w:pos="1267"/>
        </w:tabs>
        <w:ind w:left="1800" w:hanging="533"/>
        <w:rPr>
          <w:lang w:val="fr-FR"/>
        </w:rPr>
      </w:pPr>
      <w:r w:rsidRPr="00E15507">
        <w:rPr>
          <w:lang w:val="fr-FR"/>
        </w:rPr>
        <w:t xml:space="preserve">5. </w:t>
      </w:r>
      <w:r w:rsidR="00903601">
        <w:rPr>
          <w:lang w:val="fr-FR"/>
        </w:rPr>
        <w:tab/>
      </w:r>
      <w:r w:rsidRPr="00E15507">
        <w:rPr>
          <w:lang w:val="fr-FR"/>
        </w:rPr>
        <w:t>Un appel en cours devant un tribunal coutumier de l</w:t>
      </w:r>
      <w:r w:rsidR="000A3D87">
        <w:rPr>
          <w:lang w:val="fr-FR"/>
        </w:rPr>
        <w:t>’</w:t>
      </w:r>
      <w:r w:rsidRPr="00E15507">
        <w:rPr>
          <w:lang w:val="fr-FR"/>
        </w:rPr>
        <w:t>État de Bénoué découlant de l</w:t>
      </w:r>
      <w:r w:rsidR="000A3D87">
        <w:rPr>
          <w:lang w:val="fr-FR"/>
        </w:rPr>
        <w:t>’</w:t>
      </w:r>
      <w:r w:rsidRPr="00E15507">
        <w:rPr>
          <w:lang w:val="fr-FR"/>
        </w:rPr>
        <w:t>attribution de la garde des enfants dans une affaire de divorce reposant sur le statut de VIH/</w:t>
      </w:r>
      <w:r w:rsidR="00940485">
        <w:rPr>
          <w:lang w:val="fr-FR"/>
        </w:rPr>
        <w:t>SIDA</w:t>
      </w:r>
      <w:r w:rsidRPr="00E15507">
        <w:rPr>
          <w:lang w:val="fr-FR"/>
        </w:rPr>
        <w:t xml:space="preserve"> de la femme. Le recours en appel (par le mari) conteste la décision du tribunal d</w:t>
      </w:r>
      <w:r w:rsidR="000A3D87">
        <w:rPr>
          <w:lang w:val="fr-FR"/>
        </w:rPr>
        <w:t>’</w:t>
      </w:r>
      <w:r w:rsidRPr="00E15507">
        <w:rPr>
          <w:lang w:val="fr-FR"/>
        </w:rPr>
        <w:t>instance inférieure d</w:t>
      </w:r>
      <w:r w:rsidR="000A3D87">
        <w:rPr>
          <w:lang w:val="fr-FR"/>
        </w:rPr>
        <w:t>’</w:t>
      </w:r>
      <w:r w:rsidRPr="00E15507">
        <w:rPr>
          <w:lang w:val="fr-FR"/>
        </w:rPr>
        <w:t>accorder à Ene Oduh Onuh la garde des enfants issus du mariage. La défenderesse (la mère des enfants) voudrait que l</w:t>
      </w:r>
      <w:r w:rsidR="000A3D87">
        <w:rPr>
          <w:lang w:val="fr-FR"/>
        </w:rPr>
        <w:t>’</w:t>
      </w:r>
      <w:r w:rsidRPr="00E15507">
        <w:rPr>
          <w:lang w:val="fr-FR"/>
        </w:rPr>
        <w:t>appel soit rejeté parce que le divorce était une erreur judiciaire dans la mesure où il reposait sur son statut de VIH, et que lui refuser la garde des enfants uniquement sur cette base constituerait une violation de son droit à la garantie contre la discrimination aux termes de la Constitution de la République fédérale de 1999 et des obligations incombant au Nigéria en vertu des déclarations et conventions régionales et internationales :</w:t>
      </w:r>
    </w:p>
    <w:p w:rsidR="003A6F57" w:rsidRPr="00E15507" w:rsidRDefault="003A6F57" w:rsidP="009546E1">
      <w:pPr>
        <w:pStyle w:val="SingleTxt"/>
        <w:numPr>
          <w:ilvl w:val="2"/>
          <w:numId w:val="8"/>
        </w:numPr>
        <w:tabs>
          <w:tab w:val="clear" w:pos="1742"/>
          <w:tab w:val="clear" w:pos="3427"/>
          <w:tab w:val="left" w:pos="1800"/>
        </w:tabs>
        <w:ind w:left="1800" w:hanging="540"/>
        <w:rPr>
          <w:lang w:val="fr-FR"/>
        </w:rPr>
      </w:pPr>
      <w:r w:rsidRPr="00E15507">
        <w:rPr>
          <w:lang w:val="fr-FR"/>
        </w:rPr>
        <w:t>Charte africaine des droits de l</w:t>
      </w:r>
      <w:r w:rsidR="000A3D87">
        <w:rPr>
          <w:lang w:val="fr-FR"/>
        </w:rPr>
        <w:t>’</w:t>
      </w:r>
      <w:r w:rsidRPr="00E15507">
        <w:rPr>
          <w:lang w:val="fr-FR"/>
        </w:rPr>
        <w:t>homme et des peuples (Loi sur la ratification et l</w:t>
      </w:r>
      <w:r w:rsidR="000A3D87">
        <w:rPr>
          <w:lang w:val="fr-FR"/>
        </w:rPr>
        <w:t>’</w:t>
      </w:r>
      <w:r w:rsidR="00903601">
        <w:rPr>
          <w:lang w:val="fr-FR"/>
        </w:rPr>
        <w:t>ap</w:t>
      </w:r>
      <w:r w:rsidRPr="00E15507">
        <w:rPr>
          <w:lang w:val="fr-FR"/>
        </w:rPr>
        <w:t>plication)</w:t>
      </w:r>
    </w:p>
    <w:p w:rsidR="003A6F57" w:rsidRPr="00E15507" w:rsidRDefault="003A6F57" w:rsidP="009546E1">
      <w:pPr>
        <w:pStyle w:val="SingleTxt"/>
        <w:numPr>
          <w:ilvl w:val="2"/>
          <w:numId w:val="8"/>
        </w:numPr>
        <w:tabs>
          <w:tab w:val="clear" w:pos="3427"/>
        </w:tabs>
        <w:ind w:left="1710" w:hanging="450"/>
        <w:rPr>
          <w:lang w:val="fr-FR"/>
        </w:rPr>
      </w:pPr>
      <w:r w:rsidRPr="00E15507">
        <w:rPr>
          <w:lang w:val="fr-FR"/>
        </w:rPr>
        <w:t>Déclaration universelle des droits de l</w:t>
      </w:r>
      <w:r w:rsidR="000A3D87">
        <w:rPr>
          <w:lang w:val="fr-FR"/>
        </w:rPr>
        <w:t>’</w:t>
      </w:r>
      <w:r w:rsidRPr="00E15507">
        <w:rPr>
          <w:lang w:val="fr-FR"/>
        </w:rPr>
        <w:t>homme</w:t>
      </w:r>
    </w:p>
    <w:p w:rsidR="003A6F57" w:rsidRPr="00E15507" w:rsidRDefault="003A6F57" w:rsidP="009546E1">
      <w:pPr>
        <w:pStyle w:val="SingleTxt"/>
        <w:numPr>
          <w:ilvl w:val="2"/>
          <w:numId w:val="8"/>
        </w:numPr>
        <w:tabs>
          <w:tab w:val="clear" w:pos="3427"/>
        </w:tabs>
        <w:ind w:left="1710" w:hanging="450"/>
        <w:rPr>
          <w:lang w:val="fr-FR"/>
        </w:rPr>
      </w:pPr>
      <w:r w:rsidRPr="00E15507">
        <w:rPr>
          <w:lang w:val="fr-FR"/>
        </w:rPr>
        <w:t>Convention internationale sur les droits civils et politiques</w:t>
      </w:r>
    </w:p>
    <w:p w:rsidR="003A6F57" w:rsidRPr="00E15507" w:rsidRDefault="00903601" w:rsidP="00E15507">
      <w:pPr>
        <w:pStyle w:val="SingleTxt"/>
        <w:rPr>
          <w:lang w:val="fr-FR"/>
        </w:rPr>
      </w:pPr>
      <w:r>
        <w:rPr>
          <w:lang w:val="fr-FR"/>
        </w:rPr>
        <w:tab/>
      </w:r>
      <w:r w:rsidR="003A6F57" w:rsidRPr="00E15507">
        <w:rPr>
          <w:lang w:val="fr-FR"/>
        </w:rPr>
        <w:t>Les avantages des ces initiatives sont le fruit de la collaboration et de la constitution de réseaux à grande échelle des ONG et du système judiciaire dans le cadre de l</w:t>
      </w:r>
      <w:r w:rsidR="000A3D87">
        <w:rPr>
          <w:lang w:val="fr-FR"/>
        </w:rPr>
        <w:t>’</w:t>
      </w:r>
      <w:r w:rsidR="003A6F57" w:rsidRPr="00E15507">
        <w:rPr>
          <w:lang w:val="fr-FR"/>
        </w:rPr>
        <w:t xml:space="preserve">administration de la justice. Les ONG poursuivent leurs efforts dans le domaine des recours stratégiques en justice. </w:t>
      </w:r>
    </w:p>
    <w:p w:rsidR="003A6F57" w:rsidRPr="00E15507" w:rsidRDefault="003A6F57" w:rsidP="00E15507">
      <w:pPr>
        <w:pStyle w:val="SingleTxt"/>
        <w:rPr>
          <w:lang w:val="fr-FR"/>
        </w:rPr>
      </w:pPr>
      <w:r w:rsidRPr="00E15507">
        <w:rPr>
          <w:lang w:val="fr-FR"/>
        </w:rPr>
        <w:t xml:space="preserve">1.4.3 </w:t>
      </w:r>
      <w:r w:rsidR="00903601">
        <w:rPr>
          <w:lang w:val="fr-FR"/>
        </w:rPr>
        <w:t xml:space="preserve"> </w:t>
      </w:r>
      <w:r w:rsidRPr="00877CB0">
        <w:rPr>
          <w:b/>
          <w:lang w:val="fr-FR"/>
        </w:rPr>
        <w:t>Défis</w:t>
      </w:r>
    </w:p>
    <w:p w:rsidR="003A6F57" w:rsidRPr="00E15507" w:rsidRDefault="00903601" w:rsidP="00E15507">
      <w:pPr>
        <w:pStyle w:val="SingleTxt"/>
        <w:rPr>
          <w:lang w:val="fr-FR"/>
        </w:rPr>
      </w:pPr>
      <w:r>
        <w:rPr>
          <w:lang w:val="fr-FR"/>
        </w:rPr>
        <w:tab/>
      </w:r>
      <w:r w:rsidR="003A6F57" w:rsidRPr="00E15507">
        <w:rPr>
          <w:lang w:val="fr-FR"/>
        </w:rPr>
        <w:t>En dépit des progrès enregistrés jusqu</w:t>
      </w:r>
      <w:r w:rsidR="000A3D87">
        <w:rPr>
          <w:lang w:val="fr-FR"/>
        </w:rPr>
        <w:t>’</w:t>
      </w:r>
      <w:r w:rsidR="003A6F57" w:rsidRPr="00E15507">
        <w:rPr>
          <w:lang w:val="fr-FR"/>
        </w:rPr>
        <w:t>ici dans la promotion des droits de la femme, celle-ci continue de faire l</w:t>
      </w:r>
      <w:r w:rsidR="000A3D87">
        <w:rPr>
          <w:lang w:val="fr-FR"/>
        </w:rPr>
        <w:t>’</w:t>
      </w:r>
      <w:r w:rsidR="003A6F57" w:rsidRPr="00E15507">
        <w:rPr>
          <w:lang w:val="fr-FR"/>
        </w:rPr>
        <w:t>objet de discrimination en raison de la lenteur avec laquelle les lois relatives à ses droits sont adoptées par le pouvoir judiciaire aux différents niveaux et les mécanismes d</w:t>
      </w:r>
      <w:r w:rsidR="000A3D87">
        <w:rPr>
          <w:lang w:val="fr-FR"/>
        </w:rPr>
        <w:t>’</w:t>
      </w:r>
      <w:r w:rsidR="003A6F57" w:rsidRPr="00E15507">
        <w:rPr>
          <w:lang w:val="fr-FR"/>
        </w:rPr>
        <w:t xml:space="preserve">application des lois en vigueur. Les pratiques culturelles et religieuses qui défavorisent les femmes sont encore bien enracinées dans le pays, ce qui fait que les changements de comportement constituent un défi de taille pour les adeptes du changement. </w:t>
      </w:r>
    </w:p>
    <w:p w:rsidR="00877CB0" w:rsidRPr="00877CB0" w:rsidRDefault="00877CB0" w:rsidP="00877CB0">
      <w:pPr>
        <w:pStyle w:val="SingleTxt"/>
        <w:spacing w:after="0" w:line="120" w:lineRule="exact"/>
        <w:rPr>
          <w:sz w:val="10"/>
          <w:lang w:val="fr-FR"/>
        </w:rPr>
      </w:pPr>
    </w:p>
    <w:p w:rsidR="00903601" w:rsidRPr="00903601" w:rsidRDefault="00903601" w:rsidP="00903601">
      <w:pPr>
        <w:pStyle w:val="SingleTxt"/>
        <w:spacing w:after="0" w:line="120" w:lineRule="exact"/>
        <w:rPr>
          <w:sz w:val="10"/>
          <w:lang w:val="fr-FR"/>
        </w:rPr>
      </w:pPr>
    </w:p>
    <w:p w:rsidR="003A6F57" w:rsidRDefault="00903601" w:rsidP="00877CB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3A6F57" w:rsidRPr="00E15507">
        <w:rPr>
          <w:lang w:val="fr-FR"/>
        </w:rPr>
        <w:t>Article 2</w:t>
      </w:r>
      <w:r>
        <w:rPr>
          <w:lang w:val="fr-FR"/>
        </w:rPr>
        <w:t> </w:t>
      </w:r>
      <w:r w:rsidR="003A6F57" w:rsidRPr="00E15507">
        <w:rPr>
          <w:lang w:val="fr-FR"/>
        </w:rPr>
        <w:t>: Obligation d</w:t>
      </w:r>
      <w:r w:rsidR="000A3D87">
        <w:rPr>
          <w:lang w:val="fr-FR"/>
        </w:rPr>
        <w:t>’</w:t>
      </w:r>
      <w:r w:rsidR="003A6F57" w:rsidRPr="00E15507">
        <w:rPr>
          <w:lang w:val="fr-FR"/>
        </w:rPr>
        <w:t>éliminer la discrimination</w:t>
      </w:r>
    </w:p>
    <w:p w:rsidR="00903601" w:rsidRPr="00903601" w:rsidRDefault="00903601" w:rsidP="00903601">
      <w:pPr>
        <w:pStyle w:val="SingleTxt"/>
        <w:spacing w:after="0" w:line="120" w:lineRule="exact"/>
        <w:rPr>
          <w:sz w:val="10"/>
          <w:lang w:val="fr-FR"/>
        </w:rPr>
      </w:pPr>
    </w:p>
    <w:p w:rsidR="00903601" w:rsidRDefault="00903601" w:rsidP="009036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903601">
        <w:rPr>
          <w:lang w:val="fr-FR"/>
        </w:rPr>
        <w:t xml:space="preserve">2.0 </w:t>
      </w:r>
      <w:r>
        <w:rPr>
          <w:lang w:val="fr-FR"/>
        </w:rPr>
        <w:tab/>
      </w:r>
      <w:r w:rsidRPr="00903601">
        <w:rPr>
          <w:lang w:val="fr-FR"/>
        </w:rPr>
        <w:t>Mesures législatives et administratives pour éliminer la discrimination</w:t>
      </w:r>
    </w:p>
    <w:p w:rsidR="00903601" w:rsidRPr="00903601" w:rsidRDefault="00903601" w:rsidP="00903601">
      <w:pPr>
        <w:pStyle w:val="SingleTxt"/>
        <w:spacing w:after="0" w:line="120" w:lineRule="exact"/>
        <w:rPr>
          <w:sz w:val="10"/>
          <w:lang w:val="fr-FR"/>
        </w:rPr>
      </w:pPr>
    </w:p>
    <w:p w:rsidR="00AE044A" w:rsidRDefault="00903601" w:rsidP="00AE04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hanging="1267"/>
        <w:jc w:val="both"/>
        <w:rPr>
          <w:b w:val="0"/>
          <w:lang w:val="fr-FR"/>
        </w:rPr>
      </w:pPr>
      <w:r>
        <w:rPr>
          <w:lang w:val="fr-FR"/>
        </w:rPr>
        <w:tab/>
      </w:r>
      <w:r w:rsidR="003A6F57" w:rsidRPr="00E15507">
        <w:rPr>
          <w:bCs/>
          <w:lang w:val="fr-FR"/>
        </w:rPr>
        <w:t>2.1</w:t>
      </w:r>
      <w:r w:rsidR="003A6F57" w:rsidRPr="00E15507">
        <w:rPr>
          <w:lang w:val="fr-FR"/>
        </w:rPr>
        <w:t xml:space="preserve"> </w:t>
      </w:r>
      <w:r>
        <w:rPr>
          <w:lang w:val="fr-FR"/>
        </w:rPr>
        <w:tab/>
      </w:r>
      <w:r w:rsidR="003A6F57" w:rsidRPr="00903601">
        <w:rPr>
          <w:b w:val="0"/>
          <w:lang w:val="fr-FR"/>
        </w:rPr>
        <w:t>Depuis la présentation du quatrième-cinquième rapport périodique, de nouveaux efforts ont été consentis pour permettre au Nigéria de s</w:t>
      </w:r>
      <w:r w:rsidR="000A3D87">
        <w:rPr>
          <w:b w:val="0"/>
          <w:lang w:val="fr-FR"/>
        </w:rPr>
        <w:t>’</w:t>
      </w:r>
      <w:r w:rsidR="003A6F57" w:rsidRPr="00903601">
        <w:rPr>
          <w:b w:val="0"/>
          <w:lang w:val="fr-FR"/>
        </w:rPr>
        <w:t>acquitter des obligations qui lui incombent aux termes de la Convention aux plans fédéral, étatique et local, de traduire les dispositions de la Convention en réalité et de mettre en place des mécanismes efficaces et pratiques pour garantir la non-discrimination.</w:t>
      </w:r>
    </w:p>
    <w:p w:rsidR="003A6F57" w:rsidRPr="00E15507" w:rsidRDefault="00AE044A" w:rsidP="00AE044A">
      <w:pPr>
        <w:pStyle w:val="SingleTxt"/>
        <w:ind w:right="4720"/>
        <w:rPr>
          <w:lang w:val="fr-FR"/>
        </w:rPr>
      </w:pPr>
      <w:r>
        <w:rPr>
          <w:b/>
          <w:lang w:val="fr-FR"/>
        </w:rPr>
        <w:br w:type="page"/>
      </w:r>
      <w:r>
        <w:rPr>
          <w:lang w:val="fr-FR"/>
        </w:rPr>
        <w:tab/>
      </w:r>
      <w:r w:rsidR="003A6F57" w:rsidRPr="00E15507">
        <w:rPr>
          <w:lang w:val="fr-FR"/>
        </w:rPr>
        <w:t>Cette intégration de la Convention sur les droits de l</w:t>
      </w:r>
      <w:r w:rsidR="000A3D87">
        <w:rPr>
          <w:lang w:val="fr-FR"/>
        </w:rPr>
        <w:t>’</w:t>
      </w:r>
      <w:r w:rsidR="003A6F57" w:rsidRPr="00E15507">
        <w:rPr>
          <w:lang w:val="fr-FR"/>
        </w:rPr>
        <w:t>enfant à la législation nationale, par le biais de la Loi sur les droits de l</w:t>
      </w:r>
      <w:r w:rsidR="000A3D87">
        <w:rPr>
          <w:lang w:val="fr-FR"/>
        </w:rPr>
        <w:t>’</w:t>
      </w:r>
      <w:r w:rsidR="003A6F57" w:rsidRPr="00E15507">
        <w:rPr>
          <w:lang w:val="fr-FR"/>
        </w:rPr>
        <w:t>enfant et la promulgation du texte sur l</w:t>
      </w:r>
      <w:r w:rsidR="000A3D87">
        <w:rPr>
          <w:lang w:val="fr-FR"/>
        </w:rPr>
        <w:t>’</w:t>
      </w:r>
      <w:r w:rsidR="003A6F57" w:rsidRPr="00E15507">
        <w:rPr>
          <w:lang w:val="fr-FR"/>
        </w:rPr>
        <w:t>application et l</w:t>
      </w:r>
      <w:r w:rsidR="000A3D87">
        <w:rPr>
          <w:lang w:val="fr-FR"/>
        </w:rPr>
        <w:t>’</w:t>
      </w:r>
      <w:r w:rsidR="003A6F57" w:rsidRPr="00E15507">
        <w:rPr>
          <w:lang w:val="fr-FR"/>
        </w:rPr>
        <w:t>exécution de la Loi (interdisant) la traite des personnes, offrent les cadres juridiques et institutionnels pour la mise en œuvre des dispositions contemporaines de la Convention sur les droits de l</w:t>
      </w:r>
      <w:r w:rsidR="000A3D87">
        <w:rPr>
          <w:lang w:val="fr-FR"/>
        </w:rPr>
        <w:t>’</w:t>
      </w:r>
      <w:r w:rsidR="003A6F57" w:rsidRPr="00E15507">
        <w:rPr>
          <w:lang w:val="fr-FR"/>
        </w:rPr>
        <w:t>enfant et de la Convention sur l</w:t>
      </w:r>
      <w:r w:rsidR="000A3D87">
        <w:rPr>
          <w:lang w:val="fr-FR"/>
        </w:rPr>
        <w:t>’</w:t>
      </w:r>
      <w:r w:rsidR="003A6F57" w:rsidRPr="00E15507">
        <w:rPr>
          <w:lang w:val="fr-FR"/>
        </w:rPr>
        <w:t>élimination de toutes les formes de discrimination à l</w:t>
      </w:r>
      <w:r w:rsidR="000A3D87">
        <w:rPr>
          <w:lang w:val="fr-FR"/>
        </w:rPr>
        <w:t>’</w:t>
      </w:r>
      <w:r w:rsidR="003A6F57" w:rsidRPr="00E15507">
        <w:rPr>
          <w:lang w:val="fr-FR"/>
        </w:rPr>
        <w:t>égard des femmes. Il s</w:t>
      </w:r>
      <w:r w:rsidR="000A3D87">
        <w:rPr>
          <w:lang w:val="fr-FR"/>
        </w:rPr>
        <w:t>’</w:t>
      </w:r>
      <w:r w:rsidR="003A6F57" w:rsidRPr="00E15507">
        <w:rPr>
          <w:lang w:val="fr-FR"/>
        </w:rPr>
        <w:t>agit en particulier des questions concernant la protection de la fillette contre les sévices, la violence, l</w:t>
      </w:r>
      <w:r w:rsidR="000A3D87">
        <w:rPr>
          <w:lang w:val="fr-FR"/>
        </w:rPr>
        <w:t>’</w:t>
      </w:r>
      <w:r w:rsidR="003A6F57" w:rsidRPr="00E15507">
        <w:rPr>
          <w:lang w:val="fr-FR"/>
        </w:rPr>
        <w:t xml:space="preserve">exploitation et la discrimination. Par implication, le pays a créé un cadre juridique pour certaines dispositions de la Convention qui sont </w:t>
      </w:r>
      <w:r w:rsidR="003A6F57" w:rsidRPr="00E15507">
        <w:rPr>
          <w:b/>
          <w:lang w:val="fr-FR"/>
        </w:rPr>
        <w:t>justiciables,</w:t>
      </w:r>
      <w:r w:rsidR="003A6F57" w:rsidRPr="00E15507">
        <w:rPr>
          <w:lang w:val="fr-FR"/>
        </w:rPr>
        <w:t xml:space="preserve"> en particulier concernant l</w:t>
      </w:r>
      <w:r w:rsidR="000A3D87">
        <w:rPr>
          <w:lang w:val="fr-FR"/>
        </w:rPr>
        <w:t>’</w:t>
      </w:r>
      <w:r w:rsidR="003A6F57" w:rsidRPr="00E15507">
        <w:rPr>
          <w:lang w:val="fr-FR"/>
        </w:rPr>
        <w:t>interdiction des activités relevées dans l</w:t>
      </w:r>
      <w:r w:rsidR="000A3D87">
        <w:rPr>
          <w:lang w:val="fr-FR"/>
        </w:rPr>
        <w:t>’</w:t>
      </w:r>
      <w:r w:rsidR="003A6F57" w:rsidRPr="00E15507">
        <w:rPr>
          <w:lang w:val="fr-FR"/>
        </w:rPr>
        <w:t>Encadré 2.1.</w:t>
      </w:r>
    </w:p>
    <w:p w:rsidR="003A6F57" w:rsidRPr="00E15507" w:rsidRDefault="00AE044A" w:rsidP="00E15507">
      <w:pPr>
        <w:pStyle w:val="SingleTxt"/>
        <w:rPr>
          <w:lang w:val="fr-FR"/>
        </w:rPr>
      </w:pPr>
      <w:r>
        <w:rPr>
          <w:noProof/>
          <w:w w:val="100"/>
          <w:lang w:val="en-US"/>
        </w:rPr>
        <w:pict>
          <v:shape id="_x0000_s2067" type="#_x0000_t202" style="position:absolute;left:0;text-align:left;margin-left:268.3pt;margin-top:-254.9pt;width:162pt;height:252pt;z-index:4">
            <v:textbox style="mso-next-textbox:#_x0000_s2067">
              <w:txbxContent>
                <w:p w:rsidR="00D32F3D" w:rsidRDefault="00D32F3D" w:rsidP="00AE044A">
                  <w:pPr>
                    <w:rPr>
                      <w:b/>
                    </w:rPr>
                  </w:pPr>
                  <w:r w:rsidRPr="006C7981">
                    <w:rPr>
                      <w:b/>
                    </w:rPr>
                    <w:t>Encadré 2.1</w:t>
                  </w:r>
                </w:p>
                <w:p w:rsidR="006C7981" w:rsidRPr="006C7981" w:rsidRDefault="006C7981" w:rsidP="00AE044A">
                  <w:pPr>
                    <w:rPr>
                      <w:b/>
                    </w:rPr>
                  </w:pPr>
                </w:p>
                <w:p w:rsidR="00D32F3D" w:rsidRPr="006C7981" w:rsidRDefault="00D32F3D" w:rsidP="00AE044A">
                  <w:pPr>
                    <w:tabs>
                      <w:tab w:val="left" w:pos="270"/>
                    </w:tabs>
                    <w:ind w:left="270" w:hanging="270"/>
                    <w:rPr>
                      <w:b/>
                    </w:rPr>
                  </w:pPr>
                  <w:r>
                    <w:t>•</w:t>
                  </w:r>
                  <w:r>
                    <w:tab/>
                  </w:r>
                  <w:r w:rsidRPr="006C7981">
                    <w:rPr>
                      <w:b/>
                    </w:rPr>
                    <w:t xml:space="preserve">Commerce sur le trottoir et colportage </w:t>
                  </w:r>
                </w:p>
                <w:p w:rsidR="00D32F3D" w:rsidRPr="006C7981" w:rsidRDefault="00D32F3D" w:rsidP="00AE044A">
                  <w:pPr>
                    <w:tabs>
                      <w:tab w:val="left" w:pos="270"/>
                    </w:tabs>
                    <w:rPr>
                      <w:b/>
                    </w:rPr>
                  </w:pPr>
                  <w:r w:rsidRPr="006C7981">
                    <w:rPr>
                      <w:b/>
                    </w:rPr>
                    <w:t>•</w:t>
                  </w:r>
                  <w:r w:rsidRPr="006C7981">
                    <w:rPr>
                      <w:b/>
                    </w:rPr>
                    <w:tab/>
                    <w:t xml:space="preserve">Mendicité dans la rue </w:t>
                  </w:r>
                </w:p>
                <w:p w:rsidR="00D32F3D" w:rsidRPr="006C7981" w:rsidRDefault="00D32F3D" w:rsidP="00AE044A">
                  <w:pPr>
                    <w:tabs>
                      <w:tab w:val="left" w:pos="270"/>
                    </w:tabs>
                    <w:ind w:left="270" w:hanging="270"/>
                    <w:rPr>
                      <w:b/>
                    </w:rPr>
                  </w:pPr>
                  <w:r w:rsidRPr="006C7981">
                    <w:rPr>
                      <w:b/>
                    </w:rPr>
                    <w:t>•</w:t>
                  </w:r>
                  <w:r w:rsidRPr="006C7981">
                    <w:rPr>
                      <w:b/>
                    </w:rPr>
                    <w:tab/>
                    <w:t xml:space="preserve">Travail et traite des enfants et toutes les formes de sévices et de violence à leur égard </w:t>
                  </w:r>
                </w:p>
                <w:p w:rsidR="00D32F3D" w:rsidRPr="006C7981" w:rsidRDefault="00D32F3D" w:rsidP="00AE044A">
                  <w:pPr>
                    <w:tabs>
                      <w:tab w:val="left" w:pos="270"/>
                    </w:tabs>
                    <w:ind w:left="270" w:hanging="270"/>
                    <w:rPr>
                      <w:b/>
                    </w:rPr>
                  </w:pPr>
                  <w:r w:rsidRPr="006C7981">
                    <w:rPr>
                      <w:b/>
                    </w:rPr>
                    <w:t>•</w:t>
                  </w:r>
                  <w:r w:rsidRPr="006C7981">
                    <w:rPr>
                      <w:b/>
                    </w:rPr>
                    <w:tab/>
                    <w:t xml:space="preserve">Exploitation sexuelle des filles/femmes </w:t>
                  </w:r>
                </w:p>
                <w:p w:rsidR="00D32F3D" w:rsidRPr="006C7981" w:rsidRDefault="00D32F3D" w:rsidP="00AE044A">
                  <w:pPr>
                    <w:tabs>
                      <w:tab w:val="left" w:pos="270"/>
                    </w:tabs>
                    <w:ind w:left="270" w:hanging="270"/>
                    <w:rPr>
                      <w:b/>
                    </w:rPr>
                  </w:pPr>
                  <w:r w:rsidRPr="006C7981">
                    <w:rPr>
                      <w:b/>
                    </w:rPr>
                    <w:t>•</w:t>
                  </w:r>
                  <w:r w:rsidRPr="006C7981">
                    <w:rPr>
                      <w:b/>
                    </w:rPr>
                    <w:tab/>
                    <w:t xml:space="preserve">Pratiques traditionnelles néfastes telles la mutilation génitale féminine et le mariage des enfants </w:t>
                  </w:r>
                </w:p>
                <w:p w:rsidR="00D32F3D" w:rsidRPr="006C7981" w:rsidRDefault="00D32F3D" w:rsidP="00AE044A">
                  <w:pPr>
                    <w:tabs>
                      <w:tab w:val="left" w:pos="270"/>
                    </w:tabs>
                    <w:ind w:left="270" w:hanging="270"/>
                    <w:rPr>
                      <w:b/>
                    </w:rPr>
                  </w:pPr>
                  <w:r w:rsidRPr="006C7981">
                    <w:rPr>
                      <w:b/>
                    </w:rPr>
                    <w:t>•</w:t>
                  </w:r>
                  <w:r w:rsidRPr="006C7981">
                    <w:rPr>
                      <w:b/>
                    </w:rPr>
                    <w:tab/>
                    <w:t xml:space="preserve">Droits fondamentaux de la petite fille à la santé, l’éducation, la survie et la participation </w:t>
                  </w:r>
                </w:p>
                <w:p w:rsidR="00D32F3D" w:rsidRPr="006C7981" w:rsidRDefault="00D32F3D" w:rsidP="00AE044A">
                  <w:pPr>
                    <w:tabs>
                      <w:tab w:val="left" w:pos="270"/>
                    </w:tabs>
                    <w:rPr>
                      <w:b/>
                    </w:rPr>
                  </w:pPr>
                  <w:r w:rsidRPr="006C7981">
                    <w:rPr>
                      <w:b/>
                    </w:rPr>
                    <w:t>•</w:t>
                  </w:r>
                  <w:r w:rsidRPr="006C7981">
                    <w:rPr>
                      <w:b/>
                    </w:rPr>
                    <w:tab/>
                    <w:t>Déshéritage de la petite fille</w:t>
                  </w:r>
                </w:p>
              </w:txbxContent>
            </v:textbox>
          </v:shape>
        </w:pict>
      </w:r>
      <w:r w:rsidR="003A6F57" w:rsidRPr="00E15507">
        <w:rPr>
          <w:b/>
          <w:bCs/>
          <w:lang w:val="fr-FR"/>
        </w:rPr>
        <w:t>2.1.1</w:t>
      </w:r>
      <w:r w:rsidR="003A6F57" w:rsidRPr="00E15507">
        <w:rPr>
          <w:lang w:val="fr-FR"/>
        </w:rPr>
        <w:t xml:space="preserve"> </w:t>
      </w:r>
      <w:r>
        <w:rPr>
          <w:lang w:val="fr-FR"/>
        </w:rPr>
        <w:t xml:space="preserve"> </w:t>
      </w:r>
      <w:r w:rsidR="003A6F57" w:rsidRPr="00E15507">
        <w:rPr>
          <w:lang w:val="fr-FR"/>
        </w:rPr>
        <w:t xml:space="preserve">Il existe une solide synergie et collaboration entre les commissions du Sénat et de la Chambre sur les affaires concernant les femmes et le ministère de la Condition de la femme dans le cadre de la promotion des progrès et de la protection des femmes et des enfants contre toutes les formes de discrimination. </w:t>
      </w:r>
    </w:p>
    <w:p w:rsidR="003A6F57" w:rsidRPr="00E15507" w:rsidRDefault="00AE044A" w:rsidP="00E15507">
      <w:pPr>
        <w:pStyle w:val="SingleTxt"/>
        <w:rPr>
          <w:lang w:val="fr-FR"/>
        </w:rPr>
      </w:pPr>
      <w:r>
        <w:rPr>
          <w:lang w:val="fr-FR"/>
        </w:rPr>
        <w:tab/>
      </w:r>
      <w:r w:rsidR="003A6F57" w:rsidRPr="00E15507">
        <w:rPr>
          <w:lang w:val="fr-FR"/>
        </w:rPr>
        <w:t>En outre, les commissions de la Chambre et du Sénat sont chargées de proposer des lois et de prendre d</w:t>
      </w:r>
      <w:r w:rsidR="000A3D87">
        <w:rPr>
          <w:lang w:val="fr-FR"/>
        </w:rPr>
        <w:t>’</w:t>
      </w:r>
      <w:r w:rsidR="003A6F57" w:rsidRPr="00E15507">
        <w:rPr>
          <w:lang w:val="fr-FR"/>
        </w:rPr>
        <w:t xml:space="preserve">autres mesures éventuelles pour remédier aux effets de la discrimination injuste, notamment en assurant la jouissance pleine et égale de tous les droits et libertés aux termes de la Constitution. </w:t>
      </w:r>
    </w:p>
    <w:p w:rsidR="003A6F57" w:rsidRPr="00E15507" w:rsidRDefault="00AE044A" w:rsidP="00E15507">
      <w:pPr>
        <w:pStyle w:val="SingleTxt"/>
        <w:rPr>
          <w:lang w:val="fr-FR"/>
        </w:rPr>
      </w:pPr>
      <w:r>
        <w:rPr>
          <w:color w:val="000000"/>
          <w:lang w:val="fr-FR"/>
        </w:rPr>
        <w:tab/>
      </w:r>
      <w:r w:rsidR="003A6F57" w:rsidRPr="00E15507">
        <w:rPr>
          <w:color w:val="000000"/>
          <w:lang w:val="fr-FR"/>
        </w:rPr>
        <w:t xml:space="preserve">Les Assemblées législatives des États de Taraba, Ogun et Lagos débattent actuellement du texte intitulé </w:t>
      </w:r>
      <w:r w:rsidR="00D17E6C">
        <w:rPr>
          <w:color w:val="000000"/>
          <w:lang w:val="fr-FR"/>
        </w:rPr>
        <w:t>“ </w:t>
      </w:r>
      <w:r w:rsidR="003A6F57" w:rsidRPr="00E15507">
        <w:rPr>
          <w:b/>
          <w:i/>
          <w:color w:val="000000"/>
          <w:lang w:val="fr-FR"/>
        </w:rPr>
        <w:t>Projet de loi sur l</w:t>
      </w:r>
      <w:r w:rsidR="000A3D87">
        <w:rPr>
          <w:b/>
          <w:i/>
          <w:color w:val="000000"/>
          <w:lang w:val="fr-FR"/>
        </w:rPr>
        <w:t>’</w:t>
      </w:r>
      <w:r w:rsidR="003A6F57" w:rsidRPr="00E15507">
        <w:rPr>
          <w:b/>
          <w:i/>
          <w:color w:val="000000"/>
          <w:lang w:val="fr-FR"/>
        </w:rPr>
        <w:t>égalité des sexes et des chances : une loi qui doit intégrer, assimiler et appliquer certains aspects de la Convention des Nations Unies sur l</w:t>
      </w:r>
      <w:r w:rsidR="000A3D87">
        <w:rPr>
          <w:b/>
          <w:i/>
          <w:color w:val="000000"/>
          <w:lang w:val="fr-FR"/>
        </w:rPr>
        <w:t>’</w:t>
      </w:r>
      <w:r w:rsidR="003A6F57" w:rsidRPr="00E15507">
        <w:rPr>
          <w:b/>
          <w:i/>
          <w:color w:val="000000"/>
          <w:lang w:val="fr-FR"/>
        </w:rPr>
        <w:t>élimination de toutes les formes de discrimination à l</w:t>
      </w:r>
      <w:r w:rsidR="000A3D87">
        <w:rPr>
          <w:b/>
          <w:i/>
          <w:color w:val="000000"/>
          <w:lang w:val="fr-FR"/>
        </w:rPr>
        <w:t>’</w:t>
      </w:r>
      <w:r w:rsidR="003A6F57" w:rsidRPr="00E15507">
        <w:rPr>
          <w:b/>
          <w:i/>
          <w:color w:val="000000"/>
          <w:lang w:val="fr-FR"/>
        </w:rPr>
        <w:t>égard des femmes, et la Politique nationale relative aux femmes et autres questions y afférentes</w:t>
      </w:r>
      <w:r w:rsidR="000A3D87">
        <w:rPr>
          <w:color w:val="000000"/>
          <w:lang w:val="fr-FR"/>
        </w:rPr>
        <w:t> »</w:t>
      </w:r>
      <w:r w:rsidR="003A6F57" w:rsidRPr="00E15507">
        <w:rPr>
          <w:color w:val="000000"/>
          <w:lang w:val="fr-FR"/>
        </w:rPr>
        <w:t>. La loi proposée vise à assurer l</w:t>
      </w:r>
      <w:r w:rsidR="000A3D87">
        <w:rPr>
          <w:color w:val="000000"/>
          <w:lang w:val="fr-FR"/>
        </w:rPr>
        <w:t>’</w:t>
      </w:r>
      <w:r w:rsidR="003A6F57" w:rsidRPr="00E15507">
        <w:rPr>
          <w:color w:val="000000"/>
          <w:lang w:val="fr-FR"/>
        </w:rPr>
        <w:t>égalité des sexes dans les États. Elle vise aussi à mettre en place la Commission de l</w:t>
      </w:r>
      <w:r w:rsidR="000A3D87">
        <w:rPr>
          <w:color w:val="000000"/>
          <w:lang w:val="fr-FR"/>
        </w:rPr>
        <w:t>’</w:t>
      </w:r>
      <w:r w:rsidR="003A6F57" w:rsidRPr="00E15507">
        <w:rPr>
          <w:color w:val="000000"/>
          <w:lang w:val="fr-FR"/>
        </w:rPr>
        <w:t>égalité des sexes et des chances dans les États alors que des projets de loi similaires sont examinés par les Assemblées législatives des États de la Fédération. L</w:t>
      </w:r>
      <w:r w:rsidR="000A3D87">
        <w:rPr>
          <w:color w:val="000000"/>
          <w:lang w:val="fr-FR"/>
        </w:rPr>
        <w:t>’</w:t>
      </w:r>
      <w:r w:rsidR="003A6F57" w:rsidRPr="00E15507">
        <w:rPr>
          <w:color w:val="000000"/>
          <w:lang w:val="fr-FR"/>
        </w:rPr>
        <w:t>adoption de ces projets en tant que lois et la mise en place de la commission garantiront l</w:t>
      </w:r>
      <w:r w:rsidR="000A3D87">
        <w:rPr>
          <w:color w:val="000000"/>
          <w:lang w:val="fr-FR"/>
        </w:rPr>
        <w:t>’</w:t>
      </w:r>
      <w:r w:rsidR="003A6F57" w:rsidRPr="00E15507">
        <w:rPr>
          <w:color w:val="000000"/>
          <w:lang w:val="fr-FR"/>
        </w:rPr>
        <w:t>égalité des droits entre les hommes et les femmes</w:t>
      </w:r>
      <w:r w:rsidR="003A6F57" w:rsidRPr="00E15507">
        <w:rPr>
          <w:lang w:val="fr-FR"/>
        </w:rPr>
        <w:t>.</w:t>
      </w:r>
    </w:p>
    <w:p w:rsidR="003A6F57" w:rsidRPr="00E15507" w:rsidRDefault="00AE044A" w:rsidP="00E15507">
      <w:pPr>
        <w:pStyle w:val="SingleTxt"/>
        <w:rPr>
          <w:lang w:val="fr-FR"/>
        </w:rPr>
      </w:pPr>
      <w:r>
        <w:rPr>
          <w:lang w:val="fr-FR"/>
        </w:rPr>
        <w:tab/>
      </w:r>
      <w:r w:rsidR="003A6F57" w:rsidRPr="00E15507">
        <w:rPr>
          <w:lang w:val="fr-FR"/>
        </w:rPr>
        <w:t>Les autorités de l</w:t>
      </w:r>
      <w:r w:rsidR="000A3D87">
        <w:rPr>
          <w:lang w:val="fr-FR"/>
        </w:rPr>
        <w:t>’</w:t>
      </w:r>
      <w:r w:rsidR="003A6F57" w:rsidRPr="00E15507">
        <w:rPr>
          <w:lang w:val="fr-FR"/>
        </w:rPr>
        <w:t>État de Kebbi ont interdit le mariage des enfants alors que des lois interdisant de retirer les fillettes de l</w:t>
      </w:r>
      <w:r w:rsidR="000A3D87">
        <w:rPr>
          <w:lang w:val="fr-FR"/>
        </w:rPr>
        <w:t>’</w:t>
      </w:r>
      <w:r w:rsidR="003A6F57" w:rsidRPr="00E15507">
        <w:rPr>
          <w:lang w:val="fr-FR"/>
        </w:rPr>
        <w:t>école ont été adoptées dans les États de Kano, Borno, Niger, Gombe et Bauchi.</w:t>
      </w:r>
    </w:p>
    <w:p w:rsidR="003A6F57" w:rsidRPr="00E15507" w:rsidRDefault="00AE044A" w:rsidP="00E15507">
      <w:pPr>
        <w:pStyle w:val="SingleTxt"/>
        <w:rPr>
          <w:color w:val="000000"/>
          <w:lang w:val="fr-FR"/>
        </w:rPr>
      </w:pPr>
      <w:r>
        <w:rPr>
          <w:lang w:val="fr-FR"/>
        </w:rPr>
        <w:tab/>
      </w:r>
      <w:r w:rsidR="003A6F57" w:rsidRPr="00E15507">
        <w:rPr>
          <w:lang w:val="fr-FR"/>
        </w:rPr>
        <w:t>Les gouvernements des États de la région du Sud-ouest sont plus déterminés à lutter contre la discrimination à l</w:t>
      </w:r>
      <w:r w:rsidR="000A3D87">
        <w:rPr>
          <w:lang w:val="fr-FR"/>
        </w:rPr>
        <w:t>’</w:t>
      </w:r>
      <w:r w:rsidR="003A6F57" w:rsidRPr="00E15507">
        <w:rPr>
          <w:lang w:val="fr-FR"/>
        </w:rPr>
        <w:t xml:space="preserve">égard des femmes comme en témoigne le nombre de propositions de lois pendantes relatives à diverses pratiques discriminatoires. Outre le projet de loi mentionné plus haut, il y a lieu de signaler celle sur la </w:t>
      </w:r>
      <w:r w:rsidR="00F575D8">
        <w:rPr>
          <w:lang w:val="fr-FR"/>
        </w:rPr>
        <w:t>“ </w:t>
      </w:r>
      <w:r w:rsidR="00D17E6C">
        <w:rPr>
          <w:color w:val="000000"/>
          <w:lang w:val="fr-FR"/>
        </w:rPr>
        <w:t> </w:t>
      </w:r>
      <w:r w:rsidR="003A6F57" w:rsidRPr="00E15507">
        <w:rPr>
          <w:b/>
          <w:color w:val="000000"/>
          <w:lang w:val="fr-FR"/>
        </w:rPr>
        <w:t>Prise en compte systématique du souci de l</w:t>
      </w:r>
      <w:r w:rsidR="000A3D87">
        <w:rPr>
          <w:b/>
          <w:color w:val="000000"/>
          <w:lang w:val="fr-FR"/>
        </w:rPr>
        <w:t>’</w:t>
      </w:r>
      <w:r w:rsidR="003A6F57" w:rsidRPr="00E15507">
        <w:rPr>
          <w:b/>
          <w:color w:val="000000"/>
          <w:lang w:val="fr-FR"/>
        </w:rPr>
        <w:t>égalité des sexes</w:t>
      </w:r>
      <w:r w:rsidR="000A3D87">
        <w:rPr>
          <w:b/>
          <w:color w:val="000000"/>
          <w:lang w:val="fr-FR"/>
        </w:rPr>
        <w:t> »</w:t>
      </w:r>
      <w:r w:rsidR="003A6F57" w:rsidRPr="00E15507">
        <w:rPr>
          <w:color w:val="000000"/>
          <w:lang w:val="fr-FR"/>
        </w:rPr>
        <w:t xml:space="preserve"> tandis que le projet de loi sur la </w:t>
      </w:r>
      <w:r w:rsidR="00D17E6C">
        <w:rPr>
          <w:b/>
          <w:color w:val="000000"/>
          <w:lang w:val="fr-FR"/>
        </w:rPr>
        <w:t>“ </w:t>
      </w:r>
      <w:r w:rsidR="003A6F57" w:rsidRPr="00E15507">
        <w:rPr>
          <w:b/>
          <w:color w:val="000000"/>
          <w:lang w:val="fr-FR"/>
        </w:rPr>
        <w:t>Violence familiale et autres questions connexes</w:t>
      </w:r>
      <w:r w:rsidR="000A3D87">
        <w:rPr>
          <w:b/>
          <w:color w:val="000000"/>
          <w:lang w:val="fr-FR"/>
        </w:rPr>
        <w:t> »</w:t>
      </w:r>
      <w:r w:rsidR="003A6F57" w:rsidRPr="00E15507">
        <w:rPr>
          <w:color w:val="000000"/>
          <w:lang w:val="fr-FR"/>
        </w:rPr>
        <w:t xml:space="preserve"> a été soumis à l</w:t>
      </w:r>
      <w:r w:rsidR="000A3D87">
        <w:rPr>
          <w:color w:val="000000"/>
          <w:lang w:val="fr-FR"/>
        </w:rPr>
        <w:t>’</w:t>
      </w:r>
      <w:r w:rsidR="003A6F57" w:rsidRPr="00E15507">
        <w:rPr>
          <w:color w:val="000000"/>
          <w:lang w:val="fr-FR"/>
        </w:rPr>
        <w:t>Assemblée législative de l</w:t>
      </w:r>
      <w:r w:rsidR="000A3D87">
        <w:rPr>
          <w:color w:val="000000"/>
          <w:lang w:val="fr-FR"/>
        </w:rPr>
        <w:t>’</w:t>
      </w:r>
      <w:r w:rsidR="003A6F57" w:rsidRPr="00E15507">
        <w:rPr>
          <w:color w:val="000000"/>
          <w:lang w:val="fr-FR"/>
        </w:rPr>
        <w:t>État de Lagos.</w:t>
      </w:r>
    </w:p>
    <w:p w:rsidR="00877CB0" w:rsidRDefault="007D4FA7" w:rsidP="007D4FA7">
      <w:pPr>
        <w:pStyle w:val="SingleTxt"/>
        <w:tabs>
          <w:tab w:val="clear" w:pos="1267"/>
          <w:tab w:val="clear" w:pos="4622"/>
          <w:tab w:val="left" w:pos="4770"/>
        </w:tabs>
        <w:ind w:left="4680" w:hanging="3413"/>
        <w:rPr>
          <w:lang w:val="fr-FR"/>
        </w:rPr>
      </w:pPr>
      <w:r>
        <w:rPr>
          <w:noProof/>
          <w:w w:val="100"/>
          <w:lang w:val="en-US"/>
        </w:rPr>
        <w:pict>
          <v:shape id="_x0000_s2070" type="#_x0000_t202" style="position:absolute;left:0;text-align:left;margin-left:61.3pt;margin-top:.1pt;width:162pt;height:270pt;z-index:5">
            <v:textbox style="mso-next-textbox:#_x0000_s2070">
              <w:txbxContent>
                <w:p w:rsidR="00D32F3D" w:rsidRPr="007D4FA7" w:rsidRDefault="00D32F3D" w:rsidP="007D4FA7">
                  <w:pPr>
                    <w:rPr>
                      <w:b/>
                    </w:rPr>
                  </w:pPr>
                  <w:r w:rsidRPr="007D4FA7">
                    <w:rPr>
                      <w:b/>
                    </w:rPr>
                    <w:t>Encadré 2.2</w:t>
                  </w:r>
                </w:p>
                <w:p w:rsidR="00D32F3D" w:rsidRDefault="00D32F3D" w:rsidP="007D4FA7">
                  <w:pPr>
                    <w:tabs>
                      <w:tab w:val="left" w:pos="270"/>
                    </w:tabs>
                    <w:ind w:left="270" w:hanging="270"/>
                  </w:pPr>
                  <w:r>
                    <w:t>•</w:t>
                  </w:r>
                  <w:r>
                    <w:tab/>
                    <w:t xml:space="preserve">Loi des États d’Anambra et d’Ekiti de </w:t>
                  </w:r>
                  <w:r w:rsidRPr="00877CB0">
                    <w:rPr>
                      <w:b/>
                    </w:rPr>
                    <w:t>2005</w:t>
                  </w:r>
                  <w:r>
                    <w:t xml:space="preserve"> (interdisant) les mauvaises pratiques contre les veufs et les veuves</w:t>
                  </w:r>
                </w:p>
                <w:p w:rsidR="00D32F3D" w:rsidRDefault="00D32F3D" w:rsidP="007D4FA7">
                  <w:pPr>
                    <w:tabs>
                      <w:tab w:val="left" w:pos="270"/>
                    </w:tabs>
                    <w:ind w:left="270" w:hanging="270"/>
                  </w:pPr>
                  <w:r>
                    <w:t>•</w:t>
                  </w:r>
                  <w:r>
                    <w:tab/>
                    <w:t>Loi interdisant la violence familiale contre les femmes et le mauvais traitement. Loi n</w:t>
                  </w:r>
                  <w:r w:rsidRPr="00877CB0">
                    <w:rPr>
                      <w:vertAlign w:val="superscript"/>
                    </w:rPr>
                    <w:t>o</w:t>
                  </w:r>
                  <w:r>
                    <w:t xml:space="preserve">10 de </w:t>
                  </w:r>
                  <w:r w:rsidRPr="00877CB0">
                    <w:rPr>
                      <w:b/>
                    </w:rPr>
                    <w:t>2004</w:t>
                  </w:r>
                  <w:r>
                    <w:t xml:space="preserve"> le Gouvernement de l’État de Cross River</w:t>
                  </w:r>
                </w:p>
                <w:p w:rsidR="00D32F3D" w:rsidRDefault="00D32F3D" w:rsidP="007D4FA7">
                  <w:pPr>
                    <w:tabs>
                      <w:tab w:val="left" w:pos="270"/>
                    </w:tabs>
                    <w:ind w:left="270" w:hanging="270"/>
                  </w:pPr>
                  <w:r>
                    <w:t>•</w:t>
                  </w:r>
                  <w:r>
                    <w:tab/>
                    <w:t xml:space="preserve">Loi de l’État d’Edo de </w:t>
                  </w:r>
                  <w:r w:rsidRPr="008D662A">
                    <w:rPr>
                      <w:b/>
                    </w:rPr>
                    <w:t>2004</w:t>
                  </w:r>
                  <w:r>
                    <w:t xml:space="preserve"> (interdisant) le mauvais traitement des veuves </w:t>
                  </w:r>
                </w:p>
                <w:p w:rsidR="00D32F3D" w:rsidRDefault="00D32F3D" w:rsidP="007D4FA7">
                  <w:pPr>
                    <w:tabs>
                      <w:tab w:val="left" w:pos="270"/>
                    </w:tabs>
                    <w:ind w:left="270" w:hanging="270"/>
                  </w:pPr>
                  <w:r>
                    <w:t>•</w:t>
                  </w:r>
                  <w:r>
                    <w:tab/>
                    <w:t xml:space="preserve">Loi de l’État d’Anambra de </w:t>
                  </w:r>
                  <w:r w:rsidRPr="008D662A">
                    <w:rPr>
                      <w:b/>
                    </w:rPr>
                    <w:t>2005</w:t>
                  </w:r>
                  <w:r>
                    <w:t xml:space="preserve"> (interdisant) les abus contre les veuves et les veufs</w:t>
                  </w:r>
                </w:p>
                <w:p w:rsidR="00D32F3D" w:rsidRDefault="00D32F3D" w:rsidP="007D4FA7">
                  <w:pPr>
                    <w:tabs>
                      <w:tab w:val="left" w:pos="270"/>
                    </w:tabs>
                    <w:ind w:left="270" w:hanging="270"/>
                  </w:pPr>
                  <w:r>
                    <w:t>•</w:t>
                  </w:r>
                  <w:r>
                    <w:tab/>
                    <w:t>Loi sur les pratiques tradi-tionnelles déshumanisantes et préjudiciables, n</w:t>
                  </w:r>
                  <w:r w:rsidRPr="008D662A">
                    <w:rPr>
                      <w:vertAlign w:val="superscript"/>
                    </w:rPr>
                    <w:t>o</w:t>
                  </w:r>
                  <w:r>
                    <w:t xml:space="preserve"> 2, </w:t>
                  </w:r>
                  <w:r w:rsidRPr="008D662A">
                    <w:rPr>
                      <w:b/>
                    </w:rPr>
                    <w:t>2003</w:t>
                  </w:r>
                  <w:r>
                    <w:t xml:space="preserve"> de l’État de Rivers</w:t>
                  </w:r>
                </w:p>
              </w:txbxContent>
            </v:textbox>
          </v:shape>
        </w:pict>
      </w:r>
      <w:r>
        <w:rPr>
          <w:lang w:val="fr-FR"/>
        </w:rPr>
        <w:tab/>
      </w:r>
      <w:r>
        <w:rPr>
          <w:lang w:val="fr-FR"/>
        </w:rPr>
        <w:tab/>
      </w:r>
      <w:r>
        <w:rPr>
          <w:lang w:val="fr-FR"/>
        </w:rPr>
        <w:tab/>
      </w:r>
      <w:r>
        <w:rPr>
          <w:lang w:val="fr-FR"/>
        </w:rPr>
        <w:tab/>
      </w:r>
      <w:r>
        <w:rPr>
          <w:lang w:val="fr-FR"/>
        </w:rPr>
        <w:tab/>
      </w:r>
      <w:r>
        <w:rPr>
          <w:lang w:val="fr-FR"/>
        </w:rPr>
        <w:tab/>
      </w:r>
      <w:r>
        <w:rPr>
          <w:lang w:val="fr-FR"/>
        </w:rPr>
        <w:tab/>
      </w:r>
      <w:r w:rsidR="003A6F57" w:rsidRPr="00E15507">
        <w:rPr>
          <w:lang w:val="fr-FR"/>
        </w:rPr>
        <w:t>À titre de mesures supplémentaires, le Gouvernement de l</w:t>
      </w:r>
      <w:r w:rsidR="000A3D87">
        <w:rPr>
          <w:lang w:val="fr-FR"/>
        </w:rPr>
        <w:t>’</w:t>
      </w:r>
      <w:r w:rsidR="003A6F57" w:rsidRPr="00E15507">
        <w:rPr>
          <w:lang w:val="fr-FR"/>
        </w:rPr>
        <w:t>État de Lagos dispose d</w:t>
      </w:r>
      <w:r w:rsidR="000A3D87">
        <w:rPr>
          <w:lang w:val="fr-FR"/>
        </w:rPr>
        <w:t>’</w:t>
      </w:r>
      <w:r w:rsidR="003A6F57" w:rsidRPr="00E15507">
        <w:rPr>
          <w:lang w:val="fr-FR"/>
        </w:rPr>
        <w:t>un comité sur les questions concernant les femmes à l</w:t>
      </w:r>
      <w:r w:rsidR="000A3D87">
        <w:rPr>
          <w:lang w:val="fr-FR"/>
        </w:rPr>
        <w:t>’</w:t>
      </w:r>
      <w:r w:rsidR="003A6F57" w:rsidRPr="00E15507">
        <w:rPr>
          <w:lang w:val="fr-FR"/>
        </w:rPr>
        <w:t>Assemblée législative, alors que les États d</w:t>
      </w:r>
      <w:r w:rsidR="000A3D87">
        <w:rPr>
          <w:lang w:val="fr-FR"/>
        </w:rPr>
        <w:t>’</w:t>
      </w:r>
      <w:r w:rsidR="003A6F57" w:rsidRPr="00E15507">
        <w:rPr>
          <w:lang w:val="fr-FR"/>
        </w:rPr>
        <w:t xml:space="preserve">Ekiti et Rivers ont tous deux mis en place le </w:t>
      </w:r>
      <w:r w:rsidR="003A6F57" w:rsidRPr="00E15507">
        <w:rPr>
          <w:b/>
          <w:lang w:val="fr-FR"/>
        </w:rPr>
        <w:t>Bureau de l</w:t>
      </w:r>
      <w:r w:rsidR="000A3D87">
        <w:rPr>
          <w:b/>
          <w:lang w:val="fr-FR"/>
        </w:rPr>
        <w:t>’</w:t>
      </w:r>
      <w:r w:rsidR="003A6F57" w:rsidRPr="00E15507">
        <w:rPr>
          <w:b/>
          <w:lang w:val="fr-FR"/>
        </w:rPr>
        <w:t>assistance judiciaire</w:t>
      </w:r>
      <w:r w:rsidR="003A6F57" w:rsidRPr="00E15507">
        <w:rPr>
          <w:lang w:val="fr-FR"/>
        </w:rPr>
        <w:t xml:space="preserve"> et la </w:t>
      </w:r>
      <w:r w:rsidR="003A6F57" w:rsidRPr="00E15507">
        <w:rPr>
          <w:b/>
          <w:lang w:val="fr-FR"/>
        </w:rPr>
        <w:t xml:space="preserve">Direction des droits des citoyens </w:t>
      </w:r>
      <w:r w:rsidR="003A6F57" w:rsidRPr="00E15507">
        <w:rPr>
          <w:lang w:val="fr-FR"/>
        </w:rPr>
        <w:t>respectivement, relevant des ministères de la Justice de l</w:t>
      </w:r>
      <w:r w:rsidR="000A3D87">
        <w:rPr>
          <w:lang w:val="fr-FR"/>
        </w:rPr>
        <w:t>’</w:t>
      </w:r>
      <w:r w:rsidR="003A6F57" w:rsidRPr="00E15507">
        <w:rPr>
          <w:lang w:val="fr-FR"/>
        </w:rPr>
        <w:t>État. Le Bureau de l</w:t>
      </w:r>
      <w:r w:rsidR="000A3D87">
        <w:rPr>
          <w:lang w:val="fr-FR"/>
        </w:rPr>
        <w:t>’</w:t>
      </w:r>
      <w:r w:rsidR="003A6F57" w:rsidRPr="00E15507">
        <w:rPr>
          <w:lang w:val="fr-FR"/>
        </w:rPr>
        <w:t>aide judiciaire offre des services judiciaires gratuits aux pauvres et aux femmes défavorisées dont les droits sont menacés ou ont été violés.</w:t>
      </w:r>
      <w:r>
        <w:rPr>
          <w:lang w:val="fr-FR"/>
        </w:rPr>
        <w:t xml:space="preserve"> </w:t>
      </w:r>
    </w:p>
    <w:p w:rsidR="003A6F57" w:rsidRPr="00E15507" w:rsidRDefault="00877CB0" w:rsidP="007D4FA7">
      <w:pPr>
        <w:pStyle w:val="SingleTxt"/>
        <w:tabs>
          <w:tab w:val="clear" w:pos="1267"/>
          <w:tab w:val="clear" w:pos="4622"/>
          <w:tab w:val="left" w:pos="4770"/>
        </w:tabs>
        <w:ind w:left="4680" w:hanging="3413"/>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sidR="003A6F57" w:rsidRPr="00E15507">
        <w:rPr>
          <w:lang w:val="fr-FR"/>
        </w:rPr>
        <w:t>Le Gouvernement de l</w:t>
      </w:r>
      <w:r w:rsidR="000A3D87">
        <w:rPr>
          <w:lang w:val="fr-FR"/>
        </w:rPr>
        <w:t>’</w:t>
      </w:r>
      <w:r w:rsidR="003A6F57" w:rsidRPr="00E15507">
        <w:rPr>
          <w:lang w:val="fr-FR"/>
        </w:rPr>
        <w:t>État d</w:t>
      </w:r>
      <w:r w:rsidR="000A3D87">
        <w:rPr>
          <w:lang w:val="fr-FR"/>
        </w:rPr>
        <w:t>’</w:t>
      </w:r>
      <w:r w:rsidR="003A6F57" w:rsidRPr="00E15507">
        <w:rPr>
          <w:lang w:val="fr-FR"/>
        </w:rPr>
        <w:t>Ekiti a, quant à lui, adopté la Loi sur les droits de l</w:t>
      </w:r>
      <w:r w:rsidR="000A3D87">
        <w:rPr>
          <w:lang w:val="fr-FR"/>
        </w:rPr>
        <w:t>’</w:t>
      </w:r>
      <w:r w:rsidR="003A6F57" w:rsidRPr="00E15507">
        <w:rPr>
          <w:lang w:val="fr-FR"/>
        </w:rPr>
        <w:t>enfant et l</w:t>
      </w:r>
      <w:r w:rsidR="000A3D87">
        <w:rPr>
          <w:lang w:val="fr-FR"/>
        </w:rPr>
        <w:t>’</w:t>
      </w:r>
      <w:r w:rsidR="003A6F57" w:rsidRPr="00E15507">
        <w:rPr>
          <w:lang w:val="fr-FR"/>
        </w:rPr>
        <w:t>Assemblée législative a ordonné aux administrations locales d</w:t>
      </w:r>
      <w:r w:rsidR="000A3D87">
        <w:rPr>
          <w:lang w:val="fr-FR"/>
        </w:rPr>
        <w:t>’</w:t>
      </w:r>
      <w:r w:rsidR="003A6F57" w:rsidRPr="00E15507">
        <w:rPr>
          <w:lang w:val="fr-FR"/>
        </w:rPr>
        <w:t>adopter des règlements d</w:t>
      </w:r>
      <w:r w:rsidR="000A3D87">
        <w:rPr>
          <w:lang w:val="fr-FR"/>
        </w:rPr>
        <w:t>’</w:t>
      </w:r>
      <w:r w:rsidR="003A6F57" w:rsidRPr="00E15507">
        <w:rPr>
          <w:lang w:val="fr-FR"/>
        </w:rPr>
        <w:t>application de cette loi. L</w:t>
      </w:r>
      <w:r w:rsidR="000A3D87">
        <w:rPr>
          <w:lang w:val="fr-FR"/>
        </w:rPr>
        <w:t>’</w:t>
      </w:r>
      <w:r w:rsidR="003A6F57" w:rsidRPr="00E15507">
        <w:rPr>
          <w:lang w:val="fr-FR"/>
        </w:rPr>
        <w:t xml:space="preserve">État a en outre élaboré une </w:t>
      </w:r>
      <w:r w:rsidR="00F575D8">
        <w:rPr>
          <w:lang w:val="fr-FR"/>
        </w:rPr>
        <w:t>“ </w:t>
      </w:r>
      <w:r w:rsidR="003A6F57" w:rsidRPr="00E15507">
        <w:rPr>
          <w:b/>
          <w:bCs/>
          <w:lang w:val="fr-FR"/>
        </w:rPr>
        <w:t>Loi anti-discrimination</w:t>
      </w:r>
      <w:r w:rsidR="000A3D87">
        <w:rPr>
          <w:b/>
          <w:bCs/>
          <w:lang w:val="fr-FR"/>
        </w:rPr>
        <w:t> »</w:t>
      </w:r>
      <w:r w:rsidR="003A6F57" w:rsidRPr="00E15507">
        <w:rPr>
          <w:lang w:val="fr-FR"/>
        </w:rPr>
        <w:t xml:space="preserve"> qui attend d</w:t>
      </w:r>
      <w:r w:rsidR="000A3D87">
        <w:rPr>
          <w:lang w:val="fr-FR"/>
        </w:rPr>
        <w:t>’</w:t>
      </w:r>
      <w:r w:rsidR="003A6F57" w:rsidRPr="00E15507">
        <w:rPr>
          <w:lang w:val="fr-FR"/>
        </w:rPr>
        <w:t>être adoptée par les législateurs. D</w:t>
      </w:r>
      <w:r w:rsidR="000A3D87">
        <w:rPr>
          <w:lang w:val="fr-FR"/>
        </w:rPr>
        <w:t>’</w:t>
      </w:r>
      <w:r w:rsidR="003A6F57" w:rsidRPr="00E15507">
        <w:rPr>
          <w:lang w:val="fr-FR"/>
        </w:rPr>
        <w:t>autres mesures juridiques et administratives en place dans d</w:t>
      </w:r>
      <w:r w:rsidR="000A3D87">
        <w:rPr>
          <w:lang w:val="fr-FR"/>
        </w:rPr>
        <w:t>’</w:t>
      </w:r>
      <w:r w:rsidR="003A6F57" w:rsidRPr="00E15507">
        <w:rPr>
          <w:lang w:val="fr-FR"/>
        </w:rPr>
        <w:t>autres États sont présentées dans l</w:t>
      </w:r>
      <w:r w:rsidR="000A3D87">
        <w:rPr>
          <w:lang w:val="fr-FR"/>
        </w:rPr>
        <w:t>’</w:t>
      </w:r>
      <w:r w:rsidR="003A6F57" w:rsidRPr="00E15507">
        <w:rPr>
          <w:lang w:val="fr-FR"/>
        </w:rPr>
        <w:t>Encadré 2.2.</w:t>
      </w:r>
    </w:p>
    <w:p w:rsidR="003A6F57" w:rsidRPr="00E15507" w:rsidRDefault="003A6F57" w:rsidP="00E15507">
      <w:pPr>
        <w:pStyle w:val="SingleTxt"/>
        <w:rPr>
          <w:b/>
          <w:lang w:val="fr-FR"/>
        </w:rPr>
      </w:pPr>
      <w:r w:rsidRPr="00E15507">
        <w:rPr>
          <w:b/>
          <w:lang w:val="fr-FR"/>
        </w:rPr>
        <w:t xml:space="preserve">2.1.1. </w:t>
      </w:r>
      <w:r w:rsidR="007D4FA7">
        <w:rPr>
          <w:b/>
          <w:lang w:val="fr-FR"/>
        </w:rPr>
        <w:t xml:space="preserve"> </w:t>
      </w:r>
      <w:r w:rsidRPr="00E15507">
        <w:rPr>
          <w:b/>
          <w:lang w:val="fr-FR"/>
        </w:rPr>
        <w:t>État d</w:t>
      </w:r>
      <w:r w:rsidR="000A3D87">
        <w:rPr>
          <w:b/>
          <w:lang w:val="fr-FR"/>
        </w:rPr>
        <w:t>’</w:t>
      </w:r>
      <w:r w:rsidRPr="00E15507">
        <w:rPr>
          <w:b/>
          <w:lang w:val="fr-FR"/>
        </w:rPr>
        <w:t>avancement de l</w:t>
      </w:r>
      <w:r w:rsidR="000A3D87">
        <w:rPr>
          <w:b/>
          <w:lang w:val="fr-FR"/>
        </w:rPr>
        <w:t>’</w:t>
      </w:r>
      <w:r w:rsidRPr="00E15507">
        <w:rPr>
          <w:b/>
          <w:lang w:val="fr-FR"/>
        </w:rPr>
        <w:t>intégration de la Convention à la législation nationale</w:t>
      </w:r>
    </w:p>
    <w:p w:rsidR="003A6F57" w:rsidRPr="00E15507" w:rsidRDefault="006C7981" w:rsidP="00E15507">
      <w:pPr>
        <w:pStyle w:val="SingleTxt"/>
        <w:rPr>
          <w:lang w:val="fr-FR"/>
        </w:rPr>
      </w:pPr>
      <w:r>
        <w:rPr>
          <w:lang w:val="fr-FR"/>
        </w:rPr>
        <w:tab/>
      </w:r>
      <w:r w:rsidR="003A6F57" w:rsidRPr="00E15507">
        <w:rPr>
          <w:lang w:val="fr-FR"/>
        </w:rPr>
        <w:t>Le projet de loi sur l</w:t>
      </w:r>
      <w:r w:rsidR="000A3D87">
        <w:rPr>
          <w:lang w:val="fr-FR"/>
        </w:rPr>
        <w:t>’</w:t>
      </w:r>
      <w:r w:rsidR="003A6F57" w:rsidRPr="00E15507">
        <w:rPr>
          <w:lang w:val="fr-FR"/>
        </w:rPr>
        <w:t xml:space="preserve">intégration de la Convention à la législation nationale intitulé </w:t>
      </w:r>
      <w:r w:rsidR="00F575D8">
        <w:rPr>
          <w:lang w:val="fr-FR"/>
        </w:rPr>
        <w:t>“ </w:t>
      </w:r>
      <w:r w:rsidR="003A6F57" w:rsidRPr="00E15507">
        <w:rPr>
          <w:b/>
          <w:i/>
          <w:iCs/>
          <w:lang w:val="fr-FR"/>
        </w:rPr>
        <w:t>Un projet de loi pour assurer la mise en œuvre en République fédérale du Nigéria de la Convention des Nations Unies sur l</w:t>
      </w:r>
      <w:r w:rsidR="000A3D87">
        <w:rPr>
          <w:b/>
          <w:i/>
          <w:iCs/>
          <w:lang w:val="fr-FR"/>
        </w:rPr>
        <w:t>’</w:t>
      </w:r>
      <w:r w:rsidR="003A6F57" w:rsidRPr="00E15507">
        <w:rPr>
          <w:b/>
          <w:i/>
          <w:iCs/>
          <w:lang w:val="fr-FR"/>
        </w:rPr>
        <w:t>élimination de toutes les formes de discrimination à l</w:t>
      </w:r>
      <w:r w:rsidR="000A3D87">
        <w:rPr>
          <w:b/>
          <w:i/>
          <w:iCs/>
          <w:lang w:val="fr-FR"/>
        </w:rPr>
        <w:t>’</w:t>
      </w:r>
      <w:r w:rsidR="003A6F57" w:rsidRPr="00E15507">
        <w:rPr>
          <w:b/>
          <w:i/>
          <w:iCs/>
          <w:lang w:val="fr-FR"/>
        </w:rPr>
        <w:t>égard des femmes et à des fins connexes – 2005</w:t>
      </w:r>
      <w:r w:rsidR="000A3D87">
        <w:rPr>
          <w:b/>
          <w:i/>
          <w:iCs/>
          <w:lang w:val="fr-FR"/>
        </w:rPr>
        <w:t> »</w:t>
      </w:r>
      <w:r w:rsidR="003A6F57" w:rsidRPr="00E15507">
        <w:rPr>
          <w:b/>
          <w:lang w:val="fr-FR"/>
        </w:rPr>
        <w:t xml:space="preserve"> </w:t>
      </w:r>
      <w:r w:rsidR="003A6F57" w:rsidRPr="00E15507">
        <w:rPr>
          <w:lang w:val="fr-FR"/>
        </w:rPr>
        <w:t>fait l</w:t>
      </w:r>
      <w:r w:rsidR="000A3D87">
        <w:rPr>
          <w:lang w:val="fr-FR"/>
        </w:rPr>
        <w:t>’</w:t>
      </w:r>
      <w:r w:rsidR="003A6F57" w:rsidRPr="00E15507">
        <w:rPr>
          <w:lang w:val="fr-FR"/>
        </w:rPr>
        <w:t>objet d</w:t>
      </w:r>
      <w:r w:rsidR="000A3D87">
        <w:rPr>
          <w:lang w:val="fr-FR"/>
        </w:rPr>
        <w:t>’</w:t>
      </w:r>
      <w:r w:rsidR="003A6F57" w:rsidRPr="00E15507">
        <w:rPr>
          <w:lang w:val="fr-FR"/>
        </w:rPr>
        <w:t>examen par l</w:t>
      </w:r>
      <w:r w:rsidR="000A3D87">
        <w:rPr>
          <w:lang w:val="fr-FR"/>
        </w:rPr>
        <w:t>’</w:t>
      </w:r>
      <w:r w:rsidR="003A6F57" w:rsidRPr="00E15507">
        <w:rPr>
          <w:lang w:val="fr-FR"/>
        </w:rPr>
        <w:t xml:space="preserve">Assemblée nationale en tant que projet de loi du Gouvernement. </w:t>
      </w:r>
    </w:p>
    <w:p w:rsidR="003A6F57" w:rsidRPr="00E15507" w:rsidRDefault="006C7981" w:rsidP="00E15507">
      <w:pPr>
        <w:pStyle w:val="SingleTxt"/>
        <w:rPr>
          <w:lang w:val="fr-FR"/>
        </w:rPr>
      </w:pPr>
      <w:r>
        <w:rPr>
          <w:lang w:val="fr-FR"/>
        </w:rPr>
        <w:tab/>
      </w:r>
      <w:r w:rsidR="003A6F57" w:rsidRPr="00E15507">
        <w:rPr>
          <w:lang w:val="fr-FR"/>
        </w:rPr>
        <w:t>La disposition constitutionnelle relative à l</w:t>
      </w:r>
      <w:r w:rsidR="000A3D87">
        <w:rPr>
          <w:lang w:val="fr-FR"/>
        </w:rPr>
        <w:t>’</w:t>
      </w:r>
      <w:r w:rsidR="003A6F57" w:rsidRPr="00E15507">
        <w:rPr>
          <w:lang w:val="fr-FR"/>
        </w:rPr>
        <w:t xml:space="preserve">intégration de la Convention en tant que traité international axé sur le bien-être des femmes repose sur la </w:t>
      </w:r>
      <w:r w:rsidR="003A6F57" w:rsidRPr="00E15507">
        <w:rPr>
          <w:b/>
          <w:lang w:val="fr-FR"/>
        </w:rPr>
        <w:t>Section 12 de la Constitution de 1999</w:t>
      </w:r>
      <w:r w:rsidR="003A6F57" w:rsidRPr="00E15507">
        <w:rPr>
          <w:lang w:val="fr-FR"/>
        </w:rPr>
        <w:t xml:space="preserve"> et s</w:t>
      </w:r>
      <w:r w:rsidR="000A3D87">
        <w:rPr>
          <w:lang w:val="fr-FR"/>
        </w:rPr>
        <w:t>’</w:t>
      </w:r>
      <w:r w:rsidR="003A6F57" w:rsidRPr="00E15507">
        <w:rPr>
          <w:lang w:val="fr-FR"/>
        </w:rPr>
        <w:t>inscrit dans la liste concurrente de la Constitution, qui stipule que l</w:t>
      </w:r>
      <w:r w:rsidR="000A3D87">
        <w:rPr>
          <w:lang w:val="fr-FR"/>
        </w:rPr>
        <w:t>’</w:t>
      </w:r>
      <w:r w:rsidR="003A6F57" w:rsidRPr="00E15507">
        <w:rPr>
          <w:lang w:val="fr-FR"/>
        </w:rPr>
        <w:t>Assemblée fédérale/nationale et les Assemblées législatives des États sont tenus d</w:t>
      </w:r>
      <w:r w:rsidR="000A3D87">
        <w:rPr>
          <w:lang w:val="fr-FR"/>
        </w:rPr>
        <w:t>’</w:t>
      </w:r>
      <w:r w:rsidR="003A6F57" w:rsidRPr="00E15507">
        <w:rPr>
          <w:lang w:val="fr-FR"/>
        </w:rPr>
        <w:t>adopter des textes d</w:t>
      </w:r>
      <w:r w:rsidR="000A3D87">
        <w:rPr>
          <w:lang w:val="fr-FR"/>
        </w:rPr>
        <w:t>’</w:t>
      </w:r>
      <w:r w:rsidR="003A6F57" w:rsidRPr="00E15507">
        <w:rPr>
          <w:lang w:val="fr-FR"/>
        </w:rPr>
        <w:t>application de la Convention dans le cadre de la législation nationale. Par implication, lorsqu</w:t>
      </w:r>
      <w:r w:rsidR="000A3D87">
        <w:rPr>
          <w:lang w:val="fr-FR"/>
        </w:rPr>
        <w:t>’</w:t>
      </w:r>
      <w:r w:rsidR="003A6F57" w:rsidRPr="00E15507">
        <w:rPr>
          <w:lang w:val="fr-FR"/>
        </w:rPr>
        <w:t>une loi est adoptée au niveau fédéral, pour avoir force exécutoire dans l</w:t>
      </w:r>
      <w:r w:rsidR="000A3D87">
        <w:rPr>
          <w:lang w:val="fr-FR"/>
        </w:rPr>
        <w:t>’</w:t>
      </w:r>
      <w:r w:rsidR="003A6F57" w:rsidRPr="00E15507">
        <w:rPr>
          <w:lang w:val="fr-FR"/>
        </w:rPr>
        <w:t xml:space="preserve">ensemble du pays, elle doit être adoptée par au moins deux-tiers de toutes les Assemblées législatives des États. </w:t>
      </w:r>
    </w:p>
    <w:p w:rsidR="003A6F57" w:rsidRPr="00E15507" w:rsidRDefault="00B86B1D" w:rsidP="00E15507">
      <w:pPr>
        <w:pStyle w:val="SingleTxt"/>
        <w:rPr>
          <w:lang w:val="fr-FR"/>
        </w:rPr>
      </w:pPr>
      <w:r>
        <w:rPr>
          <w:lang w:val="fr-FR"/>
        </w:rPr>
        <w:tab/>
      </w:r>
      <w:r w:rsidR="003A6F57" w:rsidRPr="00E15507">
        <w:rPr>
          <w:lang w:val="fr-FR"/>
        </w:rPr>
        <w:t>Les activistes féminins et concernés par les questions d</w:t>
      </w:r>
      <w:r w:rsidR="000A3D87">
        <w:rPr>
          <w:lang w:val="fr-FR"/>
        </w:rPr>
        <w:t>’</w:t>
      </w:r>
      <w:r w:rsidR="003A6F57" w:rsidRPr="00E15507">
        <w:rPr>
          <w:lang w:val="fr-FR"/>
        </w:rPr>
        <w:t xml:space="preserve">égalité des sexes, des organisations de la société civile et des ONG consacrées aux femmes ont formé un groupe dénommé la </w:t>
      </w:r>
      <w:r w:rsidR="003A6F57" w:rsidRPr="00E15507">
        <w:rPr>
          <w:b/>
          <w:bCs/>
          <w:lang w:val="fr-FR"/>
        </w:rPr>
        <w:t>Coalition nationale sur l</w:t>
      </w:r>
      <w:r w:rsidR="000A3D87">
        <w:rPr>
          <w:b/>
          <w:bCs/>
          <w:lang w:val="fr-FR"/>
        </w:rPr>
        <w:t>’</w:t>
      </w:r>
      <w:r w:rsidR="003A6F57" w:rsidRPr="00E15507">
        <w:rPr>
          <w:b/>
          <w:bCs/>
          <w:lang w:val="fr-FR"/>
        </w:rPr>
        <w:t>action positive</w:t>
      </w:r>
      <w:r w:rsidR="003A6F57" w:rsidRPr="00E15507">
        <w:rPr>
          <w:bCs/>
          <w:iCs/>
          <w:lang w:val="fr-FR"/>
        </w:rPr>
        <w:t xml:space="preserve"> comprenant des membres provenant de toutes les régions du pays. Cette coalition a commencé à faire activement campagne et à sensibiliser les membres des Assemblées législatives aux niveaux de la Fédération et des États, en préparation de l</w:t>
      </w:r>
      <w:r w:rsidR="000A3D87">
        <w:rPr>
          <w:bCs/>
          <w:iCs/>
          <w:lang w:val="fr-FR"/>
        </w:rPr>
        <w:t>’</w:t>
      </w:r>
      <w:r w:rsidR="003A6F57" w:rsidRPr="00E15507">
        <w:rPr>
          <w:bCs/>
          <w:iCs/>
          <w:lang w:val="fr-FR"/>
        </w:rPr>
        <w:t>examen du projet de loi</w:t>
      </w:r>
      <w:r w:rsidR="003A6F57" w:rsidRPr="00E15507">
        <w:rPr>
          <w:lang w:val="fr-FR"/>
        </w:rPr>
        <w:t>. Cette initiative devrait accélérer l</w:t>
      </w:r>
      <w:r w:rsidR="000A3D87">
        <w:rPr>
          <w:lang w:val="fr-FR"/>
        </w:rPr>
        <w:t>’</w:t>
      </w:r>
      <w:r w:rsidR="003A6F57" w:rsidRPr="00E15507">
        <w:rPr>
          <w:lang w:val="fr-FR"/>
        </w:rPr>
        <w:t xml:space="preserve">adoption du projet de </w:t>
      </w:r>
      <w:r w:rsidR="003A6F57" w:rsidRPr="00E15507">
        <w:rPr>
          <w:b/>
          <w:lang w:val="fr-FR"/>
        </w:rPr>
        <w:t>Loi sur la Convention</w:t>
      </w:r>
      <w:r w:rsidR="003A6F57" w:rsidRPr="00E15507">
        <w:rPr>
          <w:lang w:val="fr-FR"/>
        </w:rPr>
        <w:t xml:space="preserve"> au niveau des États assurer l</w:t>
      </w:r>
      <w:r w:rsidR="000A3D87">
        <w:rPr>
          <w:lang w:val="fr-FR"/>
        </w:rPr>
        <w:t>’</w:t>
      </w:r>
      <w:r w:rsidR="003A6F57" w:rsidRPr="00E15507">
        <w:rPr>
          <w:lang w:val="fr-FR"/>
        </w:rPr>
        <w:t xml:space="preserve">approbation par une majorité de deux tiers des Assemblées législatives des États. </w:t>
      </w:r>
    </w:p>
    <w:p w:rsidR="003A6F57" w:rsidRDefault="00B86B1D" w:rsidP="00E15507">
      <w:pPr>
        <w:pStyle w:val="SingleTxt"/>
        <w:rPr>
          <w:lang w:val="fr-FR"/>
        </w:rPr>
      </w:pPr>
      <w:r>
        <w:rPr>
          <w:lang w:val="fr-FR"/>
        </w:rPr>
        <w:tab/>
      </w:r>
      <w:r w:rsidR="003A6F57" w:rsidRPr="00E15507">
        <w:rPr>
          <w:lang w:val="fr-FR"/>
        </w:rPr>
        <w:t>En sus du projet de loi, une intégration partielle des dispositions de la Convention à la législation nationale a été réalisée par le biais de lois adoptées par différentes Assemblées législatives. Il existe également des politiques et des cadres d</w:t>
      </w:r>
      <w:r w:rsidR="000A3D87">
        <w:rPr>
          <w:lang w:val="fr-FR"/>
        </w:rPr>
        <w:t>’</w:t>
      </w:r>
      <w:r w:rsidR="003A6F57" w:rsidRPr="00E15507">
        <w:rPr>
          <w:lang w:val="fr-FR"/>
        </w:rPr>
        <w:t>action qui confirment l</w:t>
      </w:r>
      <w:r w:rsidR="000A3D87">
        <w:rPr>
          <w:lang w:val="fr-FR"/>
        </w:rPr>
        <w:t>’</w:t>
      </w:r>
      <w:r w:rsidR="003A6F57" w:rsidRPr="00E15507">
        <w:rPr>
          <w:lang w:val="fr-FR"/>
        </w:rPr>
        <w:t>intégration partielle de la Convention par le Nigéria. Certaines de ces lois et politiques sont énumérées dans l</w:t>
      </w:r>
      <w:r w:rsidR="000A3D87">
        <w:rPr>
          <w:lang w:val="fr-FR"/>
        </w:rPr>
        <w:t>’</w:t>
      </w:r>
      <w:r w:rsidR="003A6F57" w:rsidRPr="00E15507">
        <w:rPr>
          <w:lang w:val="fr-FR"/>
        </w:rPr>
        <w:t>Encadré 2.3. Ces lois, mesures, cadres et directives sont utilisés pour compléter la mise en œuvre des dispositions de la Convention.</w:t>
      </w:r>
    </w:p>
    <w:p w:rsidR="00B86B1D" w:rsidRPr="00B86B1D" w:rsidRDefault="00B86B1D" w:rsidP="00B86B1D">
      <w:pPr>
        <w:pStyle w:val="SingleTxt"/>
        <w:spacing w:after="0" w:line="120" w:lineRule="exact"/>
        <w:rPr>
          <w:sz w:val="10"/>
          <w:lang w:val="fr-FR"/>
        </w:rPr>
      </w:pPr>
    </w:p>
    <w:p w:rsidR="00D60783" w:rsidRDefault="00D60783" w:rsidP="00E15507">
      <w:pPr>
        <w:pStyle w:val="SingleTxt"/>
        <w:rPr>
          <w:lang w:val="fr-FR"/>
        </w:rPr>
      </w:pPr>
      <w:r>
        <w:rPr>
          <w:noProof/>
          <w:w w:val="100"/>
          <w:lang w:val="en-US"/>
        </w:rPr>
        <w:pict>
          <v:shape id="_x0000_s2089" type="#_x0000_t202" style="position:absolute;left:0;text-align:left;margin-left:61.3pt;margin-top:.1pt;width:423pt;height:417pt;z-index:6">
            <v:textbox style="mso-next-textbox:#_x0000_s2089">
              <w:txbxContent>
                <w:p w:rsidR="00D32F3D" w:rsidRDefault="00D32F3D" w:rsidP="00D60783">
                  <w:pPr>
                    <w:rPr>
                      <w:b/>
                    </w:rPr>
                  </w:pPr>
                  <w:r w:rsidRPr="006C7981">
                    <w:rPr>
                      <w:b/>
                    </w:rPr>
                    <w:t>Encadré 2.3</w:t>
                  </w:r>
                </w:p>
                <w:p w:rsidR="006C7981" w:rsidRPr="006C7981" w:rsidRDefault="006C7981" w:rsidP="00D60783">
                  <w:pPr>
                    <w:rPr>
                      <w:b/>
                    </w:rPr>
                  </w:pPr>
                </w:p>
                <w:p w:rsidR="00D32F3D" w:rsidRPr="006C7981" w:rsidRDefault="00D32F3D" w:rsidP="00A05C4E">
                  <w:pPr>
                    <w:tabs>
                      <w:tab w:val="left" w:pos="270"/>
                    </w:tabs>
                    <w:rPr>
                      <w:b/>
                      <w:i/>
                    </w:rPr>
                  </w:pPr>
                  <w:r w:rsidRPr="006C7981">
                    <w:rPr>
                      <w:b/>
                      <w:i/>
                    </w:rPr>
                    <w:t>•</w:t>
                  </w:r>
                  <w:r w:rsidRPr="006C7981">
                    <w:rPr>
                      <w:b/>
                      <w:i/>
                    </w:rPr>
                    <w:tab/>
                    <w:t xml:space="preserve">Loi de 2003 sur les droits de l’enfant </w:t>
                  </w:r>
                </w:p>
                <w:p w:rsidR="00D32F3D" w:rsidRPr="006C7981" w:rsidRDefault="00D32F3D" w:rsidP="00A05C4E">
                  <w:pPr>
                    <w:tabs>
                      <w:tab w:val="left" w:pos="270"/>
                    </w:tabs>
                    <w:ind w:left="270" w:hanging="270"/>
                    <w:rPr>
                      <w:b/>
                      <w:i/>
                    </w:rPr>
                  </w:pPr>
                  <w:r w:rsidRPr="006C7981">
                    <w:rPr>
                      <w:b/>
                      <w:i/>
                    </w:rPr>
                    <w:t>•</w:t>
                  </w:r>
                  <w:r w:rsidRPr="006C7981">
                    <w:rPr>
                      <w:b/>
                      <w:i/>
                    </w:rPr>
                    <w:tab/>
                    <w:t xml:space="preserve">Lois sur les droits de l’enfant promulguées dans les États suivants : Anambra, Imo, Ebonyi, Nassarawa, Plateau, Ogun, Ekiti, Abia, Rivers et Taraba, entre 2004 et 2006 </w:t>
                  </w:r>
                </w:p>
                <w:p w:rsidR="00D32F3D" w:rsidRPr="006C7981" w:rsidRDefault="00D32F3D" w:rsidP="00A05C4E">
                  <w:pPr>
                    <w:tabs>
                      <w:tab w:val="left" w:pos="270"/>
                    </w:tabs>
                    <w:rPr>
                      <w:b/>
                      <w:i/>
                    </w:rPr>
                  </w:pPr>
                  <w:r w:rsidRPr="006C7981">
                    <w:rPr>
                      <w:b/>
                      <w:i/>
                    </w:rPr>
                    <w:t>•</w:t>
                  </w:r>
                  <w:r w:rsidRPr="006C7981">
                    <w:rPr>
                      <w:b/>
                      <w:i/>
                    </w:rPr>
                    <w:tab/>
                    <w:t>Loi sur l’enseignement de base pour tous et autres questions connexes (2004)</w:t>
                  </w:r>
                </w:p>
                <w:p w:rsidR="00D32F3D" w:rsidRPr="006C7981" w:rsidRDefault="00D32F3D" w:rsidP="00A05C4E">
                  <w:pPr>
                    <w:tabs>
                      <w:tab w:val="left" w:pos="270"/>
                    </w:tabs>
                    <w:rPr>
                      <w:b/>
                      <w:i/>
                    </w:rPr>
                  </w:pPr>
                  <w:r w:rsidRPr="006C7981">
                    <w:rPr>
                      <w:b/>
                      <w:i/>
                    </w:rPr>
                    <w:t>•</w:t>
                  </w:r>
                  <w:r w:rsidRPr="006C7981">
                    <w:rPr>
                      <w:b/>
                      <w:i/>
                    </w:rPr>
                    <w:tab/>
                    <w:t>Politique nationale sur le VIH/SIDA (2003)</w:t>
                  </w:r>
                </w:p>
                <w:p w:rsidR="00D32F3D" w:rsidRPr="006C7981" w:rsidRDefault="00D32F3D" w:rsidP="00A05C4E">
                  <w:pPr>
                    <w:tabs>
                      <w:tab w:val="left" w:pos="270"/>
                    </w:tabs>
                    <w:rPr>
                      <w:b/>
                      <w:i/>
                    </w:rPr>
                  </w:pPr>
                  <w:r w:rsidRPr="006C7981">
                    <w:rPr>
                      <w:b/>
                      <w:i/>
                    </w:rPr>
                    <w:t>•</w:t>
                  </w:r>
                  <w:r w:rsidRPr="006C7981">
                    <w:rPr>
                      <w:b/>
                      <w:i/>
                    </w:rPr>
                    <w:tab/>
                    <w:t>Cadre stratégique national d’action contre le VIH/SIDA, 2005 - 2009</w:t>
                  </w:r>
                </w:p>
                <w:p w:rsidR="00D32F3D" w:rsidRPr="006C7981" w:rsidRDefault="00D32F3D" w:rsidP="00A05C4E">
                  <w:pPr>
                    <w:tabs>
                      <w:tab w:val="left" w:pos="270"/>
                    </w:tabs>
                    <w:ind w:left="270" w:hanging="270"/>
                    <w:rPr>
                      <w:b/>
                      <w:i/>
                    </w:rPr>
                  </w:pPr>
                  <w:r w:rsidRPr="006C7981">
                    <w:rPr>
                      <w:b/>
                      <w:i/>
                    </w:rPr>
                    <w:t>•</w:t>
                  </w:r>
                  <w:r w:rsidRPr="006C7981">
                    <w:rPr>
                      <w:b/>
                      <w:i/>
                    </w:rPr>
                    <w:tab/>
                    <w:t>Plan stratégique national pour la sécurité d’approvisionnement en produits de santé en matière de reproduction (2003)</w:t>
                  </w:r>
                </w:p>
                <w:p w:rsidR="00D32F3D" w:rsidRPr="006C7981" w:rsidRDefault="00D32F3D" w:rsidP="00A05C4E">
                  <w:pPr>
                    <w:tabs>
                      <w:tab w:val="left" w:pos="270"/>
                    </w:tabs>
                    <w:ind w:left="270" w:hanging="270"/>
                    <w:rPr>
                      <w:b/>
                      <w:i/>
                    </w:rPr>
                  </w:pPr>
                  <w:r w:rsidRPr="006C7981">
                    <w:rPr>
                      <w:b/>
                      <w:i/>
                    </w:rPr>
                    <w:t>•</w:t>
                  </w:r>
                  <w:r w:rsidRPr="006C7981">
                    <w:rPr>
                      <w:b/>
                      <w:i/>
                    </w:rPr>
                    <w:tab/>
                    <w:t>Décret sur l’application et l’administration de la Loi sur la traite de personnes (interdiction) de 2003, y compris les amendements qui lui ont été apportés en 2004</w:t>
                  </w:r>
                </w:p>
                <w:p w:rsidR="00D32F3D" w:rsidRPr="006C7981" w:rsidRDefault="00D32F3D" w:rsidP="00A05C4E">
                  <w:pPr>
                    <w:tabs>
                      <w:tab w:val="left" w:pos="270"/>
                    </w:tabs>
                    <w:rPr>
                      <w:b/>
                      <w:i/>
                    </w:rPr>
                  </w:pPr>
                  <w:r w:rsidRPr="006C7981">
                    <w:rPr>
                      <w:b/>
                      <w:i/>
                    </w:rPr>
                    <w:t>•</w:t>
                  </w:r>
                  <w:r w:rsidRPr="006C7981">
                    <w:rPr>
                      <w:b/>
                      <w:i/>
                    </w:rPr>
                    <w:tab/>
                    <w:t>Politique d’éducation nationale (2004)</w:t>
                  </w:r>
                </w:p>
                <w:p w:rsidR="00D32F3D" w:rsidRPr="006C7981" w:rsidRDefault="00D32F3D" w:rsidP="00A05C4E">
                  <w:pPr>
                    <w:tabs>
                      <w:tab w:val="left" w:pos="270"/>
                    </w:tabs>
                    <w:ind w:left="270" w:hanging="270"/>
                    <w:rPr>
                      <w:b/>
                      <w:i/>
                    </w:rPr>
                  </w:pPr>
                  <w:r w:rsidRPr="006C7981">
                    <w:rPr>
                      <w:b/>
                      <w:i/>
                    </w:rPr>
                    <w:t>•</w:t>
                  </w:r>
                  <w:r w:rsidRPr="006C7981">
                    <w:rPr>
                      <w:b/>
                      <w:i/>
                    </w:rPr>
                    <w:tab/>
                    <w:t>Directives nationales sur la lutte contre les déficiences en micronutriments au Nigéria (2005)</w:t>
                  </w:r>
                </w:p>
                <w:p w:rsidR="00D32F3D" w:rsidRPr="006C7981" w:rsidRDefault="00D32F3D" w:rsidP="00A05C4E">
                  <w:pPr>
                    <w:tabs>
                      <w:tab w:val="left" w:pos="270"/>
                    </w:tabs>
                    <w:ind w:left="270" w:hanging="270"/>
                    <w:rPr>
                      <w:b/>
                      <w:i/>
                    </w:rPr>
                  </w:pPr>
                  <w:r w:rsidRPr="006C7981">
                    <w:rPr>
                      <w:b/>
                      <w:i/>
                    </w:rPr>
                    <w:t>•</w:t>
                  </w:r>
                  <w:r w:rsidRPr="006C7981">
                    <w:rPr>
                      <w:b/>
                      <w:i/>
                    </w:rPr>
                    <w:tab/>
                    <w:t>Directives et stratégies nationales de prévention et de lutte contre le paludisme pendant la grossesse (2005)</w:t>
                  </w:r>
                </w:p>
                <w:p w:rsidR="00D32F3D" w:rsidRPr="006C7981" w:rsidRDefault="00D32F3D" w:rsidP="00A05C4E">
                  <w:pPr>
                    <w:tabs>
                      <w:tab w:val="left" w:pos="270"/>
                    </w:tabs>
                    <w:rPr>
                      <w:b/>
                      <w:i/>
                    </w:rPr>
                  </w:pPr>
                  <w:r w:rsidRPr="006C7981">
                    <w:rPr>
                      <w:b/>
                      <w:i/>
                    </w:rPr>
                    <w:t>•</w:t>
                  </w:r>
                  <w:r w:rsidRPr="006C7981">
                    <w:rPr>
                      <w:b/>
                      <w:i/>
                    </w:rPr>
                    <w:tab/>
                    <w:t>Politique nationale sur le lieu de travail (2005)</w:t>
                  </w:r>
                </w:p>
                <w:p w:rsidR="00D32F3D" w:rsidRPr="006C7981" w:rsidRDefault="00D32F3D" w:rsidP="00A05C4E">
                  <w:pPr>
                    <w:tabs>
                      <w:tab w:val="left" w:pos="270"/>
                    </w:tabs>
                    <w:rPr>
                      <w:b/>
                      <w:i/>
                    </w:rPr>
                  </w:pPr>
                  <w:r w:rsidRPr="006C7981">
                    <w:rPr>
                      <w:b/>
                      <w:i/>
                    </w:rPr>
                    <w:t>•</w:t>
                  </w:r>
                  <w:r w:rsidRPr="006C7981">
                    <w:rPr>
                      <w:b/>
                      <w:i/>
                    </w:rPr>
                    <w:tab/>
                    <w:t>Cadre et plan stratégiques nationaux en matière de santé de la reproduction, 2002- 2006</w:t>
                  </w:r>
                </w:p>
                <w:p w:rsidR="00D32F3D" w:rsidRPr="006C7981" w:rsidRDefault="00D32F3D" w:rsidP="00A05C4E">
                  <w:pPr>
                    <w:tabs>
                      <w:tab w:val="left" w:pos="270"/>
                    </w:tabs>
                    <w:ind w:left="270" w:hanging="270"/>
                    <w:rPr>
                      <w:b/>
                      <w:i/>
                    </w:rPr>
                  </w:pPr>
                  <w:r w:rsidRPr="006C7981">
                    <w:rPr>
                      <w:b/>
                      <w:i/>
                    </w:rPr>
                    <w:t>•</w:t>
                  </w:r>
                  <w:r w:rsidRPr="006C7981">
                    <w:rPr>
                      <w:b/>
                      <w:i/>
                    </w:rPr>
                    <w:tab/>
                    <w:t>Cadre et plan stratégiques nationaux d’éradication de la fistule vésico-vaginale au Nigéria (2005-2010)</w:t>
                  </w:r>
                </w:p>
                <w:p w:rsidR="00D32F3D" w:rsidRPr="006C7981" w:rsidRDefault="00D32F3D" w:rsidP="00A05C4E">
                  <w:pPr>
                    <w:tabs>
                      <w:tab w:val="left" w:pos="270"/>
                    </w:tabs>
                    <w:ind w:left="270" w:hanging="270"/>
                    <w:rPr>
                      <w:b/>
                      <w:i/>
                    </w:rPr>
                  </w:pPr>
                  <w:r w:rsidRPr="006C7981">
                    <w:rPr>
                      <w:b/>
                      <w:i/>
                    </w:rPr>
                    <w:t>•</w:t>
                  </w:r>
                  <w:r w:rsidRPr="006C7981">
                    <w:rPr>
                      <w:b/>
                      <w:i/>
                    </w:rPr>
                    <w:tab/>
                    <w:t>Une loi interdisant le mariage des fillettes et la circoncision féminine no 2 de 2000 par le Gouvernement de l’État de Cross Rivers</w:t>
                  </w:r>
                </w:p>
                <w:p w:rsidR="00D32F3D" w:rsidRPr="006C7981" w:rsidRDefault="00D32F3D" w:rsidP="00A05C4E">
                  <w:pPr>
                    <w:tabs>
                      <w:tab w:val="left" w:pos="270"/>
                    </w:tabs>
                    <w:ind w:left="270" w:hanging="270"/>
                    <w:rPr>
                      <w:b/>
                      <w:i/>
                    </w:rPr>
                  </w:pPr>
                  <w:r w:rsidRPr="006C7981">
                    <w:rPr>
                      <w:b/>
                      <w:i/>
                    </w:rPr>
                    <w:t>•</w:t>
                  </w:r>
                  <w:r w:rsidRPr="006C7981">
                    <w:rPr>
                      <w:b/>
                      <w:i/>
                    </w:rPr>
                    <w:tab/>
                    <w:t>Une loi interdisant la violence familiale à l’égard des femmes et la maltraitance. No 10 de 2004 par le Gouvernement de l’État de Cross Rivers</w:t>
                  </w:r>
                </w:p>
                <w:p w:rsidR="00D32F3D" w:rsidRPr="006C7981" w:rsidRDefault="00D32F3D" w:rsidP="00A05C4E">
                  <w:pPr>
                    <w:tabs>
                      <w:tab w:val="left" w:pos="270"/>
                    </w:tabs>
                    <w:rPr>
                      <w:b/>
                      <w:i/>
                    </w:rPr>
                  </w:pPr>
                  <w:r w:rsidRPr="006C7981">
                    <w:rPr>
                      <w:b/>
                      <w:i/>
                    </w:rPr>
                    <w:t>•</w:t>
                  </w:r>
                  <w:r w:rsidRPr="006C7981">
                    <w:rPr>
                      <w:b/>
                      <w:i/>
                    </w:rPr>
                    <w:tab/>
                    <w:t xml:space="preserve">Loi sur le traitement inhumain des veuves (interdiction) de 2004 de l’État d’Edo </w:t>
                  </w:r>
                </w:p>
                <w:p w:rsidR="00D32F3D" w:rsidRPr="006C7981" w:rsidRDefault="00D32F3D" w:rsidP="00A05C4E">
                  <w:pPr>
                    <w:tabs>
                      <w:tab w:val="left" w:pos="270"/>
                    </w:tabs>
                    <w:rPr>
                      <w:b/>
                      <w:i/>
                    </w:rPr>
                  </w:pPr>
                  <w:r w:rsidRPr="006C7981">
                    <w:rPr>
                      <w:b/>
                      <w:i/>
                    </w:rPr>
                    <w:t>•</w:t>
                  </w:r>
                  <w:r w:rsidRPr="006C7981">
                    <w:rPr>
                      <w:b/>
                      <w:i/>
                    </w:rPr>
                    <w:tab/>
                    <w:t>Loi sur les abus contre les veuves et les veufs (interdiction), 2005, État d’Anambra</w:t>
                  </w:r>
                </w:p>
                <w:p w:rsidR="00D32F3D" w:rsidRPr="006C7981" w:rsidRDefault="00D32F3D" w:rsidP="00A05C4E">
                  <w:pPr>
                    <w:tabs>
                      <w:tab w:val="left" w:pos="270"/>
                    </w:tabs>
                    <w:rPr>
                      <w:b/>
                      <w:i/>
                    </w:rPr>
                  </w:pPr>
                  <w:r w:rsidRPr="006C7981">
                    <w:rPr>
                      <w:b/>
                      <w:i/>
                    </w:rPr>
                    <w:t>•</w:t>
                  </w:r>
                  <w:r w:rsidRPr="006C7981">
                    <w:rPr>
                      <w:b/>
                      <w:i/>
                    </w:rPr>
                    <w:tab/>
                    <w:t>Loi sur les pratiques traditionnelles déshumanisantes et nuisibles, 2003, État de Rivers</w:t>
                  </w:r>
                </w:p>
                <w:p w:rsidR="00D32F3D" w:rsidRPr="006C7981" w:rsidRDefault="00D32F3D" w:rsidP="00A05C4E">
                  <w:pPr>
                    <w:tabs>
                      <w:tab w:val="left" w:pos="270"/>
                    </w:tabs>
                    <w:rPr>
                      <w:b/>
                      <w:i/>
                    </w:rPr>
                  </w:pPr>
                  <w:r w:rsidRPr="006C7981">
                    <w:rPr>
                      <w:b/>
                      <w:i/>
                    </w:rPr>
                    <w:t>•</w:t>
                  </w:r>
                  <w:r w:rsidRPr="006C7981">
                    <w:rPr>
                      <w:b/>
                      <w:i/>
                    </w:rPr>
                    <w:tab/>
                    <w:t>Loi sur l’abolition de la circoncision féminine, no 2 de 2001, État de Rivers</w:t>
                  </w:r>
                </w:p>
                <w:p w:rsidR="00D32F3D" w:rsidRPr="006C7981" w:rsidRDefault="00D32F3D" w:rsidP="00A05C4E">
                  <w:pPr>
                    <w:tabs>
                      <w:tab w:val="left" w:pos="270"/>
                    </w:tabs>
                    <w:rPr>
                      <w:b/>
                      <w:i/>
                    </w:rPr>
                  </w:pPr>
                  <w:r w:rsidRPr="006C7981">
                    <w:rPr>
                      <w:b/>
                      <w:i/>
                    </w:rPr>
                    <w:t>•</w:t>
                  </w:r>
                  <w:r w:rsidRPr="006C7981">
                    <w:rPr>
                      <w:b/>
                      <w:i/>
                    </w:rPr>
                    <w:tab/>
                    <w:t>Loi sur les droits des écoles (parents, enfants et enseignants), no 2, 2005, État de Rivers</w:t>
                  </w:r>
                </w:p>
                <w:p w:rsidR="00D32F3D" w:rsidRPr="006C7981" w:rsidRDefault="00D32F3D" w:rsidP="00A05C4E">
                  <w:pPr>
                    <w:tabs>
                      <w:tab w:val="left" w:pos="270"/>
                    </w:tabs>
                    <w:rPr>
                      <w:b/>
                      <w:i/>
                    </w:rPr>
                  </w:pPr>
                  <w:r w:rsidRPr="006C7981">
                    <w:rPr>
                      <w:b/>
                      <w:i/>
                    </w:rPr>
                    <w:t>•</w:t>
                  </w:r>
                  <w:r w:rsidRPr="006C7981">
                    <w:rPr>
                      <w:b/>
                      <w:i/>
                    </w:rPr>
                    <w:tab/>
                    <w:t>Loi sur les services de santé en matière de reproduction, no 3 de 2003, État de Rivers</w:t>
                  </w:r>
                </w:p>
                <w:p w:rsidR="00D32F3D" w:rsidRPr="006C7981" w:rsidRDefault="00D32F3D" w:rsidP="00A05C4E">
                  <w:pPr>
                    <w:tabs>
                      <w:tab w:val="left" w:pos="270"/>
                    </w:tabs>
                    <w:rPr>
                      <w:b/>
                      <w:i/>
                    </w:rPr>
                  </w:pPr>
                  <w:r w:rsidRPr="006C7981">
                    <w:rPr>
                      <w:b/>
                      <w:i/>
                    </w:rPr>
                    <w:t>•</w:t>
                  </w:r>
                  <w:r w:rsidRPr="006C7981">
                    <w:rPr>
                      <w:b/>
                      <w:i/>
                    </w:rPr>
                    <w:tab/>
                    <w:t>Loi sur la restriction du commerce sur les trottoirs, 2004, État d’Anambra</w:t>
                  </w:r>
                </w:p>
                <w:p w:rsidR="00D32F3D" w:rsidRDefault="00D32F3D" w:rsidP="00A05C4E">
                  <w:pPr>
                    <w:tabs>
                      <w:tab w:val="left" w:pos="270"/>
                    </w:tabs>
                    <w:ind w:left="270" w:hanging="270"/>
                  </w:pPr>
                  <w:r w:rsidRPr="006C7981">
                    <w:rPr>
                      <w:b/>
                      <w:i/>
                    </w:rPr>
                    <w:t>•</w:t>
                  </w:r>
                  <w:r w:rsidRPr="006C7981">
                    <w:rPr>
                      <w:b/>
                      <w:i/>
                    </w:rPr>
                    <w:tab/>
                    <w:t>Loi sur les droits de la femme concernant la santé en matière de reproduction, 2005, État</w:t>
                  </w:r>
                  <w:r>
                    <w:t xml:space="preserve"> </w:t>
                  </w:r>
                  <w:r w:rsidRPr="00B86B1D">
                    <w:rPr>
                      <w:b/>
                      <w:i/>
                    </w:rPr>
                    <w:t>d’Anambra</w:t>
                  </w:r>
                </w:p>
              </w:txbxContent>
            </v:textbox>
          </v:shape>
        </w:pict>
      </w:r>
    </w:p>
    <w:p w:rsidR="00D60783" w:rsidRDefault="00D60783" w:rsidP="00E15507">
      <w:pPr>
        <w:pStyle w:val="SingleTxt"/>
        <w:rPr>
          <w:lang w:val="fr-FR"/>
        </w:rPr>
      </w:pPr>
    </w:p>
    <w:p w:rsidR="00D60783" w:rsidRDefault="00D60783" w:rsidP="00E15507">
      <w:pPr>
        <w:pStyle w:val="SingleTxt"/>
        <w:rPr>
          <w:lang w:val="fr-FR"/>
        </w:rPr>
      </w:pPr>
    </w:p>
    <w:p w:rsidR="00D60783" w:rsidRDefault="00D60783" w:rsidP="00E15507">
      <w:pPr>
        <w:pStyle w:val="SingleTxt"/>
        <w:rPr>
          <w:lang w:val="fr-FR"/>
        </w:rPr>
      </w:pPr>
    </w:p>
    <w:p w:rsidR="00D60783" w:rsidRDefault="00D60783" w:rsidP="00E15507">
      <w:pPr>
        <w:pStyle w:val="SingleTxt"/>
        <w:rPr>
          <w:lang w:val="fr-FR"/>
        </w:rPr>
      </w:pPr>
    </w:p>
    <w:p w:rsidR="00D60783" w:rsidRDefault="00D60783" w:rsidP="00E15507">
      <w:pPr>
        <w:pStyle w:val="SingleTxt"/>
        <w:rPr>
          <w:lang w:val="fr-FR"/>
        </w:rPr>
      </w:pPr>
    </w:p>
    <w:p w:rsidR="00D60783" w:rsidRDefault="00D60783" w:rsidP="00E15507">
      <w:pPr>
        <w:pStyle w:val="SingleTxt"/>
        <w:rPr>
          <w:lang w:val="fr-FR"/>
        </w:rPr>
      </w:pPr>
    </w:p>
    <w:p w:rsidR="00D60783" w:rsidRDefault="00D60783" w:rsidP="00E15507">
      <w:pPr>
        <w:pStyle w:val="SingleTxt"/>
        <w:rPr>
          <w:lang w:val="fr-FR"/>
        </w:rPr>
      </w:pPr>
    </w:p>
    <w:p w:rsidR="00D60783" w:rsidRDefault="00D60783" w:rsidP="00E15507">
      <w:pPr>
        <w:pStyle w:val="SingleTxt"/>
        <w:rPr>
          <w:lang w:val="fr-FR"/>
        </w:rPr>
      </w:pPr>
    </w:p>
    <w:p w:rsidR="00D60783" w:rsidRDefault="00D60783" w:rsidP="00E15507">
      <w:pPr>
        <w:pStyle w:val="SingleTxt"/>
        <w:rPr>
          <w:lang w:val="fr-FR"/>
        </w:rPr>
      </w:pPr>
    </w:p>
    <w:p w:rsidR="00D60783" w:rsidRDefault="00D60783" w:rsidP="00E15507">
      <w:pPr>
        <w:pStyle w:val="SingleTxt"/>
        <w:rPr>
          <w:lang w:val="fr-FR"/>
        </w:rPr>
      </w:pPr>
    </w:p>
    <w:p w:rsidR="00D60783" w:rsidRDefault="00D60783" w:rsidP="00E15507">
      <w:pPr>
        <w:pStyle w:val="SingleTxt"/>
        <w:rPr>
          <w:lang w:val="fr-FR"/>
        </w:rPr>
      </w:pPr>
    </w:p>
    <w:p w:rsidR="00D60783" w:rsidRDefault="00D60783" w:rsidP="00E15507">
      <w:pPr>
        <w:pStyle w:val="SingleTxt"/>
        <w:rPr>
          <w:lang w:val="fr-FR"/>
        </w:rPr>
      </w:pPr>
    </w:p>
    <w:p w:rsidR="00D60783" w:rsidRDefault="00D60783" w:rsidP="00E15507">
      <w:pPr>
        <w:pStyle w:val="SingleTxt"/>
        <w:rPr>
          <w:lang w:val="fr-FR"/>
        </w:rPr>
      </w:pPr>
    </w:p>
    <w:p w:rsidR="00D60783" w:rsidRDefault="00D60783" w:rsidP="00E15507">
      <w:pPr>
        <w:pStyle w:val="SingleTxt"/>
        <w:rPr>
          <w:lang w:val="fr-FR"/>
        </w:rPr>
      </w:pPr>
    </w:p>
    <w:p w:rsidR="00D60783" w:rsidRDefault="00D60783" w:rsidP="00E15507">
      <w:pPr>
        <w:pStyle w:val="SingleTxt"/>
        <w:rPr>
          <w:lang w:val="fr-FR"/>
        </w:rPr>
      </w:pPr>
    </w:p>
    <w:p w:rsidR="00D60783" w:rsidRDefault="00D60783" w:rsidP="00E15507">
      <w:pPr>
        <w:pStyle w:val="SingleTxt"/>
        <w:rPr>
          <w:lang w:val="fr-FR"/>
        </w:rPr>
      </w:pPr>
    </w:p>
    <w:p w:rsidR="00D60783" w:rsidRDefault="00D60783" w:rsidP="00E15507">
      <w:pPr>
        <w:pStyle w:val="SingleTxt"/>
        <w:rPr>
          <w:lang w:val="fr-FR"/>
        </w:rPr>
      </w:pPr>
    </w:p>
    <w:p w:rsidR="00D60783" w:rsidRDefault="00D60783" w:rsidP="00E15507">
      <w:pPr>
        <w:pStyle w:val="SingleTxt"/>
        <w:rPr>
          <w:lang w:val="fr-FR"/>
        </w:rPr>
      </w:pPr>
    </w:p>
    <w:p w:rsidR="00D60783" w:rsidRDefault="00D60783" w:rsidP="00E15507">
      <w:pPr>
        <w:pStyle w:val="SingleTxt"/>
        <w:rPr>
          <w:lang w:val="fr-FR"/>
        </w:rPr>
      </w:pPr>
    </w:p>
    <w:p w:rsidR="00D60783" w:rsidRDefault="00D60783" w:rsidP="00E15507">
      <w:pPr>
        <w:pStyle w:val="SingleTxt"/>
        <w:rPr>
          <w:lang w:val="fr-FR"/>
        </w:rPr>
      </w:pPr>
    </w:p>
    <w:p w:rsidR="00D60783" w:rsidRDefault="00D60783" w:rsidP="00E15507">
      <w:pPr>
        <w:pStyle w:val="SingleTxt"/>
        <w:rPr>
          <w:lang w:val="fr-FR"/>
        </w:rPr>
      </w:pPr>
    </w:p>
    <w:p w:rsidR="00D60783" w:rsidRDefault="00D60783" w:rsidP="00E15507">
      <w:pPr>
        <w:pStyle w:val="SingleTxt"/>
        <w:rPr>
          <w:lang w:val="fr-FR"/>
        </w:rPr>
      </w:pPr>
    </w:p>
    <w:p w:rsidR="003A6F57" w:rsidRPr="00E15507" w:rsidRDefault="00B86B1D" w:rsidP="00E15507">
      <w:pPr>
        <w:pStyle w:val="SingleTxt"/>
        <w:rPr>
          <w:b/>
          <w:color w:val="000000"/>
          <w:lang w:val="fr-FR"/>
        </w:rPr>
      </w:pPr>
      <w:r>
        <w:rPr>
          <w:b/>
          <w:color w:val="000000"/>
          <w:lang w:val="fr-FR"/>
        </w:rPr>
        <w:br w:type="page"/>
      </w:r>
      <w:r w:rsidR="003A6F57" w:rsidRPr="00E15507">
        <w:rPr>
          <w:b/>
          <w:color w:val="000000"/>
          <w:lang w:val="fr-FR"/>
        </w:rPr>
        <w:t xml:space="preserve">2.1.2 </w:t>
      </w:r>
      <w:r w:rsidR="003A6F57" w:rsidRPr="00E15507">
        <w:rPr>
          <w:b/>
          <w:color w:val="000000"/>
          <w:lang w:val="fr-FR"/>
        </w:rPr>
        <w:tab/>
        <w:t>Harmonisation des droits civils, religieux et coutumiers afin de favoriser l</w:t>
      </w:r>
      <w:r w:rsidR="000A3D87">
        <w:rPr>
          <w:b/>
          <w:color w:val="000000"/>
          <w:lang w:val="fr-FR"/>
        </w:rPr>
        <w:t>’</w:t>
      </w:r>
      <w:r w:rsidR="003A6F57" w:rsidRPr="00E15507">
        <w:rPr>
          <w:b/>
          <w:color w:val="000000"/>
          <w:lang w:val="fr-FR"/>
        </w:rPr>
        <w:t>égalité et la non-discrimination</w:t>
      </w:r>
    </w:p>
    <w:p w:rsidR="003A6F57" w:rsidRPr="00E15507" w:rsidRDefault="00A05C4E" w:rsidP="00E15507">
      <w:pPr>
        <w:pStyle w:val="SingleTxt"/>
        <w:rPr>
          <w:color w:val="000000"/>
          <w:lang w:val="fr-FR"/>
        </w:rPr>
      </w:pPr>
      <w:r>
        <w:rPr>
          <w:color w:val="000000"/>
          <w:lang w:val="fr-FR"/>
        </w:rPr>
        <w:tab/>
      </w:r>
      <w:r w:rsidR="003A6F57" w:rsidRPr="00E15507">
        <w:rPr>
          <w:color w:val="000000"/>
          <w:lang w:val="fr-FR"/>
        </w:rPr>
        <w:t>L</w:t>
      </w:r>
      <w:r w:rsidR="000A3D87">
        <w:rPr>
          <w:color w:val="000000"/>
          <w:lang w:val="fr-FR"/>
        </w:rPr>
        <w:t>’</w:t>
      </w:r>
      <w:r w:rsidR="003A6F57" w:rsidRPr="00E15507">
        <w:rPr>
          <w:color w:val="000000"/>
          <w:lang w:val="fr-FR"/>
        </w:rPr>
        <w:t>harmonisation de systèmes juridiques complexes comme ceux du Nigéria représente une entreprise herculéenne. L</w:t>
      </w:r>
      <w:r w:rsidR="000A3D87">
        <w:rPr>
          <w:color w:val="000000"/>
          <w:lang w:val="fr-FR"/>
        </w:rPr>
        <w:t>’</w:t>
      </w:r>
      <w:r w:rsidR="003A6F57" w:rsidRPr="00E15507">
        <w:rPr>
          <w:color w:val="000000"/>
          <w:lang w:val="fr-FR"/>
        </w:rPr>
        <w:t>on déploie cependant des efforts visant à réaliser cet objectif. Le Centre national pour l</w:t>
      </w:r>
      <w:r w:rsidR="000A3D87">
        <w:rPr>
          <w:color w:val="000000"/>
          <w:lang w:val="fr-FR"/>
        </w:rPr>
        <w:t>’</w:t>
      </w:r>
      <w:r w:rsidR="003A6F57" w:rsidRPr="00E15507">
        <w:rPr>
          <w:color w:val="000000"/>
          <w:lang w:val="fr-FR"/>
        </w:rPr>
        <w:t>épanouissement des femmes, en collaboration avec le ministère fédéral de la Condition de la femme, la Commission nigériane de la réforme juridique, le Conseil d</w:t>
      </w:r>
      <w:r w:rsidR="000A3D87">
        <w:rPr>
          <w:color w:val="000000"/>
          <w:lang w:val="fr-FR"/>
        </w:rPr>
        <w:t>’</w:t>
      </w:r>
      <w:r w:rsidR="003A6F57" w:rsidRPr="00E15507">
        <w:rPr>
          <w:color w:val="000000"/>
          <w:lang w:val="fr-FR"/>
        </w:rPr>
        <w:t>assistance judiciaire, la Commission nationale des droits de l</w:t>
      </w:r>
      <w:r w:rsidR="000A3D87">
        <w:rPr>
          <w:color w:val="000000"/>
          <w:lang w:val="fr-FR"/>
        </w:rPr>
        <w:t>’</w:t>
      </w:r>
      <w:r w:rsidR="003A6F57" w:rsidRPr="00E15507">
        <w:rPr>
          <w:color w:val="000000"/>
          <w:lang w:val="fr-FR"/>
        </w:rPr>
        <w:t>homme, le FIDA et WRAPA ont amorcé, en 2003, un projet visant à compiler les lois antidiscriminatoires et coutumières. Le projet financé par la Banque mondiale, le FDI et l</w:t>
      </w:r>
      <w:r w:rsidR="000A3D87">
        <w:rPr>
          <w:color w:val="000000"/>
          <w:lang w:val="fr-FR"/>
        </w:rPr>
        <w:t>’</w:t>
      </w:r>
      <w:r w:rsidR="003A6F57" w:rsidRPr="00E15507">
        <w:rPr>
          <w:color w:val="000000"/>
          <w:lang w:val="fr-FR"/>
        </w:rPr>
        <w:t>UNICEF, s</w:t>
      </w:r>
      <w:r w:rsidR="000A3D87">
        <w:rPr>
          <w:color w:val="000000"/>
          <w:lang w:val="fr-FR"/>
        </w:rPr>
        <w:t>’</w:t>
      </w:r>
      <w:r w:rsidR="003A6F57" w:rsidRPr="00E15507">
        <w:rPr>
          <w:color w:val="000000"/>
          <w:lang w:val="fr-FR"/>
        </w:rPr>
        <w:t xml:space="preserve">est achevé en 2005 et la publication qui en a résulté est intitulée : </w:t>
      </w:r>
    </w:p>
    <w:p w:rsidR="003A6F57" w:rsidRPr="00E15507" w:rsidRDefault="00A05C4E" w:rsidP="00A05C4E">
      <w:pPr>
        <w:pStyle w:val="SingleTxt"/>
        <w:tabs>
          <w:tab w:val="clear" w:pos="1267"/>
        </w:tabs>
        <w:ind w:left="1800" w:hanging="533"/>
        <w:rPr>
          <w:b/>
          <w:i/>
          <w:color w:val="000000"/>
          <w:lang w:val="fr-FR"/>
        </w:rPr>
      </w:pPr>
      <w:r>
        <w:rPr>
          <w:b/>
          <w:i/>
          <w:color w:val="000000"/>
          <w:lang w:val="fr-FR"/>
        </w:rPr>
        <w:tab/>
      </w:r>
      <w:r w:rsidR="00B86B1D">
        <w:rPr>
          <w:b/>
          <w:i/>
          <w:color w:val="000000"/>
          <w:lang w:val="fr-FR"/>
        </w:rPr>
        <w:t>« </w:t>
      </w:r>
      <w:r w:rsidR="003A6F57" w:rsidRPr="00E15507">
        <w:rPr>
          <w:b/>
          <w:i/>
          <w:color w:val="000000"/>
          <w:lang w:val="fr-FR"/>
        </w:rPr>
        <w:t>Une compilation de la Constitution, des lois et règlements nationaux et des États, des règlements des administrations locales, des lois coutumières et des lois religieuses, des politiques et pratiques et des décisions des tribunaux portant sur le statut des femmes et des enfants, applicables au Nigéria</w:t>
      </w:r>
      <w:r w:rsidR="00D17E6C">
        <w:rPr>
          <w:b/>
          <w:i/>
          <w:color w:val="000000"/>
          <w:lang w:val="fr-FR"/>
        </w:rPr>
        <w:t xml:space="preserve"> – </w:t>
      </w:r>
      <w:r w:rsidR="003A6F57" w:rsidRPr="00E15507">
        <w:rPr>
          <w:b/>
          <w:i/>
          <w:color w:val="000000"/>
          <w:lang w:val="fr-FR"/>
        </w:rPr>
        <w:t>2005</w:t>
      </w:r>
      <w:r w:rsidR="000A3D87">
        <w:rPr>
          <w:b/>
          <w:i/>
          <w:color w:val="000000"/>
          <w:lang w:val="fr-FR"/>
        </w:rPr>
        <w:t> »</w:t>
      </w:r>
    </w:p>
    <w:p w:rsidR="003A6F57" w:rsidRPr="00E15507" w:rsidRDefault="00A05C4E" w:rsidP="00E15507">
      <w:pPr>
        <w:pStyle w:val="SingleTxt"/>
        <w:rPr>
          <w:color w:val="000000"/>
          <w:lang w:val="fr-FR"/>
        </w:rPr>
      </w:pPr>
      <w:r>
        <w:rPr>
          <w:color w:val="000000"/>
          <w:lang w:val="fr-FR"/>
        </w:rPr>
        <w:tab/>
      </w:r>
      <w:r w:rsidR="003A6F57" w:rsidRPr="00E15507">
        <w:rPr>
          <w:color w:val="000000"/>
          <w:lang w:val="fr-FR"/>
        </w:rPr>
        <w:t>Le document met explicitement en évidence les contradictions qui existent entre les trois systèmes judiciaires du Nigéria. Cette œuvre jette les bases d</w:t>
      </w:r>
      <w:r w:rsidR="000A3D87">
        <w:rPr>
          <w:color w:val="000000"/>
          <w:lang w:val="fr-FR"/>
        </w:rPr>
        <w:t>’</w:t>
      </w:r>
      <w:r w:rsidR="003A6F57" w:rsidRPr="00E15507">
        <w:rPr>
          <w:color w:val="000000"/>
          <w:lang w:val="fr-FR"/>
        </w:rPr>
        <w:t>une approche ciblée du règlement des conflits de lois concernant la discrimination sexiste et l</w:t>
      </w:r>
      <w:r w:rsidR="000A3D87">
        <w:rPr>
          <w:color w:val="000000"/>
          <w:lang w:val="fr-FR"/>
        </w:rPr>
        <w:t>’</w:t>
      </w:r>
      <w:r w:rsidR="003A6F57" w:rsidRPr="00E15507">
        <w:rPr>
          <w:color w:val="000000"/>
          <w:lang w:val="fr-FR"/>
        </w:rPr>
        <w:t>inégalité des hommes et des femmes.</w:t>
      </w:r>
    </w:p>
    <w:p w:rsidR="003A6F57" w:rsidRPr="00E15507" w:rsidRDefault="00A05C4E" w:rsidP="00E15507">
      <w:pPr>
        <w:pStyle w:val="SingleTxt"/>
        <w:rPr>
          <w:color w:val="000000"/>
          <w:lang w:val="fr-FR"/>
        </w:rPr>
      </w:pPr>
      <w:r>
        <w:rPr>
          <w:color w:val="000000"/>
          <w:lang w:val="fr-FR"/>
        </w:rPr>
        <w:tab/>
      </w:r>
      <w:r w:rsidR="003A6F57" w:rsidRPr="00E15507">
        <w:rPr>
          <w:color w:val="000000"/>
          <w:lang w:val="fr-FR"/>
        </w:rPr>
        <w:t>La condition des femmes examinée dans le projet porte sur divers domaines tels que les droits de propriété, y compris le régime foncier, l</w:t>
      </w:r>
      <w:r w:rsidR="000A3D87">
        <w:rPr>
          <w:color w:val="000000"/>
          <w:lang w:val="fr-FR"/>
        </w:rPr>
        <w:t>’</w:t>
      </w:r>
      <w:r w:rsidR="003A6F57" w:rsidRPr="00E15507">
        <w:rPr>
          <w:color w:val="000000"/>
          <w:lang w:val="fr-FR"/>
        </w:rPr>
        <w:t>accès au crédit, l</w:t>
      </w:r>
      <w:r w:rsidR="000A3D87">
        <w:rPr>
          <w:color w:val="000000"/>
          <w:lang w:val="fr-FR"/>
        </w:rPr>
        <w:t>’</w:t>
      </w:r>
      <w:r w:rsidR="003A6F57" w:rsidRPr="00E15507">
        <w:rPr>
          <w:color w:val="000000"/>
          <w:lang w:val="fr-FR"/>
        </w:rPr>
        <w:t>éducation, la participation à la politique, le mariage, la succession, la pension alimentaire et la garde des enfants ainsi que la question de la violence familiale, entre autres.</w:t>
      </w:r>
    </w:p>
    <w:p w:rsidR="003A6F57" w:rsidRPr="00E15507" w:rsidRDefault="00A05C4E" w:rsidP="00E15507">
      <w:pPr>
        <w:pStyle w:val="SingleTxt"/>
        <w:rPr>
          <w:color w:val="000000"/>
          <w:lang w:val="fr-FR"/>
        </w:rPr>
      </w:pPr>
      <w:r>
        <w:rPr>
          <w:color w:val="000000"/>
          <w:lang w:val="fr-FR"/>
        </w:rPr>
        <w:tab/>
      </w:r>
      <w:r w:rsidR="003A6F57" w:rsidRPr="00E15507">
        <w:rPr>
          <w:color w:val="000000"/>
          <w:lang w:val="fr-FR"/>
        </w:rPr>
        <w:t>Le projet reconnait la complexité de la situation des droits de la femme au Nigéria, qui est aggravée par la persistance des coutumes à fort caractère sexiste et des lois et pratiques coutumières négatives.</w:t>
      </w:r>
    </w:p>
    <w:p w:rsidR="003A6F57" w:rsidRPr="00E15507" w:rsidRDefault="00A05C4E" w:rsidP="00E15507">
      <w:pPr>
        <w:pStyle w:val="SingleTxt"/>
        <w:rPr>
          <w:lang w:val="fr-FR"/>
        </w:rPr>
      </w:pPr>
      <w:r>
        <w:rPr>
          <w:color w:val="000000"/>
          <w:lang w:val="fr-FR"/>
        </w:rPr>
        <w:tab/>
      </w:r>
      <w:r w:rsidR="003A6F57" w:rsidRPr="00E15507">
        <w:rPr>
          <w:color w:val="000000"/>
          <w:lang w:val="fr-FR"/>
        </w:rPr>
        <w:t xml:space="preserve">Sur la base du document final, le Procureur général de la Fédération a inauguré un </w:t>
      </w:r>
      <w:r w:rsidR="003A6F57" w:rsidRPr="00E15507">
        <w:rPr>
          <w:b/>
          <w:bCs/>
          <w:color w:val="000000"/>
          <w:lang w:val="fr-FR"/>
        </w:rPr>
        <w:t>Comité sur la réforme des lois discriminatoires à l</w:t>
      </w:r>
      <w:r w:rsidR="000A3D87">
        <w:rPr>
          <w:b/>
          <w:bCs/>
          <w:color w:val="000000"/>
          <w:lang w:val="fr-FR"/>
        </w:rPr>
        <w:t>’</w:t>
      </w:r>
      <w:r w:rsidR="003A6F57" w:rsidRPr="00E15507">
        <w:rPr>
          <w:b/>
          <w:bCs/>
          <w:color w:val="000000"/>
          <w:lang w:val="fr-FR"/>
        </w:rPr>
        <w:t>égard des femmes</w:t>
      </w:r>
      <w:r w:rsidR="003A6F57" w:rsidRPr="00E15507">
        <w:rPr>
          <w:color w:val="000000"/>
          <w:lang w:val="fr-FR"/>
        </w:rPr>
        <w:t xml:space="preserve">. Le Comité a élaboré la </w:t>
      </w:r>
      <w:r w:rsidR="00F575D8">
        <w:rPr>
          <w:color w:val="000000"/>
          <w:lang w:val="fr-FR"/>
        </w:rPr>
        <w:t>“ </w:t>
      </w:r>
      <w:r w:rsidR="003A6F57" w:rsidRPr="00E15507">
        <w:rPr>
          <w:b/>
          <w:color w:val="000000"/>
          <w:lang w:val="fr-FR"/>
        </w:rPr>
        <w:t>Loi de 2006 sur l</w:t>
      </w:r>
      <w:r w:rsidR="000A3D87">
        <w:rPr>
          <w:b/>
          <w:color w:val="000000"/>
          <w:lang w:val="fr-FR"/>
        </w:rPr>
        <w:t>’</w:t>
      </w:r>
      <w:r w:rsidR="003A6F57" w:rsidRPr="00E15507">
        <w:rPr>
          <w:b/>
          <w:color w:val="000000"/>
          <w:lang w:val="fr-FR"/>
        </w:rPr>
        <w:t>abolition de toutes les formes de discrimination à l</w:t>
      </w:r>
      <w:r w:rsidR="000A3D87">
        <w:rPr>
          <w:b/>
          <w:color w:val="000000"/>
          <w:lang w:val="fr-FR"/>
        </w:rPr>
        <w:t>’</w:t>
      </w:r>
      <w:r w:rsidR="003A6F57" w:rsidRPr="00E15507">
        <w:rPr>
          <w:b/>
          <w:color w:val="000000"/>
          <w:lang w:val="fr-FR"/>
        </w:rPr>
        <w:t>égard des femmes au Nigéria et autres</w:t>
      </w:r>
      <w:r w:rsidR="003A6F57" w:rsidRPr="00E15507">
        <w:rPr>
          <w:color w:val="000000"/>
          <w:lang w:val="fr-FR"/>
        </w:rPr>
        <w:t xml:space="preserve"> </w:t>
      </w:r>
      <w:r w:rsidR="003A6F57" w:rsidRPr="00E15507">
        <w:rPr>
          <w:b/>
          <w:color w:val="000000"/>
          <w:lang w:val="fr-FR"/>
        </w:rPr>
        <w:t>questions connexes</w:t>
      </w:r>
      <w:r w:rsidR="000A3D87">
        <w:rPr>
          <w:b/>
          <w:i/>
          <w:color w:val="000000"/>
          <w:lang w:val="fr-FR"/>
        </w:rPr>
        <w:t> »</w:t>
      </w:r>
      <w:r w:rsidR="003A6F57" w:rsidRPr="00E15507">
        <w:rPr>
          <w:color w:val="000000"/>
          <w:lang w:val="fr-FR"/>
        </w:rPr>
        <w:t xml:space="preserve"> qui se trouve sur la table de l</w:t>
      </w:r>
      <w:r w:rsidR="000A3D87">
        <w:rPr>
          <w:color w:val="000000"/>
          <w:lang w:val="fr-FR"/>
        </w:rPr>
        <w:t>’</w:t>
      </w:r>
      <w:r w:rsidR="003A6F57" w:rsidRPr="00E15507">
        <w:rPr>
          <w:color w:val="000000"/>
          <w:lang w:val="fr-FR"/>
        </w:rPr>
        <w:t xml:space="preserve">Assemblée nationale en vue de sa promulgation sous forme de loi. Ce projet de loi, une fois promulgué, viendra compléter la mise en œuvre de nombreuses dispositions de la Convention. </w:t>
      </w:r>
    </w:p>
    <w:p w:rsidR="00A05C4E" w:rsidRPr="00A05C4E" w:rsidRDefault="00A05C4E" w:rsidP="00A05C4E">
      <w:pPr>
        <w:pStyle w:val="SingleTxt"/>
        <w:spacing w:after="0" w:line="120" w:lineRule="exact"/>
        <w:rPr>
          <w:b/>
          <w:sz w:val="10"/>
          <w:lang w:val="fr-FR"/>
        </w:rPr>
      </w:pPr>
    </w:p>
    <w:p w:rsidR="00A05C4E" w:rsidRPr="00A05C4E" w:rsidRDefault="00A05C4E" w:rsidP="00A05C4E">
      <w:pPr>
        <w:pStyle w:val="SingleTxt"/>
        <w:spacing w:after="0" w:line="120" w:lineRule="exact"/>
        <w:rPr>
          <w:b/>
          <w:sz w:val="10"/>
          <w:lang w:val="fr-FR"/>
        </w:rPr>
      </w:pPr>
    </w:p>
    <w:p w:rsidR="003A6F57" w:rsidRDefault="00A05C4E" w:rsidP="00A05C4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3A6F57" w:rsidRPr="00E15507">
        <w:rPr>
          <w:lang w:val="fr-FR"/>
        </w:rPr>
        <w:t>Article 3</w:t>
      </w:r>
      <w:r>
        <w:rPr>
          <w:lang w:val="fr-FR"/>
        </w:rPr>
        <w:br/>
      </w:r>
      <w:r w:rsidR="003A6F57" w:rsidRPr="00E15507">
        <w:rPr>
          <w:lang w:val="fr-FR"/>
        </w:rPr>
        <w:t>Développement et promotion de la femme</w:t>
      </w:r>
    </w:p>
    <w:p w:rsidR="00A05C4E" w:rsidRPr="00A05C4E" w:rsidRDefault="00A05C4E" w:rsidP="00A05C4E">
      <w:pPr>
        <w:pStyle w:val="SingleTxt"/>
        <w:spacing w:after="0" w:line="120" w:lineRule="exact"/>
        <w:rPr>
          <w:sz w:val="10"/>
          <w:lang w:val="fr-FR"/>
        </w:rPr>
      </w:pPr>
    </w:p>
    <w:p w:rsidR="00A05C4E" w:rsidRPr="00A05C4E" w:rsidRDefault="00A05C4E" w:rsidP="00A05C4E">
      <w:pPr>
        <w:pStyle w:val="SingleTxt"/>
        <w:spacing w:after="0" w:line="120" w:lineRule="exact"/>
        <w:rPr>
          <w:sz w:val="10"/>
          <w:lang w:val="fr-FR"/>
        </w:rPr>
      </w:pPr>
    </w:p>
    <w:p w:rsidR="003A6F57" w:rsidRDefault="00A05C4E" w:rsidP="00A05C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3A6F57" w:rsidRPr="00E15507">
        <w:rPr>
          <w:lang w:val="fr-FR"/>
        </w:rPr>
        <w:t xml:space="preserve">3.0 </w:t>
      </w:r>
      <w:r w:rsidR="003A6F57" w:rsidRPr="00E15507">
        <w:rPr>
          <w:lang w:val="fr-FR"/>
        </w:rPr>
        <w:tab/>
        <w:t>Mesures législatives, administratives et autres pour garantir l</w:t>
      </w:r>
      <w:r w:rsidR="000A3D87">
        <w:rPr>
          <w:lang w:val="fr-FR"/>
        </w:rPr>
        <w:t>’</w:t>
      </w:r>
      <w:r w:rsidR="003A6F57" w:rsidRPr="00E15507">
        <w:rPr>
          <w:lang w:val="fr-FR"/>
        </w:rPr>
        <w:t>égalité</w:t>
      </w:r>
    </w:p>
    <w:p w:rsidR="00A05C4E" w:rsidRPr="00A05C4E" w:rsidRDefault="00A05C4E" w:rsidP="00A05C4E">
      <w:pPr>
        <w:pStyle w:val="SingleTxt"/>
        <w:spacing w:after="0" w:line="120" w:lineRule="exact"/>
        <w:rPr>
          <w:sz w:val="10"/>
          <w:lang w:val="fr-FR"/>
        </w:rPr>
      </w:pPr>
    </w:p>
    <w:p w:rsidR="003A6F57" w:rsidRPr="00E15507" w:rsidRDefault="00A05C4E" w:rsidP="00E15507">
      <w:pPr>
        <w:pStyle w:val="SingleTxt"/>
        <w:rPr>
          <w:lang w:val="fr-FR"/>
        </w:rPr>
      </w:pPr>
      <w:r>
        <w:rPr>
          <w:lang w:val="fr-FR"/>
        </w:rPr>
        <w:tab/>
      </w:r>
      <w:r w:rsidR="003A6F57" w:rsidRPr="00E15507">
        <w:rPr>
          <w:lang w:val="fr-FR"/>
        </w:rPr>
        <w:t>Pour compléter l</w:t>
      </w:r>
      <w:r w:rsidR="000A3D87">
        <w:rPr>
          <w:lang w:val="fr-FR"/>
        </w:rPr>
        <w:t>’</w:t>
      </w:r>
      <w:r w:rsidR="003A6F57" w:rsidRPr="00E15507">
        <w:rPr>
          <w:lang w:val="fr-FR"/>
        </w:rPr>
        <w:t xml:space="preserve">action menée en vue de mettre en place un cadre juridique qui protège les droits fondamentaux sur une base égale, une structure nationale de coordination a été instituée par le Gouvernement. </w:t>
      </w:r>
      <w:r w:rsidR="003A6F57" w:rsidRPr="00E15507">
        <w:rPr>
          <w:color w:val="333333"/>
          <w:lang w:val="fr-FR"/>
        </w:rPr>
        <w:t>Le ministère fédéral de la Condition de la femme est la structure nationale de coordination pour les questions d</w:t>
      </w:r>
      <w:r w:rsidR="000A3D87">
        <w:rPr>
          <w:color w:val="333333"/>
          <w:lang w:val="fr-FR"/>
        </w:rPr>
        <w:t>’</w:t>
      </w:r>
      <w:r w:rsidR="003A6F57" w:rsidRPr="00E15507">
        <w:rPr>
          <w:color w:val="333333"/>
          <w:lang w:val="fr-FR"/>
        </w:rPr>
        <w:t>égalité des sexes placée au plus haut niveau de l</w:t>
      </w:r>
      <w:r w:rsidR="000A3D87">
        <w:rPr>
          <w:color w:val="333333"/>
          <w:lang w:val="fr-FR"/>
        </w:rPr>
        <w:t>’</w:t>
      </w:r>
      <w:r w:rsidR="003A6F57" w:rsidRPr="00E15507">
        <w:rPr>
          <w:color w:val="333333"/>
          <w:lang w:val="fr-FR"/>
        </w:rPr>
        <w:t>administration. Cette structure est reproduite dans tous les trente six États de la Fédération. Le ministère s</w:t>
      </w:r>
      <w:r w:rsidR="000A3D87">
        <w:rPr>
          <w:color w:val="333333"/>
          <w:lang w:val="fr-FR"/>
        </w:rPr>
        <w:t>’</w:t>
      </w:r>
      <w:r w:rsidR="003A6F57" w:rsidRPr="00E15507">
        <w:rPr>
          <w:color w:val="333333"/>
          <w:lang w:val="fr-FR"/>
        </w:rPr>
        <w:t>emploie à mobiliser des engagements sectoriels en faveur de la mise en œuvre des politiques et de l</w:t>
      </w:r>
      <w:r w:rsidR="000A3D87">
        <w:rPr>
          <w:color w:val="333333"/>
          <w:lang w:val="fr-FR"/>
        </w:rPr>
        <w:t>’</w:t>
      </w:r>
      <w:r w:rsidR="003A6F57" w:rsidRPr="00E15507">
        <w:rPr>
          <w:color w:val="333333"/>
          <w:lang w:val="fr-FR"/>
        </w:rPr>
        <w:t>institutionnalisation des processus nécessaires pour une prise en compte systématique et efficace de l</w:t>
      </w:r>
      <w:r w:rsidR="000A3D87">
        <w:rPr>
          <w:color w:val="333333"/>
          <w:lang w:val="fr-FR"/>
        </w:rPr>
        <w:t>’</w:t>
      </w:r>
      <w:r w:rsidR="003A6F57" w:rsidRPr="00E15507">
        <w:rPr>
          <w:color w:val="333333"/>
          <w:lang w:val="fr-FR"/>
        </w:rPr>
        <w:t>égalité des sexes entre les ministères d</w:t>
      </w:r>
      <w:r w:rsidR="000A3D87">
        <w:rPr>
          <w:color w:val="333333"/>
          <w:lang w:val="fr-FR"/>
        </w:rPr>
        <w:t>’</w:t>
      </w:r>
      <w:r w:rsidR="003A6F57" w:rsidRPr="00E15507">
        <w:rPr>
          <w:color w:val="333333"/>
          <w:lang w:val="fr-FR"/>
        </w:rPr>
        <w:t>exécution et d</w:t>
      </w:r>
      <w:r w:rsidR="000A3D87">
        <w:rPr>
          <w:color w:val="333333"/>
          <w:lang w:val="fr-FR"/>
        </w:rPr>
        <w:t>’</w:t>
      </w:r>
      <w:r w:rsidR="003A6F57" w:rsidRPr="00E15507">
        <w:rPr>
          <w:color w:val="333333"/>
          <w:lang w:val="fr-FR"/>
        </w:rPr>
        <w:t>autres partenaires. Le Centre national de promotion de la femme, un organisme parapublic relevant du ministère de la Condition de la femme est chargé de promouvoir les progrès des femmes par la recherche, la formation et la documentation. Dans cette perspective, le centre abrite la ase de données sur les questions d</w:t>
      </w:r>
      <w:r w:rsidR="000A3D87">
        <w:rPr>
          <w:color w:val="333333"/>
          <w:lang w:val="fr-FR"/>
        </w:rPr>
        <w:t>’</w:t>
      </w:r>
      <w:r w:rsidR="003A6F57" w:rsidRPr="00E15507">
        <w:rPr>
          <w:color w:val="333333"/>
          <w:lang w:val="fr-FR"/>
        </w:rPr>
        <w:t>émancipation des femmes. Il établit des données et des indicateurs stratégiques, qui enrichissent les processus d</w:t>
      </w:r>
      <w:r w:rsidR="000A3D87">
        <w:rPr>
          <w:color w:val="333333"/>
          <w:lang w:val="fr-FR"/>
        </w:rPr>
        <w:t>’</w:t>
      </w:r>
      <w:r w:rsidR="003A6F57" w:rsidRPr="00E15507">
        <w:rPr>
          <w:color w:val="333333"/>
          <w:lang w:val="fr-FR"/>
        </w:rPr>
        <w:t>élaboration des politiques sectorielles soucieuses de la parité entre les sexes dans l</w:t>
      </w:r>
      <w:r w:rsidR="000A3D87">
        <w:rPr>
          <w:color w:val="333333"/>
          <w:lang w:val="fr-FR"/>
        </w:rPr>
        <w:t>’</w:t>
      </w:r>
      <w:r w:rsidR="003A6F57" w:rsidRPr="00E15507">
        <w:rPr>
          <w:color w:val="333333"/>
          <w:lang w:val="fr-FR"/>
        </w:rPr>
        <w:t>intérêt général et pour l</w:t>
      </w:r>
      <w:r w:rsidR="000A3D87">
        <w:rPr>
          <w:color w:val="333333"/>
          <w:lang w:val="fr-FR"/>
        </w:rPr>
        <w:t>’</w:t>
      </w:r>
      <w:r w:rsidR="003A6F57" w:rsidRPr="00E15507">
        <w:rPr>
          <w:color w:val="333333"/>
          <w:lang w:val="fr-FR"/>
        </w:rPr>
        <w:t>épanouissement des femmes du Nigéria. Il existe des responsables du bureau chargé des questions de parité entre les sexes dans plus de 25 ministères d</w:t>
      </w:r>
      <w:r w:rsidR="000A3D87">
        <w:rPr>
          <w:color w:val="333333"/>
          <w:lang w:val="fr-FR"/>
        </w:rPr>
        <w:t>’</w:t>
      </w:r>
      <w:r w:rsidR="003A6F57" w:rsidRPr="00E15507">
        <w:rPr>
          <w:color w:val="333333"/>
          <w:lang w:val="fr-FR"/>
        </w:rPr>
        <w:t>exécution et organismes, qui servent de points de contact pour ces questions au sein de leur secteur.</w:t>
      </w:r>
    </w:p>
    <w:p w:rsidR="00A05C4E" w:rsidRPr="00A05C4E" w:rsidRDefault="00A05C4E" w:rsidP="00A05C4E">
      <w:pPr>
        <w:pStyle w:val="SingleTxt"/>
        <w:spacing w:after="0" w:line="120" w:lineRule="exact"/>
        <w:rPr>
          <w:b/>
          <w:sz w:val="10"/>
          <w:lang w:val="fr-FR"/>
        </w:rPr>
      </w:pPr>
    </w:p>
    <w:p w:rsidR="003A6F57" w:rsidRDefault="00A05C4E" w:rsidP="00A05C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3A6F57" w:rsidRPr="00E15507">
        <w:rPr>
          <w:lang w:val="fr-FR"/>
        </w:rPr>
        <w:t xml:space="preserve">3.1 </w:t>
      </w:r>
      <w:r>
        <w:rPr>
          <w:lang w:val="fr-FR"/>
        </w:rPr>
        <w:tab/>
      </w:r>
      <w:r w:rsidR="003A6F57" w:rsidRPr="00E15507">
        <w:rPr>
          <w:lang w:val="fr-FR"/>
        </w:rPr>
        <w:t xml:space="preserve">Avancées enregistrées </w:t>
      </w:r>
    </w:p>
    <w:p w:rsidR="00A05C4E" w:rsidRPr="00A05C4E" w:rsidRDefault="00A05C4E" w:rsidP="00A05C4E">
      <w:pPr>
        <w:pStyle w:val="SingleTxt"/>
        <w:spacing w:after="0" w:line="120" w:lineRule="exact"/>
        <w:rPr>
          <w:sz w:val="10"/>
          <w:lang w:val="fr-FR"/>
        </w:rPr>
      </w:pPr>
    </w:p>
    <w:p w:rsidR="003A6F57" w:rsidRPr="00E15507" w:rsidRDefault="003A6F57" w:rsidP="00E15507">
      <w:pPr>
        <w:pStyle w:val="SingleTxt"/>
        <w:rPr>
          <w:lang w:val="fr-FR"/>
        </w:rPr>
      </w:pPr>
      <w:r w:rsidRPr="00E15507">
        <w:rPr>
          <w:b/>
          <w:bCs/>
          <w:lang w:val="fr-FR"/>
        </w:rPr>
        <w:t>3.1.1</w:t>
      </w:r>
      <w:r w:rsidRPr="00E15507">
        <w:rPr>
          <w:lang w:val="fr-FR"/>
        </w:rPr>
        <w:t xml:space="preserve"> En 2004, le Gouvernement fédéral a adopté la Stratégie nationale d</w:t>
      </w:r>
      <w:r w:rsidR="000A3D87">
        <w:rPr>
          <w:lang w:val="fr-FR"/>
        </w:rPr>
        <w:t>’</w:t>
      </w:r>
      <w:r w:rsidRPr="00E15507">
        <w:rPr>
          <w:lang w:val="fr-FR"/>
        </w:rPr>
        <w:t>autonomisation et de développement économiques (National Economic Empowerment and Development Strategy _ NEEDS) dont l</w:t>
      </w:r>
      <w:r w:rsidR="000A3D87">
        <w:rPr>
          <w:lang w:val="fr-FR"/>
        </w:rPr>
        <w:t>’</w:t>
      </w:r>
      <w:r w:rsidRPr="00E15507">
        <w:rPr>
          <w:lang w:val="fr-FR"/>
        </w:rPr>
        <w:t>orientation générale consiste à améliorer sensiblement la qualité de vie des Nigérians ainsi qu</w:t>
      </w:r>
      <w:r w:rsidR="000A3D87">
        <w:rPr>
          <w:lang w:val="fr-FR"/>
        </w:rPr>
        <w:t>’</w:t>
      </w:r>
      <w:r w:rsidRPr="00E15507">
        <w:rPr>
          <w:lang w:val="fr-FR"/>
        </w:rPr>
        <w:t>à créer des filets de sécurité sociale pour les groupes vulnérables, en particulier les femmes et les jeunes. NEEDS repose sur quatre axes stratégiques : réorienter les valeurs, réduire la pauvreté, créer la richesse et les emplois. À titre de complément nécessaire de NEEDS, les gouvernements des États et les administrations locales élaborent la Stratégie régionale d</w:t>
      </w:r>
      <w:r w:rsidR="000A3D87">
        <w:rPr>
          <w:lang w:val="fr-FR"/>
        </w:rPr>
        <w:t>’</w:t>
      </w:r>
      <w:r w:rsidRPr="00E15507">
        <w:rPr>
          <w:lang w:val="fr-FR"/>
        </w:rPr>
        <w:t>autonomisation et de développement économiques (SEEDS) et la Stratégie locale d</w:t>
      </w:r>
      <w:r w:rsidR="000A3D87">
        <w:rPr>
          <w:lang w:val="fr-FR"/>
        </w:rPr>
        <w:t>’</w:t>
      </w:r>
      <w:r w:rsidRPr="00E15507">
        <w:rPr>
          <w:lang w:val="fr-FR"/>
        </w:rPr>
        <w:t>autonomisation et de développement économiques (LEEDS) y compris celle du Territoire de la capitale fédérale, intitulée FEEDS. Les différents niveaux de l</w:t>
      </w:r>
      <w:r w:rsidR="000A3D87">
        <w:rPr>
          <w:lang w:val="fr-FR"/>
        </w:rPr>
        <w:t>’</w:t>
      </w:r>
      <w:r w:rsidRPr="00E15507">
        <w:rPr>
          <w:lang w:val="fr-FR"/>
        </w:rPr>
        <w:t>administration sont aussi encouragés à élaborer des plans de développement à moyen terme, en précisant les points de référence, les cibles, les résultats visés, les échéances et les guides d</w:t>
      </w:r>
      <w:r w:rsidR="000A3D87">
        <w:rPr>
          <w:lang w:val="fr-FR"/>
        </w:rPr>
        <w:t>’</w:t>
      </w:r>
      <w:r w:rsidRPr="00E15507">
        <w:rPr>
          <w:lang w:val="fr-FR"/>
        </w:rPr>
        <w:t>exécution. Ces plans viendront compléter les SEEDS et les NEEDS et reconnaissent dûment que des administrations locales efficaces sont indispensables pour réduire l</w:t>
      </w:r>
      <w:r w:rsidR="000A3D87">
        <w:rPr>
          <w:lang w:val="fr-FR"/>
        </w:rPr>
        <w:t>’</w:t>
      </w:r>
      <w:r w:rsidRPr="00E15507">
        <w:rPr>
          <w:lang w:val="fr-FR"/>
        </w:rPr>
        <w:t xml:space="preserve">utilisation inefficace des ressources ce qui est à son tour nécessaire au développement rural intégré et à la réduction de la pauvreté, en particulier chez les femmes. </w:t>
      </w:r>
    </w:p>
    <w:p w:rsidR="003A6F57" w:rsidRPr="00E15507" w:rsidRDefault="00A05C4E" w:rsidP="00E15507">
      <w:pPr>
        <w:pStyle w:val="SingleTxt"/>
        <w:rPr>
          <w:bCs/>
          <w:iCs/>
          <w:lang w:val="fr-FR"/>
        </w:rPr>
      </w:pPr>
      <w:r>
        <w:rPr>
          <w:lang w:val="fr-FR"/>
        </w:rPr>
        <w:tab/>
      </w:r>
      <w:r w:rsidR="003A6F57" w:rsidRPr="00E15507">
        <w:rPr>
          <w:lang w:val="fr-FR"/>
        </w:rPr>
        <w:t>La mise en œuvre des politiques à chaque niveau implique la prise en compte systématique du souci de l</w:t>
      </w:r>
      <w:r w:rsidR="000A3D87">
        <w:rPr>
          <w:lang w:val="fr-FR"/>
        </w:rPr>
        <w:t>’</w:t>
      </w:r>
      <w:r w:rsidR="003A6F57" w:rsidRPr="00E15507">
        <w:rPr>
          <w:lang w:val="fr-FR"/>
        </w:rPr>
        <w:t>égalité des sexes dans les interventions sociopolitiques et économiques pour réaliser la réduction des niveaux de pauvreté et de la discrimination à l</w:t>
      </w:r>
      <w:r w:rsidR="000A3D87">
        <w:rPr>
          <w:lang w:val="fr-FR"/>
        </w:rPr>
        <w:t>’</w:t>
      </w:r>
      <w:r w:rsidR="003A6F57" w:rsidRPr="00E15507">
        <w:rPr>
          <w:lang w:val="fr-FR"/>
        </w:rPr>
        <w:t>égard des femmes. Pour réaliser les composantes de l</w:t>
      </w:r>
      <w:r w:rsidR="000A3D87">
        <w:rPr>
          <w:lang w:val="fr-FR"/>
        </w:rPr>
        <w:t>’</w:t>
      </w:r>
      <w:r w:rsidR="003A6F57" w:rsidRPr="00E15507">
        <w:rPr>
          <w:lang w:val="fr-FR"/>
        </w:rPr>
        <w:t>objectif de NEEDS liées à l</w:t>
      </w:r>
      <w:r w:rsidR="000A3D87">
        <w:rPr>
          <w:lang w:val="fr-FR"/>
        </w:rPr>
        <w:t>’</w:t>
      </w:r>
      <w:r w:rsidR="003A6F57" w:rsidRPr="00E15507">
        <w:rPr>
          <w:lang w:val="fr-FR"/>
        </w:rPr>
        <w:t xml:space="preserve">égalité des sexes, le </w:t>
      </w:r>
      <w:r w:rsidR="003A6F57" w:rsidRPr="00E15507">
        <w:rPr>
          <w:bCs/>
          <w:iCs/>
          <w:lang w:val="fr-FR"/>
        </w:rPr>
        <w:t>Gouvernement, en collaboration avec les partenaires de développement, a montré sa détermination à atteindre les OMD et à promouvoir un développement durable axé sur les populations. Les initiatives de réforme au titre de SEEDS et de FEEDS respectivement au niveau des États et du Territoire de la capitale fédérale, visent à réaliser les OMD et traduisent les implications, les résultats et l</w:t>
      </w:r>
      <w:r w:rsidR="000A3D87">
        <w:rPr>
          <w:bCs/>
          <w:iCs/>
          <w:lang w:val="fr-FR"/>
        </w:rPr>
        <w:t>’</w:t>
      </w:r>
      <w:r w:rsidR="003A6F57" w:rsidRPr="00E15507">
        <w:rPr>
          <w:bCs/>
          <w:iCs/>
          <w:lang w:val="fr-FR"/>
        </w:rPr>
        <w:t>impact des politiques et programmes du point de vue de l</w:t>
      </w:r>
      <w:r w:rsidR="000A3D87">
        <w:rPr>
          <w:bCs/>
          <w:iCs/>
          <w:lang w:val="fr-FR"/>
        </w:rPr>
        <w:t>’</w:t>
      </w:r>
      <w:r w:rsidR="003A6F57" w:rsidRPr="00E15507">
        <w:rPr>
          <w:bCs/>
          <w:iCs/>
          <w:lang w:val="fr-FR"/>
        </w:rPr>
        <w:t>égalité des sexes.</w:t>
      </w:r>
    </w:p>
    <w:p w:rsidR="003A6F57" w:rsidRPr="00E15507" w:rsidRDefault="003A6F57" w:rsidP="00E15507">
      <w:pPr>
        <w:pStyle w:val="SingleTxt"/>
        <w:rPr>
          <w:lang w:val="fr-FR"/>
        </w:rPr>
      </w:pPr>
      <w:r w:rsidRPr="00E15507">
        <w:rPr>
          <w:lang w:val="fr-FR"/>
        </w:rPr>
        <w:t>3</w:t>
      </w:r>
      <w:r w:rsidRPr="00E15507">
        <w:rPr>
          <w:b/>
          <w:bCs/>
          <w:lang w:val="fr-FR"/>
        </w:rPr>
        <w:t>.1.2</w:t>
      </w:r>
      <w:r w:rsidRPr="00E15507">
        <w:rPr>
          <w:lang w:val="fr-FR"/>
        </w:rPr>
        <w:t xml:space="preserve"> </w:t>
      </w:r>
      <w:r w:rsidR="00A05C4E">
        <w:rPr>
          <w:lang w:val="fr-FR"/>
        </w:rPr>
        <w:t xml:space="preserve"> </w:t>
      </w:r>
      <w:r w:rsidRPr="00E15507">
        <w:rPr>
          <w:lang w:val="fr-FR"/>
        </w:rPr>
        <w:t>Au cours de la période de neuf mois qui a précédé la rédaction du présent rapport, la ministre de la Promotion de la femme a effectué des visites de sensibilisation dans 20 États sur les 36 que compte la Fédération en vue de concertations avec les gouverneurs des États, les membres des Assemblées législatives, les chefs suprêmes/conseils traditionnels/gardiens et organisations de la société civile axées sur les femmes. L</w:t>
      </w:r>
      <w:r w:rsidR="000A3D87">
        <w:rPr>
          <w:lang w:val="fr-FR"/>
        </w:rPr>
        <w:t>’</w:t>
      </w:r>
      <w:r w:rsidRPr="00E15507">
        <w:rPr>
          <w:lang w:val="fr-FR"/>
        </w:rPr>
        <w:t>objectif de ces concertations consistait à plaider en faveur des questions et des préoccupations d</w:t>
      </w:r>
      <w:r w:rsidR="000A3D87">
        <w:rPr>
          <w:lang w:val="fr-FR"/>
        </w:rPr>
        <w:t>’</w:t>
      </w:r>
      <w:r w:rsidRPr="00E15507">
        <w:rPr>
          <w:lang w:val="fr-FR"/>
        </w:rPr>
        <w:t>égalité des sexes, plus particulièrement concernant l</w:t>
      </w:r>
      <w:r w:rsidR="000A3D87">
        <w:rPr>
          <w:lang w:val="fr-FR"/>
        </w:rPr>
        <w:t>’</w:t>
      </w:r>
      <w:r w:rsidRPr="00E15507">
        <w:rPr>
          <w:lang w:val="fr-FR"/>
        </w:rPr>
        <w:t>adoption de la Loi sur les droits de l</w:t>
      </w:r>
      <w:r w:rsidR="000A3D87">
        <w:rPr>
          <w:lang w:val="fr-FR"/>
        </w:rPr>
        <w:t>’</w:t>
      </w:r>
      <w:r w:rsidRPr="00E15507">
        <w:rPr>
          <w:lang w:val="fr-FR"/>
        </w:rPr>
        <w:t>enfant, le renforcement de la participation politique des femmes et de leur représentation au niveau de la prise de décision ainsi que l</w:t>
      </w:r>
      <w:r w:rsidR="000A3D87">
        <w:rPr>
          <w:lang w:val="fr-FR"/>
        </w:rPr>
        <w:t>’</w:t>
      </w:r>
      <w:r w:rsidRPr="00E15507">
        <w:rPr>
          <w:lang w:val="fr-FR"/>
        </w:rPr>
        <w:t>augmentation des ressources consacrées aux questions de développement concernant les enfants et des femmes, entre autres. Cette initiative a abouti à l</w:t>
      </w:r>
      <w:r w:rsidR="000A3D87">
        <w:rPr>
          <w:lang w:val="fr-FR"/>
        </w:rPr>
        <w:t>’</w:t>
      </w:r>
      <w:r w:rsidRPr="00E15507">
        <w:rPr>
          <w:lang w:val="fr-FR"/>
        </w:rPr>
        <w:t>amélioration de l</w:t>
      </w:r>
      <w:r w:rsidR="000A3D87">
        <w:rPr>
          <w:lang w:val="fr-FR"/>
        </w:rPr>
        <w:t>’</w:t>
      </w:r>
      <w:r w:rsidRPr="00E15507">
        <w:rPr>
          <w:lang w:val="fr-FR"/>
        </w:rPr>
        <w:t xml:space="preserve">environnement de travail des ministères étatiques de la Condition de la femme et une augmentation des crédits budgétaires alloués aux questions de développement concernant les enfants et les femmes. </w:t>
      </w:r>
    </w:p>
    <w:p w:rsidR="003A6F57" w:rsidRPr="00E15507" w:rsidRDefault="003A6F57" w:rsidP="00E15507">
      <w:pPr>
        <w:pStyle w:val="SingleTxt"/>
        <w:rPr>
          <w:lang w:val="fr-FR"/>
        </w:rPr>
      </w:pPr>
      <w:r w:rsidRPr="00E15507">
        <w:rPr>
          <w:b/>
          <w:bCs/>
          <w:lang w:val="fr-FR"/>
        </w:rPr>
        <w:t xml:space="preserve">3.1.3 </w:t>
      </w:r>
      <w:r w:rsidR="00A05C4E">
        <w:rPr>
          <w:b/>
          <w:bCs/>
          <w:lang w:val="fr-FR"/>
        </w:rPr>
        <w:t xml:space="preserve"> </w:t>
      </w:r>
      <w:r w:rsidRPr="00E15507">
        <w:rPr>
          <w:lang w:val="fr-FR"/>
        </w:rPr>
        <w:t>De 2003 à 2006, de nombreuses femmes ont été sensibilisées et mobilisées pour la défense de leurs droits. Les groupes de défense des droits de l</w:t>
      </w:r>
      <w:r w:rsidR="000A3D87">
        <w:rPr>
          <w:lang w:val="fr-FR"/>
        </w:rPr>
        <w:t>’</w:t>
      </w:r>
      <w:r w:rsidRPr="00E15507">
        <w:rPr>
          <w:lang w:val="fr-FR"/>
        </w:rPr>
        <w:t>homme et la coalition des ONG de femmes sont à l</w:t>
      </w:r>
      <w:r w:rsidR="000A3D87">
        <w:rPr>
          <w:lang w:val="fr-FR"/>
        </w:rPr>
        <w:t>’</w:t>
      </w:r>
      <w:r w:rsidRPr="00E15507">
        <w:rPr>
          <w:lang w:val="fr-FR"/>
        </w:rPr>
        <w:t>avant-garde de la croisade en faveur de l</w:t>
      </w:r>
      <w:r w:rsidR="000A3D87">
        <w:rPr>
          <w:lang w:val="fr-FR"/>
        </w:rPr>
        <w:t>’</w:t>
      </w:r>
      <w:r w:rsidRPr="00E15507">
        <w:rPr>
          <w:lang w:val="fr-FR"/>
        </w:rPr>
        <w:t>amélioration de la réaction législative et administrative aux questions de discrimination à l</w:t>
      </w:r>
      <w:r w:rsidR="000A3D87">
        <w:rPr>
          <w:lang w:val="fr-FR"/>
        </w:rPr>
        <w:t>’</w:t>
      </w:r>
      <w:r w:rsidRPr="00E15507">
        <w:rPr>
          <w:lang w:val="fr-FR"/>
        </w:rPr>
        <w:t>égard des femmes.</w:t>
      </w:r>
    </w:p>
    <w:p w:rsidR="003A6F57" w:rsidRPr="00E15507" w:rsidRDefault="00A05C4E" w:rsidP="00E15507">
      <w:pPr>
        <w:pStyle w:val="SingleTxt"/>
        <w:rPr>
          <w:lang w:val="fr-FR"/>
        </w:rPr>
      </w:pPr>
      <w:r>
        <w:rPr>
          <w:lang w:val="fr-FR"/>
        </w:rPr>
        <w:tab/>
      </w:r>
      <w:r w:rsidR="003A6F57" w:rsidRPr="00E15507">
        <w:rPr>
          <w:lang w:val="fr-FR"/>
        </w:rPr>
        <w:t>Dans la région du Sud-est du pays, la participation des femmes à la prise de décision aux différents niveaux de la gouvernance a fait des progrès notables. Pour la première fois de l</w:t>
      </w:r>
      <w:r w:rsidR="000A3D87">
        <w:rPr>
          <w:lang w:val="fr-FR"/>
        </w:rPr>
        <w:t>’</w:t>
      </w:r>
      <w:r w:rsidR="003A6F57" w:rsidRPr="00E15507">
        <w:rPr>
          <w:lang w:val="fr-FR"/>
        </w:rPr>
        <w:t xml:space="preserve">histoire, des femmes sont nommées au </w:t>
      </w:r>
      <w:r w:rsidR="00D17E6C">
        <w:rPr>
          <w:lang w:val="fr-FR"/>
        </w:rPr>
        <w:t>“ </w:t>
      </w:r>
      <w:r w:rsidR="003A6F57" w:rsidRPr="00E15507">
        <w:rPr>
          <w:lang w:val="fr-FR"/>
        </w:rPr>
        <w:t>conseil des chefs traditionnels</w:t>
      </w:r>
      <w:r w:rsidR="000A3D87">
        <w:rPr>
          <w:lang w:val="fr-FR"/>
        </w:rPr>
        <w:t> »</w:t>
      </w:r>
      <w:r w:rsidR="003A6F57" w:rsidRPr="00E15507">
        <w:rPr>
          <w:lang w:val="fr-FR"/>
        </w:rPr>
        <w:t>. C</w:t>
      </w:r>
      <w:r w:rsidR="000A3D87">
        <w:rPr>
          <w:lang w:val="fr-FR"/>
        </w:rPr>
        <w:t>’</w:t>
      </w:r>
      <w:r w:rsidR="003A6F57" w:rsidRPr="00E15507">
        <w:rPr>
          <w:lang w:val="fr-FR"/>
        </w:rPr>
        <w:t>est notamment le cas du conseil de Igwe dans l</w:t>
      </w:r>
      <w:r w:rsidR="000A3D87">
        <w:rPr>
          <w:lang w:val="fr-FR"/>
        </w:rPr>
        <w:t>’</w:t>
      </w:r>
      <w:r w:rsidR="003A6F57" w:rsidRPr="00E15507">
        <w:rPr>
          <w:lang w:val="fr-FR"/>
        </w:rPr>
        <w:t>Est et de certains conseils traditionnels dans les régions Nord du pays.</w:t>
      </w:r>
    </w:p>
    <w:p w:rsidR="003A6F57" w:rsidRPr="00E15507" w:rsidRDefault="003A6F57" w:rsidP="00E15507">
      <w:pPr>
        <w:pStyle w:val="SingleTxt"/>
        <w:rPr>
          <w:lang w:val="fr-FR"/>
        </w:rPr>
      </w:pPr>
      <w:r w:rsidRPr="00E15507">
        <w:rPr>
          <w:b/>
          <w:bCs/>
          <w:lang w:val="fr-FR"/>
        </w:rPr>
        <w:t xml:space="preserve">3.1.4 </w:t>
      </w:r>
      <w:r w:rsidR="00C64681">
        <w:rPr>
          <w:b/>
          <w:bCs/>
          <w:lang w:val="fr-FR"/>
        </w:rPr>
        <w:t xml:space="preserve"> </w:t>
      </w:r>
      <w:r w:rsidRPr="00E15507">
        <w:rPr>
          <w:lang w:val="fr-FR"/>
        </w:rPr>
        <w:t>En outre, dans le Nord du Nigéria, on assiste à une multiplication de campagnes de sensibilisation des femmes musulmanes menées par des ONG bien connues telles que FOMWAN et Baobab pour les droits humains des femmes aux différences entre les pratiques culturelles et les principes islamiques. Ces campagnes visent à appeler l</w:t>
      </w:r>
      <w:r w:rsidR="000A3D87">
        <w:rPr>
          <w:lang w:val="fr-FR"/>
        </w:rPr>
        <w:t>’</w:t>
      </w:r>
      <w:r w:rsidRPr="00E15507">
        <w:rPr>
          <w:lang w:val="fr-FR"/>
        </w:rPr>
        <w:t>attention des femmes musulmanes sur les faits ci-après :</w:t>
      </w:r>
    </w:p>
    <w:p w:rsidR="003A6F57" w:rsidRPr="00E15507" w:rsidRDefault="003A6F57" w:rsidP="009546E1">
      <w:pPr>
        <w:pStyle w:val="SingleTxt"/>
        <w:numPr>
          <w:ilvl w:val="2"/>
          <w:numId w:val="9"/>
        </w:numPr>
        <w:tabs>
          <w:tab w:val="clear" w:pos="1742"/>
          <w:tab w:val="clear" w:pos="2218"/>
          <w:tab w:val="clear" w:pos="3427"/>
          <w:tab w:val="left" w:pos="1800"/>
        </w:tabs>
        <w:ind w:left="1800" w:hanging="540"/>
        <w:rPr>
          <w:b/>
          <w:bCs/>
          <w:lang w:val="fr-FR"/>
        </w:rPr>
      </w:pPr>
      <w:r w:rsidRPr="00E15507">
        <w:rPr>
          <w:b/>
          <w:bCs/>
          <w:lang w:val="fr-FR"/>
        </w:rPr>
        <w:t>L</w:t>
      </w:r>
      <w:r w:rsidR="000A3D87">
        <w:rPr>
          <w:b/>
          <w:bCs/>
          <w:lang w:val="fr-FR"/>
        </w:rPr>
        <w:t>’</w:t>
      </w:r>
      <w:r w:rsidRPr="00E15507">
        <w:rPr>
          <w:b/>
          <w:bCs/>
          <w:lang w:val="fr-FR"/>
        </w:rPr>
        <w:t>islam garantit la protection des droits civils, sociaux et économiques d</w:t>
      </w:r>
      <w:r w:rsidR="000A3D87">
        <w:rPr>
          <w:b/>
          <w:bCs/>
          <w:lang w:val="fr-FR"/>
        </w:rPr>
        <w:t>’</w:t>
      </w:r>
      <w:r w:rsidRPr="00E15507">
        <w:rPr>
          <w:b/>
          <w:bCs/>
          <w:lang w:val="fr-FR"/>
        </w:rPr>
        <w:t>une femme musulmane,</w:t>
      </w:r>
    </w:p>
    <w:p w:rsidR="003A6F57" w:rsidRPr="00E15507" w:rsidRDefault="003A6F57" w:rsidP="009546E1">
      <w:pPr>
        <w:pStyle w:val="SingleTxt"/>
        <w:numPr>
          <w:ilvl w:val="2"/>
          <w:numId w:val="9"/>
        </w:numPr>
        <w:tabs>
          <w:tab w:val="clear" w:pos="1742"/>
          <w:tab w:val="clear" w:pos="2218"/>
          <w:tab w:val="clear" w:pos="3427"/>
          <w:tab w:val="left" w:pos="1800"/>
        </w:tabs>
        <w:ind w:left="1800" w:hanging="540"/>
        <w:rPr>
          <w:lang w:val="fr-FR"/>
        </w:rPr>
      </w:pPr>
      <w:r w:rsidRPr="00E15507">
        <w:rPr>
          <w:b/>
          <w:bCs/>
          <w:lang w:val="fr-FR"/>
        </w:rPr>
        <w:t>La loi islamique stipule qu</w:t>
      </w:r>
      <w:r w:rsidR="000A3D87">
        <w:rPr>
          <w:b/>
          <w:bCs/>
          <w:lang w:val="fr-FR"/>
        </w:rPr>
        <w:t>’</w:t>
      </w:r>
      <w:r w:rsidRPr="00E15507">
        <w:rPr>
          <w:b/>
          <w:bCs/>
          <w:lang w:val="fr-FR"/>
        </w:rPr>
        <w:t>une femme musulmane a une personnalité indépendante qui est égale à celle de l</w:t>
      </w:r>
      <w:r w:rsidR="000A3D87">
        <w:rPr>
          <w:b/>
          <w:bCs/>
          <w:lang w:val="fr-FR"/>
        </w:rPr>
        <w:t>’</w:t>
      </w:r>
      <w:r w:rsidRPr="00E15507">
        <w:rPr>
          <w:b/>
          <w:bCs/>
          <w:lang w:val="fr-FR"/>
        </w:rPr>
        <w:t>homme dans l</w:t>
      </w:r>
      <w:r w:rsidR="000A3D87">
        <w:rPr>
          <w:b/>
          <w:bCs/>
          <w:lang w:val="fr-FR"/>
        </w:rPr>
        <w:t>’</w:t>
      </w:r>
      <w:r w:rsidRPr="00E15507">
        <w:rPr>
          <w:b/>
          <w:bCs/>
          <w:lang w:val="fr-FR"/>
        </w:rPr>
        <w:t>accomplissement des devoirs religieux, et</w:t>
      </w:r>
    </w:p>
    <w:p w:rsidR="003A6F57" w:rsidRPr="00C64681" w:rsidRDefault="003A6F57" w:rsidP="009546E1">
      <w:pPr>
        <w:pStyle w:val="SingleTxt"/>
        <w:numPr>
          <w:ilvl w:val="2"/>
          <w:numId w:val="9"/>
        </w:numPr>
        <w:tabs>
          <w:tab w:val="clear" w:pos="1742"/>
          <w:tab w:val="clear" w:pos="2218"/>
          <w:tab w:val="clear" w:pos="3427"/>
          <w:tab w:val="left" w:pos="1800"/>
        </w:tabs>
        <w:ind w:left="1800" w:hanging="540"/>
        <w:rPr>
          <w:lang w:val="fr-FR"/>
        </w:rPr>
      </w:pPr>
      <w:r w:rsidRPr="00E15507">
        <w:rPr>
          <w:b/>
          <w:bCs/>
          <w:lang w:val="fr-FR"/>
        </w:rPr>
        <w:t>L</w:t>
      </w:r>
      <w:r w:rsidR="000A3D87">
        <w:rPr>
          <w:b/>
          <w:bCs/>
          <w:lang w:val="fr-FR"/>
        </w:rPr>
        <w:t>’</w:t>
      </w:r>
      <w:r w:rsidRPr="00E15507">
        <w:rPr>
          <w:b/>
          <w:bCs/>
          <w:lang w:val="fr-FR"/>
        </w:rPr>
        <w:t>islam reconnaît que la femme musulmane exerce un contrôle plein et total sur ses propres biens, tout comme elle est libre de choisir son partenaire et a le droit de demander le divorce.</w:t>
      </w:r>
    </w:p>
    <w:p w:rsidR="00C64681" w:rsidRPr="00C64681" w:rsidRDefault="00C64681" w:rsidP="00C64681">
      <w:pPr>
        <w:pStyle w:val="SingleTxt"/>
        <w:spacing w:after="0" w:line="120" w:lineRule="exact"/>
        <w:rPr>
          <w:sz w:val="10"/>
          <w:lang w:val="fr-FR"/>
        </w:rPr>
      </w:pPr>
      <w:r>
        <w:rPr>
          <w:sz w:val="10"/>
          <w:lang w:val="fr-FR"/>
        </w:rPr>
        <w:tab/>
      </w:r>
      <w:r>
        <w:rPr>
          <w:sz w:val="10"/>
          <w:lang w:val="fr-FR"/>
        </w:rPr>
        <w:tab/>
      </w:r>
    </w:p>
    <w:p w:rsidR="003A6F57" w:rsidRDefault="00C64681" w:rsidP="00C646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3A6F57" w:rsidRPr="00E15507">
        <w:rPr>
          <w:lang w:val="fr-FR"/>
        </w:rPr>
        <w:t xml:space="preserve">3.2 </w:t>
      </w:r>
      <w:r w:rsidR="003A6F57" w:rsidRPr="00E15507">
        <w:rPr>
          <w:lang w:val="fr-FR"/>
        </w:rPr>
        <w:tab/>
        <w:t>Progrès accomplis dans la prise en compte systématique du souci de l</w:t>
      </w:r>
      <w:r w:rsidR="000A3D87">
        <w:rPr>
          <w:lang w:val="fr-FR"/>
        </w:rPr>
        <w:t>’</w:t>
      </w:r>
      <w:r w:rsidR="003A6F57" w:rsidRPr="00E15507">
        <w:rPr>
          <w:lang w:val="fr-FR"/>
        </w:rPr>
        <w:t>égalité des sexes dans les mesures visant à réaliser les OMD et le programme de réformes</w:t>
      </w:r>
    </w:p>
    <w:p w:rsidR="00C64681" w:rsidRPr="00C64681" w:rsidRDefault="00C64681" w:rsidP="00C64681">
      <w:pPr>
        <w:pStyle w:val="SingleTxt"/>
        <w:spacing w:after="0" w:line="120" w:lineRule="exact"/>
        <w:rPr>
          <w:sz w:val="10"/>
          <w:lang w:val="fr-FR"/>
        </w:rPr>
      </w:pPr>
    </w:p>
    <w:p w:rsidR="003A6F57" w:rsidRPr="00E15507" w:rsidRDefault="003A6F57" w:rsidP="00E15507">
      <w:pPr>
        <w:pStyle w:val="SingleTxt"/>
        <w:rPr>
          <w:bCs/>
          <w:iCs/>
          <w:lang w:val="fr-FR"/>
        </w:rPr>
      </w:pPr>
      <w:r w:rsidRPr="00E15507">
        <w:rPr>
          <w:b/>
          <w:iCs/>
          <w:lang w:val="fr-FR"/>
        </w:rPr>
        <w:t>3.2.1</w:t>
      </w:r>
      <w:r w:rsidRPr="00E15507">
        <w:rPr>
          <w:bCs/>
          <w:iCs/>
          <w:lang w:val="fr-FR"/>
        </w:rPr>
        <w:t xml:space="preserve"> </w:t>
      </w:r>
      <w:r w:rsidR="00C64681">
        <w:rPr>
          <w:bCs/>
          <w:iCs/>
          <w:lang w:val="fr-FR"/>
        </w:rPr>
        <w:t xml:space="preserve"> </w:t>
      </w:r>
      <w:r w:rsidRPr="00E15507">
        <w:rPr>
          <w:bCs/>
          <w:iCs/>
          <w:lang w:val="fr-FR"/>
        </w:rPr>
        <w:t>L</w:t>
      </w:r>
      <w:r w:rsidR="000A3D87">
        <w:rPr>
          <w:bCs/>
          <w:iCs/>
          <w:lang w:val="fr-FR"/>
        </w:rPr>
        <w:t>’</w:t>
      </w:r>
      <w:r w:rsidRPr="00E15507">
        <w:rPr>
          <w:bCs/>
          <w:iCs/>
          <w:lang w:val="fr-FR"/>
        </w:rPr>
        <w:t>objectif 3 des OMD consiste à promouvoir l</w:t>
      </w:r>
      <w:r w:rsidR="000A3D87">
        <w:rPr>
          <w:bCs/>
          <w:iCs/>
          <w:lang w:val="fr-FR"/>
        </w:rPr>
        <w:t>’</w:t>
      </w:r>
      <w:r w:rsidRPr="00E15507">
        <w:rPr>
          <w:bCs/>
          <w:iCs/>
          <w:lang w:val="fr-FR"/>
        </w:rPr>
        <w:t>égalité des sexes et la démarginalisation des femmes. Toutefois, il est reconnu que les questions d</w:t>
      </w:r>
      <w:r w:rsidR="000A3D87">
        <w:rPr>
          <w:bCs/>
          <w:iCs/>
          <w:lang w:val="fr-FR"/>
        </w:rPr>
        <w:t>’</w:t>
      </w:r>
      <w:r w:rsidRPr="00E15507">
        <w:rPr>
          <w:bCs/>
          <w:iCs/>
          <w:lang w:val="fr-FR"/>
        </w:rPr>
        <w:t>égalité des sexes occupent une place centrale dans la réalisation de tous les autres objectifs et cibles des OMD, par l</w:t>
      </w:r>
      <w:r w:rsidR="000A3D87">
        <w:rPr>
          <w:bCs/>
          <w:iCs/>
          <w:lang w:val="fr-FR"/>
        </w:rPr>
        <w:t>’</w:t>
      </w:r>
      <w:r w:rsidRPr="00E15507">
        <w:rPr>
          <w:bCs/>
          <w:iCs/>
          <w:lang w:val="fr-FR"/>
        </w:rPr>
        <w:t>affectation d</w:t>
      </w:r>
      <w:r w:rsidR="000A3D87">
        <w:rPr>
          <w:bCs/>
          <w:iCs/>
          <w:lang w:val="fr-FR"/>
        </w:rPr>
        <w:t>’</w:t>
      </w:r>
      <w:r w:rsidRPr="00E15507">
        <w:rPr>
          <w:bCs/>
          <w:iCs/>
          <w:lang w:val="fr-FR"/>
        </w:rPr>
        <w:t xml:space="preserve">un montant sans précédent de 1 milliard de naira (environ 8 millions de dollars) aux initiatives suivantes : </w:t>
      </w:r>
    </w:p>
    <w:p w:rsidR="003A6F57" w:rsidRPr="00E15507" w:rsidRDefault="003A6F57" w:rsidP="009546E1">
      <w:pPr>
        <w:pStyle w:val="SingleTxt"/>
        <w:numPr>
          <w:ilvl w:val="2"/>
          <w:numId w:val="10"/>
        </w:numPr>
        <w:tabs>
          <w:tab w:val="clear" w:pos="1742"/>
          <w:tab w:val="clear" w:pos="3427"/>
          <w:tab w:val="left" w:pos="1800"/>
        </w:tabs>
        <w:ind w:left="1800" w:hanging="540"/>
        <w:jc w:val="left"/>
        <w:rPr>
          <w:b/>
          <w:iCs/>
          <w:lang w:val="fr-FR"/>
        </w:rPr>
      </w:pPr>
      <w:r w:rsidRPr="00E15507">
        <w:rPr>
          <w:b/>
          <w:iCs/>
          <w:lang w:val="fr-FR"/>
        </w:rPr>
        <w:t>Renforcement des capacités concernant l</w:t>
      </w:r>
      <w:r w:rsidR="000A3D87">
        <w:rPr>
          <w:b/>
          <w:iCs/>
          <w:lang w:val="fr-FR"/>
        </w:rPr>
        <w:t>’</w:t>
      </w:r>
      <w:r w:rsidRPr="00E15507">
        <w:rPr>
          <w:b/>
          <w:iCs/>
          <w:lang w:val="fr-FR"/>
        </w:rPr>
        <w:t>égalité des sexes dans tous les secteurs</w:t>
      </w:r>
    </w:p>
    <w:p w:rsidR="003A6F57" w:rsidRPr="00E15507" w:rsidRDefault="003A6F57" w:rsidP="009546E1">
      <w:pPr>
        <w:pStyle w:val="SingleTxt"/>
        <w:numPr>
          <w:ilvl w:val="2"/>
          <w:numId w:val="10"/>
        </w:numPr>
        <w:tabs>
          <w:tab w:val="clear" w:pos="1742"/>
          <w:tab w:val="clear" w:pos="3427"/>
          <w:tab w:val="left" w:pos="1800"/>
        </w:tabs>
        <w:ind w:left="1800" w:hanging="540"/>
        <w:jc w:val="left"/>
        <w:rPr>
          <w:b/>
          <w:iCs/>
          <w:lang w:val="fr-FR"/>
        </w:rPr>
      </w:pPr>
      <w:r w:rsidRPr="00E15507">
        <w:rPr>
          <w:b/>
          <w:iCs/>
          <w:lang w:val="fr-FR"/>
        </w:rPr>
        <w:t>Élaboration d</w:t>
      </w:r>
      <w:r w:rsidR="000A3D87">
        <w:rPr>
          <w:b/>
          <w:iCs/>
          <w:lang w:val="fr-FR"/>
        </w:rPr>
        <w:t>’</w:t>
      </w:r>
      <w:r w:rsidRPr="00E15507">
        <w:rPr>
          <w:b/>
          <w:iCs/>
          <w:lang w:val="fr-FR"/>
        </w:rPr>
        <w:t>indicateurs pour évaluer les résultats en matière d</w:t>
      </w:r>
      <w:r w:rsidR="000A3D87">
        <w:rPr>
          <w:b/>
          <w:iCs/>
          <w:lang w:val="fr-FR"/>
        </w:rPr>
        <w:t>’</w:t>
      </w:r>
      <w:r w:rsidRPr="00E15507">
        <w:rPr>
          <w:b/>
          <w:iCs/>
          <w:lang w:val="fr-FR"/>
        </w:rPr>
        <w:t>égalité des sexes dans le cadre de la programmation future des OMD</w:t>
      </w:r>
    </w:p>
    <w:p w:rsidR="003A6F57" w:rsidRPr="00E15507" w:rsidRDefault="003A6F57" w:rsidP="009546E1">
      <w:pPr>
        <w:pStyle w:val="SingleTxt"/>
        <w:numPr>
          <w:ilvl w:val="2"/>
          <w:numId w:val="10"/>
        </w:numPr>
        <w:tabs>
          <w:tab w:val="clear" w:pos="1742"/>
          <w:tab w:val="clear" w:pos="3427"/>
          <w:tab w:val="left" w:pos="1800"/>
        </w:tabs>
        <w:ind w:hanging="2167"/>
        <w:jc w:val="left"/>
        <w:rPr>
          <w:b/>
          <w:iCs/>
          <w:lang w:val="fr-FR"/>
        </w:rPr>
      </w:pPr>
      <w:r w:rsidRPr="00E15507">
        <w:rPr>
          <w:b/>
          <w:iCs/>
          <w:lang w:val="fr-FR"/>
        </w:rPr>
        <w:t>Facilitation de l</w:t>
      </w:r>
      <w:r w:rsidR="000A3D87">
        <w:rPr>
          <w:b/>
          <w:iCs/>
          <w:lang w:val="fr-FR"/>
        </w:rPr>
        <w:t>’</w:t>
      </w:r>
      <w:r w:rsidRPr="00E15507">
        <w:rPr>
          <w:b/>
          <w:iCs/>
          <w:lang w:val="fr-FR"/>
        </w:rPr>
        <w:t>intégration de la Convention à la législation nationale</w:t>
      </w:r>
    </w:p>
    <w:p w:rsidR="003A6F57" w:rsidRPr="00E15507" w:rsidRDefault="003A6F57" w:rsidP="009546E1">
      <w:pPr>
        <w:pStyle w:val="SingleTxt"/>
        <w:numPr>
          <w:ilvl w:val="2"/>
          <w:numId w:val="10"/>
        </w:numPr>
        <w:tabs>
          <w:tab w:val="clear" w:pos="1742"/>
          <w:tab w:val="clear" w:pos="3427"/>
          <w:tab w:val="left" w:pos="1800"/>
        </w:tabs>
        <w:ind w:hanging="2167"/>
        <w:jc w:val="left"/>
        <w:rPr>
          <w:b/>
          <w:iCs/>
          <w:lang w:val="fr-FR"/>
        </w:rPr>
      </w:pPr>
      <w:r w:rsidRPr="00E15507">
        <w:rPr>
          <w:b/>
          <w:iCs/>
          <w:lang w:val="fr-FR"/>
        </w:rPr>
        <w:t>Réexamen de la politique nationale sur l</w:t>
      </w:r>
      <w:r w:rsidR="000A3D87">
        <w:rPr>
          <w:b/>
          <w:iCs/>
          <w:lang w:val="fr-FR"/>
        </w:rPr>
        <w:t>’</w:t>
      </w:r>
      <w:r w:rsidRPr="00E15507">
        <w:rPr>
          <w:b/>
          <w:iCs/>
          <w:lang w:val="fr-FR"/>
        </w:rPr>
        <w:t>égalité des sexes</w:t>
      </w:r>
    </w:p>
    <w:p w:rsidR="003A6F57" w:rsidRPr="00E15507" w:rsidRDefault="003A6F57" w:rsidP="009546E1">
      <w:pPr>
        <w:pStyle w:val="SingleTxt"/>
        <w:numPr>
          <w:ilvl w:val="2"/>
          <w:numId w:val="10"/>
        </w:numPr>
        <w:tabs>
          <w:tab w:val="clear" w:pos="1742"/>
          <w:tab w:val="clear" w:pos="3427"/>
          <w:tab w:val="left" w:pos="1800"/>
        </w:tabs>
        <w:ind w:hanging="2167"/>
        <w:jc w:val="left"/>
        <w:rPr>
          <w:b/>
          <w:iCs/>
          <w:lang w:val="fr-FR"/>
        </w:rPr>
      </w:pPr>
      <w:r w:rsidRPr="00E15507">
        <w:rPr>
          <w:b/>
          <w:iCs/>
          <w:lang w:val="fr-FR"/>
        </w:rPr>
        <w:t xml:space="preserve">Repositionnement du Centre national de promotion de la femme et </w:t>
      </w:r>
    </w:p>
    <w:p w:rsidR="003A6F57" w:rsidRPr="00E15507" w:rsidRDefault="003A6F57" w:rsidP="009546E1">
      <w:pPr>
        <w:pStyle w:val="SingleTxt"/>
        <w:numPr>
          <w:ilvl w:val="2"/>
          <w:numId w:val="10"/>
        </w:numPr>
        <w:tabs>
          <w:tab w:val="clear" w:pos="1742"/>
          <w:tab w:val="clear" w:pos="3427"/>
          <w:tab w:val="left" w:pos="1800"/>
        </w:tabs>
        <w:ind w:left="1800" w:hanging="540"/>
        <w:jc w:val="left"/>
        <w:rPr>
          <w:b/>
          <w:iCs/>
          <w:lang w:val="fr-FR"/>
        </w:rPr>
      </w:pPr>
      <w:r w:rsidRPr="00E15507">
        <w:rPr>
          <w:b/>
          <w:iCs/>
          <w:lang w:val="fr-FR"/>
        </w:rPr>
        <w:t>Mobilisation des femmes pour la participation à la vie politique.</w:t>
      </w:r>
    </w:p>
    <w:p w:rsidR="003A6F57" w:rsidRPr="00E15507" w:rsidRDefault="003A6F57" w:rsidP="00E15507">
      <w:pPr>
        <w:pStyle w:val="SingleTxt"/>
        <w:rPr>
          <w:bCs/>
          <w:iCs/>
          <w:lang w:val="fr-FR"/>
        </w:rPr>
      </w:pPr>
      <w:r w:rsidRPr="00E15507">
        <w:rPr>
          <w:b/>
          <w:iCs/>
          <w:lang w:val="fr-FR"/>
        </w:rPr>
        <w:t>3.2.2</w:t>
      </w:r>
      <w:r w:rsidRPr="00E15507">
        <w:rPr>
          <w:bCs/>
          <w:iCs/>
          <w:lang w:val="fr-FR"/>
        </w:rPr>
        <w:t xml:space="preserve"> </w:t>
      </w:r>
      <w:r w:rsidR="00C64681">
        <w:rPr>
          <w:bCs/>
          <w:iCs/>
          <w:lang w:val="fr-FR"/>
        </w:rPr>
        <w:t xml:space="preserve"> </w:t>
      </w:r>
      <w:r w:rsidRPr="00E15507">
        <w:rPr>
          <w:bCs/>
          <w:iCs/>
          <w:lang w:val="fr-FR"/>
        </w:rPr>
        <w:t xml:space="preserve">En ce qui concerne les réformes du secteur public, les services du budget ont aidé les ministères, les départements et autres organes à élaborer et étayer par des documents leurs stratégies sectorielles à moyen terme pour 2007-2009, à améliorer les liaisons entre les dépenses du Gouvernement fédéral et la réalisation des OMD et des objectifs de NEEDS. Les documents devraient faire apparaitre la ventilation détaillée des initiatives sous forme de programmes et de projets tangibles. </w:t>
      </w:r>
    </w:p>
    <w:p w:rsidR="003A6F57" w:rsidRPr="00E15507" w:rsidRDefault="00C64681" w:rsidP="00E15507">
      <w:pPr>
        <w:pStyle w:val="SingleTxt"/>
        <w:rPr>
          <w:bCs/>
          <w:iCs/>
          <w:lang w:val="fr-FR"/>
        </w:rPr>
      </w:pPr>
      <w:r>
        <w:rPr>
          <w:bCs/>
          <w:iCs/>
          <w:lang w:val="fr-FR"/>
        </w:rPr>
        <w:tab/>
      </w:r>
      <w:r w:rsidR="003A6F57" w:rsidRPr="00E15507">
        <w:rPr>
          <w:bCs/>
          <w:iCs/>
          <w:lang w:val="fr-FR"/>
        </w:rPr>
        <w:t>Le Directeur général/Conseiller du Département du budget, un organisme parapublic du ministère fédéral des Finances a invité le ministère fédéral de la Condition de la femme à prendre part à la planification des programmes sectoriels de 15 secteurs clés au titre des Stratégies sectorielles à moyen terme pour la période 2007 – 2009, pour faire en sorte que les questions d</w:t>
      </w:r>
      <w:r w:rsidR="000A3D87">
        <w:rPr>
          <w:bCs/>
          <w:iCs/>
          <w:lang w:val="fr-FR"/>
        </w:rPr>
        <w:t>’</w:t>
      </w:r>
      <w:r w:rsidR="003A6F57" w:rsidRPr="00E15507">
        <w:rPr>
          <w:bCs/>
          <w:iCs/>
          <w:lang w:val="fr-FR"/>
        </w:rPr>
        <w:t>égalité des sexes soient pleinement prises en compte, traduites et intégrées en particulier au budget de 2007-2009. Cette stratégie visait à créer et promouvoir la prise de conscience et la compréhension des cadres et des objectifs d</w:t>
      </w:r>
      <w:r w:rsidR="000A3D87">
        <w:rPr>
          <w:bCs/>
          <w:iCs/>
          <w:lang w:val="fr-FR"/>
        </w:rPr>
        <w:t>’</w:t>
      </w:r>
      <w:r w:rsidR="003A6F57" w:rsidRPr="00E15507">
        <w:rPr>
          <w:bCs/>
          <w:iCs/>
          <w:lang w:val="fr-FR"/>
        </w:rPr>
        <w:t xml:space="preserve">égalité des sexes au niveau sectoriel. </w:t>
      </w:r>
    </w:p>
    <w:p w:rsidR="003A6F57" w:rsidRPr="00E15507" w:rsidRDefault="003A6F57" w:rsidP="00E15507">
      <w:pPr>
        <w:pStyle w:val="SingleTxt"/>
        <w:rPr>
          <w:bCs/>
          <w:iCs/>
          <w:lang w:val="fr-FR"/>
        </w:rPr>
      </w:pPr>
      <w:r w:rsidRPr="00E15507">
        <w:rPr>
          <w:b/>
          <w:bCs/>
          <w:lang w:val="fr-FR"/>
        </w:rPr>
        <w:t>3.2.3</w:t>
      </w:r>
      <w:r w:rsidRPr="00E15507">
        <w:rPr>
          <w:lang w:val="fr-FR"/>
        </w:rPr>
        <w:t xml:space="preserve"> </w:t>
      </w:r>
      <w:r w:rsidR="00C64681">
        <w:rPr>
          <w:lang w:val="fr-FR"/>
        </w:rPr>
        <w:t xml:space="preserve"> </w:t>
      </w:r>
      <w:r w:rsidRPr="00E15507">
        <w:rPr>
          <w:lang w:val="fr-FR"/>
        </w:rPr>
        <w:t>La Commission du caractère fédéral a, quant à elle, réexaminé sa législation habilitante pour tenir compte des volets relatifs à l</w:t>
      </w:r>
      <w:r w:rsidR="000A3D87">
        <w:rPr>
          <w:lang w:val="fr-FR"/>
        </w:rPr>
        <w:t>’</w:t>
      </w:r>
      <w:r w:rsidRPr="00E15507">
        <w:rPr>
          <w:lang w:val="fr-FR"/>
        </w:rPr>
        <w:t>égalité des sexes. Cela permettra aux femmes d</w:t>
      </w:r>
      <w:r w:rsidR="000A3D87">
        <w:rPr>
          <w:lang w:val="fr-FR"/>
        </w:rPr>
        <w:t>’</w:t>
      </w:r>
      <w:r w:rsidRPr="00E15507">
        <w:rPr>
          <w:lang w:val="fr-FR"/>
        </w:rPr>
        <w:t>avoir un accès égal à l</w:t>
      </w:r>
      <w:r w:rsidR="000A3D87">
        <w:rPr>
          <w:lang w:val="fr-FR"/>
        </w:rPr>
        <w:t>’</w:t>
      </w:r>
      <w:r w:rsidRPr="00E15507">
        <w:rPr>
          <w:lang w:val="fr-FR"/>
        </w:rPr>
        <w:t>emploi et à des possibilités de nomination égales à celles de leurs homologues hommes dans les services et organismes publics.</w:t>
      </w:r>
    </w:p>
    <w:p w:rsidR="003A6F57" w:rsidRPr="00E15507" w:rsidRDefault="00C64681" w:rsidP="00E15507">
      <w:pPr>
        <w:pStyle w:val="SingleTxt"/>
        <w:rPr>
          <w:bCs/>
          <w:iCs/>
          <w:lang w:val="fr-FR"/>
        </w:rPr>
      </w:pPr>
      <w:r>
        <w:rPr>
          <w:bCs/>
          <w:iCs/>
          <w:lang w:val="fr-FR"/>
        </w:rPr>
        <w:tab/>
      </w:r>
      <w:r w:rsidR="003A6F57" w:rsidRPr="00E15507">
        <w:rPr>
          <w:bCs/>
          <w:iCs/>
          <w:lang w:val="fr-FR"/>
        </w:rPr>
        <w:t>Les différents secteurs commencent à prendre systématiquement en compte les questions d</w:t>
      </w:r>
      <w:r w:rsidR="000A3D87">
        <w:rPr>
          <w:bCs/>
          <w:iCs/>
          <w:lang w:val="fr-FR"/>
        </w:rPr>
        <w:t>’</w:t>
      </w:r>
      <w:r w:rsidR="003A6F57" w:rsidRPr="00E15507">
        <w:rPr>
          <w:bCs/>
          <w:iCs/>
          <w:lang w:val="fr-FR"/>
        </w:rPr>
        <w:t>égalité des sexes en raison de leur caractère transectoriel. Le Tableau 3.1 ci-après présente la situation en ce qui concerne la prise en compte des questions d</w:t>
      </w:r>
      <w:r w:rsidR="000A3D87">
        <w:rPr>
          <w:bCs/>
          <w:iCs/>
          <w:lang w:val="fr-FR"/>
        </w:rPr>
        <w:t>’</w:t>
      </w:r>
      <w:r w:rsidR="003A6F57" w:rsidRPr="00E15507">
        <w:rPr>
          <w:bCs/>
          <w:iCs/>
          <w:lang w:val="fr-FR"/>
        </w:rPr>
        <w:t xml:space="preserve">égalité des sexes. </w:t>
      </w:r>
    </w:p>
    <w:p w:rsidR="008B63DF" w:rsidRDefault="00C64681" w:rsidP="00E15507">
      <w:pPr>
        <w:pStyle w:val="SingleTxt"/>
        <w:rPr>
          <w:b/>
          <w:bCs/>
          <w:iCs/>
          <w:lang w:val="fr-FR"/>
        </w:rPr>
      </w:pPr>
      <w:r>
        <w:rPr>
          <w:b/>
          <w:bCs/>
          <w:iCs/>
          <w:lang w:val="fr-FR"/>
        </w:rPr>
        <w:br w:type="page"/>
      </w:r>
      <w:r w:rsidR="003A6F57" w:rsidRPr="00E15507">
        <w:rPr>
          <w:b/>
          <w:bCs/>
          <w:iCs/>
          <w:lang w:val="fr-FR"/>
        </w:rPr>
        <w:t>Tableau 3.1 Prise en compte de l</w:t>
      </w:r>
      <w:r w:rsidR="000A3D87">
        <w:rPr>
          <w:b/>
          <w:bCs/>
          <w:iCs/>
          <w:lang w:val="fr-FR"/>
        </w:rPr>
        <w:t>’</w:t>
      </w:r>
      <w:r w:rsidR="003A6F57" w:rsidRPr="00E15507">
        <w:rPr>
          <w:b/>
          <w:bCs/>
          <w:iCs/>
          <w:lang w:val="fr-FR"/>
        </w:rPr>
        <w:t>égalité des sexes au Nigéria, 2006</w:t>
      </w:r>
      <w:r w:rsidR="00E15507">
        <w:rPr>
          <w:b/>
          <w:bCs/>
          <w:iCs/>
          <w:lang w:val="fr-FR"/>
        </w:rPr>
        <w:br/>
      </w:r>
    </w:p>
    <w:tbl>
      <w:tblPr>
        <w:tblW w:w="0" w:type="auto"/>
        <w:tblLayout w:type="fixed"/>
        <w:tblCellMar>
          <w:left w:w="0" w:type="dxa"/>
          <w:right w:w="0" w:type="dxa"/>
        </w:tblCellMar>
        <w:tblLook w:val="0000"/>
      </w:tblPr>
      <w:tblGrid>
        <w:gridCol w:w="2462"/>
        <w:gridCol w:w="2462"/>
        <w:gridCol w:w="2462"/>
        <w:gridCol w:w="2462"/>
      </w:tblGrid>
      <w:tr w:rsidR="008B63DF" w:rsidRPr="008B63DF">
        <w:tblPrEx>
          <w:tblCellMar>
            <w:top w:w="0" w:type="dxa"/>
            <w:bottom w:w="0" w:type="dxa"/>
          </w:tblCellMar>
        </w:tblPrEx>
        <w:trPr>
          <w:tblHeader/>
        </w:trPr>
        <w:tc>
          <w:tcPr>
            <w:tcW w:w="2462" w:type="dxa"/>
            <w:tcBorders>
              <w:top w:val="single" w:sz="4" w:space="0" w:color="auto"/>
              <w:bottom w:val="single" w:sz="12" w:space="0" w:color="auto"/>
            </w:tcBorders>
            <w:shd w:val="clear" w:color="auto" w:fill="auto"/>
            <w:vAlign w:val="bottom"/>
          </w:tcPr>
          <w:p w:rsidR="008B63DF" w:rsidRPr="008B63DF" w:rsidRDefault="008B63DF" w:rsidP="00C81A3C">
            <w:pPr>
              <w:suppressAutoHyphens/>
              <w:spacing w:before="80" w:after="80" w:line="160" w:lineRule="exact"/>
              <w:ind w:left="72" w:right="115"/>
              <w:rPr>
                <w:bCs/>
                <w:i/>
                <w:sz w:val="14"/>
                <w:szCs w:val="14"/>
                <w:lang w:val="fr-FR"/>
              </w:rPr>
            </w:pPr>
            <w:r w:rsidRPr="008B63DF">
              <w:rPr>
                <w:bCs/>
                <w:i/>
                <w:sz w:val="14"/>
                <w:szCs w:val="14"/>
                <w:lang w:val="fr-FR"/>
              </w:rPr>
              <w:t>Secteur</w:t>
            </w:r>
          </w:p>
        </w:tc>
        <w:tc>
          <w:tcPr>
            <w:tcW w:w="2462" w:type="dxa"/>
            <w:tcBorders>
              <w:top w:val="single" w:sz="4" w:space="0" w:color="auto"/>
              <w:bottom w:val="single" w:sz="12" w:space="0" w:color="auto"/>
            </w:tcBorders>
            <w:shd w:val="clear" w:color="auto" w:fill="auto"/>
            <w:vAlign w:val="bottom"/>
          </w:tcPr>
          <w:p w:rsidR="008B63DF" w:rsidRPr="008B63DF" w:rsidRDefault="008B63DF" w:rsidP="00C81A3C">
            <w:pPr>
              <w:suppressAutoHyphens/>
              <w:spacing w:before="80" w:after="80" w:line="160" w:lineRule="exact"/>
              <w:ind w:right="115"/>
              <w:rPr>
                <w:bCs/>
                <w:i/>
                <w:sz w:val="14"/>
                <w:szCs w:val="14"/>
                <w:lang w:val="fr-FR"/>
              </w:rPr>
            </w:pPr>
            <w:r w:rsidRPr="008B63DF">
              <w:rPr>
                <w:bCs/>
                <w:i/>
                <w:sz w:val="14"/>
                <w:szCs w:val="14"/>
                <w:lang w:val="fr-FR"/>
              </w:rPr>
              <w:t>Plateformes pour l</w:t>
            </w:r>
            <w:r w:rsidR="000A3D87">
              <w:rPr>
                <w:bCs/>
                <w:i/>
                <w:sz w:val="14"/>
                <w:szCs w:val="14"/>
                <w:lang w:val="fr-FR"/>
              </w:rPr>
              <w:t>’</w:t>
            </w:r>
            <w:r w:rsidRPr="008B63DF">
              <w:rPr>
                <w:bCs/>
                <w:i/>
                <w:sz w:val="14"/>
                <w:szCs w:val="14"/>
                <w:lang w:val="fr-FR"/>
              </w:rPr>
              <w:t>intégration de l</w:t>
            </w:r>
            <w:r w:rsidR="000A3D87">
              <w:rPr>
                <w:bCs/>
                <w:i/>
                <w:sz w:val="14"/>
                <w:szCs w:val="14"/>
                <w:lang w:val="fr-FR"/>
              </w:rPr>
              <w:t>’</w:t>
            </w:r>
            <w:r w:rsidRPr="008B63DF">
              <w:rPr>
                <w:bCs/>
                <w:i/>
                <w:sz w:val="14"/>
                <w:szCs w:val="14"/>
                <w:lang w:val="fr-FR"/>
              </w:rPr>
              <w:t xml:space="preserve">égalité des sexes </w:t>
            </w:r>
          </w:p>
        </w:tc>
        <w:tc>
          <w:tcPr>
            <w:tcW w:w="2462" w:type="dxa"/>
            <w:tcBorders>
              <w:top w:val="single" w:sz="4" w:space="0" w:color="auto"/>
              <w:bottom w:val="single" w:sz="12" w:space="0" w:color="auto"/>
            </w:tcBorders>
            <w:shd w:val="clear" w:color="auto" w:fill="auto"/>
            <w:vAlign w:val="bottom"/>
          </w:tcPr>
          <w:p w:rsidR="008B63DF" w:rsidRPr="008B63DF" w:rsidRDefault="008B63DF" w:rsidP="00C81A3C">
            <w:pPr>
              <w:suppressAutoHyphens/>
              <w:spacing w:before="80" w:after="80" w:line="160" w:lineRule="exact"/>
              <w:ind w:right="115"/>
              <w:rPr>
                <w:bCs/>
                <w:i/>
                <w:sz w:val="14"/>
                <w:szCs w:val="14"/>
                <w:lang w:val="fr-FR"/>
              </w:rPr>
            </w:pPr>
            <w:r w:rsidRPr="008B63DF">
              <w:rPr>
                <w:bCs/>
                <w:i/>
                <w:sz w:val="14"/>
                <w:szCs w:val="14"/>
                <w:lang w:val="fr-FR"/>
              </w:rPr>
              <w:t>Progrès</w:t>
            </w:r>
          </w:p>
        </w:tc>
        <w:tc>
          <w:tcPr>
            <w:tcW w:w="2462" w:type="dxa"/>
            <w:tcBorders>
              <w:top w:val="single" w:sz="4" w:space="0" w:color="auto"/>
              <w:bottom w:val="single" w:sz="12" w:space="0" w:color="auto"/>
            </w:tcBorders>
            <w:shd w:val="clear" w:color="auto" w:fill="auto"/>
            <w:vAlign w:val="bottom"/>
          </w:tcPr>
          <w:p w:rsidR="008B63DF" w:rsidRPr="008B63DF" w:rsidRDefault="008B63DF" w:rsidP="00C81A3C">
            <w:pPr>
              <w:suppressAutoHyphens/>
              <w:spacing w:before="80" w:after="80" w:line="160" w:lineRule="exact"/>
              <w:ind w:right="115"/>
              <w:rPr>
                <w:bCs/>
                <w:i/>
                <w:sz w:val="14"/>
                <w:szCs w:val="14"/>
                <w:lang w:val="fr-FR"/>
              </w:rPr>
            </w:pPr>
            <w:r w:rsidRPr="008B63DF">
              <w:rPr>
                <w:bCs/>
                <w:i/>
                <w:sz w:val="14"/>
                <w:szCs w:val="14"/>
                <w:lang w:val="fr-FR"/>
              </w:rPr>
              <w:t>Pratiques optimales</w:t>
            </w:r>
          </w:p>
        </w:tc>
      </w:tr>
      <w:tr w:rsidR="008B63DF" w:rsidRPr="008B63DF">
        <w:tblPrEx>
          <w:tblCellMar>
            <w:top w:w="0" w:type="dxa"/>
            <w:bottom w:w="0" w:type="dxa"/>
          </w:tblCellMar>
        </w:tblPrEx>
        <w:trPr>
          <w:trHeight w:hRule="exact" w:val="115"/>
          <w:tblHeader/>
        </w:trPr>
        <w:tc>
          <w:tcPr>
            <w:tcW w:w="2462" w:type="dxa"/>
            <w:tcBorders>
              <w:top w:val="single" w:sz="12" w:space="0" w:color="auto"/>
            </w:tcBorders>
            <w:shd w:val="clear" w:color="auto" w:fill="auto"/>
          </w:tcPr>
          <w:p w:rsidR="008B63DF" w:rsidRPr="008B63DF" w:rsidRDefault="008B63DF" w:rsidP="00C81A3C">
            <w:pPr>
              <w:suppressAutoHyphens/>
              <w:spacing w:before="40" w:after="80"/>
              <w:ind w:right="115"/>
              <w:rPr>
                <w:lang w:val="fr-FR"/>
              </w:rPr>
            </w:pPr>
          </w:p>
        </w:tc>
        <w:tc>
          <w:tcPr>
            <w:tcW w:w="2462" w:type="dxa"/>
            <w:tcBorders>
              <w:top w:val="single" w:sz="12" w:space="0" w:color="auto"/>
            </w:tcBorders>
            <w:shd w:val="clear" w:color="auto" w:fill="auto"/>
          </w:tcPr>
          <w:p w:rsidR="008B63DF" w:rsidRPr="008B63DF" w:rsidRDefault="008B63DF" w:rsidP="008B63DF">
            <w:pPr>
              <w:suppressAutoHyphens/>
              <w:spacing w:before="40" w:after="80"/>
              <w:ind w:right="115"/>
              <w:rPr>
                <w:lang w:val="fr-FR"/>
              </w:rPr>
            </w:pPr>
          </w:p>
        </w:tc>
        <w:tc>
          <w:tcPr>
            <w:tcW w:w="2462" w:type="dxa"/>
            <w:tcBorders>
              <w:top w:val="single" w:sz="12" w:space="0" w:color="auto"/>
            </w:tcBorders>
            <w:shd w:val="clear" w:color="auto" w:fill="auto"/>
          </w:tcPr>
          <w:p w:rsidR="008B63DF" w:rsidRPr="008B63DF" w:rsidRDefault="008B63DF" w:rsidP="008B63DF">
            <w:pPr>
              <w:suppressAutoHyphens/>
              <w:spacing w:before="40" w:after="80"/>
              <w:ind w:right="115"/>
              <w:rPr>
                <w:lang w:val="fr-FR"/>
              </w:rPr>
            </w:pPr>
          </w:p>
        </w:tc>
        <w:tc>
          <w:tcPr>
            <w:tcW w:w="2462" w:type="dxa"/>
            <w:tcBorders>
              <w:top w:val="single" w:sz="12" w:space="0" w:color="auto"/>
            </w:tcBorders>
            <w:shd w:val="clear" w:color="auto" w:fill="auto"/>
          </w:tcPr>
          <w:p w:rsidR="008B63DF" w:rsidRPr="008B63DF" w:rsidRDefault="008B63DF" w:rsidP="008B63DF">
            <w:pPr>
              <w:suppressAutoHyphens/>
              <w:spacing w:before="40" w:after="80"/>
              <w:ind w:right="115"/>
              <w:rPr>
                <w:lang w:val="fr-FR"/>
              </w:rPr>
            </w:pPr>
          </w:p>
        </w:tc>
      </w:tr>
      <w:tr w:rsidR="00C81A3C" w:rsidRPr="008B63DF">
        <w:tblPrEx>
          <w:tblCellMar>
            <w:top w:w="0" w:type="dxa"/>
            <w:bottom w:w="0" w:type="dxa"/>
          </w:tblCellMar>
        </w:tblPrEx>
        <w:tc>
          <w:tcPr>
            <w:tcW w:w="2462" w:type="dxa"/>
            <w:shd w:val="clear" w:color="auto" w:fill="auto"/>
          </w:tcPr>
          <w:p w:rsidR="00C81A3C" w:rsidRPr="00B86B1D" w:rsidRDefault="00C81A3C" w:rsidP="008B63DF">
            <w:pPr>
              <w:tabs>
                <w:tab w:val="left" w:pos="288"/>
                <w:tab w:val="left" w:pos="576"/>
                <w:tab w:val="left" w:pos="864"/>
                <w:tab w:val="left" w:pos="1152"/>
              </w:tabs>
              <w:suppressAutoHyphens/>
              <w:spacing w:before="40" w:after="80"/>
              <w:ind w:right="115"/>
              <w:rPr>
                <w:b/>
                <w:i/>
                <w:lang w:val="fr-FR"/>
              </w:rPr>
            </w:pPr>
            <w:r w:rsidRPr="00B86B1D">
              <w:rPr>
                <w:b/>
                <w:i/>
                <w:lang w:val="fr-FR"/>
              </w:rPr>
              <w:t>Santé</w:t>
            </w:r>
          </w:p>
        </w:tc>
        <w:tc>
          <w:tcPr>
            <w:tcW w:w="2462" w:type="dxa"/>
            <w:shd w:val="clear" w:color="auto" w:fill="auto"/>
          </w:tcPr>
          <w:p w:rsidR="00C81A3C" w:rsidRPr="00C81A3C" w:rsidRDefault="00C81A3C" w:rsidP="00C81A3C">
            <w:pPr>
              <w:numPr>
                <w:ilvl w:val="0"/>
                <w:numId w:val="5"/>
              </w:numPr>
              <w:tabs>
                <w:tab w:val="clear" w:pos="720"/>
              </w:tabs>
              <w:suppressAutoHyphens/>
              <w:spacing w:after="120"/>
              <w:ind w:left="259" w:right="115" w:hanging="187"/>
              <w:rPr>
                <w:lang w:val="fr-FR"/>
              </w:rPr>
            </w:pPr>
            <w:r w:rsidRPr="00C81A3C">
              <w:rPr>
                <w:lang w:val="fr-FR"/>
              </w:rPr>
              <w:t>Politique nationale de la santé</w:t>
            </w:r>
          </w:p>
          <w:p w:rsidR="00C81A3C" w:rsidRPr="00C81A3C" w:rsidRDefault="00C81A3C" w:rsidP="00C81A3C">
            <w:pPr>
              <w:numPr>
                <w:ilvl w:val="0"/>
                <w:numId w:val="5"/>
              </w:numPr>
              <w:tabs>
                <w:tab w:val="clear" w:pos="720"/>
              </w:tabs>
              <w:suppressAutoHyphens/>
              <w:spacing w:after="120"/>
              <w:ind w:left="259" w:right="115" w:hanging="187"/>
              <w:rPr>
                <w:lang w:val="fr-FR"/>
              </w:rPr>
            </w:pPr>
            <w:r w:rsidRPr="00C81A3C">
              <w:rPr>
                <w:lang w:val="fr-FR"/>
              </w:rPr>
              <w:t>Programme de maternité sans risque</w:t>
            </w:r>
          </w:p>
          <w:p w:rsidR="00C81A3C" w:rsidRPr="00C81A3C" w:rsidRDefault="00C81A3C" w:rsidP="00C81A3C">
            <w:pPr>
              <w:numPr>
                <w:ilvl w:val="0"/>
                <w:numId w:val="5"/>
              </w:numPr>
              <w:tabs>
                <w:tab w:val="clear" w:pos="720"/>
              </w:tabs>
              <w:suppressAutoHyphens/>
              <w:spacing w:after="120"/>
              <w:ind w:left="259" w:right="115" w:hanging="187"/>
              <w:rPr>
                <w:lang w:val="fr-FR"/>
              </w:rPr>
            </w:pPr>
            <w:r w:rsidRPr="00C81A3C">
              <w:rPr>
                <w:lang w:val="fr-FR"/>
              </w:rPr>
              <w:t>Faire reculer le paludisme</w:t>
            </w:r>
          </w:p>
          <w:p w:rsidR="00C81A3C" w:rsidRPr="00C81A3C" w:rsidRDefault="00C81A3C" w:rsidP="00C81A3C">
            <w:pPr>
              <w:numPr>
                <w:ilvl w:val="0"/>
                <w:numId w:val="5"/>
              </w:numPr>
              <w:tabs>
                <w:tab w:val="clear" w:pos="720"/>
              </w:tabs>
              <w:suppressAutoHyphens/>
              <w:spacing w:after="120"/>
              <w:ind w:left="259" w:right="115" w:hanging="187"/>
              <w:rPr>
                <w:lang w:val="fr-FR"/>
              </w:rPr>
            </w:pPr>
            <w:r w:rsidRPr="00C81A3C">
              <w:rPr>
                <w:lang w:val="fr-FR"/>
              </w:rPr>
              <w:t>Programme NEEDS</w:t>
            </w:r>
          </w:p>
          <w:p w:rsidR="00C81A3C" w:rsidRPr="00C81A3C" w:rsidRDefault="00C81A3C" w:rsidP="00C81A3C">
            <w:pPr>
              <w:numPr>
                <w:ilvl w:val="0"/>
                <w:numId w:val="5"/>
              </w:numPr>
              <w:tabs>
                <w:tab w:val="clear" w:pos="720"/>
              </w:tabs>
              <w:suppressAutoHyphens/>
              <w:spacing w:after="120"/>
              <w:ind w:left="259" w:right="115" w:hanging="187"/>
              <w:rPr>
                <w:lang w:val="fr-FR"/>
              </w:rPr>
            </w:pPr>
            <w:r w:rsidRPr="00C81A3C">
              <w:rPr>
                <w:lang w:val="fr-FR"/>
              </w:rPr>
              <w:t xml:space="preserve">Les femmes et le développement de la santé </w:t>
            </w:r>
          </w:p>
          <w:p w:rsidR="00C81A3C" w:rsidRPr="00C81A3C" w:rsidRDefault="00C81A3C" w:rsidP="009546E1">
            <w:pPr>
              <w:numPr>
                <w:ilvl w:val="0"/>
                <w:numId w:val="6"/>
              </w:numPr>
              <w:tabs>
                <w:tab w:val="clear" w:pos="720"/>
              </w:tabs>
              <w:suppressAutoHyphens/>
              <w:spacing w:after="120"/>
              <w:ind w:left="259" w:right="115" w:hanging="187"/>
              <w:rPr>
                <w:lang w:val="fr-FR"/>
              </w:rPr>
            </w:pPr>
            <w:r w:rsidRPr="00C81A3C">
              <w:rPr>
                <w:lang w:val="fr-FR"/>
              </w:rPr>
              <w:t>Plan d</w:t>
            </w:r>
            <w:r w:rsidR="000A3D87">
              <w:rPr>
                <w:lang w:val="fr-FR"/>
              </w:rPr>
              <w:t>’</w:t>
            </w:r>
            <w:r w:rsidRPr="00C81A3C">
              <w:rPr>
                <w:lang w:val="fr-FR"/>
              </w:rPr>
              <w:t>action d</w:t>
            </w:r>
            <w:r w:rsidR="000A3D87">
              <w:rPr>
                <w:lang w:val="fr-FR"/>
              </w:rPr>
              <w:t>’</w:t>
            </w:r>
            <w:r w:rsidRPr="00C81A3C">
              <w:rPr>
                <w:lang w:val="fr-FR"/>
              </w:rPr>
              <w:t>urgence du VIH/</w:t>
            </w:r>
            <w:r w:rsidR="00940485">
              <w:rPr>
                <w:lang w:val="fr-FR"/>
              </w:rPr>
              <w:t>SIDA</w:t>
            </w:r>
          </w:p>
          <w:p w:rsidR="00C81A3C" w:rsidRPr="00C81A3C" w:rsidRDefault="00C81A3C" w:rsidP="009546E1">
            <w:pPr>
              <w:numPr>
                <w:ilvl w:val="0"/>
                <w:numId w:val="6"/>
              </w:numPr>
              <w:tabs>
                <w:tab w:val="clear" w:pos="720"/>
              </w:tabs>
              <w:suppressAutoHyphens/>
              <w:spacing w:after="120"/>
              <w:ind w:left="259" w:right="115" w:hanging="187"/>
              <w:rPr>
                <w:lang w:val="fr-FR"/>
              </w:rPr>
            </w:pPr>
            <w:r w:rsidRPr="00C81A3C">
              <w:rPr>
                <w:lang w:val="fr-FR"/>
              </w:rPr>
              <w:t xml:space="preserve">Etablissement de NACA, </w:t>
            </w:r>
          </w:p>
          <w:p w:rsidR="00C81A3C" w:rsidRPr="00C81A3C" w:rsidRDefault="00C81A3C" w:rsidP="009546E1">
            <w:pPr>
              <w:numPr>
                <w:ilvl w:val="0"/>
                <w:numId w:val="6"/>
              </w:numPr>
              <w:tabs>
                <w:tab w:val="clear" w:pos="720"/>
              </w:tabs>
              <w:suppressAutoHyphens/>
              <w:spacing w:after="120"/>
              <w:ind w:left="259" w:right="115" w:hanging="187"/>
              <w:rPr>
                <w:lang w:val="fr-FR"/>
              </w:rPr>
            </w:pPr>
            <w:r w:rsidRPr="00C81A3C">
              <w:rPr>
                <w:lang w:val="fr-FR"/>
              </w:rPr>
              <w:t xml:space="preserve">Loi contre les MGF </w:t>
            </w:r>
          </w:p>
          <w:p w:rsidR="00C81A3C" w:rsidRPr="00C81A3C" w:rsidRDefault="00C81A3C" w:rsidP="009546E1">
            <w:pPr>
              <w:numPr>
                <w:ilvl w:val="0"/>
                <w:numId w:val="6"/>
              </w:numPr>
              <w:tabs>
                <w:tab w:val="clear" w:pos="720"/>
              </w:tabs>
              <w:suppressAutoHyphens/>
              <w:spacing w:after="120"/>
              <w:ind w:left="259" w:right="115" w:hanging="187"/>
              <w:rPr>
                <w:lang w:val="fr-FR"/>
              </w:rPr>
            </w:pPr>
            <w:r w:rsidRPr="00C81A3C">
              <w:rPr>
                <w:lang w:val="fr-FR"/>
              </w:rPr>
              <w:t xml:space="preserve">Politique nationale relative à la santé en matière de reproduction des adolescents </w:t>
            </w:r>
          </w:p>
        </w:tc>
        <w:tc>
          <w:tcPr>
            <w:tcW w:w="2462" w:type="dxa"/>
            <w:shd w:val="clear" w:color="auto" w:fill="auto"/>
          </w:tcPr>
          <w:p w:rsidR="00C81A3C" w:rsidRPr="00C81A3C" w:rsidRDefault="00C81A3C" w:rsidP="009546E1">
            <w:pPr>
              <w:numPr>
                <w:ilvl w:val="0"/>
                <w:numId w:val="6"/>
              </w:numPr>
              <w:tabs>
                <w:tab w:val="clear" w:pos="720"/>
                <w:tab w:val="num" w:pos="252"/>
              </w:tabs>
              <w:suppressAutoHyphens/>
              <w:spacing w:after="120"/>
              <w:ind w:left="259" w:right="115" w:hanging="187"/>
              <w:rPr>
                <w:lang w:val="fr-FR"/>
              </w:rPr>
            </w:pPr>
            <w:r w:rsidRPr="00C81A3C">
              <w:rPr>
                <w:lang w:val="fr-FR"/>
              </w:rPr>
              <w:t>Le chargé du dossier de l</w:t>
            </w:r>
            <w:r w:rsidR="000A3D87">
              <w:rPr>
                <w:lang w:val="fr-FR"/>
              </w:rPr>
              <w:t>’</w:t>
            </w:r>
            <w:r w:rsidRPr="00C81A3C">
              <w:rPr>
                <w:lang w:val="fr-FR"/>
              </w:rPr>
              <w:t>égalité des sexes bénéficie d</w:t>
            </w:r>
            <w:r w:rsidR="000A3D87">
              <w:rPr>
                <w:lang w:val="fr-FR"/>
              </w:rPr>
              <w:t>’</w:t>
            </w:r>
            <w:r w:rsidRPr="00C81A3C">
              <w:rPr>
                <w:lang w:val="fr-FR"/>
              </w:rPr>
              <w:t>un appui accru de la direction</w:t>
            </w:r>
          </w:p>
          <w:p w:rsidR="00C81A3C" w:rsidRPr="00C81A3C" w:rsidRDefault="00C81A3C" w:rsidP="009546E1">
            <w:pPr>
              <w:numPr>
                <w:ilvl w:val="0"/>
                <w:numId w:val="6"/>
              </w:numPr>
              <w:tabs>
                <w:tab w:val="clear" w:pos="720"/>
                <w:tab w:val="num" w:pos="252"/>
              </w:tabs>
              <w:suppressAutoHyphens/>
              <w:spacing w:after="120"/>
              <w:ind w:left="259" w:right="115" w:hanging="187"/>
              <w:rPr>
                <w:lang w:val="fr-FR"/>
              </w:rPr>
            </w:pPr>
            <w:r w:rsidRPr="00C81A3C">
              <w:rPr>
                <w:lang w:val="fr-FR"/>
              </w:rPr>
              <w:t>Certaines données commencent à être ventilées</w:t>
            </w:r>
          </w:p>
          <w:p w:rsidR="00C81A3C" w:rsidRPr="00C81A3C" w:rsidRDefault="00C81A3C" w:rsidP="009546E1">
            <w:pPr>
              <w:numPr>
                <w:ilvl w:val="0"/>
                <w:numId w:val="6"/>
              </w:numPr>
              <w:tabs>
                <w:tab w:val="clear" w:pos="720"/>
                <w:tab w:val="num" w:pos="252"/>
              </w:tabs>
              <w:suppressAutoHyphens/>
              <w:spacing w:after="120"/>
              <w:ind w:left="259" w:right="115" w:hanging="187"/>
              <w:rPr>
                <w:lang w:val="fr-FR"/>
              </w:rPr>
            </w:pPr>
            <w:r w:rsidRPr="00C81A3C">
              <w:rPr>
                <w:lang w:val="fr-FR"/>
              </w:rPr>
              <w:t>Davantage de questions liées aux femmes et à l</w:t>
            </w:r>
            <w:r w:rsidR="000A3D87">
              <w:rPr>
                <w:lang w:val="fr-FR"/>
              </w:rPr>
              <w:t>’</w:t>
            </w:r>
            <w:r w:rsidRPr="00C81A3C">
              <w:rPr>
                <w:lang w:val="fr-FR"/>
              </w:rPr>
              <w:t>égalité des sexes sont mises en avant</w:t>
            </w:r>
          </w:p>
        </w:tc>
        <w:tc>
          <w:tcPr>
            <w:tcW w:w="2462" w:type="dxa"/>
            <w:shd w:val="clear" w:color="auto" w:fill="auto"/>
          </w:tcPr>
          <w:p w:rsidR="00C81A3C" w:rsidRPr="00C81A3C" w:rsidRDefault="00C81A3C" w:rsidP="009546E1">
            <w:pPr>
              <w:numPr>
                <w:ilvl w:val="0"/>
                <w:numId w:val="6"/>
              </w:numPr>
              <w:tabs>
                <w:tab w:val="clear" w:pos="720"/>
                <w:tab w:val="num" w:pos="354"/>
              </w:tabs>
              <w:suppressAutoHyphens/>
              <w:spacing w:after="120"/>
              <w:ind w:left="354" w:right="115" w:hanging="210"/>
              <w:rPr>
                <w:lang w:val="fr-FR"/>
              </w:rPr>
            </w:pPr>
            <w:r w:rsidRPr="00C81A3C">
              <w:rPr>
                <w:lang w:val="fr-FR"/>
              </w:rPr>
              <w:t>Collaboration avec d</w:t>
            </w:r>
            <w:r w:rsidR="000A3D87">
              <w:rPr>
                <w:lang w:val="fr-FR"/>
              </w:rPr>
              <w:t>’</w:t>
            </w:r>
            <w:r w:rsidRPr="00C81A3C">
              <w:rPr>
                <w:lang w:val="fr-FR"/>
              </w:rPr>
              <w:t>autres organismes (ministère fédéral de la Condition de la femme, Commission nationale du Plan, Assemblées nationale et des États, partenaires de développement) en vue de régler certaines questions liées à la santé des femmes, ainsi que certaines questions d</w:t>
            </w:r>
            <w:r w:rsidR="000A3D87">
              <w:rPr>
                <w:lang w:val="fr-FR"/>
              </w:rPr>
              <w:t>’</w:t>
            </w:r>
            <w:r w:rsidRPr="00C81A3C">
              <w:rPr>
                <w:lang w:val="fr-FR"/>
              </w:rPr>
              <w:t>égalité des sexes, y compris les MGF et la mortalité maternelle.</w:t>
            </w:r>
          </w:p>
          <w:p w:rsidR="00C81A3C" w:rsidRPr="00C81A3C" w:rsidRDefault="00C81A3C" w:rsidP="009546E1">
            <w:pPr>
              <w:numPr>
                <w:ilvl w:val="0"/>
                <w:numId w:val="6"/>
              </w:numPr>
              <w:tabs>
                <w:tab w:val="clear" w:pos="720"/>
                <w:tab w:val="num" w:pos="252"/>
              </w:tabs>
              <w:suppressAutoHyphens/>
              <w:spacing w:after="120"/>
              <w:ind w:left="354" w:right="115" w:hanging="210"/>
              <w:rPr>
                <w:lang w:val="fr-FR"/>
              </w:rPr>
            </w:pPr>
            <w:r>
              <w:rPr>
                <w:lang w:val="fr-FR"/>
              </w:rPr>
              <w:tab/>
            </w:r>
            <w:r w:rsidRPr="00C81A3C">
              <w:rPr>
                <w:lang w:val="fr-FR"/>
              </w:rPr>
              <w:t>Inclusion des femmes aux conseils de développement des quartiers dans l</w:t>
            </w:r>
            <w:r w:rsidR="000A3D87">
              <w:rPr>
                <w:lang w:val="fr-FR"/>
              </w:rPr>
              <w:t>’</w:t>
            </w:r>
            <w:r w:rsidRPr="00C81A3C">
              <w:rPr>
                <w:lang w:val="fr-FR"/>
              </w:rPr>
              <w:t>administration des services de santé primaires.</w:t>
            </w:r>
          </w:p>
        </w:tc>
      </w:tr>
      <w:tr w:rsidR="00C81A3C" w:rsidRPr="008B63DF">
        <w:tblPrEx>
          <w:tblCellMar>
            <w:top w:w="0" w:type="dxa"/>
            <w:bottom w:w="0" w:type="dxa"/>
          </w:tblCellMar>
        </w:tblPrEx>
        <w:tc>
          <w:tcPr>
            <w:tcW w:w="2462" w:type="dxa"/>
            <w:shd w:val="clear" w:color="auto" w:fill="auto"/>
          </w:tcPr>
          <w:p w:rsidR="00C81A3C" w:rsidRPr="00B86B1D" w:rsidRDefault="00C81A3C" w:rsidP="008B63DF">
            <w:pPr>
              <w:tabs>
                <w:tab w:val="left" w:pos="288"/>
                <w:tab w:val="left" w:pos="576"/>
                <w:tab w:val="left" w:pos="864"/>
                <w:tab w:val="left" w:pos="1152"/>
              </w:tabs>
              <w:suppressAutoHyphens/>
              <w:spacing w:before="40" w:after="80"/>
              <w:ind w:right="115"/>
              <w:rPr>
                <w:b/>
                <w:i/>
                <w:lang w:val="fr-FR"/>
              </w:rPr>
            </w:pPr>
            <w:r w:rsidRPr="00B86B1D">
              <w:rPr>
                <w:b/>
                <w:i/>
                <w:lang w:val="fr-FR"/>
              </w:rPr>
              <w:t>Agriculture</w:t>
            </w:r>
          </w:p>
        </w:tc>
        <w:tc>
          <w:tcPr>
            <w:tcW w:w="2462" w:type="dxa"/>
            <w:shd w:val="clear" w:color="auto" w:fill="auto"/>
          </w:tcPr>
          <w:p w:rsidR="00C81A3C" w:rsidRPr="00C81A3C" w:rsidRDefault="00C81A3C" w:rsidP="009546E1">
            <w:pPr>
              <w:numPr>
                <w:ilvl w:val="0"/>
                <w:numId w:val="6"/>
              </w:numPr>
              <w:tabs>
                <w:tab w:val="clear" w:pos="720"/>
                <w:tab w:val="num" w:pos="252"/>
              </w:tabs>
              <w:suppressAutoHyphens/>
              <w:spacing w:after="120"/>
              <w:ind w:left="259" w:right="115" w:hanging="259"/>
              <w:rPr>
                <w:lang w:val="fr-FR"/>
              </w:rPr>
            </w:pPr>
            <w:r w:rsidRPr="00C81A3C">
              <w:rPr>
                <w:lang w:val="fr-FR"/>
              </w:rPr>
              <w:t>Programme NEEDS</w:t>
            </w:r>
          </w:p>
          <w:p w:rsidR="00C81A3C" w:rsidRPr="00C81A3C" w:rsidRDefault="00C81A3C" w:rsidP="009546E1">
            <w:pPr>
              <w:numPr>
                <w:ilvl w:val="0"/>
                <w:numId w:val="6"/>
              </w:numPr>
              <w:tabs>
                <w:tab w:val="clear" w:pos="720"/>
                <w:tab w:val="num" w:pos="252"/>
              </w:tabs>
              <w:suppressAutoHyphens/>
              <w:spacing w:after="120"/>
              <w:ind w:left="259" w:right="115" w:hanging="259"/>
              <w:rPr>
                <w:lang w:val="fr-FR"/>
              </w:rPr>
            </w:pPr>
            <w:r w:rsidRPr="00C81A3C">
              <w:rPr>
                <w:lang w:val="fr-FR"/>
              </w:rPr>
              <w:t>Les femmes dans l</w:t>
            </w:r>
            <w:r w:rsidR="000A3D87">
              <w:rPr>
                <w:lang w:val="fr-FR"/>
              </w:rPr>
              <w:t>’</w:t>
            </w:r>
            <w:r w:rsidRPr="00C81A3C">
              <w:rPr>
                <w:lang w:val="fr-FR"/>
              </w:rPr>
              <w:t>agriculture</w:t>
            </w:r>
          </w:p>
          <w:p w:rsidR="00C81A3C" w:rsidRPr="00C81A3C" w:rsidRDefault="00C81A3C" w:rsidP="009546E1">
            <w:pPr>
              <w:numPr>
                <w:ilvl w:val="0"/>
                <w:numId w:val="6"/>
              </w:numPr>
              <w:tabs>
                <w:tab w:val="clear" w:pos="720"/>
                <w:tab w:val="num" w:pos="252"/>
              </w:tabs>
              <w:suppressAutoHyphens/>
              <w:spacing w:after="120"/>
              <w:ind w:left="259" w:right="115" w:hanging="259"/>
              <w:rPr>
                <w:lang w:val="fr-FR"/>
              </w:rPr>
            </w:pPr>
            <w:r w:rsidRPr="00C81A3C">
              <w:rPr>
                <w:lang w:val="fr-FR"/>
              </w:rPr>
              <w:t>Fonds des femmes pour l</w:t>
            </w:r>
            <w:r w:rsidR="000A3D87">
              <w:rPr>
                <w:lang w:val="fr-FR"/>
              </w:rPr>
              <w:t>’</w:t>
            </w:r>
            <w:r w:rsidRPr="00C81A3C">
              <w:rPr>
                <w:lang w:val="fr-FR"/>
              </w:rPr>
              <w:t>autonomisation économique</w:t>
            </w:r>
          </w:p>
          <w:p w:rsidR="00C81A3C" w:rsidRPr="00C81A3C" w:rsidRDefault="00C81A3C" w:rsidP="009546E1">
            <w:pPr>
              <w:numPr>
                <w:ilvl w:val="0"/>
                <w:numId w:val="6"/>
              </w:numPr>
              <w:tabs>
                <w:tab w:val="clear" w:pos="720"/>
                <w:tab w:val="num" w:pos="252"/>
              </w:tabs>
              <w:suppressAutoHyphens/>
              <w:spacing w:after="120"/>
              <w:ind w:left="259" w:right="115" w:hanging="259"/>
              <w:rPr>
                <w:lang w:val="fr-FR"/>
              </w:rPr>
            </w:pPr>
            <w:r w:rsidRPr="00C81A3C">
              <w:rPr>
                <w:lang w:val="fr-FR"/>
              </w:rPr>
              <w:t>Politique de l</w:t>
            </w:r>
            <w:r w:rsidR="000A3D87">
              <w:rPr>
                <w:lang w:val="fr-FR"/>
              </w:rPr>
              <w:t>’</w:t>
            </w:r>
            <w:r w:rsidRPr="00C81A3C">
              <w:rPr>
                <w:lang w:val="fr-FR"/>
              </w:rPr>
              <w:t>eau</w:t>
            </w:r>
          </w:p>
          <w:p w:rsidR="00C81A3C" w:rsidRPr="00C81A3C" w:rsidRDefault="00C81A3C" w:rsidP="009546E1">
            <w:pPr>
              <w:numPr>
                <w:ilvl w:val="0"/>
                <w:numId w:val="6"/>
              </w:numPr>
              <w:tabs>
                <w:tab w:val="clear" w:pos="720"/>
                <w:tab w:val="num" w:pos="252"/>
              </w:tabs>
              <w:suppressAutoHyphens/>
              <w:spacing w:after="120"/>
              <w:ind w:left="259" w:right="115" w:hanging="259"/>
              <w:rPr>
                <w:lang w:val="fr-FR"/>
              </w:rPr>
            </w:pPr>
            <w:r w:rsidRPr="00C81A3C">
              <w:rPr>
                <w:lang w:val="fr-FR"/>
              </w:rPr>
              <w:t>Politique de l</w:t>
            </w:r>
            <w:r w:rsidR="000A3D87">
              <w:rPr>
                <w:lang w:val="fr-FR"/>
              </w:rPr>
              <w:t>’</w:t>
            </w:r>
            <w:r w:rsidRPr="00C81A3C">
              <w:rPr>
                <w:lang w:val="fr-FR"/>
              </w:rPr>
              <w:t>alimentation et de la nutrition</w:t>
            </w:r>
          </w:p>
          <w:p w:rsidR="00C81A3C" w:rsidRPr="00C81A3C" w:rsidRDefault="00C81A3C" w:rsidP="009546E1">
            <w:pPr>
              <w:numPr>
                <w:ilvl w:val="0"/>
                <w:numId w:val="6"/>
              </w:numPr>
              <w:tabs>
                <w:tab w:val="clear" w:pos="720"/>
                <w:tab w:val="num" w:pos="252"/>
              </w:tabs>
              <w:suppressAutoHyphens/>
              <w:spacing w:after="120"/>
              <w:ind w:left="259" w:right="115" w:hanging="259"/>
              <w:rPr>
                <w:lang w:val="fr-FR"/>
              </w:rPr>
            </w:pPr>
            <w:r w:rsidRPr="00C81A3C">
              <w:rPr>
                <w:lang w:val="fr-FR"/>
              </w:rPr>
              <w:t>Politique de la nutrition &amp; sécurité alimentaire des ménages</w:t>
            </w:r>
          </w:p>
        </w:tc>
        <w:tc>
          <w:tcPr>
            <w:tcW w:w="2462" w:type="dxa"/>
            <w:shd w:val="clear" w:color="auto" w:fill="auto"/>
          </w:tcPr>
          <w:p w:rsidR="00C81A3C" w:rsidRPr="00C81A3C" w:rsidRDefault="00C81A3C" w:rsidP="009546E1">
            <w:pPr>
              <w:numPr>
                <w:ilvl w:val="0"/>
                <w:numId w:val="6"/>
              </w:numPr>
              <w:tabs>
                <w:tab w:val="clear" w:pos="720"/>
                <w:tab w:val="num" w:pos="252"/>
              </w:tabs>
              <w:suppressAutoHyphens/>
              <w:spacing w:after="120"/>
              <w:ind w:left="252" w:right="115" w:hanging="180"/>
              <w:rPr>
                <w:lang w:val="fr-FR"/>
              </w:rPr>
            </w:pPr>
            <w:r w:rsidRPr="00C81A3C">
              <w:rPr>
                <w:lang w:val="fr-FR"/>
              </w:rPr>
              <w:t>Le chargé du dossier de l</w:t>
            </w:r>
            <w:r w:rsidR="000A3D87">
              <w:rPr>
                <w:lang w:val="fr-FR"/>
              </w:rPr>
              <w:t>’</w:t>
            </w:r>
            <w:r w:rsidRPr="00C81A3C">
              <w:rPr>
                <w:lang w:val="fr-FR"/>
              </w:rPr>
              <w:t>égalité des sexes et l</w:t>
            </w:r>
            <w:r w:rsidR="000A3D87">
              <w:rPr>
                <w:lang w:val="fr-FR"/>
              </w:rPr>
              <w:t>’</w:t>
            </w:r>
            <w:r w:rsidRPr="00C81A3C">
              <w:rPr>
                <w:lang w:val="fr-FR"/>
              </w:rPr>
              <w:t>agent de coordination pour la sécurité alimentaire travaillent de concert</w:t>
            </w:r>
          </w:p>
        </w:tc>
        <w:tc>
          <w:tcPr>
            <w:tcW w:w="2462" w:type="dxa"/>
            <w:shd w:val="clear" w:color="auto" w:fill="auto"/>
          </w:tcPr>
          <w:p w:rsidR="00C81A3C" w:rsidRPr="00C81A3C" w:rsidRDefault="00C81A3C" w:rsidP="009546E1">
            <w:pPr>
              <w:numPr>
                <w:ilvl w:val="0"/>
                <w:numId w:val="6"/>
              </w:numPr>
              <w:tabs>
                <w:tab w:val="clear" w:pos="720"/>
                <w:tab w:val="num" w:pos="252"/>
              </w:tabs>
              <w:suppressAutoHyphens/>
              <w:spacing w:after="120"/>
              <w:ind w:left="354" w:right="115" w:hanging="210"/>
              <w:rPr>
                <w:lang w:val="fr-FR"/>
              </w:rPr>
            </w:pPr>
            <w:r>
              <w:rPr>
                <w:lang w:val="fr-FR"/>
              </w:rPr>
              <w:tab/>
            </w:r>
            <w:r w:rsidRPr="00C81A3C">
              <w:rPr>
                <w:lang w:val="fr-FR"/>
              </w:rPr>
              <w:t>Programmes spécifiques aux femmes utiles pour renforcer leur amour propre et leur aptitude à prendre les décisions qui touchent leur rôle dans l</w:t>
            </w:r>
            <w:r w:rsidR="000A3D87">
              <w:rPr>
                <w:lang w:val="fr-FR"/>
              </w:rPr>
              <w:t>’</w:t>
            </w:r>
            <w:r w:rsidRPr="00C81A3C">
              <w:rPr>
                <w:lang w:val="fr-FR"/>
              </w:rPr>
              <w:t xml:space="preserve">agriculture </w:t>
            </w:r>
          </w:p>
        </w:tc>
      </w:tr>
      <w:tr w:rsidR="00C81A3C" w:rsidRPr="008B63DF">
        <w:tblPrEx>
          <w:tblCellMar>
            <w:top w:w="0" w:type="dxa"/>
            <w:bottom w:w="0" w:type="dxa"/>
          </w:tblCellMar>
        </w:tblPrEx>
        <w:tc>
          <w:tcPr>
            <w:tcW w:w="2462" w:type="dxa"/>
            <w:shd w:val="clear" w:color="auto" w:fill="auto"/>
          </w:tcPr>
          <w:p w:rsidR="00C81A3C" w:rsidRPr="00B86B1D" w:rsidRDefault="006B05BA" w:rsidP="008B63DF">
            <w:pPr>
              <w:tabs>
                <w:tab w:val="left" w:pos="288"/>
                <w:tab w:val="left" w:pos="576"/>
                <w:tab w:val="left" w:pos="864"/>
                <w:tab w:val="left" w:pos="1152"/>
              </w:tabs>
              <w:suppressAutoHyphens/>
              <w:spacing w:before="40" w:after="80"/>
              <w:ind w:right="115"/>
              <w:rPr>
                <w:b/>
                <w:i/>
                <w:lang w:val="fr-FR"/>
              </w:rPr>
            </w:pPr>
            <w:r w:rsidRPr="00B86B1D">
              <w:rPr>
                <w:b/>
                <w:i/>
                <w:lang w:val="fr-FR"/>
              </w:rPr>
              <w:t>Éducation</w:t>
            </w:r>
          </w:p>
        </w:tc>
        <w:tc>
          <w:tcPr>
            <w:tcW w:w="2462" w:type="dxa"/>
            <w:shd w:val="clear" w:color="auto" w:fill="auto"/>
          </w:tcPr>
          <w:p w:rsidR="00C81A3C" w:rsidRPr="00C81A3C" w:rsidRDefault="00C81A3C" w:rsidP="009546E1">
            <w:pPr>
              <w:numPr>
                <w:ilvl w:val="0"/>
                <w:numId w:val="6"/>
              </w:numPr>
              <w:tabs>
                <w:tab w:val="clear" w:pos="720"/>
                <w:tab w:val="num" w:pos="252"/>
              </w:tabs>
              <w:suppressAutoHyphens/>
              <w:spacing w:after="120"/>
              <w:ind w:left="259" w:right="115" w:hanging="187"/>
              <w:rPr>
                <w:lang w:val="fr-FR"/>
              </w:rPr>
            </w:pPr>
            <w:r w:rsidRPr="00C81A3C">
              <w:rPr>
                <w:lang w:val="fr-FR"/>
              </w:rPr>
              <w:t>Enseignement de base pour tous</w:t>
            </w:r>
          </w:p>
          <w:p w:rsidR="00C81A3C" w:rsidRPr="00C81A3C" w:rsidRDefault="00C81A3C" w:rsidP="009546E1">
            <w:pPr>
              <w:numPr>
                <w:ilvl w:val="0"/>
                <w:numId w:val="6"/>
              </w:numPr>
              <w:tabs>
                <w:tab w:val="clear" w:pos="720"/>
                <w:tab w:val="num" w:pos="252"/>
              </w:tabs>
              <w:suppressAutoHyphens/>
              <w:spacing w:after="120"/>
              <w:ind w:left="259" w:right="115" w:hanging="187"/>
              <w:rPr>
                <w:lang w:val="fr-FR"/>
              </w:rPr>
            </w:pPr>
            <w:r w:rsidRPr="00C81A3C">
              <w:rPr>
                <w:lang w:val="fr-FR"/>
              </w:rPr>
              <w:t>Politique d</w:t>
            </w:r>
            <w:r w:rsidR="000A3D87">
              <w:rPr>
                <w:lang w:val="fr-FR"/>
              </w:rPr>
              <w:t>’</w:t>
            </w:r>
            <w:r w:rsidRPr="00C81A3C">
              <w:rPr>
                <w:lang w:val="fr-FR"/>
              </w:rPr>
              <w:t>égalité des sexes pour l</w:t>
            </w:r>
            <w:r w:rsidR="000A3D87">
              <w:rPr>
                <w:lang w:val="fr-FR"/>
              </w:rPr>
              <w:t>’</w:t>
            </w:r>
            <w:r w:rsidRPr="00C81A3C">
              <w:rPr>
                <w:lang w:val="fr-FR"/>
              </w:rPr>
              <w:t>enseignement de base pour tous en cours d</w:t>
            </w:r>
            <w:r w:rsidR="000A3D87">
              <w:rPr>
                <w:lang w:val="fr-FR"/>
              </w:rPr>
              <w:t>’</w:t>
            </w:r>
            <w:r w:rsidRPr="00C81A3C">
              <w:rPr>
                <w:lang w:val="fr-FR"/>
              </w:rPr>
              <w:t>élaboration</w:t>
            </w:r>
          </w:p>
          <w:p w:rsidR="00C81A3C" w:rsidRPr="00C81A3C" w:rsidRDefault="00C81A3C" w:rsidP="009546E1">
            <w:pPr>
              <w:numPr>
                <w:ilvl w:val="0"/>
                <w:numId w:val="6"/>
              </w:numPr>
              <w:tabs>
                <w:tab w:val="clear" w:pos="720"/>
                <w:tab w:val="num" w:pos="252"/>
              </w:tabs>
              <w:suppressAutoHyphens/>
              <w:spacing w:after="120"/>
              <w:ind w:left="259" w:right="115" w:hanging="187"/>
              <w:rPr>
                <w:lang w:val="fr-FR"/>
              </w:rPr>
            </w:pPr>
            <w:r w:rsidRPr="00C81A3C">
              <w:rPr>
                <w:lang w:val="fr-FR"/>
              </w:rPr>
              <w:t>Projet d</w:t>
            </w:r>
            <w:r w:rsidR="000A3D87">
              <w:rPr>
                <w:lang w:val="fr-FR"/>
              </w:rPr>
              <w:t>’</w:t>
            </w:r>
            <w:r w:rsidRPr="00C81A3C">
              <w:rPr>
                <w:lang w:val="fr-FR"/>
              </w:rPr>
              <w:t>éducation des filles</w:t>
            </w:r>
          </w:p>
          <w:p w:rsidR="00C81A3C" w:rsidRPr="00C81A3C" w:rsidRDefault="00C81A3C" w:rsidP="009546E1">
            <w:pPr>
              <w:numPr>
                <w:ilvl w:val="0"/>
                <w:numId w:val="6"/>
              </w:numPr>
              <w:tabs>
                <w:tab w:val="clear" w:pos="720"/>
                <w:tab w:val="num" w:pos="252"/>
              </w:tabs>
              <w:suppressAutoHyphens/>
              <w:spacing w:after="120"/>
              <w:ind w:left="259" w:right="115" w:hanging="187"/>
              <w:rPr>
                <w:lang w:val="fr-FR"/>
              </w:rPr>
            </w:pPr>
            <w:r w:rsidRPr="00C81A3C">
              <w:rPr>
                <w:lang w:val="fr-FR"/>
              </w:rPr>
              <w:t>Programme pour les enfants de la rue</w:t>
            </w:r>
          </w:p>
          <w:p w:rsidR="00C81A3C" w:rsidRPr="00C81A3C" w:rsidRDefault="00C81A3C" w:rsidP="009546E1">
            <w:pPr>
              <w:numPr>
                <w:ilvl w:val="0"/>
                <w:numId w:val="6"/>
              </w:numPr>
              <w:tabs>
                <w:tab w:val="clear" w:pos="720"/>
                <w:tab w:val="num" w:pos="252"/>
              </w:tabs>
              <w:suppressAutoHyphens/>
              <w:spacing w:after="120"/>
              <w:ind w:left="259" w:right="115" w:hanging="187"/>
              <w:rPr>
                <w:lang w:val="fr-FR"/>
              </w:rPr>
            </w:pPr>
            <w:r w:rsidRPr="00C81A3C">
              <w:rPr>
                <w:lang w:val="fr-FR"/>
              </w:rPr>
              <w:t>Programmes pour les groupes spéciaux, notamment les populations nomades, alphabétisation fonctionnelle pour les femmes rurales</w:t>
            </w:r>
          </w:p>
          <w:p w:rsidR="00C81A3C" w:rsidRPr="00C81A3C" w:rsidRDefault="00C81A3C" w:rsidP="009546E1">
            <w:pPr>
              <w:numPr>
                <w:ilvl w:val="0"/>
                <w:numId w:val="6"/>
              </w:numPr>
              <w:tabs>
                <w:tab w:val="clear" w:pos="720"/>
                <w:tab w:val="num" w:pos="252"/>
              </w:tabs>
              <w:suppressAutoHyphens/>
              <w:spacing w:after="120"/>
              <w:ind w:left="259" w:right="115" w:hanging="187"/>
              <w:rPr>
                <w:lang w:val="fr-FR"/>
              </w:rPr>
            </w:pPr>
            <w:r w:rsidRPr="00C81A3C">
              <w:rPr>
                <w:lang w:val="fr-FR"/>
              </w:rPr>
              <w:t>Programme NEEDS</w:t>
            </w:r>
          </w:p>
          <w:p w:rsidR="00C81A3C" w:rsidRPr="00C81A3C" w:rsidRDefault="00C81A3C" w:rsidP="009546E1">
            <w:pPr>
              <w:numPr>
                <w:ilvl w:val="0"/>
                <w:numId w:val="6"/>
              </w:numPr>
              <w:tabs>
                <w:tab w:val="clear" w:pos="720"/>
                <w:tab w:val="num" w:pos="252"/>
              </w:tabs>
              <w:suppressAutoHyphens/>
              <w:spacing w:after="120"/>
              <w:ind w:left="259" w:right="115" w:hanging="187"/>
              <w:rPr>
                <w:lang w:val="fr-FR"/>
              </w:rPr>
            </w:pPr>
            <w:r w:rsidRPr="00C81A3C">
              <w:rPr>
                <w:lang w:val="fr-FR"/>
              </w:rPr>
              <w:t>Programme d</w:t>
            </w:r>
            <w:r w:rsidR="000A3D87">
              <w:rPr>
                <w:lang w:val="fr-FR"/>
              </w:rPr>
              <w:t>’</w:t>
            </w:r>
            <w:r w:rsidRPr="00C81A3C">
              <w:rPr>
                <w:lang w:val="fr-FR"/>
              </w:rPr>
              <w:t>acquisitions des compétences pour les femmes et les jeunes</w:t>
            </w:r>
          </w:p>
        </w:tc>
        <w:tc>
          <w:tcPr>
            <w:tcW w:w="2462" w:type="dxa"/>
            <w:shd w:val="clear" w:color="auto" w:fill="auto"/>
          </w:tcPr>
          <w:p w:rsidR="00C81A3C" w:rsidRPr="00C81A3C" w:rsidRDefault="00C81A3C" w:rsidP="009546E1">
            <w:pPr>
              <w:numPr>
                <w:ilvl w:val="0"/>
                <w:numId w:val="6"/>
              </w:numPr>
              <w:tabs>
                <w:tab w:val="clear" w:pos="720"/>
                <w:tab w:val="num" w:pos="252"/>
              </w:tabs>
              <w:suppressAutoHyphens/>
              <w:spacing w:after="120"/>
              <w:ind w:left="259" w:right="115" w:hanging="187"/>
              <w:rPr>
                <w:lang w:val="fr-FR"/>
              </w:rPr>
            </w:pPr>
            <w:r w:rsidRPr="00C81A3C">
              <w:rPr>
                <w:lang w:val="fr-FR"/>
              </w:rPr>
              <w:t>Formation aux questions d</w:t>
            </w:r>
            <w:r w:rsidR="000A3D87">
              <w:rPr>
                <w:lang w:val="fr-FR"/>
              </w:rPr>
              <w:t>’</w:t>
            </w:r>
            <w:r w:rsidRPr="00C81A3C">
              <w:rPr>
                <w:lang w:val="fr-FR"/>
              </w:rPr>
              <w:t>égalité des sexes pour certains cadres de direction</w:t>
            </w:r>
          </w:p>
          <w:p w:rsidR="00C81A3C" w:rsidRPr="00C81A3C" w:rsidRDefault="00C81A3C" w:rsidP="009546E1">
            <w:pPr>
              <w:numPr>
                <w:ilvl w:val="0"/>
                <w:numId w:val="6"/>
              </w:numPr>
              <w:tabs>
                <w:tab w:val="clear" w:pos="720"/>
                <w:tab w:val="num" w:pos="252"/>
              </w:tabs>
              <w:suppressAutoHyphens/>
              <w:spacing w:after="120"/>
              <w:ind w:left="259" w:right="115" w:hanging="187"/>
              <w:rPr>
                <w:lang w:val="fr-FR"/>
              </w:rPr>
            </w:pPr>
            <w:r w:rsidRPr="00C81A3C">
              <w:rPr>
                <w:lang w:val="fr-FR"/>
              </w:rPr>
              <w:t>Disponibilité de certaines données ventilées</w:t>
            </w:r>
          </w:p>
          <w:p w:rsidR="00C81A3C" w:rsidRPr="00C81A3C" w:rsidRDefault="00C81A3C" w:rsidP="009546E1">
            <w:pPr>
              <w:numPr>
                <w:ilvl w:val="0"/>
                <w:numId w:val="6"/>
              </w:numPr>
              <w:tabs>
                <w:tab w:val="clear" w:pos="720"/>
                <w:tab w:val="num" w:pos="252"/>
              </w:tabs>
              <w:suppressAutoHyphens/>
              <w:spacing w:after="120"/>
              <w:ind w:left="259" w:right="115" w:hanging="187"/>
              <w:rPr>
                <w:lang w:val="fr-FR"/>
              </w:rPr>
            </w:pPr>
            <w:r w:rsidRPr="00C81A3C">
              <w:rPr>
                <w:lang w:val="fr-FR"/>
              </w:rPr>
              <w:t>Le personnel de la Cellule des femmes formé dans le domaine de la prise en compte systématique du souci de l</w:t>
            </w:r>
            <w:r w:rsidR="000A3D87">
              <w:rPr>
                <w:lang w:val="fr-FR"/>
              </w:rPr>
              <w:t>’</w:t>
            </w:r>
            <w:r w:rsidRPr="00C81A3C">
              <w:rPr>
                <w:lang w:val="fr-FR"/>
              </w:rPr>
              <w:t>égalité des sexes</w:t>
            </w:r>
          </w:p>
        </w:tc>
        <w:tc>
          <w:tcPr>
            <w:tcW w:w="2462" w:type="dxa"/>
            <w:shd w:val="clear" w:color="auto" w:fill="auto"/>
          </w:tcPr>
          <w:p w:rsidR="00C81A3C" w:rsidRPr="00C81A3C" w:rsidRDefault="00C81A3C" w:rsidP="009546E1">
            <w:pPr>
              <w:numPr>
                <w:ilvl w:val="0"/>
                <w:numId w:val="6"/>
              </w:numPr>
              <w:tabs>
                <w:tab w:val="clear" w:pos="720"/>
                <w:tab w:val="num" w:pos="252"/>
              </w:tabs>
              <w:suppressAutoHyphens/>
              <w:spacing w:after="120"/>
              <w:ind w:left="252" w:right="115" w:hanging="252"/>
              <w:rPr>
                <w:lang w:val="fr-FR"/>
              </w:rPr>
            </w:pPr>
            <w:r w:rsidRPr="00C81A3C">
              <w:rPr>
                <w:lang w:val="fr-FR"/>
              </w:rPr>
              <w:t>Formation des cadres de direction aux questions d</w:t>
            </w:r>
            <w:r w:rsidR="000A3D87">
              <w:rPr>
                <w:lang w:val="fr-FR"/>
              </w:rPr>
              <w:t>’</w:t>
            </w:r>
            <w:r w:rsidRPr="00C81A3C">
              <w:rPr>
                <w:lang w:val="fr-FR"/>
              </w:rPr>
              <w:t>égalité des sexes dans le domaine du développement. Mise à profit des compétences de l</w:t>
            </w:r>
            <w:r w:rsidR="000A3D87">
              <w:rPr>
                <w:lang w:val="fr-FR"/>
              </w:rPr>
              <w:t>’</w:t>
            </w:r>
            <w:r w:rsidRPr="00C81A3C">
              <w:rPr>
                <w:lang w:val="fr-FR"/>
              </w:rPr>
              <w:t>UNICEF et des ressources du DFID pour le projet d</w:t>
            </w:r>
            <w:r w:rsidR="000A3D87">
              <w:rPr>
                <w:lang w:val="fr-FR"/>
              </w:rPr>
              <w:t>’</w:t>
            </w:r>
            <w:r w:rsidRPr="00C81A3C">
              <w:rPr>
                <w:lang w:val="fr-FR"/>
              </w:rPr>
              <w:t>éduction des filles. Promotion de la participation des femmes par la mise en place d</w:t>
            </w:r>
            <w:r w:rsidR="000A3D87">
              <w:rPr>
                <w:lang w:val="fr-FR"/>
              </w:rPr>
              <w:t>’</w:t>
            </w:r>
            <w:r w:rsidRPr="00C81A3C">
              <w:rPr>
                <w:lang w:val="fr-FR"/>
              </w:rPr>
              <w:t xml:space="preserve">un collège technique des femmes à Gusau. </w:t>
            </w:r>
          </w:p>
        </w:tc>
      </w:tr>
      <w:tr w:rsidR="00C81A3C" w:rsidRPr="008B63DF">
        <w:tblPrEx>
          <w:tblCellMar>
            <w:top w:w="0" w:type="dxa"/>
            <w:bottom w:w="0" w:type="dxa"/>
          </w:tblCellMar>
        </w:tblPrEx>
        <w:tc>
          <w:tcPr>
            <w:tcW w:w="2462" w:type="dxa"/>
            <w:shd w:val="clear" w:color="auto" w:fill="auto"/>
          </w:tcPr>
          <w:p w:rsidR="00C81A3C" w:rsidRPr="00B86B1D" w:rsidRDefault="006B05BA" w:rsidP="008B63DF">
            <w:pPr>
              <w:tabs>
                <w:tab w:val="left" w:pos="288"/>
                <w:tab w:val="left" w:pos="576"/>
                <w:tab w:val="left" w:pos="864"/>
                <w:tab w:val="left" w:pos="1152"/>
              </w:tabs>
              <w:suppressAutoHyphens/>
              <w:spacing w:before="40" w:after="80"/>
              <w:ind w:right="115"/>
              <w:rPr>
                <w:b/>
                <w:i/>
                <w:lang w:val="fr-FR"/>
              </w:rPr>
            </w:pPr>
            <w:r w:rsidRPr="00B86B1D">
              <w:rPr>
                <w:b/>
                <w:i/>
                <w:lang w:val="fr-FR"/>
              </w:rPr>
              <w:t>Développement rural</w:t>
            </w:r>
          </w:p>
        </w:tc>
        <w:tc>
          <w:tcPr>
            <w:tcW w:w="2462" w:type="dxa"/>
            <w:shd w:val="clear" w:color="auto" w:fill="auto"/>
          </w:tcPr>
          <w:p w:rsidR="00C81A3C" w:rsidRPr="00C81A3C" w:rsidRDefault="00C81A3C" w:rsidP="009546E1">
            <w:pPr>
              <w:numPr>
                <w:ilvl w:val="0"/>
                <w:numId w:val="6"/>
              </w:numPr>
              <w:tabs>
                <w:tab w:val="clear" w:pos="720"/>
                <w:tab w:val="num" w:pos="252"/>
              </w:tabs>
              <w:suppressAutoHyphens/>
              <w:spacing w:after="120"/>
              <w:ind w:left="259" w:right="115" w:hanging="187"/>
              <w:rPr>
                <w:lang w:val="fr-FR"/>
              </w:rPr>
            </w:pPr>
            <w:r w:rsidRPr="00C81A3C">
              <w:rPr>
                <w:b/>
                <w:bCs/>
                <w:lang w:val="fr-FR"/>
              </w:rPr>
              <w:t>Alimentation en eau </w:t>
            </w:r>
            <w:r w:rsidRPr="00C81A3C">
              <w:rPr>
                <w:lang w:val="fr-FR"/>
              </w:rPr>
              <w:t>: Politique de l</w:t>
            </w:r>
            <w:r w:rsidR="000A3D87">
              <w:rPr>
                <w:lang w:val="fr-FR"/>
              </w:rPr>
              <w:t>’</w:t>
            </w:r>
            <w:r w:rsidRPr="00C81A3C">
              <w:rPr>
                <w:lang w:val="fr-FR"/>
              </w:rPr>
              <w:t>eau reconnaît les besoins spéciaux des femmes. Pompes à main installées dans certaines collectivités rurales sont d</w:t>
            </w:r>
            <w:r w:rsidR="000A3D87">
              <w:rPr>
                <w:lang w:val="fr-FR"/>
              </w:rPr>
              <w:t>’</w:t>
            </w:r>
            <w:r w:rsidRPr="00C81A3C">
              <w:rPr>
                <w:lang w:val="fr-FR"/>
              </w:rPr>
              <w:t xml:space="preserve">usage facile pour les femmes.  </w:t>
            </w:r>
          </w:p>
        </w:tc>
        <w:tc>
          <w:tcPr>
            <w:tcW w:w="2462" w:type="dxa"/>
            <w:shd w:val="clear" w:color="auto" w:fill="auto"/>
          </w:tcPr>
          <w:p w:rsidR="00C81A3C" w:rsidRPr="00C81A3C" w:rsidRDefault="00C81A3C" w:rsidP="009546E1">
            <w:pPr>
              <w:numPr>
                <w:ilvl w:val="0"/>
                <w:numId w:val="6"/>
              </w:numPr>
              <w:tabs>
                <w:tab w:val="clear" w:pos="720"/>
                <w:tab w:val="num" w:pos="252"/>
              </w:tabs>
              <w:suppressAutoHyphens/>
              <w:spacing w:after="120"/>
              <w:ind w:left="259" w:right="115" w:hanging="187"/>
              <w:rPr>
                <w:lang w:val="fr-FR"/>
              </w:rPr>
            </w:pPr>
            <w:r w:rsidRPr="00C81A3C">
              <w:rPr>
                <w:lang w:val="fr-FR"/>
              </w:rPr>
              <w:t>Les besoins pratiques des femmes en matière d</w:t>
            </w:r>
            <w:r w:rsidR="000A3D87">
              <w:rPr>
                <w:lang w:val="fr-FR"/>
              </w:rPr>
              <w:t>’</w:t>
            </w:r>
            <w:r w:rsidRPr="00C81A3C">
              <w:rPr>
                <w:lang w:val="fr-FR"/>
              </w:rPr>
              <w:t>égalité des sexes pris en compte.</w:t>
            </w:r>
          </w:p>
        </w:tc>
        <w:tc>
          <w:tcPr>
            <w:tcW w:w="2462" w:type="dxa"/>
            <w:shd w:val="clear" w:color="auto" w:fill="auto"/>
          </w:tcPr>
          <w:p w:rsidR="00C81A3C" w:rsidRPr="00C81A3C" w:rsidRDefault="00C81A3C" w:rsidP="009546E1">
            <w:pPr>
              <w:numPr>
                <w:ilvl w:val="0"/>
                <w:numId w:val="6"/>
              </w:numPr>
              <w:tabs>
                <w:tab w:val="clear" w:pos="720"/>
                <w:tab w:val="num" w:pos="252"/>
              </w:tabs>
              <w:suppressAutoHyphens/>
              <w:spacing w:after="120"/>
              <w:ind w:left="252" w:right="115" w:hanging="252"/>
              <w:rPr>
                <w:lang w:val="fr-FR"/>
              </w:rPr>
            </w:pPr>
            <w:r w:rsidRPr="00C81A3C">
              <w:rPr>
                <w:lang w:val="fr-FR"/>
              </w:rPr>
              <w:t>Existence de la politique nationale de l</w:t>
            </w:r>
            <w:r w:rsidR="000A3D87">
              <w:rPr>
                <w:lang w:val="fr-FR"/>
              </w:rPr>
              <w:t>’</w:t>
            </w:r>
            <w:r w:rsidRPr="00C81A3C">
              <w:rPr>
                <w:lang w:val="fr-FR"/>
              </w:rPr>
              <w:t>eau pour renforcer la prise en compte des questions d</w:t>
            </w:r>
            <w:r w:rsidR="000A3D87">
              <w:rPr>
                <w:lang w:val="fr-FR"/>
              </w:rPr>
              <w:t>’</w:t>
            </w:r>
            <w:r w:rsidRPr="00C81A3C">
              <w:rPr>
                <w:lang w:val="fr-FR"/>
              </w:rPr>
              <w:t>égalité des sexes par le biais d</w:t>
            </w:r>
            <w:r w:rsidR="000A3D87">
              <w:rPr>
                <w:lang w:val="fr-FR"/>
              </w:rPr>
              <w:t>’</w:t>
            </w:r>
            <w:r w:rsidRPr="00C81A3C">
              <w:rPr>
                <w:lang w:val="fr-FR"/>
              </w:rPr>
              <w:t xml:space="preserve">un examen </w:t>
            </w:r>
          </w:p>
        </w:tc>
      </w:tr>
      <w:tr w:rsidR="008B63DF" w:rsidRPr="008B63DF">
        <w:tblPrEx>
          <w:tblCellMar>
            <w:top w:w="0" w:type="dxa"/>
            <w:bottom w:w="0" w:type="dxa"/>
          </w:tblCellMar>
        </w:tblPrEx>
        <w:tc>
          <w:tcPr>
            <w:tcW w:w="2462" w:type="dxa"/>
            <w:tcBorders>
              <w:bottom w:val="single" w:sz="12" w:space="0" w:color="auto"/>
            </w:tcBorders>
            <w:shd w:val="clear" w:color="auto" w:fill="auto"/>
          </w:tcPr>
          <w:p w:rsidR="008B63DF" w:rsidRPr="008B63DF" w:rsidRDefault="008B63DF" w:rsidP="008B63DF">
            <w:pPr>
              <w:tabs>
                <w:tab w:val="left" w:pos="288"/>
                <w:tab w:val="left" w:pos="576"/>
                <w:tab w:val="left" w:pos="864"/>
                <w:tab w:val="left" w:pos="1152"/>
              </w:tabs>
              <w:suppressAutoHyphens/>
              <w:spacing w:before="40" w:after="80"/>
              <w:ind w:right="115"/>
              <w:rPr>
                <w:lang w:val="fr-FR"/>
              </w:rPr>
            </w:pPr>
          </w:p>
        </w:tc>
        <w:tc>
          <w:tcPr>
            <w:tcW w:w="2462" w:type="dxa"/>
            <w:tcBorders>
              <w:bottom w:val="single" w:sz="12" w:space="0" w:color="auto"/>
            </w:tcBorders>
            <w:shd w:val="clear" w:color="auto" w:fill="auto"/>
          </w:tcPr>
          <w:p w:rsidR="008B63DF" w:rsidRPr="00C81A3C" w:rsidRDefault="00C81A3C" w:rsidP="009546E1">
            <w:pPr>
              <w:numPr>
                <w:ilvl w:val="1"/>
                <w:numId w:val="6"/>
              </w:numPr>
              <w:tabs>
                <w:tab w:val="clear" w:pos="1080"/>
                <w:tab w:val="left" w:pos="288"/>
                <w:tab w:val="left" w:pos="576"/>
                <w:tab w:val="left" w:pos="864"/>
              </w:tabs>
              <w:suppressAutoHyphens/>
              <w:spacing w:before="40" w:after="120"/>
              <w:ind w:left="328" w:right="115" w:hanging="270"/>
              <w:rPr>
                <w:lang w:val="fr-FR"/>
              </w:rPr>
            </w:pPr>
            <w:r w:rsidRPr="00C81A3C">
              <w:rPr>
                <w:b/>
                <w:bCs/>
                <w:lang w:val="fr-FR"/>
              </w:rPr>
              <w:t>Électrification rurale</w:t>
            </w:r>
            <w:r w:rsidR="006B05BA">
              <w:rPr>
                <w:b/>
                <w:bCs/>
                <w:lang w:val="fr-FR"/>
              </w:rPr>
              <w:t> </w:t>
            </w:r>
            <w:r w:rsidRPr="00C81A3C">
              <w:rPr>
                <w:b/>
                <w:bCs/>
                <w:lang w:val="fr-FR"/>
              </w:rPr>
              <w:t xml:space="preserve">: </w:t>
            </w:r>
            <w:r w:rsidRPr="006B05BA">
              <w:rPr>
                <w:bCs/>
                <w:lang w:val="fr-FR"/>
              </w:rPr>
              <w:t>Aucun</w:t>
            </w:r>
            <w:r w:rsidRPr="00C81A3C">
              <w:rPr>
                <w:bCs/>
                <w:lang w:val="fr-FR"/>
              </w:rPr>
              <w:t xml:space="preserve"> mandat distinct pour l</w:t>
            </w:r>
            <w:r w:rsidR="000A3D87">
              <w:rPr>
                <w:bCs/>
                <w:lang w:val="fr-FR"/>
              </w:rPr>
              <w:t>’</w:t>
            </w:r>
            <w:r w:rsidRPr="00C81A3C">
              <w:rPr>
                <w:bCs/>
                <w:lang w:val="fr-FR"/>
              </w:rPr>
              <w:t>électrification rurale au niveau fédéral</w:t>
            </w:r>
            <w:r w:rsidRPr="00C81A3C">
              <w:rPr>
                <w:lang w:val="fr-FR"/>
              </w:rPr>
              <w:t>.</w:t>
            </w:r>
          </w:p>
        </w:tc>
        <w:tc>
          <w:tcPr>
            <w:tcW w:w="2462" w:type="dxa"/>
            <w:tcBorders>
              <w:bottom w:val="single" w:sz="12" w:space="0" w:color="auto"/>
            </w:tcBorders>
            <w:shd w:val="clear" w:color="auto" w:fill="auto"/>
          </w:tcPr>
          <w:p w:rsidR="008B63DF" w:rsidRPr="008B63DF" w:rsidRDefault="008B63DF" w:rsidP="006B05BA">
            <w:pPr>
              <w:tabs>
                <w:tab w:val="left" w:pos="288"/>
                <w:tab w:val="left" w:pos="576"/>
                <w:tab w:val="left" w:pos="864"/>
                <w:tab w:val="left" w:pos="1152"/>
              </w:tabs>
              <w:suppressAutoHyphens/>
              <w:spacing w:before="40" w:after="80"/>
              <w:ind w:right="115" w:hanging="2404"/>
              <w:rPr>
                <w:lang w:val="fr-FR"/>
              </w:rPr>
            </w:pPr>
          </w:p>
        </w:tc>
        <w:tc>
          <w:tcPr>
            <w:tcW w:w="2462" w:type="dxa"/>
            <w:tcBorders>
              <w:bottom w:val="single" w:sz="12" w:space="0" w:color="auto"/>
            </w:tcBorders>
            <w:shd w:val="clear" w:color="auto" w:fill="auto"/>
          </w:tcPr>
          <w:p w:rsidR="008B63DF" w:rsidRPr="008B63DF" w:rsidRDefault="008B63DF" w:rsidP="008B63DF">
            <w:pPr>
              <w:tabs>
                <w:tab w:val="left" w:pos="288"/>
                <w:tab w:val="left" w:pos="576"/>
                <w:tab w:val="left" w:pos="864"/>
                <w:tab w:val="left" w:pos="1152"/>
              </w:tabs>
              <w:suppressAutoHyphens/>
              <w:spacing w:before="40" w:after="80"/>
              <w:ind w:right="115"/>
              <w:rPr>
                <w:lang w:val="fr-FR"/>
              </w:rPr>
            </w:pPr>
          </w:p>
        </w:tc>
      </w:tr>
    </w:tbl>
    <w:p w:rsidR="006B05BA" w:rsidRPr="006B05BA" w:rsidRDefault="006B05BA" w:rsidP="006B05BA">
      <w:pPr>
        <w:pStyle w:val="SingleTxt"/>
        <w:spacing w:after="0" w:line="120" w:lineRule="exact"/>
        <w:rPr>
          <w:b/>
          <w:bCs/>
          <w:iCs/>
          <w:sz w:val="10"/>
          <w:lang w:val="fr-FR"/>
        </w:rPr>
      </w:pPr>
    </w:p>
    <w:p w:rsidR="003A6F57" w:rsidRPr="00D35192" w:rsidRDefault="003A6F57" w:rsidP="006B05BA">
      <w:pPr>
        <w:pStyle w:val="SingleTxt"/>
        <w:spacing w:after="0" w:line="240" w:lineRule="auto"/>
        <w:rPr>
          <w:b/>
          <w:bCs/>
          <w:iCs/>
          <w:sz w:val="17"/>
          <w:szCs w:val="17"/>
          <w:lang w:val="en-CA"/>
        </w:rPr>
      </w:pPr>
      <w:r w:rsidRPr="00D35192">
        <w:rPr>
          <w:i/>
          <w:sz w:val="17"/>
          <w:szCs w:val="17"/>
          <w:lang w:val="en-CA"/>
        </w:rPr>
        <w:t>Source</w:t>
      </w:r>
      <w:r w:rsidRPr="00D35192">
        <w:rPr>
          <w:sz w:val="17"/>
          <w:szCs w:val="17"/>
          <w:lang w:val="en-CA"/>
        </w:rPr>
        <w:t xml:space="preserve"> : Gender Mainstreaming and challenges to Gender Equality in </w:t>
      </w:r>
      <w:smartTag w:uri="urn:schemas-microsoft-com:office:smarttags" w:element="country-region">
        <w:smartTag w:uri="urn:schemas-microsoft-com:office:smarttags" w:element="place">
          <w:r w:rsidRPr="00D35192">
            <w:rPr>
              <w:sz w:val="17"/>
              <w:szCs w:val="17"/>
              <w:lang w:val="en-CA"/>
            </w:rPr>
            <w:t>Nigeria</w:t>
          </w:r>
        </w:smartTag>
      </w:smartTag>
      <w:r w:rsidRPr="00D35192">
        <w:rPr>
          <w:sz w:val="17"/>
          <w:szCs w:val="17"/>
          <w:lang w:val="en-CA"/>
        </w:rPr>
        <w:t xml:space="preserve">: </w:t>
      </w:r>
      <w:r w:rsidRPr="00D35192">
        <w:rPr>
          <w:b/>
          <w:bCs/>
          <w:iCs/>
          <w:sz w:val="17"/>
          <w:szCs w:val="17"/>
          <w:lang w:val="en-CA"/>
        </w:rPr>
        <w:t>Analysis of findings (WRAPA)</w:t>
      </w:r>
    </w:p>
    <w:p w:rsidR="006B05BA" w:rsidRPr="00D35192" w:rsidRDefault="006B05BA" w:rsidP="006B05BA">
      <w:pPr>
        <w:pStyle w:val="SingleTxt"/>
        <w:spacing w:after="0" w:line="120" w:lineRule="exact"/>
        <w:rPr>
          <w:b/>
          <w:bCs/>
          <w:iCs/>
          <w:sz w:val="10"/>
          <w:szCs w:val="17"/>
          <w:lang w:val="en-CA"/>
        </w:rPr>
      </w:pPr>
    </w:p>
    <w:p w:rsidR="006B05BA" w:rsidRPr="00D35192" w:rsidRDefault="006B05BA" w:rsidP="006B05BA">
      <w:pPr>
        <w:pStyle w:val="SingleTxt"/>
        <w:spacing w:after="0" w:line="120" w:lineRule="exact"/>
        <w:rPr>
          <w:b/>
          <w:bCs/>
          <w:iCs/>
          <w:sz w:val="10"/>
          <w:szCs w:val="17"/>
          <w:lang w:val="en-CA"/>
        </w:rPr>
      </w:pPr>
    </w:p>
    <w:p w:rsidR="003A6F57" w:rsidRDefault="006B05BA" w:rsidP="006B05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35192">
        <w:rPr>
          <w:lang w:val="en-CA"/>
        </w:rPr>
        <w:tab/>
      </w:r>
      <w:r>
        <w:rPr>
          <w:lang w:val="fr-FR"/>
        </w:rPr>
        <w:t>3</w:t>
      </w:r>
      <w:r w:rsidR="003A6F57" w:rsidRPr="005D6CD4">
        <w:rPr>
          <w:lang w:val="fr-FR"/>
        </w:rPr>
        <w:t>.3</w:t>
      </w:r>
      <w:r>
        <w:rPr>
          <w:lang w:val="fr-FR"/>
        </w:rPr>
        <w:tab/>
      </w:r>
      <w:r w:rsidR="003A6F57" w:rsidRPr="005D6CD4">
        <w:rPr>
          <w:lang w:val="fr-FR"/>
        </w:rPr>
        <w:t>Progrès dans la prévention de la violence à l</w:t>
      </w:r>
      <w:r w:rsidR="000A3D87">
        <w:rPr>
          <w:lang w:val="fr-FR"/>
        </w:rPr>
        <w:t>’</w:t>
      </w:r>
      <w:r w:rsidR="003A6F57" w:rsidRPr="005D6CD4">
        <w:rPr>
          <w:lang w:val="fr-FR"/>
        </w:rPr>
        <w:t>égard des femmes</w:t>
      </w:r>
    </w:p>
    <w:p w:rsidR="006B05BA" w:rsidRPr="006B05BA" w:rsidRDefault="006B05BA" w:rsidP="006B05BA">
      <w:pPr>
        <w:pStyle w:val="SingleTxt"/>
        <w:spacing w:after="0" w:line="120" w:lineRule="exact"/>
        <w:rPr>
          <w:sz w:val="10"/>
          <w:lang w:val="fr-FR"/>
        </w:rPr>
      </w:pPr>
    </w:p>
    <w:p w:rsidR="003A6F57" w:rsidRPr="005D6CD4" w:rsidRDefault="003A6F57" w:rsidP="0008640F">
      <w:pPr>
        <w:pStyle w:val="SingleTxt"/>
        <w:rPr>
          <w:lang w:val="fr-FR"/>
        </w:rPr>
      </w:pPr>
      <w:r w:rsidRPr="005D6CD4">
        <w:rPr>
          <w:lang w:val="fr-FR"/>
        </w:rPr>
        <w:t xml:space="preserve">3.3.1 </w:t>
      </w:r>
      <w:r w:rsidR="006B05BA">
        <w:rPr>
          <w:lang w:val="fr-FR"/>
        </w:rPr>
        <w:t xml:space="preserve"> </w:t>
      </w:r>
      <w:r w:rsidRPr="005D6CD4">
        <w:rPr>
          <w:lang w:val="fr-FR"/>
        </w:rPr>
        <w:t xml:space="preserve">Mesures administratives et juridiques </w:t>
      </w:r>
    </w:p>
    <w:p w:rsidR="003A6F57" w:rsidRDefault="006B05BA" w:rsidP="0008640F">
      <w:pPr>
        <w:pStyle w:val="SingleTxt"/>
        <w:rPr>
          <w:lang w:val="fr-FR"/>
        </w:rPr>
      </w:pPr>
      <w:r>
        <w:rPr>
          <w:lang w:val="fr-FR"/>
        </w:rPr>
        <w:tab/>
      </w:r>
      <w:r w:rsidR="003A6F57" w:rsidRPr="005D6CD4">
        <w:rPr>
          <w:lang w:val="fr-FR"/>
        </w:rPr>
        <w:t>Entre la période du dernier rapport et maintenant, le Gouvernement, se rendant compte du niveau de violence sexiste dans le pays, a engagé des mesures plus concertées visant à réduire la gravité de cette violence par l</w:t>
      </w:r>
      <w:r w:rsidR="000A3D87">
        <w:rPr>
          <w:lang w:val="fr-FR"/>
        </w:rPr>
        <w:t>’</w:t>
      </w:r>
      <w:r w:rsidR="003A6F57" w:rsidRPr="005D6CD4">
        <w:rPr>
          <w:lang w:val="fr-FR"/>
        </w:rPr>
        <w:t>introduction d</w:t>
      </w:r>
      <w:r w:rsidR="000A3D87">
        <w:rPr>
          <w:lang w:val="fr-FR"/>
        </w:rPr>
        <w:t>’</w:t>
      </w:r>
      <w:r w:rsidR="003A6F57" w:rsidRPr="005D6CD4">
        <w:rPr>
          <w:lang w:val="fr-FR"/>
        </w:rPr>
        <w:t>un encadrement judiciaire global. Dans cette perspective, le ministère fédéral de la Justice a terminé et transmis</w:t>
      </w:r>
      <w:r w:rsidR="003A6F57">
        <w:rPr>
          <w:lang w:val="fr-FR"/>
        </w:rPr>
        <w:t xml:space="preserve"> </w:t>
      </w:r>
      <w:r w:rsidR="003A6F57" w:rsidRPr="005D6CD4">
        <w:rPr>
          <w:lang w:val="fr-FR"/>
        </w:rPr>
        <w:t>à l</w:t>
      </w:r>
      <w:r w:rsidR="000A3D87">
        <w:rPr>
          <w:lang w:val="fr-FR"/>
        </w:rPr>
        <w:t>’</w:t>
      </w:r>
      <w:r w:rsidR="003A6F57" w:rsidRPr="005D6CD4">
        <w:rPr>
          <w:lang w:val="fr-FR"/>
        </w:rPr>
        <w:t xml:space="preserve">Assemblée nationale, un texte de loi intitulée </w:t>
      </w:r>
      <w:r w:rsidR="00B86B1D">
        <w:rPr>
          <w:lang w:val="fr-FR"/>
        </w:rPr>
        <w:t>« </w:t>
      </w:r>
      <w:r w:rsidR="003A6F57" w:rsidRPr="00B86B1D">
        <w:rPr>
          <w:b/>
          <w:lang w:val="fr-FR"/>
        </w:rPr>
        <w:t>Loi sur l</w:t>
      </w:r>
      <w:r w:rsidR="000A3D87" w:rsidRPr="00B86B1D">
        <w:rPr>
          <w:b/>
          <w:lang w:val="fr-FR"/>
        </w:rPr>
        <w:t>’</w:t>
      </w:r>
      <w:r w:rsidR="003A6F57" w:rsidRPr="00B86B1D">
        <w:rPr>
          <w:b/>
          <w:lang w:val="fr-FR"/>
        </w:rPr>
        <w:t>élimination de la violence dans la société, 2006</w:t>
      </w:r>
      <w:r w:rsidR="000A3D87">
        <w:rPr>
          <w:lang w:val="fr-FR"/>
        </w:rPr>
        <w:t> »</w:t>
      </w:r>
      <w:r w:rsidR="003A6F57" w:rsidRPr="005D6CD4">
        <w:rPr>
          <w:lang w:val="fr-FR"/>
        </w:rPr>
        <w:t>, à titre de proposition à adopter sous forme de loi. L</w:t>
      </w:r>
      <w:r w:rsidR="003A6F57">
        <w:rPr>
          <w:lang w:val="fr-FR"/>
        </w:rPr>
        <w:t xml:space="preserve">e </w:t>
      </w:r>
      <w:r w:rsidR="003A6F57" w:rsidRPr="005D6CD4">
        <w:rPr>
          <w:lang w:val="fr-FR"/>
        </w:rPr>
        <w:t>pro</w:t>
      </w:r>
      <w:r w:rsidR="003A6F57">
        <w:rPr>
          <w:lang w:val="fr-FR"/>
        </w:rPr>
        <w:t xml:space="preserve">jet </w:t>
      </w:r>
      <w:r w:rsidR="003A6F57" w:rsidRPr="005D6CD4">
        <w:rPr>
          <w:lang w:val="fr-FR"/>
        </w:rPr>
        <w:t xml:space="preserve">de loi tient compte des obligations internationales du </w:t>
      </w:r>
      <w:r w:rsidR="003A6F57">
        <w:rPr>
          <w:lang w:val="fr-FR"/>
        </w:rPr>
        <w:t>Nigéria</w:t>
      </w:r>
      <w:r w:rsidR="003A6F57" w:rsidRPr="005D6CD4">
        <w:rPr>
          <w:lang w:val="fr-FR"/>
        </w:rPr>
        <w:t xml:space="preserve"> et contient plusieurs sections définissant la violence à l</w:t>
      </w:r>
      <w:r w:rsidR="000A3D87">
        <w:rPr>
          <w:lang w:val="fr-FR"/>
        </w:rPr>
        <w:t>’</w:t>
      </w:r>
      <w:r w:rsidR="003A6F57" w:rsidRPr="005D6CD4">
        <w:rPr>
          <w:lang w:val="fr-FR"/>
        </w:rPr>
        <w:t xml:space="preserve">égard des femmes et des filles et interdisant de tels actes dans la société. </w:t>
      </w:r>
    </w:p>
    <w:p w:rsidR="006B05BA" w:rsidRPr="006B05BA" w:rsidRDefault="006B05BA" w:rsidP="006B05BA">
      <w:pPr>
        <w:pStyle w:val="SingleTxt"/>
        <w:spacing w:after="0" w:line="120" w:lineRule="exact"/>
        <w:rPr>
          <w:sz w:val="10"/>
          <w:lang w:val="fr-FR"/>
        </w:rPr>
      </w:pPr>
    </w:p>
    <w:p w:rsidR="003A6F57" w:rsidRDefault="006B05BA" w:rsidP="006B05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3A6F57" w:rsidRPr="005D6CD4">
        <w:rPr>
          <w:lang w:val="fr-FR"/>
        </w:rPr>
        <w:t xml:space="preserve">3.4 </w:t>
      </w:r>
      <w:r>
        <w:rPr>
          <w:lang w:val="fr-FR"/>
        </w:rPr>
        <w:tab/>
      </w:r>
      <w:r w:rsidR="003A6F57" w:rsidRPr="005D6CD4">
        <w:rPr>
          <w:lang w:val="fr-FR"/>
        </w:rPr>
        <w:t>Efforts visant à éliminer les pratiques de veuvage, le mariage des enfants et les mutilations génitales féminines (MGF)</w:t>
      </w:r>
    </w:p>
    <w:p w:rsidR="006B05BA" w:rsidRPr="006B05BA" w:rsidRDefault="006B05BA" w:rsidP="006B05BA">
      <w:pPr>
        <w:pStyle w:val="SingleTxt"/>
        <w:spacing w:after="0" w:line="120" w:lineRule="exact"/>
        <w:rPr>
          <w:sz w:val="10"/>
          <w:lang w:val="fr-FR"/>
        </w:rPr>
      </w:pPr>
    </w:p>
    <w:p w:rsidR="003A6F57" w:rsidRPr="005D6CD4" w:rsidRDefault="003A6F57" w:rsidP="0008640F">
      <w:pPr>
        <w:pStyle w:val="SingleTxt"/>
        <w:rPr>
          <w:lang w:val="fr-FR"/>
        </w:rPr>
      </w:pPr>
      <w:r w:rsidRPr="005D6CD4">
        <w:rPr>
          <w:lang w:val="fr-FR"/>
        </w:rPr>
        <w:t xml:space="preserve">3.4.1 </w:t>
      </w:r>
      <w:r w:rsidR="006B05BA">
        <w:rPr>
          <w:lang w:val="fr-FR"/>
        </w:rPr>
        <w:t xml:space="preserve"> </w:t>
      </w:r>
      <w:r w:rsidRPr="005D6CD4">
        <w:rPr>
          <w:lang w:val="fr-FR"/>
        </w:rPr>
        <w:t>À l</w:t>
      </w:r>
      <w:r w:rsidR="000A3D87">
        <w:rPr>
          <w:lang w:val="fr-FR"/>
        </w:rPr>
        <w:t>’</w:t>
      </w:r>
      <w:r w:rsidRPr="005D6CD4">
        <w:rPr>
          <w:lang w:val="fr-FR"/>
        </w:rPr>
        <w:t>appui des différentes lois fédérales, les Assemblées législatives de certains États ont récemment édicté des lois interdisant la violation des droits des femmes et punissant les auteurs de violence et ce, en particulier dans les États suivants : Rivers, Anambra Ogun, Ekiti, Anambra et Edo.</w:t>
      </w:r>
    </w:p>
    <w:p w:rsidR="003A6F57" w:rsidRPr="005D6CD4" w:rsidRDefault="003A6F57" w:rsidP="0008640F">
      <w:pPr>
        <w:pStyle w:val="SingleTxt"/>
        <w:rPr>
          <w:color w:val="000000"/>
          <w:lang w:val="fr-FR"/>
        </w:rPr>
      </w:pPr>
      <w:r w:rsidRPr="005D6CD4">
        <w:rPr>
          <w:color w:val="000000"/>
          <w:lang w:val="fr-FR"/>
        </w:rPr>
        <w:t xml:space="preserve">3.4.2 </w:t>
      </w:r>
      <w:r w:rsidR="006B05BA">
        <w:rPr>
          <w:color w:val="000000"/>
          <w:lang w:val="fr-FR"/>
        </w:rPr>
        <w:t xml:space="preserve"> </w:t>
      </w:r>
      <w:r w:rsidRPr="005D6CD4">
        <w:rPr>
          <w:color w:val="000000"/>
          <w:lang w:val="fr-FR"/>
        </w:rPr>
        <w:t xml:space="preserve">Le </w:t>
      </w:r>
      <w:r>
        <w:rPr>
          <w:color w:val="000000"/>
          <w:lang w:val="fr-FR"/>
        </w:rPr>
        <w:t>C</w:t>
      </w:r>
      <w:r w:rsidRPr="005D6CD4">
        <w:rPr>
          <w:color w:val="000000"/>
          <w:lang w:val="fr-FR"/>
        </w:rPr>
        <w:t>ode pénal des différents États prévoit une disposition sur l</w:t>
      </w:r>
      <w:r w:rsidR="000A3D87">
        <w:rPr>
          <w:color w:val="000000"/>
          <w:lang w:val="fr-FR"/>
        </w:rPr>
        <w:t>’</w:t>
      </w:r>
      <w:r w:rsidRPr="005D6CD4">
        <w:rPr>
          <w:color w:val="000000"/>
          <w:lang w:val="fr-FR"/>
        </w:rPr>
        <w:t>interdiction et la répression du viol des femmes et des fillettes, la négligence des enfants, en particulier pour ce qui est des biens de première nécessité</w:t>
      </w:r>
      <w:r w:rsidR="00D17E6C">
        <w:rPr>
          <w:color w:val="000000"/>
          <w:lang w:val="fr-FR"/>
        </w:rPr>
        <w:t>;</w:t>
      </w:r>
      <w:r>
        <w:rPr>
          <w:color w:val="000000"/>
          <w:lang w:val="fr-FR"/>
        </w:rPr>
        <w:t xml:space="preserve"> </w:t>
      </w:r>
      <w:r w:rsidRPr="005D6CD4">
        <w:rPr>
          <w:color w:val="000000"/>
          <w:lang w:val="fr-FR"/>
        </w:rPr>
        <w:t>la défloration d</w:t>
      </w:r>
      <w:r w:rsidR="000A3D87">
        <w:rPr>
          <w:color w:val="000000"/>
          <w:lang w:val="fr-FR"/>
        </w:rPr>
        <w:t>’</w:t>
      </w:r>
      <w:r w:rsidRPr="005D6CD4">
        <w:rPr>
          <w:color w:val="000000"/>
          <w:lang w:val="fr-FR"/>
        </w:rPr>
        <w:t>enfants de moins de 13 et 16 ans respectivement</w:t>
      </w:r>
      <w:r w:rsidR="00D17E6C">
        <w:rPr>
          <w:color w:val="000000"/>
          <w:lang w:val="fr-FR"/>
        </w:rPr>
        <w:t>;</w:t>
      </w:r>
      <w:r w:rsidRPr="005D6CD4">
        <w:rPr>
          <w:color w:val="000000"/>
          <w:lang w:val="fr-FR"/>
        </w:rPr>
        <w:t xml:space="preserve"> ainsi que l</w:t>
      </w:r>
      <w:r w:rsidR="000A3D87">
        <w:rPr>
          <w:color w:val="000000"/>
          <w:lang w:val="fr-FR"/>
        </w:rPr>
        <w:t>’</w:t>
      </w:r>
      <w:r w:rsidRPr="005D6CD4">
        <w:rPr>
          <w:color w:val="000000"/>
          <w:lang w:val="fr-FR"/>
        </w:rPr>
        <w:t xml:space="preserve">exploitation et le traitement indécent des garçons et des filles. </w:t>
      </w:r>
    </w:p>
    <w:p w:rsidR="003A6F57" w:rsidRPr="005D6CD4" w:rsidRDefault="006B05BA" w:rsidP="0008640F">
      <w:pPr>
        <w:pStyle w:val="SingleTxt"/>
        <w:rPr>
          <w:color w:val="000000"/>
          <w:lang w:val="fr-FR"/>
        </w:rPr>
      </w:pPr>
      <w:r>
        <w:rPr>
          <w:color w:val="000000"/>
          <w:lang w:val="fr-FR"/>
        </w:rPr>
        <w:tab/>
      </w:r>
      <w:r w:rsidR="003A6F57" w:rsidRPr="005D6CD4">
        <w:rPr>
          <w:color w:val="000000"/>
          <w:lang w:val="fr-FR"/>
        </w:rPr>
        <w:t>Les campagnes d</w:t>
      </w:r>
      <w:r w:rsidR="000A3D87">
        <w:rPr>
          <w:color w:val="000000"/>
          <w:lang w:val="fr-FR"/>
        </w:rPr>
        <w:t>’</w:t>
      </w:r>
      <w:r w:rsidR="003A6F57" w:rsidRPr="005D6CD4">
        <w:rPr>
          <w:color w:val="000000"/>
          <w:lang w:val="fr-FR"/>
        </w:rPr>
        <w:t xml:space="preserve">information du public et médiatiques visant à informer le grand public des dispositions de </w:t>
      </w:r>
      <w:r w:rsidR="003A6F57" w:rsidRPr="00B86B1D">
        <w:rPr>
          <w:b/>
          <w:color w:val="000000"/>
          <w:lang w:val="fr-FR"/>
        </w:rPr>
        <w:t>la Loi sur les droits de l</w:t>
      </w:r>
      <w:r w:rsidR="000A3D87" w:rsidRPr="00B86B1D">
        <w:rPr>
          <w:b/>
          <w:color w:val="000000"/>
          <w:lang w:val="fr-FR"/>
        </w:rPr>
        <w:t>’</w:t>
      </w:r>
      <w:r w:rsidR="003A6F57" w:rsidRPr="00B86B1D">
        <w:rPr>
          <w:b/>
          <w:color w:val="000000"/>
          <w:lang w:val="fr-FR"/>
        </w:rPr>
        <w:t xml:space="preserve">enfant </w:t>
      </w:r>
      <w:r w:rsidR="003A6F57" w:rsidRPr="005D6CD4">
        <w:rPr>
          <w:color w:val="000000"/>
          <w:lang w:val="fr-FR"/>
        </w:rPr>
        <w:t>constituent le fondement de la détermination du Gouvernement à lutter contre tous les cas d</w:t>
      </w:r>
      <w:r w:rsidR="000A3D87">
        <w:rPr>
          <w:color w:val="000000"/>
          <w:lang w:val="fr-FR"/>
        </w:rPr>
        <w:t>’</w:t>
      </w:r>
      <w:r w:rsidR="003A6F57" w:rsidRPr="005D6CD4">
        <w:rPr>
          <w:color w:val="000000"/>
          <w:lang w:val="fr-FR"/>
        </w:rPr>
        <w:t>abus et d</w:t>
      </w:r>
      <w:r w:rsidR="000A3D87">
        <w:rPr>
          <w:color w:val="000000"/>
          <w:lang w:val="fr-FR"/>
        </w:rPr>
        <w:t>’</w:t>
      </w:r>
      <w:r w:rsidR="003A6F57" w:rsidRPr="005D6CD4">
        <w:rPr>
          <w:color w:val="000000"/>
          <w:lang w:val="fr-FR"/>
        </w:rPr>
        <w:t xml:space="preserve">exploitation des enfants. </w:t>
      </w:r>
    </w:p>
    <w:p w:rsidR="003A6F57" w:rsidRPr="005D6CD4" w:rsidRDefault="003A6F57" w:rsidP="0008640F">
      <w:pPr>
        <w:pStyle w:val="SingleTxt"/>
        <w:rPr>
          <w:color w:val="000000"/>
          <w:lang w:val="fr-FR"/>
        </w:rPr>
      </w:pPr>
      <w:r w:rsidRPr="005D6CD4">
        <w:rPr>
          <w:color w:val="000000"/>
          <w:lang w:val="fr-FR"/>
        </w:rPr>
        <w:t xml:space="preserve">3.4.3 </w:t>
      </w:r>
      <w:r w:rsidR="00B86B1D">
        <w:rPr>
          <w:color w:val="000000"/>
          <w:lang w:val="fr-FR"/>
        </w:rPr>
        <w:t xml:space="preserve"> </w:t>
      </w:r>
      <w:r w:rsidRPr="005D6CD4">
        <w:rPr>
          <w:color w:val="000000"/>
          <w:lang w:val="fr-FR"/>
        </w:rPr>
        <w:t xml:space="preserve">La </w:t>
      </w:r>
      <w:r w:rsidRPr="00B86B1D">
        <w:rPr>
          <w:b/>
          <w:color w:val="000000"/>
          <w:lang w:val="fr-FR"/>
        </w:rPr>
        <w:t>Loi sur les droits de l</w:t>
      </w:r>
      <w:r w:rsidR="000A3D87" w:rsidRPr="00B86B1D">
        <w:rPr>
          <w:b/>
          <w:color w:val="000000"/>
          <w:lang w:val="fr-FR"/>
        </w:rPr>
        <w:t>’</w:t>
      </w:r>
      <w:r w:rsidRPr="00B86B1D">
        <w:rPr>
          <w:b/>
          <w:color w:val="000000"/>
          <w:lang w:val="fr-FR"/>
        </w:rPr>
        <w:t>enfant de 2003</w:t>
      </w:r>
      <w:r w:rsidRPr="00C97BF5">
        <w:rPr>
          <w:color w:val="000000"/>
          <w:lang w:val="fr-FR"/>
        </w:rPr>
        <w:t xml:space="preserve"> </w:t>
      </w:r>
      <w:r w:rsidRPr="005D6CD4">
        <w:rPr>
          <w:color w:val="000000"/>
          <w:lang w:val="fr-FR"/>
        </w:rPr>
        <w:t>contient des dispositions précises sur toutes les questions de protection de l</w:t>
      </w:r>
      <w:r w:rsidR="000A3D87">
        <w:rPr>
          <w:color w:val="000000"/>
          <w:lang w:val="fr-FR"/>
        </w:rPr>
        <w:t>’</w:t>
      </w:r>
      <w:r w:rsidRPr="005D6CD4">
        <w:rPr>
          <w:color w:val="000000"/>
          <w:lang w:val="fr-FR"/>
        </w:rPr>
        <w:t>enfant et prescrit des sanctions appropriées en cas de violation.</w:t>
      </w:r>
      <w:r>
        <w:rPr>
          <w:color w:val="000000"/>
          <w:lang w:val="fr-FR"/>
        </w:rPr>
        <w:t xml:space="preserve"> </w:t>
      </w:r>
      <w:r w:rsidRPr="005D6CD4">
        <w:rPr>
          <w:color w:val="000000"/>
          <w:lang w:val="fr-FR"/>
        </w:rPr>
        <w:t>Il convient de relever que le système judiciaire est en voie de réorganisation en vue de renforcer son indépendance et son intégrité. Il était jusqu</w:t>
      </w:r>
      <w:r w:rsidR="000A3D87">
        <w:rPr>
          <w:color w:val="000000"/>
          <w:lang w:val="fr-FR"/>
        </w:rPr>
        <w:t>’</w:t>
      </w:r>
      <w:r w:rsidRPr="005D6CD4">
        <w:rPr>
          <w:color w:val="000000"/>
          <w:lang w:val="fr-FR"/>
        </w:rPr>
        <w:t>ici difficile de poursuivre en justice les auteurs de violation des droits de l</w:t>
      </w:r>
      <w:r w:rsidR="000A3D87">
        <w:rPr>
          <w:color w:val="000000"/>
          <w:lang w:val="fr-FR"/>
        </w:rPr>
        <w:t>’</w:t>
      </w:r>
      <w:r w:rsidRPr="005D6CD4">
        <w:rPr>
          <w:color w:val="000000"/>
          <w:lang w:val="fr-FR"/>
        </w:rPr>
        <w:t>enfant en raison des lacunes de la loi. Toutefois, les Lois sur les droits de l</w:t>
      </w:r>
      <w:r w:rsidR="000A3D87">
        <w:rPr>
          <w:color w:val="000000"/>
          <w:lang w:val="fr-FR"/>
        </w:rPr>
        <w:t>’</w:t>
      </w:r>
      <w:r w:rsidRPr="005D6CD4">
        <w:rPr>
          <w:color w:val="000000"/>
          <w:lang w:val="fr-FR"/>
        </w:rPr>
        <w:t>enfant et les Lois sur la lutte contre la traite, adoptées récemment au niveau fédéral et à celui des États, offrent des moyens largement suffisants pour faire face aux cas d</w:t>
      </w:r>
      <w:r w:rsidR="000A3D87">
        <w:rPr>
          <w:color w:val="000000"/>
          <w:lang w:val="fr-FR"/>
        </w:rPr>
        <w:t>’</w:t>
      </w:r>
      <w:r w:rsidRPr="005D6CD4">
        <w:rPr>
          <w:color w:val="000000"/>
          <w:lang w:val="fr-FR"/>
        </w:rPr>
        <w:t>abus et d</w:t>
      </w:r>
      <w:r w:rsidR="000A3D87">
        <w:rPr>
          <w:color w:val="000000"/>
          <w:lang w:val="fr-FR"/>
        </w:rPr>
        <w:t>’</w:t>
      </w:r>
      <w:r w:rsidRPr="005D6CD4">
        <w:rPr>
          <w:color w:val="000000"/>
          <w:lang w:val="fr-FR"/>
        </w:rPr>
        <w:t>exploitation des enfants, notamment les fillettes.</w:t>
      </w:r>
    </w:p>
    <w:p w:rsidR="003A6F57" w:rsidRPr="005D6CD4" w:rsidRDefault="006B05BA" w:rsidP="0008640F">
      <w:pPr>
        <w:pStyle w:val="SingleTxt"/>
        <w:rPr>
          <w:lang w:val="fr-FR"/>
        </w:rPr>
      </w:pPr>
      <w:r>
        <w:rPr>
          <w:lang w:val="fr-FR"/>
        </w:rPr>
        <w:tab/>
      </w:r>
      <w:r w:rsidR="003A6F57" w:rsidRPr="005D6CD4">
        <w:rPr>
          <w:lang w:val="fr-FR"/>
        </w:rPr>
        <w:t xml:space="preserve">La </w:t>
      </w:r>
      <w:r w:rsidR="003A6F57" w:rsidRPr="00B86B1D">
        <w:rPr>
          <w:b/>
          <w:lang w:val="fr-FR"/>
        </w:rPr>
        <w:t>Loi sur les droits de l</w:t>
      </w:r>
      <w:r w:rsidR="000A3D87" w:rsidRPr="00B86B1D">
        <w:rPr>
          <w:b/>
          <w:lang w:val="fr-FR"/>
        </w:rPr>
        <w:t>’</w:t>
      </w:r>
      <w:r w:rsidR="003A6F57" w:rsidRPr="00B86B1D">
        <w:rPr>
          <w:b/>
          <w:lang w:val="fr-FR"/>
        </w:rPr>
        <w:t>enfant</w:t>
      </w:r>
      <w:r w:rsidR="003A6F57" w:rsidRPr="005D6CD4">
        <w:rPr>
          <w:lang w:val="fr-FR"/>
        </w:rPr>
        <w:t xml:space="preserve"> a également amélioré la situation en prévoyant des peines plus sévères</w:t>
      </w:r>
      <w:r w:rsidR="003A6F57">
        <w:rPr>
          <w:lang w:val="fr-FR"/>
        </w:rPr>
        <w:t xml:space="preserve"> </w:t>
      </w:r>
      <w:r w:rsidR="003A6F57" w:rsidRPr="005D6CD4">
        <w:rPr>
          <w:lang w:val="fr-FR"/>
        </w:rPr>
        <w:t>pour l</w:t>
      </w:r>
      <w:r w:rsidR="000A3D87">
        <w:rPr>
          <w:lang w:val="fr-FR"/>
        </w:rPr>
        <w:t>’</w:t>
      </w:r>
      <w:r w:rsidR="003A6F57" w:rsidRPr="005D6CD4">
        <w:rPr>
          <w:lang w:val="fr-FR"/>
        </w:rPr>
        <w:t xml:space="preserve">exploitation sexuelle des enfants aux termes des </w:t>
      </w:r>
      <w:r w:rsidR="003A6F57" w:rsidRPr="00B86B1D">
        <w:rPr>
          <w:b/>
          <w:lang w:val="fr-FR"/>
        </w:rPr>
        <w:t>articles 31 et 32</w:t>
      </w:r>
      <w:r w:rsidR="003A6F57" w:rsidRPr="005D6CD4">
        <w:rPr>
          <w:lang w:val="fr-FR"/>
        </w:rPr>
        <w:t>, qui prescrivent une peine d</w:t>
      </w:r>
      <w:r w:rsidR="000A3D87">
        <w:rPr>
          <w:lang w:val="fr-FR"/>
        </w:rPr>
        <w:t>’</w:t>
      </w:r>
      <w:r w:rsidR="003A6F57" w:rsidRPr="005D6CD4">
        <w:rPr>
          <w:lang w:val="fr-FR"/>
        </w:rPr>
        <w:t>emprisonnement à vie et de 14 ans respectivement, pour des rapports sexuels illégaux avec un enfant et d</w:t>
      </w:r>
      <w:r w:rsidR="000A3D87">
        <w:rPr>
          <w:lang w:val="fr-FR"/>
        </w:rPr>
        <w:t>’</w:t>
      </w:r>
      <w:r w:rsidR="003A6F57" w:rsidRPr="005D6CD4">
        <w:rPr>
          <w:lang w:val="fr-FR"/>
        </w:rPr>
        <w:t>autres formes d</w:t>
      </w:r>
      <w:r w:rsidR="000A3D87">
        <w:rPr>
          <w:lang w:val="fr-FR"/>
        </w:rPr>
        <w:t>’</w:t>
      </w:r>
      <w:r w:rsidR="003A6F57" w:rsidRPr="005D6CD4">
        <w:rPr>
          <w:lang w:val="fr-FR"/>
        </w:rPr>
        <w:t>exploitation ou d</w:t>
      </w:r>
      <w:r w:rsidR="000A3D87">
        <w:rPr>
          <w:lang w:val="fr-FR"/>
        </w:rPr>
        <w:t>’</w:t>
      </w:r>
      <w:r w:rsidR="003A6F57" w:rsidRPr="005D6CD4">
        <w:rPr>
          <w:lang w:val="fr-FR"/>
        </w:rPr>
        <w:t>abus sexuels. Les filles dans les internats sont généralement confiées aux soins de matrones formées, et des efforts conscients sont déployés pour faire en sorte que les questions liées à l</w:t>
      </w:r>
      <w:r w:rsidR="000A3D87">
        <w:rPr>
          <w:lang w:val="fr-FR"/>
        </w:rPr>
        <w:t>’</w:t>
      </w:r>
      <w:r w:rsidR="003A6F57" w:rsidRPr="005D6CD4">
        <w:rPr>
          <w:lang w:val="fr-FR"/>
        </w:rPr>
        <w:t>intimité des filles soient uniquement traitées par des enseignants femmes.</w:t>
      </w:r>
    </w:p>
    <w:p w:rsidR="003A6F57" w:rsidRPr="005D6CD4" w:rsidRDefault="003A6F57" w:rsidP="0008640F">
      <w:pPr>
        <w:pStyle w:val="SingleTxt"/>
        <w:rPr>
          <w:lang w:val="fr-FR"/>
        </w:rPr>
      </w:pPr>
      <w:r w:rsidRPr="005D6CD4">
        <w:rPr>
          <w:lang w:val="fr-FR"/>
        </w:rPr>
        <w:t xml:space="preserve">3.4.4 </w:t>
      </w:r>
      <w:r w:rsidR="006B05BA">
        <w:rPr>
          <w:lang w:val="fr-FR"/>
        </w:rPr>
        <w:t xml:space="preserve"> </w:t>
      </w:r>
      <w:r w:rsidRPr="005D6CD4">
        <w:rPr>
          <w:lang w:val="fr-FR"/>
        </w:rPr>
        <w:t xml:space="preserve">Le ministère fédéral de la Santé commémore, depuis 2004, la </w:t>
      </w:r>
      <w:r w:rsidRPr="00B86B1D">
        <w:rPr>
          <w:b/>
          <w:lang w:val="fr-FR"/>
        </w:rPr>
        <w:t>Journée des mutilations génitales féminines</w:t>
      </w:r>
      <w:r w:rsidRPr="005D6CD4">
        <w:rPr>
          <w:lang w:val="fr-FR"/>
        </w:rPr>
        <w:t>, le 6 février. En</w:t>
      </w:r>
      <w:r>
        <w:rPr>
          <w:lang w:val="fr-FR"/>
        </w:rPr>
        <w:t xml:space="preserve"> </w:t>
      </w:r>
      <w:r w:rsidRPr="005D6CD4">
        <w:rPr>
          <w:lang w:val="fr-FR"/>
        </w:rPr>
        <w:t xml:space="preserve">2005, des programmes ont été organisés pour marquer la </w:t>
      </w:r>
      <w:r w:rsidRPr="00B86B1D">
        <w:rPr>
          <w:b/>
          <w:lang w:val="fr-FR"/>
        </w:rPr>
        <w:t>Journée internationales de tolérance zéro</w:t>
      </w:r>
      <w:r w:rsidRPr="005D6CD4">
        <w:rPr>
          <w:lang w:val="fr-FR"/>
        </w:rPr>
        <w:t xml:space="preserve"> et commémorer la </w:t>
      </w:r>
      <w:r w:rsidRPr="00B86B1D">
        <w:rPr>
          <w:b/>
          <w:lang w:val="fr-FR"/>
        </w:rPr>
        <w:t>Journée des mutilations génitales féminines</w:t>
      </w:r>
      <w:r w:rsidRPr="005D6CD4">
        <w:rPr>
          <w:lang w:val="fr-FR"/>
        </w:rPr>
        <w:t>.</w:t>
      </w:r>
      <w:r>
        <w:rPr>
          <w:lang w:val="fr-FR"/>
        </w:rPr>
        <w:t xml:space="preserve"> </w:t>
      </w:r>
      <w:r w:rsidRPr="005D6CD4">
        <w:rPr>
          <w:lang w:val="fr-FR"/>
        </w:rPr>
        <w:t>Au nombre des activités figuraient la formation de quelque 120 formateurs d</w:t>
      </w:r>
      <w:r w:rsidR="000A3D87">
        <w:rPr>
          <w:lang w:val="fr-FR"/>
        </w:rPr>
        <w:t>’</w:t>
      </w:r>
      <w:r w:rsidRPr="005D6CD4">
        <w:rPr>
          <w:lang w:val="fr-FR"/>
        </w:rPr>
        <w:t>infirmiers à l</w:t>
      </w:r>
      <w:r w:rsidR="000A3D87">
        <w:rPr>
          <w:lang w:val="fr-FR"/>
        </w:rPr>
        <w:t>’</w:t>
      </w:r>
      <w:r w:rsidRPr="005D6CD4">
        <w:rPr>
          <w:lang w:val="fr-FR"/>
        </w:rPr>
        <w:t>intégration de la prévention et de la gestion des mutilations génitales féminines aux programmes d</w:t>
      </w:r>
      <w:r w:rsidR="000A3D87">
        <w:rPr>
          <w:lang w:val="fr-FR"/>
        </w:rPr>
        <w:t>’</w:t>
      </w:r>
      <w:r w:rsidRPr="005D6CD4">
        <w:rPr>
          <w:lang w:val="fr-FR"/>
        </w:rPr>
        <w:t xml:space="preserve">enseignement des infirmiers, sages-femmes, agents de santé communautaire, dans quatre zones de santé, à savoir, Sud-est, Sud-ouest, Nord-est et Sud. </w:t>
      </w:r>
    </w:p>
    <w:p w:rsidR="003A6F57" w:rsidRPr="005D6CD4" w:rsidRDefault="00B86B1D" w:rsidP="006B05BA">
      <w:pPr>
        <w:pStyle w:val="SingleTxt"/>
        <w:rPr>
          <w:lang w:val="fr-FR"/>
        </w:rPr>
      </w:pPr>
      <w:r>
        <w:rPr>
          <w:lang w:val="fr-FR"/>
        </w:rPr>
        <w:tab/>
      </w:r>
      <w:r w:rsidR="003A6F57" w:rsidRPr="005D6CD4">
        <w:rPr>
          <w:lang w:val="fr-FR"/>
        </w:rPr>
        <w:t>D</w:t>
      </w:r>
      <w:r w:rsidR="000A3D87">
        <w:rPr>
          <w:lang w:val="fr-FR"/>
        </w:rPr>
        <w:t>’</w:t>
      </w:r>
      <w:r w:rsidR="003A6F57" w:rsidRPr="005D6CD4">
        <w:rPr>
          <w:lang w:val="fr-FR"/>
        </w:rPr>
        <w:t>autres interventions sont présentées dans l</w:t>
      </w:r>
      <w:r w:rsidR="000A3D87">
        <w:rPr>
          <w:lang w:val="fr-FR"/>
        </w:rPr>
        <w:t>’</w:t>
      </w:r>
      <w:r w:rsidR="003A6F57" w:rsidRPr="005D6CD4">
        <w:rPr>
          <w:lang w:val="fr-FR"/>
        </w:rPr>
        <w:t xml:space="preserve">Encadré 3.1. </w:t>
      </w:r>
    </w:p>
    <w:p w:rsidR="003A6F57" w:rsidRPr="005D6CD4" w:rsidRDefault="004F7CE0" w:rsidP="004F7CE0">
      <w:pPr>
        <w:pStyle w:val="SingleTxt"/>
        <w:ind w:right="5080"/>
        <w:rPr>
          <w:lang w:val="fr-FR"/>
        </w:rPr>
      </w:pPr>
      <w:r>
        <w:rPr>
          <w:noProof/>
          <w:w w:val="100"/>
          <w:lang w:val="en-US"/>
        </w:rPr>
        <w:pict>
          <v:shape id="_x0000_s2092" type="#_x0000_t202" style="position:absolute;left:0;text-align:left;margin-left:250.3pt;margin-top:3.1pt;width:180pt;height:252pt;z-index:7">
            <v:textbox>
              <w:txbxContent>
                <w:p w:rsidR="00D32F3D" w:rsidRDefault="00D32F3D" w:rsidP="004F7CE0">
                  <w:pPr>
                    <w:rPr>
                      <w:b/>
                    </w:rPr>
                  </w:pPr>
                  <w:r w:rsidRPr="004F7CE0">
                    <w:rPr>
                      <w:b/>
                    </w:rPr>
                    <w:t>Encadré 3.1</w:t>
                  </w:r>
                </w:p>
                <w:p w:rsidR="00D32F3D" w:rsidRPr="004F7CE0" w:rsidRDefault="00D32F3D" w:rsidP="004F7CE0">
                  <w:pPr>
                    <w:rPr>
                      <w:b/>
                    </w:rPr>
                  </w:pPr>
                </w:p>
                <w:p w:rsidR="00D32F3D" w:rsidRPr="00B86B1D" w:rsidRDefault="00D32F3D" w:rsidP="004F7CE0">
                  <w:pPr>
                    <w:tabs>
                      <w:tab w:val="left" w:pos="270"/>
                    </w:tabs>
                    <w:ind w:left="270" w:hanging="270"/>
                    <w:rPr>
                      <w:b/>
                      <w:i/>
                    </w:rPr>
                  </w:pPr>
                  <w:r>
                    <w:t>•</w:t>
                  </w:r>
                  <w:r>
                    <w:tab/>
                  </w:r>
                  <w:r w:rsidRPr="00B86B1D">
                    <w:rPr>
                      <w:b/>
                      <w:i/>
                    </w:rPr>
                    <w:t>Une conférence de presse ministérielle conjointe sur les MGF</w:t>
                  </w:r>
                </w:p>
                <w:p w:rsidR="00D32F3D" w:rsidRPr="00B86B1D" w:rsidRDefault="00D32F3D" w:rsidP="004F7CE0">
                  <w:pPr>
                    <w:tabs>
                      <w:tab w:val="left" w:pos="270"/>
                    </w:tabs>
                    <w:ind w:left="270" w:hanging="270"/>
                    <w:rPr>
                      <w:b/>
                      <w:i/>
                    </w:rPr>
                  </w:pPr>
                  <w:r w:rsidRPr="00B86B1D">
                    <w:rPr>
                      <w:b/>
                      <w:i/>
                    </w:rPr>
                    <w:t>•</w:t>
                  </w:r>
                  <w:r w:rsidRPr="00B86B1D">
                    <w:rPr>
                      <w:b/>
                      <w:i/>
                    </w:rPr>
                    <w:tab/>
                    <w:t>Symposium à l’intention des enseignants du cycle secondaire et des journalistes sur le thème des MGF</w:t>
                  </w:r>
                </w:p>
                <w:p w:rsidR="00D32F3D" w:rsidRPr="00B86B1D" w:rsidRDefault="00D32F3D" w:rsidP="004F7CE0">
                  <w:pPr>
                    <w:tabs>
                      <w:tab w:val="left" w:pos="270"/>
                    </w:tabs>
                    <w:ind w:left="270" w:hanging="270"/>
                    <w:rPr>
                      <w:b/>
                      <w:i/>
                    </w:rPr>
                  </w:pPr>
                  <w:r w:rsidRPr="00B86B1D">
                    <w:rPr>
                      <w:b/>
                      <w:i/>
                    </w:rPr>
                    <w:t>•</w:t>
                  </w:r>
                  <w:r w:rsidRPr="00B86B1D">
                    <w:rPr>
                      <w:b/>
                      <w:i/>
                    </w:rPr>
                    <w:tab/>
                    <w:t>Visites de sensibilisation auprès des parlementaires, gardiens, dirigeants traditionnels/religieux et marchandes chefs de file afin de susciter la prise de conscience et les changements de comportement</w:t>
                  </w:r>
                </w:p>
                <w:p w:rsidR="00D32F3D" w:rsidRPr="00B86B1D" w:rsidRDefault="00D32F3D" w:rsidP="004F7CE0">
                  <w:pPr>
                    <w:tabs>
                      <w:tab w:val="left" w:pos="270"/>
                    </w:tabs>
                    <w:ind w:left="270" w:hanging="270"/>
                    <w:rPr>
                      <w:b/>
                      <w:i/>
                    </w:rPr>
                  </w:pPr>
                  <w:r w:rsidRPr="00B86B1D">
                    <w:rPr>
                      <w:b/>
                      <w:i/>
                    </w:rPr>
                    <w:t>•</w:t>
                  </w:r>
                  <w:r w:rsidRPr="00B86B1D">
                    <w:rPr>
                      <w:b/>
                      <w:i/>
                    </w:rPr>
                    <w:tab/>
                    <w:t>Production et distribution de matériels d’I.E.C.</w:t>
                  </w:r>
                </w:p>
                <w:p w:rsidR="00D32F3D" w:rsidRPr="00B86B1D" w:rsidRDefault="00D32F3D" w:rsidP="004F7CE0">
                  <w:pPr>
                    <w:tabs>
                      <w:tab w:val="left" w:pos="270"/>
                    </w:tabs>
                    <w:ind w:left="270" w:hanging="270"/>
                    <w:rPr>
                      <w:b/>
                      <w:i/>
                    </w:rPr>
                  </w:pPr>
                  <w:r w:rsidRPr="00B86B1D">
                    <w:rPr>
                      <w:b/>
                      <w:i/>
                    </w:rPr>
                    <w:t>•</w:t>
                  </w:r>
                  <w:r w:rsidRPr="00B86B1D">
                    <w:rPr>
                      <w:b/>
                      <w:i/>
                    </w:rPr>
                    <w:tab/>
                    <w:t>Tables rondes des médias électroniques et de la presse écrite</w:t>
                  </w:r>
                </w:p>
              </w:txbxContent>
            </v:textbox>
          </v:shape>
        </w:pict>
      </w:r>
      <w:r w:rsidR="003A6F57" w:rsidRPr="005D6CD4">
        <w:rPr>
          <w:lang w:val="fr-FR"/>
        </w:rPr>
        <w:t xml:space="preserve">Ces activités se traduisent par une prise de conscience accrue du public à travers le pays. Quelque onze États, à savoir Edo, Delta, Ogun, Ondo, Ekiti, Osun, Cross Rivers, Bayelsa, Rivers, Ebonyi et Oyo ont promulgué des lois interdisant les MGF. </w:t>
      </w:r>
    </w:p>
    <w:p w:rsidR="003A6F57" w:rsidRPr="005D6CD4" w:rsidRDefault="003A6F57" w:rsidP="004F7CE0">
      <w:pPr>
        <w:pStyle w:val="SingleTxt"/>
        <w:ind w:right="5080"/>
        <w:rPr>
          <w:lang w:val="fr-FR"/>
        </w:rPr>
      </w:pPr>
      <w:r w:rsidRPr="005D6CD4">
        <w:rPr>
          <w:b/>
          <w:lang w:val="fr-FR"/>
        </w:rPr>
        <w:t>3.4.5</w:t>
      </w:r>
      <w:r w:rsidRPr="005D6CD4">
        <w:rPr>
          <w:lang w:val="fr-FR"/>
        </w:rPr>
        <w:t xml:space="preserve"> En commémorant les 16 jours annuels (25 novembre – 10 décembre) de </w:t>
      </w:r>
      <w:r w:rsidRPr="005D6CD4">
        <w:rPr>
          <w:b/>
          <w:lang w:val="fr-FR"/>
        </w:rPr>
        <w:t>Tolérance zéro de la violence à l</w:t>
      </w:r>
      <w:r w:rsidR="000A3D87">
        <w:rPr>
          <w:b/>
          <w:lang w:val="fr-FR"/>
        </w:rPr>
        <w:t>’</w:t>
      </w:r>
      <w:r w:rsidRPr="005D6CD4">
        <w:rPr>
          <w:b/>
          <w:lang w:val="fr-FR"/>
        </w:rPr>
        <w:t>égard des femmes</w:t>
      </w:r>
      <w:r w:rsidRPr="005D6CD4">
        <w:rPr>
          <w:lang w:val="fr-FR"/>
        </w:rPr>
        <w:t xml:space="preserve"> en octobre/novembre 2005, le ministère fédéral de la Condition de la femme a mis en œuvre un programme de sensibilisation à l</w:t>
      </w:r>
      <w:r w:rsidR="000A3D87">
        <w:rPr>
          <w:lang w:val="fr-FR"/>
        </w:rPr>
        <w:t>’</w:t>
      </w:r>
      <w:r w:rsidRPr="005D6CD4">
        <w:rPr>
          <w:lang w:val="fr-FR"/>
        </w:rPr>
        <w:t>intention de quelque 50 agents de police aux questions de la violence à l</w:t>
      </w:r>
      <w:r w:rsidR="000A3D87">
        <w:rPr>
          <w:lang w:val="fr-FR"/>
        </w:rPr>
        <w:t>’</w:t>
      </w:r>
      <w:r w:rsidRPr="005D6CD4">
        <w:rPr>
          <w:lang w:val="fr-FR"/>
        </w:rPr>
        <w:t>égard des femmes et de la nécessité de comprendre que la violence familiale en particulier n</w:t>
      </w:r>
      <w:r w:rsidR="000A3D87">
        <w:rPr>
          <w:lang w:val="fr-FR"/>
        </w:rPr>
        <w:t>’</w:t>
      </w:r>
      <w:r w:rsidRPr="005D6CD4">
        <w:rPr>
          <w:lang w:val="fr-FR"/>
        </w:rPr>
        <w:t>est pas une question de famille mais une violation des droits qui mérite d</w:t>
      </w:r>
      <w:r w:rsidR="000A3D87">
        <w:rPr>
          <w:lang w:val="fr-FR"/>
        </w:rPr>
        <w:t>’</w:t>
      </w:r>
      <w:r w:rsidRPr="005D6CD4">
        <w:rPr>
          <w:lang w:val="fr-FR"/>
        </w:rPr>
        <w:t xml:space="preserve">être sanctionnée. </w:t>
      </w:r>
    </w:p>
    <w:p w:rsidR="003A6F57" w:rsidRPr="005D6CD4" w:rsidRDefault="004F7CE0" w:rsidP="0008640F">
      <w:pPr>
        <w:pStyle w:val="SingleTxt"/>
        <w:rPr>
          <w:lang w:val="fr-FR"/>
        </w:rPr>
      </w:pPr>
      <w:r>
        <w:rPr>
          <w:lang w:val="fr-FR"/>
        </w:rPr>
        <w:tab/>
      </w:r>
      <w:r w:rsidR="003A6F57" w:rsidRPr="005D6CD4">
        <w:rPr>
          <w:lang w:val="fr-FR"/>
        </w:rPr>
        <w:t>Un forum des médias d</w:t>
      </w:r>
      <w:r w:rsidR="000A3D87">
        <w:rPr>
          <w:lang w:val="fr-FR"/>
        </w:rPr>
        <w:t>’</w:t>
      </w:r>
      <w:r w:rsidR="003A6F57" w:rsidRPr="005D6CD4">
        <w:rPr>
          <w:lang w:val="fr-FR"/>
        </w:rPr>
        <w:t>un jour s</w:t>
      </w:r>
      <w:r w:rsidR="000A3D87">
        <w:rPr>
          <w:lang w:val="fr-FR"/>
        </w:rPr>
        <w:t>’</w:t>
      </w:r>
      <w:r w:rsidR="003A6F57" w:rsidRPr="005D6CD4">
        <w:rPr>
          <w:lang w:val="fr-FR"/>
        </w:rPr>
        <w:t>est également tenu en octobre 2005 pour sensibiliser la presse et mobiliser son appui dans la campagne contre la violence à l</w:t>
      </w:r>
      <w:r w:rsidR="000A3D87">
        <w:rPr>
          <w:lang w:val="fr-FR"/>
        </w:rPr>
        <w:t>’</w:t>
      </w:r>
      <w:r w:rsidR="003A6F57" w:rsidRPr="005D6CD4">
        <w:rPr>
          <w:lang w:val="fr-FR"/>
        </w:rPr>
        <w:t>égard des femmes dans le cadre de la commémoration.</w:t>
      </w:r>
    </w:p>
    <w:p w:rsidR="003A6F57" w:rsidRDefault="004F7CE0" w:rsidP="0008640F">
      <w:pPr>
        <w:pStyle w:val="SingleTxt"/>
        <w:rPr>
          <w:lang w:val="fr-FR"/>
        </w:rPr>
      </w:pPr>
      <w:r>
        <w:rPr>
          <w:lang w:val="fr-FR"/>
        </w:rPr>
        <w:tab/>
      </w:r>
      <w:r w:rsidR="003A6F57" w:rsidRPr="005D6CD4">
        <w:rPr>
          <w:lang w:val="fr-FR"/>
        </w:rPr>
        <w:t>En outre, le ministère fédéral de la Condition de la femme envisage de mettre en place un centre d</w:t>
      </w:r>
      <w:r w:rsidR="000A3D87">
        <w:rPr>
          <w:lang w:val="fr-FR"/>
        </w:rPr>
        <w:t>’</w:t>
      </w:r>
      <w:r w:rsidR="003A6F57" w:rsidRPr="005D6CD4">
        <w:rPr>
          <w:lang w:val="fr-FR"/>
        </w:rPr>
        <w:t>accueil pour les femmes victimes de violence, de leur fournir des orientations et des conseils et de leur faciliter l</w:t>
      </w:r>
      <w:r w:rsidR="000A3D87">
        <w:rPr>
          <w:lang w:val="fr-FR"/>
        </w:rPr>
        <w:t>’</w:t>
      </w:r>
      <w:r w:rsidR="003A6F57" w:rsidRPr="005D6CD4">
        <w:rPr>
          <w:lang w:val="fr-FR"/>
        </w:rPr>
        <w:t>accès à la justice. Le centre offrira également des services de santé de base aux filles/femmes dont les droits ont été violés.</w:t>
      </w:r>
    </w:p>
    <w:p w:rsidR="004F7CE0" w:rsidRPr="004F7CE0" w:rsidRDefault="004F7CE0" w:rsidP="004F7CE0">
      <w:pPr>
        <w:pStyle w:val="SingleTxt"/>
        <w:spacing w:after="0" w:line="120" w:lineRule="exact"/>
        <w:rPr>
          <w:sz w:val="10"/>
          <w:lang w:val="fr-FR"/>
        </w:rPr>
      </w:pPr>
    </w:p>
    <w:p w:rsidR="003A6F57" w:rsidRDefault="004F7CE0" w:rsidP="004F7C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3A6F57" w:rsidRPr="005D6CD4">
        <w:rPr>
          <w:lang w:val="fr-FR"/>
        </w:rPr>
        <w:t xml:space="preserve">3.5 </w:t>
      </w:r>
      <w:r w:rsidR="003A6F57" w:rsidRPr="005D6CD4">
        <w:rPr>
          <w:lang w:val="fr-FR"/>
        </w:rPr>
        <w:tab/>
        <w:t>Contributions des organisations de la société civile</w:t>
      </w:r>
    </w:p>
    <w:p w:rsidR="004F7CE0" w:rsidRPr="004F7CE0" w:rsidRDefault="004F7CE0" w:rsidP="004F7CE0">
      <w:pPr>
        <w:pStyle w:val="SingleTxt"/>
        <w:spacing w:after="0" w:line="120" w:lineRule="exact"/>
        <w:rPr>
          <w:sz w:val="10"/>
          <w:lang w:val="fr-FR"/>
        </w:rPr>
      </w:pPr>
    </w:p>
    <w:p w:rsidR="003A6F57" w:rsidRPr="005D6CD4" w:rsidRDefault="003A6F57" w:rsidP="0008640F">
      <w:pPr>
        <w:pStyle w:val="SingleTxt"/>
        <w:rPr>
          <w:lang w:val="fr-FR"/>
        </w:rPr>
      </w:pPr>
      <w:r w:rsidRPr="005D6CD4">
        <w:rPr>
          <w:b/>
          <w:lang w:val="fr-FR"/>
        </w:rPr>
        <w:t>3.5.1</w:t>
      </w:r>
      <w:r w:rsidRPr="005D6CD4">
        <w:rPr>
          <w:lang w:val="fr-FR"/>
        </w:rPr>
        <w:t xml:space="preserve"> </w:t>
      </w:r>
      <w:r w:rsidR="004F7CE0">
        <w:rPr>
          <w:lang w:val="fr-FR"/>
        </w:rPr>
        <w:t xml:space="preserve"> </w:t>
      </w:r>
      <w:r w:rsidRPr="005D6CD4">
        <w:rPr>
          <w:lang w:val="fr-FR"/>
        </w:rPr>
        <w:t>La lutte contre la violence à l</w:t>
      </w:r>
      <w:r w:rsidR="000A3D87">
        <w:rPr>
          <w:lang w:val="fr-FR"/>
        </w:rPr>
        <w:t>’</w:t>
      </w:r>
      <w:r w:rsidRPr="005D6CD4">
        <w:rPr>
          <w:lang w:val="fr-FR"/>
        </w:rPr>
        <w:t>égard des femmes constitue un domaine d</w:t>
      </w:r>
      <w:r w:rsidR="000A3D87">
        <w:rPr>
          <w:lang w:val="fr-FR"/>
        </w:rPr>
        <w:t>’</w:t>
      </w:r>
      <w:r w:rsidRPr="005D6CD4">
        <w:rPr>
          <w:lang w:val="fr-FR"/>
        </w:rPr>
        <w:t>intervention prioritaire des organismes publics et des défenseurs des droits de la femme. Une coalition – Legislative Advocacy Coalition on Violence Against Women (LACVAW) – a été constituée et s</w:t>
      </w:r>
      <w:r w:rsidR="000A3D87">
        <w:rPr>
          <w:lang w:val="fr-FR"/>
        </w:rPr>
        <w:t>’</w:t>
      </w:r>
      <w:r w:rsidRPr="005D6CD4">
        <w:rPr>
          <w:lang w:val="fr-FR"/>
        </w:rPr>
        <w:t>emploie activement dans tous les États de la Fédération à plaider en faveur de l</w:t>
      </w:r>
      <w:r w:rsidR="000A3D87">
        <w:rPr>
          <w:lang w:val="fr-FR"/>
        </w:rPr>
        <w:t>’</w:t>
      </w:r>
      <w:r w:rsidRPr="005D6CD4">
        <w:rPr>
          <w:lang w:val="fr-FR"/>
        </w:rPr>
        <w:t>adoption de lois et de l</w:t>
      </w:r>
      <w:r w:rsidR="000A3D87">
        <w:rPr>
          <w:lang w:val="fr-FR"/>
        </w:rPr>
        <w:t>’</w:t>
      </w:r>
      <w:r w:rsidRPr="005D6CD4">
        <w:rPr>
          <w:lang w:val="fr-FR"/>
        </w:rPr>
        <w:t>élaboration de programmes visant à éradiquer la violence à l</w:t>
      </w:r>
      <w:r w:rsidR="000A3D87">
        <w:rPr>
          <w:lang w:val="fr-FR"/>
        </w:rPr>
        <w:t>’</w:t>
      </w:r>
      <w:r w:rsidRPr="005D6CD4">
        <w:rPr>
          <w:lang w:val="fr-FR"/>
        </w:rPr>
        <w:t xml:space="preserve">égard des femmes au </w:t>
      </w:r>
      <w:r>
        <w:rPr>
          <w:lang w:val="fr-FR"/>
        </w:rPr>
        <w:t>Nigéria</w:t>
      </w:r>
      <w:r w:rsidRPr="005D6CD4">
        <w:rPr>
          <w:lang w:val="fr-FR"/>
        </w:rPr>
        <w:t>.</w:t>
      </w:r>
    </w:p>
    <w:p w:rsidR="003A6F57" w:rsidRPr="005D6CD4" w:rsidRDefault="004F7CE0" w:rsidP="0008640F">
      <w:pPr>
        <w:pStyle w:val="SingleTxt"/>
        <w:rPr>
          <w:lang w:val="fr-FR"/>
        </w:rPr>
      </w:pPr>
      <w:r>
        <w:rPr>
          <w:b/>
          <w:lang w:val="fr-FR"/>
        </w:rPr>
        <w:tab/>
      </w:r>
      <w:r w:rsidR="003A6F57" w:rsidRPr="005D6CD4">
        <w:rPr>
          <w:b/>
          <w:lang w:val="fr-FR"/>
        </w:rPr>
        <w:t>L</w:t>
      </w:r>
      <w:r w:rsidR="003A6F57">
        <w:rPr>
          <w:b/>
          <w:lang w:val="fr-FR"/>
        </w:rPr>
        <w:t>e</w:t>
      </w:r>
      <w:r w:rsidR="003A6F57" w:rsidRPr="005D6CD4">
        <w:rPr>
          <w:b/>
          <w:lang w:val="fr-FR"/>
        </w:rPr>
        <w:t xml:space="preserve"> pro</w:t>
      </w:r>
      <w:r w:rsidR="003A6F57">
        <w:rPr>
          <w:b/>
          <w:lang w:val="fr-FR"/>
        </w:rPr>
        <w:t xml:space="preserve">jet </w:t>
      </w:r>
      <w:r w:rsidR="003A6F57" w:rsidRPr="005D6CD4">
        <w:rPr>
          <w:b/>
          <w:lang w:val="fr-FR"/>
        </w:rPr>
        <w:t>de loi contre la violence à l</w:t>
      </w:r>
      <w:r w:rsidR="000A3D87">
        <w:rPr>
          <w:b/>
          <w:lang w:val="fr-FR"/>
        </w:rPr>
        <w:t>’</w:t>
      </w:r>
      <w:r w:rsidR="003A6F57" w:rsidRPr="005D6CD4">
        <w:rPr>
          <w:b/>
          <w:lang w:val="fr-FR"/>
        </w:rPr>
        <w:t>égard des femmes de 2003</w:t>
      </w:r>
      <w:r w:rsidR="003A6F57" w:rsidRPr="005D6CD4">
        <w:rPr>
          <w:lang w:val="fr-FR"/>
        </w:rPr>
        <w:t>, qui a été confectionné par les membres de la Coalition en tant qu</w:t>
      </w:r>
      <w:r w:rsidR="000A3D87">
        <w:rPr>
          <w:lang w:val="fr-FR"/>
        </w:rPr>
        <w:t>’</w:t>
      </w:r>
      <w:r w:rsidR="003A6F57" w:rsidRPr="005D6CD4">
        <w:rPr>
          <w:lang w:val="fr-FR"/>
        </w:rPr>
        <w:t>instrument législatif permettant de faire face au problème de la violence à l</w:t>
      </w:r>
      <w:r w:rsidR="000A3D87">
        <w:rPr>
          <w:lang w:val="fr-FR"/>
        </w:rPr>
        <w:t>’</w:t>
      </w:r>
      <w:r w:rsidR="003A6F57" w:rsidRPr="005D6CD4">
        <w:rPr>
          <w:lang w:val="fr-FR"/>
        </w:rPr>
        <w:t xml:space="preserve">égard des femmes au </w:t>
      </w:r>
      <w:r w:rsidR="003A6F57">
        <w:rPr>
          <w:lang w:val="fr-FR"/>
        </w:rPr>
        <w:t>Nigéria</w:t>
      </w:r>
      <w:r w:rsidR="003A6F57" w:rsidRPr="005D6CD4">
        <w:rPr>
          <w:lang w:val="fr-FR"/>
        </w:rPr>
        <w:t>, a été présenté à l</w:t>
      </w:r>
      <w:r w:rsidR="000A3D87">
        <w:rPr>
          <w:lang w:val="fr-FR"/>
        </w:rPr>
        <w:t>’</w:t>
      </w:r>
      <w:r w:rsidR="003A6F57" w:rsidRPr="005D6CD4">
        <w:rPr>
          <w:lang w:val="fr-FR"/>
        </w:rPr>
        <w:t>Assemblée nationale et publiée au Journal officiel en mai 2003. Cependant, étant donné qu</w:t>
      </w:r>
      <w:r w:rsidR="000A3D87">
        <w:rPr>
          <w:lang w:val="fr-FR"/>
        </w:rPr>
        <w:t>’</w:t>
      </w:r>
      <w:r w:rsidR="003A6F57" w:rsidRPr="005D6CD4">
        <w:rPr>
          <w:lang w:val="fr-FR"/>
        </w:rPr>
        <w:t>elle n</w:t>
      </w:r>
      <w:r w:rsidR="000A3D87">
        <w:rPr>
          <w:lang w:val="fr-FR"/>
        </w:rPr>
        <w:t>’</w:t>
      </w:r>
      <w:r w:rsidR="003A6F57" w:rsidRPr="005D6CD4">
        <w:rPr>
          <w:lang w:val="fr-FR"/>
        </w:rPr>
        <w:t xml:space="preserve">a pas été adoptée au cours de la dernière session parlementaire en 2003, le processus devait être repris. </w:t>
      </w:r>
    </w:p>
    <w:p w:rsidR="003A6F57" w:rsidRPr="005D6CD4" w:rsidRDefault="004F7CE0" w:rsidP="0008640F">
      <w:pPr>
        <w:pStyle w:val="SingleTxt"/>
        <w:rPr>
          <w:lang w:val="fr-FR"/>
        </w:rPr>
      </w:pPr>
      <w:r>
        <w:rPr>
          <w:lang w:val="fr-FR"/>
        </w:rPr>
        <w:tab/>
      </w:r>
      <w:r w:rsidR="003A6F57" w:rsidRPr="005D6CD4">
        <w:rPr>
          <w:lang w:val="fr-FR"/>
        </w:rPr>
        <w:t>Au cours de la période sous revue, l</w:t>
      </w:r>
      <w:r w:rsidR="003A6F57">
        <w:rPr>
          <w:lang w:val="fr-FR"/>
        </w:rPr>
        <w:t xml:space="preserve">e </w:t>
      </w:r>
      <w:r w:rsidR="003A6F57" w:rsidRPr="005D6CD4">
        <w:rPr>
          <w:lang w:val="fr-FR"/>
        </w:rPr>
        <w:t>pro</w:t>
      </w:r>
      <w:r w:rsidR="003A6F57">
        <w:rPr>
          <w:lang w:val="fr-FR"/>
        </w:rPr>
        <w:t xml:space="preserve">jet </w:t>
      </w:r>
      <w:r w:rsidR="003A6F57" w:rsidRPr="005D6CD4">
        <w:rPr>
          <w:lang w:val="fr-FR"/>
        </w:rPr>
        <w:t>de loi a fait l</w:t>
      </w:r>
      <w:r w:rsidR="000A3D87">
        <w:rPr>
          <w:lang w:val="fr-FR"/>
        </w:rPr>
        <w:t>’</w:t>
      </w:r>
      <w:r w:rsidR="003A6F57" w:rsidRPr="005D6CD4">
        <w:rPr>
          <w:lang w:val="fr-FR"/>
        </w:rPr>
        <w:t>objet d</w:t>
      </w:r>
      <w:r w:rsidR="000A3D87">
        <w:rPr>
          <w:lang w:val="fr-FR"/>
        </w:rPr>
        <w:t>’</w:t>
      </w:r>
      <w:r w:rsidR="003A6F57" w:rsidRPr="005D6CD4">
        <w:rPr>
          <w:lang w:val="fr-FR"/>
        </w:rPr>
        <w:t>une large diffusion par l</w:t>
      </w:r>
      <w:r w:rsidR="000A3D87">
        <w:rPr>
          <w:lang w:val="fr-FR"/>
        </w:rPr>
        <w:t>’</w:t>
      </w:r>
      <w:r w:rsidR="003A6F57" w:rsidRPr="005D6CD4">
        <w:rPr>
          <w:lang w:val="fr-FR"/>
        </w:rPr>
        <w:t xml:space="preserve">intermédiaire des membres de la Coalition. À cet effet, ils ont organisé des sessions de sensibilisation du public </w:t>
      </w:r>
      <w:r w:rsidR="003A6F57">
        <w:rPr>
          <w:lang w:val="fr-FR"/>
        </w:rPr>
        <w:t xml:space="preserve">au </w:t>
      </w:r>
      <w:r w:rsidR="003A6F57" w:rsidRPr="005D6CD4">
        <w:rPr>
          <w:lang w:val="fr-FR"/>
        </w:rPr>
        <w:t>pro</w:t>
      </w:r>
      <w:r w:rsidR="003A6F57">
        <w:rPr>
          <w:lang w:val="fr-FR"/>
        </w:rPr>
        <w:t xml:space="preserve">jet </w:t>
      </w:r>
      <w:r w:rsidR="003A6F57" w:rsidRPr="005D6CD4">
        <w:rPr>
          <w:lang w:val="fr-FR"/>
        </w:rPr>
        <w:t>de loi, ce qui s</w:t>
      </w:r>
      <w:r w:rsidR="000A3D87">
        <w:rPr>
          <w:lang w:val="fr-FR"/>
        </w:rPr>
        <w:t>’</w:t>
      </w:r>
      <w:r w:rsidR="003A6F57" w:rsidRPr="005D6CD4">
        <w:rPr>
          <w:lang w:val="fr-FR"/>
        </w:rPr>
        <w:t>est traduit par la révision et l</w:t>
      </w:r>
      <w:r w:rsidR="000A3D87">
        <w:rPr>
          <w:lang w:val="fr-FR"/>
        </w:rPr>
        <w:t>’</w:t>
      </w:r>
      <w:r w:rsidR="003A6F57" w:rsidRPr="005D6CD4">
        <w:rPr>
          <w:lang w:val="fr-FR"/>
        </w:rPr>
        <w:t>harmonisation des dispositions de la loi</w:t>
      </w:r>
      <w:r w:rsidR="003A6F57">
        <w:rPr>
          <w:lang w:val="fr-FR"/>
        </w:rPr>
        <w:t xml:space="preserve"> </w:t>
      </w:r>
      <w:r w:rsidR="003A6F57" w:rsidRPr="005D6CD4">
        <w:rPr>
          <w:lang w:val="fr-FR"/>
        </w:rPr>
        <w:t>par un comité conjoint de la Coalition, la Commission de la Chambre sur la condition de la femme, des représentants du système judiciaire et de la Commission nationale des droits de l</w:t>
      </w:r>
      <w:r w:rsidR="000A3D87">
        <w:rPr>
          <w:lang w:val="fr-FR"/>
        </w:rPr>
        <w:t>’</w:t>
      </w:r>
      <w:r w:rsidR="003A6F57" w:rsidRPr="005D6CD4">
        <w:rPr>
          <w:lang w:val="fr-FR"/>
        </w:rPr>
        <w:t>homme.</w:t>
      </w:r>
    </w:p>
    <w:p w:rsidR="003A6F57" w:rsidRDefault="008A265D" w:rsidP="0008640F">
      <w:pPr>
        <w:pStyle w:val="SingleTxt"/>
        <w:rPr>
          <w:lang w:val="fr-FR"/>
        </w:rPr>
      </w:pPr>
      <w:r>
        <w:rPr>
          <w:lang w:val="fr-FR"/>
        </w:rPr>
        <w:tab/>
      </w:r>
      <w:r w:rsidR="003A6F57" w:rsidRPr="005D6CD4">
        <w:rPr>
          <w:lang w:val="fr-FR"/>
        </w:rPr>
        <w:t>Des activités de plaidoyer en faveur d</w:t>
      </w:r>
      <w:r w:rsidR="003A6F57">
        <w:rPr>
          <w:lang w:val="fr-FR"/>
        </w:rPr>
        <w:t xml:space="preserve">u projet </w:t>
      </w:r>
      <w:r w:rsidR="003A6F57" w:rsidRPr="005D6CD4">
        <w:rPr>
          <w:lang w:val="fr-FR"/>
        </w:rPr>
        <w:t>de loi sont menées avec succès dans toutes les six zones géopolitiques du pays par les membres de la coalition LACVAW et l</w:t>
      </w:r>
      <w:r w:rsidR="000A3D87">
        <w:rPr>
          <w:lang w:val="fr-FR"/>
        </w:rPr>
        <w:t>’</w:t>
      </w:r>
      <w:r w:rsidR="003A6F57" w:rsidRPr="005D6CD4">
        <w:rPr>
          <w:lang w:val="fr-FR"/>
        </w:rPr>
        <w:t>État de Ebonyi a déjà adopté l</w:t>
      </w:r>
      <w:r w:rsidR="003A6F57">
        <w:rPr>
          <w:lang w:val="fr-FR"/>
        </w:rPr>
        <w:t xml:space="preserve">e projet </w:t>
      </w:r>
      <w:r w:rsidR="003A6F57" w:rsidRPr="005D6CD4">
        <w:rPr>
          <w:lang w:val="fr-FR"/>
        </w:rPr>
        <w:t xml:space="preserve">de loi sur la </w:t>
      </w:r>
      <w:r w:rsidR="003A6F57" w:rsidRPr="005D6CD4">
        <w:rPr>
          <w:b/>
          <w:lang w:val="fr-FR"/>
        </w:rPr>
        <w:t>violence à l</w:t>
      </w:r>
      <w:r w:rsidR="000A3D87">
        <w:rPr>
          <w:b/>
          <w:lang w:val="fr-FR"/>
        </w:rPr>
        <w:t>’</w:t>
      </w:r>
      <w:r w:rsidR="003A6F57" w:rsidRPr="005D6CD4">
        <w:rPr>
          <w:b/>
          <w:lang w:val="fr-FR"/>
        </w:rPr>
        <w:t xml:space="preserve">égard des femmes </w:t>
      </w:r>
      <w:r w:rsidR="003A6F57" w:rsidRPr="005D6CD4">
        <w:rPr>
          <w:lang w:val="fr-FR"/>
        </w:rPr>
        <w:t>en tant que loi d</w:t>
      </w:r>
      <w:r w:rsidR="000A3D87">
        <w:rPr>
          <w:lang w:val="fr-FR"/>
        </w:rPr>
        <w:t>’</w:t>
      </w:r>
      <w:r w:rsidR="003A6F57" w:rsidRPr="005D6CD4">
        <w:rPr>
          <w:lang w:val="fr-FR"/>
        </w:rPr>
        <w:t>État.</w:t>
      </w:r>
    </w:p>
    <w:p w:rsidR="004F7CE0" w:rsidRDefault="004F7CE0" w:rsidP="004F7CE0">
      <w:pPr>
        <w:pStyle w:val="SingleTxt"/>
        <w:rPr>
          <w:lang w:val="fr-FR"/>
        </w:rPr>
      </w:pPr>
      <w:r w:rsidRPr="005D6CD4">
        <w:rPr>
          <w:b/>
          <w:lang w:val="fr-FR"/>
        </w:rPr>
        <w:t>3.5.2</w:t>
      </w:r>
      <w:r w:rsidRPr="005D6CD4">
        <w:rPr>
          <w:lang w:val="fr-FR"/>
        </w:rPr>
        <w:t xml:space="preserve"> </w:t>
      </w:r>
      <w:r>
        <w:rPr>
          <w:lang w:val="fr-FR"/>
        </w:rPr>
        <w:t xml:space="preserve"> </w:t>
      </w:r>
      <w:r w:rsidRPr="005D6CD4">
        <w:rPr>
          <w:lang w:val="fr-FR"/>
        </w:rPr>
        <w:t>Des ONG de premier rang et certains membres de la coalition LACVAW dans le pays sont à l</w:t>
      </w:r>
      <w:r w:rsidR="000A3D87">
        <w:rPr>
          <w:lang w:val="fr-FR"/>
        </w:rPr>
        <w:t>’</w:t>
      </w:r>
      <w:r w:rsidRPr="005D6CD4">
        <w:rPr>
          <w:lang w:val="fr-FR"/>
        </w:rPr>
        <w:t>avant-garde de l</w:t>
      </w:r>
      <w:r w:rsidR="000A3D87">
        <w:rPr>
          <w:lang w:val="fr-FR"/>
        </w:rPr>
        <w:t>’</w:t>
      </w:r>
      <w:r w:rsidRPr="005D6CD4">
        <w:rPr>
          <w:lang w:val="fr-FR"/>
        </w:rPr>
        <w:t>action de promotion d</w:t>
      </w:r>
      <w:r w:rsidR="000A3D87">
        <w:rPr>
          <w:lang w:val="fr-FR"/>
        </w:rPr>
        <w:t>’</w:t>
      </w:r>
      <w:r w:rsidRPr="005D6CD4">
        <w:rPr>
          <w:lang w:val="fr-FR"/>
        </w:rPr>
        <w:t>une société démocratique exempte de violence et d</w:t>
      </w:r>
      <w:r w:rsidR="000A3D87">
        <w:rPr>
          <w:lang w:val="fr-FR"/>
        </w:rPr>
        <w:t>’</w:t>
      </w:r>
      <w:r w:rsidRPr="005D6CD4">
        <w:rPr>
          <w:lang w:val="fr-FR"/>
        </w:rPr>
        <w:t>abus, dans laquelle les droits humains des femmes et des filles sont reconnus par la loi et dans la pratique. D</w:t>
      </w:r>
      <w:r w:rsidR="000A3D87">
        <w:rPr>
          <w:lang w:val="fr-FR"/>
        </w:rPr>
        <w:t>’</w:t>
      </w:r>
      <w:r w:rsidRPr="005D6CD4">
        <w:rPr>
          <w:lang w:val="fr-FR"/>
        </w:rPr>
        <w:t>autres programmes qui ont été mis en œuvre sont présentés dans l</w:t>
      </w:r>
      <w:r w:rsidR="000A3D87">
        <w:rPr>
          <w:lang w:val="fr-FR"/>
        </w:rPr>
        <w:t>’</w:t>
      </w:r>
      <w:r w:rsidRPr="005D6CD4">
        <w:rPr>
          <w:lang w:val="fr-FR"/>
        </w:rPr>
        <w:t xml:space="preserve">Encadré 3.2 </w:t>
      </w:r>
    </w:p>
    <w:p w:rsidR="00FC38C0" w:rsidRPr="00FC38C0" w:rsidRDefault="00FC38C0" w:rsidP="00FC38C0">
      <w:pPr>
        <w:pStyle w:val="SingleTxt"/>
        <w:spacing w:after="0" w:line="120" w:lineRule="exact"/>
        <w:rPr>
          <w:sz w:val="10"/>
          <w:lang w:val="fr-FR"/>
        </w:rPr>
      </w:pPr>
    </w:p>
    <w:p w:rsidR="004F7CE0" w:rsidRDefault="004F7CE0" w:rsidP="004F7CE0">
      <w:pPr>
        <w:pStyle w:val="SingleTxt"/>
        <w:rPr>
          <w:lang w:val="fr-FR"/>
        </w:rPr>
      </w:pPr>
      <w:r>
        <w:rPr>
          <w:noProof/>
          <w:w w:val="100"/>
          <w:lang w:val="en-US"/>
        </w:rPr>
        <w:pict>
          <v:shape id="_x0000_s2095" type="#_x0000_t202" style="position:absolute;left:0;text-align:left;margin-left:61.3pt;margin-top:.1pt;width:369pt;height:300pt;z-index:8">
            <v:textbox>
              <w:txbxContent>
                <w:p w:rsidR="00D32F3D" w:rsidRDefault="00D32F3D" w:rsidP="004F7CE0">
                  <w:pPr>
                    <w:rPr>
                      <w:b/>
                    </w:rPr>
                  </w:pPr>
                  <w:r w:rsidRPr="004F7CE0">
                    <w:rPr>
                      <w:b/>
                    </w:rPr>
                    <w:t>Encadré 3.2</w:t>
                  </w:r>
                </w:p>
                <w:p w:rsidR="00D32F3D" w:rsidRPr="004F7CE0" w:rsidRDefault="00D32F3D" w:rsidP="004F7CE0">
                  <w:pPr>
                    <w:rPr>
                      <w:b/>
                    </w:rPr>
                  </w:pPr>
                </w:p>
                <w:p w:rsidR="00D32F3D" w:rsidRDefault="00D32F3D" w:rsidP="00FC38C0">
                  <w:pPr>
                    <w:spacing w:after="120"/>
                  </w:pPr>
                  <w:r w:rsidRPr="00FC38C0">
                    <w:rPr>
                      <w:b/>
                    </w:rPr>
                    <w:t>Mise en place</w:t>
                  </w:r>
                  <w:r>
                    <w:t xml:space="preserve"> de services de conseils juridiques pour fournir une assistance judiciaire abordable aux femmes, y compris des conseils, la médiation et autres méthodes de règlement des différends ou par une action en justice et la représentation devant les tribunaux;</w:t>
                  </w:r>
                </w:p>
                <w:p w:rsidR="00D32F3D" w:rsidRDefault="00D32F3D" w:rsidP="00FC38C0">
                  <w:pPr>
                    <w:spacing w:after="120"/>
                  </w:pPr>
                  <w:r w:rsidRPr="00FC38C0">
                    <w:rPr>
                      <w:b/>
                    </w:rPr>
                    <w:t xml:space="preserve">Introduction </w:t>
                  </w:r>
                  <w:r>
                    <w:t>dans le programme d’enseignement des cours sur les droits liés à la procréation et la santé maternelle en vue de sensibiliser et de faire mieux comprendre les questions de santé maternelle et des droits liés à la procréation des femmes et des jeunes filles;</w:t>
                  </w:r>
                </w:p>
                <w:p w:rsidR="00D32F3D" w:rsidRDefault="00D32F3D" w:rsidP="00FC38C0">
                  <w:pPr>
                    <w:spacing w:after="120"/>
                  </w:pPr>
                  <w:r w:rsidRPr="00FC38C0">
                    <w:rPr>
                      <w:b/>
                    </w:rPr>
                    <w:t>Mise en place</w:t>
                  </w:r>
                  <w:r>
                    <w:t xml:space="preserve"> de centres d’accueil offrant un traitement médical gratuit aux femmes victimes de violence familiale et sexuelle;</w:t>
                  </w:r>
                </w:p>
                <w:p w:rsidR="00D32F3D" w:rsidRDefault="00D32F3D" w:rsidP="00FC38C0">
                  <w:pPr>
                    <w:spacing w:after="120"/>
                  </w:pPr>
                  <w:r w:rsidRPr="00FC38C0">
                    <w:rPr>
                      <w:b/>
                    </w:rPr>
                    <w:t xml:space="preserve">Programmes </w:t>
                  </w:r>
                  <w:r>
                    <w:t>d’action communautaire et formation d’auxiliaires juridiques dans le domaine des droits de la femme et nécessité de promouvoir et protéger lesdits droits tels qu’ils sont garantis par la Convention;</w:t>
                  </w:r>
                </w:p>
                <w:p w:rsidR="00D32F3D" w:rsidRDefault="00D32F3D" w:rsidP="00FC38C0">
                  <w:pPr>
                    <w:spacing w:after="120"/>
                  </w:pPr>
                  <w:r w:rsidRPr="00FC38C0">
                    <w:rPr>
                      <w:b/>
                    </w:rPr>
                    <w:t>Traduction</w:t>
                  </w:r>
                  <w:r>
                    <w:t xml:space="preserve"> de la Convention en différentes langues du Nigéria et publication de brochures et de matériels d’IEC demandant qu’il soit mis fin à la violence et à la discrimination à l’égard des femmes et </w:t>
                  </w:r>
                </w:p>
                <w:p w:rsidR="00D32F3D" w:rsidRDefault="00D32F3D" w:rsidP="00FC38C0">
                  <w:pPr>
                    <w:spacing w:after="120"/>
                  </w:pPr>
                  <w:r w:rsidRPr="00FC38C0">
                    <w:rPr>
                      <w:b/>
                    </w:rPr>
                    <w:t>Enseignement</w:t>
                  </w:r>
                  <w:r>
                    <w:t xml:space="preserve"> gratuit pour les fillettes, dans certains États, interdiction de retirer les filles de l’école et campagnes d’information pour décourager le mariage des enfants.</w:t>
                  </w:r>
                </w:p>
              </w:txbxContent>
            </v:textbox>
          </v:shape>
        </w:pict>
      </w:r>
    </w:p>
    <w:p w:rsidR="004F7CE0" w:rsidRDefault="004F7CE0" w:rsidP="004F7CE0">
      <w:pPr>
        <w:pStyle w:val="SingleTxt"/>
        <w:rPr>
          <w:lang w:val="fr-FR"/>
        </w:rPr>
      </w:pPr>
    </w:p>
    <w:p w:rsidR="004F7CE0" w:rsidRDefault="004F7CE0" w:rsidP="004F7CE0">
      <w:pPr>
        <w:pStyle w:val="SingleTxt"/>
        <w:rPr>
          <w:lang w:val="fr-FR"/>
        </w:rPr>
      </w:pPr>
    </w:p>
    <w:p w:rsidR="004F7CE0" w:rsidRDefault="004F7CE0" w:rsidP="004F7CE0">
      <w:pPr>
        <w:pStyle w:val="SingleTxt"/>
        <w:rPr>
          <w:lang w:val="fr-FR"/>
        </w:rPr>
      </w:pPr>
    </w:p>
    <w:p w:rsidR="004F7CE0" w:rsidRDefault="004F7CE0" w:rsidP="004F7CE0">
      <w:pPr>
        <w:pStyle w:val="SingleTxt"/>
        <w:rPr>
          <w:lang w:val="fr-FR"/>
        </w:rPr>
      </w:pPr>
    </w:p>
    <w:p w:rsidR="004F7CE0" w:rsidRDefault="004F7CE0" w:rsidP="004F7CE0">
      <w:pPr>
        <w:pStyle w:val="SingleTxt"/>
        <w:rPr>
          <w:lang w:val="fr-FR"/>
        </w:rPr>
      </w:pPr>
    </w:p>
    <w:p w:rsidR="004F7CE0" w:rsidRPr="005D6CD4" w:rsidRDefault="004F7CE0" w:rsidP="004F7CE0">
      <w:pPr>
        <w:pStyle w:val="SingleTxt"/>
        <w:rPr>
          <w:lang w:val="fr-FR"/>
        </w:rPr>
      </w:pPr>
    </w:p>
    <w:p w:rsidR="004F7CE0" w:rsidRDefault="004F7CE0" w:rsidP="004F7CE0">
      <w:pPr>
        <w:pStyle w:val="SingleTxt"/>
        <w:rPr>
          <w:b/>
          <w:lang w:val="fr-FR"/>
        </w:rPr>
      </w:pPr>
    </w:p>
    <w:p w:rsidR="004F7CE0" w:rsidRDefault="004F7CE0" w:rsidP="004F7CE0">
      <w:pPr>
        <w:pStyle w:val="SingleTxt"/>
        <w:rPr>
          <w:b/>
          <w:lang w:val="fr-FR"/>
        </w:rPr>
      </w:pPr>
    </w:p>
    <w:p w:rsidR="004F7CE0" w:rsidRDefault="004F7CE0" w:rsidP="004F7CE0">
      <w:pPr>
        <w:pStyle w:val="SingleTxt"/>
        <w:rPr>
          <w:b/>
          <w:lang w:val="fr-FR"/>
        </w:rPr>
      </w:pPr>
    </w:p>
    <w:p w:rsidR="004F7CE0" w:rsidRDefault="004F7CE0" w:rsidP="004F7CE0">
      <w:pPr>
        <w:pStyle w:val="SingleTxt"/>
        <w:rPr>
          <w:b/>
          <w:lang w:val="fr-FR"/>
        </w:rPr>
      </w:pPr>
    </w:p>
    <w:p w:rsidR="004F7CE0" w:rsidRDefault="004F7CE0" w:rsidP="004F7CE0">
      <w:pPr>
        <w:pStyle w:val="SingleTxt"/>
        <w:rPr>
          <w:b/>
          <w:lang w:val="fr-FR"/>
        </w:rPr>
      </w:pPr>
    </w:p>
    <w:p w:rsidR="004F7CE0" w:rsidRDefault="004F7CE0" w:rsidP="004F7CE0">
      <w:pPr>
        <w:pStyle w:val="SingleTxt"/>
        <w:rPr>
          <w:b/>
          <w:lang w:val="fr-FR"/>
        </w:rPr>
      </w:pPr>
    </w:p>
    <w:p w:rsidR="004F7CE0" w:rsidRDefault="004F7CE0" w:rsidP="004F7CE0">
      <w:pPr>
        <w:pStyle w:val="SingleTxt"/>
        <w:rPr>
          <w:b/>
          <w:lang w:val="fr-FR"/>
        </w:rPr>
      </w:pPr>
    </w:p>
    <w:p w:rsidR="004F7CE0" w:rsidRDefault="004F7CE0" w:rsidP="004F7CE0">
      <w:pPr>
        <w:pStyle w:val="SingleTxt"/>
        <w:rPr>
          <w:b/>
          <w:lang w:val="fr-FR"/>
        </w:rPr>
      </w:pPr>
    </w:p>
    <w:p w:rsidR="00FC38C0" w:rsidRDefault="00FC38C0" w:rsidP="004F7CE0">
      <w:pPr>
        <w:pStyle w:val="SingleTxt"/>
        <w:rPr>
          <w:b/>
          <w:lang w:val="fr-FR"/>
        </w:rPr>
      </w:pPr>
    </w:p>
    <w:p w:rsidR="00FC38C0" w:rsidRDefault="00FC38C0" w:rsidP="004F7CE0">
      <w:pPr>
        <w:pStyle w:val="SingleTxt"/>
        <w:rPr>
          <w:b/>
          <w:lang w:val="fr-FR"/>
        </w:rPr>
      </w:pPr>
    </w:p>
    <w:p w:rsidR="00FC38C0" w:rsidRDefault="00FC38C0" w:rsidP="004F7CE0">
      <w:pPr>
        <w:pStyle w:val="SingleTxt"/>
        <w:rPr>
          <w:b/>
          <w:lang w:val="fr-FR"/>
        </w:rPr>
      </w:pPr>
    </w:p>
    <w:p w:rsidR="004F7CE0" w:rsidRDefault="00FC38C0" w:rsidP="00FC38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br w:type="page"/>
      </w:r>
      <w:r>
        <w:rPr>
          <w:lang w:val="fr-FR"/>
        </w:rPr>
        <w:tab/>
      </w:r>
      <w:r w:rsidR="004F7CE0" w:rsidRPr="005D6CD4">
        <w:rPr>
          <w:lang w:val="fr-FR"/>
        </w:rPr>
        <w:t>3.6</w:t>
      </w:r>
      <w:r>
        <w:rPr>
          <w:lang w:val="fr-FR"/>
        </w:rPr>
        <w:tab/>
      </w:r>
      <w:r w:rsidR="004F7CE0" w:rsidRPr="005D6CD4">
        <w:rPr>
          <w:lang w:val="fr-FR"/>
        </w:rPr>
        <w:t>Le point des cas concernant la violence à l</w:t>
      </w:r>
      <w:r w:rsidR="000A3D87">
        <w:rPr>
          <w:lang w:val="fr-FR"/>
        </w:rPr>
        <w:t>’</w:t>
      </w:r>
      <w:r w:rsidR="004F7CE0" w:rsidRPr="005D6CD4">
        <w:rPr>
          <w:lang w:val="fr-FR"/>
        </w:rPr>
        <w:t>égard des femmes</w:t>
      </w:r>
    </w:p>
    <w:p w:rsidR="00FC38C0" w:rsidRPr="00FC38C0" w:rsidRDefault="00FC38C0" w:rsidP="00FC38C0">
      <w:pPr>
        <w:pStyle w:val="SingleTxt"/>
        <w:spacing w:after="0" w:line="120" w:lineRule="exact"/>
        <w:rPr>
          <w:sz w:val="10"/>
          <w:lang w:val="fr-FR"/>
        </w:rPr>
      </w:pPr>
    </w:p>
    <w:p w:rsidR="00FC38C0" w:rsidRPr="00FC38C0" w:rsidRDefault="00FC38C0" w:rsidP="00FC38C0">
      <w:pPr>
        <w:pStyle w:val="SingleTxt"/>
        <w:rPr>
          <w:lang w:val="fr-FR"/>
        </w:rPr>
      </w:pPr>
      <w:r>
        <w:rPr>
          <w:lang w:val="fr-FR"/>
        </w:rPr>
        <w:tab/>
      </w:r>
      <w:r w:rsidRPr="00FC38C0">
        <w:rPr>
          <w:lang w:val="fr-FR"/>
        </w:rPr>
        <w:t>Le niveau de cas de violence signalés dans le pays demeure très faible par rapport au nombre d</w:t>
      </w:r>
      <w:r w:rsidR="000A3D87">
        <w:rPr>
          <w:lang w:val="fr-FR"/>
        </w:rPr>
        <w:t>’</w:t>
      </w:r>
      <w:r w:rsidRPr="00FC38C0">
        <w:rPr>
          <w:lang w:val="fr-FR"/>
        </w:rPr>
        <w:t>occurrences perçues. Les cas de violence ne sont pas entièrement déclarés en raison des croyances socioculturelles, qui permettent le secret et soutiennent que les affaires de la famille ne doivent pas sortir du cadre familial. Au nombre d</w:t>
      </w:r>
      <w:r w:rsidR="000A3D87">
        <w:rPr>
          <w:lang w:val="fr-FR"/>
        </w:rPr>
        <w:t>’</w:t>
      </w:r>
      <w:r w:rsidRPr="00FC38C0">
        <w:rPr>
          <w:lang w:val="fr-FR"/>
        </w:rPr>
        <w:t>autres raisons figure la stigmatisation associée à la déclaration de cas tels que ceux de viol, d</w:t>
      </w:r>
      <w:r w:rsidR="000A3D87">
        <w:rPr>
          <w:lang w:val="fr-FR"/>
        </w:rPr>
        <w:t>’</w:t>
      </w:r>
      <w:r w:rsidRPr="00FC38C0">
        <w:rPr>
          <w:lang w:val="fr-FR"/>
        </w:rPr>
        <w:t>inceste et autres voies de fait. De ce fait, au moment de la rédaction du présent rapport, les chiffres exacts sur les incidences de la violence et les cas ne peuvent être connus avec certitude.</w:t>
      </w:r>
    </w:p>
    <w:p w:rsidR="00FC38C0" w:rsidRDefault="00FC38C0" w:rsidP="00FC38C0">
      <w:pPr>
        <w:pStyle w:val="SingleTxt"/>
        <w:rPr>
          <w:lang w:val="fr-FR"/>
        </w:rPr>
      </w:pPr>
      <w:r>
        <w:rPr>
          <w:lang w:val="fr-FR"/>
        </w:rPr>
        <w:tab/>
      </w:r>
      <w:r w:rsidRPr="00FC38C0">
        <w:rPr>
          <w:lang w:val="fr-FR"/>
        </w:rPr>
        <w:t>Toutefois, certaines ONG ont des services de conseil juridique offrant une aide juridique gratuite aux femmes et aux jeunes dont les droits humains sont violés. L</w:t>
      </w:r>
      <w:r w:rsidR="000A3D87">
        <w:rPr>
          <w:lang w:val="fr-FR"/>
        </w:rPr>
        <w:t>’</w:t>
      </w:r>
      <w:r w:rsidRPr="00FC38C0">
        <w:rPr>
          <w:lang w:val="fr-FR"/>
        </w:rPr>
        <w:t>aide juridique revêt la forme de conseil, de médiation et d</w:t>
      </w:r>
      <w:r w:rsidR="000A3D87">
        <w:rPr>
          <w:lang w:val="fr-FR"/>
        </w:rPr>
        <w:t>’</w:t>
      </w:r>
      <w:r w:rsidRPr="00FC38C0">
        <w:rPr>
          <w:lang w:val="fr-FR"/>
        </w:rPr>
        <w:t xml:space="preserve">autres méthodes de règlement des différends, ou par le biais de procès et de représentation devant les tribunaux. Le Tableau 3.2(a) présente quelque 214 cas traités au nom des femmes cherchant réparation contre les violations de leurs droits humains à travers le pays.  </w:t>
      </w:r>
    </w:p>
    <w:p w:rsidR="00FC38C0" w:rsidRDefault="00FE42F3" w:rsidP="00FE42F3">
      <w:pPr>
        <w:pStyle w:val="SingleTxt"/>
        <w:jc w:val="left"/>
        <w:rPr>
          <w:b/>
          <w:lang w:val="fr-FR"/>
        </w:rPr>
      </w:pPr>
      <w:r w:rsidRPr="00FE42F3">
        <w:rPr>
          <w:lang w:val="fr-FR"/>
        </w:rPr>
        <w:t xml:space="preserve">Tableau 3.2 </w:t>
      </w:r>
      <w:r>
        <w:rPr>
          <w:lang w:val="fr-FR"/>
        </w:rPr>
        <w:br/>
      </w:r>
      <w:r w:rsidRPr="00FE42F3">
        <w:rPr>
          <w:b/>
          <w:lang w:val="fr-FR"/>
        </w:rPr>
        <w:t>Niveau d</w:t>
      </w:r>
      <w:r w:rsidR="000A3D87">
        <w:rPr>
          <w:b/>
          <w:lang w:val="fr-FR"/>
        </w:rPr>
        <w:t>’</w:t>
      </w:r>
      <w:r w:rsidRPr="00FE42F3">
        <w:rPr>
          <w:b/>
          <w:lang w:val="fr-FR"/>
        </w:rPr>
        <w:t>intervention dans les cas de violence (2005)</w:t>
      </w:r>
    </w:p>
    <w:p w:rsidR="00FE42F3" w:rsidRPr="00FE42F3" w:rsidRDefault="00FE42F3" w:rsidP="00FE42F3">
      <w:pPr>
        <w:pStyle w:val="SingleTxt"/>
        <w:spacing w:after="0" w:line="120" w:lineRule="exact"/>
        <w:rPr>
          <w:b/>
          <w:sz w:val="10"/>
          <w:lang w:val="fr-FR"/>
        </w:rPr>
      </w:pPr>
    </w:p>
    <w:tbl>
      <w:tblPr>
        <w:tblW w:w="0" w:type="auto"/>
        <w:tblInd w:w="1260" w:type="dxa"/>
        <w:tblLayout w:type="fixed"/>
        <w:tblCellMar>
          <w:left w:w="0" w:type="dxa"/>
          <w:right w:w="0" w:type="dxa"/>
        </w:tblCellMar>
        <w:tblLook w:val="0000"/>
      </w:tblPr>
      <w:tblGrid>
        <w:gridCol w:w="3660"/>
        <w:gridCol w:w="1380"/>
      </w:tblGrid>
      <w:tr w:rsidR="00FE42F3" w:rsidRPr="00FE42F3">
        <w:tblPrEx>
          <w:tblCellMar>
            <w:top w:w="0" w:type="dxa"/>
            <w:bottom w:w="0" w:type="dxa"/>
          </w:tblCellMar>
        </w:tblPrEx>
        <w:trPr>
          <w:tblHeader/>
        </w:trPr>
        <w:tc>
          <w:tcPr>
            <w:tcW w:w="3660" w:type="dxa"/>
            <w:tcBorders>
              <w:top w:val="single" w:sz="4" w:space="0" w:color="auto"/>
              <w:bottom w:val="single" w:sz="12" w:space="0" w:color="auto"/>
            </w:tcBorders>
            <w:shd w:val="clear" w:color="auto" w:fill="auto"/>
          </w:tcPr>
          <w:p w:rsidR="00FE42F3" w:rsidRPr="008A265D" w:rsidRDefault="00FE42F3" w:rsidP="008A265D">
            <w:pPr>
              <w:spacing w:before="80" w:after="80" w:line="160" w:lineRule="exact"/>
              <w:ind w:right="43"/>
              <w:rPr>
                <w:i/>
                <w:sz w:val="14"/>
                <w:szCs w:val="14"/>
              </w:rPr>
            </w:pPr>
            <w:r w:rsidRPr="008A265D">
              <w:rPr>
                <w:i/>
                <w:sz w:val="14"/>
                <w:szCs w:val="14"/>
              </w:rPr>
              <w:t>Nature du cas</w:t>
            </w:r>
          </w:p>
        </w:tc>
        <w:tc>
          <w:tcPr>
            <w:tcW w:w="1380" w:type="dxa"/>
            <w:tcBorders>
              <w:top w:val="single" w:sz="4" w:space="0" w:color="auto"/>
              <w:bottom w:val="single" w:sz="12" w:space="0" w:color="auto"/>
            </w:tcBorders>
            <w:shd w:val="clear" w:color="auto" w:fill="auto"/>
          </w:tcPr>
          <w:p w:rsidR="00FE42F3" w:rsidRPr="008A265D" w:rsidRDefault="00FE42F3" w:rsidP="008A265D">
            <w:pPr>
              <w:spacing w:before="80" w:after="80" w:line="160" w:lineRule="exact"/>
              <w:ind w:right="43"/>
              <w:jc w:val="right"/>
              <w:rPr>
                <w:i/>
                <w:sz w:val="14"/>
                <w:szCs w:val="14"/>
              </w:rPr>
            </w:pPr>
            <w:r w:rsidRPr="008A265D">
              <w:rPr>
                <w:i/>
                <w:sz w:val="14"/>
                <w:szCs w:val="14"/>
              </w:rPr>
              <w:t xml:space="preserve">Nombre de cas </w:t>
            </w:r>
          </w:p>
        </w:tc>
      </w:tr>
      <w:tr w:rsidR="00FE42F3" w:rsidRPr="00FE42F3">
        <w:tblPrEx>
          <w:tblCellMar>
            <w:top w:w="0" w:type="dxa"/>
            <w:bottom w:w="0" w:type="dxa"/>
          </w:tblCellMar>
        </w:tblPrEx>
        <w:trPr>
          <w:trHeight w:hRule="exact" w:val="115"/>
          <w:tblHeader/>
        </w:trPr>
        <w:tc>
          <w:tcPr>
            <w:tcW w:w="3660" w:type="dxa"/>
            <w:tcBorders>
              <w:top w:val="single" w:sz="12" w:space="0" w:color="auto"/>
            </w:tcBorders>
            <w:shd w:val="clear" w:color="auto" w:fill="auto"/>
            <w:vAlign w:val="bottom"/>
          </w:tcPr>
          <w:p w:rsidR="00FE42F3" w:rsidRPr="00FE42F3" w:rsidRDefault="00FE42F3" w:rsidP="008A265D">
            <w:pPr>
              <w:tabs>
                <w:tab w:val="left" w:pos="288"/>
                <w:tab w:val="left" w:pos="576"/>
                <w:tab w:val="left" w:pos="864"/>
                <w:tab w:val="left" w:pos="1152"/>
              </w:tabs>
              <w:suppressAutoHyphens/>
              <w:spacing w:before="80" w:after="80" w:line="160" w:lineRule="exact"/>
              <w:ind w:right="43"/>
              <w:rPr>
                <w:sz w:val="17"/>
                <w:lang w:val="fr-FR"/>
              </w:rPr>
            </w:pPr>
          </w:p>
        </w:tc>
        <w:tc>
          <w:tcPr>
            <w:tcW w:w="1380" w:type="dxa"/>
            <w:tcBorders>
              <w:top w:val="single" w:sz="12" w:space="0" w:color="auto"/>
            </w:tcBorders>
            <w:shd w:val="clear" w:color="auto" w:fill="auto"/>
            <w:vAlign w:val="bottom"/>
          </w:tcPr>
          <w:p w:rsidR="00FE42F3" w:rsidRPr="00FE42F3" w:rsidRDefault="00FE42F3" w:rsidP="008A265D">
            <w:pPr>
              <w:tabs>
                <w:tab w:val="left" w:pos="288"/>
                <w:tab w:val="left" w:pos="576"/>
                <w:tab w:val="left" w:pos="864"/>
                <w:tab w:val="left" w:pos="1152"/>
              </w:tabs>
              <w:suppressAutoHyphens/>
              <w:spacing w:before="80" w:after="80" w:line="160" w:lineRule="exact"/>
              <w:ind w:right="43"/>
              <w:jc w:val="right"/>
              <w:rPr>
                <w:sz w:val="17"/>
                <w:lang w:val="fr-FR"/>
              </w:rPr>
            </w:pPr>
          </w:p>
        </w:tc>
      </w:tr>
      <w:tr w:rsidR="00FE42F3" w:rsidRPr="00FE42F3">
        <w:tblPrEx>
          <w:tblCellMar>
            <w:top w:w="0" w:type="dxa"/>
            <w:bottom w:w="0" w:type="dxa"/>
          </w:tblCellMar>
        </w:tblPrEx>
        <w:tc>
          <w:tcPr>
            <w:tcW w:w="3660" w:type="dxa"/>
            <w:shd w:val="clear" w:color="auto" w:fill="auto"/>
          </w:tcPr>
          <w:p w:rsidR="00FE42F3" w:rsidRPr="00FE42F3" w:rsidRDefault="00FE42F3" w:rsidP="00F575D8">
            <w:pPr>
              <w:rPr>
                <w:sz w:val="17"/>
                <w:szCs w:val="17"/>
              </w:rPr>
            </w:pPr>
            <w:r w:rsidRPr="00FE42F3">
              <w:rPr>
                <w:sz w:val="17"/>
                <w:szCs w:val="17"/>
              </w:rPr>
              <w:t>Refus de l</w:t>
            </w:r>
            <w:r w:rsidR="000A3D87">
              <w:rPr>
                <w:sz w:val="17"/>
                <w:szCs w:val="17"/>
              </w:rPr>
              <w:t>’</w:t>
            </w:r>
            <w:r w:rsidRPr="00FE42F3">
              <w:rPr>
                <w:sz w:val="17"/>
                <w:szCs w:val="17"/>
              </w:rPr>
              <w:t>héritage</w:t>
            </w:r>
          </w:p>
        </w:tc>
        <w:tc>
          <w:tcPr>
            <w:tcW w:w="1380" w:type="dxa"/>
            <w:shd w:val="clear" w:color="auto" w:fill="auto"/>
          </w:tcPr>
          <w:p w:rsidR="00FE42F3" w:rsidRPr="00FE42F3" w:rsidRDefault="00FE42F3" w:rsidP="00FE42F3">
            <w:pPr>
              <w:ind w:right="43"/>
              <w:jc w:val="right"/>
              <w:rPr>
                <w:sz w:val="17"/>
                <w:szCs w:val="17"/>
              </w:rPr>
            </w:pPr>
            <w:r w:rsidRPr="00FE42F3">
              <w:rPr>
                <w:sz w:val="17"/>
                <w:szCs w:val="17"/>
              </w:rPr>
              <w:t>68</w:t>
            </w:r>
          </w:p>
        </w:tc>
      </w:tr>
      <w:tr w:rsidR="00FE42F3" w:rsidRPr="00FE42F3">
        <w:tblPrEx>
          <w:tblCellMar>
            <w:top w:w="0" w:type="dxa"/>
            <w:bottom w:w="0" w:type="dxa"/>
          </w:tblCellMar>
        </w:tblPrEx>
        <w:tc>
          <w:tcPr>
            <w:tcW w:w="3660" w:type="dxa"/>
            <w:shd w:val="clear" w:color="auto" w:fill="auto"/>
          </w:tcPr>
          <w:p w:rsidR="00FE42F3" w:rsidRPr="00FE42F3" w:rsidRDefault="00FE42F3" w:rsidP="00F575D8">
            <w:pPr>
              <w:rPr>
                <w:sz w:val="17"/>
                <w:szCs w:val="17"/>
              </w:rPr>
            </w:pPr>
            <w:r w:rsidRPr="00FE42F3">
              <w:rPr>
                <w:sz w:val="17"/>
                <w:szCs w:val="17"/>
              </w:rPr>
              <w:t>Agression sexuelle</w:t>
            </w:r>
          </w:p>
        </w:tc>
        <w:tc>
          <w:tcPr>
            <w:tcW w:w="1380" w:type="dxa"/>
            <w:shd w:val="clear" w:color="auto" w:fill="auto"/>
          </w:tcPr>
          <w:p w:rsidR="00FE42F3" w:rsidRPr="00FE42F3" w:rsidRDefault="00FE42F3" w:rsidP="00FE42F3">
            <w:pPr>
              <w:ind w:right="43"/>
              <w:jc w:val="right"/>
              <w:rPr>
                <w:sz w:val="17"/>
                <w:szCs w:val="17"/>
              </w:rPr>
            </w:pPr>
            <w:r w:rsidRPr="00FE42F3">
              <w:rPr>
                <w:sz w:val="17"/>
                <w:szCs w:val="17"/>
              </w:rPr>
              <w:t>5</w:t>
            </w:r>
          </w:p>
        </w:tc>
      </w:tr>
      <w:tr w:rsidR="00FE42F3" w:rsidRPr="00FE42F3">
        <w:tblPrEx>
          <w:tblCellMar>
            <w:top w:w="0" w:type="dxa"/>
            <w:bottom w:w="0" w:type="dxa"/>
          </w:tblCellMar>
        </w:tblPrEx>
        <w:tc>
          <w:tcPr>
            <w:tcW w:w="3660" w:type="dxa"/>
            <w:shd w:val="clear" w:color="auto" w:fill="auto"/>
          </w:tcPr>
          <w:p w:rsidR="00FE42F3" w:rsidRPr="00FE42F3" w:rsidRDefault="00FE42F3" w:rsidP="00F575D8">
            <w:pPr>
              <w:rPr>
                <w:sz w:val="17"/>
                <w:szCs w:val="17"/>
              </w:rPr>
            </w:pPr>
            <w:r w:rsidRPr="00FE42F3">
              <w:rPr>
                <w:sz w:val="17"/>
                <w:szCs w:val="17"/>
              </w:rPr>
              <w:t>Voies de fait</w:t>
            </w:r>
          </w:p>
        </w:tc>
        <w:tc>
          <w:tcPr>
            <w:tcW w:w="1380" w:type="dxa"/>
            <w:shd w:val="clear" w:color="auto" w:fill="auto"/>
          </w:tcPr>
          <w:p w:rsidR="00FE42F3" w:rsidRPr="00FE42F3" w:rsidRDefault="00FE42F3" w:rsidP="00FE42F3">
            <w:pPr>
              <w:ind w:right="43"/>
              <w:jc w:val="right"/>
              <w:rPr>
                <w:sz w:val="17"/>
                <w:szCs w:val="17"/>
              </w:rPr>
            </w:pPr>
            <w:r w:rsidRPr="00FE42F3">
              <w:rPr>
                <w:sz w:val="17"/>
                <w:szCs w:val="17"/>
              </w:rPr>
              <w:t>26</w:t>
            </w:r>
          </w:p>
        </w:tc>
      </w:tr>
      <w:tr w:rsidR="00FE42F3" w:rsidRPr="00FE42F3">
        <w:tblPrEx>
          <w:tblCellMar>
            <w:top w:w="0" w:type="dxa"/>
            <w:bottom w:w="0" w:type="dxa"/>
          </w:tblCellMar>
        </w:tblPrEx>
        <w:tc>
          <w:tcPr>
            <w:tcW w:w="3660" w:type="dxa"/>
            <w:shd w:val="clear" w:color="auto" w:fill="auto"/>
          </w:tcPr>
          <w:p w:rsidR="00FE42F3" w:rsidRPr="00FE42F3" w:rsidRDefault="00FE42F3" w:rsidP="00F575D8">
            <w:pPr>
              <w:rPr>
                <w:sz w:val="17"/>
                <w:szCs w:val="17"/>
              </w:rPr>
            </w:pPr>
            <w:r w:rsidRPr="00FE42F3">
              <w:rPr>
                <w:sz w:val="17"/>
                <w:szCs w:val="17"/>
              </w:rPr>
              <w:t>Divorce</w:t>
            </w:r>
          </w:p>
        </w:tc>
        <w:tc>
          <w:tcPr>
            <w:tcW w:w="1380" w:type="dxa"/>
            <w:shd w:val="clear" w:color="auto" w:fill="auto"/>
          </w:tcPr>
          <w:p w:rsidR="00FE42F3" w:rsidRPr="00FE42F3" w:rsidRDefault="00FE42F3" w:rsidP="00FE42F3">
            <w:pPr>
              <w:ind w:right="43"/>
              <w:jc w:val="right"/>
              <w:rPr>
                <w:sz w:val="17"/>
                <w:szCs w:val="17"/>
              </w:rPr>
            </w:pPr>
            <w:r w:rsidRPr="00FE42F3">
              <w:rPr>
                <w:sz w:val="17"/>
                <w:szCs w:val="17"/>
              </w:rPr>
              <w:t>6</w:t>
            </w:r>
          </w:p>
        </w:tc>
      </w:tr>
      <w:tr w:rsidR="00FE42F3" w:rsidRPr="00FE42F3">
        <w:tblPrEx>
          <w:tblCellMar>
            <w:top w:w="0" w:type="dxa"/>
            <w:bottom w:w="0" w:type="dxa"/>
          </w:tblCellMar>
        </w:tblPrEx>
        <w:tc>
          <w:tcPr>
            <w:tcW w:w="3660" w:type="dxa"/>
            <w:shd w:val="clear" w:color="auto" w:fill="auto"/>
          </w:tcPr>
          <w:p w:rsidR="00FE42F3" w:rsidRPr="00FE42F3" w:rsidRDefault="00FE42F3" w:rsidP="00F575D8">
            <w:pPr>
              <w:rPr>
                <w:sz w:val="17"/>
                <w:szCs w:val="17"/>
              </w:rPr>
            </w:pPr>
            <w:r w:rsidRPr="00FE42F3">
              <w:rPr>
                <w:sz w:val="17"/>
                <w:szCs w:val="17"/>
              </w:rPr>
              <w:t>Conflit familial</w:t>
            </w:r>
          </w:p>
        </w:tc>
        <w:tc>
          <w:tcPr>
            <w:tcW w:w="1380" w:type="dxa"/>
            <w:shd w:val="clear" w:color="auto" w:fill="auto"/>
          </w:tcPr>
          <w:p w:rsidR="00FE42F3" w:rsidRPr="00FE42F3" w:rsidRDefault="00FE42F3" w:rsidP="00FE42F3">
            <w:pPr>
              <w:ind w:right="43"/>
              <w:jc w:val="right"/>
              <w:rPr>
                <w:sz w:val="17"/>
                <w:szCs w:val="17"/>
              </w:rPr>
            </w:pPr>
            <w:r w:rsidRPr="00FE42F3">
              <w:rPr>
                <w:sz w:val="17"/>
                <w:szCs w:val="17"/>
              </w:rPr>
              <w:t>50</w:t>
            </w:r>
          </w:p>
        </w:tc>
      </w:tr>
      <w:tr w:rsidR="00FE42F3" w:rsidRPr="00FE42F3">
        <w:tblPrEx>
          <w:tblCellMar>
            <w:top w:w="0" w:type="dxa"/>
            <w:bottom w:w="0" w:type="dxa"/>
          </w:tblCellMar>
        </w:tblPrEx>
        <w:tc>
          <w:tcPr>
            <w:tcW w:w="3660" w:type="dxa"/>
            <w:shd w:val="clear" w:color="auto" w:fill="auto"/>
          </w:tcPr>
          <w:p w:rsidR="00FE42F3" w:rsidRPr="00FE42F3" w:rsidRDefault="00FE42F3" w:rsidP="00F575D8">
            <w:pPr>
              <w:rPr>
                <w:sz w:val="17"/>
                <w:szCs w:val="17"/>
              </w:rPr>
            </w:pPr>
            <w:r w:rsidRPr="00FE42F3">
              <w:rPr>
                <w:sz w:val="17"/>
                <w:szCs w:val="17"/>
              </w:rPr>
              <w:t>Harcèlement</w:t>
            </w:r>
          </w:p>
        </w:tc>
        <w:tc>
          <w:tcPr>
            <w:tcW w:w="1380" w:type="dxa"/>
            <w:shd w:val="clear" w:color="auto" w:fill="auto"/>
          </w:tcPr>
          <w:p w:rsidR="00FE42F3" w:rsidRPr="00FE42F3" w:rsidRDefault="00FE42F3" w:rsidP="00FE42F3">
            <w:pPr>
              <w:ind w:right="43"/>
              <w:jc w:val="right"/>
              <w:rPr>
                <w:sz w:val="17"/>
                <w:szCs w:val="17"/>
              </w:rPr>
            </w:pPr>
            <w:r w:rsidRPr="00FE42F3">
              <w:rPr>
                <w:sz w:val="17"/>
                <w:szCs w:val="17"/>
              </w:rPr>
              <w:t>8</w:t>
            </w:r>
          </w:p>
        </w:tc>
      </w:tr>
      <w:tr w:rsidR="00FE42F3" w:rsidRPr="00FE42F3">
        <w:tblPrEx>
          <w:tblCellMar>
            <w:top w:w="0" w:type="dxa"/>
            <w:bottom w:w="0" w:type="dxa"/>
          </w:tblCellMar>
        </w:tblPrEx>
        <w:tc>
          <w:tcPr>
            <w:tcW w:w="3660" w:type="dxa"/>
            <w:shd w:val="clear" w:color="auto" w:fill="auto"/>
          </w:tcPr>
          <w:p w:rsidR="00FE42F3" w:rsidRPr="00FE42F3" w:rsidRDefault="00FE42F3" w:rsidP="00F575D8">
            <w:pPr>
              <w:rPr>
                <w:sz w:val="17"/>
                <w:szCs w:val="17"/>
              </w:rPr>
            </w:pPr>
            <w:r w:rsidRPr="00FE42F3">
              <w:rPr>
                <w:sz w:val="17"/>
                <w:szCs w:val="17"/>
              </w:rPr>
              <w:t>Pension alimentaire</w:t>
            </w:r>
          </w:p>
        </w:tc>
        <w:tc>
          <w:tcPr>
            <w:tcW w:w="1380" w:type="dxa"/>
            <w:shd w:val="clear" w:color="auto" w:fill="auto"/>
          </w:tcPr>
          <w:p w:rsidR="00FE42F3" w:rsidRPr="00FE42F3" w:rsidRDefault="00FE42F3" w:rsidP="00FE42F3">
            <w:pPr>
              <w:ind w:right="43"/>
              <w:jc w:val="right"/>
              <w:rPr>
                <w:sz w:val="17"/>
                <w:szCs w:val="17"/>
              </w:rPr>
            </w:pPr>
            <w:r w:rsidRPr="00FE42F3">
              <w:rPr>
                <w:sz w:val="17"/>
                <w:szCs w:val="17"/>
              </w:rPr>
              <w:t>15</w:t>
            </w:r>
          </w:p>
        </w:tc>
      </w:tr>
      <w:tr w:rsidR="00FE42F3" w:rsidRPr="00FE42F3">
        <w:tblPrEx>
          <w:tblCellMar>
            <w:top w:w="0" w:type="dxa"/>
            <w:bottom w:w="0" w:type="dxa"/>
          </w:tblCellMar>
        </w:tblPrEx>
        <w:tc>
          <w:tcPr>
            <w:tcW w:w="3660" w:type="dxa"/>
            <w:shd w:val="clear" w:color="auto" w:fill="auto"/>
          </w:tcPr>
          <w:p w:rsidR="00FE42F3" w:rsidRPr="00FE42F3" w:rsidRDefault="00FE42F3" w:rsidP="00F575D8">
            <w:pPr>
              <w:rPr>
                <w:sz w:val="17"/>
                <w:szCs w:val="17"/>
              </w:rPr>
            </w:pPr>
            <w:r w:rsidRPr="00FE42F3">
              <w:rPr>
                <w:sz w:val="17"/>
                <w:szCs w:val="17"/>
              </w:rPr>
              <w:t>Maltraitance et négligence de l</w:t>
            </w:r>
            <w:r w:rsidR="000A3D87">
              <w:rPr>
                <w:sz w:val="17"/>
                <w:szCs w:val="17"/>
              </w:rPr>
              <w:t>’</w:t>
            </w:r>
            <w:r w:rsidRPr="00FE42F3">
              <w:rPr>
                <w:sz w:val="17"/>
                <w:szCs w:val="17"/>
              </w:rPr>
              <w:t>enfant</w:t>
            </w:r>
          </w:p>
        </w:tc>
        <w:tc>
          <w:tcPr>
            <w:tcW w:w="1380" w:type="dxa"/>
            <w:shd w:val="clear" w:color="auto" w:fill="auto"/>
          </w:tcPr>
          <w:p w:rsidR="00FE42F3" w:rsidRPr="00FE42F3" w:rsidRDefault="00FE42F3" w:rsidP="00FE42F3">
            <w:pPr>
              <w:ind w:right="43"/>
              <w:jc w:val="right"/>
              <w:rPr>
                <w:sz w:val="17"/>
                <w:szCs w:val="17"/>
              </w:rPr>
            </w:pPr>
            <w:r w:rsidRPr="00FE42F3">
              <w:rPr>
                <w:sz w:val="17"/>
                <w:szCs w:val="17"/>
              </w:rPr>
              <w:t>7</w:t>
            </w:r>
          </w:p>
        </w:tc>
      </w:tr>
      <w:tr w:rsidR="00FE42F3" w:rsidRPr="00FE42F3">
        <w:tblPrEx>
          <w:tblCellMar>
            <w:top w:w="0" w:type="dxa"/>
            <w:bottom w:w="0" w:type="dxa"/>
          </w:tblCellMar>
        </w:tblPrEx>
        <w:tc>
          <w:tcPr>
            <w:tcW w:w="3660" w:type="dxa"/>
            <w:shd w:val="clear" w:color="auto" w:fill="auto"/>
          </w:tcPr>
          <w:p w:rsidR="00FE42F3" w:rsidRPr="00FE42F3" w:rsidRDefault="00FE42F3" w:rsidP="00F575D8">
            <w:pPr>
              <w:rPr>
                <w:sz w:val="17"/>
                <w:szCs w:val="17"/>
              </w:rPr>
            </w:pPr>
            <w:r w:rsidRPr="00FE42F3">
              <w:rPr>
                <w:sz w:val="17"/>
                <w:szCs w:val="17"/>
              </w:rPr>
              <w:t>Grossesse non prévue</w:t>
            </w:r>
          </w:p>
        </w:tc>
        <w:tc>
          <w:tcPr>
            <w:tcW w:w="1380" w:type="dxa"/>
            <w:shd w:val="clear" w:color="auto" w:fill="auto"/>
          </w:tcPr>
          <w:p w:rsidR="00FE42F3" w:rsidRPr="00FE42F3" w:rsidRDefault="00FE42F3" w:rsidP="00FE42F3">
            <w:pPr>
              <w:ind w:right="43"/>
              <w:jc w:val="right"/>
              <w:rPr>
                <w:sz w:val="17"/>
                <w:szCs w:val="17"/>
              </w:rPr>
            </w:pPr>
            <w:r w:rsidRPr="00FE42F3">
              <w:rPr>
                <w:sz w:val="17"/>
                <w:szCs w:val="17"/>
              </w:rPr>
              <w:t>7</w:t>
            </w:r>
          </w:p>
        </w:tc>
      </w:tr>
      <w:tr w:rsidR="00FE42F3" w:rsidRPr="00FE42F3">
        <w:tblPrEx>
          <w:tblCellMar>
            <w:top w:w="0" w:type="dxa"/>
            <w:bottom w:w="0" w:type="dxa"/>
          </w:tblCellMar>
        </w:tblPrEx>
        <w:tc>
          <w:tcPr>
            <w:tcW w:w="3660" w:type="dxa"/>
            <w:tcBorders>
              <w:bottom w:val="single" w:sz="4" w:space="0" w:color="auto"/>
            </w:tcBorders>
            <w:shd w:val="clear" w:color="auto" w:fill="auto"/>
          </w:tcPr>
          <w:p w:rsidR="00FE42F3" w:rsidRPr="00FE42F3" w:rsidRDefault="00FE42F3" w:rsidP="00FE42F3">
            <w:pPr>
              <w:spacing w:after="81"/>
              <w:rPr>
                <w:sz w:val="17"/>
                <w:szCs w:val="17"/>
              </w:rPr>
            </w:pPr>
            <w:r w:rsidRPr="00FE42F3">
              <w:rPr>
                <w:sz w:val="17"/>
                <w:szCs w:val="17"/>
              </w:rPr>
              <w:t>Autres formes de violence</w:t>
            </w:r>
          </w:p>
        </w:tc>
        <w:tc>
          <w:tcPr>
            <w:tcW w:w="1380" w:type="dxa"/>
            <w:tcBorders>
              <w:bottom w:val="single" w:sz="4" w:space="0" w:color="auto"/>
            </w:tcBorders>
            <w:shd w:val="clear" w:color="auto" w:fill="auto"/>
          </w:tcPr>
          <w:p w:rsidR="00FE42F3" w:rsidRPr="00FE42F3" w:rsidRDefault="00FE42F3" w:rsidP="00FE42F3">
            <w:pPr>
              <w:spacing w:after="81"/>
              <w:ind w:right="43"/>
              <w:jc w:val="right"/>
              <w:rPr>
                <w:sz w:val="17"/>
                <w:szCs w:val="17"/>
              </w:rPr>
            </w:pPr>
            <w:r w:rsidRPr="00FE42F3">
              <w:rPr>
                <w:sz w:val="17"/>
                <w:szCs w:val="17"/>
              </w:rPr>
              <w:t>27</w:t>
            </w:r>
          </w:p>
        </w:tc>
      </w:tr>
      <w:tr w:rsidR="00FE42F3" w:rsidRPr="00FE42F3">
        <w:tblPrEx>
          <w:tblCellMar>
            <w:top w:w="0" w:type="dxa"/>
            <w:bottom w:w="0" w:type="dxa"/>
          </w:tblCellMar>
        </w:tblPrEx>
        <w:tc>
          <w:tcPr>
            <w:tcW w:w="3660" w:type="dxa"/>
            <w:tcBorders>
              <w:top w:val="single" w:sz="4" w:space="0" w:color="auto"/>
              <w:bottom w:val="single" w:sz="12" w:space="0" w:color="auto"/>
            </w:tcBorders>
            <w:shd w:val="clear" w:color="auto" w:fill="auto"/>
          </w:tcPr>
          <w:p w:rsidR="00FE42F3" w:rsidRPr="00FE42F3" w:rsidRDefault="00FE42F3" w:rsidP="00FE42F3">
            <w:pPr>
              <w:spacing w:before="81" w:after="81"/>
              <w:rPr>
                <w:b/>
                <w:sz w:val="17"/>
                <w:szCs w:val="17"/>
              </w:rPr>
            </w:pPr>
            <w:r w:rsidRPr="00FE42F3">
              <w:rPr>
                <w:b/>
                <w:sz w:val="17"/>
                <w:szCs w:val="17"/>
              </w:rPr>
              <w:t>Total</w:t>
            </w:r>
          </w:p>
        </w:tc>
        <w:tc>
          <w:tcPr>
            <w:tcW w:w="1380" w:type="dxa"/>
            <w:tcBorders>
              <w:top w:val="single" w:sz="4" w:space="0" w:color="auto"/>
              <w:bottom w:val="single" w:sz="12" w:space="0" w:color="auto"/>
            </w:tcBorders>
            <w:shd w:val="clear" w:color="auto" w:fill="auto"/>
          </w:tcPr>
          <w:p w:rsidR="00FE42F3" w:rsidRPr="00FE42F3" w:rsidRDefault="00FE42F3" w:rsidP="00FE42F3">
            <w:pPr>
              <w:spacing w:before="81" w:after="81"/>
              <w:ind w:right="43"/>
              <w:jc w:val="right"/>
              <w:rPr>
                <w:b/>
                <w:sz w:val="17"/>
                <w:szCs w:val="17"/>
              </w:rPr>
            </w:pPr>
            <w:r w:rsidRPr="00FE42F3">
              <w:rPr>
                <w:b/>
                <w:sz w:val="17"/>
                <w:szCs w:val="17"/>
              </w:rPr>
              <w:t>214</w:t>
            </w:r>
          </w:p>
        </w:tc>
      </w:tr>
    </w:tbl>
    <w:p w:rsidR="00FE42F3" w:rsidRPr="00FE42F3" w:rsidRDefault="00FE42F3" w:rsidP="00FE42F3">
      <w:pPr>
        <w:pStyle w:val="SingleTxt"/>
        <w:spacing w:after="0" w:line="120" w:lineRule="exact"/>
        <w:rPr>
          <w:sz w:val="10"/>
          <w:lang w:val="fr-FR"/>
        </w:rPr>
      </w:pPr>
    </w:p>
    <w:p w:rsidR="00FC38C0" w:rsidRPr="00D35192" w:rsidRDefault="00FE42F3" w:rsidP="00FC38C0">
      <w:pPr>
        <w:pStyle w:val="SingleTxt"/>
        <w:rPr>
          <w:sz w:val="17"/>
          <w:szCs w:val="17"/>
          <w:lang w:val="en-CA"/>
        </w:rPr>
      </w:pPr>
      <w:r w:rsidRPr="00D35192">
        <w:rPr>
          <w:i/>
          <w:sz w:val="17"/>
          <w:szCs w:val="17"/>
          <w:lang w:val="en-CA"/>
        </w:rPr>
        <w:t>Source</w:t>
      </w:r>
      <w:r w:rsidRPr="00D35192">
        <w:rPr>
          <w:sz w:val="17"/>
          <w:szCs w:val="17"/>
          <w:lang w:val="en-CA"/>
        </w:rPr>
        <w:t xml:space="preserve"> : Women</w:t>
      </w:r>
      <w:r w:rsidR="000A3D87" w:rsidRPr="00D35192">
        <w:rPr>
          <w:sz w:val="17"/>
          <w:szCs w:val="17"/>
          <w:lang w:val="en-CA"/>
        </w:rPr>
        <w:t>’</w:t>
      </w:r>
      <w:r w:rsidRPr="00D35192">
        <w:rPr>
          <w:sz w:val="17"/>
          <w:szCs w:val="17"/>
          <w:lang w:val="en-CA"/>
        </w:rPr>
        <w:t>s Aid Collective Report on CEDAW, 2006</w:t>
      </w:r>
    </w:p>
    <w:p w:rsidR="00FE42F3" w:rsidRPr="00D35192" w:rsidRDefault="00FE42F3" w:rsidP="00FE42F3">
      <w:pPr>
        <w:pStyle w:val="SingleTxt"/>
        <w:spacing w:after="0" w:line="120" w:lineRule="exact"/>
        <w:rPr>
          <w:sz w:val="10"/>
          <w:lang w:val="en-CA"/>
        </w:rPr>
      </w:pPr>
    </w:p>
    <w:p w:rsidR="003A6F57" w:rsidRDefault="00FE42F3" w:rsidP="00FE42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35192">
        <w:rPr>
          <w:lang w:val="en-CA"/>
        </w:rPr>
        <w:tab/>
      </w:r>
      <w:r w:rsidR="003A6F57" w:rsidRPr="005D6CD4">
        <w:rPr>
          <w:lang w:val="fr-FR"/>
        </w:rPr>
        <w:t xml:space="preserve">3.7 </w:t>
      </w:r>
      <w:r w:rsidR="003A6F57" w:rsidRPr="005D6CD4">
        <w:rPr>
          <w:lang w:val="fr-FR"/>
        </w:rPr>
        <w:tab/>
        <w:t xml:space="preserve">Réseau de lutte contre la traite des enfants au </w:t>
      </w:r>
      <w:r w:rsidR="003A6F57">
        <w:rPr>
          <w:lang w:val="fr-FR"/>
        </w:rPr>
        <w:t>Nigéria</w:t>
      </w:r>
    </w:p>
    <w:p w:rsidR="00FE42F3" w:rsidRPr="00FE42F3" w:rsidRDefault="00FE42F3" w:rsidP="00FE42F3">
      <w:pPr>
        <w:pStyle w:val="SingleTxt"/>
        <w:spacing w:after="0" w:line="120" w:lineRule="exact"/>
        <w:rPr>
          <w:sz w:val="10"/>
          <w:lang w:val="fr-FR"/>
        </w:rPr>
      </w:pPr>
    </w:p>
    <w:p w:rsidR="003A6F57" w:rsidRPr="005D6CD4" w:rsidRDefault="003A6F57" w:rsidP="0008640F">
      <w:pPr>
        <w:pStyle w:val="SingleTxt"/>
        <w:rPr>
          <w:lang w:val="fr-FR"/>
        </w:rPr>
      </w:pPr>
      <w:r w:rsidRPr="005D6CD4">
        <w:rPr>
          <w:bCs/>
          <w:lang w:val="fr-FR"/>
        </w:rPr>
        <w:t>3.7.1</w:t>
      </w:r>
      <w:r w:rsidRPr="005D6CD4">
        <w:rPr>
          <w:lang w:val="fr-FR"/>
        </w:rPr>
        <w:t xml:space="preserve"> </w:t>
      </w:r>
      <w:r w:rsidR="00FE42F3">
        <w:rPr>
          <w:lang w:val="fr-FR"/>
        </w:rPr>
        <w:t xml:space="preserve"> </w:t>
      </w:r>
      <w:r w:rsidRPr="005D6CD4">
        <w:rPr>
          <w:lang w:val="fr-FR"/>
        </w:rPr>
        <w:t xml:space="preserve">Le programme de lutte contre la traite des enfants au </w:t>
      </w:r>
      <w:r>
        <w:rPr>
          <w:lang w:val="fr-FR"/>
        </w:rPr>
        <w:t>Nigéria</w:t>
      </w:r>
      <w:r w:rsidRPr="005D6CD4">
        <w:rPr>
          <w:lang w:val="fr-FR"/>
        </w:rPr>
        <w:t>, qui s</w:t>
      </w:r>
      <w:r w:rsidR="000A3D87">
        <w:rPr>
          <w:lang w:val="fr-FR"/>
        </w:rPr>
        <w:t>’</w:t>
      </w:r>
      <w:r w:rsidRPr="005D6CD4">
        <w:rPr>
          <w:lang w:val="fr-FR"/>
        </w:rPr>
        <w:t xml:space="preserve">inscrit dans le cadre du projet de lutte contre la traite des enfants du Programme de coopération UNICEF/Gouvernement fédéral du </w:t>
      </w:r>
      <w:r>
        <w:rPr>
          <w:lang w:val="fr-FR"/>
        </w:rPr>
        <w:t>Nigéria</w:t>
      </w:r>
      <w:r w:rsidRPr="005D6CD4">
        <w:rPr>
          <w:lang w:val="fr-FR"/>
        </w:rPr>
        <w:t>, 2002 – 2007, était en cours d</w:t>
      </w:r>
      <w:r w:rsidR="000A3D87">
        <w:rPr>
          <w:lang w:val="fr-FR"/>
        </w:rPr>
        <w:t>’</w:t>
      </w:r>
      <w:r w:rsidRPr="005D6CD4">
        <w:rPr>
          <w:lang w:val="fr-FR"/>
        </w:rPr>
        <w:t xml:space="preserve">exécution pendant la période sous revue. </w:t>
      </w:r>
    </w:p>
    <w:p w:rsidR="003A6F57" w:rsidRDefault="00FE42F3" w:rsidP="0008640F">
      <w:pPr>
        <w:pStyle w:val="SingleTxt"/>
        <w:rPr>
          <w:lang w:val="fr-FR"/>
        </w:rPr>
      </w:pPr>
      <w:r>
        <w:rPr>
          <w:lang w:val="fr-FR"/>
        </w:rPr>
        <w:tab/>
      </w:r>
      <w:r w:rsidR="003A6F57" w:rsidRPr="005D6CD4">
        <w:rPr>
          <w:lang w:val="fr-FR"/>
        </w:rPr>
        <w:t>Les objectifs du programme consistent à soutenir la mise en place de deux centres de transit pour les enfants victimes de traite dans les États de Kano et de Akwa-Ibom. Les programmes doivent fournir aux victimes un cadre de protection immédiat, y compris la sécurité, la protection, l</w:t>
      </w:r>
      <w:r w:rsidR="000A3D87">
        <w:rPr>
          <w:lang w:val="fr-FR"/>
        </w:rPr>
        <w:t>’</w:t>
      </w:r>
      <w:r w:rsidR="003A6F57" w:rsidRPr="005D6CD4">
        <w:rPr>
          <w:lang w:val="fr-FR"/>
        </w:rPr>
        <w:t>alimentation, les vêtements, les services de santé et des activités génératrices de revenus.</w:t>
      </w:r>
      <w:r w:rsidR="003A6F57">
        <w:rPr>
          <w:lang w:val="fr-FR"/>
        </w:rPr>
        <w:t xml:space="preserve"> </w:t>
      </w:r>
      <w:r w:rsidR="003A6F57" w:rsidRPr="005D6CD4">
        <w:rPr>
          <w:lang w:val="fr-FR"/>
        </w:rPr>
        <w:t>Le projet mettra en place un mécanisme fonctionnel permettant aux cadres formés et aux fournisseurs de soins d</w:t>
      </w:r>
      <w:r w:rsidR="000A3D87">
        <w:rPr>
          <w:lang w:val="fr-FR"/>
        </w:rPr>
        <w:t>’</w:t>
      </w:r>
      <w:r w:rsidR="003A6F57" w:rsidRPr="005D6CD4">
        <w:rPr>
          <w:lang w:val="fr-FR"/>
        </w:rPr>
        <w:t>offrir des services standard aux victimes de la traite de personnes, d</w:t>
      </w:r>
      <w:r w:rsidR="000A3D87">
        <w:rPr>
          <w:lang w:val="fr-FR"/>
        </w:rPr>
        <w:t>’</w:t>
      </w:r>
      <w:r w:rsidR="003A6F57" w:rsidRPr="005D6CD4">
        <w:rPr>
          <w:lang w:val="fr-FR"/>
        </w:rPr>
        <w:t>assurer la réinsertion et la réunification des familles. Les résultats obtenus entre 2005 et 2006 figurent dans l</w:t>
      </w:r>
      <w:r w:rsidR="000A3D87">
        <w:rPr>
          <w:lang w:val="fr-FR"/>
        </w:rPr>
        <w:t>’</w:t>
      </w:r>
      <w:r w:rsidR="003A6F57" w:rsidRPr="005D6CD4">
        <w:rPr>
          <w:lang w:val="fr-FR"/>
        </w:rPr>
        <w:t>Encadré 3.3.</w:t>
      </w:r>
    </w:p>
    <w:p w:rsidR="00113A64" w:rsidRPr="005D6CD4" w:rsidRDefault="00113A64" w:rsidP="0008640F">
      <w:pPr>
        <w:pStyle w:val="SingleTxt"/>
        <w:rPr>
          <w:lang w:val="fr-FR"/>
        </w:rPr>
      </w:pPr>
      <w:r>
        <w:rPr>
          <w:noProof/>
          <w:w w:val="100"/>
          <w:lang w:val="en-US"/>
        </w:rPr>
        <w:pict>
          <v:shape id="_x0000_s2098" type="#_x0000_t202" style="position:absolute;left:0;text-align:left;margin-left:61.3pt;margin-top:3.1pt;width:189pt;height:603pt;z-index:9">
            <v:textbox>
              <w:txbxContent>
                <w:p w:rsidR="00D32F3D" w:rsidRDefault="00D32F3D" w:rsidP="00113A64">
                  <w:pPr>
                    <w:rPr>
                      <w:b/>
                    </w:rPr>
                  </w:pPr>
                  <w:r w:rsidRPr="00113A64">
                    <w:rPr>
                      <w:b/>
                    </w:rPr>
                    <w:t>Encadré 3.3</w:t>
                  </w:r>
                </w:p>
                <w:p w:rsidR="00D32F3D" w:rsidRPr="00113A64" w:rsidRDefault="00D32F3D" w:rsidP="00113A64">
                  <w:pPr>
                    <w:spacing w:line="120" w:lineRule="exact"/>
                    <w:rPr>
                      <w:b/>
                      <w:sz w:val="10"/>
                    </w:rPr>
                  </w:pPr>
                </w:p>
                <w:p w:rsidR="00D32F3D" w:rsidRDefault="00D32F3D" w:rsidP="00385997">
                  <w:pPr>
                    <w:tabs>
                      <w:tab w:val="left" w:pos="270"/>
                    </w:tabs>
                    <w:jc w:val="both"/>
                  </w:pPr>
                  <w:r w:rsidRPr="005D6CD4">
                    <w:rPr>
                      <w:sz w:val="24"/>
                      <w:szCs w:val="24"/>
                      <w:lang w:val="fr-FR"/>
                    </w:rPr>
                    <w:sym w:font="Symbol" w:char="F0A7"/>
                  </w:r>
                  <w:r>
                    <w:tab/>
                    <w:t>Centres d’accueil de transit pour les enfants victimes de l’exploitation et des abus établis dans les États de Kano et de Akwa-Ibom, améliorant la disponibilité des services en faveur des enfants; conseil, soutien psychosocial, réinsertion et réintégration des familles des victimes et des fournisseurs de soins.</w:t>
                  </w:r>
                </w:p>
                <w:p w:rsidR="00D32F3D" w:rsidRDefault="00D32F3D" w:rsidP="00385997">
                  <w:pPr>
                    <w:tabs>
                      <w:tab w:val="left" w:pos="270"/>
                    </w:tabs>
                    <w:jc w:val="both"/>
                  </w:pPr>
                  <w:r w:rsidRPr="005D6CD4">
                    <w:rPr>
                      <w:sz w:val="24"/>
                      <w:szCs w:val="24"/>
                      <w:lang w:val="fr-FR"/>
                    </w:rPr>
                    <w:sym w:font="Symbol" w:char="F0A7"/>
                  </w:r>
                  <w:r>
                    <w:t xml:space="preserve"> </w:t>
                  </w:r>
                  <w:r>
                    <w:tab/>
                    <w:t xml:space="preserve">Matériel générateur de revenu acheté et programme de microcrédit mis en place pour les victimes de la traite de personnes et leurs familles dans les États visés. </w:t>
                  </w:r>
                </w:p>
                <w:p w:rsidR="00D32F3D" w:rsidRDefault="00D32F3D" w:rsidP="00385997">
                  <w:pPr>
                    <w:jc w:val="both"/>
                  </w:pPr>
                  <w:r>
                    <w:t>Équipement des technologies de l’information et matériels de loisirs, éducatifs et de formation professionnelle acheté pour les centres.</w:t>
                  </w:r>
                </w:p>
                <w:p w:rsidR="00D32F3D" w:rsidRDefault="00D32F3D" w:rsidP="00385997">
                  <w:pPr>
                    <w:tabs>
                      <w:tab w:val="left" w:pos="270"/>
                    </w:tabs>
                    <w:jc w:val="both"/>
                  </w:pPr>
                  <w:r w:rsidRPr="005D6CD4">
                    <w:rPr>
                      <w:sz w:val="24"/>
                      <w:szCs w:val="24"/>
                      <w:lang w:val="fr-FR"/>
                    </w:rPr>
                    <w:sym w:font="Symbol" w:char="F0A7"/>
                  </w:r>
                  <w:r>
                    <w:rPr>
                      <w:sz w:val="24"/>
                      <w:szCs w:val="24"/>
                      <w:lang w:val="fr-FR"/>
                    </w:rPr>
                    <w:tab/>
                  </w:r>
                  <w:r>
                    <w:t>Réseaux de lutte contre la traite des enfants comprenant les organismes publics et départements ministériels compétents, des services de maintien de l’ordre, la société civile et les dirigeants des collectivités ont été mis en place au niveau national et infranational dans 22 États du Nigéria où cette pratique revêt un caractère endémique. Cette lutte se solde par une prise de conscience accrue, des activités de secours, de réhabilitation et de réintégration des victimes de la traite des enfants dans ces États.</w:t>
                  </w:r>
                </w:p>
                <w:p w:rsidR="00D32F3D" w:rsidRDefault="00D32F3D" w:rsidP="00385997">
                  <w:pPr>
                    <w:tabs>
                      <w:tab w:val="left" w:pos="270"/>
                    </w:tabs>
                    <w:jc w:val="both"/>
                  </w:pPr>
                  <w:r w:rsidRPr="005D6CD4">
                    <w:rPr>
                      <w:sz w:val="24"/>
                      <w:szCs w:val="24"/>
                      <w:lang w:val="fr-FR"/>
                    </w:rPr>
                    <w:sym w:font="Symbol" w:char="F0A7"/>
                  </w:r>
                  <w:r>
                    <w:rPr>
                      <w:sz w:val="24"/>
                      <w:szCs w:val="24"/>
                      <w:lang w:val="fr-FR"/>
                    </w:rPr>
                    <w:tab/>
                  </w:r>
                  <w:r>
                    <w:t xml:space="preserve">Renforcement des capacités de la NAPTIP, des organismes de maintien de l’ordre, des membres des services de protection sociale et du système judiciaire dans le domaine de l’application de la loi contre la traite des personnes, notamment en matière d’enquête, de poursuite et de réinsertion des victimes, les agents de la NAPTIP étant habilités à suivre et signaler systématiquement les cas de traite des enfants. </w:t>
                  </w:r>
                </w:p>
                <w:p w:rsidR="00D32F3D" w:rsidRDefault="00D32F3D" w:rsidP="00385997">
                  <w:pPr>
                    <w:tabs>
                      <w:tab w:val="left" w:pos="270"/>
                    </w:tabs>
                    <w:jc w:val="both"/>
                  </w:pPr>
                  <w:r w:rsidRPr="005D6CD4">
                    <w:rPr>
                      <w:sz w:val="24"/>
                      <w:szCs w:val="24"/>
                      <w:lang w:val="fr-FR"/>
                    </w:rPr>
                    <w:sym w:font="Symbol" w:char="F0A7"/>
                  </w:r>
                  <w:r>
                    <w:rPr>
                      <w:sz w:val="24"/>
                      <w:szCs w:val="24"/>
                      <w:lang w:val="fr-FR"/>
                    </w:rPr>
                    <w:tab/>
                  </w:r>
                  <w:r>
                    <w:t>Examen des documents sur la traite des enfants au Nigéria et publication de la réaction nationale à la traite des enfants au Nigéria.</w:t>
                  </w:r>
                </w:p>
              </w:txbxContent>
            </v:textbox>
          </v:shape>
        </w:pict>
      </w:r>
    </w:p>
    <w:p w:rsidR="00385997" w:rsidRDefault="003A6F57" w:rsidP="00385997">
      <w:pPr>
        <w:autoSpaceDE w:val="0"/>
        <w:autoSpaceDN w:val="0"/>
        <w:adjustRightInd w:val="0"/>
        <w:spacing w:after="120"/>
        <w:ind w:left="5227" w:right="1123"/>
        <w:jc w:val="both"/>
        <w:rPr>
          <w:lang w:val="fr-FR"/>
        </w:rPr>
      </w:pPr>
      <w:r w:rsidRPr="00385997">
        <w:t xml:space="preserve">3.7.2 </w:t>
      </w:r>
      <w:r w:rsidR="00385997" w:rsidRPr="00385997">
        <w:t xml:space="preserve"> </w:t>
      </w:r>
      <w:r w:rsidRPr="00385997">
        <w:t>En outre, des groupes de travail et des réseaux contre la traite des enfants ont été constitués dans quatre zones de la Fédération. Les réseaux constitués au niveau des États et des zones ont favorisé une collaboration plus étroite entre les organismes de maintien de l</w:t>
      </w:r>
      <w:r w:rsidR="000A3D87">
        <w:t>’</w:t>
      </w:r>
      <w:r w:rsidRPr="00385997">
        <w:t>ordre, les ONG, les organisations de proximité et les ministères des États dans le cadre de la signalisation des cas de traite, d</w:t>
      </w:r>
      <w:r w:rsidR="000A3D87">
        <w:t>’</w:t>
      </w:r>
      <w:r w:rsidRPr="00385997">
        <w:t xml:space="preserve">opérations de secours, de rapatriement et de réintégration des victimes de </w:t>
      </w:r>
      <w:r w:rsidRPr="00385997">
        <w:rPr>
          <w:lang w:val="fr-FR"/>
        </w:rPr>
        <w:t xml:space="preserve">la traite intérieure et extérieure. </w:t>
      </w:r>
    </w:p>
    <w:p w:rsidR="00385997" w:rsidRPr="00385997" w:rsidRDefault="00385997" w:rsidP="00385997">
      <w:pPr>
        <w:autoSpaceDE w:val="0"/>
        <w:autoSpaceDN w:val="0"/>
        <w:adjustRightInd w:val="0"/>
        <w:spacing w:after="120"/>
        <w:ind w:left="5227" w:right="1123"/>
        <w:jc w:val="both"/>
        <w:rPr>
          <w:lang w:val="fr-FR"/>
        </w:rPr>
      </w:pPr>
      <w:r>
        <w:rPr>
          <w:lang w:val="fr-FR"/>
        </w:rPr>
        <w:tab/>
      </w:r>
      <w:r w:rsidRPr="00385997">
        <w:rPr>
          <w:lang w:val="fr-FR"/>
        </w:rPr>
        <w:t>Les renseignements sur les itinéraires de la traite sont systématiquement échangés entre les membres du réseau afin d</w:t>
      </w:r>
      <w:r w:rsidR="000A3D87">
        <w:rPr>
          <w:lang w:val="fr-FR"/>
        </w:rPr>
        <w:t>’</w:t>
      </w:r>
      <w:r w:rsidRPr="00385997">
        <w:rPr>
          <w:lang w:val="fr-FR"/>
        </w:rPr>
        <w:t>améliorer l</w:t>
      </w:r>
      <w:r w:rsidR="000A3D87">
        <w:rPr>
          <w:lang w:val="fr-FR"/>
        </w:rPr>
        <w:t>’</w:t>
      </w:r>
      <w:r w:rsidRPr="00385997">
        <w:rPr>
          <w:lang w:val="fr-FR"/>
        </w:rPr>
        <w:t>efficacité des enquêtes et des poursuites. Cet échange s</w:t>
      </w:r>
      <w:r w:rsidR="000A3D87">
        <w:rPr>
          <w:lang w:val="fr-FR"/>
        </w:rPr>
        <w:t>’</w:t>
      </w:r>
      <w:r w:rsidRPr="00385997">
        <w:rPr>
          <w:lang w:val="fr-FR"/>
        </w:rPr>
        <w:t>effectue dans le cadre des interactions régulières entre les membres, des réunions mensuelles des groupes de travail des États et des réunions trimestrielles des groupes de travail des zones. En outre, les ministères de la Condition de la femme et les ONG coordonnent désormais les opérations de rapatriement et de réinsertion des victimes, en collaboration avec les services de maintien de l</w:t>
      </w:r>
      <w:r w:rsidR="000A3D87">
        <w:rPr>
          <w:lang w:val="fr-FR"/>
        </w:rPr>
        <w:t>’</w:t>
      </w:r>
      <w:r w:rsidRPr="00385997">
        <w:rPr>
          <w:lang w:val="fr-FR"/>
        </w:rPr>
        <w:t xml:space="preserve">ordre. Ainsi, les victimes de la traite sont désormais réorientées de la garde de la police vers des centres de réinsertion améliorés. </w:t>
      </w:r>
    </w:p>
    <w:p w:rsidR="009121C1" w:rsidRDefault="009121C1" w:rsidP="009121C1">
      <w:pPr>
        <w:pStyle w:val="SingleTxt"/>
        <w:spacing w:after="0" w:line="240" w:lineRule="auto"/>
        <w:rPr>
          <w:lang w:val="fr-FR"/>
        </w:rPr>
      </w:pPr>
      <w:r>
        <w:rPr>
          <w:lang w:val="fr-FR"/>
        </w:rPr>
        <w:br w:type="page"/>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tblGrid>
      <w:tr w:rsidR="009121C1" w:rsidRPr="005D6CD4">
        <w:tblPrEx>
          <w:tblCellMar>
            <w:top w:w="0" w:type="dxa"/>
            <w:bottom w:w="0" w:type="dxa"/>
          </w:tblCellMar>
        </w:tblPrEx>
        <w:trPr>
          <w:jc w:val="center"/>
        </w:trPr>
        <w:tc>
          <w:tcPr>
            <w:tcW w:w="5418" w:type="dxa"/>
          </w:tcPr>
          <w:p w:rsidR="009121C1" w:rsidRPr="009121C1" w:rsidRDefault="009121C1" w:rsidP="009121C1">
            <w:pPr>
              <w:spacing w:after="120"/>
              <w:rPr>
                <w:lang w:val="fr-FR"/>
              </w:rPr>
            </w:pPr>
            <w:r w:rsidRPr="009121C1">
              <w:rPr>
                <w:b/>
                <w:lang w:val="fr-FR"/>
              </w:rPr>
              <w:t xml:space="preserve">Figure 3.1 </w:t>
            </w:r>
            <w:r>
              <w:rPr>
                <w:b/>
                <w:lang w:val="fr-FR"/>
              </w:rPr>
              <w:br/>
            </w:r>
            <w:r w:rsidRPr="009121C1">
              <w:rPr>
                <w:b/>
                <w:lang w:val="fr-FR"/>
              </w:rPr>
              <w:t xml:space="preserve">Carte de la République fédérale du Nigéria indiquant les groupes de travail pour la lutte contre la traite des enfants par zone </w:t>
            </w:r>
          </w:p>
        </w:tc>
      </w:tr>
      <w:tr w:rsidR="009121C1" w:rsidRPr="005D6CD4">
        <w:tblPrEx>
          <w:tblCellMar>
            <w:top w:w="0" w:type="dxa"/>
            <w:bottom w:w="0" w:type="dxa"/>
          </w:tblCellMar>
        </w:tblPrEx>
        <w:trPr>
          <w:jc w:val="center"/>
        </w:trPr>
        <w:tc>
          <w:tcPr>
            <w:tcW w:w="5418" w:type="dxa"/>
          </w:tcPr>
          <w:p w:rsidR="009121C1" w:rsidRPr="005D6CD4" w:rsidRDefault="009121C1" w:rsidP="009121C1">
            <w:pPr>
              <w:spacing w:line="480" w:lineRule="auto"/>
              <w:rPr>
                <w:b/>
                <w:sz w:val="24"/>
                <w:szCs w:val="24"/>
                <w:lang w:val="fr-FR"/>
              </w:rPr>
            </w:pPr>
            <w:r w:rsidRPr="005D6CD4">
              <w:rPr>
                <w:sz w:val="24"/>
                <w:szCs w:val="24"/>
                <w:lang w:val="fr-FR"/>
              </w:rPr>
              <w:object w:dxaOrig="4508" w:dyaOrig="3779">
                <v:shape id="_x0000_i1026" type="#_x0000_t75" style="width:234.75pt;height:210pt" o:ole="" fillcolor="window">
                  <v:imagedata r:id="rId18" o:title=""/>
                </v:shape>
                <o:OLEObject Type="Embed" ProgID="Word.Picture.8" ShapeID="_x0000_i1026" DrawAspect="Content" ObjectID="_1386037415" r:id="rId19"/>
              </w:object>
            </w:r>
          </w:p>
        </w:tc>
      </w:tr>
      <w:tr w:rsidR="009121C1" w:rsidRPr="005D6CD4">
        <w:tblPrEx>
          <w:tblCellMar>
            <w:top w:w="0" w:type="dxa"/>
            <w:bottom w:w="0" w:type="dxa"/>
          </w:tblCellMar>
        </w:tblPrEx>
        <w:trPr>
          <w:jc w:val="center"/>
        </w:trPr>
        <w:tc>
          <w:tcPr>
            <w:tcW w:w="5418" w:type="dxa"/>
          </w:tcPr>
          <w:p w:rsidR="009121C1" w:rsidRDefault="009121C1" w:rsidP="009121C1">
            <w:pPr>
              <w:tabs>
                <w:tab w:val="left" w:pos="360"/>
                <w:tab w:val="left" w:pos="1440"/>
                <w:tab w:val="left" w:pos="2160"/>
                <w:tab w:val="left" w:pos="2880"/>
                <w:tab w:val="left" w:pos="3600"/>
                <w:tab w:val="left" w:pos="4320"/>
                <w:tab w:val="left" w:pos="6495"/>
              </w:tabs>
              <w:spacing w:after="120"/>
              <w:rPr>
                <w:lang w:val="fr-FR"/>
              </w:rPr>
            </w:pPr>
            <w:r w:rsidRPr="009121C1">
              <w:rPr>
                <w:lang w:val="fr-FR"/>
              </w:rPr>
              <w:tab/>
            </w:r>
            <w:r w:rsidRPr="009121C1">
              <w:rPr>
                <w:b/>
                <w:lang w:val="fr-FR"/>
              </w:rPr>
              <w:t>(Zone 1</w:t>
            </w:r>
            <w:r w:rsidRPr="009121C1">
              <w:rPr>
                <w:lang w:val="fr-FR"/>
              </w:rPr>
              <w:t>) États d</w:t>
            </w:r>
            <w:r w:rsidR="000A3D87">
              <w:rPr>
                <w:lang w:val="fr-FR"/>
              </w:rPr>
              <w:t>’</w:t>
            </w:r>
            <w:r w:rsidRPr="009121C1">
              <w:rPr>
                <w:lang w:val="fr-FR"/>
              </w:rPr>
              <w:t>Ogun, Lagos et Ondos</w:t>
            </w:r>
          </w:p>
          <w:p w:rsidR="009121C1" w:rsidRDefault="009121C1" w:rsidP="009121C1">
            <w:pPr>
              <w:tabs>
                <w:tab w:val="left" w:pos="360"/>
                <w:tab w:val="left" w:pos="1440"/>
                <w:tab w:val="left" w:pos="2160"/>
                <w:tab w:val="left" w:pos="2880"/>
                <w:tab w:val="left" w:pos="3600"/>
                <w:tab w:val="left" w:pos="4320"/>
                <w:tab w:val="left" w:pos="6495"/>
              </w:tabs>
              <w:spacing w:after="120"/>
              <w:rPr>
                <w:lang w:val="fr-FR"/>
              </w:rPr>
            </w:pPr>
            <w:r>
              <w:rPr>
                <w:lang w:val="fr-FR"/>
              </w:rPr>
              <w:tab/>
            </w:r>
            <w:r w:rsidRPr="009121C1">
              <w:rPr>
                <w:b/>
                <w:lang w:val="fr-FR"/>
              </w:rPr>
              <w:t>(Zone 2)</w:t>
            </w:r>
            <w:r w:rsidRPr="009121C1">
              <w:rPr>
                <w:lang w:val="fr-FR"/>
              </w:rPr>
              <w:t xml:space="preserve"> États d</w:t>
            </w:r>
            <w:r w:rsidR="000A3D87">
              <w:rPr>
                <w:lang w:val="fr-FR"/>
              </w:rPr>
              <w:t>’</w:t>
            </w:r>
            <w:r w:rsidRPr="009121C1">
              <w:rPr>
                <w:lang w:val="fr-FR"/>
              </w:rPr>
              <w:t>Edo et de Delta</w:t>
            </w:r>
          </w:p>
          <w:p w:rsidR="009121C1" w:rsidRDefault="009121C1" w:rsidP="009121C1">
            <w:pPr>
              <w:tabs>
                <w:tab w:val="left" w:pos="370"/>
              </w:tabs>
              <w:spacing w:after="120"/>
              <w:rPr>
                <w:lang w:val="fr-FR"/>
              </w:rPr>
            </w:pPr>
            <w:r>
              <w:rPr>
                <w:lang w:val="fr-FR"/>
              </w:rPr>
              <w:tab/>
            </w:r>
            <w:r w:rsidRPr="009121C1">
              <w:rPr>
                <w:b/>
                <w:lang w:val="fr-FR"/>
              </w:rPr>
              <w:t xml:space="preserve">(Zone 3) </w:t>
            </w:r>
            <w:r w:rsidRPr="009121C1">
              <w:rPr>
                <w:lang w:val="fr-FR"/>
              </w:rPr>
              <w:t>États de Rivers, Cross Rivers, Akwa-Ibom, Ebonyi, Imo et Abia</w:t>
            </w:r>
          </w:p>
          <w:p w:rsidR="009121C1" w:rsidRPr="005D6CD4" w:rsidRDefault="009121C1" w:rsidP="009121C1">
            <w:pPr>
              <w:tabs>
                <w:tab w:val="left" w:pos="370"/>
              </w:tabs>
              <w:spacing w:after="120"/>
              <w:rPr>
                <w:sz w:val="24"/>
                <w:szCs w:val="24"/>
                <w:lang w:val="fr-FR"/>
              </w:rPr>
            </w:pPr>
            <w:r>
              <w:rPr>
                <w:lang w:val="fr-FR"/>
              </w:rPr>
              <w:tab/>
            </w:r>
            <w:r w:rsidRPr="009121C1">
              <w:rPr>
                <w:b/>
                <w:lang w:val="fr-FR"/>
              </w:rPr>
              <w:t xml:space="preserve">(Zone 4) </w:t>
            </w:r>
            <w:r w:rsidRPr="009121C1">
              <w:rPr>
                <w:bCs/>
                <w:lang w:val="fr-FR"/>
              </w:rPr>
              <w:t>États du Niger, Kwara, Nasarawa, Bénoué, Jigawa, Yobe, Sokoto, Kano, Katsina, Yobe Borno</w:t>
            </w:r>
          </w:p>
        </w:tc>
      </w:tr>
      <w:tr w:rsidR="009121C1" w:rsidRPr="005D6CD4">
        <w:tblPrEx>
          <w:tblCellMar>
            <w:top w:w="0" w:type="dxa"/>
            <w:bottom w:w="0" w:type="dxa"/>
          </w:tblCellMar>
        </w:tblPrEx>
        <w:trPr>
          <w:jc w:val="center"/>
        </w:trPr>
        <w:tc>
          <w:tcPr>
            <w:tcW w:w="5418" w:type="dxa"/>
          </w:tcPr>
          <w:p w:rsidR="009121C1" w:rsidRPr="005D6CD4" w:rsidRDefault="009121C1" w:rsidP="009121C1">
            <w:pPr>
              <w:tabs>
                <w:tab w:val="left" w:pos="360"/>
                <w:tab w:val="left" w:pos="1440"/>
                <w:tab w:val="left" w:pos="2160"/>
                <w:tab w:val="left" w:pos="2880"/>
                <w:tab w:val="left" w:pos="3600"/>
                <w:tab w:val="left" w:pos="4320"/>
                <w:tab w:val="left" w:pos="6495"/>
              </w:tabs>
              <w:spacing w:line="240" w:lineRule="auto"/>
              <w:rPr>
                <w:sz w:val="24"/>
                <w:szCs w:val="24"/>
                <w:lang w:val="fr-FR"/>
              </w:rPr>
            </w:pPr>
          </w:p>
        </w:tc>
      </w:tr>
    </w:tbl>
    <w:p w:rsidR="009121C1" w:rsidRDefault="009121C1" w:rsidP="009121C1">
      <w:pPr>
        <w:pStyle w:val="SingleTxt"/>
        <w:spacing w:after="0" w:line="240" w:lineRule="auto"/>
        <w:rPr>
          <w:lang w:val="fr-FR"/>
        </w:rPr>
      </w:pPr>
    </w:p>
    <w:p w:rsidR="009121C1" w:rsidRDefault="009121C1" w:rsidP="009121C1">
      <w:pPr>
        <w:pStyle w:val="SingleTxt"/>
        <w:spacing w:after="0" w:line="240" w:lineRule="auto"/>
        <w:rPr>
          <w:lang w:val="fr-FR"/>
        </w:rPr>
      </w:pPr>
    </w:p>
    <w:p w:rsidR="009121C1" w:rsidRDefault="009121C1" w:rsidP="009121C1">
      <w:pPr>
        <w:pStyle w:val="SingleTxt"/>
        <w:spacing w:after="0" w:line="240" w:lineRule="auto"/>
        <w:rPr>
          <w:lang w:val="fr-FR"/>
        </w:rPr>
      </w:pPr>
    </w:p>
    <w:p w:rsidR="009121C1" w:rsidRDefault="009121C1" w:rsidP="009121C1">
      <w:pPr>
        <w:pStyle w:val="SingleTxt"/>
        <w:spacing w:after="0" w:line="240" w:lineRule="auto"/>
        <w:rPr>
          <w:lang w:val="fr-FR"/>
        </w:rPr>
      </w:pPr>
    </w:p>
    <w:p w:rsidR="009121C1" w:rsidRDefault="009121C1" w:rsidP="009121C1">
      <w:pPr>
        <w:pStyle w:val="SingleTxt"/>
        <w:spacing w:after="0" w:line="240" w:lineRule="auto"/>
        <w:rPr>
          <w:lang w:val="fr-FR"/>
        </w:rPr>
      </w:pPr>
    </w:p>
    <w:p w:rsidR="009121C1" w:rsidRDefault="009121C1" w:rsidP="009121C1">
      <w:pPr>
        <w:pStyle w:val="SingleTxt"/>
        <w:spacing w:after="0" w:line="240" w:lineRule="auto"/>
        <w:rPr>
          <w:lang w:val="fr-FR"/>
        </w:rPr>
      </w:pPr>
    </w:p>
    <w:p w:rsidR="009121C1" w:rsidRDefault="009121C1" w:rsidP="009121C1">
      <w:pPr>
        <w:pStyle w:val="SingleTxt"/>
        <w:spacing w:after="0" w:line="240" w:lineRule="auto"/>
        <w:rPr>
          <w:lang w:val="fr-FR"/>
        </w:rPr>
      </w:pPr>
    </w:p>
    <w:p w:rsidR="009121C1" w:rsidRDefault="009121C1" w:rsidP="009121C1">
      <w:pPr>
        <w:pStyle w:val="SingleTxt"/>
        <w:spacing w:after="0" w:line="240" w:lineRule="auto"/>
        <w:rPr>
          <w:lang w:val="fr-FR"/>
        </w:rPr>
      </w:pPr>
    </w:p>
    <w:p w:rsidR="009121C1" w:rsidRDefault="009121C1" w:rsidP="009121C1">
      <w:pPr>
        <w:pStyle w:val="SingleTxt"/>
        <w:spacing w:after="0" w:line="240" w:lineRule="auto"/>
        <w:rPr>
          <w:lang w:val="fr-FR"/>
        </w:rPr>
      </w:pPr>
    </w:p>
    <w:p w:rsidR="009121C1" w:rsidRDefault="009121C1" w:rsidP="009121C1">
      <w:pPr>
        <w:pStyle w:val="SingleTxt"/>
        <w:spacing w:after="0" w:line="240" w:lineRule="auto"/>
        <w:rPr>
          <w:lang w:val="fr-FR"/>
        </w:rPr>
      </w:pPr>
    </w:p>
    <w:p w:rsidR="009121C1" w:rsidRDefault="009121C1" w:rsidP="009121C1">
      <w:pPr>
        <w:pStyle w:val="SingleTxt"/>
        <w:spacing w:after="0" w:line="240" w:lineRule="auto"/>
        <w:rPr>
          <w:lang w:val="fr-FR"/>
        </w:rPr>
      </w:pPr>
    </w:p>
    <w:p w:rsidR="009121C1" w:rsidRDefault="009121C1" w:rsidP="009121C1">
      <w:pPr>
        <w:pStyle w:val="SingleTxt"/>
        <w:spacing w:after="0" w:line="240" w:lineRule="auto"/>
        <w:rPr>
          <w:lang w:val="fr-FR"/>
        </w:rPr>
      </w:pPr>
    </w:p>
    <w:p w:rsidR="009121C1" w:rsidRDefault="009121C1" w:rsidP="009121C1">
      <w:pPr>
        <w:pStyle w:val="SingleTxt"/>
        <w:spacing w:after="0" w:line="240" w:lineRule="auto"/>
        <w:rPr>
          <w:lang w:val="fr-FR"/>
        </w:rPr>
      </w:pPr>
    </w:p>
    <w:p w:rsidR="009121C1" w:rsidRDefault="009121C1" w:rsidP="009121C1">
      <w:pPr>
        <w:pStyle w:val="SingleTxt"/>
        <w:spacing w:after="0" w:line="240" w:lineRule="auto"/>
        <w:rPr>
          <w:lang w:val="fr-FR"/>
        </w:rPr>
      </w:pPr>
    </w:p>
    <w:p w:rsidR="009121C1" w:rsidRDefault="009121C1" w:rsidP="009121C1">
      <w:pPr>
        <w:pStyle w:val="SingleTxt"/>
        <w:spacing w:after="0" w:line="240" w:lineRule="auto"/>
        <w:rPr>
          <w:lang w:val="fr-FR"/>
        </w:rPr>
      </w:pPr>
    </w:p>
    <w:p w:rsidR="009121C1" w:rsidRDefault="009121C1" w:rsidP="009121C1">
      <w:pPr>
        <w:pStyle w:val="SingleTxt"/>
        <w:spacing w:after="0" w:line="240" w:lineRule="auto"/>
        <w:rPr>
          <w:lang w:val="fr-FR"/>
        </w:rPr>
      </w:pPr>
    </w:p>
    <w:p w:rsidR="009121C1" w:rsidRDefault="009121C1" w:rsidP="009121C1">
      <w:pPr>
        <w:pStyle w:val="SingleTxt"/>
        <w:spacing w:after="0" w:line="240" w:lineRule="auto"/>
        <w:rPr>
          <w:lang w:val="fr-FR"/>
        </w:rPr>
      </w:pPr>
    </w:p>
    <w:p w:rsidR="009121C1" w:rsidRDefault="009121C1" w:rsidP="009121C1">
      <w:pPr>
        <w:pStyle w:val="SingleTxt"/>
        <w:spacing w:after="0" w:line="240" w:lineRule="auto"/>
        <w:rPr>
          <w:lang w:val="fr-FR"/>
        </w:rPr>
      </w:pPr>
    </w:p>
    <w:p w:rsidR="009121C1" w:rsidRDefault="009121C1" w:rsidP="009121C1">
      <w:pPr>
        <w:pStyle w:val="SingleTxt"/>
        <w:spacing w:after="0" w:line="240" w:lineRule="auto"/>
        <w:rPr>
          <w:lang w:val="fr-FR"/>
        </w:rPr>
      </w:pPr>
    </w:p>
    <w:p w:rsidR="009121C1" w:rsidRDefault="009121C1" w:rsidP="009121C1">
      <w:pPr>
        <w:pStyle w:val="SingleTxt"/>
        <w:spacing w:after="0" w:line="240" w:lineRule="auto"/>
        <w:rPr>
          <w:lang w:val="fr-FR"/>
        </w:rPr>
      </w:pPr>
    </w:p>
    <w:p w:rsidR="009121C1" w:rsidRDefault="009121C1" w:rsidP="009121C1">
      <w:pPr>
        <w:pStyle w:val="SingleTxt"/>
        <w:spacing w:after="0" w:line="240" w:lineRule="auto"/>
        <w:rPr>
          <w:lang w:val="fr-FR"/>
        </w:rPr>
      </w:pPr>
    </w:p>
    <w:p w:rsidR="009121C1" w:rsidRDefault="009121C1" w:rsidP="009121C1">
      <w:pPr>
        <w:pStyle w:val="SingleTxt"/>
        <w:rPr>
          <w:lang w:val="fr-FR"/>
        </w:rPr>
      </w:pPr>
    </w:p>
    <w:p w:rsidR="009121C1" w:rsidRDefault="009121C1" w:rsidP="009121C1">
      <w:pPr>
        <w:pStyle w:val="SingleTxt"/>
        <w:rPr>
          <w:lang w:val="fr-FR"/>
        </w:rPr>
      </w:pPr>
    </w:p>
    <w:p w:rsidR="009121C1" w:rsidRDefault="009121C1" w:rsidP="009121C1">
      <w:pPr>
        <w:pStyle w:val="SingleTxt"/>
        <w:rPr>
          <w:lang w:val="fr-FR"/>
        </w:rPr>
      </w:pPr>
    </w:p>
    <w:p w:rsidR="009121C1" w:rsidRDefault="009121C1" w:rsidP="009121C1">
      <w:pPr>
        <w:pStyle w:val="SingleTxt"/>
        <w:rPr>
          <w:lang w:val="fr-FR"/>
        </w:rPr>
      </w:pPr>
    </w:p>
    <w:p w:rsidR="009121C1" w:rsidRDefault="009121C1" w:rsidP="009121C1">
      <w:pPr>
        <w:pStyle w:val="SingleTxt"/>
        <w:rPr>
          <w:lang w:val="fr-FR"/>
        </w:rPr>
      </w:pPr>
    </w:p>
    <w:p w:rsidR="009121C1" w:rsidRDefault="009121C1" w:rsidP="009121C1">
      <w:pPr>
        <w:pStyle w:val="SingleTxt"/>
        <w:rPr>
          <w:lang w:val="fr-FR"/>
        </w:rPr>
      </w:pPr>
    </w:p>
    <w:p w:rsidR="009121C1" w:rsidRDefault="009121C1" w:rsidP="009121C1">
      <w:pPr>
        <w:pStyle w:val="SingleTxt"/>
        <w:rPr>
          <w:lang w:val="fr-FR"/>
        </w:rPr>
      </w:pPr>
    </w:p>
    <w:p w:rsidR="009121C1" w:rsidRDefault="009121C1" w:rsidP="009121C1">
      <w:pPr>
        <w:pStyle w:val="SingleTxt"/>
        <w:rPr>
          <w:lang w:val="fr-FR"/>
        </w:rPr>
      </w:pPr>
    </w:p>
    <w:p w:rsidR="009121C1" w:rsidRDefault="009121C1" w:rsidP="009121C1">
      <w:pPr>
        <w:pStyle w:val="SingleTxt"/>
        <w:rPr>
          <w:lang w:val="fr-FR"/>
        </w:rPr>
      </w:pPr>
    </w:p>
    <w:p w:rsidR="00F575D8" w:rsidRPr="00F575D8" w:rsidRDefault="00F575D8" w:rsidP="00F575D8">
      <w:pPr>
        <w:spacing w:line="120" w:lineRule="exact"/>
        <w:rPr>
          <w:sz w:val="10"/>
          <w:szCs w:val="24"/>
          <w:lang w:val="fr-FR"/>
        </w:rPr>
      </w:pPr>
    </w:p>
    <w:p w:rsidR="00E15507" w:rsidRDefault="00F575D8" w:rsidP="00F575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E15507" w:rsidRPr="005D6CD4">
        <w:rPr>
          <w:lang w:val="fr-FR"/>
        </w:rPr>
        <w:t xml:space="preserve">3.8 </w:t>
      </w:r>
      <w:r>
        <w:rPr>
          <w:lang w:val="fr-FR"/>
        </w:rPr>
        <w:tab/>
      </w:r>
      <w:r w:rsidR="00E15507" w:rsidRPr="005D6CD4">
        <w:rPr>
          <w:lang w:val="fr-FR"/>
        </w:rPr>
        <w:t xml:space="preserve">Défis posés par la riposte à la violence </w:t>
      </w:r>
    </w:p>
    <w:p w:rsidR="00F575D8" w:rsidRPr="00F575D8" w:rsidRDefault="00F575D8" w:rsidP="00F575D8">
      <w:pPr>
        <w:pStyle w:val="SingleTxt"/>
        <w:spacing w:after="0" w:line="120" w:lineRule="exact"/>
        <w:rPr>
          <w:sz w:val="10"/>
          <w:lang w:val="ru-RU"/>
        </w:rPr>
      </w:pPr>
    </w:p>
    <w:p w:rsidR="00E15507" w:rsidRDefault="00E15507" w:rsidP="00F575D8">
      <w:pPr>
        <w:pStyle w:val="SingleTxt"/>
        <w:rPr>
          <w:lang w:val="fr-FR"/>
        </w:rPr>
      </w:pPr>
      <w:r w:rsidRPr="00F575D8">
        <w:rPr>
          <w:b/>
          <w:bCs/>
          <w:lang w:val="fr-FR"/>
        </w:rPr>
        <w:t>3.8.1</w:t>
      </w:r>
      <w:r w:rsidRPr="00F575D8">
        <w:rPr>
          <w:lang w:val="fr-FR"/>
        </w:rPr>
        <w:t xml:space="preserve"> Malgré les initiatives en cours, différentes tendances de violence à l</w:t>
      </w:r>
      <w:r w:rsidR="000A3D87">
        <w:rPr>
          <w:lang w:val="fr-FR"/>
        </w:rPr>
        <w:t>’</w:t>
      </w:r>
      <w:r w:rsidRPr="00F575D8">
        <w:rPr>
          <w:lang w:val="fr-FR"/>
        </w:rPr>
        <w:t>égard des femmes persistent dans le pays, comme cela est mis en évidence dans l</w:t>
      </w:r>
      <w:r w:rsidR="000A3D87">
        <w:rPr>
          <w:lang w:val="fr-FR"/>
        </w:rPr>
        <w:t>’</w:t>
      </w:r>
      <w:r w:rsidRPr="00F575D8">
        <w:rPr>
          <w:lang w:val="fr-FR"/>
        </w:rPr>
        <w:t>Encadré 3.4.</w:t>
      </w:r>
    </w:p>
    <w:p w:rsidR="00F575D8" w:rsidRDefault="00F575D8" w:rsidP="00F575D8">
      <w:pPr>
        <w:pStyle w:val="SingleTxt"/>
        <w:rPr>
          <w:lang w:val="fr-FR"/>
        </w:rPr>
      </w:pPr>
      <w:r>
        <w:rPr>
          <w:noProof/>
          <w:w w:val="100"/>
          <w:lang w:val="en-US"/>
        </w:rPr>
        <w:pict>
          <v:shape id="_x0000_s2113" type="#_x0000_t202" style="position:absolute;left:0;text-align:left;margin-left:70.3pt;margin-top:2.1pt;width:369pt;height:135pt;z-index:10">
            <v:textbox>
              <w:txbxContent>
                <w:p w:rsidR="00D32F3D" w:rsidRDefault="00D32F3D" w:rsidP="00F575D8">
                  <w:pPr>
                    <w:rPr>
                      <w:b/>
                    </w:rPr>
                  </w:pPr>
                  <w:r w:rsidRPr="00F575D8">
                    <w:rPr>
                      <w:b/>
                    </w:rPr>
                    <w:t>Encadré 3.4</w:t>
                  </w:r>
                </w:p>
                <w:p w:rsidR="00D32F3D" w:rsidRPr="00F575D8" w:rsidRDefault="00D32F3D" w:rsidP="00F575D8">
                  <w:pPr>
                    <w:spacing w:line="120" w:lineRule="exact"/>
                    <w:rPr>
                      <w:b/>
                      <w:sz w:val="10"/>
                    </w:rPr>
                  </w:pPr>
                </w:p>
                <w:p w:rsidR="00D32F3D" w:rsidRDefault="00D32F3D" w:rsidP="00F575D8">
                  <w:r>
                    <w:t>Viol;  Voies de fait sur la femme;  Violence familiale;  Pratiques de veuvage;</w:t>
                  </w:r>
                </w:p>
                <w:p w:rsidR="00D32F3D" w:rsidRPr="00F575D8" w:rsidRDefault="00D32F3D" w:rsidP="00F575D8">
                  <w:pPr>
                    <w:spacing w:line="120" w:lineRule="exact"/>
                    <w:rPr>
                      <w:sz w:val="10"/>
                    </w:rPr>
                  </w:pPr>
                </w:p>
                <w:p w:rsidR="00D32F3D" w:rsidRDefault="00D32F3D" w:rsidP="00F575D8">
                  <w:r>
                    <w:t>Mariage des enfants; Professionnalisme des agents de maintien de l’ordre</w:t>
                  </w:r>
                </w:p>
                <w:p w:rsidR="00D32F3D" w:rsidRPr="00F575D8" w:rsidRDefault="00D32F3D" w:rsidP="00F575D8">
                  <w:pPr>
                    <w:spacing w:line="120" w:lineRule="exact"/>
                    <w:rPr>
                      <w:sz w:val="10"/>
                    </w:rPr>
                  </w:pPr>
                </w:p>
                <w:p w:rsidR="00D32F3D" w:rsidRDefault="00D32F3D" w:rsidP="00F575D8">
                  <w:r>
                    <w:t xml:space="preserve">Faible niveau d’instruction et pauvreté des femmes recherchant une aide judiciaire dan les cas de violation des droits; Perpétuation d’un système patriarcal et </w:t>
                  </w:r>
                </w:p>
                <w:p w:rsidR="00D32F3D" w:rsidRPr="00F575D8" w:rsidRDefault="00D32F3D" w:rsidP="00F575D8">
                  <w:pPr>
                    <w:spacing w:line="120" w:lineRule="exact"/>
                    <w:rPr>
                      <w:sz w:val="10"/>
                    </w:rPr>
                  </w:pPr>
                </w:p>
                <w:p w:rsidR="00D32F3D" w:rsidRDefault="00D32F3D" w:rsidP="00F575D8">
                  <w:r>
                    <w:t>Faible niveau de signalisation de la violence à l’égard des femmes et des questions connexes par les médias électroniques et la presse écrite</w:t>
                  </w:r>
                </w:p>
              </w:txbxContent>
            </v:textbox>
          </v:shape>
        </w:pict>
      </w:r>
    </w:p>
    <w:p w:rsidR="00F575D8" w:rsidRDefault="00F575D8" w:rsidP="00F575D8">
      <w:pPr>
        <w:pStyle w:val="SingleTxt"/>
        <w:rPr>
          <w:lang w:val="fr-FR"/>
        </w:rPr>
      </w:pPr>
    </w:p>
    <w:p w:rsidR="00F575D8" w:rsidRDefault="00F575D8" w:rsidP="00F575D8">
      <w:pPr>
        <w:pStyle w:val="SingleTxt"/>
        <w:rPr>
          <w:lang w:val="fr-FR"/>
        </w:rPr>
      </w:pPr>
    </w:p>
    <w:p w:rsidR="00F575D8" w:rsidRDefault="00F575D8" w:rsidP="00F575D8">
      <w:pPr>
        <w:pStyle w:val="SingleTxt"/>
        <w:rPr>
          <w:lang w:val="fr-FR"/>
        </w:rPr>
      </w:pPr>
    </w:p>
    <w:p w:rsidR="00F575D8" w:rsidRDefault="00F575D8" w:rsidP="00F575D8">
      <w:pPr>
        <w:pStyle w:val="SingleTxt"/>
        <w:rPr>
          <w:lang w:val="fr-FR"/>
        </w:rPr>
      </w:pPr>
    </w:p>
    <w:p w:rsidR="00F575D8" w:rsidRDefault="00F575D8" w:rsidP="00F575D8">
      <w:pPr>
        <w:pStyle w:val="SingleTxt"/>
        <w:rPr>
          <w:lang w:val="fr-FR"/>
        </w:rPr>
      </w:pPr>
    </w:p>
    <w:p w:rsidR="00F575D8" w:rsidRDefault="00F575D8" w:rsidP="00F575D8">
      <w:pPr>
        <w:pStyle w:val="SingleTxt"/>
        <w:rPr>
          <w:lang w:val="fr-FR"/>
        </w:rPr>
      </w:pPr>
    </w:p>
    <w:p w:rsidR="00F575D8" w:rsidRDefault="00F575D8" w:rsidP="00F575D8">
      <w:pPr>
        <w:pStyle w:val="SingleTxt"/>
        <w:rPr>
          <w:lang w:val="fr-FR"/>
        </w:rPr>
      </w:pPr>
    </w:p>
    <w:p w:rsidR="00E15507" w:rsidRDefault="00D36D29" w:rsidP="00D36D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E15507" w:rsidRPr="00F575D8">
        <w:rPr>
          <w:lang w:val="fr-FR"/>
        </w:rPr>
        <w:t xml:space="preserve">3.9 </w:t>
      </w:r>
      <w:r w:rsidR="00E15507" w:rsidRPr="00F575D8">
        <w:rPr>
          <w:lang w:val="fr-FR"/>
        </w:rPr>
        <w:tab/>
        <w:t>Les femmes et le VIH/</w:t>
      </w:r>
      <w:r w:rsidR="00940485">
        <w:rPr>
          <w:lang w:val="fr-FR"/>
        </w:rPr>
        <w:t>sida</w:t>
      </w:r>
    </w:p>
    <w:p w:rsidR="00D36D29" w:rsidRPr="00D36D29" w:rsidRDefault="00D36D29" w:rsidP="00D36D29">
      <w:pPr>
        <w:pStyle w:val="SingleTxt"/>
        <w:spacing w:after="0" w:line="120" w:lineRule="exact"/>
        <w:rPr>
          <w:sz w:val="10"/>
          <w:lang w:val="fr-FR"/>
        </w:rPr>
      </w:pPr>
    </w:p>
    <w:p w:rsidR="00E15507" w:rsidRDefault="00E15507" w:rsidP="00F575D8">
      <w:pPr>
        <w:pStyle w:val="SingleTxt"/>
        <w:rPr>
          <w:b/>
          <w:bCs/>
          <w:iCs/>
          <w:lang w:val="fr-FR"/>
        </w:rPr>
      </w:pPr>
      <w:r w:rsidRPr="00F575D8">
        <w:rPr>
          <w:b/>
          <w:bCs/>
          <w:iCs/>
          <w:lang w:val="fr-FR"/>
        </w:rPr>
        <w:t xml:space="preserve">3.9.1 </w:t>
      </w:r>
      <w:r w:rsidR="00D36D29">
        <w:rPr>
          <w:b/>
          <w:bCs/>
          <w:iCs/>
          <w:lang w:val="fr-FR"/>
        </w:rPr>
        <w:t xml:space="preserve"> </w:t>
      </w:r>
      <w:r w:rsidRPr="00F575D8">
        <w:rPr>
          <w:b/>
          <w:bCs/>
          <w:iCs/>
          <w:lang w:val="fr-FR"/>
        </w:rPr>
        <w:t>Aspects du VIH/</w:t>
      </w:r>
      <w:r w:rsidR="00940485">
        <w:rPr>
          <w:b/>
          <w:bCs/>
          <w:iCs/>
          <w:lang w:val="fr-FR"/>
        </w:rPr>
        <w:t>SIDA</w:t>
      </w:r>
      <w:r w:rsidRPr="00F575D8">
        <w:rPr>
          <w:b/>
          <w:bCs/>
          <w:iCs/>
          <w:lang w:val="fr-FR"/>
        </w:rPr>
        <w:t xml:space="preserve"> liés au sexe et aux rapports de pouvoir </w:t>
      </w:r>
    </w:p>
    <w:p w:rsidR="00D36D29" w:rsidRPr="00D36D29" w:rsidRDefault="00D36D29" w:rsidP="00D36D29">
      <w:pPr>
        <w:pStyle w:val="SingleTxt"/>
        <w:rPr>
          <w:bCs/>
          <w:iCs/>
          <w:lang w:val="fr-FR"/>
        </w:rPr>
      </w:pPr>
      <w:r>
        <w:rPr>
          <w:bCs/>
          <w:iCs/>
          <w:lang w:val="fr-FR"/>
        </w:rPr>
        <w:tab/>
      </w:r>
      <w:r w:rsidRPr="00D36D29">
        <w:rPr>
          <w:bCs/>
          <w:iCs/>
          <w:lang w:val="fr-FR"/>
        </w:rPr>
        <w:t>La ventilation par sexe des cas de VIH/</w:t>
      </w:r>
      <w:r w:rsidR="00940485">
        <w:rPr>
          <w:bCs/>
          <w:iCs/>
          <w:lang w:val="fr-FR"/>
        </w:rPr>
        <w:t>SIDA</w:t>
      </w:r>
      <w:r w:rsidRPr="00D36D29">
        <w:rPr>
          <w:bCs/>
          <w:iCs/>
          <w:lang w:val="fr-FR"/>
        </w:rPr>
        <w:t xml:space="preserve"> au Nigéria montre que plus de femmes que d</w:t>
      </w:r>
      <w:r w:rsidR="000A3D87">
        <w:rPr>
          <w:bCs/>
          <w:iCs/>
          <w:lang w:val="fr-FR"/>
        </w:rPr>
        <w:t>’</w:t>
      </w:r>
      <w:r w:rsidRPr="00D36D29">
        <w:rPr>
          <w:bCs/>
          <w:iCs/>
          <w:lang w:val="fr-FR"/>
        </w:rPr>
        <w:t>hommes sont infectées. Cette situation tient à l</w:t>
      </w:r>
      <w:r w:rsidR="000A3D87">
        <w:rPr>
          <w:bCs/>
          <w:iCs/>
          <w:lang w:val="fr-FR"/>
        </w:rPr>
        <w:t>’</w:t>
      </w:r>
      <w:r w:rsidRPr="00D36D29">
        <w:rPr>
          <w:bCs/>
          <w:iCs/>
          <w:lang w:val="fr-FR"/>
        </w:rPr>
        <w:t>inaptitude des femmes à négocier des rapports sexuels protégés, l</w:t>
      </w:r>
      <w:r w:rsidR="000A3D87">
        <w:rPr>
          <w:bCs/>
          <w:iCs/>
          <w:lang w:val="fr-FR"/>
        </w:rPr>
        <w:t>’</w:t>
      </w:r>
      <w:r w:rsidRPr="00D36D29">
        <w:rPr>
          <w:bCs/>
          <w:iCs/>
          <w:lang w:val="fr-FR"/>
        </w:rPr>
        <w:t>inégalité des sexes, l</w:t>
      </w:r>
      <w:r w:rsidR="000A3D87">
        <w:rPr>
          <w:bCs/>
          <w:iCs/>
          <w:lang w:val="fr-FR"/>
        </w:rPr>
        <w:t>’</w:t>
      </w:r>
      <w:r w:rsidRPr="00D36D29">
        <w:rPr>
          <w:bCs/>
          <w:iCs/>
          <w:lang w:val="fr-FR"/>
        </w:rPr>
        <w:t>accès limité à l</w:t>
      </w:r>
      <w:r w:rsidR="000A3D87">
        <w:rPr>
          <w:bCs/>
          <w:iCs/>
          <w:lang w:val="fr-FR"/>
        </w:rPr>
        <w:t>’</w:t>
      </w:r>
      <w:r w:rsidRPr="00D36D29">
        <w:rPr>
          <w:bCs/>
          <w:iCs/>
          <w:lang w:val="fr-FR"/>
        </w:rPr>
        <w:t xml:space="preserve">information sur le statut sanitaire de leurs partenaires et aux services de consultation et de dépistage ainsi que la pratique de la polygamie. </w:t>
      </w:r>
    </w:p>
    <w:p w:rsidR="00D36D29" w:rsidRDefault="00D36D29" w:rsidP="00D36D29">
      <w:pPr>
        <w:pStyle w:val="SingleTxt"/>
        <w:rPr>
          <w:bCs/>
          <w:iCs/>
          <w:lang w:val="fr-FR"/>
        </w:rPr>
      </w:pPr>
      <w:r>
        <w:rPr>
          <w:bCs/>
          <w:iCs/>
          <w:lang w:val="fr-FR"/>
        </w:rPr>
        <w:tab/>
      </w:r>
      <w:r w:rsidRPr="00D36D29">
        <w:rPr>
          <w:bCs/>
          <w:iCs/>
          <w:lang w:val="fr-FR"/>
        </w:rPr>
        <w:t>Bien que les hommes et les femmes soient vulnérables à la pandémie, il existe des différences entre l</w:t>
      </w:r>
      <w:r w:rsidR="000A3D87">
        <w:rPr>
          <w:bCs/>
          <w:iCs/>
          <w:lang w:val="fr-FR"/>
        </w:rPr>
        <w:t>’</w:t>
      </w:r>
      <w:r w:rsidRPr="00D36D29">
        <w:rPr>
          <w:bCs/>
          <w:iCs/>
          <w:lang w:val="fr-FR"/>
        </w:rPr>
        <w:t>impact, le comportement, les attitudes et les mécanismes d</w:t>
      </w:r>
      <w:r w:rsidR="000A3D87">
        <w:rPr>
          <w:bCs/>
          <w:iCs/>
          <w:lang w:val="fr-FR"/>
        </w:rPr>
        <w:t>’</w:t>
      </w:r>
      <w:r w:rsidRPr="00D36D29">
        <w:rPr>
          <w:bCs/>
          <w:iCs/>
          <w:lang w:val="fr-FR"/>
        </w:rPr>
        <w:t>adaptation chez les femmes et les hommes. Il ressort des données disponibles que la connaissance des moyens de prévention de la contamination au VIH/</w:t>
      </w:r>
      <w:r w:rsidR="00940485">
        <w:rPr>
          <w:bCs/>
          <w:iCs/>
          <w:lang w:val="fr-FR"/>
        </w:rPr>
        <w:t>SIDA</w:t>
      </w:r>
      <w:r w:rsidRPr="00D36D29">
        <w:rPr>
          <w:bCs/>
          <w:iCs/>
          <w:lang w:val="fr-FR"/>
        </w:rPr>
        <w:t xml:space="preserve"> est généralement supérieure chez l</w:t>
      </w:r>
      <w:r w:rsidR="000A3D87">
        <w:rPr>
          <w:bCs/>
          <w:iCs/>
          <w:lang w:val="fr-FR"/>
        </w:rPr>
        <w:t>’</w:t>
      </w:r>
      <w:r w:rsidRPr="00D36D29">
        <w:rPr>
          <w:bCs/>
          <w:iCs/>
          <w:lang w:val="fr-FR"/>
        </w:rPr>
        <w:t>homme, comme l</w:t>
      </w:r>
      <w:r w:rsidR="000A3D87">
        <w:rPr>
          <w:bCs/>
          <w:iCs/>
          <w:lang w:val="fr-FR"/>
        </w:rPr>
        <w:t>’</w:t>
      </w:r>
      <w:r w:rsidRPr="00D36D29">
        <w:rPr>
          <w:bCs/>
          <w:iCs/>
          <w:lang w:val="fr-FR"/>
        </w:rPr>
        <w:t>indique le Tableau 3.3.</w:t>
      </w:r>
    </w:p>
    <w:p w:rsidR="00D36D29" w:rsidRDefault="00D36D29" w:rsidP="00D36D29">
      <w:pPr>
        <w:pStyle w:val="SingleTxt"/>
        <w:jc w:val="left"/>
        <w:rPr>
          <w:b/>
          <w:bCs/>
          <w:iCs/>
          <w:lang w:val="fr-FR"/>
        </w:rPr>
      </w:pPr>
      <w:r w:rsidRPr="00D36D29">
        <w:rPr>
          <w:bCs/>
          <w:iCs/>
          <w:lang w:val="fr-FR"/>
        </w:rPr>
        <w:t>Tableau 3.3</w:t>
      </w:r>
      <w:r w:rsidRPr="00D36D29">
        <w:rPr>
          <w:b/>
          <w:bCs/>
          <w:iCs/>
          <w:lang w:val="fr-FR"/>
        </w:rPr>
        <w:t xml:space="preserve"> </w:t>
      </w:r>
      <w:r>
        <w:rPr>
          <w:b/>
          <w:bCs/>
          <w:iCs/>
          <w:lang w:val="fr-FR"/>
        </w:rPr>
        <w:br/>
      </w:r>
      <w:r w:rsidRPr="00D36D29">
        <w:rPr>
          <w:b/>
          <w:bCs/>
          <w:iCs/>
          <w:lang w:val="fr-FR"/>
        </w:rPr>
        <w:t>Connaissance et perceptions du risque de VIH/</w:t>
      </w:r>
      <w:r w:rsidR="00940485">
        <w:rPr>
          <w:b/>
          <w:bCs/>
          <w:iCs/>
          <w:lang w:val="fr-FR"/>
        </w:rPr>
        <w:t>SIDA</w:t>
      </w:r>
      <w:r w:rsidRPr="00D36D29">
        <w:rPr>
          <w:b/>
          <w:bCs/>
          <w:iCs/>
          <w:lang w:val="fr-FR"/>
        </w:rPr>
        <w:t xml:space="preserve"> et changements de comportement</w:t>
      </w:r>
    </w:p>
    <w:p w:rsidR="00D36D29" w:rsidRPr="00D36D29" w:rsidRDefault="00D36D29" w:rsidP="00D36D29">
      <w:pPr>
        <w:pStyle w:val="SingleTxt"/>
        <w:spacing w:after="0" w:line="120" w:lineRule="exact"/>
        <w:jc w:val="left"/>
        <w:rPr>
          <w:b/>
          <w:bCs/>
          <w:iCs/>
          <w:sz w:val="10"/>
          <w:lang w:val="fr-FR"/>
        </w:rPr>
      </w:pPr>
    </w:p>
    <w:tbl>
      <w:tblPr>
        <w:tblW w:w="0" w:type="auto"/>
        <w:tblInd w:w="1260" w:type="dxa"/>
        <w:tblLayout w:type="fixed"/>
        <w:tblCellMar>
          <w:left w:w="0" w:type="dxa"/>
          <w:right w:w="0" w:type="dxa"/>
        </w:tblCellMar>
        <w:tblLook w:val="0000"/>
      </w:tblPr>
      <w:tblGrid>
        <w:gridCol w:w="4050"/>
        <w:gridCol w:w="1620"/>
        <w:gridCol w:w="1650"/>
      </w:tblGrid>
      <w:tr w:rsidR="00D36D29" w:rsidRPr="00D36D29">
        <w:tblPrEx>
          <w:tblCellMar>
            <w:top w:w="0" w:type="dxa"/>
            <w:bottom w:w="0" w:type="dxa"/>
          </w:tblCellMar>
        </w:tblPrEx>
        <w:trPr>
          <w:tblHeader/>
        </w:trPr>
        <w:tc>
          <w:tcPr>
            <w:tcW w:w="4050" w:type="dxa"/>
            <w:tcBorders>
              <w:top w:val="single" w:sz="4" w:space="0" w:color="auto"/>
              <w:bottom w:val="single" w:sz="12" w:space="0" w:color="auto"/>
            </w:tcBorders>
            <w:shd w:val="clear" w:color="auto" w:fill="auto"/>
          </w:tcPr>
          <w:p w:rsidR="00D36D29" w:rsidRPr="00985B76" w:rsidRDefault="00D36D29" w:rsidP="00985B76">
            <w:pPr>
              <w:spacing w:before="80" w:after="80" w:line="160" w:lineRule="exact"/>
              <w:rPr>
                <w:i/>
                <w:sz w:val="14"/>
                <w:szCs w:val="14"/>
              </w:rPr>
            </w:pPr>
            <w:r w:rsidRPr="00985B76">
              <w:rPr>
                <w:i/>
                <w:sz w:val="14"/>
                <w:szCs w:val="14"/>
              </w:rPr>
              <w:t>Connaissance et perceptions des risques de VIH/</w:t>
            </w:r>
            <w:r w:rsidR="00940485">
              <w:rPr>
                <w:i/>
                <w:sz w:val="14"/>
                <w:szCs w:val="14"/>
              </w:rPr>
              <w:t>sida</w:t>
            </w:r>
            <w:r w:rsidRPr="00985B76">
              <w:rPr>
                <w:i/>
                <w:sz w:val="14"/>
                <w:szCs w:val="14"/>
              </w:rPr>
              <w:t xml:space="preserve"> </w:t>
            </w:r>
          </w:p>
        </w:tc>
        <w:tc>
          <w:tcPr>
            <w:tcW w:w="1620" w:type="dxa"/>
            <w:tcBorders>
              <w:top w:val="single" w:sz="4" w:space="0" w:color="auto"/>
              <w:bottom w:val="single" w:sz="12" w:space="0" w:color="auto"/>
            </w:tcBorders>
            <w:shd w:val="clear" w:color="auto" w:fill="auto"/>
          </w:tcPr>
          <w:p w:rsidR="00D36D29" w:rsidRPr="00985B76" w:rsidRDefault="00985B76" w:rsidP="00985B76">
            <w:pPr>
              <w:spacing w:before="80" w:after="80" w:line="160" w:lineRule="exact"/>
              <w:jc w:val="right"/>
              <w:rPr>
                <w:i/>
                <w:sz w:val="14"/>
                <w:szCs w:val="14"/>
              </w:rPr>
            </w:pPr>
            <w:r>
              <w:rPr>
                <w:i/>
                <w:sz w:val="14"/>
                <w:szCs w:val="14"/>
              </w:rPr>
              <w:t>Pourcentage</w:t>
            </w:r>
            <w:r w:rsidR="00D36D29" w:rsidRPr="00985B76">
              <w:rPr>
                <w:i/>
                <w:sz w:val="14"/>
                <w:szCs w:val="14"/>
              </w:rPr>
              <w:t xml:space="preserve"> de femmes</w:t>
            </w:r>
          </w:p>
        </w:tc>
        <w:tc>
          <w:tcPr>
            <w:tcW w:w="1650" w:type="dxa"/>
            <w:tcBorders>
              <w:top w:val="single" w:sz="4" w:space="0" w:color="auto"/>
              <w:bottom w:val="single" w:sz="12" w:space="0" w:color="auto"/>
            </w:tcBorders>
            <w:shd w:val="clear" w:color="auto" w:fill="auto"/>
          </w:tcPr>
          <w:p w:rsidR="00D36D29" w:rsidRPr="00985B76" w:rsidRDefault="00985B76" w:rsidP="00985B76">
            <w:pPr>
              <w:spacing w:before="80" w:after="80" w:line="160" w:lineRule="exact"/>
              <w:jc w:val="right"/>
              <w:rPr>
                <w:i/>
                <w:sz w:val="14"/>
                <w:szCs w:val="14"/>
              </w:rPr>
            </w:pPr>
            <w:r>
              <w:rPr>
                <w:i/>
                <w:sz w:val="14"/>
                <w:szCs w:val="14"/>
              </w:rPr>
              <w:t>Pourcentage</w:t>
            </w:r>
            <w:r w:rsidR="00D36D29" w:rsidRPr="00985B76">
              <w:rPr>
                <w:i/>
                <w:sz w:val="14"/>
                <w:szCs w:val="14"/>
              </w:rPr>
              <w:t xml:space="preserve"> d</w:t>
            </w:r>
            <w:r w:rsidR="000A3D87">
              <w:rPr>
                <w:i/>
                <w:sz w:val="14"/>
                <w:szCs w:val="14"/>
              </w:rPr>
              <w:t>’</w:t>
            </w:r>
            <w:r w:rsidR="00D36D29" w:rsidRPr="00985B76">
              <w:rPr>
                <w:i/>
                <w:sz w:val="14"/>
                <w:szCs w:val="14"/>
              </w:rPr>
              <w:t>hommes</w:t>
            </w:r>
          </w:p>
        </w:tc>
      </w:tr>
      <w:tr w:rsidR="00D36D29" w:rsidRPr="00D36D29">
        <w:tblPrEx>
          <w:tblCellMar>
            <w:top w:w="0" w:type="dxa"/>
            <w:bottom w:w="0" w:type="dxa"/>
          </w:tblCellMar>
        </w:tblPrEx>
        <w:trPr>
          <w:trHeight w:hRule="exact" w:val="115"/>
          <w:tblHeader/>
        </w:trPr>
        <w:tc>
          <w:tcPr>
            <w:tcW w:w="4050" w:type="dxa"/>
            <w:tcBorders>
              <w:top w:val="single" w:sz="12" w:space="0" w:color="auto"/>
            </w:tcBorders>
            <w:shd w:val="clear" w:color="auto" w:fill="auto"/>
            <w:vAlign w:val="bottom"/>
          </w:tcPr>
          <w:p w:rsidR="00D36D29" w:rsidRPr="00D36D29" w:rsidRDefault="00D36D29" w:rsidP="00D36D29">
            <w:pPr>
              <w:tabs>
                <w:tab w:val="left" w:pos="288"/>
                <w:tab w:val="left" w:pos="576"/>
                <w:tab w:val="left" w:pos="864"/>
                <w:tab w:val="left" w:pos="1152"/>
              </w:tabs>
              <w:suppressAutoHyphens/>
              <w:spacing w:before="40" w:after="40" w:line="210" w:lineRule="exact"/>
              <w:ind w:right="43"/>
              <w:rPr>
                <w:sz w:val="17"/>
                <w:lang w:val="fr-FR"/>
              </w:rPr>
            </w:pPr>
          </w:p>
        </w:tc>
        <w:tc>
          <w:tcPr>
            <w:tcW w:w="1620" w:type="dxa"/>
            <w:tcBorders>
              <w:top w:val="single" w:sz="12" w:space="0" w:color="auto"/>
            </w:tcBorders>
            <w:shd w:val="clear" w:color="auto" w:fill="auto"/>
            <w:vAlign w:val="bottom"/>
          </w:tcPr>
          <w:p w:rsidR="00D36D29" w:rsidRPr="00D36D29" w:rsidRDefault="00D36D29" w:rsidP="00D36D29">
            <w:pPr>
              <w:tabs>
                <w:tab w:val="left" w:pos="288"/>
                <w:tab w:val="left" w:pos="576"/>
                <w:tab w:val="left" w:pos="864"/>
                <w:tab w:val="left" w:pos="1152"/>
              </w:tabs>
              <w:suppressAutoHyphens/>
              <w:spacing w:before="40" w:after="40" w:line="210" w:lineRule="exact"/>
              <w:ind w:right="43"/>
              <w:jc w:val="right"/>
              <w:rPr>
                <w:sz w:val="17"/>
                <w:lang w:val="fr-FR"/>
              </w:rPr>
            </w:pPr>
          </w:p>
        </w:tc>
        <w:tc>
          <w:tcPr>
            <w:tcW w:w="1650" w:type="dxa"/>
            <w:tcBorders>
              <w:top w:val="single" w:sz="12" w:space="0" w:color="auto"/>
            </w:tcBorders>
            <w:shd w:val="clear" w:color="auto" w:fill="auto"/>
            <w:vAlign w:val="bottom"/>
          </w:tcPr>
          <w:p w:rsidR="00D36D29" w:rsidRPr="00D36D29" w:rsidRDefault="00D36D29" w:rsidP="00D36D29">
            <w:pPr>
              <w:tabs>
                <w:tab w:val="left" w:pos="288"/>
                <w:tab w:val="left" w:pos="576"/>
                <w:tab w:val="left" w:pos="864"/>
                <w:tab w:val="left" w:pos="1152"/>
              </w:tabs>
              <w:suppressAutoHyphens/>
              <w:spacing w:before="40" w:after="40" w:line="210" w:lineRule="exact"/>
              <w:ind w:right="43"/>
              <w:jc w:val="right"/>
              <w:rPr>
                <w:sz w:val="17"/>
                <w:lang w:val="fr-FR"/>
              </w:rPr>
            </w:pPr>
          </w:p>
        </w:tc>
      </w:tr>
      <w:tr w:rsidR="00985B76" w:rsidRPr="00D36D29">
        <w:tblPrEx>
          <w:tblCellMar>
            <w:top w:w="0" w:type="dxa"/>
            <w:bottom w:w="0" w:type="dxa"/>
          </w:tblCellMar>
        </w:tblPrEx>
        <w:tc>
          <w:tcPr>
            <w:tcW w:w="4050" w:type="dxa"/>
            <w:shd w:val="clear" w:color="auto" w:fill="auto"/>
            <w:vAlign w:val="bottom"/>
          </w:tcPr>
          <w:p w:rsidR="00985B76" w:rsidRPr="00985B76" w:rsidRDefault="00985B76" w:rsidP="00985B76">
            <w:pPr>
              <w:spacing w:before="40" w:after="40" w:line="210" w:lineRule="exact"/>
              <w:ind w:right="43"/>
              <w:rPr>
                <w:bCs/>
                <w:iCs/>
                <w:sz w:val="17"/>
                <w:szCs w:val="17"/>
                <w:lang w:val="fr-FR"/>
              </w:rPr>
            </w:pPr>
            <w:r w:rsidRPr="00985B76">
              <w:rPr>
                <w:bCs/>
                <w:iCs/>
                <w:sz w:val="17"/>
                <w:szCs w:val="17"/>
                <w:lang w:val="fr-FR"/>
              </w:rPr>
              <w:t xml:space="preserve">Prise de conscience du </w:t>
            </w:r>
            <w:r w:rsidR="00940485">
              <w:rPr>
                <w:bCs/>
                <w:iCs/>
                <w:sz w:val="17"/>
                <w:szCs w:val="17"/>
                <w:lang w:val="fr-FR"/>
              </w:rPr>
              <w:t>sida</w:t>
            </w:r>
          </w:p>
        </w:tc>
        <w:tc>
          <w:tcPr>
            <w:tcW w:w="1620" w:type="dxa"/>
            <w:shd w:val="clear" w:color="auto" w:fill="auto"/>
            <w:vAlign w:val="bottom"/>
          </w:tcPr>
          <w:p w:rsidR="00985B76" w:rsidRPr="00985B76" w:rsidRDefault="00985B76" w:rsidP="00985B76">
            <w:pPr>
              <w:spacing w:before="40" w:after="40" w:line="210" w:lineRule="exact"/>
              <w:ind w:right="43"/>
              <w:jc w:val="right"/>
              <w:rPr>
                <w:bCs/>
                <w:iCs/>
                <w:sz w:val="17"/>
                <w:szCs w:val="17"/>
                <w:lang w:val="fr-FR"/>
              </w:rPr>
            </w:pPr>
            <w:r w:rsidRPr="00985B76">
              <w:rPr>
                <w:bCs/>
                <w:iCs/>
                <w:sz w:val="17"/>
                <w:szCs w:val="17"/>
                <w:lang w:val="fr-FR"/>
              </w:rPr>
              <w:t>83,0</w:t>
            </w:r>
          </w:p>
        </w:tc>
        <w:tc>
          <w:tcPr>
            <w:tcW w:w="1650" w:type="dxa"/>
            <w:shd w:val="clear" w:color="auto" w:fill="auto"/>
            <w:vAlign w:val="bottom"/>
          </w:tcPr>
          <w:p w:rsidR="00985B76" w:rsidRPr="00985B76" w:rsidRDefault="00985B76" w:rsidP="00985B76">
            <w:pPr>
              <w:spacing w:before="40" w:after="40" w:line="210" w:lineRule="exact"/>
              <w:ind w:right="43"/>
              <w:jc w:val="right"/>
              <w:rPr>
                <w:bCs/>
                <w:iCs/>
                <w:sz w:val="17"/>
                <w:szCs w:val="17"/>
                <w:lang w:val="fr-FR"/>
              </w:rPr>
            </w:pPr>
            <w:r w:rsidRPr="00985B76">
              <w:rPr>
                <w:bCs/>
                <w:iCs/>
                <w:sz w:val="17"/>
                <w:szCs w:val="17"/>
                <w:lang w:val="fr-FR"/>
              </w:rPr>
              <w:t>92,4</w:t>
            </w:r>
          </w:p>
        </w:tc>
      </w:tr>
      <w:tr w:rsidR="00985B76" w:rsidRPr="00D36D29">
        <w:tblPrEx>
          <w:tblCellMar>
            <w:top w:w="0" w:type="dxa"/>
            <w:bottom w:w="0" w:type="dxa"/>
          </w:tblCellMar>
        </w:tblPrEx>
        <w:tc>
          <w:tcPr>
            <w:tcW w:w="4050" w:type="dxa"/>
            <w:shd w:val="clear" w:color="auto" w:fill="auto"/>
            <w:vAlign w:val="bottom"/>
          </w:tcPr>
          <w:p w:rsidR="00985B76" w:rsidRPr="00985B76" w:rsidRDefault="00985B76" w:rsidP="00985B76">
            <w:pPr>
              <w:spacing w:before="40" w:after="40" w:line="210" w:lineRule="exact"/>
              <w:ind w:right="43"/>
              <w:rPr>
                <w:bCs/>
                <w:iCs/>
                <w:sz w:val="17"/>
                <w:szCs w:val="17"/>
                <w:lang w:val="fr-FR"/>
              </w:rPr>
            </w:pPr>
            <w:r w:rsidRPr="00985B76">
              <w:rPr>
                <w:bCs/>
                <w:iCs/>
                <w:sz w:val="17"/>
                <w:szCs w:val="17"/>
                <w:lang w:val="fr-FR"/>
              </w:rPr>
              <w:t>Le risque perçu d</w:t>
            </w:r>
            <w:r w:rsidR="000A3D87">
              <w:rPr>
                <w:bCs/>
                <w:iCs/>
                <w:sz w:val="17"/>
                <w:szCs w:val="17"/>
                <w:lang w:val="fr-FR"/>
              </w:rPr>
              <w:t>’</w:t>
            </w:r>
            <w:r w:rsidRPr="00985B76">
              <w:rPr>
                <w:bCs/>
                <w:iCs/>
                <w:sz w:val="17"/>
                <w:szCs w:val="17"/>
                <w:lang w:val="fr-FR"/>
              </w:rPr>
              <w:t xml:space="preserve">infection par le </w:t>
            </w:r>
            <w:r w:rsidR="00940485">
              <w:rPr>
                <w:bCs/>
                <w:iCs/>
                <w:sz w:val="17"/>
                <w:szCs w:val="17"/>
                <w:lang w:val="fr-FR"/>
              </w:rPr>
              <w:t>sida</w:t>
            </w:r>
            <w:r w:rsidRPr="00985B76">
              <w:rPr>
                <w:bCs/>
                <w:iCs/>
                <w:sz w:val="17"/>
                <w:szCs w:val="17"/>
                <w:lang w:val="fr-FR"/>
              </w:rPr>
              <w:t xml:space="preserve"> est connu</w:t>
            </w:r>
          </w:p>
        </w:tc>
        <w:tc>
          <w:tcPr>
            <w:tcW w:w="1620" w:type="dxa"/>
            <w:shd w:val="clear" w:color="auto" w:fill="auto"/>
            <w:vAlign w:val="bottom"/>
          </w:tcPr>
          <w:p w:rsidR="00985B76" w:rsidRPr="00985B76" w:rsidRDefault="00985B76" w:rsidP="00985B76">
            <w:pPr>
              <w:spacing w:before="40" w:after="40" w:line="210" w:lineRule="exact"/>
              <w:ind w:right="43"/>
              <w:jc w:val="right"/>
              <w:rPr>
                <w:bCs/>
                <w:iCs/>
                <w:sz w:val="17"/>
                <w:szCs w:val="17"/>
                <w:lang w:val="fr-FR"/>
              </w:rPr>
            </w:pPr>
            <w:r w:rsidRPr="00985B76">
              <w:rPr>
                <w:bCs/>
                <w:iCs/>
                <w:sz w:val="17"/>
                <w:szCs w:val="17"/>
                <w:lang w:val="fr-FR"/>
              </w:rPr>
              <w:t>75,2</w:t>
            </w:r>
          </w:p>
        </w:tc>
        <w:tc>
          <w:tcPr>
            <w:tcW w:w="1650" w:type="dxa"/>
            <w:shd w:val="clear" w:color="auto" w:fill="auto"/>
            <w:vAlign w:val="bottom"/>
          </w:tcPr>
          <w:p w:rsidR="00985B76" w:rsidRPr="00985B76" w:rsidRDefault="00985B76" w:rsidP="00985B76">
            <w:pPr>
              <w:spacing w:before="40" w:after="40" w:line="210" w:lineRule="exact"/>
              <w:ind w:right="43"/>
              <w:jc w:val="right"/>
              <w:rPr>
                <w:bCs/>
                <w:iCs/>
                <w:sz w:val="17"/>
                <w:szCs w:val="17"/>
                <w:lang w:val="fr-FR"/>
              </w:rPr>
            </w:pPr>
            <w:r w:rsidRPr="00985B76">
              <w:rPr>
                <w:bCs/>
                <w:iCs/>
                <w:sz w:val="17"/>
                <w:szCs w:val="17"/>
                <w:lang w:val="fr-FR"/>
              </w:rPr>
              <w:t>68,8</w:t>
            </w:r>
          </w:p>
        </w:tc>
      </w:tr>
      <w:tr w:rsidR="00985B76" w:rsidRPr="00D36D29">
        <w:tblPrEx>
          <w:tblCellMar>
            <w:top w:w="0" w:type="dxa"/>
            <w:bottom w:w="0" w:type="dxa"/>
          </w:tblCellMar>
        </w:tblPrEx>
        <w:tc>
          <w:tcPr>
            <w:tcW w:w="4050" w:type="dxa"/>
            <w:shd w:val="clear" w:color="auto" w:fill="auto"/>
            <w:vAlign w:val="bottom"/>
          </w:tcPr>
          <w:p w:rsidR="00985B76" w:rsidRPr="00985B76" w:rsidRDefault="00985B76" w:rsidP="00985B76">
            <w:pPr>
              <w:spacing w:before="40" w:after="40" w:line="210" w:lineRule="exact"/>
              <w:ind w:right="43"/>
              <w:rPr>
                <w:bCs/>
                <w:iCs/>
                <w:sz w:val="17"/>
                <w:szCs w:val="17"/>
                <w:lang w:val="fr-FR"/>
              </w:rPr>
            </w:pPr>
            <w:r w:rsidRPr="00985B76">
              <w:rPr>
                <w:bCs/>
                <w:iCs/>
                <w:sz w:val="17"/>
                <w:szCs w:val="17"/>
                <w:lang w:val="fr-FR"/>
              </w:rPr>
              <w:t>Connaissance de tous les modes de transmission du VIH/</w:t>
            </w:r>
            <w:r w:rsidR="00940485">
              <w:rPr>
                <w:bCs/>
                <w:iCs/>
                <w:sz w:val="17"/>
                <w:szCs w:val="17"/>
                <w:lang w:val="fr-FR"/>
              </w:rPr>
              <w:t>sida</w:t>
            </w:r>
          </w:p>
        </w:tc>
        <w:tc>
          <w:tcPr>
            <w:tcW w:w="1620" w:type="dxa"/>
            <w:shd w:val="clear" w:color="auto" w:fill="auto"/>
            <w:vAlign w:val="bottom"/>
          </w:tcPr>
          <w:p w:rsidR="00985B76" w:rsidRPr="00985B76" w:rsidRDefault="00985B76" w:rsidP="00985B76">
            <w:pPr>
              <w:spacing w:before="40" w:after="40" w:line="210" w:lineRule="exact"/>
              <w:ind w:right="43"/>
              <w:jc w:val="right"/>
              <w:rPr>
                <w:bCs/>
                <w:iCs/>
                <w:sz w:val="17"/>
                <w:szCs w:val="17"/>
                <w:lang w:val="fr-FR"/>
              </w:rPr>
            </w:pPr>
            <w:r w:rsidRPr="00985B76">
              <w:rPr>
                <w:bCs/>
                <w:iCs/>
                <w:sz w:val="17"/>
                <w:szCs w:val="17"/>
                <w:lang w:val="fr-FR"/>
              </w:rPr>
              <w:t>56,1</w:t>
            </w:r>
          </w:p>
        </w:tc>
        <w:tc>
          <w:tcPr>
            <w:tcW w:w="1650" w:type="dxa"/>
            <w:shd w:val="clear" w:color="auto" w:fill="auto"/>
            <w:vAlign w:val="bottom"/>
          </w:tcPr>
          <w:p w:rsidR="00985B76" w:rsidRPr="00985B76" w:rsidRDefault="00985B76" w:rsidP="00985B76">
            <w:pPr>
              <w:spacing w:before="40" w:after="40" w:line="210" w:lineRule="exact"/>
              <w:ind w:right="43"/>
              <w:jc w:val="right"/>
              <w:rPr>
                <w:bCs/>
                <w:iCs/>
                <w:sz w:val="17"/>
                <w:szCs w:val="17"/>
                <w:lang w:val="fr-FR"/>
              </w:rPr>
            </w:pPr>
            <w:r w:rsidRPr="00985B76">
              <w:rPr>
                <w:bCs/>
                <w:iCs/>
                <w:sz w:val="17"/>
                <w:szCs w:val="17"/>
                <w:lang w:val="fr-FR"/>
              </w:rPr>
              <w:t>62,7</w:t>
            </w:r>
          </w:p>
        </w:tc>
      </w:tr>
      <w:tr w:rsidR="00985B76" w:rsidRPr="00D36D29">
        <w:tblPrEx>
          <w:tblCellMar>
            <w:top w:w="0" w:type="dxa"/>
            <w:bottom w:w="0" w:type="dxa"/>
          </w:tblCellMar>
        </w:tblPrEx>
        <w:tc>
          <w:tcPr>
            <w:tcW w:w="4050" w:type="dxa"/>
            <w:shd w:val="clear" w:color="auto" w:fill="auto"/>
            <w:vAlign w:val="bottom"/>
          </w:tcPr>
          <w:p w:rsidR="00985B76" w:rsidRPr="00985B76" w:rsidRDefault="00985B76" w:rsidP="00985B76">
            <w:pPr>
              <w:spacing w:before="40" w:after="40" w:line="210" w:lineRule="exact"/>
              <w:ind w:right="43"/>
              <w:rPr>
                <w:b/>
                <w:bCs/>
                <w:iCs/>
                <w:sz w:val="17"/>
                <w:szCs w:val="17"/>
                <w:lang w:val="fr-FR"/>
              </w:rPr>
            </w:pPr>
            <w:r w:rsidRPr="00985B76">
              <w:rPr>
                <w:b/>
                <w:bCs/>
                <w:iCs/>
                <w:sz w:val="17"/>
                <w:szCs w:val="17"/>
                <w:lang w:val="fr-FR"/>
              </w:rPr>
              <w:t>Changements de comportement sexuel effectués pour éviter le VIH/</w:t>
            </w:r>
            <w:r w:rsidR="00940485">
              <w:rPr>
                <w:b/>
                <w:bCs/>
                <w:iCs/>
                <w:sz w:val="17"/>
                <w:szCs w:val="17"/>
                <w:lang w:val="fr-FR"/>
              </w:rPr>
              <w:t>sida</w:t>
            </w:r>
          </w:p>
        </w:tc>
        <w:tc>
          <w:tcPr>
            <w:tcW w:w="1620" w:type="dxa"/>
            <w:shd w:val="clear" w:color="auto" w:fill="auto"/>
          </w:tcPr>
          <w:p w:rsidR="00985B76" w:rsidRPr="00985B76" w:rsidRDefault="00985B76" w:rsidP="00985B76">
            <w:pPr>
              <w:spacing w:before="40" w:after="40" w:line="210" w:lineRule="exact"/>
              <w:ind w:right="43"/>
              <w:jc w:val="right"/>
              <w:rPr>
                <w:b/>
                <w:bCs/>
                <w:iCs/>
                <w:sz w:val="17"/>
                <w:szCs w:val="17"/>
                <w:lang w:val="fr-FR"/>
              </w:rPr>
            </w:pPr>
            <w:r w:rsidRPr="00985B76">
              <w:rPr>
                <w:b/>
                <w:bCs/>
                <w:iCs/>
                <w:sz w:val="17"/>
                <w:szCs w:val="17"/>
                <w:lang w:val="fr-FR"/>
              </w:rPr>
              <w:t>Femmes</w:t>
            </w:r>
          </w:p>
        </w:tc>
        <w:tc>
          <w:tcPr>
            <w:tcW w:w="1650" w:type="dxa"/>
            <w:shd w:val="clear" w:color="auto" w:fill="auto"/>
          </w:tcPr>
          <w:p w:rsidR="00985B76" w:rsidRPr="00985B76" w:rsidRDefault="00985B76" w:rsidP="00985B76">
            <w:pPr>
              <w:spacing w:before="40" w:after="40" w:line="210" w:lineRule="exact"/>
              <w:ind w:right="43"/>
              <w:jc w:val="right"/>
              <w:rPr>
                <w:b/>
                <w:bCs/>
                <w:iCs/>
                <w:vanish/>
                <w:sz w:val="17"/>
                <w:szCs w:val="17"/>
                <w:lang w:val="fr-FR"/>
              </w:rPr>
            </w:pPr>
            <w:r w:rsidRPr="00985B76">
              <w:rPr>
                <w:b/>
                <w:bCs/>
                <w:iCs/>
                <w:sz w:val="17"/>
                <w:szCs w:val="17"/>
                <w:lang w:val="fr-FR"/>
              </w:rPr>
              <w:t>Hommes</w:t>
            </w:r>
          </w:p>
        </w:tc>
      </w:tr>
      <w:tr w:rsidR="00985B76" w:rsidRPr="00D36D29">
        <w:tblPrEx>
          <w:tblCellMar>
            <w:top w:w="0" w:type="dxa"/>
            <w:bottom w:w="0" w:type="dxa"/>
          </w:tblCellMar>
        </w:tblPrEx>
        <w:tc>
          <w:tcPr>
            <w:tcW w:w="4050" w:type="dxa"/>
            <w:shd w:val="clear" w:color="auto" w:fill="auto"/>
            <w:vAlign w:val="bottom"/>
          </w:tcPr>
          <w:p w:rsidR="00985B76" w:rsidRPr="00985B76" w:rsidRDefault="00985B76" w:rsidP="00985B76">
            <w:pPr>
              <w:spacing w:before="40" w:after="40" w:line="210" w:lineRule="exact"/>
              <w:ind w:right="43"/>
              <w:rPr>
                <w:bCs/>
                <w:iCs/>
                <w:sz w:val="17"/>
                <w:szCs w:val="17"/>
                <w:lang w:val="fr-FR"/>
              </w:rPr>
            </w:pPr>
            <w:r w:rsidRPr="00985B76">
              <w:rPr>
                <w:bCs/>
                <w:iCs/>
                <w:sz w:val="17"/>
                <w:szCs w:val="17"/>
                <w:lang w:val="fr-FR"/>
              </w:rPr>
              <w:t>Abstinence</w:t>
            </w:r>
          </w:p>
        </w:tc>
        <w:tc>
          <w:tcPr>
            <w:tcW w:w="1620" w:type="dxa"/>
            <w:shd w:val="clear" w:color="auto" w:fill="auto"/>
            <w:vAlign w:val="bottom"/>
          </w:tcPr>
          <w:p w:rsidR="00985B76" w:rsidRPr="00985B76" w:rsidRDefault="00985B76" w:rsidP="00985B76">
            <w:pPr>
              <w:spacing w:before="40" w:after="40" w:line="210" w:lineRule="exact"/>
              <w:ind w:right="43"/>
              <w:jc w:val="right"/>
              <w:rPr>
                <w:bCs/>
                <w:iCs/>
                <w:sz w:val="17"/>
                <w:szCs w:val="17"/>
                <w:lang w:val="fr-FR"/>
              </w:rPr>
            </w:pPr>
            <w:r w:rsidRPr="00985B76">
              <w:rPr>
                <w:bCs/>
                <w:iCs/>
                <w:sz w:val="17"/>
                <w:szCs w:val="17"/>
                <w:lang w:val="fr-FR"/>
              </w:rPr>
              <w:t>65,0</w:t>
            </w:r>
          </w:p>
        </w:tc>
        <w:tc>
          <w:tcPr>
            <w:tcW w:w="1650" w:type="dxa"/>
            <w:shd w:val="clear" w:color="auto" w:fill="auto"/>
            <w:vAlign w:val="bottom"/>
          </w:tcPr>
          <w:p w:rsidR="00985B76" w:rsidRPr="00985B76" w:rsidRDefault="00985B76" w:rsidP="00985B76">
            <w:pPr>
              <w:spacing w:before="40" w:after="40" w:line="210" w:lineRule="exact"/>
              <w:ind w:right="43"/>
              <w:jc w:val="right"/>
              <w:rPr>
                <w:bCs/>
                <w:iCs/>
                <w:sz w:val="17"/>
                <w:szCs w:val="17"/>
                <w:lang w:val="fr-FR"/>
              </w:rPr>
            </w:pPr>
            <w:r w:rsidRPr="00985B76">
              <w:rPr>
                <w:bCs/>
                <w:iCs/>
                <w:sz w:val="17"/>
                <w:szCs w:val="17"/>
                <w:lang w:val="fr-FR"/>
              </w:rPr>
              <w:t>74,9</w:t>
            </w:r>
          </w:p>
        </w:tc>
      </w:tr>
      <w:tr w:rsidR="00985B76" w:rsidRPr="00D36D29">
        <w:tblPrEx>
          <w:tblCellMar>
            <w:top w:w="0" w:type="dxa"/>
            <w:bottom w:w="0" w:type="dxa"/>
          </w:tblCellMar>
        </w:tblPrEx>
        <w:tc>
          <w:tcPr>
            <w:tcW w:w="4050" w:type="dxa"/>
            <w:shd w:val="clear" w:color="auto" w:fill="auto"/>
            <w:vAlign w:val="bottom"/>
          </w:tcPr>
          <w:p w:rsidR="00985B76" w:rsidRPr="00985B76" w:rsidRDefault="00985B76" w:rsidP="00985B76">
            <w:pPr>
              <w:spacing w:before="40" w:after="40" w:line="210" w:lineRule="exact"/>
              <w:ind w:right="43"/>
              <w:rPr>
                <w:bCs/>
                <w:iCs/>
                <w:sz w:val="17"/>
                <w:szCs w:val="17"/>
                <w:lang w:val="fr-FR"/>
              </w:rPr>
            </w:pPr>
            <w:r w:rsidRPr="00985B76">
              <w:rPr>
                <w:bCs/>
                <w:iCs/>
                <w:sz w:val="17"/>
                <w:szCs w:val="17"/>
                <w:lang w:val="fr-FR"/>
              </w:rPr>
              <w:t>Utilisation du préservatif à chaque rapport sexuel</w:t>
            </w:r>
          </w:p>
        </w:tc>
        <w:tc>
          <w:tcPr>
            <w:tcW w:w="1620" w:type="dxa"/>
            <w:shd w:val="clear" w:color="auto" w:fill="auto"/>
            <w:vAlign w:val="bottom"/>
          </w:tcPr>
          <w:p w:rsidR="00985B76" w:rsidRPr="00985B76" w:rsidRDefault="00985B76" w:rsidP="00985B76">
            <w:pPr>
              <w:spacing w:before="40" w:after="40" w:line="210" w:lineRule="exact"/>
              <w:ind w:right="43"/>
              <w:jc w:val="right"/>
              <w:rPr>
                <w:bCs/>
                <w:iCs/>
                <w:sz w:val="17"/>
                <w:szCs w:val="17"/>
                <w:lang w:val="fr-FR"/>
              </w:rPr>
            </w:pPr>
            <w:r w:rsidRPr="00985B76">
              <w:rPr>
                <w:bCs/>
                <w:iCs/>
                <w:sz w:val="17"/>
                <w:szCs w:val="17"/>
                <w:lang w:val="fr-FR"/>
              </w:rPr>
              <w:t>43,3</w:t>
            </w:r>
          </w:p>
        </w:tc>
        <w:tc>
          <w:tcPr>
            <w:tcW w:w="1650" w:type="dxa"/>
            <w:shd w:val="clear" w:color="auto" w:fill="auto"/>
            <w:vAlign w:val="bottom"/>
          </w:tcPr>
          <w:p w:rsidR="00985B76" w:rsidRPr="00985B76" w:rsidRDefault="00985B76" w:rsidP="00985B76">
            <w:pPr>
              <w:spacing w:before="40" w:after="40" w:line="210" w:lineRule="exact"/>
              <w:ind w:right="43"/>
              <w:jc w:val="right"/>
              <w:rPr>
                <w:bCs/>
                <w:iCs/>
                <w:sz w:val="17"/>
                <w:szCs w:val="17"/>
                <w:lang w:val="fr-FR"/>
              </w:rPr>
            </w:pPr>
            <w:r w:rsidRPr="00985B76">
              <w:rPr>
                <w:bCs/>
                <w:iCs/>
                <w:sz w:val="17"/>
                <w:szCs w:val="17"/>
                <w:lang w:val="fr-FR"/>
              </w:rPr>
              <w:t>61,8</w:t>
            </w:r>
          </w:p>
        </w:tc>
      </w:tr>
      <w:tr w:rsidR="00985B76" w:rsidRPr="00D36D29">
        <w:tblPrEx>
          <w:tblCellMar>
            <w:top w:w="0" w:type="dxa"/>
            <w:bottom w:w="0" w:type="dxa"/>
          </w:tblCellMar>
        </w:tblPrEx>
        <w:tc>
          <w:tcPr>
            <w:tcW w:w="4050" w:type="dxa"/>
            <w:tcBorders>
              <w:bottom w:val="single" w:sz="12" w:space="0" w:color="auto"/>
            </w:tcBorders>
            <w:shd w:val="clear" w:color="auto" w:fill="auto"/>
            <w:vAlign w:val="bottom"/>
          </w:tcPr>
          <w:p w:rsidR="00985B76" w:rsidRPr="00985B76" w:rsidRDefault="00985B76" w:rsidP="00985B76">
            <w:pPr>
              <w:spacing w:before="40" w:after="40" w:line="210" w:lineRule="exact"/>
              <w:ind w:right="43"/>
              <w:rPr>
                <w:bCs/>
                <w:iCs/>
                <w:sz w:val="17"/>
                <w:szCs w:val="17"/>
                <w:lang w:val="fr-FR"/>
              </w:rPr>
            </w:pPr>
            <w:r w:rsidRPr="00985B76">
              <w:rPr>
                <w:bCs/>
                <w:iCs/>
                <w:sz w:val="17"/>
                <w:szCs w:val="17"/>
                <w:lang w:val="fr-FR"/>
              </w:rPr>
              <w:t>Limiter les rapports à un seul partenaire non infecté</w:t>
            </w:r>
          </w:p>
        </w:tc>
        <w:tc>
          <w:tcPr>
            <w:tcW w:w="1620" w:type="dxa"/>
            <w:tcBorders>
              <w:bottom w:val="single" w:sz="12" w:space="0" w:color="auto"/>
            </w:tcBorders>
            <w:shd w:val="clear" w:color="auto" w:fill="auto"/>
            <w:vAlign w:val="bottom"/>
          </w:tcPr>
          <w:p w:rsidR="00985B76" w:rsidRPr="00985B76" w:rsidRDefault="00985B76" w:rsidP="00985B76">
            <w:pPr>
              <w:spacing w:before="40" w:after="40" w:line="210" w:lineRule="exact"/>
              <w:ind w:right="43"/>
              <w:jc w:val="right"/>
              <w:rPr>
                <w:bCs/>
                <w:iCs/>
                <w:sz w:val="17"/>
                <w:szCs w:val="17"/>
                <w:lang w:val="fr-FR"/>
              </w:rPr>
            </w:pPr>
            <w:r w:rsidRPr="00985B76">
              <w:rPr>
                <w:bCs/>
                <w:iCs/>
                <w:sz w:val="17"/>
                <w:szCs w:val="17"/>
                <w:lang w:val="fr-FR"/>
              </w:rPr>
              <w:t>75,0</w:t>
            </w:r>
          </w:p>
        </w:tc>
        <w:tc>
          <w:tcPr>
            <w:tcW w:w="1650" w:type="dxa"/>
            <w:tcBorders>
              <w:bottom w:val="single" w:sz="12" w:space="0" w:color="auto"/>
            </w:tcBorders>
            <w:shd w:val="clear" w:color="auto" w:fill="auto"/>
            <w:vAlign w:val="bottom"/>
          </w:tcPr>
          <w:p w:rsidR="00985B76" w:rsidRPr="00985B76" w:rsidRDefault="00985B76" w:rsidP="00985B76">
            <w:pPr>
              <w:spacing w:before="40" w:after="40" w:line="210" w:lineRule="exact"/>
              <w:ind w:right="43"/>
              <w:jc w:val="right"/>
              <w:rPr>
                <w:bCs/>
                <w:iCs/>
                <w:sz w:val="17"/>
                <w:szCs w:val="17"/>
                <w:lang w:val="fr-FR"/>
              </w:rPr>
            </w:pPr>
            <w:r w:rsidRPr="00985B76">
              <w:rPr>
                <w:bCs/>
                <w:iCs/>
                <w:sz w:val="17"/>
                <w:szCs w:val="17"/>
                <w:lang w:val="fr-FR"/>
              </w:rPr>
              <w:t>86,4</w:t>
            </w:r>
          </w:p>
        </w:tc>
      </w:tr>
    </w:tbl>
    <w:p w:rsidR="00D36D29" w:rsidRPr="00985B76" w:rsidRDefault="00985B76" w:rsidP="00D36D29">
      <w:pPr>
        <w:pStyle w:val="SingleTxt"/>
        <w:jc w:val="left"/>
        <w:rPr>
          <w:bCs/>
          <w:iCs/>
          <w:lang w:val="fr-FR"/>
        </w:rPr>
      </w:pPr>
      <w:r w:rsidRPr="00985B76">
        <w:rPr>
          <w:bCs/>
          <w:i/>
          <w:iCs/>
          <w:sz w:val="17"/>
          <w:szCs w:val="17"/>
          <w:lang w:val="fr-FR"/>
        </w:rPr>
        <w:t>Source</w:t>
      </w:r>
      <w:r w:rsidRPr="00985B76">
        <w:rPr>
          <w:bCs/>
          <w:iCs/>
          <w:sz w:val="17"/>
          <w:szCs w:val="17"/>
          <w:lang w:val="fr-FR"/>
        </w:rPr>
        <w:t xml:space="preserve"> : Enquête nationale sur le VIH/</w:t>
      </w:r>
      <w:r w:rsidR="00940485">
        <w:rPr>
          <w:bCs/>
          <w:iCs/>
          <w:sz w:val="17"/>
          <w:szCs w:val="17"/>
          <w:lang w:val="fr-FR"/>
        </w:rPr>
        <w:t>SIDA</w:t>
      </w:r>
      <w:r w:rsidRPr="00985B76">
        <w:rPr>
          <w:bCs/>
          <w:iCs/>
          <w:sz w:val="17"/>
          <w:szCs w:val="17"/>
          <w:lang w:val="fr-FR"/>
        </w:rPr>
        <w:t xml:space="preserve"> et la santé génésique, 2003</w:t>
      </w:r>
    </w:p>
    <w:p w:rsidR="00E15507" w:rsidRDefault="00940485" w:rsidP="009404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bCs/>
          <w:iCs/>
          <w:lang w:val="fr-FR"/>
        </w:rPr>
        <w:tab/>
        <w:t xml:space="preserve">3.10 </w:t>
      </w:r>
      <w:r>
        <w:rPr>
          <w:bCs/>
          <w:iCs/>
          <w:lang w:val="fr-FR"/>
        </w:rPr>
        <w:tab/>
      </w:r>
      <w:r w:rsidR="00E15507" w:rsidRPr="005D6CD4">
        <w:rPr>
          <w:lang w:val="fr-FR"/>
        </w:rPr>
        <w:t>Réponse nationale</w:t>
      </w:r>
    </w:p>
    <w:p w:rsidR="00940485" w:rsidRPr="00940485" w:rsidRDefault="00940485" w:rsidP="00940485">
      <w:pPr>
        <w:pStyle w:val="SingleTxt"/>
        <w:spacing w:after="0" w:line="120" w:lineRule="exact"/>
        <w:rPr>
          <w:sz w:val="10"/>
          <w:lang w:val="fr-FR"/>
        </w:rPr>
      </w:pPr>
    </w:p>
    <w:p w:rsidR="00E15507" w:rsidRPr="005D6CD4" w:rsidRDefault="00E15507" w:rsidP="00740CA4">
      <w:pPr>
        <w:pStyle w:val="SingleTxt"/>
        <w:rPr>
          <w:highlight w:val="yellow"/>
          <w:lang w:val="fr-FR"/>
        </w:rPr>
      </w:pPr>
      <w:r w:rsidRPr="005D6CD4">
        <w:rPr>
          <w:b/>
          <w:lang w:val="fr-FR"/>
        </w:rPr>
        <w:t>3.10.1</w:t>
      </w:r>
      <w:r w:rsidRPr="005D6CD4">
        <w:rPr>
          <w:lang w:val="fr-FR"/>
        </w:rPr>
        <w:t xml:space="preserve"> </w:t>
      </w:r>
      <w:r w:rsidR="00940485">
        <w:rPr>
          <w:lang w:val="fr-FR"/>
        </w:rPr>
        <w:t xml:space="preserve"> </w:t>
      </w:r>
      <w:r w:rsidRPr="005D6CD4">
        <w:rPr>
          <w:lang w:val="fr-FR"/>
        </w:rPr>
        <w:t>Depuis l</w:t>
      </w:r>
      <w:r w:rsidR="000A3D87">
        <w:rPr>
          <w:lang w:val="fr-FR"/>
        </w:rPr>
        <w:t>’</w:t>
      </w:r>
      <w:r w:rsidRPr="005D6CD4">
        <w:rPr>
          <w:lang w:val="fr-FR"/>
        </w:rPr>
        <w:t>arrivée au pouvoir du Gouvernement actuel, la réponse nationale au VIH/</w:t>
      </w:r>
      <w:r w:rsidR="00940485">
        <w:rPr>
          <w:lang w:val="fr-FR"/>
        </w:rPr>
        <w:t>SIDA</w:t>
      </w:r>
      <w:r w:rsidRPr="005D6CD4">
        <w:rPr>
          <w:lang w:val="fr-FR"/>
        </w:rPr>
        <w:t xml:space="preserve"> a bénéficié d</w:t>
      </w:r>
      <w:r w:rsidR="000A3D87">
        <w:rPr>
          <w:lang w:val="fr-FR"/>
        </w:rPr>
        <w:t>’</w:t>
      </w:r>
      <w:r w:rsidRPr="005D6CD4">
        <w:rPr>
          <w:lang w:val="fr-FR"/>
        </w:rPr>
        <w:t xml:space="preserve">une volonté politique importante comme en témoigne le fait que le Conseil présidentiel sur le </w:t>
      </w:r>
      <w:r w:rsidR="00940485">
        <w:rPr>
          <w:lang w:val="fr-FR"/>
        </w:rPr>
        <w:t>SIDA</w:t>
      </w:r>
      <w:r w:rsidRPr="005D6CD4">
        <w:rPr>
          <w:lang w:val="fr-FR"/>
        </w:rPr>
        <w:t>, l</w:t>
      </w:r>
      <w:r w:rsidR="000A3D87">
        <w:rPr>
          <w:lang w:val="fr-FR"/>
        </w:rPr>
        <w:t>’</w:t>
      </w:r>
      <w:r w:rsidRPr="005D6CD4">
        <w:rPr>
          <w:lang w:val="fr-FR"/>
        </w:rPr>
        <w:t>organe de décision sur le VIH/</w:t>
      </w:r>
      <w:r w:rsidR="00940485">
        <w:rPr>
          <w:lang w:val="fr-FR"/>
        </w:rPr>
        <w:t>SIDA</w:t>
      </w:r>
      <w:r w:rsidRPr="005D6CD4">
        <w:rPr>
          <w:lang w:val="fr-FR"/>
        </w:rPr>
        <w:t xml:space="preserve"> le plus élevé, est présidé par le</w:t>
      </w:r>
      <w:r>
        <w:rPr>
          <w:lang w:val="fr-FR"/>
        </w:rPr>
        <w:t xml:space="preserve"> </w:t>
      </w:r>
      <w:r w:rsidRPr="005D6CD4">
        <w:rPr>
          <w:lang w:val="fr-FR"/>
        </w:rPr>
        <w:t>Président. Il en résulte que la campagne contre le VIH/</w:t>
      </w:r>
      <w:r w:rsidR="00940485">
        <w:rPr>
          <w:lang w:val="fr-FR"/>
        </w:rPr>
        <w:t>SIDA</w:t>
      </w:r>
      <w:r w:rsidRPr="005D6CD4">
        <w:rPr>
          <w:lang w:val="fr-FR"/>
        </w:rPr>
        <w:t xml:space="preserve"> est conduite par le Président de la République fédérale du </w:t>
      </w:r>
      <w:r>
        <w:rPr>
          <w:lang w:val="fr-FR"/>
        </w:rPr>
        <w:t>Nigéria</w:t>
      </w:r>
      <w:r w:rsidRPr="005D6CD4">
        <w:rPr>
          <w:lang w:val="fr-FR"/>
        </w:rPr>
        <w:t>, et s</w:t>
      </w:r>
      <w:r w:rsidR="000A3D87">
        <w:rPr>
          <w:lang w:val="fr-FR"/>
        </w:rPr>
        <w:t>’</w:t>
      </w:r>
      <w:r w:rsidRPr="005D6CD4">
        <w:rPr>
          <w:lang w:val="fr-FR"/>
        </w:rPr>
        <w:t>est déjà étendue à d</w:t>
      </w:r>
      <w:r w:rsidR="000A3D87">
        <w:rPr>
          <w:lang w:val="fr-FR"/>
        </w:rPr>
        <w:t>’</w:t>
      </w:r>
      <w:r w:rsidRPr="005D6CD4">
        <w:rPr>
          <w:lang w:val="fr-FR"/>
        </w:rPr>
        <w:t>autres organes de l</w:t>
      </w:r>
      <w:r w:rsidR="000A3D87">
        <w:rPr>
          <w:lang w:val="fr-FR"/>
        </w:rPr>
        <w:t>’</w:t>
      </w:r>
      <w:r w:rsidRPr="005D6CD4">
        <w:rPr>
          <w:lang w:val="fr-FR"/>
        </w:rPr>
        <w:t>administration et aux leaders d</w:t>
      </w:r>
      <w:r w:rsidR="000A3D87">
        <w:rPr>
          <w:lang w:val="fr-FR"/>
        </w:rPr>
        <w:t>’</w:t>
      </w:r>
      <w:r w:rsidRPr="005D6CD4">
        <w:rPr>
          <w:lang w:val="fr-FR"/>
        </w:rPr>
        <w:t>opinion. La lutte contre le VIH/</w:t>
      </w:r>
      <w:r w:rsidR="00940485">
        <w:rPr>
          <w:lang w:val="fr-FR"/>
        </w:rPr>
        <w:t>SIDA</w:t>
      </w:r>
      <w:r w:rsidRPr="005D6CD4">
        <w:rPr>
          <w:lang w:val="fr-FR"/>
        </w:rPr>
        <w:t xml:space="preserve"> est intégrée au système de soins de santé primaires du pays avec décentralisation au niveau des collectivités locales, en tant que politique fondamentale qui intègre la lutte contre le VIH au plan local à la responsabilité confiée aux femmes.</w:t>
      </w:r>
    </w:p>
    <w:p w:rsidR="00E15507" w:rsidRPr="005D6CD4" w:rsidRDefault="00E15507" w:rsidP="00740CA4">
      <w:pPr>
        <w:pStyle w:val="SingleTxt"/>
        <w:rPr>
          <w:b/>
          <w:i/>
          <w:color w:val="FF0000"/>
          <w:lang w:val="fr-FR"/>
        </w:rPr>
      </w:pPr>
      <w:r w:rsidRPr="002B0972">
        <w:rPr>
          <w:lang w:val="fr-FR"/>
        </w:rPr>
        <w:t>3.10.2</w:t>
      </w:r>
      <w:r w:rsidR="002B0972">
        <w:rPr>
          <w:b/>
          <w:i/>
          <w:lang w:val="fr-FR"/>
        </w:rPr>
        <w:t xml:space="preserve"> </w:t>
      </w:r>
      <w:r w:rsidRPr="002B0972">
        <w:rPr>
          <w:i/>
          <w:lang w:val="fr-FR"/>
        </w:rPr>
        <w:t xml:space="preserve"> Le Comité d</w:t>
      </w:r>
      <w:r w:rsidR="000A3D87" w:rsidRPr="002B0972">
        <w:rPr>
          <w:i/>
          <w:lang w:val="fr-FR"/>
        </w:rPr>
        <w:t>’</w:t>
      </w:r>
      <w:r w:rsidRPr="002B0972">
        <w:rPr>
          <w:i/>
          <w:lang w:val="fr-FR"/>
        </w:rPr>
        <w:t xml:space="preserve">action national sur le </w:t>
      </w:r>
      <w:r w:rsidR="00940485" w:rsidRPr="002B0972">
        <w:rPr>
          <w:i/>
          <w:lang w:val="fr-FR"/>
        </w:rPr>
        <w:t>SIDA</w:t>
      </w:r>
      <w:r w:rsidRPr="002B0972">
        <w:rPr>
          <w:i/>
          <w:lang w:val="fr-FR"/>
        </w:rPr>
        <w:t xml:space="preserve"> (NACA) est chargé d</w:t>
      </w:r>
      <w:r w:rsidR="000A3D87" w:rsidRPr="002B0972">
        <w:rPr>
          <w:i/>
          <w:lang w:val="fr-FR"/>
        </w:rPr>
        <w:t>’</w:t>
      </w:r>
      <w:r w:rsidRPr="002B0972">
        <w:rPr>
          <w:i/>
          <w:lang w:val="fr-FR"/>
        </w:rPr>
        <w:t>assurer la participation multisectorielle et à plusieurs niveaux des acteurs concernés. Les comités d</w:t>
      </w:r>
      <w:r w:rsidR="000A3D87" w:rsidRPr="002B0972">
        <w:rPr>
          <w:i/>
          <w:lang w:val="fr-FR"/>
        </w:rPr>
        <w:t>’</w:t>
      </w:r>
      <w:r w:rsidRPr="002B0972">
        <w:rPr>
          <w:i/>
          <w:lang w:val="fr-FR"/>
        </w:rPr>
        <w:t>action d</w:t>
      </w:r>
      <w:r w:rsidR="000A3D87" w:rsidRPr="002B0972">
        <w:rPr>
          <w:i/>
          <w:lang w:val="fr-FR"/>
        </w:rPr>
        <w:t>’</w:t>
      </w:r>
      <w:r w:rsidRPr="002B0972">
        <w:rPr>
          <w:i/>
          <w:lang w:val="fr-FR"/>
        </w:rPr>
        <w:t xml:space="preserve">État sur le </w:t>
      </w:r>
      <w:r w:rsidR="00940485" w:rsidRPr="002B0972">
        <w:rPr>
          <w:i/>
          <w:lang w:val="fr-FR"/>
        </w:rPr>
        <w:t>SIDA</w:t>
      </w:r>
      <w:r w:rsidRPr="002B0972">
        <w:rPr>
          <w:i/>
          <w:lang w:val="fr-FR"/>
        </w:rPr>
        <w:t xml:space="preserve"> (SACA), les comités d</w:t>
      </w:r>
      <w:r w:rsidR="000A3D87" w:rsidRPr="002B0972">
        <w:rPr>
          <w:i/>
          <w:lang w:val="fr-FR"/>
        </w:rPr>
        <w:t>’</w:t>
      </w:r>
      <w:r w:rsidRPr="002B0972">
        <w:rPr>
          <w:i/>
          <w:lang w:val="fr-FR"/>
        </w:rPr>
        <w:t xml:space="preserve">action des collectivités locales sur le </w:t>
      </w:r>
      <w:r w:rsidR="00940485" w:rsidRPr="002B0972">
        <w:rPr>
          <w:i/>
          <w:lang w:val="fr-FR"/>
        </w:rPr>
        <w:t>SIDA</w:t>
      </w:r>
      <w:r w:rsidRPr="002B0972">
        <w:rPr>
          <w:i/>
          <w:lang w:val="fr-FR"/>
        </w:rPr>
        <w:t xml:space="preserve"> (LACA) et les comités d</w:t>
      </w:r>
      <w:r w:rsidR="000A3D87" w:rsidRPr="002B0972">
        <w:rPr>
          <w:i/>
          <w:lang w:val="fr-FR"/>
        </w:rPr>
        <w:t>’</w:t>
      </w:r>
      <w:r w:rsidRPr="002B0972">
        <w:rPr>
          <w:i/>
          <w:lang w:val="fr-FR"/>
        </w:rPr>
        <w:t xml:space="preserve">action communautaires sur le </w:t>
      </w:r>
      <w:r w:rsidR="00940485" w:rsidRPr="002B0972">
        <w:rPr>
          <w:i/>
          <w:lang w:val="fr-FR"/>
        </w:rPr>
        <w:t>SIDA</w:t>
      </w:r>
      <w:r w:rsidRPr="002B0972">
        <w:rPr>
          <w:i/>
          <w:lang w:val="fr-FR"/>
        </w:rPr>
        <w:t xml:space="preserve"> </w:t>
      </w:r>
      <w:r w:rsidRPr="002B0972">
        <w:rPr>
          <w:i/>
          <w:color w:val="000000"/>
          <w:lang w:val="fr-FR"/>
        </w:rPr>
        <w:t>(CACA)</w:t>
      </w:r>
      <w:r w:rsidRPr="002B0972">
        <w:rPr>
          <w:i/>
          <w:lang w:val="fr-FR"/>
        </w:rPr>
        <w:t xml:space="preserve"> ont également été constitués pour contribuer à l</w:t>
      </w:r>
      <w:r w:rsidR="000A3D87" w:rsidRPr="002B0972">
        <w:rPr>
          <w:i/>
          <w:lang w:val="fr-FR"/>
        </w:rPr>
        <w:t>’</w:t>
      </w:r>
      <w:r w:rsidRPr="002B0972">
        <w:rPr>
          <w:i/>
          <w:lang w:val="fr-FR"/>
        </w:rPr>
        <w:t>action menée par le Gouvernement en faveur de la lutte contre le VIH/</w:t>
      </w:r>
      <w:r w:rsidR="00940485" w:rsidRPr="002B0972">
        <w:rPr>
          <w:i/>
          <w:lang w:val="fr-FR"/>
        </w:rPr>
        <w:t>SIDA</w:t>
      </w:r>
      <w:r w:rsidRPr="002B0972">
        <w:rPr>
          <w:i/>
          <w:lang w:val="fr-FR"/>
        </w:rPr>
        <w:t>.</w:t>
      </w:r>
      <w:r w:rsidRPr="005D6CD4">
        <w:rPr>
          <w:b/>
          <w:i/>
          <w:lang w:val="fr-FR"/>
        </w:rPr>
        <w:t xml:space="preserve"> </w:t>
      </w:r>
    </w:p>
    <w:p w:rsidR="00E15507" w:rsidRPr="002B0972" w:rsidRDefault="00940485" w:rsidP="00740CA4">
      <w:pPr>
        <w:pStyle w:val="SingleTxt"/>
        <w:rPr>
          <w:i/>
          <w:lang w:val="fr-FR"/>
        </w:rPr>
      </w:pPr>
      <w:r>
        <w:rPr>
          <w:b/>
          <w:i/>
          <w:lang w:val="fr-FR"/>
        </w:rPr>
        <w:tab/>
      </w:r>
      <w:r w:rsidR="00E15507" w:rsidRPr="002B0972">
        <w:rPr>
          <w:i/>
          <w:lang w:val="fr-FR"/>
        </w:rPr>
        <w:t>La création des NACA, SACA, LACA et CACA, de même que la fourniture des soins médicaux gratuits et des médicaments subventionnés et la mobilisation de fonds pour lutter contre le VIH/</w:t>
      </w:r>
      <w:r w:rsidRPr="002B0972">
        <w:rPr>
          <w:i/>
          <w:lang w:val="fr-FR"/>
        </w:rPr>
        <w:t>SIDA</w:t>
      </w:r>
      <w:r w:rsidR="00E15507" w:rsidRPr="002B0972">
        <w:rPr>
          <w:i/>
          <w:lang w:val="fr-FR"/>
        </w:rPr>
        <w:t>, ainsi que les programmes de sensibilisation par voie de médias électroniques et de la presse écrite constituent des mesures exceptionnelles pour enrayer la propagation du VIH/</w:t>
      </w:r>
      <w:r w:rsidRPr="002B0972">
        <w:rPr>
          <w:i/>
          <w:lang w:val="fr-FR"/>
        </w:rPr>
        <w:t>SIDA</w:t>
      </w:r>
      <w:r w:rsidR="00E15507" w:rsidRPr="002B0972">
        <w:rPr>
          <w:i/>
          <w:lang w:val="fr-FR"/>
        </w:rPr>
        <w:t xml:space="preserve"> dans le pays.</w:t>
      </w:r>
    </w:p>
    <w:p w:rsidR="00E15507" w:rsidRPr="002B0972" w:rsidRDefault="00E15507" w:rsidP="00740CA4">
      <w:pPr>
        <w:pStyle w:val="SingleTxt"/>
        <w:rPr>
          <w:i/>
          <w:lang w:val="fr-FR"/>
        </w:rPr>
      </w:pPr>
      <w:r w:rsidRPr="002B0972">
        <w:rPr>
          <w:lang w:val="fr-FR"/>
        </w:rPr>
        <w:t>3.10.3</w:t>
      </w:r>
      <w:r w:rsidR="002B0972">
        <w:rPr>
          <w:i/>
          <w:lang w:val="fr-FR"/>
        </w:rPr>
        <w:t xml:space="preserve"> </w:t>
      </w:r>
      <w:r w:rsidRPr="002B0972">
        <w:rPr>
          <w:i/>
          <w:lang w:val="fr-FR"/>
        </w:rPr>
        <w:t xml:space="preserve"> Des centres de conseil et de dépistage du VIH/</w:t>
      </w:r>
      <w:r w:rsidR="00940485" w:rsidRPr="002B0972">
        <w:rPr>
          <w:i/>
          <w:lang w:val="fr-FR"/>
        </w:rPr>
        <w:t>SIDA</w:t>
      </w:r>
      <w:r w:rsidRPr="002B0972">
        <w:rPr>
          <w:i/>
          <w:lang w:val="fr-FR"/>
        </w:rPr>
        <w:t xml:space="preserve"> ont été mis en place parallèlement à l</w:t>
      </w:r>
      <w:r w:rsidR="000A3D87" w:rsidRPr="002B0972">
        <w:rPr>
          <w:i/>
          <w:lang w:val="fr-FR"/>
        </w:rPr>
        <w:t>’</w:t>
      </w:r>
      <w:r w:rsidRPr="002B0972">
        <w:rPr>
          <w:i/>
          <w:lang w:val="fr-FR"/>
        </w:rPr>
        <w:t>introduction du programme de prévention de la transmission de la mère à l</w:t>
      </w:r>
      <w:r w:rsidR="000A3D87" w:rsidRPr="002B0972">
        <w:rPr>
          <w:i/>
          <w:lang w:val="fr-FR"/>
        </w:rPr>
        <w:t>’</w:t>
      </w:r>
      <w:r w:rsidRPr="002B0972">
        <w:rPr>
          <w:i/>
          <w:lang w:val="fr-FR"/>
        </w:rPr>
        <w:t>enfant dans la plupart des États de la Fédération. Il existe des services de soins à domicile/axés sur la collectivité pour les personnes atteintes de VIH/</w:t>
      </w:r>
      <w:r w:rsidR="00940485" w:rsidRPr="002B0972">
        <w:rPr>
          <w:i/>
          <w:lang w:val="fr-FR"/>
        </w:rPr>
        <w:t>SIDA</w:t>
      </w:r>
      <w:r w:rsidRPr="002B0972">
        <w:rPr>
          <w:i/>
          <w:lang w:val="fr-FR"/>
        </w:rPr>
        <w:t>, les femmes en particulier. Le programme de prévention de la transmission de la mère à l</w:t>
      </w:r>
      <w:r w:rsidR="000A3D87" w:rsidRPr="002B0972">
        <w:rPr>
          <w:i/>
          <w:lang w:val="fr-FR"/>
        </w:rPr>
        <w:t>’</w:t>
      </w:r>
      <w:r w:rsidRPr="002B0972">
        <w:rPr>
          <w:i/>
          <w:lang w:val="fr-FR"/>
        </w:rPr>
        <w:t>enfant, qui a commencé avec six sites tertiaires en 2002, s</w:t>
      </w:r>
      <w:r w:rsidR="000A3D87" w:rsidRPr="002B0972">
        <w:rPr>
          <w:i/>
          <w:lang w:val="fr-FR"/>
        </w:rPr>
        <w:t>’</w:t>
      </w:r>
      <w:r w:rsidRPr="002B0972">
        <w:rPr>
          <w:i/>
          <w:lang w:val="fr-FR"/>
        </w:rPr>
        <w:t xml:space="preserve">est étendu à plus de 45 sites et environ 42 000 femmes enceintes ont profité du programme. </w:t>
      </w:r>
    </w:p>
    <w:p w:rsidR="00E15507" w:rsidRPr="005D6CD4" w:rsidRDefault="00E15507" w:rsidP="00740CA4">
      <w:pPr>
        <w:pStyle w:val="SingleTxt"/>
        <w:rPr>
          <w:lang w:val="fr-FR"/>
        </w:rPr>
      </w:pPr>
      <w:r w:rsidRPr="005D6CD4">
        <w:rPr>
          <w:b/>
          <w:lang w:val="fr-FR"/>
        </w:rPr>
        <w:t>3.10.4</w:t>
      </w:r>
      <w:r w:rsidRPr="005D6CD4">
        <w:rPr>
          <w:lang w:val="fr-FR"/>
        </w:rPr>
        <w:t xml:space="preserve"> </w:t>
      </w:r>
      <w:r w:rsidR="002B0972">
        <w:rPr>
          <w:lang w:val="fr-FR"/>
        </w:rPr>
        <w:t xml:space="preserve"> </w:t>
      </w:r>
      <w:r w:rsidRPr="005D6CD4">
        <w:rPr>
          <w:lang w:val="fr-FR"/>
        </w:rPr>
        <w:t>Le système de surveillance sentinelle du VIH a été mis en place pour suivre les tendances de l</w:t>
      </w:r>
      <w:r w:rsidR="000A3D87">
        <w:rPr>
          <w:lang w:val="fr-FR"/>
        </w:rPr>
        <w:t>’</w:t>
      </w:r>
      <w:r w:rsidRPr="005D6CD4">
        <w:rPr>
          <w:lang w:val="fr-FR"/>
        </w:rPr>
        <w:t>épidémie et évaluer l</w:t>
      </w:r>
      <w:r w:rsidR="000A3D87">
        <w:rPr>
          <w:lang w:val="fr-FR"/>
        </w:rPr>
        <w:t>’</w:t>
      </w:r>
      <w:r w:rsidRPr="005D6CD4">
        <w:rPr>
          <w:lang w:val="fr-FR"/>
        </w:rPr>
        <w:t>impact de la riposte. L</w:t>
      </w:r>
      <w:r w:rsidR="000A3D87">
        <w:rPr>
          <w:lang w:val="fr-FR"/>
        </w:rPr>
        <w:t>’</w:t>
      </w:r>
      <w:r w:rsidRPr="005D6CD4">
        <w:rPr>
          <w:lang w:val="fr-FR"/>
        </w:rPr>
        <w:t>enquête de contrôle du VIH et de la syphilis de 2005 a été menée du 29 août au 26 novembre 2005.</w:t>
      </w:r>
      <w:r>
        <w:rPr>
          <w:lang w:val="fr-FR"/>
        </w:rPr>
        <w:t xml:space="preserve"> </w:t>
      </w:r>
      <w:r w:rsidRPr="005D6CD4">
        <w:rPr>
          <w:lang w:val="fr-FR"/>
        </w:rPr>
        <w:t>Les objectifs de l</w:t>
      </w:r>
      <w:r w:rsidR="000A3D87">
        <w:rPr>
          <w:lang w:val="fr-FR"/>
        </w:rPr>
        <w:t>’</w:t>
      </w:r>
      <w:r w:rsidRPr="005D6CD4">
        <w:rPr>
          <w:lang w:val="fr-FR"/>
        </w:rPr>
        <w:t>enquête consistaient à déterminer la prévalence parmi les femmes enceintes fréquentant les</w:t>
      </w:r>
      <w:r>
        <w:rPr>
          <w:lang w:val="fr-FR"/>
        </w:rPr>
        <w:t xml:space="preserve"> </w:t>
      </w:r>
      <w:r w:rsidRPr="005D6CD4">
        <w:rPr>
          <w:lang w:val="fr-FR"/>
        </w:rPr>
        <w:t>centres de santé prénatale, évaluer les tendances de la prévalence du VIH et fournir des données pour estimer et prévoir l</w:t>
      </w:r>
      <w:r w:rsidR="000A3D87">
        <w:rPr>
          <w:lang w:val="fr-FR"/>
        </w:rPr>
        <w:t>’</w:t>
      </w:r>
      <w:r w:rsidRPr="005D6CD4">
        <w:rPr>
          <w:lang w:val="fr-FR"/>
        </w:rPr>
        <w:t>épidémie du VIH dans la population en général.</w:t>
      </w:r>
    </w:p>
    <w:p w:rsidR="00E15507" w:rsidRDefault="00940485" w:rsidP="00740CA4">
      <w:pPr>
        <w:pStyle w:val="SingleTxt"/>
        <w:rPr>
          <w:lang w:val="fr-FR"/>
        </w:rPr>
      </w:pPr>
      <w:r>
        <w:rPr>
          <w:lang w:val="fr-FR"/>
        </w:rPr>
        <w:tab/>
      </w:r>
      <w:r w:rsidR="00E15507" w:rsidRPr="005D6CD4">
        <w:rPr>
          <w:lang w:val="fr-FR"/>
        </w:rPr>
        <w:t>L</w:t>
      </w:r>
      <w:r w:rsidR="000A3D87">
        <w:rPr>
          <w:lang w:val="fr-FR"/>
        </w:rPr>
        <w:t>’</w:t>
      </w:r>
      <w:r w:rsidR="00E15507" w:rsidRPr="005D6CD4">
        <w:rPr>
          <w:lang w:val="fr-FR"/>
        </w:rPr>
        <w:t>enquête de 2005 (HSS 2005) a porté sur 36 931 femmes enceintes fréquentant les centres de santé prénatale dans 160 sites (86 urbains et 74 ruraux) dans 36 États et sur le Territoire de la capitale fédérale. L</w:t>
      </w:r>
      <w:r w:rsidR="000A3D87">
        <w:rPr>
          <w:lang w:val="fr-FR"/>
        </w:rPr>
        <w:t>’</w:t>
      </w:r>
      <w:r w:rsidR="00E15507" w:rsidRPr="005D6CD4">
        <w:rPr>
          <w:lang w:val="fr-FR"/>
        </w:rPr>
        <w:t>enquête était dirigée par une équipe de gestion de l</w:t>
      </w:r>
      <w:r w:rsidR="000A3D87">
        <w:rPr>
          <w:lang w:val="fr-FR"/>
        </w:rPr>
        <w:t>’</w:t>
      </w:r>
      <w:r w:rsidR="00E15507" w:rsidRPr="005D6CD4">
        <w:rPr>
          <w:lang w:val="fr-FR"/>
        </w:rPr>
        <w:t>enquête constituée par le ministère fédéral de la Santé sous la présidence du Directeur de la santé publique. Le Comité d</w:t>
      </w:r>
      <w:r w:rsidR="000A3D87">
        <w:rPr>
          <w:lang w:val="fr-FR"/>
        </w:rPr>
        <w:t>’</w:t>
      </w:r>
      <w:r w:rsidR="00E15507" w:rsidRPr="005D6CD4">
        <w:rPr>
          <w:lang w:val="fr-FR"/>
        </w:rPr>
        <w:t xml:space="preserve">action national sur le </w:t>
      </w:r>
      <w:r>
        <w:rPr>
          <w:lang w:val="fr-FR"/>
        </w:rPr>
        <w:t>SIDA</w:t>
      </w:r>
      <w:r w:rsidR="00E15507" w:rsidRPr="005D6CD4">
        <w:rPr>
          <w:lang w:val="fr-FR"/>
        </w:rPr>
        <w:t xml:space="preserve"> (NACA), des institutions des Nations Unies, des organismes bilatéraux et d</w:t>
      </w:r>
      <w:r w:rsidR="000A3D87">
        <w:rPr>
          <w:lang w:val="fr-FR"/>
        </w:rPr>
        <w:t>’</w:t>
      </w:r>
      <w:r w:rsidR="00E15507" w:rsidRPr="005D6CD4">
        <w:rPr>
          <w:lang w:val="fr-FR"/>
        </w:rPr>
        <w:t>autres acteurs ont participé en qualité de membres du Comité. Les résultats de l</w:t>
      </w:r>
      <w:r w:rsidR="000A3D87">
        <w:rPr>
          <w:lang w:val="fr-FR"/>
        </w:rPr>
        <w:t>’</w:t>
      </w:r>
      <w:r w:rsidR="00E15507" w:rsidRPr="005D6CD4">
        <w:rPr>
          <w:lang w:val="fr-FR"/>
        </w:rPr>
        <w:t xml:space="preserve">enquête sont présentés dans les </w:t>
      </w:r>
      <w:r w:rsidR="00E15507" w:rsidRPr="005D6CD4">
        <w:rPr>
          <w:color w:val="000000"/>
          <w:lang w:val="fr-FR"/>
        </w:rPr>
        <w:t xml:space="preserve">Figures 3.3 à 3.11 et les Tableaux 3.4 à 3.6. La stratégie de test anonyme non corrélé a été adoptée en utilisant les tests de </w:t>
      </w:r>
      <w:r w:rsidR="00E15507" w:rsidRPr="005D6CD4">
        <w:rPr>
          <w:lang w:val="fr-FR"/>
        </w:rPr>
        <w:t>syphilis et autres tests de sang de routine comme points de départ. Les spécimens obtenus ont été vérifiés pour détecter la présence des anticorps du VIH et de la syphilis.</w:t>
      </w:r>
    </w:p>
    <w:p w:rsidR="00940485" w:rsidRDefault="00940485" w:rsidP="00940485">
      <w:pPr>
        <w:pStyle w:val="SingleTxt"/>
        <w:rPr>
          <w:lang w:val="fr-FR"/>
        </w:rPr>
      </w:pPr>
      <w:r w:rsidRPr="00940485">
        <w:rPr>
          <w:lang w:val="fr-FR"/>
        </w:rPr>
        <w:t xml:space="preserve">3.10.5 </w:t>
      </w:r>
      <w:r w:rsidR="002B0972">
        <w:rPr>
          <w:lang w:val="fr-FR"/>
        </w:rPr>
        <w:t xml:space="preserve"> </w:t>
      </w:r>
      <w:r w:rsidRPr="00940485">
        <w:rPr>
          <w:lang w:val="fr-FR"/>
        </w:rPr>
        <w:t>Dans l</w:t>
      </w:r>
      <w:r w:rsidR="000A3D87">
        <w:rPr>
          <w:lang w:val="fr-FR"/>
        </w:rPr>
        <w:t>’</w:t>
      </w:r>
      <w:r w:rsidRPr="00940485">
        <w:rPr>
          <w:lang w:val="fr-FR"/>
        </w:rPr>
        <w:t>ensemble, la prévalence du VIH a été de 4,4 % avec un intervalle de confiance de 95 %), soit une fourchette de 4,2 – 4,6. L</w:t>
      </w:r>
      <w:r w:rsidR="000A3D87">
        <w:rPr>
          <w:lang w:val="fr-FR"/>
        </w:rPr>
        <w:t>’</w:t>
      </w:r>
      <w:r w:rsidRPr="00940485">
        <w:rPr>
          <w:lang w:val="fr-FR"/>
        </w:rPr>
        <w:t>État de la Bénoué dans la zone Nord centrale avait le taux de prévalence le plus élevé parmi les États, à 10 %, alors que l</w:t>
      </w:r>
      <w:r w:rsidR="000A3D87">
        <w:rPr>
          <w:lang w:val="fr-FR"/>
        </w:rPr>
        <w:t>’</w:t>
      </w:r>
      <w:r w:rsidRPr="00940485">
        <w:rPr>
          <w:lang w:val="fr-FR"/>
        </w:rPr>
        <w:t>État d</w:t>
      </w:r>
      <w:r w:rsidR="000A3D87">
        <w:rPr>
          <w:lang w:val="fr-FR"/>
        </w:rPr>
        <w:t>’</w:t>
      </w:r>
      <w:r w:rsidRPr="00940485">
        <w:rPr>
          <w:lang w:val="fr-FR"/>
        </w:rPr>
        <w:t>Ekiti dans le Sud-ouest, avait le taux le moins élevé, à 1,6 %. D</w:t>
      </w:r>
      <w:r w:rsidR="000A3D87">
        <w:rPr>
          <w:lang w:val="fr-FR"/>
        </w:rPr>
        <w:t>’</w:t>
      </w:r>
      <w:r w:rsidRPr="00940485">
        <w:rPr>
          <w:lang w:val="fr-FR"/>
        </w:rPr>
        <w:t>une manière générale, le taux de</w:t>
      </w:r>
      <w:r>
        <w:rPr>
          <w:lang w:val="fr-FR"/>
        </w:rPr>
        <w:t xml:space="preserve"> </w:t>
      </w:r>
      <w:r w:rsidRPr="00940485">
        <w:rPr>
          <w:lang w:val="fr-FR"/>
        </w:rPr>
        <w:t>prévalence du VIH était plus élevé en milieu urbain (4,6 %) que dans les zones rurales (3,9 %). Cette remarque ne se vérifie cependant pas de manière systématique à travers les États. Le taux de prévalence le plus élevé pour un site (14,7 %) a été enregistré à Iquita-Oron, un site rural dans l</w:t>
      </w:r>
      <w:r w:rsidR="000A3D87">
        <w:rPr>
          <w:lang w:val="fr-FR"/>
        </w:rPr>
        <w:t>’</w:t>
      </w:r>
      <w:r w:rsidRPr="00940485">
        <w:rPr>
          <w:lang w:val="fr-FR"/>
        </w:rPr>
        <w:t>État de Akwa-Ibom. La prévalence générale pour la syphilis est de 1,5 %, s</w:t>
      </w:r>
      <w:r w:rsidR="000A3D87">
        <w:rPr>
          <w:lang w:val="fr-FR"/>
        </w:rPr>
        <w:t>’</w:t>
      </w:r>
      <w:r w:rsidRPr="00940485">
        <w:rPr>
          <w:lang w:val="fr-FR"/>
        </w:rPr>
        <w:t>échelonnant entre 0,0 % dans l</w:t>
      </w:r>
      <w:r w:rsidR="000A3D87">
        <w:rPr>
          <w:lang w:val="fr-FR"/>
        </w:rPr>
        <w:t>’</w:t>
      </w:r>
      <w:r w:rsidRPr="00940485">
        <w:rPr>
          <w:lang w:val="fr-FR"/>
        </w:rPr>
        <w:t xml:space="preserve">État de Abia à 7,6 % dans celui de Rivers. </w:t>
      </w:r>
    </w:p>
    <w:p w:rsidR="0025170B" w:rsidRPr="0025170B" w:rsidRDefault="002B0972" w:rsidP="0025170B">
      <w:pPr>
        <w:pStyle w:val="SingleTxt"/>
        <w:spacing w:after="0" w:line="240" w:lineRule="auto"/>
        <w:jc w:val="left"/>
        <w:rPr>
          <w:lang w:val="fr-FR"/>
        </w:rPr>
      </w:pPr>
      <w:r>
        <w:rPr>
          <w:lang w:val="fr-FR"/>
        </w:rPr>
        <w:br w:type="page"/>
      </w:r>
      <w:r w:rsidR="0025170B" w:rsidRPr="0025170B">
        <w:rPr>
          <w:lang w:val="fr-FR"/>
        </w:rPr>
        <w:t>Figure 3.2</w:t>
      </w:r>
      <w:r w:rsidR="0025170B">
        <w:rPr>
          <w:lang w:val="fr-FR"/>
        </w:rPr>
        <w:br/>
      </w:r>
      <w:r w:rsidR="0025170B" w:rsidRPr="0025170B">
        <w:rPr>
          <w:b/>
          <w:lang w:val="fr-FR"/>
        </w:rPr>
        <w:t>Répartition géographique de la prévalence du VIH par région (HSS 2005)</w:t>
      </w:r>
    </w:p>
    <w:p w:rsidR="0025170B" w:rsidRDefault="0025170B" w:rsidP="0025170B">
      <w:pPr>
        <w:pStyle w:val="SingleTxt"/>
        <w:spacing w:after="0" w:line="240" w:lineRule="auto"/>
        <w:rPr>
          <w:lang w:val="fr-FR"/>
        </w:rPr>
      </w:pPr>
    </w:p>
    <w:p w:rsidR="0025170B" w:rsidRDefault="00D6669E" w:rsidP="0025170B">
      <w:pPr>
        <w:pStyle w:val="SingleTxt"/>
        <w:spacing w:after="0" w:line="240" w:lineRule="auto"/>
        <w:rPr>
          <w:lang w:val="fr-FR"/>
        </w:rPr>
      </w:pPr>
      <w:r w:rsidRPr="005D6CD4">
        <w:rPr>
          <w:b/>
          <w:sz w:val="24"/>
          <w:szCs w:val="24"/>
          <w:lang w:val="fr-FR"/>
        </w:rPr>
        <w:object w:dxaOrig="8838" w:dyaOrig="6629">
          <v:shape id="_x0000_i1027" type="#_x0000_t75" style="width:297pt;height:279.75pt" o:ole="">
            <v:imagedata r:id="rId20" o:title=""/>
          </v:shape>
          <o:OLEObject Type="Embed" ProgID="PowerPoint.Template.8" ShapeID="_x0000_i1027" DrawAspect="Content" ObjectID="_1386037416" r:id="rId21"/>
        </w:object>
      </w:r>
    </w:p>
    <w:p w:rsidR="0025170B" w:rsidRDefault="0025170B" w:rsidP="0025170B">
      <w:pPr>
        <w:pStyle w:val="SingleTxt"/>
        <w:spacing w:after="0" w:line="240" w:lineRule="auto"/>
        <w:rPr>
          <w:lang w:val="fr-FR"/>
        </w:rPr>
      </w:pPr>
    </w:p>
    <w:p w:rsidR="0025170B" w:rsidRDefault="0025170B" w:rsidP="0025170B">
      <w:pPr>
        <w:pStyle w:val="SingleTxt"/>
        <w:spacing w:after="0" w:line="240" w:lineRule="auto"/>
        <w:rPr>
          <w:lang w:val="fr-FR"/>
        </w:rPr>
      </w:pPr>
    </w:p>
    <w:p w:rsidR="0025170B" w:rsidRPr="00D6669E" w:rsidRDefault="00D6669E" w:rsidP="00D6669E">
      <w:pPr>
        <w:pStyle w:val="SingleTxt"/>
        <w:spacing w:after="0" w:line="240" w:lineRule="auto"/>
        <w:jc w:val="left"/>
        <w:rPr>
          <w:lang w:val="fr-FR"/>
        </w:rPr>
      </w:pPr>
      <w:r w:rsidRPr="00D6669E">
        <w:rPr>
          <w:lang w:val="fr-FR"/>
        </w:rPr>
        <w:t>Tableau 3.4</w:t>
      </w:r>
      <w:r>
        <w:rPr>
          <w:lang w:val="fr-FR"/>
        </w:rPr>
        <w:br/>
      </w:r>
      <w:r w:rsidRPr="00D6669E">
        <w:rPr>
          <w:b/>
          <w:lang w:val="fr-FR"/>
        </w:rPr>
        <w:t>Prévalence du VIH selon le statut matrimonial (HSS 2005)</w:t>
      </w:r>
    </w:p>
    <w:p w:rsidR="00D6669E" w:rsidRPr="00D6669E" w:rsidRDefault="00D6669E" w:rsidP="00D6669E">
      <w:pPr>
        <w:pStyle w:val="SingleTxt"/>
        <w:spacing w:after="0" w:line="120" w:lineRule="exact"/>
        <w:rPr>
          <w:sz w:val="10"/>
          <w:lang w:val="fr-FR"/>
        </w:rPr>
      </w:pPr>
    </w:p>
    <w:tbl>
      <w:tblPr>
        <w:tblW w:w="0" w:type="auto"/>
        <w:tblInd w:w="1260" w:type="dxa"/>
        <w:tblLayout w:type="fixed"/>
        <w:tblCellMar>
          <w:left w:w="0" w:type="dxa"/>
          <w:right w:w="0" w:type="dxa"/>
        </w:tblCellMar>
        <w:tblLook w:val="0000"/>
      </w:tblPr>
      <w:tblGrid>
        <w:gridCol w:w="1464"/>
        <w:gridCol w:w="1464"/>
        <w:gridCol w:w="1464"/>
        <w:gridCol w:w="1464"/>
        <w:gridCol w:w="1464"/>
      </w:tblGrid>
      <w:tr w:rsidR="00D6669E" w:rsidRPr="00D6669E">
        <w:tblPrEx>
          <w:tblCellMar>
            <w:top w:w="0" w:type="dxa"/>
            <w:bottom w:w="0" w:type="dxa"/>
          </w:tblCellMar>
        </w:tblPrEx>
        <w:trPr>
          <w:tblHeader/>
        </w:trPr>
        <w:tc>
          <w:tcPr>
            <w:tcW w:w="1464" w:type="dxa"/>
            <w:tcBorders>
              <w:top w:val="single" w:sz="4" w:space="0" w:color="auto"/>
              <w:bottom w:val="single" w:sz="12" w:space="0" w:color="auto"/>
            </w:tcBorders>
            <w:shd w:val="clear" w:color="auto" w:fill="auto"/>
            <w:vAlign w:val="bottom"/>
          </w:tcPr>
          <w:p w:rsidR="00D6669E" w:rsidRPr="00D6669E" w:rsidRDefault="00D6669E" w:rsidP="00D6669E">
            <w:pPr>
              <w:spacing w:before="80" w:after="80" w:line="160" w:lineRule="exact"/>
              <w:rPr>
                <w:i/>
                <w:sz w:val="14"/>
                <w:szCs w:val="14"/>
                <w:lang w:val="fr-FR"/>
              </w:rPr>
            </w:pPr>
            <w:r w:rsidRPr="00D6669E">
              <w:rPr>
                <w:i/>
                <w:sz w:val="14"/>
                <w:szCs w:val="14"/>
                <w:lang w:val="fr-FR"/>
              </w:rPr>
              <w:t>Situation maritale</w:t>
            </w:r>
          </w:p>
        </w:tc>
        <w:tc>
          <w:tcPr>
            <w:tcW w:w="1464" w:type="dxa"/>
            <w:tcBorders>
              <w:top w:val="single" w:sz="4" w:space="0" w:color="auto"/>
              <w:bottom w:val="single" w:sz="12" w:space="0" w:color="auto"/>
            </w:tcBorders>
            <w:shd w:val="clear" w:color="auto" w:fill="auto"/>
            <w:vAlign w:val="bottom"/>
          </w:tcPr>
          <w:p w:rsidR="00D6669E" w:rsidRPr="00D6669E" w:rsidRDefault="00D6669E" w:rsidP="00D6669E">
            <w:pPr>
              <w:spacing w:before="80" w:after="80" w:line="160" w:lineRule="exact"/>
              <w:jc w:val="right"/>
              <w:rPr>
                <w:i/>
                <w:sz w:val="14"/>
                <w:szCs w:val="14"/>
                <w:lang w:val="fr-FR"/>
              </w:rPr>
            </w:pPr>
            <w:r w:rsidRPr="00D6669E">
              <w:rPr>
                <w:i/>
                <w:sz w:val="14"/>
                <w:szCs w:val="14"/>
                <w:lang w:val="fr-FR"/>
              </w:rPr>
              <w:t>Taille de l</w:t>
            </w:r>
            <w:r w:rsidR="000A3D87">
              <w:rPr>
                <w:i/>
                <w:sz w:val="14"/>
                <w:szCs w:val="14"/>
                <w:lang w:val="fr-FR"/>
              </w:rPr>
              <w:t>’</w:t>
            </w:r>
            <w:r w:rsidRPr="00D6669E">
              <w:rPr>
                <w:i/>
                <w:sz w:val="14"/>
                <w:szCs w:val="14"/>
                <w:lang w:val="fr-FR"/>
              </w:rPr>
              <w:t>échantillon</w:t>
            </w:r>
          </w:p>
        </w:tc>
        <w:tc>
          <w:tcPr>
            <w:tcW w:w="1464" w:type="dxa"/>
            <w:tcBorders>
              <w:top w:val="single" w:sz="4" w:space="0" w:color="auto"/>
              <w:bottom w:val="single" w:sz="12" w:space="0" w:color="auto"/>
            </w:tcBorders>
            <w:shd w:val="clear" w:color="auto" w:fill="auto"/>
            <w:vAlign w:val="bottom"/>
          </w:tcPr>
          <w:p w:rsidR="00D6669E" w:rsidRPr="00D6669E" w:rsidRDefault="00D6669E" w:rsidP="00D6669E">
            <w:pPr>
              <w:spacing w:before="80" w:after="80" w:line="160" w:lineRule="exact"/>
              <w:jc w:val="right"/>
              <w:rPr>
                <w:i/>
                <w:sz w:val="14"/>
                <w:szCs w:val="14"/>
                <w:lang w:val="fr-FR"/>
              </w:rPr>
            </w:pPr>
            <w:r w:rsidRPr="00D6669E">
              <w:rPr>
                <w:i/>
                <w:sz w:val="14"/>
                <w:szCs w:val="14"/>
                <w:lang w:val="fr-FR"/>
              </w:rPr>
              <w:t>Nombre de positifs</w:t>
            </w:r>
          </w:p>
        </w:tc>
        <w:tc>
          <w:tcPr>
            <w:tcW w:w="1464" w:type="dxa"/>
            <w:tcBorders>
              <w:top w:val="single" w:sz="4" w:space="0" w:color="auto"/>
              <w:bottom w:val="single" w:sz="12" w:space="0" w:color="auto"/>
            </w:tcBorders>
            <w:shd w:val="clear" w:color="auto" w:fill="auto"/>
          </w:tcPr>
          <w:p w:rsidR="00D6669E" w:rsidRPr="00D6669E" w:rsidRDefault="00D6669E" w:rsidP="00D6669E">
            <w:pPr>
              <w:spacing w:before="80" w:after="80" w:line="160" w:lineRule="exact"/>
              <w:jc w:val="right"/>
              <w:rPr>
                <w:i/>
                <w:sz w:val="14"/>
                <w:szCs w:val="14"/>
                <w:lang w:val="fr-FR"/>
              </w:rPr>
            </w:pPr>
            <w:r w:rsidRPr="00D6669E">
              <w:rPr>
                <w:i/>
                <w:sz w:val="14"/>
                <w:szCs w:val="14"/>
                <w:lang w:val="fr-FR"/>
              </w:rPr>
              <w:t>Prévalence (%)</w:t>
            </w:r>
          </w:p>
        </w:tc>
        <w:tc>
          <w:tcPr>
            <w:tcW w:w="1464" w:type="dxa"/>
            <w:tcBorders>
              <w:top w:val="single" w:sz="4" w:space="0" w:color="auto"/>
              <w:bottom w:val="single" w:sz="12" w:space="0" w:color="auto"/>
            </w:tcBorders>
            <w:shd w:val="clear" w:color="auto" w:fill="auto"/>
          </w:tcPr>
          <w:p w:rsidR="00D6669E" w:rsidRPr="00D6669E" w:rsidRDefault="00D6669E" w:rsidP="00D6669E">
            <w:pPr>
              <w:spacing w:before="80" w:after="80" w:line="160" w:lineRule="exact"/>
              <w:jc w:val="right"/>
              <w:rPr>
                <w:i/>
                <w:sz w:val="14"/>
                <w:szCs w:val="14"/>
                <w:lang w:val="fr-FR"/>
              </w:rPr>
            </w:pPr>
            <w:r w:rsidRPr="00D6669E">
              <w:rPr>
                <w:i/>
                <w:sz w:val="14"/>
                <w:szCs w:val="14"/>
                <w:lang w:val="fr-FR"/>
              </w:rPr>
              <w:t>Intervalle de confiance</w:t>
            </w:r>
          </w:p>
        </w:tc>
      </w:tr>
      <w:tr w:rsidR="00D6669E" w:rsidRPr="00D6669E">
        <w:tblPrEx>
          <w:tblCellMar>
            <w:top w:w="0" w:type="dxa"/>
            <w:bottom w:w="0" w:type="dxa"/>
          </w:tblCellMar>
        </w:tblPrEx>
        <w:trPr>
          <w:trHeight w:hRule="exact" w:val="115"/>
          <w:tblHeader/>
        </w:trPr>
        <w:tc>
          <w:tcPr>
            <w:tcW w:w="1464" w:type="dxa"/>
            <w:tcBorders>
              <w:top w:val="single" w:sz="12" w:space="0" w:color="auto"/>
            </w:tcBorders>
            <w:shd w:val="clear" w:color="auto" w:fill="auto"/>
            <w:vAlign w:val="bottom"/>
          </w:tcPr>
          <w:p w:rsidR="00D6669E" w:rsidRPr="00D6669E" w:rsidRDefault="00D6669E" w:rsidP="00D6669E">
            <w:pPr>
              <w:tabs>
                <w:tab w:val="left" w:pos="288"/>
                <w:tab w:val="left" w:pos="576"/>
                <w:tab w:val="left" w:pos="864"/>
                <w:tab w:val="left" w:pos="1152"/>
              </w:tabs>
              <w:suppressAutoHyphens/>
              <w:spacing w:before="40" w:after="40" w:line="210" w:lineRule="exact"/>
              <w:ind w:right="43"/>
              <w:rPr>
                <w:sz w:val="17"/>
                <w:lang w:val="fr-FR"/>
              </w:rPr>
            </w:pPr>
          </w:p>
        </w:tc>
        <w:tc>
          <w:tcPr>
            <w:tcW w:w="1464" w:type="dxa"/>
            <w:tcBorders>
              <w:top w:val="single" w:sz="12" w:space="0" w:color="auto"/>
            </w:tcBorders>
            <w:shd w:val="clear" w:color="auto" w:fill="auto"/>
            <w:vAlign w:val="bottom"/>
          </w:tcPr>
          <w:p w:rsidR="00D6669E" w:rsidRPr="00D6669E" w:rsidRDefault="00D6669E" w:rsidP="00D6669E">
            <w:pPr>
              <w:tabs>
                <w:tab w:val="left" w:pos="288"/>
                <w:tab w:val="left" w:pos="576"/>
                <w:tab w:val="left" w:pos="864"/>
                <w:tab w:val="left" w:pos="1152"/>
              </w:tabs>
              <w:suppressAutoHyphens/>
              <w:spacing w:before="40" w:after="40" w:line="210" w:lineRule="exact"/>
              <w:ind w:right="43"/>
              <w:jc w:val="right"/>
              <w:rPr>
                <w:sz w:val="17"/>
                <w:lang w:val="fr-FR"/>
              </w:rPr>
            </w:pPr>
          </w:p>
        </w:tc>
        <w:tc>
          <w:tcPr>
            <w:tcW w:w="1464" w:type="dxa"/>
            <w:tcBorders>
              <w:top w:val="single" w:sz="12" w:space="0" w:color="auto"/>
            </w:tcBorders>
            <w:shd w:val="clear" w:color="auto" w:fill="auto"/>
            <w:vAlign w:val="bottom"/>
          </w:tcPr>
          <w:p w:rsidR="00D6669E" w:rsidRPr="00D6669E" w:rsidRDefault="00D6669E" w:rsidP="00D6669E">
            <w:pPr>
              <w:tabs>
                <w:tab w:val="left" w:pos="288"/>
                <w:tab w:val="left" w:pos="576"/>
                <w:tab w:val="left" w:pos="864"/>
                <w:tab w:val="left" w:pos="1152"/>
              </w:tabs>
              <w:suppressAutoHyphens/>
              <w:spacing w:before="40" w:after="40" w:line="210" w:lineRule="exact"/>
              <w:ind w:right="43"/>
              <w:jc w:val="right"/>
              <w:rPr>
                <w:sz w:val="17"/>
                <w:lang w:val="fr-FR"/>
              </w:rPr>
            </w:pPr>
          </w:p>
        </w:tc>
        <w:tc>
          <w:tcPr>
            <w:tcW w:w="1464" w:type="dxa"/>
            <w:tcBorders>
              <w:top w:val="single" w:sz="12" w:space="0" w:color="auto"/>
            </w:tcBorders>
            <w:shd w:val="clear" w:color="auto" w:fill="auto"/>
            <w:vAlign w:val="bottom"/>
          </w:tcPr>
          <w:p w:rsidR="00D6669E" w:rsidRPr="00D6669E" w:rsidRDefault="00D6669E" w:rsidP="00D6669E">
            <w:pPr>
              <w:tabs>
                <w:tab w:val="left" w:pos="288"/>
                <w:tab w:val="left" w:pos="576"/>
                <w:tab w:val="left" w:pos="864"/>
                <w:tab w:val="left" w:pos="1152"/>
              </w:tabs>
              <w:suppressAutoHyphens/>
              <w:spacing w:before="40" w:after="40" w:line="210" w:lineRule="exact"/>
              <w:ind w:right="43"/>
              <w:jc w:val="right"/>
              <w:rPr>
                <w:sz w:val="17"/>
                <w:lang w:val="fr-FR"/>
              </w:rPr>
            </w:pPr>
          </w:p>
        </w:tc>
        <w:tc>
          <w:tcPr>
            <w:tcW w:w="1464" w:type="dxa"/>
            <w:tcBorders>
              <w:top w:val="single" w:sz="12" w:space="0" w:color="auto"/>
            </w:tcBorders>
            <w:shd w:val="clear" w:color="auto" w:fill="auto"/>
            <w:vAlign w:val="bottom"/>
          </w:tcPr>
          <w:p w:rsidR="00D6669E" w:rsidRPr="00D6669E" w:rsidRDefault="00D6669E" w:rsidP="00D6669E">
            <w:pPr>
              <w:tabs>
                <w:tab w:val="left" w:pos="288"/>
                <w:tab w:val="left" w:pos="576"/>
                <w:tab w:val="left" w:pos="864"/>
                <w:tab w:val="left" w:pos="1152"/>
              </w:tabs>
              <w:suppressAutoHyphens/>
              <w:spacing w:before="40" w:after="40" w:line="210" w:lineRule="exact"/>
              <w:ind w:right="43"/>
              <w:jc w:val="right"/>
              <w:rPr>
                <w:sz w:val="17"/>
                <w:lang w:val="fr-FR"/>
              </w:rPr>
            </w:pPr>
          </w:p>
        </w:tc>
      </w:tr>
      <w:tr w:rsidR="00D6669E" w:rsidRPr="00D6669E">
        <w:tblPrEx>
          <w:tblCellMar>
            <w:top w:w="0" w:type="dxa"/>
            <w:bottom w:w="0" w:type="dxa"/>
          </w:tblCellMar>
        </w:tblPrEx>
        <w:tc>
          <w:tcPr>
            <w:tcW w:w="1464" w:type="dxa"/>
            <w:shd w:val="clear" w:color="auto" w:fill="auto"/>
            <w:vAlign w:val="bottom"/>
          </w:tcPr>
          <w:p w:rsidR="00D6669E" w:rsidRPr="00D6669E" w:rsidRDefault="00D6669E" w:rsidP="00D6669E">
            <w:pPr>
              <w:spacing w:before="40" w:after="40" w:line="210" w:lineRule="exact"/>
              <w:ind w:right="43"/>
              <w:rPr>
                <w:sz w:val="17"/>
                <w:szCs w:val="17"/>
                <w:lang w:val="fr-FR"/>
              </w:rPr>
            </w:pPr>
            <w:r w:rsidRPr="00D6669E">
              <w:rPr>
                <w:sz w:val="17"/>
                <w:szCs w:val="17"/>
                <w:lang w:val="fr-FR"/>
              </w:rPr>
              <w:t>Célibataires</w:t>
            </w:r>
          </w:p>
        </w:tc>
        <w:tc>
          <w:tcPr>
            <w:tcW w:w="1464" w:type="dxa"/>
            <w:shd w:val="clear" w:color="auto" w:fill="auto"/>
            <w:vAlign w:val="bottom"/>
          </w:tcPr>
          <w:p w:rsidR="00D6669E" w:rsidRPr="00D6669E" w:rsidRDefault="00D6669E" w:rsidP="00D6669E">
            <w:pPr>
              <w:spacing w:before="40" w:after="40" w:line="210" w:lineRule="exact"/>
              <w:ind w:right="43"/>
              <w:jc w:val="right"/>
              <w:rPr>
                <w:sz w:val="17"/>
                <w:szCs w:val="17"/>
                <w:lang w:val="fr-FR"/>
              </w:rPr>
            </w:pPr>
            <w:r w:rsidRPr="00D6669E">
              <w:rPr>
                <w:sz w:val="17"/>
                <w:szCs w:val="17"/>
                <w:lang w:val="fr-FR"/>
              </w:rPr>
              <w:t>1 648</w:t>
            </w:r>
          </w:p>
        </w:tc>
        <w:tc>
          <w:tcPr>
            <w:tcW w:w="1464" w:type="dxa"/>
            <w:shd w:val="clear" w:color="auto" w:fill="auto"/>
            <w:vAlign w:val="bottom"/>
          </w:tcPr>
          <w:p w:rsidR="00D6669E" w:rsidRPr="00D6669E" w:rsidRDefault="00D6669E" w:rsidP="00D6669E">
            <w:pPr>
              <w:spacing w:before="40" w:after="40" w:line="210" w:lineRule="exact"/>
              <w:ind w:right="43"/>
              <w:jc w:val="right"/>
              <w:rPr>
                <w:sz w:val="17"/>
                <w:szCs w:val="17"/>
                <w:lang w:val="fr-FR"/>
              </w:rPr>
            </w:pPr>
            <w:r w:rsidRPr="00D6669E">
              <w:rPr>
                <w:sz w:val="17"/>
                <w:szCs w:val="17"/>
                <w:lang w:val="fr-FR"/>
              </w:rPr>
              <w:t>79</w:t>
            </w:r>
          </w:p>
        </w:tc>
        <w:tc>
          <w:tcPr>
            <w:tcW w:w="1464" w:type="dxa"/>
            <w:shd w:val="clear" w:color="auto" w:fill="auto"/>
          </w:tcPr>
          <w:p w:rsidR="00D6669E" w:rsidRPr="00D6669E" w:rsidRDefault="00D6669E" w:rsidP="00D6669E">
            <w:pPr>
              <w:spacing w:before="40" w:after="40" w:line="210" w:lineRule="exact"/>
              <w:ind w:right="43"/>
              <w:jc w:val="right"/>
              <w:rPr>
                <w:sz w:val="17"/>
                <w:szCs w:val="17"/>
                <w:lang w:val="fr-FR"/>
              </w:rPr>
            </w:pPr>
            <w:r w:rsidRPr="00D6669E">
              <w:rPr>
                <w:sz w:val="17"/>
                <w:szCs w:val="17"/>
                <w:lang w:val="fr-FR"/>
              </w:rPr>
              <w:t>4,8</w:t>
            </w:r>
          </w:p>
        </w:tc>
        <w:tc>
          <w:tcPr>
            <w:tcW w:w="1464" w:type="dxa"/>
            <w:shd w:val="clear" w:color="auto" w:fill="auto"/>
          </w:tcPr>
          <w:p w:rsidR="00D6669E" w:rsidRPr="00D6669E" w:rsidRDefault="00D6669E" w:rsidP="00D6669E">
            <w:pPr>
              <w:spacing w:before="40" w:after="40" w:line="210" w:lineRule="exact"/>
              <w:ind w:right="43"/>
              <w:jc w:val="right"/>
              <w:rPr>
                <w:sz w:val="17"/>
                <w:szCs w:val="17"/>
                <w:lang w:val="fr-FR"/>
              </w:rPr>
            </w:pPr>
            <w:r w:rsidRPr="00D6669E">
              <w:rPr>
                <w:sz w:val="17"/>
                <w:szCs w:val="17"/>
                <w:lang w:val="fr-FR"/>
              </w:rPr>
              <w:t>3,8-6,0</w:t>
            </w:r>
          </w:p>
        </w:tc>
      </w:tr>
      <w:tr w:rsidR="00D6669E" w:rsidRPr="00D6669E">
        <w:tblPrEx>
          <w:tblCellMar>
            <w:top w:w="0" w:type="dxa"/>
            <w:bottom w:w="0" w:type="dxa"/>
          </w:tblCellMar>
        </w:tblPrEx>
        <w:tc>
          <w:tcPr>
            <w:tcW w:w="1464" w:type="dxa"/>
            <w:shd w:val="clear" w:color="auto" w:fill="auto"/>
            <w:vAlign w:val="bottom"/>
          </w:tcPr>
          <w:p w:rsidR="00D6669E" w:rsidRPr="00D6669E" w:rsidRDefault="00D6669E" w:rsidP="00D6669E">
            <w:pPr>
              <w:spacing w:before="40" w:after="40" w:line="210" w:lineRule="exact"/>
              <w:ind w:right="43"/>
              <w:rPr>
                <w:sz w:val="17"/>
                <w:szCs w:val="17"/>
                <w:lang w:val="fr-FR"/>
              </w:rPr>
            </w:pPr>
            <w:r w:rsidRPr="00D6669E">
              <w:rPr>
                <w:sz w:val="17"/>
                <w:szCs w:val="17"/>
                <w:lang w:val="fr-FR"/>
              </w:rPr>
              <w:t>Mariés</w:t>
            </w:r>
          </w:p>
        </w:tc>
        <w:tc>
          <w:tcPr>
            <w:tcW w:w="1464" w:type="dxa"/>
            <w:shd w:val="clear" w:color="auto" w:fill="auto"/>
            <w:vAlign w:val="bottom"/>
          </w:tcPr>
          <w:p w:rsidR="00D6669E" w:rsidRPr="00D6669E" w:rsidRDefault="00D6669E" w:rsidP="00D6669E">
            <w:pPr>
              <w:spacing w:before="40" w:after="40" w:line="210" w:lineRule="exact"/>
              <w:ind w:right="43"/>
              <w:jc w:val="right"/>
              <w:rPr>
                <w:sz w:val="17"/>
                <w:szCs w:val="17"/>
                <w:lang w:val="fr-FR"/>
              </w:rPr>
            </w:pPr>
            <w:r w:rsidRPr="00D6669E">
              <w:rPr>
                <w:sz w:val="17"/>
                <w:szCs w:val="17"/>
                <w:lang w:val="fr-FR"/>
              </w:rPr>
              <w:t>35 074</w:t>
            </w:r>
          </w:p>
        </w:tc>
        <w:tc>
          <w:tcPr>
            <w:tcW w:w="1464" w:type="dxa"/>
            <w:shd w:val="clear" w:color="auto" w:fill="auto"/>
            <w:vAlign w:val="bottom"/>
          </w:tcPr>
          <w:p w:rsidR="00D6669E" w:rsidRPr="00D6669E" w:rsidRDefault="00D6669E" w:rsidP="00D6669E">
            <w:pPr>
              <w:spacing w:before="40" w:after="40" w:line="210" w:lineRule="exact"/>
              <w:ind w:right="43"/>
              <w:jc w:val="right"/>
              <w:rPr>
                <w:sz w:val="17"/>
                <w:szCs w:val="17"/>
                <w:lang w:val="fr-FR"/>
              </w:rPr>
            </w:pPr>
            <w:r w:rsidRPr="00D6669E">
              <w:rPr>
                <w:sz w:val="17"/>
                <w:szCs w:val="17"/>
                <w:lang w:val="fr-FR"/>
              </w:rPr>
              <w:t>1 528</w:t>
            </w:r>
          </w:p>
        </w:tc>
        <w:tc>
          <w:tcPr>
            <w:tcW w:w="1464" w:type="dxa"/>
            <w:shd w:val="clear" w:color="auto" w:fill="auto"/>
          </w:tcPr>
          <w:p w:rsidR="00D6669E" w:rsidRPr="00D6669E" w:rsidRDefault="00D6669E" w:rsidP="00D6669E">
            <w:pPr>
              <w:spacing w:before="40" w:after="40" w:line="210" w:lineRule="exact"/>
              <w:ind w:right="43"/>
              <w:jc w:val="right"/>
              <w:rPr>
                <w:sz w:val="17"/>
                <w:szCs w:val="17"/>
                <w:lang w:val="fr-FR"/>
              </w:rPr>
            </w:pPr>
            <w:r w:rsidRPr="00D6669E">
              <w:rPr>
                <w:sz w:val="17"/>
                <w:szCs w:val="17"/>
                <w:lang w:val="fr-FR"/>
              </w:rPr>
              <w:t>4,4</w:t>
            </w:r>
          </w:p>
        </w:tc>
        <w:tc>
          <w:tcPr>
            <w:tcW w:w="1464" w:type="dxa"/>
            <w:shd w:val="clear" w:color="auto" w:fill="auto"/>
          </w:tcPr>
          <w:p w:rsidR="00D6669E" w:rsidRPr="00D6669E" w:rsidRDefault="00D6669E" w:rsidP="00D6669E">
            <w:pPr>
              <w:spacing w:before="40" w:after="40" w:line="210" w:lineRule="exact"/>
              <w:ind w:right="43"/>
              <w:jc w:val="right"/>
              <w:rPr>
                <w:sz w:val="17"/>
                <w:szCs w:val="17"/>
                <w:lang w:val="fr-FR"/>
              </w:rPr>
            </w:pPr>
            <w:r w:rsidRPr="00D6669E">
              <w:rPr>
                <w:sz w:val="17"/>
                <w:szCs w:val="17"/>
                <w:lang w:val="fr-FR"/>
              </w:rPr>
              <w:t>4,1-4,6</w:t>
            </w:r>
          </w:p>
        </w:tc>
      </w:tr>
      <w:tr w:rsidR="00D6669E" w:rsidRPr="00D6669E">
        <w:tblPrEx>
          <w:tblCellMar>
            <w:top w:w="0" w:type="dxa"/>
            <w:bottom w:w="0" w:type="dxa"/>
          </w:tblCellMar>
        </w:tblPrEx>
        <w:tc>
          <w:tcPr>
            <w:tcW w:w="1464" w:type="dxa"/>
            <w:shd w:val="clear" w:color="auto" w:fill="auto"/>
            <w:vAlign w:val="bottom"/>
          </w:tcPr>
          <w:p w:rsidR="00D6669E" w:rsidRPr="00D6669E" w:rsidRDefault="00D6669E" w:rsidP="00D6669E">
            <w:pPr>
              <w:spacing w:before="40" w:after="40" w:line="210" w:lineRule="exact"/>
              <w:ind w:right="43"/>
              <w:rPr>
                <w:sz w:val="17"/>
                <w:szCs w:val="17"/>
                <w:lang w:val="fr-FR"/>
              </w:rPr>
            </w:pPr>
            <w:r w:rsidRPr="00D6669E">
              <w:rPr>
                <w:sz w:val="17"/>
                <w:szCs w:val="17"/>
                <w:lang w:val="fr-FR"/>
              </w:rPr>
              <w:t>Autres</w:t>
            </w:r>
          </w:p>
        </w:tc>
        <w:tc>
          <w:tcPr>
            <w:tcW w:w="1464" w:type="dxa"/>
            <w:shd w:val="clear" w:color="auto" w:fill="auto"/>
            <w:vAlign w:val="bottom"/>
          </w:tcPr>
          <w:p w:rsidR="00D6669E" w:rsidRPr="00D6669E" w:rsidRDefault="00D6669E" w:rsidP="00D6669E">
            <w:pPr>
              <w:spacing w:before="40" w:after="40" w:line="210" w:lineRule="exact"/>
              <w:ind w:right="43"/>
              <w:jc w:val="right"/>
              <w:rPr>
                <w:sz w:val="17"/>
                <w:szCs w:val="17"/>
                <w:lang w:val="fr-FR"/>
              </w:rPr>
            </w:pPr>
            <w:r w:rsidRPr="00D6669E">
              <w:rPr>
                <w:sz w:val="17"/>
                <w:szCs w:val="17"/>
                <w:lang w:val="fr-FR"/>
              </w:rPr>
              <w:t>182</w:t>
            </w:r>
          </w:p>
        </w:tc>
        <w:tc>
          <w:tcPr>
            <w:tcW w:w="1464" w:type="dxa"/>
            <w:shd w:val="clear" w:color="auto" w:fill="auto"/>
            <w:vAlign w:val="bottom"/>
          </w:tcPr>
          <w:p w:rsidR="00D6669E" w:rsidRPr="00D6669E" w:rsidRDefault="00D6669E" w:rsidP="00D6669E">
            <w:pPr>
              <w:spacing w:before="40" w:after="40" w:line="210" w:lineRule="exact"/>
              <w:ind w:right="43"/>
              <w:jc w:val="right"/>
              <w:rPr>
                <w:sz w:val="17"/>
                <w:szCs w:val="17"/>
                <w:lang w:val="fr-FR"/>
              </w:rPr>
            </w:pPr>
            <w:r w:rsidRPr="00D6669E">
              <w:rPr>
                <w:sz w:val="17"/>
                <w:szCs w:val="17"/>
                <w:lang w:val="fr-FR"/>
              </w:rPr>
              <w:t>16</w:t>
            </w:r>
          </w:p>
        </w:tc>
        <w:tc>
          <w:tcPr>
            <w:tcW w:w="1464" w:type="dxa"/>
            <w:shd w:val="clear" w:color="auto" w:fill="auto"/>
            <w:vAlign w:val="bottom"/>
          </w:tcPr>
          <w:p w:rsidR="00D6669E" w:rsidRPr="00D6669E" w:rsidRDefault="00D6669E" w:rsidP="00D6669E">
            <w:pPr>
              <w:spacing w:before="40" w:after="40" w:line="210" w:lineRule="exact"/>
              <w:ind w:right="43"/>
              <w:jc w:val="right"/>
              <w:rPr>
                <w:sz w:val="17"/>
                <w:szCs w:val="17"/>
                <w:lang w:val="fr-FR"/>
              </w:rPr>
            </w:pPr>
            <w:r w:rsidRPr="00D6669E">
              <w:rPr>
                <w:sz w:val="17"/>
                <w:szCs w:val="17"/>
                <w:lang w:val="fr-FR"/>
              </w:rPr>
              <w:t>8,8</w:t>
            </w:r>
          </w:p>
        </w:tc>
        <w:tc>
          <w:tcPr>
            <w:tcW w:w="1464" w:type="dxa"/>
            <w:shd w:val="clear" w:color="auto" w:fill="auto"/>
          </w:tcPr>
          <w:p w:rsidR="00D6669E" w:rsidRPr="00D6669E" w:rsidRDefault="00D6669E" w:rsidP="00D6669E">
            <w:pPr>
              <w:spacing w:before="40" w:after="40" w:line="210" w:lineRule="exact"/>
              <w:ind w:right="43"/>
              <w:jc w:val="right"/>
              <w:rPr>
                <w:sz w:val="17"/>
                <w:szCs w:val="17"/>
                <w:lang w:val="fr-FR"/>
              </w:rPr>
            </w:pPr>
            <w:r w:rsidRPr="00D6669E">
              <w:rPr>
                <w:sz w:val="17"/>
                <w:szCs w:val="17"/>
                <w:lang w:val="fr-FR"/>
              </w:rPr>
              <w:t>5,1-13,9</w:t>
            </w:r>
          </w:p>
        </w:tc>
      </w:tr>
      <w:tr w:rsidR="00D6669E" w:rsidRPr="00D6669E">
        <w:tblPrEx>
          <w:tblCellMar>
            <w:top w:w="0" w:type="dxa"/>
            <w:bottom w:w="0" w:type="dxa"/>
          </w:tblCellMar>
        </w:tblPrEx>
        <w:tc>
          <w:tcPr>
            <w:tcW w:w="1464" w:type="dxa"/>
            <w:tcBorders>
              <w:bottom w:val="single" w:sz="12" w:space="0" w:color="auto"/>
            </w:tcBorders>
            <w:shd w:val="clear" w:color="auto" w:fill="auto"/>
            <w:vAlign w:val="bottom"/>
          </w:tcPr>
          <w:p w:rsidR="00D6669E" w:rsidRPr="00D6669E" w:rsidRDefault="00D6669E" w:rsidP="00D6669E">
            <w:pPr>
              <w:spacing w:before="40" w:after="40" w:line="210" w:lineRule="exact"/>
              <w:ind w:right="43"/>
              <w:rPr>
                <w:b/>
                <w:sz w:val="17"/>
                <w:szCs w:val="17"/>
                <w:lang w:val="fr-FR"/>
              </w:rPr>
            </w:pPr>
            <w:r w:rsidRPr="00D6669E">
              <w:rPr>
                <w:b/>
                <w:sz w:val="17"/>
                <w:szCs w:val="17"/>
                <w:lang w:val="fr-FR"/>
              </w:rPr>
              <w:t>Total</w:t>
            </w:r>
          </w:p>
        </w:tc>
        <w:tc>
          <w:tcPr>
            <w:tcW w:w="1464" w:type="dxa"/>
            <w:tcBorders>
              <w:bottom w:val="single" w:sz="12" w:space="0" w:color="auto"/>
            </w:tcBorders>
            <w:shd w:val="clear" w:color="auto" w:fill="auto"/>
            <w:vAlign w:val="bottom"/>
          </w:tcPr>
          <w:p w:rsidR="00D6669E" w:rsidRPr="00D6669E" w:rsidRDefault="00D6669E" w:rsidP="00D6669E">
            <w:pPr>
              <w:spacing w:before="40" w:after="40" w:line="210" w:lineRule="exact"/>
              <w:ind w:right="43"/>
              <w:jc w:val="right"/>
              <w:rPr>
                <w:b/>
                <w:sz w:val="17"/>
                <w:szCs w:val="17"/>
                <w:lang w:val="fr-FR"/>
              </w:rPr>
            </w:pPr>
            <w:r w:rsidRPr="00D6669E">
              <w:rPr>
                <w:b/>
                <w:sz w:val="17"/>
                <w:szCs w:val="17"/>
                <w:lang w:val="fr-FR"/>
              </w:rPr>
              <w:t>36 904</w:t>
            </w:r>
          </w:p>
        </w:tc>
        <w:tc>
          <w:tcPr>
            <w:tcW w:w="1464" w:type="dxa"/>
            <w:tcBorders>
              <w:bottom w:val="single" w:sz="12" w:space="0" w:color="auto"/>
            </w:tcBorders>
            <w:shd w:val="clear" w:color="auto" w:fill="auto"/>
            <w:vAlign w:val="bottom"/>
          </w:tcPr>
          <w:p w:rsidR="00D6669E" w:rsidRPr="00D6669E" w:rsidRDefault="00D6669E" w:rsidP="00D6669E">
            <w:pPr>
              <w:spacing w:before="40" w:after="40" w:line="210" w:lineRule="exact"/>
              <w:ind w:right="43"/>
              <w:jc w:val="right"/>
              <w:rPr>
                <w:b/>
                <w:sz w:val="17"/>
                <w:szCs w:val="17"/>
                <w:lang w:val="fr-FR"/>
              </w:rPr>
            </w:pPr>
            <w:r w:rsidRPr="00D6669E">
              <w:rPr>
                <w:b/>
                <w:sz w:val="17"/>
                <w:szCs w:val="17"/>
                <w:lang w:val="fr-FR"/>
              </w:rPr>
              <w:t>1 623</w:t>
            </w:r>
          </w:p>
        </w:tc>
        <w:tc>
          <w:tcPr>
            <w:tcW w:w="1464" w:type="dxa"/>
            <w:tcBorders>
              <w:bottom w:val="single" w:sz="12" w:space="0" w:color="auto"/>
            </w:tcBorders>
            <w:shd w:val="clear" w:color="auto" w:fill="auto"/>
            <w:vAlign w:val="bottom"/>
          </w:tcPr>
          <w:p w:rsidR="00D6669E" w:rsidRPr="00D6669E" w:rsidRDefault="00D6669E" w:rsidP="00D6669E">
            <w:pPr>
              <w:spacing w:before="40" w:after="40" w:line="210" w:lineRule="exact"/>
              <w:ind w:right="43"/>
              <w:jc w:val="right"/>
              <w:rPr>
                <w:b/>
                <w:sz w:val="17"/>
                <w:szCs w:val="17"/>
                <w:lang w:val="fr-FR"/>
              </w:rPr>
            </w:pPr>
            <w:r w:rsidRPr="00D6669E">
              <w:rPr>
                <w:b/>
                <w:sz w:val="17"/>
                <w:szCs w:val="17"/>
                <w:lang w:val="fr-FR"/>
              </w:rPr>
              <w:t>4,4</w:t>
            </w:r>
          </w:p>
        </w:tc>
        <w:tc>
          <w:tcPr>
            <w:tcW w:w="1464" w:type="dxa"/>
            <w:tcBorders>
              <w:bottom w:val="single" w:sz="12" w:space="0" w:color="auto"/>
            </w:tcBorders>
            <w:shd w:val="clear" w:color="auto" w:fill="auto"/>
          </w:tcPr>
          <w:p w:rsidR="00D6669E" w:rsidRPr="00D6669E" w:rsidRDefault="00D6669E" w:rsidP="00D6669E">
            <w:pPr>
              <w:spacing w:before="40" w:after="40" w:line="210" w:lineRule="exact"/>
              <w:ind w:right="43"/>
              <w:jc w:val="right"/>
              <w:rPr>
                <w:b/>
                <w:sz w:val="17"/>
                <w:szCs w:val="17"/>
                <w:lang w:val="fr-FR"/>
              </w:rPr>
            </w:pPr>
            <w:r w:rsidRPr="00D6669E">
              <w:rPr>
                <w:b/>
                <w:sz w:val="17"/>
                <w:szCs w:val="17"/>
                <w:lang w:val="fr-FR"/>
              </w:rPr>
              <w:t>4,2-4,4</w:t>
            </w:r>
          </w:p>
        </w:tc>
      </w:tr>
    </w:tbl>
    <w:p w:rsidR="002B0972" w:rsidRDefault="002B0972" w:rsidP="00940485">
      <w:pPr>
        <w:pStyle w:val="SingleTxt"/>
        <w:rPr>
          <w:lang w:val="fr-FR"/>
        </w:rPr>
      </w:pPr>
    </w:p>
    <w:p w:rsidR="00940485" w:rsidRDefault="007051F6" w:rsidP="00940485">
      <w:pPr>
        <w:pStyle w:val="SingleTxt"/>
        <w:rPr>
          <w:lang w:val="fr-FR"/>
        </w:rPr>
      </w:pPr>
      <w:r>
        <w:rPr>
          <w:lang w:val="fr-FR"/>
        </w:rPr>
        <w:tab/>
      </w:r>
      <w:r w:rsidR="00940485" w:rsidRPr="00940485">
        <w:rPr>
          <w:lang w:val="fr-FR"/>
        </w:rPr>
        <w:t>La prévalence du VIH parmi les femmes enceintes de 15 à 49 ans a régressé au cours des dernières</w:t>
      </w:r>
      <w:r w:rsidR="0025170B">
        <w:rPr>
          <w:lang w:val="fr-FR"/>
        </w:rPr>
        <w:t xml:space="preserve"> </w:t>
      </w:r>
      <w:r w:rsidR="0025170B" w:rsidRPr="0025170B">
        <w:rPr>
          <w:lang w:val="fr-FR"/>
        </w:rPr>
        <w:t>années (de 5,8 % en 2001 à 5 % en 2003 et 4,4 % en 2005). Une tendance identique s</w:t>
      </w:r>
      <w:r w:rsidR="000A3D87">
        <w:rPr>
          <w:lang w:val="fr-FR"/>
        </w:rPr>
        <w:t>’</w:t>
      </w:r>
      <w:r w:rsidR="0025170B" w:rsidRPr="0025170B">
        <w:rPr>
          <w:lang w:val="fr-FR"/>
        </w:rPr>
        <w:t>observe parmi les jeunes femmes enceintes de 15 à 24 ans.  La régression observée tient à plusieurs facteurs liés à la riposte nationale, notamment l</w:t>
      </w:r>
      <w:r w:rsidR="000A3D87">
        <w:rPr>
          <w:lang w:val="fr-FR"/>
        </w:rPr>
        <w:t>’</w:t>
      </w:r>
      <w:r w:rsidR="0025170B" w:rsidRPr="0025170B">
        <w:rPr>
          <w:lang w:val="fr-FR"/>
        </w:rPr>
        <w:t>impact des initiatives en cours, l</w:t>
      </w:r>
      <w:r w:rsidR="000A3D87">
        <w:rPr>
          <w:lang w:val="fr-FR"/>
        </w:rPr>
        <w:t>’</w:t>
      </w:r>
      <w:r w:rsidR="0025170B" w:rsidRPr="0025170B">
        <w:rPr>
          <w:lang w:val="fr-FR"/>
        </w:rPr>
        <w:t>augmentation du nombre de sites d</w:t>
      </w:r>
      <w:r w:rsidR="000A3D87">
        <w:rPr>
          <w:lang w:val="fr-FR"/>
        </w:rPr>
        <w:t>’</w:t>
      </w:r>
      <w:r w:rsidR="0025170B" w:rsidRPr="0025170B">
        <w:rPr>
          <w:lang w:val="fr-FR"/>
        </w:rPr>
        <w:t>enquête en milieu rural, et le décès des personnes infectées auparavant. Sur la base de la prévalence actuelle du VIH dans le pays, on estime que quelque 2,9 à 3,3 millions de personnes seraient actuellement infectées par le VIH/SIDA, la prévalence étant la</w:t>
      </w:r>
      <w:r w:rsidR="0025170B">
        <w:rPr>
          <w:lang w:val="fr-FR"/>
        </w:rPr>
        <w:t xml:space="preserve"> </w:t>
      </w:r>
      <w:r w:rsidR="0025170B" w:rsidRPr="0025170B">
        <w:rPr>
          <w:lang w:val="fr-FR"/>
        </w:rPr>
        <w:t>moins élevée parmi les femmes mariées, comme il apparaît au Tableau 3.4.</w:t>
      </w:r>
    </w:p>
    <w:p w:rsidR="002B0972" w:rsidRDefault="002B0972" w:rsidP="007051F6">
      <w:pPr>
        <w:pStyle w:val="SingleTxt"/>
        <w:rPr>
          <w:b/>
          <w:lang w:val="fr-FR"/>
        </w:rPr>
      </w:pPr>
      <w:r>
        <w:rPr>
          <w:b/>
          <w:lang w:val="fr-FR"/>
        </w:rPr>
        <w:br/>
      </w:r>
    </w:p>
    <w:p w:rsidR="00E15507" w:rsidRDefault="002B0972" w:rsidP="007051F6">
      <w:pPr>
        <w:pStyle w:val="SingleTxt"/>
        <w:rPr>
          <w:b/>
          <w:lang w:val="fr-FR"/>
        </w:rPr>
      </w:pPr>
      <w:r>
        <w:rPr>
          <w:b/>
          <w:lang w:val="fr-FR"/>
        </w:rPr>
        <w:br w:type="page"/>
      </w:r>
      <w:r w:rsidR="00E15507" w:rsidRPr="007051F6">
        <w:rPr>
          <w:b/>
          <w:lang w:val="fr-FR"/>
        </w:rPr>
        <w:t>Prévalence du VIH par degré d</w:t>
      </w:r>
      <w:r w:rsidR="000A3D87">
        <w:rPr>
          <w:b/>
          <w:lang w:val="fr-FR"/>
        </w:rPr>
        <w:t>’</w:t>
      </w:r>
      <w:r w:rsidR="00E15507" w:rsidRPr="007051F6">
        <w:rPr>
          <w:b/>
          <w:lang w:val="fr-FR"/>
        </w:rPr>
        <w:t>instruction</w:t>
      </w:r>
    </w:p>
    <w:p w:rsidR="007051F6" w:rsidRDefault="007051F6" w:rsidP="007051F6">
      <w:pPr>
        <w:pStyle w:val="SingleTxt"/>
        <w:jc w:val="left"/>
        <w:rPr>
          <w:b/>
          <w:lang w:val="fr-FR"/>
        </w:rPr>
      </w:pPr>
      <w:r w:rsidRPr="007051F6">
        <w:rPr>
          <w:lang w:val="fr-FR"/>
        </w:rPr>
        <w:t>Tableau 3.5</w:t>
      </w:r>
      <w:r>
        <w:rPr>
          <w:b/>
          <w:lang w:val="fr-FR"/>
        </w:rPr>
        <w:br/>
      </w:r>
      <w:r w:rsidRPr="007051F6">
        <w:rPr>
          <w:b/>
          <w:lang w:val="fr-FR"/>
        </w:rPr>
        <w:t>Prévalence du VIH selon le degré d</w:t>
      </w:r>
      <w:r w:rsidR="000A3D87">
        <w:rPr>
          <w:b/>
          <w:lang w:val="fr-FR"/>
        </w:rPr>
        <w:t>’</w:t>
      </w:r>
      <w:r w:rsidRPr="007051F6">
        <w:rPr>
          <w:b/>
          <w:lang w:val="fr-FR"/>
        </w:rPr>
        <w:t>instruction</w:t>
      </w:r>
    </w:p>
    <w:p w:rsidR="00F84ADB" w:rsidRPr="00F84ADB" w:rsidRDefault="00F84ADB" w:rsidP="00F84ADB">
      <w:pPr>
        <w:pStyle w:val="SingleTxt"/>
        <w:spacing w:after="0" w:line="120" w:lineRule="exact"/>
        <w:jc w:val="left"/>
        <w:rPr>
          <w:b/>
          <w:sz w:val="10"/>
          <w:lang w:val="fr-FR"/>
        </w:rPr>
      </w:pPr>
    </w:p>
    <w:tbl>
      <w:tblPr>
        <w:tblW w:w="0" w:type="auto"/>
        <w:tblInd w:w="1260" w:type="dxa"/>
        <w:tblLayout w:type="fixed"/>
        <w:tblCellMar>
          <w:left w:w="0" w:type="dxa"/>
          <w:right w:w="0" w:type="dxa"/>
        </w:tblCellMar>
        <w:tblLook w:val="0000"/>
      </w:tblPr>
      <w:tblGrid>
        <w:gridCol w:w="1464"/>
        <w:gridCol w:w="1464"/>
        <w:gridCol w:w="1464"/>
        <w:gridCol w:w="1464"/>
        <w:gridCol w:w="1464"/>
      </w:tblGrid>
      <w:tr w:rsidR="00F84ADB" w:rsidRPr="00F84ADB">
        <w:tblPrEx>
          <w:tblCellMar>
            <w:top w:w="0" w:type="dxa"/>
            <w:bottom w:w="0" w:type="dxa"/>
          </w:tblCellMar>
        </w:tblPrEx>
        <w:trPr>
          <w:tblHeader/>
        </w:trPr>
        <w:tc>
          <w:tcPr>
            <w:tcW w:w="1464" w:type="dxa"/>
            <w:tcBorders>
              <w:top w:val="single" w:sz="4" w:space="0" w:color="auto"/>
              <w:bottom w:val="single" w:sz="12" w:space="0" w:color="auto"/>
            </w:tcBorders>
            <w:shd w:val="clear" w:color="auto" w:fill="auto"/>
            <w:vAlign w:val="bottom"/>
          </w:tcPr>
          <w:p w:rsidR="00F84ADB" w:rsidRPr="00885E80" w:rsidRDefault="00F84ADB" w:rsidP="00885E80">
            <w:pPr>
              <w:spacing w:before="80" w:after="80" w:line="160" w:lineRule="exact"/>
              <w:ind w:right="43"/>
              <w:rPr>
                <w:i/>
                <w:sz w:val="14"/>
                <w:szCs w:val="14"/>
                <w:lang w:val="fr-FR"/>
              </w:rPr>
            </w:pPr>
            <w:r w:rsidRPr="00885E80">
              <w:rPr>
                <w:i/>
                <w:sz w:val="14"/>
                <w:szCs w:val="14"/>
                <w:lang w:val="fr-FR"/>
              </w:rPr>
              <w:t>Degré d</w:t>
            </w:r>
            <w:r w:rsidR="000A3D87">
              <w:rPr>
                <w:i/>
                <w:sz w:val="14"/>
                <w:szCs w:val="14"/>
                <w:lang w:val="fr-FR"/>
              </w:rPr>
              <w:t>’</w:t>
            </w:r>
            <w:r w:rsidRPr="00885E80">
              <w:rPr>
                <w:i/>
                <w:sz w:val="14"/>
                <w:szCs w:val="14"/>
                <w:lang w:val="fr-FR"/>
              </w:rPr>
              <w:t>instruction</w:t>
            </w:r>
          </w:p>
        </w:tc>
        <w:tc>
          <w:tcPr>
            <w:tcW w:w="1464" w:type="dxa"/>
            <w:tcBorders>
              <w:top w:val="single" w:sz="4" w:space="0" w:color="auto"/>
              <w:bottom w:val="single" w:sz="12" w:space="0" w:color="auto"/>
            </w:tcBorders>
            <w:shd w:val="clear" w:color="auto" w:fill="auto"/>
            <w:vAlign w:val="bottom"/>
          </w:tcPr>
          <w:p w:rsidR="00F84ADB" w:rsidRPr="00885E80" w:rsidRDefault="00F84ADB" w:rsidP="00885E80">
            <w:pPr>
              <w:spacing w:before="80" w:after="80" w:line="160" w:lineRule="exact"/>
              <w:ind w:right="43"/>
              <w:jc w:val="right"/>
              <w:rPr>
                <w:i/>
                <w:snapToGrid w:val="0"/>
                <w:color w:val="000000"/>
                <w:sz w:val="14"/>
                <w:szCs w:val="14"/>
                <w:lang w:val="fr-FR"/>
              </w:rPr>
            </w:pPr>
            <w:r w:rsidRPr="00885E80">
              <w:rPr>
                <w:i/>
                <w:snapToGrid w:val="0"/>
                <w:color w:val="000000"/>
                <w:sz w:val="14"/>
                <w:szCs w:val="14"/>
                <w:lang w:val="fr-FR"/>
              </w:rPr>
              <w:t>Taille de l</w:t>
            </w:r>
            <w:r w:rsidR="000A3D87">
              <w:rPr>
                <w:i/>
                <w:snapToGrid w:val="0"/>
                <w:color w:val="000000"/>
                <w:sz w:val="14"/>
                <w:szCs w:val="14"/>
                <w:lang w:val="fr-FR"/>
              </w:rPr>
              <w:t>’</w:t>
            </w:r>
            <w:r w:rsidRPr="00885E80">
              <w:rPr>
                <w:i/>
                <w:snapToGrid w:val="0"/>
                <w:color w:val="000000"/>
                <w:sz w:val="14"/>
                <w:szCs w:val="14"/>
                <w:lang w:val="fr-FR"/>
              </w:rPr>
              <w:t>échantillon</w:t>
            </w:r>
          </w:p>
        </w:tc>
        <w:tc>
          <w:tcPr>
            <w:tcW w:w="1464" w:type="dxa"/>
            <w:tcBorders>
              <w:top w:val="single" w:sz="4" w:space="0" w:color="auto"/>
              <w:bottom w:val="single" w:sz="12" w:space="0" w:color="auto"/>
            </w:tcBorders>
            <w:shd w:val="clear" w:color="auto" w:fill="auto"/>
            <w:vAlign w:val="bottom"/>
          </w:tcPr>
          <w:p w:rsidR="00F84ADB" w:rsidRPr="00885E80" w:rsidRDefault="00F84ADB" w:rsidP="00885E80">
            <w:pPr>
              <w:spacing w:before="80" w:after="80" w:line="160" w:lineRule="exact"/>
              <w:ind w:right="43"/>
              <w:jc w:val="right"/>
              <w:rPr>
                <w:i/>
                <w:snapToGrid w:val="0"/>
                <w:color w:val="000000"/>
                <w:sz w:val="14"/>
                <w:szCs w:val="14"/>
                <w:lang w:val="fr-FR"/>
              </w:rPr>
            </w:pPr>
            <w:r w:rsidRPr="00885E80">
              <w:rPr>
                <w:i/>
                <w:snapToGrid w:val="0"/>
                <w:color w:val="000000"/>
                <w:sz w:val="14"/>
                <w:szCs w:val="14"/>
                <w:lang w:val="fr-FR"/>
              </w:rPr>
              <w:t>Nombre de positifs</w:t>
            </w:r>
          </w:p>
        </w:tc>
        <w:tc>
          <w:tcPr>
            <w:tcW w:w="1464" w:type="dxa"/>
            <w:tcBorders>
              <w:top w:val="single" w:sz="4" w:space="0" w:color="auto"/>
              <w:bottom w:val="single" w:sz="12" w:space="0" w:color="auto"/>
            </w:tcBorders>
            <w:shd w:val="clear" w:color="auto" w:fill="auto"/>
          </w:tcPr>
          <w:p w:rsidR="00F84ADB" w:rsidRPr="00885E80" w:rsidRDefault="00F84ADB" w:rsidP="00885E80">
            <w:pPr>
              <w:spacing w:before="80" w:after="80" w:line="160" w:lineRule="exact"/>
              <w:ind w:right="43"/>
              <w:jc w:val="right"/>
              <w:rPr>
                <w:i/>
                <w:snapToGrid w:val="0"/>
                <w:color w:val="000000"/>
                <w:sz w:val="14"/>
                <w:szCs w:val="14"/>
                <w:lang w:val="fr-FR"/>
              </w:rPr>
            </w:pPr>
            <w:r w:rsidRPr="00885E80">
              <w:rPr>
                <w:i/>
                <w:snapToGrid w:val="0"/>
                <w:color w:val="000000"/>
                <w:sz w:val="14"/>
                <w:szCs w:val="14"/>
                <w:lang w:val="fr-FR"/>
              </w:rPr>
              <w:t>Prévalence (%)</w:t>
            </w:r>
          </w:p>
        </w:tc>
        <w:tc>
          <w:tcPr>
            <w:tcW w:w="1464" w:type="dxa"/>
            <w:tcBorders>
              <w:top w:val="single" w:sz="4" w:space="0" w:color="auto"/>
              <w:bottom w:val="single" w:sz="12" w:space="0" w:color="auto"/>
            </w:tcBorders>
            <w:shd w:val="clear" w:color="auto" w:fill="auto"/>
          </w:tcPr>
          <w:p w:rsidR="00F84ADB" w:rsidRPr="00885E80" w:rsidRDefault="00F84ADB" w:rsidP="00885E80">
            <w:pPr>
              <w:spacing w:before="80" w:after="80" w:line="160" w:lineRule="exact"/>
              <w:ind w:right="43"/>
              <w:jc w:val="right"/>
              <w:rPr>
                <w:i/>
                <w:snapToGrid w:val="0"/>
                <w:color w:val="000000"/>
                <w:sz w:val="14"/>
                <w:szCs w:val="14"/>
                <w:lang w:val="fr-FR"/>
              </w:rPr>
            </w:pPr>
            <w:r w:rsidRPr="00885E80">
              <w:rPr>
                <w:i/>
                <w:sz w:val="14"/>
                <w:szCs w:val="14"/>
                <w:lang w:val="fr-FR"/>
              </w:rPr>
              <w:t>Intervalle de confiance</w:t>
            </w:r>
          </w:p>
        </w:tc>
      </w:tr>
      <w:tr w:rsidR="00F84ADB" w:rsidRPr="00F84ADB">
        <w:tblPrEx>
          <w:tblCellMar>
            <w:top w:w="0" w:type="dxa"/>
            <w:bottom w:w="0" w:type="dxa"/>
          </w:tblCellMar>
        </w:tblPrEx>
        <w:trPr>
          <w:trHeight w:hRule="exact" w:val="115"/>
          <w:tblHeader/>
        </w:trPr>
        <w:tc>
          <w:tcPr>
            <w:tcW w:w="1464" w:type="dxa"/>
            <w:tcBorders>
              <w:top w:val="single" w:sz="12" w:space="0" w:color="auto"/>
            </w:tcBorders>
            <w:shd w:val="clear" w:color="auto" w:fill="auto"/>
            <w:vAlign w:val="bottom"/>
          </w:tcPr>
          <w:p w:rsidR="00F84ADB" w:rsidRPr="00F84ADB" w:rsidRDefault="00F84ADB" w:rsidP="00F84ADB">
            <w:pPr>
              <w:tabs>
                <w:tab w:val="left" w:pos="288"/>
                <w:tab w:val="left" w:pos="576"/>
                <w:tab w:val="left" w:pos="864"/>
                <w:tab w:val="left" w:pos="1152"/>
              </w:tabs>
              <w:suppressAutoHyphens/>
              <w:spacing w:before="40" w:after="40" w:line="210" w:lineRule="exact"/>
              <w:ind w:right="43"/>
              <w:rPr>
                <w:sz w:val="17"/>
                <w:lang w:val="fr-FR"/>
              </w:rPr>
            </w:pPr>
          </w:p>
        </w:tc>
        <w:tc>
          <w:tcPr>
            <w:tcW w:w="1464" w:type="dxa"/>
            <w:tcBorders>
              <w:top w:val="single" w:sz="12" w:space="0" w:color="auto"/>
            </w:tcBorders>
            <w:shd w:val="clear" w:color="auto" w:fill="auto"/>
            <w:vAlign w:val="bottom"/>
          </w:tcPr>
          <w:p w:rsidR="00F84ADB" w:rsidRPr="00F84ADB" w:rsidRDefault="00F84ADB" w:rsidP="00F84ADB">
            <w:pPr>
              <w:tabs>
                <w:tab w:val="left" w:pos="288"/>
                <w:tab w:val="left" w:pos="576"/>
                <w:tab w:val="left" w:pos="864"/>
                <w:tab w:val="left" w:pos="1152"/>
              </w:tabs>
              <w:suppressAutoHyphens/>
              <w:spacing w:before="40" w:after="40" w:line="210" w:lineRule="exact"/>
              <w:ind w:right="43"/>
              <w:jc w:val="right"/>
              <w:rPr>
                <w:sz w:val="17"/>
                <w:lang w:val="fr-FR"/>
              </w:rPr>
            </w:pPr>
          </w:p>
        </w:tc>
        <w:tc>
          <w:tcPr>
            <w:tcW w:w="1464" w:type="dxa"/>
            <w:tcBorders>
              <w:top w:val="single" w:sz="12" w:space="0" w:color="auto"/>
            </w:tcBorders>
            <w:shd w:val="clear" w:color="auto" w:fill="auto"/>
            <w:vAlign w:val="bottom"/>
          </w:tcPr>
          <w:p w:rsidR="00F84ADB" w:rsidRPr="00F84ADB" w:rsidRDefault="00F84ADB" w:rsidP="00F84ADB">
            <w:pPr>
              <w:tabs>
                <w:tab w:val="left" w:pos="288"/>
                <w:tab w:val="left" w:pos="576"/>
                <w:tab w:val="left" w:pos="864"/>
                <w:tab w:val="left" w:pos="1152"/>
              </w:tabs>
              <w:suppressAutoHyphens/>
              <w:spacing w:before="40" w:after="40" w:line="210" w:lineRule="exact"/>
              <w:ind w:right="43"/>
              <w:jc w:val="right"/>
              <w:rPr>
                <w:sz w:val="17"/>
                <w:lang w:val="fr-FR"/>
              </w:rPr>
            </w:pPr>
          </w:p>
        </w:tc>
        <w:tc>
          <w:tcPr>
            <w:tcW w:w="1464" w:type="dxa"/>
            <w:tcBorders>
              <w:top w:val="single" w:sz="12" w:space="0" w:color="auto"/>
            </w:tcBorders>
            <w:shd w:val="clear" w:color="auto" w:fill="auto"/>
            <w:vAlign w:val="bottom"/>
          </w:tcPr>
          <w:p w:rsidR="00F84ADB" w:rsidRPr="00F84ADB" w:rsidRDefault="00F84ADB" w:rsidP="00F84ADB">
            <w:pPr>
              <w:tabs>
                <w:tab w:val="left" w:pos="288"/>
                <w:tab w:val="left" w:pos="576"/>
                <w:tab w:val="left" w:pos="864"/>
                <w:tab w:val="left" w:pos="1152"/>
              </w:tabs>
              <w:suppressAutoHyphens/>
              <w:spacing w:before="40" w:after="40" w:line="210" w:lineRule="exact"/>
              <w:ind w:right="43"/>
              <w:jc w:val="right"/>
              <w:rPr>
                <w:sz w:val="17"/>
                <w:lang w:val="fr-FR"/>
              </w:rPr>
            </w:pPr>
          </w:p>
        </w:tc>
        <w:tc>
          <w:tcPr>
            <w:tcW w:w="1464" w:type="dxa"/>
            <w:tcBorders>
              <w:top w:val="single" w:sz="12" w:space="0" w:color="auto"/>
            </w:tcBorders>
            <w:shd w:val="clear" w:color="auto" w:fill="auto"/>
            <w:vAlign w:val="bottom"/>
          </w:tcPr>
          <w:p w:rsidR="00F84ADB" w:rsidRPr="00F84ADB" w:rsidRDefault="00F84ADB" w:rsidP="00F84ADB">
            <w:pPr>
              <w:tabs>
                <w:tab w:val="left" w:pos="288"/>
                <w:tab w:val="left" w:pos="576"/>
                <w:tab w:val="left" w:pos="864"/>
                <w:tab w:val="left" w:pos="1152"/>
              </w:tabs>
              <w:suppressAutoHyphens/>
              <w:spacing w:before="40" w:after="40" w:line="210" w:lineRule="exact"/>
              <w:ind w:right="43"/>
              <w:jc w:val="right"/>
              <w:rPr>
                <w:sz w:val="17"/>
                <w:lang w:val="fr-FR"/>
              </w:rPr>
            </w:pPr>
          </w:p>
        </w:tc>
      </w:tr>
      <w:tr w:rsidR="00885E80" w:rsidRPr="00F84ADB">
        <w:tblPrEx>
          <w:tblCellMar>
            <w:top w:w="0" w:type="dxa"/>
            <w:bottom w:w="0" w:type="dxa"/>
          </w:tblCellMar>
        </w:tblPrEx>
        <w:tc>
          <w:tcPr>
            <w:tcW w:w="1464" w:type="dxa"/>
            <w:shd w:val="clear" w:color="auto" w:fill="auto"/>
            <w:vAlign w:val="bottom"/>
          </w:tcPr>
          <w:p w:rsidR="00885E80" w:rsidRPr="00885E80" w:rsidRDefault="00885E80" w:rsidP="00885E80">
            <w:pPr>
              <w:spacing w:before="40" w:after="40" w:line="210" w:lineRule="exact"/>
              <w:rPr>
                <w:sz w:val="17"/>
                <w:szCs w:val="17"/>
                <w:lang w:val="fr-FR"/>
              </w:rPr>
            </w:pPr>
            <w:r w:rsidRPr="00885E80">
              <w:rPr>
                <w:sz w:val="17"/>
                <w:szCs w:val="17"/>
                <w:lang w:val="fr-FR"/>
              </w:rPr>
              <w:t>Néant</w:t>
            </w:r>
          </w:p>
        </w:tc>
        <w:tc>
          <w:tcPr>
            <w:tcW w:w="1464" w:type="dxa"/>
            <w:shd w:val="clear" w:color="auto" w:fill="auto"/>
            <w:vAlign w:val="bottom"/>
          </w:tcPr>
          <w:p w:rsidR="00885E80" w:rsidRPr="00885E80" w:rsidRDefault="00885E80" w:rsidP="00885E80">
            <w:pPr>
              <w:spacing w:before="40" w:after="40" w:line="210" w:lineRule="exact"/>
              <w:jc w:val="right"/>
              <w:rPr>
                <w:sz w:val="17"/>
                <w:szCs w:val="17"/>
                <w:lang w:val="fr-FR"/>
              </w:rPr>
            </w:pPr>
            <w:r w:rsidRPr="00885E80">
              <w:rPr>
                <w:sz w:val="17"/>
                <w:szCs w:val="17"/>
                <w:lang w:val="fr-FR"/>
              </w:rPr>
              <w:t>3 757</w:t>
            </w:r>
          </w:p>
        </w:tc>
        <w:tc>
          <w:tcPr>
            <w:tcW w:w="1464" w:type="dxa"/>
            <w:shd w:val="clear" w:color="auto" w:fill="auto"/>
            <w:vAlign w:val="bottom"/>
          </w:tcPr>
          <w:p w:rsidR="00885E80" w:rsidRPr="00885E80" w:rsidRDefault="00885E80" w:rsidP="00885E80">
            <w:pPr>
              <w:spacing w:before="40" w:after="40" w:line="210" w:lineRule="exact"/>
              <w:jc w:val="right"/>
              <w:rPr>
                <w:sz w:val="17"/>
                <w:szCs w:val="17"/>
                <w:lang w:val="fr-FR"/>
              </w:rPr>
            </w:pPr>
            <w:r w:rsidRPr="00885E80">
              <w:rPr>
                <w:sz w:val="17"/>
                <w:szCs w:val="17"/>
                <w:lang w:val="fr-FR"/>
              </w:rPr>
              <w:t>156</w:t>
            </w:r>
          </w:p>
        </w:tc>
        <w:tc>
          <w:tcPr>
            <w:tcW w:w="1464" w:type="dxa"/>
            <w:shd w:val="clear" w:color="auto" w:fill="auto"/>
          </w:tcPr>
          <w:p w:rsidR="00885E80" w:rsidRPr="00885E80" w:rsidRDefault="00885E80" w:rsidP="00885E80">
            <w:pPr>
              <w:spacing w:before="40" w:after="40" w:line="210" w:lineRule="exact"/>
              <w:jc w:val="right"/>
              <w:rPr>
                <w:sz w:val="17"/>
                <w:szCs w:val="17"/>
                <w:lang w:val="fr-FR"/>
              </w:rPr>
            </w:pPr>
            <w:r w:rsidRPr="00885E80">
              <w:rPr>
                <w:sz w:val="17"/>
                <w:szCs w:val="17"/>
                <w:lang w:val="fr-FR"/>
              </w:rPr>
              <w:t>4,2</w:t>
            </w:r>
          </w:p>
        </w:tc>
        <w:tc>
          <w:tcPr>
            <w:tcW w:w="1464" w:type="dxa"/>
            <w:shd w:val="clear" w:color="auto" w:fill="auto"/>
          </w:tcPr>
          <w:p w:rsidR="00885E80" w:rsidRPr="00885E80" w:rsidRDefault="00885E80" w:rsidP="00885E80">
            <w:pPr>
              <w:spacing w:before="40" w:after="40" w:line="210" w:lineRule="exact"/>
              <w:jc w:val="right"/>
              <w:rPr>
                <w:sz w:val="17"/>
                <w:szCs w:val="17"/>
                <w:lang w:val="fr-FR"/>
              </w:rPr>
            </w:pPr>
            <w:r w:rsidRPr="00885E80">
              <w:rPr>
                <w:sz w:val="17"/>
                <w:szCs w:val="17"/>
                <w:lang w:val="fr-FR"/>
              </w:rPr>
              <w:t>3,5-4,9</w:t>
            </w:r>
          </w:p>
        </w:tc>
      </w:tr>
      <w:tr w:rsidR="00885E80" w:rsidRPr="00F84ADB">
        <w:tblPrEx>
          <w:tblCellMar>
            <w:top w:w="0" w:type="dxa"/>
            <w:bottom w:w="0" w:type="dxa"/>
          </w:tblCellMar>
        </w:tblPrEx>
        <w:tc>
          <w:tcPr>
            <w:tcW w:w="1464" w:type="dxa"/>
            <w:shd w:val="clear" w:color="auto" w:fill="auto"/>
            <w:vAlign w:val="bottom"/>
          </w:tcPr>
          <w:p w:rsidR="00885E80" w:rsidRPr="00885E80" w:rsidRDefault="00885E80" w:rsidP="00885E80">
            <w:pPr>
              <w:spacing w:before="40" w:after="40" w:line="210" w:lineRule="exact"/>
              <w:rPr>
                <w:sz w:val="17"/>
                <w:szCs w:val="17"/>
                <w:lang w:val="fr-FR"/>
              </w:rPr>
            </w:pPr>
            <w:r w:rsidRPr="00885E80">
              <w:rPr>
                <w:sz w:val="17"/>
                <w:szCs w:val="17"/>
                <w:lang w:val="fr-FR"/>
              </w:rPr>
              <w:t>Coranique uniquement</w:t>
            </w:r>
          </w:p>
        </w:tc>
        <w:tc>
          <w:tcPr>
            <w:tcW w:w="1464" w:type="dxa"/>
            <w:shd w:val="clear" w:color="auto" w:fill="auto"/>
            <w:vAlign w:val="bottom"/>
          </w:tcPr>
          <w:p w:rsidR="00885E80" w:rsidRPr="00885E80" w:rsidRDefault="00885E80" w:rsidP="00885E80">
            <w:pPr>
              <w:spacing w:before="40" w:after="40" w:line="210" w:lineRule="exact"/>
              <w:jc w:val="right"/>
              <w:rPr>
                <w:sz w:val="17"/>
                <w:szCs w:val="17"/>
                <w:lang w:val="fr-FR"/>
              </w:rPr>
            </w:pPr>
            <w:r w:rsidRPr="00885E80">
              <w:rPr>
                <w:sz w:val="17"/>
                <w:szCs w:val="17"/>
                <w:lang w:val="fr-FR"/>
              </w:rPr>
              <w:t>5 816</w:t>
            </w:r>
          </w:p>
        </w:tc>
        <w:tc>
          <w:tcPr>
            <w:tcW w:w="1464" w:type="dxa"/>
            <w:shd w:val="clear" w:color="auto" w:fill="auto"/>
            <w:vAlign w:val="bottom"/>
          </w:tcPr>
          <w:p w:rsidR="00885E80" w:rsidRPr="00885E80" w:rsidRDefault="00885E80" w:rsidP="00885E80">
            <w:pPr>
              <w:spacing w:before="40" w:after="40" w:line="210" w:lineRule="exact"/>
              <w:jc w:val="right"/>
              <w:rPr>
                <w:sz w:val="17"/>
                <w:szCs w:val="17"/>
                <w:lang w:val="fr-FR"/>
              </w:rPr>
            </w:pPr>
            <w:r w:rsidRPr="00885E80">
              <w:rPr>
                <w:sz w:val="17"/>
                <w:szCs w:val="17"/>
                <w:lang w:val="fr-FR"/>
              </w:rPr>
              <w:t>181</w:t>
            </w:r>
          </w:p>
        </w:tc>
        <w:tc>
          <w:tcPr>
            <w:tcW w:w="1464" w:type="dxa"/>
            <w:shd w:val="clear" w:color="auto" w:fill="auto"/>
          </w:tcPr>
          <w:p w:rsidR="00885E80" w:rsidRPr="00885E80" w:rsidRDefault="00885E80" w:rsidP="00885E80">
            <w:pPr>
              <w:spacing w:before="40" w:after="40" w:line="210" w:lineRule="exact"/>
              <w:jc w:val="right"/>
              <w:rPr>
                <w:sz w:val="17"/>
                <w:szCs w:val="17"/>
                <w:lang w:val="fr-FR"/>
              </w:rPr>
            </w:pPr>
            <w:r w:rsidRPr="00885E80">
              <w:rPr>
                <w:sz w:val="17"/>
                <w:szCs w:val="17"/>
                <w:lang w:val="fr-FR"/>
              </w:rPr>
              <w:t>3,1</w:t>
            </w:r>
          </w:p>
        </w:tc>
        <w:tc>
          <w:tcPr>
            <w:tcW w:w="1464" w:type="dxa"/>
            <w:shd w:val="clear" w:color="auto" w:fill="auto"/>
          </w:tcPr>
          <w:p w:rsidR="00885E80" w:rsidRPr="00885E80" w:rsidRDefault="00885E80" w:rsidP="00885E80">
            <w:pPr>
              <w:spacing w:before="40" w:after="40" w:line="210" w:lineRule="exact"/>
              <w:jc w:val="right"/>
              <w:rPr>
                <w:sz w:val="17"/>
                <w:szCs w:val="17"/>
                <w:lang w:val="fr-FR"/>
              </w:rPr>
            </w:pPr>
            <w:r w:rsidRPr="00885E80">
              <w:rPr>
                <w:sz w:val="17"/>
                <w:szCs w:val="17"/>
                <w:lang w:val="fr-FR"/>
              </w:rPr>
              <w:t>2,7-3,6</w:t>
            </w:r>
          </w:p>
        </w:tc>
      </w:tr>
      <w:tr w:rsidR="00885E80" w:rsidRPr="00F84ADB">
        <w:tblPrEx>
          <w:tblCellMar>
            <w:top w:w="0" w:type="dxa"/>
            <w:bottom w:w="0" w:type="dxa"/>
          </w:tblCellMar>
        </w:tblPrEx>
        <w:tc>
          <w:tcPr>
            <w:tcW w:w="1464" w:type="dxa"/>
            <w:shd w:val="clear" w:color="auto" w:fill="auto"/>
            <w:vAlign w:val="bottom"/>
          </w:tcPr>
          <w:p w:rsidR="00885E80" w:rsidRPr="00885E80" w:rsidRDefault="00885E80" w:rsidP="00885E80">
            <w:pPr>
              <w:spacing w:before="40" w:after="40" w:line="210" w:lineRule="exact"/>
              <w:rPr>
                <w:sz w:val="17"/>
                <w:szCs w:val="17"/>
                <w:lang w:val="fr-FR"/>
              </w:rPr>
            </w:pPr>
            <w:r w:rsidRPr="00885E80">
              <w:rPr>
                <w:sz w:val="17"/>
                <w:szCs w:val="17"/>
                <w:lang w:val="fr-FR"/>
              </w:rPr>
              <w:t>Primaire</w:t>
            </w:r>
          </w:p>
        </w:tc>
        <w:tc>
          <w:tcPr>
            <w:tcW w:w="1464" w:type="dxa"/>
            <w:shd w:val="clear" w:color="auto" w:fill="auto"/>
            <w:vAlign w:val="bottom"/>
          </w:tcPr>
          <w:p w:rsidR="00885E80" w:rsidRPr="00885E80" w:rsidRDefault="00885E80" w:rsidP="00885E80">
            <w:pPr>
              <w:spacing w:before="40" w:after="40" w:line="210" w:lineRule="exact"/>
              <w:jc w:val="right"/>
              <w:rPr>
                <w:sz w:val="17"/>
                <w:szCs w:val="17"/>
                <w:lang w:val="fr-FR"/>
              </w:rPr>
            </w:pPr>
            <w:r w:rsidRPr="00885E80">
              <w:rPr>
                <w:sz w:val="17"/>
                <w:szCs w:val="17"/>
                <w:lang w:val="fr-FR"/>
              </w:rPr>
              <w:t>7 768</w:t>
            </w:r>
          </w:p>
        </w:tc>
        <w:tc>
          <w:tcPr>
            <w:tcW w:w="1464" w:type="dxa"/>
            <w:shd w:val="clear" w:color="auto" w:fill="auto"/>
            <w:vAlign w:val="bottom"/>
          </w:tcPr>
          <w:p w:rsidR="00885E80" w:rsidRPr="00885E80" w:rsidRDefault="00885E80" w:rsidP="00885E80">
            <w:pPr>
              <w:spacing w:before="40" w:after="40" w:line="210" w:lineRule="exact"/>
              <w:jc w:val="right"/>
              <w:rPr>
                <w:sz w:val="17"/>
                <w:szCs w:val="17"/>
                <w:lang w:val="fr-FR"/>
              </w:rPr>
            </w:pPr>
            <w:r w:rsidRPr="00885E80">
              <w:rPr>
                <w:sz w:val="17"/>
                <w:szCs w:val="17"/>
                <w:lang w:val="fr-FR"/>
              </w:rPr>
              <w:t>375</w:t>
            </w:r>
          </w:p>
        </w:tc>
        <w:tc>
          <w:tcPr>
            <w:tcW w:w="1464" w:type="dxa"/>
            <w:shd w:val="clear" w:color="auto" w:fill="auto"/>
          </w:tcPr>
          <w:p w:rsidR="00885E80" w:rsidRPr="00885E80" w:rsidRDefault="00885E80" w:rsidP="00885E80">
            <w:pPr>
              <w:spacing w:before="40" w:after="40" w:line="210" w:lineRule="exact"/>
              <w:jc w:val="right"/>
              <w:rPr>
                <w:sz w:val="17"/>
                <w:szCs w:val="17"/>
                <w:lang w:val="fr-FR"/>
              </w:rPr>
            </w:pPr>
            <w:r w:rsidRPr="00885E80">
              <w:rPr>
                <w:sz w:val="17"/>
                <w:szCs w:val="17"/>
                <w:lang w:val="fr-FR"/>
              </w:rPr>
              <w:t>4,8</w:t>
            </w:r>
          </w:p>
        </w:tc>
        <w:tc>
          <w:tcPr>
            <w:tcW w:w="1464" w:type="dxa"/>
            <w:shd w:val="clear" w:color="auto" w:fill="auto"/>
          </w:tcPr>
          <w:p w:rsidR="00885E80" w:rsidRPr="00885E80" w:rsidRDefault="00885E80" w:rsidP="00885E80">
            <w:pPr>
              <w:spacing w:before="40" w:after="40" w:line="210" w:lineRule="exact"/>
              <w:jc w:val="right"/>
              <w:rPr>
                <w:sz w:val="17"/>
                <w:szCs w:val="17"/>
                <w:lang w:val="fr-FR"/>
              </w:rPr>
            </w:pPr>
            <w:r w:rsidRPr="00885E80">
              <w:rPr>
                <w:sz w:val="17"/>
                <w:szCs w:val="17"/>
                <w:lang w:val="fr-FR"/>
              </w:rPr>
              <w:t>4,4-5,3</w:t>
            </w:r>
          </w:p>
        </w:tc>
      </w:tr>
      <w:tr w:rsidR="00885E80" w:rsidRPr="00F84ADB">
        <w:tblPrEx>
          <w:tblCellMar>
            <w:top w:w="0" w:type="dxa"/>
            <w:bottom w:w="0" w:type="dxa"/>
          </w:tblCellMar>
        </w:tblPrEx>
        <w:tc>
          <w:tcPr>
            <w:tcW w:w="1464" w:type="dxa"/>
            <w:shd w:val="clear" w:color="auto" w:fill="auto"/>
            <w:vAlign w:val="bottom"/>
          </w:tcPr>
          <w:p w:rsidR="00885E80" w:rsidRPr="00885E80" w:rsidRDefault="00885E80" w:rsidP="00885E80">
            <w:pPr>
              <w:spacing w:before="40" w:after="40" w:line="210" w:lineRule="exact"/>
              <w:rPr>
                <w:sz w:val="17"/>
                <w:szCs w:val="17"/>
                <w:lang w:val="fr-FR"/>
              </w:rPr>
            </w:pPr>
            <w:r w:rsidRPr="00885E80">
              <w:rPr>
                <w:sz w:val="17"/>
                <w:szCs w:val="17"/>
                <w:lang w:val="fr-FR"/>
              </w:rPr>
              <w:t>Secondaire</w:t>
            </w:r>
          </w:p>
        </w:tc>
        <w:tc>
          <w:tcPr>
            <w:tcW w:w="1464" w:type="dxa"/>
            <w:shd w:val="clear" w:color="auto" w:fill="auto"/>
            <w:vAlign w:val="bottom"/>
          </w:tcPr>
          <w:p w:rsidR="00885E80" w:rsidRPr="00885E80" w:rsidRDefault="00885E80" w:rsidP="00885E80">
            <w:pPr>
              <w:spacing w:before="40" w:after="40" w:line="210" w:lineRule="exact"/>
              <w:jc w:val="right"/>
              <w:rPr>
                <w:sz w:val="17"/>
                <w:szCs w:val="17"/>
                <w:lang w:val="fr-FR"/>
              </w:rPr>
            </w:pPr>
            <w:r w:rsidRPr="00885E80">
              <w:rPr>
                <w:sz w:val="17"/>
                <w:szCs w:val="17"/>
                <w:lang w:val="fr-FR"/>
              </w:rPr>
              <w:t>13 650</w:t>
            </w:r>
          </w:p>
        </w:tc>
        <w:tc>
          <w:tcPr>
            <w:tcW w:w="1464" w:type="dxa"/>
            <w:shd w:val="clear" w:color="auto" w:fill="auto"/>
            <w:vAlign w:val="bottom"/>
          </w:tcPr>
          <w:p w:rsidR="00885E80" w:rsidRPr="00885E80" w:rsidRDefault="00885E80" w:rsidP="00885E80">
            <w:pPr>
              <w:spacing w:before="40" w:after="40" w:line="210" w:lineRule="exact"/>
              <w:jc w:val="right"/>
              <w:rPr>
                <w:sz w:val="17"/>
                <w:szCs w:val="17"/>
                <w:lang w:val="fr-FR"/>
              </w:rPr>
            </w:pPr>
            <w:r w:rsidRPr="00885E80">
              <w:rPr>
                <w:sz w:val="17"/>
                <w:szCs w:val="17"/>
                <w:lang w:val="fr-FR"/>
              </w:rPr>
              <w:t>689</w:t>
            </w:r>
          </w:p>
        </w:tc>
        <w:tc>
          <w:tcPr>
            <w:tcW w:w="1464" w:type="dxa"/>
            <w:shd w:val="clear" w:color="auto" w:fill="auto"/>
          </w:tcPr>
          <w:p w:rsidR="00885E80" w:rsidRPr="00885E80" w:rsidRDefault="00885E80" w:rsidP="00885E80">
            <w:pPr>
              <w:spacing w:before="40" w:after="40" w:line="210" w:lineRule="exact"/>
              <w:jc w:val="right"/>
              <w:rPr>
                <w:sz w:val="17"/>
                <w:szCs w:val="17"/>
                <w:lang w:val="fr-FR"/>
              </w:rPr>
            </w:pPr>
            <w:r w:rsidRPr="00885E80">
              <w:rPr>
                <w:sz w:val="17"/>
                <w:szCs w:val="17"/>
                <w:lang w:val="fr-FR"/>
              </w:rPr>
              <w:t>5,0</w:t>
            </w:r>
          </w:p>
        </w:tc>
        <w:tc>
          <w:tcPr>
            <w:tcW w:w="1464" w:type="dxa"/>
            <w:shd w:val="clear" w:color="auto" w:fill="auto"/>
          </w:tcPr>
          <w:p w:rsidR="00885E80" w:rsidRPr="00885E80" w:rsidRDefault="00885E80" w:rsidP="00885E80">
            <w:pPr>
              <w:spacing w:before="40" w:after="40" w:line="210" w:lineRule="exact"/>
              <w:jc w:val="right"/>
              <w:rPr>
                <w:sz w:val="17"/>
                <w:szCs w:val="17"/>
                <w:lang w:val="fr-FR"/>
              </w:rPr>
            </w:pPr>
            <w:r w:rsidRPr="00885E80">
              <w:rPr>
                <w:sz w:val="17"/>
                <w:szCs w:val="17"/>
                <w:lang w:val="fr-FR"/>
              </w:rPr>
              <w:t>4,7-5,4</w:t>
            </w:r>
          </w:p>
        </w:tc>
      </w:tr>
      <w:tr w:rsidR="00885E80" w:rsidRPr="00F84ADB">
        <w:tblPrEx>
          <w:tblCellMar>
            <w:top w:w="0" w:type="dxa"/>
            <w:bottom w:w="0" w:type="dxa"/>
          </w:tblCellMar>
        </w:tblPrEx>
        <w:tc>
          <w:tcPr>
            <w:tcW w:w="1464" w:type="dxa"/>
            <w:tcBorders>
              <w:bottom w:val="single" w:sz="4" w:space="0" w:color="auto"/>
            </w:tcBorders>
            <w:shd w:val="clear" w:color="auto" w:fill="auto"/>
            <w:vAlign w:val="bottom"/>
          </w:tcPr>
          <w:p w:rsidR="00885E80" w:rsidRPr="00885E80" w:rsidRDefault="00885E80" w:rsidP="00885E80">
            <w:pPr>
              <w:spacing w:before="40" w:after="81" w:line="210" w:lineRule="exact"/>
              <w:rPr>
                <w:sz w:val="17"/>
                <w:szCs w:val="17"/>
                <w:lang w:val="fr-FR"/>
              </w:rPr>
            </w:pPr>
            <w:r w:rsidRPr="00885E80">
              <w:rPr>
                <w:sz w:val="17"/>
                <w:szCs w:val="17"/>
                <w:lang w:val="fr-FR"/>
              </w:rPr>
              <w:t>Supérieur</w:t>
            </w:r>
          </w:p>
        </w:tc>
        <w:tc>
          <w:tcPr>
            <w:tcW w:w="1464" w:type="dxa"/>
            <w:tcBorders>
              <w:bottom w:val="single" w:sz="4" w:space="0" w:color="auto"/>
            </w:tcBorders>
            <w:shd w:val="clear" w:color="auto" w:fill="auto"/>
            <w:vAlign w:val="bottom"/>
          </w:tcPr>
          <w:p w:rsidR="00885E80" w:rsidRPr="00885E80" w:rsidRDefault="00885E80" w:rsidP="00885E80">
            <w:pPr>
              <w:spacing w:before="40" w:after="81" w:line="210" w:lineRule="exact"/>
              <w:jc w:val="right"/>
              <w:rPr>
                <w:sz w:val="17"/>
                <w:szCs w:val="17"/>
                <w:lang w:val="fr-FR"/>
              </w:rPr>
            </w:pPr>
            <w:r w:rsidRPr="00885E80">
              <w:rPr>
                <w:sz w:val="17"/>
                <w:szCs w:val="17"/>
                <w:lang w:val="fr-FR"/>
              </w:rPr>
              <w:t>5 911</w:t>
            </w:r>
          </w:p>
        </w:tc>
        <w:tc>
          <w:tcPr>
            <w:tcW w:w="1464" w:type="dxa"/>
            <w:tcBorders>
              <w:bottom w:val="single" w:sz="4" w:space="0" w:color="auto"/>
            </w:tcBorders>
            <w:shd w:val="clear" w:color="auto" w:fill="auto"/>
            <w:vAlign w:val="bottom"/>
          </w:tcPr>
          <w:p w:rsidR="00885E80" w:rsidRPr="00885E80" w:rsidRDefault="00885E80" w:rsidP="00885E80">
            <w:pPr>
              <w:spacing w:before="40" w:after="81" w:line="210" w:lineRule="exact"/>
              <w:jc w:val="right"/>
              <w:rPr>
                <w:sz w:val="17"/>
                <w:szCs w:val="17"/>
                <w:lang w:val="fr-FR"/>
              </w:rPr>
            </w:pPr>
            <w:r w:rsidRPr="00885E80">
              <w:rPr>
                <w:sz w:val="17"/>
                <w:szCs w:val="17"/>
                <w:lang w:val="fr-FR"/>
              </w:rPr>
              <w:t>222</w:t>
            </w:r>
          </w:p>
        </w:tc>
        <w:tc>
          <w:tcPr>
            <w:tcW w:w="1464" w:type="dxa"/>
            <w:tcBorders>
              <w:bottom w:val="single" w:sz="4" w:space="0" w:color="auto"/>
            </w:tcBorders>
            <w:shd w:val="clear" w:color="auto" w:fill="auto"/>
          </w:tcPr>
          <w:p w:rsidR="00885E80" w:rsidRPr="00885E80" w:rsidRDefault="00885E80" w:rsidP="00885E80">
            <w:pPr>
              <w:spacing w:before="40" w:after="81" w:line="210" w:lineRule="exact"/>
              <w:jc w:val="right"/>
              <w:rPr>
                <w:sz w:val="17"/>
                <w:szCs w:val="17"/>
                <w:lang w:val="fr-FR"/>
              </w:rPr>
            </w:pPr>
            <w:r w:rsidRPr="00885E80">
              <w:rPr>
                <w:sz w:val="17"/>
                <w:szCs w:val="17"/>
                <w:lang w:val="fr-FR"/>
              </w:rPr>
              <w:t>3,8</w:t>
            </w:r>
          </w:p>
        </w:tc>
        <w:tc>
          <w:tcPr>
            <w:tcW w:w="1464" w:type="dxa"/>
            <w:tcBorders>
              <w:bottom w:val="single" w:sz="4" w:space="0" w:color="auto"/>
            </w:tcBorders>
            <w:shd w:val="clear" w:color="auto" w:fill="auto"/>
          </w:tcPr>
          <w:p w:rsidR="00885E80" w:rsidRPr="00885E80" w:rsidRDefault="00885E80" w:rsidP="00885E80">
            <w:pPr>
              <w:spacing w:before="40" w:after="81" w:line="210" w:lineRule="exact"/>
              <w:jc w:val="right"/>
              <w:rPr>
                <w:sz w:val="17"/>
                <w:szCs w:val="17"/>
                <w:lang w:val="fr-FR"/>
              </w:rPr>
            </w:pPr>
            <w:r w:rsidRPr="00885E80">
              <w:rPr>
                <w:sz w:val="17"/>
                <w:szCs w:val="17"/>
                <w:lang w:val="fr-FR"/>
              </w:rPr>
              <w:t xml:space="preserve">3,3-4,3 </w:t>
            </w:r>
          </w:p>
        </w:tc>
      </w:tr>
      <w:tr w:rsidR="00885E80" w:rsidRPr="00885E80">
        <w:tblPrEx>
          <w:tblCellMar>
            <w:top w:w="0" w:type="dxa"/>
            <w:bottom w:w="0" w:type="dxa"/>
          </w:tblCellMar>
        </w:tblPrEx>
        <w:tc>
          <w:tcPr>
            <w:tcW w:w="1464" w:type="dxa"/>
            <w:tcBorders>
              <w:top w:val="single" w:sz="4" w:space="0" w:color="auto"/>
              <w:bottom w:val="single" w:sz="12" w:space="0" w:color="auto"/>
            </w:tcBorders>
            <w:shd w:val="clear" w:color="auto" w:fill="auto"/>
            <w:vAlign w:val="bottom"/>
          </w:tcPr>
          <w:p w:rsidR="00885E80" w:rsidRPr="00885E80" w:rsidRDefault="00885E80" w:rsidP="00885E80">
            <w:pPr>
              <w:spacing w:before="81" w:after="81" w:line="210" w:lineRule="exact"/>
              <w:rPr>
                <w:b/>
                <w:sz w:val="17"/>
                <w:szCs w:val="17"/>
                <w:lang w:val="fr-FR"/>
              </w:rPr>
            </w:pPr>
            <w:r w:rsidRPr="00885E80">
              <w:rPr>
                <w:b/>
                <w:sz w:val="17"/>
                <w:szCs w:val="17"/>
                <w:lang w:val="fr-FR"/>
              </w:rPr>
              <w:t>Total</w:t>
            </w:r>
          </w:p>
        </w:tc>
        <w:tc>
          <w:tcPr>
            <w:tcW w:w="1464" w:type="dxa"/>
            <w:tcBorders>
              <w:top w:val="single" w:sz="4" w:space="0" w:color="auto"/>
              <w:bottom w:val="single" w:sz="12" w:space="0" w:color="auto"/>
            </w:tcBorders>
            <w:shd w:val="clear" w:color="auto" w:fill="auto"/>
            <w:vAlign w:val="bottom"/>
          </w:tcPr>
          <w:p w:rsidR="00885E80" w:rsidRPr="00885E80" w:rsidRDefault="00885E80" w:rsidP="00885E80">
            <w:pPr>
              <w:pStyle w:val="Footer"/>
              <w:tabs>
                <w:tab w:val="clear" w:pos="4320"/>
                <w:tab w:val="clear" w:pos="8640"/>
              </w:tabs>
              <w:spacing w:before="81" w:after="81"/>
              <w:jc w:val="right"/>
              <w:rPr>
                <w:szCs w:val="17"/>
                <w:lang w:val="fr-FR"/>
              </w:rPr>
            </w:pPr>
            <w:r w:rsidRPr="00885E80">
              <w:rPr>
                <w:szCs w:val="17"/>
                <w:lang w:val="fr-FR"/>
              </w:rPr>
              <w:t>36 902</w:t>
            </w:r>
          </w:p>
        </w:tc>
        <w:tc>
          <w:tcPr>
            <w:tcW w:w="1464" w:type="dxa"/>
            <w:tcBorders>
              <w:top w:val="single" w:sz="4" w:space="0" w:color="auto"/>
              <w:bottom w:val="single" w:sz="12" w:space="0" w:color="auto"/>
            </w:tcBorders>
            <w:shd w:val="clear" w:color="auto" w:fill="auto"/>
            <w:vAlign w:val="bottom"/>
          </w:tcPr>
          <w:p w:rsidR="00885E80" w:rsidRPr="00885E80" w:rsidRDefault="00885E80" w:rsidP="00885E80">
            <w:pPr>
              <w:spacing w:before="81" w:after="81" w:line="210" w:lineRule="exact"/>
              <w:jc w:val="right"/>
              <w:rPr>
                <w:b/>
                <w:sz w:val="17"/>
                <w:szCs w:val="17"/>
                <w:lang w:val="fr-FR"/>
              </w:rPr>
            </w:pPr>
            <w:r w:rsidRPr="00885E80">
              <w:rPr>
                <w:b/>
                <w:sz w:val="17"/>
                <w:szCs w:val="17"/>
                <w:lang w:val="fr-FR"/>
              </w:rPr>
              <w:t>1 623</w:t>
            </w:r>
          </w:p>
        </w:tc>
        <w:tc>
          <w:tcPr>
            <w:tcW w:w="1464" w:type="dxa"/>
            <w:tcBorders>
              <w:top w:val="single" w:sz="4" w:space="0" w:color="auto"/>
              <w:bottom w:val="single" w:sz="12" w:space="0" w:color="auto"/>
            </w:tcBorders>
            <w:shd w:val="clear" w:color="auto" w:fill="auto"/>
          </w:tcPr>
          <w:p w:rsidR="00885E80" w:rsidRPr="00885E80" w:rsidRDefault="00885E80" w:rsidP="00885E80">
            <w:pPr>
              <w:spacing w:before="81" w:after="81" w:line="210" w:lineRule="exact"/>
              <w:jc w:val="right"/>
              <w:rPr>
                <w:b/>
                <w:sz w:val="17"/>
                <w:szCs w:val="17"/>
                <w:lang w:val="fr-FR"/>
              </w:rPr>
            </w:pPr>
            <w:r w:rsidRPr="00885E80">
              <w:rPr>
                <w:b/>
                <w:sz w:val="17"/>
                <w:szCs w:val="17"/>
                <w:lang w:val="fr-FR"/>
              </w:rPr>
              <w:t>4,4</w:t>
            </w:r>
          </w:p>
        </w:tc>
        <w:tc>
          <w:tcPr>
            <w:tcW w:w="1464" w:type="dxa"/>
            <w:tcBorders>
              <w:top w:val="single" w:sz="4" w:space="0" w:color="auto"/>
              <w:bottom w:val="single" w:sz="12" w:space="0" w:color="auto"/>
            </w:tcBorders>
            <w:shd w:val="clear" w:color="auto" w:fill="auto"/>
          </w:tcPr>
          <w:p w:rsidR="00885E80" w:rsidRPr="00885E80" w:rsidRDefault="00885E80" w:rsidP="00885E80">
            <w:pPr>
              <w:spacing w:before="81" w:after="81" w:line="210" w:lineRule="exact"/>
              <w:jc w:val="right"/>
              <w:rPr>
                <w:b/>
                <w:sz w:val="17"/>
                <w:szCs w:val="17"/>
                <w:lang w:val="fr-FR"/>
              </w:rPr>
            </w:pPr>
            <w:r w:rsidRPr="00885E80">
              <w:rPr>
                <w:b/>
                <w:sz w:val="17"/>
                <w:szCs w:val="17"/>
                <w:lang w:val="fr-FR"/>
              </w:rPr>
              <w:t>4,2-4,6</w:t>
            </w:r>
          </w:p>
        </w:tc>
      </w:tr>
    </w:tbl>
    <w:p w:rsidR="00DF45EE" w:rsidRPr="00DF45EE" w:rsidRDefault="00DF45EE" w:rsidP="00DF45EE">
      <w:pPr>
        <w:pStyle w:val="SingleTxt"/>
        <w:spacing w:after="0" w:line="120" w:lineRule="exact"/>
        <w:jc w:val="left"/>
        <w:rPr>
          <w:b/>
          <w:sz w:val="10"/>
          <w:lang w:val="fr-FR"/>
        </w:rPr>
      </w:pPr>
    </w:p>
    <w:p w:rsidR="007051F6" w:rsidRPr="007051F6" w:rsidRDefault="00885E80" w:rsidP="00740CA4">
      <w:pPr>
        <w:pStyle w:val="SingleTxt"/>
        <w:rPr>
          <w:lang w:val="fr-FR"/>
        </w:rPr>
      </w:pPr>
      <w:r>
        <w:rPr>
          <w:lang w:val="fr-FR"/>
        </w:rPr>
        <w:tab/>
      </w:r>
      <w:r w:rsidR="007051F6" w:rsidRPr="007051F6">
        <w:rPr>
          <w:lang w:val="fr-FR"/>
        </w:rPr>
        <w:t>Le plus faible taux de prévalence (3,1%) a été relevé parmi les femmes qui n</w:t>
      </w:r>
      <w:r w:rsidR="000A3D87">
        <w:rPr>
          <w:lang w:val="fr-FR"/>
        </w:rPr>
        <w:t>’</w:t>
      </w:r>
      <w:r w:rsidR="007051F6" w:rsidRPr="007051F6">
        <w:rPr>
          <w:lang w:val="fr-FR"/>
        </w:rPr>
        <w:t>ont qu</w:t>
      </w:r>
      <w:r w:rsidR="000A3D87">
        <w:rPr>
          <w:lang w:val="fr-FR"/>
        </w:rPr>
        <w:t>’</w:t>
      </w:r>
      <w:r w:rsidR="007051F6" w:rsidRPr="007051F6">
        <w:rPr>
          <w:lang w:val="fr-FR"/>
        </w:rPr>
        <w:t>une éducation coranique. Les femmes avec le niveau du primaire et du secondaire avaient le taux de prévalence du VIH le plus élevé, comme l</w:t>
      </w:r>
      <w:r w:rsidR="000A3D87">
        <w:rPr>
          <w:lang w:val="fr-FR"/>
        </w:rPr>
        <w:t>’</w:t>
      </w:r>
      <w:r w:rsidR="007051F6" w:rsidRPr="007051F6">
        <w:rPr>
          <w:lang w:val="fr-FR"/>
        </w:rPr>
        <w:t>indique le Tableau 3.5.</w:t>
      </w:r>
    </w:p>
    <w:p w:rsidR="00E15507" w:rsidRDefault="00885E80" w:rsidP="00740CA4">
      <w:pPr>
        <w:pStyle w:val="SingleTxt"/>
        <w:rPr>
          <w:lang w:val="fr-FR"/>
        </w:rPr>
      </w:pPr>
      <w:r>
        <w:rPr>
          <w:lang w:val="fr-FR"/>
        </w:rPr>
        <w:tab/>
      </w:r>
      <w:r w:rsidR="00E15507" w:rsidRPr="005D6CD4">
        <w:rPr>
          <w:lang w:val="fr-FR"/>
        </w:rPr>
        <w:t>Les différences de la tendance de prévalence entre les femmes des zones et États différents sont présentées aux Tableaux … à … de l</w:t>
      </w:r>
      <w:r w:rsidR="000A3D87">
        <w:rPr>
          <w:lang w:val="fr-FR"/>
        </w:rPr>
        <w:t>’</w:t>
      </w:r>
      <w:r w:rsidR="00E15507" w:rsidRPr="005D6CD4">
        <w:rPr>
          <w:lang w:val="fr-FR"/>
        </w:rPr>
        <w:t>Appendice. Le Tableau 4 fait apparaitre les tendances différentes des projections de VIH entre les femmes et les hommes sur une période de cinq ans, mettant en évidence le caractère de la propagation déterminé par le sexe.</w:t>
      </w:r>
    </w:p>
    <w:p w:rsidR="00DF45EE" w:rsidRPr="00DF45EE" w:rsidRDefault="00DF45EE" w:rsidP="00DF45EE">
      <w:pPr>
        <w:pStyle w:val="SingleTxt"/>
        <w:jc w:val="left"/>
        <w:rPr>
          <w:lang w:val="fr-FR"/>
        </w:rPr>
      </w:pPr>
      <w:r w:rsidRPr="00DF45EE">
        <w:rPr>
          <w:b/>
          <w:bCs/>
          <w:i/>
          <w:lang w:val="fr-FR"/>
        </w:rPr>
        <w:t>Tableau 3.6.</w:t>
      </w:r>
      <w:r>
        <w:rPr>
          <w:b/>
          <w:bCs/>
          <w:i/>
          <w:lang w:val="fr-FR"/>
        </w:rPr>
        <w:br/>
      </w:r>
      <w:r w:rsidRPr="00DF45EE">
        <w:rPr>
          <w:b/>
          <w:bCs/>
          <w:i/>
          <w:lang w:val="fr-FR"/>
        </w:rPr>
        <w:t>VIH – Estimations et projections</w:t>
      </w:r>
      <w:r w:rsidRPr="00DF45EE">
        <w:rPr>
          <w:i/>
          <w:lang w:val="fr-FR"/>
        </w:rPr>
        <w:t> </w:t>
      </w:r>
    </w:p>
    <w:tbl>
      <w:tblPr>
        <w:tblW w:w="3641" w:type="pct"/>
        <w:jc w:val="center"/>
        <w:tblInd w:w="623" w:type="dxa"/>
        <w:tblLook w:val="0000"/>
      </w:tblPr>
      <w:tblGrid>
        <w:gridCol w:w="4051"/>
        <w:gridCol w:w="41"/>
        <w:gridCol w:w="1080"/>
        <w:gridCol w:w="1259"/>
        <w:gridCol w:w="899"/>
      </w:tblGrid>
      <w:tr w:rsidR="00885E80" w:rsidRPr="00885E80">
        <w:trPr>
          <w:trHeight w:val="255"/>
          <w:tblHeader/>
          <w:jc w:val="center"/>
        </w:trPr>
        <w:tc>
          <w:tcPr>
            <w:tcW w:w="2791" w:type="pct"/>
            <w:gridSpan w:val="2"/>
            <w:tcBorders>
              <w:top w:val="single" w:sz="4" w:space="0" w:color="auto"/>
              <w:bottom w:val="single" w:sz="12" w:space="0" w:color="auto"/>
            </w:tcBorders>
            <w:shd w:val="clear" w:color="auto" w:fill="auto"/>
            <w:noWrap/>
            <w:vAlign w:val="bottom"/>
          </w:tcPr>
          <w:p w:rsidR="00E15507" w:rsidRPr="00885E80" w:rsidRDefault="00E15507" w:rsidP="00885E80">
            <w:pPr>
              <w:suppressAutoHyphens/>
              <w:spacing w:before="80" w:after="80" w:line="160" w:lineRule="exact"/>
              <w:ind w:right="43"/>
              <w:rPr>
                <w:i/>
                <w:sz w:val="14"/>
                <w:szCs w:val="24"/>
                <w:lang w:val="fr-FR"/>
              </w:rPr>
            </w:pPr>
            <w:r w:rsidRPr="00885E80">
              <w:rPr>
                <w:i/>
                <w:sz w:val="14"/>
                <w:szCs w:val="24"/>
                <w:lang w:val="fr-FR"/>
              </w:rPr>
              <w:t> </w:t>
            </w:r>
          </w:p>
        </w:tc>
        <w:tc>
          <w:tcPr>
            <w:tcW w:w="737" w:type="pct"/>
            <w:tcBorders>
              <w:top w:val="single" w:sz="4" w:space="0" w:color="auto"/>
              <w:bottom w:val="single" w:sz="12" w:space="0" w:color="auto"/>
            </w:tcBorders>
            <w:shd w:val="clear" w:color="auto" w:fill="auto"/>
            <w:noWrap/>
            <w:vAlign w:val="bottom"/>
          </w:tcPr>
          <w:p w:rsidR="00E15507" w:rsidRPr="00885E80" w:rsidRDefault="00E15507" w:rsidP="00885E80">
            <w:pPr>
              <w:suppressAutoHyphens/>
              <w:spacing w:before="80" w:after="80" w:line="160" w:lineRule="exact"/>
              <w:ind w:right="43"/>
              <w:jc w:val="right"/>
              <w:rPr>
                <w:i/>
                <w:sz w:val="14"/>
                <w:szCs w:val="24"/>
                <w:lang w:val="fr-FR"/>
              </w:rPr>
            </w:pPr>
            <w:r w:rsidRPr="00885E80">
              <w:rPr>
                <w:i/>
                <w:sz w:val="14"/>
                <w:szCs w:val="24"/>
                <w:lang w:val="fr-FR"/>
              </w:rPr>
              <w:t>2005</w:t>
            </w:r>
          </w:p>
        </w:tc>
        <w:tc>
          <w:tcPr>
            <w:tcW w:w="859" w:type="pct"/>
            <w:tcBorders>
              <w:top w:val="single" w:sz="4" w:space="0" w:color="auto"/>
              <w:bottom w:val="single" w:sz="12" w:space="0" w:color="auto"/>
            </w:tcBorders>
            <w:shd w:val="clear" w:color="auto" w:fill="auto"/>
            <w:noWrap/>
            <w:vAlign w:val="bottom"/>
          </w:tcPr>
          <w:p w:rsidR="00E15507" w:rsidRPr="00885E80" w:rsidRDefault="00E15507" w:rsidP="00885E80">
            <w:pPr>
              <w:suppressAutoHyphens/>
              <w:spacing w:before="80" w:after="80" w:line="160" w:lineRule="exact"/>
              <w:ind w:right="43"/>
              <w:jc w:val="right"/>
              <w:rPr>
                <w:i/>
                <w:sz w:val="14"/>
                <w:szCs w:val="24"/>
                <w:lang w:val="fr-FR"/>
              </w:rPr>
            </w:pPr>
            <w:r w:rsidRPr="00885E80">
              <w:rPr>
                <w:i/>
                <w:sz w:val="14"/>
                <w:szCs w:val="24"/>
                <w:lang w:val="fr-FR"/>
              </w:rPr>
              <w:t>2006</w:t>
            </w:r>
          </w:p>
        </w:tc>
        <w:tc>
          <w:tcPr>
            <w:tcW w:w="613" w:type="pct"/>
            <w:tcBorders>
              <w:top w:val="single" w:sz="4" w:space="0" w:color="auto"/>
              <w:bottom w:val="single" w:sz="12" w:space="0" w:color="auto"/>
            </w:tcBorders>
            <w:shd w:val="clear" w:color="auto" w:fill="auto"/>
            <w:noWrap/>
            <w:vAlign w:val="bottom"/>
          </w:tcPr>
          <w:p w:rsidR="00E15507" w:rsidRPr="00885E80" w:rsidRDefault="00E15507" w:rsidP="00885E80">
            <w:pPr>
              <w:suppressAutoHyphens/>
              <w:spacing w:before="80" w:after="80" w:line="160" w:lineRule="exact"/>
              <w:ind w:right="43"/>
              <w:jc w:val="right"/>
              <w:rPr>
                <w:i/>
                <w:sz w:val="14"/>
                <w:szCs w:val="24"/>
                <w:lang w:val="fr-FR"/>
              </w:rPr>
            </w:pPr>
            <w:r w:rsidRPr="00885E80">
              <w:rPr>
                <w:i/>
                <w:sz w:val="14"/>
                <w:szCs w:val="24"/>
                <w:lang w:val="fr-FR"/>
              </w:rPr>
              <w:t>2010</w:t>
            </w:r>
          </w:p>
        </w:tc>
      </w:tr>
      <w:tr w:rsidR="00885E80" w:rsidRPr="00885E80">
        <w:trPr>
          <w:trHeight w:hRule="exact" w:val="115"/>
          <w:tblHeader/>
          <w:jc w:val="center"/>
        </w:trPr>
        <w:tc>
          <w:tcPr>
            <w:tcW w:w="2791" w:type="pct"/>
            <w:gridSpan w:val="2"/>
            <w:tcBorders>
              <w:top w:val="single" w:sz="12" w:space="0" w:color="auto"/>
            </w:tcBorders>
            <w:shd w:val="clear" w:color="auto" w:fill="C0C0C0"/>
            <w:noWrap/>
            <w:vAlign w:val="bottom"/>
          </w:tcPr>
          <w:p w:rsidR="00885E80" w:rsidRPr="00885E80" w:rsidRDefault="00885E80" w:rsidP="00885E80">
            <w:pPr>
              <w:suppressAutoHyphens/>
              <w:spacing w:before="40" w:after="40" w:line="210" w:lineRule="exact"/>
              <w:ind w:right="43"/>
              <w:rPr>
                <w:sz w:val="17"/>
                <w:szCs w:val="24"/>
                <w:lang w:val="fr-FR"/>
              </w:rPr>
            </w:pPr>
          </w:p>
        </w:tc>
        <w:tc>
          <w:tcPr>
            <w:tcW w:w="737" w:type="pct"/>
            <w:tcBorders>
              <w:top w:val="single" w:sz="12" w:space="0" w:color="auto"/>
            </w:tcBorders>
            <w:shd w:val="clear" w:color="auto" w:fill="C0C0C0"/>
            <w:noWrap/>
            <w:vAlign w:val="bottom"/>
          </w:tcPr>
          <w:p w:rsidR="00885E80" w:rsidRPr="00885E80" w:rsidRDefault="00885E80" w:rsidP="00885E80">
            <w:pPr>
              <w:suppressAutoHyphens/>
              <w:spacing w:before="40" w:after="40" w:line="210" w:lineRule="exact"/>
              <w:ind w:right="43"/>
              <w:rPr>
                <w:sz w:val="17"/>
                <w:szCs w:val="24"/>
                <w:lang w:val="fr-FR"/>
              </w:rPr>
            </w:pPr>
          </w:p>
        </w:tc>
        <w:tc>
          <w:tcPr>
            <w:tcW w:w="859" w:type="pct"/>
            <w:tcBorders>
              <w:top w:val="single" w:sz="12" w:space="0" w:color="auto"/>
            </w:tcBorders>
            <w:shd w:val="clear" w:color="auto" w:fill="C0C0C0"/>
            <w:noWrap/>
            <w:vAlign w:val="bottom"/>
          </w:tcPr>
          <w:p w:rsidR="00885E80" w:rsidRPr="00885E80" w:rsidRDefault="00885E80" w:rsidP="00885E80">
            <w:pPr>
              <w:suppressAutoHyphens/>
              <w:spacing w:before="40" w:after="40" w:line="210" w:lineRule="exact"/>
              <w:ind w:right="43"/>
              <w:rPr>
                <w:sz w:val="17"/>
                <w:szCs w:val="24"/>
                <w:lang w:val="fr-FR"/>
              </w:rPr>
            </w:pPr>
          </w:p>
        </w:tc>
        <w:tc>
          <w:tcPr>
            <w:tcW w:w="613" w:type="pct"/>
            <w:tcBorders>
              <w:top w:val="single" w:sz="12" w:space="0" w:color="auto"/>
            </w:tcBorders>
            <w:shd w:val="clear" w:color="auto" w:fill="C0C0C0"/>
            <w:noWrap/>
            <w:vAlign w:val="bottom"/>
          </w:tcPr>
          <w:p w:rsidR="00885E80" w:rsidRPr="00885E80" w:rsidRDefault="00885E80" w:rsidP="00885E80">
            <w:pPr>
              <w:suppressAutoHyphens/>
              <w:spacing w:before="40" w:after="40" w:line="210" w:lineRule="exact"/>
              <w:ind w:right="43"/>
              <w:rPr>
                <w:sz w:val="17"/>
                <w:szCs w:val="24"/>
                <w:lang w:val="fr-FR"/>
              </w:rPr>
            </w:pPr>
          </w:p>
        </w:tc>
      </w:tr>
      <w:tr w:rsidR="00E15507" w:rsidRPr="00885E80">
        <w:trPr>
          <w:trHeight w:val="255"/>
          <w:jc w:val="center"/>
        </w:trPr>
        <w:tc>
          <w:tcPr>
            <w:tcW w:w="2791" w:type="pct"/>
            <w:gridSpan w:val="2"/>
            <w:shd w:val="clear" w:color="auto" w:fill="C0C0C0"/>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rPr>
                <w:sz w:val="17"/>
                <w:szCs w:val="24"/>
                <w:lang w:val="fr-FR"/>
              </w:rPr>
            </w:pPr>
            <w:r w:rsidRPr="00885E80">
              <w:rPr>
                <w:sz w:val="17"/>
                <w:szCs w:val="24"/>
                <w:lang w:val="fr-FR"/>
              </w:rPr>
              <w:t xml:space="preserve">  Population totale atteinte de VIH (millions)</w:t>
            </w:r>
          </w:p>
        </w:tc>
        <w:tc>
          <w:tcPr>
            <w:tcW w:w="737" w:type="pct"/>
            <w:shd w:val="clear" w:color="auto" w:fill="C0C0C0"/>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jc w:val="right"/>
              <w:rPr>
                <w:sz w:val="17"/>
                <w:szCs w:val="24"/>
                <w:lang w:val="fr-FR"/>
              </w:rPr>
            </w:pPr>
            <w:r w:rsidRPr="00885E80">
              <w:rPr>
                <w:sz w:val="17"/>
                <w:szCs w:val="24"/>
                <w:lang w:val="fr-FR"/>
              </w:rPr>
              <w:t>2,86</w:t>
            </w:r>
          </w:p>
        </w:tc>
        <w:tc>
          <w:tcPr>
            <w:tcW w:w="859" w:type="pct"/>
            <w:shd w:val="clear" w:color="auto" w:fill="C0C0C0"/>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jc w:val="right"/>
              <w:rPr>
                <w:sz w:val="17"/>
                <w:szCs w:val="24"/>
                <w:lang w:val="fr-FR"/>
              </w:rPr>
            </w:pPr>
            <w:r w:rsidRPr="00885E80">
              <w:rPr>
                <w:sz w:val="17"/>
                <w:szCs w:val="24"/>
                <w:lang w:val="fr-FR"/>
              </w:rPr>
              <w:t>2,99</w:t>
            </w:r>
          </w:p>
        </w:tc>
        <w:tc>
          <w:tcPr>
            <w:tcW w:w="613" w:type="pct"/>
            <w:shd w:val="clear" w:color="auto" w:fill="C0C0C0"/>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jc w:val="right"/>
              <w:rPr>
                <w:sz w:val="17"/>
                <w:szCs w:val="24"/>
                <w:lang w:val="fr-FR"/>
              </w:rPr>
            </w:pPr>
            <w:r w:rsidRPr="00885E80">
              <w:rPr>
                <w:sz w:val="17"/>
                <w:szCs w:val="24"/>
                <w:lang w:val="fr-FR"/>
              </w:rPr>
              <w:t>3,4</w:t>
            </w:r>
          </w:p>
        </w:tc>
      </w:tr>
      <w:tr w:rsidR="00E15507" w:rsidRPr="00885E80">
        <w:trPr>
          <w:trHeight w:val="255"/>
          <w:jc w:val="center"/>
        </w:trPr>
        <w:tc>
          <w:tcPr>
            <w:tcW w:w="2791" w:type="pct"/>
            <w:gridSpan w:val="2"/>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rPr>
                <w:sz w:val="17"/>
                <w:szCs w:val="24"/>
                <w:lang w:val="fr-FR"/>
              </w:rPr>
            </w:pPr>
            <w:r w:rsidRPr="00885E80">
              <w:rPr>
                <w:sz w:val="17"/>
                <w:szCs w:val="24"/>
                <w:lang w:val="fr-FR"/>
              </w:rPr>
              <w:t xml:space="preserve">  Hommes</w:t>
            </w:r>
          </w:p>
        </w:tc>
        <w:tc>
          <w:tcPr>
            <w:tcW w:w="737" w:type="pct"/>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jc w:val="right"/>
              <w:rPr>
                <w:sz w:val="17"/>
                <w:szCs w:val="24"/>
                <w:lang w:val="fr-FR"/>
              </w:rPr>
            </w:pPr>
            <w:r w:rsidRPr="00885E80">
              <w:rPr>
                <w:sz w:val="17"/>
                <w:szCs w:val="24"/>
                <w:lang w:val="fr-FR"/>
              </w:rPr>
              <w:t>1,19</w:t>
            </w:r>
          </w:p>
        </w:tc>
        <w:tc>
          <w:tcPr>
            <w:tcW w:w="859" w:type="pct"/>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jc w:val="right"/>
              <w:rPr>
                <w:sz w:val="17"/>
                <w:szCs w:val="24"/>
                <w:lang w:val="fr-FR"/>
              </w:rPr>
            </w:pPr>
            <w:r w:rsidRPr="00885E80">
              <w:rPr>
                <w:sz w:val="17"/>
                <w:szCs w:val="24"/>
                <w:lang w:val="fr-FR"/>
              </w:rPr>
              <w:t>1,25</w:t>
            </w:r>
          </w:p>
        </w:tc>
        <w:tc>
          <w:tcPr>
            <w:tcW w:w="613" w:type="pct"/>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jc w:val="right"/>
              <w:rPr>
                <w:sz w:val="17"/>
                <w:szCs w:val="24"/>
                <w:lang w:val="fr-FR"/>
              </w:rPr>
            </w:pPr>
            <w:r w:rsidRPr="00885E80">
              <w:rPr>
                <w:sz w:val="17"/>
                <w:szCs w:val="24"/>
                <w:lang w:val="fr-FR"/>
              </w:rPr>
              <w:t>1,42</w:t>
            </w:r>
          </w:p>
        </w:tc>
      </w:tr>
      <w:tr w:rsidR="00E15507" w:rsidRPr="00885E80">
        <w:trPr>
          <w:trHeight w:val="255"/>
          <w:jc w:val="center"/>
        </w:trPr>
        <w:tc>
          <w:tcPr>
            <w:tcW w:w="2791" w:type="pct"/>
            <w:gridSpan w:val="2"/>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rPr>
                <w:sz w:val="17"/>
                <w:szCs w:val="24"/>
                <w:lang w:val="fr-FR"/>
              </w:rPr>
            </w:pPr>
            <w:r w:rsidRPr="00885E80">
              <w:rPr>
                <w:sz w:val="17"/>
                <w:szCs w:val="24"/>
                <w:lang w:val="fr-FR"/>
              </w:rPr>
              <w:t xml:space="preserve">  Femmes</w:t>
            </w:r>
          </w:p>
        </w:tc>
        <w:tc>
          <w:tcPr>
            <w:tcW w:w="737" w:type="pct"/>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jc w:val="right"/>
              <w:rPr>
                <w:sz w:val="17"/>
                <w:szCs w:val="24"/>
                <w:lang w:val="fr-FR"/>
              </w:rPr>
            </w:pPr>
            <w:r w:rsidRPr="00885E80">
              <w:rPr>
                <w:sz w:val="17"/>
                <w:szCs w:val="24"/>
                <w:lang w:val="fr-FR"/>
              </w:rPr>
              <w:t>1,67</w:t>
            </w:r>
          </w:p>
        </w:tc>
        <w:tc>
          <w:tcPr>
            <w:tcW w:w="859" w:type="pct"/>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jc w:val="right"/>
              <w:rPr>
                <w:sz w:val="17"/>
                <w:szCs w:val="24"/>
                <w:lang w:val="fr-FR"/>
              </w:rPr>
            </w:pPr>
            <w:r w:rsidRPr="00885E80">
              <w:rPr>
                <w:sz w:val="17"/>
                <w:szCs w:val="24"/>
                <w:lang w:val="fr-FR"/>
              </w:rPr>
              <w:t>1,74</w:t>
            </w:r>
          </w:p>
        </w:tc>
        <w:tc>
          <w:tcPr>
            <w:tcW w:w="613" w:type="pct"/>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jc w:val="right"/>
              <w:rPr>
                <w:sz w:val="17"/>
                <w:szCs w:val="24"/>
                <w:lang w:val="fr-FR"/>
              </w:rPr>
            </w:pPr>
            <w:r w:rsidRPr="00885E80">
              <w:rPr>
                <w:sz w:val="17"/>
                <w:szCs w:val="24"/>
                <w:lang w:val="fr-FR"/>
              </w:rPr>
              <w:t>1,98</w:t>
            </w:r>
          </w:p>
        </w:tc>
      </w:tr>
      <w:tr w:rsidR="00E15507" w:rsidRPr="00885E80">
        <w:trPr>
          <w:trHeight w:val="255"/>
          <w:jc w:val="center"/>
        </w:trPr>
        <w:tc>
          <w:tcPr>
            <w:tcW w:w="2791" w:type="pct"/>
            <w:gridSpan w:val="2"/>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rPr>
                <w:sz w:val="17"/>
                <w:szCs w:val="24"/>
                <w:lang w:val="fr-FR"/>
              </w:rPr>
            </w:pPr>
            <w:r w:rsidRPr="00885E80">
              <w:rPr>
                <w:sz w:val="17"/>
                <w:szCs w:val="24"/>
                <w:lang w:val="fr-FR"/>
              </w:rPr>
              <w:t>Prévalence de VIH chez les adultes</w:t>
            </w:r>
          </w:p>
        </w:tc>
        <w:tc>
          <w:tcPr>
            <w:tcW w:w="737" w:type="pct"/>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jc w:val="right"/>
              <w:rPr>
                <w:sz w:val="17"/>
                <w:szCs w:val="24"/>
                <w:lang w:val="fr-FR"/>
              </w:rPr>
            </w:pPr>
            <w:r w:rsidRPr="00885E80">
              <w:rPr>
                <w:sz w:val="17"/>
                <w:szCs w:val="24"/>
                <w:lang w:val="fr-FR"/>
              </w:rPr>
              <w:t xml:space="preserve">3,86 </w:t>
            </w:r>
          </w:p>
        </w:tc>
        <w:tc>
          <w:tcPr>
            <w:tcW w:w="859" w:type="pct"/>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jc w:val="right"/>
              <w:rPr>
                <w:sz w:val="17"/>
                <w:szCs w:val="24"/>
                <w:lang w:val="fr-FR"/>
              </w:rPr>
            </w:pPr>
            <w:r w:rsidRPr="00885E80">
              <w:rPr>
                <w:sz w:val="17"/>
                <w:szCs w:val="24"/>
                <w:lang w:val="fr-FR"/>
              </w:rPr>
              <w:t>3,89</w:t>
            </w:r>
          </w:p>
        </w:tc>
        <w:tc>
          <w:tcPr>
            <w:tcW w:w="613" w:type="pct"/>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jc w:val="right"/>
              <w:rPr>
                <w:sz w:val="17"/>
                <w:szCs w:val="24"/>
                <w:lang w:val="fr-FR"/>
              </w:rPr>
            </w:pPr>
            <w:r w:rsidRPr="00885E80">
              <w:rPr>
                <w:sz w:val="17"/>
                <w:szCs w:val="24"/>
                <w:lang w:val="fr-FR"/>
              </w:rPr>
              <w:t>3,89</w:t>
            </w:r>
          </w:p>
        </w:tc>
      </w:tr>
      <w:tr w:rsidR="00E15507" w:rsidRPr="00885E80">
        <w:trPr>
          <w:trHeight w:val="255"/>
          <w:jc w:val="center"/>
        </w:trPr>
        <w:tc>
          <w:tcPr>
            <w:tcW w:w="2791" w:type="pct"/>
            <w:gridSpan w:val="2"/>
            <w:shd w:val="clear" w:color="auto" w:fill="CCCCCC"/>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rPr>
                <w:sz w:val="17"/>
                <w:szCs w:val="24"/>
                <w:lang w:val="fr-FR"/>
              </w:rPr>
            </w:pPr>
            <w:r w:rsidRPr="00885E80">
              <w:rPr>
                <w:sz w:val="17"/>
                <w:szCs w:val="24"/>
                <w:lang w:val="fr-FR"/>
              </w:rPr>
              <w:t>Nouvelles infections au VIH</w:t>
            </w:r>
          </w:p>
        </w:tc>
        <w:tc>
          <w:tcPr>
            <w:tcW w:w="737" w:type="pct"/>
            <w:shd w:val="clear" w:color="auto" w:fill="CCCCCC"/>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rPr>
                <w:sz w:val="17"/>
                <w:szCs w:val="24"/>
                <w:lang w:val="fr-FR"/>
              </w:rPr>
            </w:pPr>
          </w:p>
        </w:tc>
        <w:tc>
          <w:tcPr>
            <w:tcW w:w="859" w:type="pct"/>
            <w:shd w:val="clear" w:color="auto" w:fill="CCCCCC"/>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rPr>
                <w:sz w:val="17"/>
                <w:szCs w:val="24"/>
                <w:lang w:val="fr-FR"/>
              </w:rPr>
            </w:pPr>
          </w:p>
        </w:tc>
        <w:tc>
          <w:tcPr>
            <w:tcW w:w="613" w:type="pct"/>
            <w:shd w:val="clear" w:color="auto" w:fill="CCCCCC"/>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rPr>
                <w:sz w:val="17"/>
                <w:szCs w:val="24"/>
                <w:lang w:val="fr-FR"/>
              </w:rPr>
            </w:pPr>
          </w:p>
        </w:tc>
      </w:tr>
      <w:tr w:rsidR="00E15507" w:rsidRPr="00885E80">
        <w:trPr>
          <w:trHeight w:val="255"/>
          <w:jc w:val="center"/>
        </w:trPr>
        <w:tc>
          <w:tcPr>
            <w:tcW w:w="2791" w:type="pct"/>
            <w:gridSpan w:val="2"/>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rPr>
                <w:sz w:val="17"/>
                <w:szCs w:val="24"/>
                <w:lang w:val="fr-FR"/>
              </w:rPr>
            </w:pPr>
            <w:r w:rsidRPr="00885E80">
              <w:rPr>
                <w:sz w:val="17"/>
                <w:szCs w:val="24"/>
                <w:lang w:val="fr-FR"/>
              </w:rPr>
              <w:t>Nouvelles infections chez les adultes (milliers)</w:t>
            </w:r>
          </w:p>
        </w:tc>
        <w:tc>
          <w:tcPr>
            <w:tcW w:w="737" w:type="pct"/>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jc w:val="right"/>
              <w:rPr>
                <w:sz w:val="17"/>
                <w:szCs w:val="24"/>
                <w:lang w:val="fr-FR"/>
              </w:rPr>
            </w:pPr>
            <w:r w:rsidRPr="00885E80">
              <w:rPr>
                <w:sz w:val="17"/>
                <w:szCs w:val="24"/>
                <w:lang w:val="fr-FR"/>
              </w:rPr>
              <w:t>296,32</w:t>
            </w:r>
          </w:p>
        </w:tc>
        <w:tc>
          <w:tcPr>
            <w:tcW w:w="859" w:type="pct"/>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jc w:val="right"/>
              <w:rPr>
                <w:sz w:val="17"/>
                <w:szCs w:val="24"/>
                <w:lang w:val="fr-FR"/>
              </w:rPr>
            </w:pPr>
            <w:r w:rsidRPr="00885E80">
              <w:rPr>
                <w:sz w:val="17"/>
                <w:szCs w:val="24"/>
                <w:lang w:val="fr-FR"/>
              </w:rPr>
              <w:t>305,08</w:t>
            </w:r>
          </w:p>
        </w:tc>
        <w:tc>
          <w:tcPr>
            <w:tcW w:w="613" w:type="pct"/>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jc w:val="right"/>
              <w:rPr>
                <w:sz w:val="17"/>
                <w:szCs w:val="24"/>
                <w:lang w:val="fr-FR"/>
              </w:rPr>
            </w:pPr>
            <w:r w:rsidRPr="00885E80">
              <w:rPr>
                <w:sz w:val="17"/>
                <w:szCs w:val="24"/>
                <w:lang w:val="fr-FR"/>
              </w:rPr>
              <w:t>346,15</w:t>
            </w:r>
          </w:p>
        </w:tc>
      </w:tr>
      <w:tr w:rsidR="00E15507" w:rsidRPr="00885E80">
        <w:trPr>
          <w:trHeight w:val="255"/>
          <w:jc w:val="center"/>
        </w:trPr>
        <w:tc>
          <w:tcPr>
            <w:tcW w:w="2791" w:type="pct"/>
            <w:gridSpan w:val="2"/>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rPr>
                <w:sz w:val="17"/>
                <w:szCs w:val="24"/>
                <w:lang w:val="fr-FR"/>
              </w:rPr>
            </w:pPr>
            <w:r w:rsidRPr="00885E80">
              <w:rPr>
                <w:sz w:val="17"/>
                <w:szCs w:val="24"/>
                <w:lang w:val="fr-FR"/>
              </w:rPr>
              <w:t>Nouvelles infections chez les enfants (milliers)</w:t>
            </w:r>
          </w:p>
        </w:tc>
        <w:tc>
          <w:tcPr>
            <w:tcW w:w="737" w:type="pct"/>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jc w:val="right"/>
              <w:rPr>
                <w:sz w:val="17"/>
                <w:szCs w:val="24"/>
                <w:lang w:val="fr-FR"/>
              </w:rPr>
            </w:pPr>
            <w:r w:rsidRPr="00885E80">
              <w:rPr>
                <w:sz w:val="17"/>
                <w:szCs w:val="24"/>
                <w:lang w:val="fr-FR"/>
              </w:rPr>
              <w:t>73,55</w:t>
            </w:r>
          </w:p>
        </w:tc>
        <w:tc>
          <w:tcPr>
            <w:tcW w:w="859" w:type="pct"/>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jc w:val="right"/>
              <w:rPr>
                <w:sz w:val="17"/>
                <w:szCs w:val="24"/>
                <w:lang w:val="fr-FR"/>
              </w:rPr>
            </w:pPr>
            <w:r w:rsidRPr="00885E80">
              <w:rPr>
                <w:sz w:val="17"/>
                <w:szCs w:val="24"/>
                <w:lang w:val="fr-FR"/>
              </w:rPr>
              <w:t>74,52</w:t>
            </w:r>
          </w:p>
        </w:tc>
        <w:tc>
          <w:tcPr>
            <w:tcW w:w="613" w:type="pct"/>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jc w:val="right"/>
              <w:rPr>
                <w:sz w:val="17"/>
                <w:szCs w:val="24"/>
                <w:lang w:val="fr-FR"/>
              </w:rPr>
            </w:pPr>
            <w:r w:rsidRPr="00885E80">
              <w:rPr>
                <w:sz w:val="17"/>
                <w:szCs w:val="24"/>
                <w:lang w:val="fr-FR"/>
              </w:rPr>
              <w:t>75,78</w:t>
            </w:r>
          </w:p>
        </w:tc>
      </w:tr>
      <w:tr w:rsidR="00E15507" w:rsidRPr="00885E80">
        <w:trPr>
          <w:trHeight w:val="255"/>
          <w:jc w:val="center"/>
        </w:trPr>
        <w:tc>
          <w:tcPr>
            <w:tcW w:w="4387" w:type="pct"/>
            <w:gridSpan w:val="4"/>
            <w:shd w:val="clear" w:color="auto" w:fill="C0C0C0"/>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rPr>
                <w:sz w:val="17"/>
                <w:szCs w:val="24"/>
                <w:lang w:val="fr-FR"/>
              </w:rPr>
            </w:pPr>
            <w:r w:rsidRPr="00885E80">
              <w:rPr>
                <w:sz w:val="17"/>
                <w:szCs w:val="24"/>
                <w:lang w:val="fr-FR"/>
              </w:rPr>
              <w:t xml:space="preserve">Nouveaux cas de </w:t>
            </w:r>
            <w:r w:rsidR="00940485" w:rsidRPr="00885E80">
              <w:rPr>
                <w:sz w:val="17"/>
                <w:szCs w:val="24"/>
                <w:lang w:val="fr-FR"/>
              </w:rPr>
              <w:t>sida</w:t>
            </w:r>
            <w:r w:rsidRPr="00885E80">
              <w:rPr>
                <w:sz w:val="17"/>
                <w:szCs w:val="24"/>
                <w:lang w:val="fr-FR"/>
              </w:rPr>
              <w:t xml:space="preserve"> (milliers) </w:t>
            </w:r>
          </w:p>
        </w:tc>
        <w:tc>
          <w:tcPr>
            <w:tcW w:w="613" w:type="pct"/>
            <w:shd w:val="clear" w:color="auto" w:fill="C0C0C0"/>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rPr>
                <w:sz w:val="17"/>
                <w:szCs w:val="24"/>
                <w:lang w:val="fr-FR"/>
              </w:rPr>
            </w:pPr>
            <w:r w:rsidRPr="00885E80">
              <w:rPr>
                <w:sz w:val="17"/>
                <w:szCs w:val="24"/>
                <w:lang w:val="fr-FR"/>
              </w:rPr>
              <w:t> </w:t>
            </w:r>
          </w:p>
        </w:tc>
      </w:tr>
      <w:tr w:rsidR="00E15507" w:rsidRPr="00885E80">
        <w:trPr>
          <w:trHeight w:val="255"/>
          <w:jc w:val="center"/>
        </w:trPr>
        <w:tc>
          <w:tcPr>
            <w:tcW w:w="2791" w:type="pct"/>
            <w:gridSpan w:val="2"/>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rPr>
                <w:sz w:val="17"/>
                <w:szCs w:val="24"/>
                <w:lang w:val="fr-FR"/>
              </w:rPr>
            </w:pPr>
            <w:r w:rsidRPr="00885E80">
              <w:rPr>
                <w:sz w:val="17"/>
                <w:szCs w:val="24"/>
                <w:lang w:val="fr-FR"/>
              </w:rPr>
              <w:t xml:space="preserve">  Total</w:t>
            </w:r>
          </w:p>
        </w:tc>
        <w:tc>
          <w:tcPr>
            <w:tcW w:w="737" w:type="pct"/>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jc w:val="right"/>
              <w:rPr>
                <w:sz w:val="17"/>
                <w:szCs w:val="24"/>
                <w:lang w:val="fr-FR"/>
              </w:rPr>
            </w:pPr>
            <w:r w:rsidRPr="00885E80">
              <w:rPr>
                <w:sz w:val="17"/>
                <w:szCs w:val="24"/>
                <w:lang w:val="fr-FR"/>
              </w:rPr>
              <w:t>247,70</w:t>
            </w:r>
          </w:p>
        </w:tc>
        <w:tc>
          <w:tcPr>
            <w:tcW w:w="859" w:type="pct"/>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jc w:val="right"/>
              <w:rPr>
                <w:sz w:val="17"/>
                <w:szCs w:val="24"/>
                <w:lang w:val="fr-FR"/>
              </w:rPr>
            </w:pPr>
            <w:r w:rsidRPr="00885E80">
              <w:rPr>
                <w:sz w:val="17"/>
                <w:szCs w:val="24"/>
                <w:lang w:val="fr-FR"/>
              </w:rPr>
              <w:t>263,04</w:t>
            </w:r>
          </w:p>
        </w:tc>
        <w:tc>
          <w:tcPr>
            <w:tcW w:w="613" w:type="pct"/>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jc w:val="right"/>
              <w:rPr>
                <w:sz w:val="17"/>
                <w:szCs w:val="24"/>
                <w:lang w:val="fr-FR"/>
              </w:rPr>
            </w:pPr>
            <w:r w:rsidRPr="00885E80">
              <w:rPr>
                <w:sz w:val="17"/>
                <w:szCs w:val="24"/>
                <w:lang w:val="fr-FR"/>
              </w:rPr>
              <w:t>308,82</w:t>
            </w:r>
          </w:p>
        </w:tc>
      </w:tr>
      <w:tr w:rsidR="00E15507" w:rsidRPr="00885E80">
        <w:trPr>
          <w:trHeight w:val="255"/>
          <w:jc w:val="center"/>
        </w:trPr>
        <w:tc>
          <w:tcPr>
            <w:tcW w:w="2791" w:type="pct"/>
            <w:gridSpan w:val="2"/>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rPr>
                <w:sz w:val="17"/>
                <w:szCs w:val="24"/>
                <w:lang w:val="fr-FR"/>
              </w:rPr>
            </w:pPr>
            <w:r w:rsidRPr="00885E80">
              <w:rPr>
                <w:sz w:val="17"/>
                <w:szCs w:val="24"/>
                <w:lang w:val="fr-FR"/>
              </w:rPr>
              <w:t xml:space="preserve">  Hommes</w:t>
            </w:r>
          </w:p>
        </w:tc>
        <w:tc>
          <w:tcPr>
            <w:tcW w:w="737" w:type="pct"/>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jc w:val="right"/>
              <w:rPr>
                <w:sz w:val="17"/>
                <w:szCs w:val="24"/>
                <w:lang w:val="fr-FR"/>
              </w:rPr>
            </w:pPr>
            <w:r w:rsidRPr="00885E80">
              <w:rPr>
                <w:sz w:val="17"/>
                <w:szCs w:val="24"/>
                <w:lang w:val="fr-FR"/>
              </w:rPr>
              <w:t>109,64</w:t>
            </w:r>
          </w:p>
        </w:tc>
        <w:tc>
          <w:tcPr>
            <w:tcW w:w="859" w:type="pct"/>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jc w:val="right"/>
              <w:rPr>
                <w:sz w:val="17"/>
                <w:szCs w:val="24"/>
                <w:lang w:val="fr-FR"/>
              </w:rPr>
            </w:pPr>
            <w:r w:rsidRPr="00885E80">
              <w:rPr>
                <w:sz w:val="17"/>
                <w:szCs w:val="24"/>
                <w:lang w:val="fr-FR"/>
              </w:rPr>
              <w:t>115,89</w:t>
            </w:r>
          </w:p>
        </w:tc>
        <w:tc>
          <w:tcPr>
            <w:tcW w:w="613" w:type="pct"/>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jc w:val="right"/>
              <w:rPr>
                <w:sz w:val="17"/>
                <w:szCs w:val="24"/>
                <w:lang w:val="fr-FR"/>
              </w:rPr>
            </w:pPr>
            <w:r w:rsidRPr="00885E80">
              <w:rPr>
                <w:sz w:val="17"/>
                <w:szCs w:val="24"/>
                <w:lang w:val="fr-FR"/>
              </w:rPr>
              <w:t>136,04</w:t>
            </w:r>
          </w:p>
        </w:tc>
      </w:tr>
      <w:tr w:rsidR="00E15507" w:rsidRPr="00885E80">
        <w:trPr>
          <w:trHeight w:val="255"/>
          <w:jc w:val="center"/>
        </w:trPr>
        <w:tc>
          <w:tcPr>
            <w:tcW w:w="2791" w:type="pct"/>
            <w:gridSpan w:val="2"/>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rPr>
                <w:sz w:val="17"/>
                <w:szCs w:val="24"/>
                <w:lang w:val="fr-FR"/>
              </w:rPr>
            </w:pPr>
            <w:r w:rsidRPr="00885E80">
              <w:rPr>
                <w:sz w:val="17"/>
                <w:szCs w:val="24"/>
                <w:lang w:val="fr-FR"/>
              </w:rPr>
              <w:t xml:space="preserve">  Femmes</w:t>
            </w:r>
          </w:p>
        </w:tc>
        <w:tc>
          <w:tcPr>
            <w:tcW w:w="737" w:type="pct"/>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jc w:val="right"/>
              <w:rPr>
                <w:sz w:val="17"/>
                <w:szCs w:val="24"/>
                <w:lang w:val="fr-FR"/>
              </w:rPr>
            </w:pPr>
            <w:r w:rsidRPr="00885E80">
              <w:rPr>
                <w:sz w:val="17"/>
                <w:szCs w:val="24"/>
                <w:lang w:val="fr-FR"/>
              </w:rPr>
              <w:t>138,05</w:t>
            </w:r>
          </w:p>
        </w:tc>
        <w:tc>
          <w:tcPr>
            <w:tcW w:w="859" w:type="pct"/>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jc w:val="right"/>
              <w:rPr>
                <w:sz w:val="17"/>
                <w:szCs w:val="24"/>
                <w:lang w:val="fr-FR"/>
              </w:rPr>
            </w:pPr>
            <w:r w:rsidRPr="00885E80">
              <w:rPr>
                <w:sz w:val="17"/>
                <w:szCs w:val="24"/>
                <w:lang w:val="fr-FR"/>
              </w:rPr>
              <w:t>147,15</w:t>
            </w:r>
          </w:p>
        </w:tc>
        <w:tc>
          <w:tcPr>
            <w:tcW w:w="613" w:type="pct"/>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jc w:val="right"/>
              <w:rPr>
                <w:sz w:val="17"/>
                <w:szCs w:val="24"/>
                <w:lang w:val="fr-FR"/>
              </w:rPr>
            </w:pPr>
            <w:r w:rsidRPr="00885E80">
              <w:rPr>
                <w:sz w:val="17"/>
                <w:szCs w:val="24"/>
                <w:lang w:val="fr-FR"/>
              </w:rPr>
              <w:t>172,78</w:t>
            </w:r>
          </w:p>
        </w:tc>
      </w:tr>
      <w:tr w:rsidR="00E15507" w:rsidRPr="00885E80">
        <w:trPr>
          <w:trHeight w:val="255"/>
          <w:jc w:val="center"/>
        </w:trPr>
        <w:tc>
          <w:tcPr>
            <w:tcW w:w="4387" w:type="pct"/>
            <w:gridSpan w:val="4"/>
            <w:shd w:val="clear" w:color="auto" w:fill="C0C0C0"/>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rPr>
                <w:sz w:val="17"/>
                <w:szCs w:val="24"/>
                <w:lang w:val="fr-FR"/>
              </w:rPr>
            </w:pPr>
            <w:r w:rsidRPr="00885E80">
              <w:rPr>
                <w:sz w:val="17"/>
                <w:szCs w:val="24"/>
                <w:lang w:val="fr-FR"/>
              </w:rPr>
              <w:t>Programme TAR (milliers)</w:t>
            </w:r>
          </w:p>
        </w:tc>
        <w:tc>
          <w:tcPr>
            <w:tcW w:w="613" w:type="pct"/>
            <w:shd w:val="clear" w:color="auto" w:fill="C0C0C0"/>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rPr>
                <w:sz w:val="17"/>
                <w:szCs w:val="24"/>
                <w:lang w:val="fr-FR"/>
              </w:rPr>
            </w:pPr>
          </w:p>
        </w:tc>
      </w:tr>
      <w:tr w:rsidR="00E15507" w:rsidRPr="00885E80">
        <w:trPr>
          <w:trHeight w:val="255"/>
          <w:jc w:val="center"/>
        </w:trPr>
        <w:tc>
          <w:tcPr>
            <w:tcW w:w="2791" w:type="pct"/>
            <w:gridSpan w:val="2"/>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rPr>
                <w:sz w:val="17"/>
                <w:szCs w:val="24"/>
                <w:lang w:val="fr-FR"/>
              </w:rPr>
            </w:pPr>
            <w:r w:rsidRPr="00885E80">
              <w:rPr>
                <w:sz w:val="17"/>
                <w:szCs w:val="24"/>
                <w:lang w:val="fr-FR"/>
              </w:rPr>
              <w:t>Total nécessitant le TAR (adultes)</w:t>
            </w:r>
          </w:p>
        </w:tc>
        <w:tc>
          <w:tcPr>
            <w:tcW w:w="737" w:type="pct"/>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jc w:val="right"/>
              <w:rPr>
                <w:sz w:val="17"/>
                <w:szCs w:val="24"/>
                <w:lang w:val="fr-FR"/>
              </w:rPr>
            </w:pPr>
            <w:r w:rsidRPr="00885E80">
              <w:rPr>
                <w:sz w:val="17"/>
                <w:szCs w:val="24"/>
                <w:lang w:val="fr-FR"/>
              </w:rPr>
              <w:t>412,45</w:t>
            </w:r>
          </w:p>
        </w:tc>
        <w:tc>
          <w:tcPr>
            <w:tcW w:w="859" w:type="pct"/>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jc w:val="right"/>
              <w:rPr>
                <w:sz w:val="17"/>
                <w:szCs w:val="24"/>
                <w:lang w:val="fr-FR"/>
              </w:rPr>
            </w:pPr>
            <w:r w:rsidRPr="00885E80">
              <w:rPr>
                <w:sz w:val="17"/>
                <w:szCs w:val="24"/>
                <w:lang w:val="fr-FR"/>
              </w:rPr>
              <w:t>456,79</w:t>
            </w:r>
          </w:p>
        </w:tc>
        <w:tc>
          <w:tcPr>
            <w:tcW w:w="613" w:type="pct"/>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jc w:val="right"/>
              <w:rPr>
                <w:sz w:val="17"/>
                <w:szCs w:val="24"/>
                <w:lang w:val="fr-FR"/>
              </w:rPr>
            </w:pPr>
            <w:r w:rsidRPr="00885E80">
              <w:rPr>
                <w:sz w:val="17"/>
                <w:szCs w:val="24"/>
                <w:lang w:val="fr-FR"/>
              </w:rPr>
              <w:t>538,97</w:t>
            </w:r>
          </w:p>
        </w:tc>
      </w:tr>
      <w:tr w:rsidR="00E15507" w:rsidRPr="00885E80">
        <w:trPr>
          <w:trHeight w:val="255"/>
          <w:jc w:val="center"/>
        </w:trPr>
        <w:tc>
          <w:tcPr>
            <w:tcW w:w="2791" w:type="pct"/>
            <w:gridSpan w:val="2"/>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rPr>
                <w:sz w:val="17"/>
                <w:szCs w:val="24"/>
                <w:lang w:val="fr-FR"/>
              </w:rPr>
            </w:pPr>
            <w:r w:rsidRPr="00885E80">
              <w:rPr>
                <w:sz w:val="17"/>
                <w:szCs w:val="24"/>
                <w:lang w:val="fr-FR"/>
              </w:rPr>
              <w:t>Total nécessitant le TAR (&lt;15ans)</w:t>
            </w:r>
          </w:p>
        </w:tc>
        <w:tc>
          <w:tcPr>
            <w:tcW w:w="737" w:type="pct"/>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jc w:val="right"/>
              <w:rPr>
                <w:sz w:val="17"/>
                <w:szCs w:val="24"/>
                <w:lang w:val="fr-FR"/>
              </w:rPr>
            </w:pPr>
            <w:r w:rsidRPr="00885E80">
              <w:rPr>
                <w:sz w:val="17"/>
                <w:szCs w:val="24"/>
                <w:lang w:val="fr-FR"/>
              </w:rPr>
              <w:t>94,99</w:t>
            </w:r>
          </w:p>
        </w:tc>
        <w:tc>
          <w:tcPr>
            <w:tcW w:w="859" w:type="pct"/>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jc w:val="right"/>
              <w:rPr>
                <w:sz w:val="17"/>
                <w:szCs w:val="24"/>
                <w:lang w:val="fr-FR"/>
              </w:rPr>
            </w:pPr>
            <w:r w:rsidRPr="00885E80">
              <w:rPr>
                <w:sz w:val="17"/>
                <w:szCs w:val="24"/>
                <w:lang w:val="fr-FR"/>
              </w:rPr>
              <w:t>98,04</w:t>
            </w:r>
          </w:p>
        </w:tc>
        <w:tc>
          <w:tcPr>
            <w:tcW w:w="613" w:type="pct"/>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jc w:val="right"/>
              <w:rPr>
                <w:sz w:val="17"/>
                <w:szCs w:val="24"/>
                <w:lang w:val="fr-FR"/>
              </w:rPr>
            </w:pPr>
            <w:r w:rsidRPr="00885E80">
              <w:rPr>
                <w:sz w:val="17"/>
                <w:szCs w:val="24"/>
                <w:lang w:val="fr-FR"/>
              </w:rPr>
              <w:t>106,84</w:t>
            </w:r>
          </w:p>
        </w:tc>
      </w:tr>
      <w:tr w:rsidR="00E15507" w:rsidRPr="00885E80">
        <w:trPr>
          <w:trHeight w:val="255"/>
          <w:jc w:val="center"/>
        </w:trPr>
        <w:tc>
          <w:tcPr>
            <w:tcW w:w="2791" w:type="pct"/>
            <w:gridSpan w:val="2"/>
            <w:shd w:val="clear" w:color="auto" w:fill="C0C0C0"/>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rPr>
                <w:sz w:val="17"/>
                <w:szCs w:val="24"/>
                <w:lang w:val="fr-FR"/>
              </w:rPr>
            </w:pPr>
            <w:r w:rsidRPr="00885E80">
              <w:rPr>
                <w:sz w:val="17"/>
                <w:szCs w:val="24"/>
                <w:lang w:val="fr-FR"/>
              </w:rPr>
              <w:t xml:space="preserve">  Total VIH annuels + naissances (milliers)</w:t>
            </w:r>
          </w:p>
        </w:tc>
        <w:tc>
          <w:tcPr>
            <w:tcW w:w="737" w:type="pct"/>
            <w:shd w:val="clear" w:color="auto" w:fill="C0C0C0"/>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jc w:val="right"/>
              <w:rPr>
                <w:sz w:val="17"/>
                <w:szCs w:val="24"/>
                <w:lang w:val="fr-FR"/>
              </w:rPr>
            </w:pPr>
            <w:r w:rsidRPr="00885E80">
              <w:rPr>
                <w:sz w:val="17"/>
                <w:szCs w:val="24"/>
                <w:lang w:val="fr-FR"/>
              </w:rPr>
              <w:t>73,55</w:t>
            </w:r>
          </w:p>
        </w:tc>
        <w:tc>
          <w:tcPr>
            <w:tcW w:w="859" w:type="pct"/>
            <w:shd w:val="clear" w:color="auto" w:fill="C0C0C0"/>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jc w:val="right"/>
              <w:rPr>
                <w:sz w:val="17"/>
                <w:szCs w:val="24"/>
                <w:lang w:val="fr-FR"/>
              </w:rPr>
            </w:pPr>
            <w:r w:rsidRPr="00885E80">
              <w:rPr>
                <w:sz w:val="17"/>
                <w:szCs w:val="24"/>
                <w:lang w:val="fr-FR"/>
              </w:rPr>
              <w:t>74,52</w:t>
            </w:r>
          </w:p>
        </w:tc>
        <w:tc>
          <w:tcPr>
            <w:tcW w:w="613" w:type="pct"/>
            <w:shd w:val="clear" w:color="auto" w:fill="C0C0C0"/>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jc w:val="right"/>
              <w:rPr>
                <w:sz w:val="17"/>
                <w:szCs w:val="24"/>
                <w:lang w:val="fr-FR"/>
              </w:rPr>
            </w:pPr>
            <w:r w:rsidRPr="00885E80">
              <w:rPr>
                <w:sz w:val="17"/>
                <w:szCs w:val="24"/>
                <w:lang w:val="fr-FR"/>
              </w:rPr>
              <w:t>75,78</w:t>
            </w:r>
          </w:p>
        </w:tc>
      </w:tr>
      <w:tr w:rsidR="00E15507" w:rsidRPr="00885E80">
        <w:trPr>
          <w:trHeight w:val="255"/>
          <w:jc w:val="center"/>
        </w:trPr>
        <w:tc>
          <w:tcPr>
            <w:tcW w:w="2791" w:type="pct"/>
            <w:gridSpan w:val="2"/>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rPr>
                <w:sz w:val="17"/>
                <w:szCs w:val="24"/>
                <w:lang w:val="fr-FR"/>
              </w:rPr>
            </w:pPr>
            <w:r w:rsidRPr="00885E80">
              <w:rPr>
                <w:sz w:val="17"/>
                <w:szCs w:val="24"/>
                <w:lang w:val="fr-FR"/>
              </w:rPr>
              <w:t xml:space="preserve">  Pourcentage de naissances</w:t>
            </w:r>
          </w:p>
        </w:tc>
        <w:tc>
          <w:tcPr>
            <w:tcW w:w="737" w:type="pct"/>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jc w:val="right"/>
              <w:rPr>
                <w:sz w:val="17"/>
                <w:szCs w:val="24"/>
                <w:lang w:val="fr-FR"/>
              </w:rPr>
            </w:pPr>
            <w:r w:rsidRPr="00885E80">
              <w:rPr>
                <w:sz w:val="17"/>
                <w:szCs w:val="24"/>
                <w:lang w:val="fr-FR"/>
              </w:rPr>
              <w:t>1,33</w:t>
            </w:r>
          </w:p>
        </w:tc>
        <w:tc>
          <w:tcPr>
            <w:tcW w:w="859" w:type="pct"/>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jc w:val="right"/>
              <w:rPr>
                <w:sz w:val="17"/>
                <w:szCs w:val="24"/>
                <w:lang w:val="fr-FR"/>
              </w:rPr>
            </w:pPr>
            <w:r w:rsidRPr="00885E80">
              <w:rPr>
                <w:sz w:val="17"/>
                <w:szCs w:val="24"/>
                <w:lang w:val="fr-FR"/>
              </w:rPr>
              <w:t>1,34</w:t>
            </w:r>
          </w:p>
        </w:tc>
        <w:tc>
          <w:tcPr>
            <w:tcW w:w="613" w:type="pct"/>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jc w:val="right"/>
              <w:rPr>
                <w:sz w:val="17"/>
                <w:szCs w:val="24"/>
                <w:lang w:val="fr-FR"/>
              </w:rPr>
            </w:pPr>
            <w:r w:rsidRPr="00885E80">
              <w:rPr>
                <w:sz w:val="17"/>
                <w:szCs w:val="24"/>
                <w:lang w:val="fr-FR"/>
              </w:rPr>
              <w:t>1,32</w:t>
            </w:r>
          </w:p>
        </w:tc>
      </w:tr>
      <w:tr w:rsidR="00E15507" w:rsidRPr="00885E80">
        <w:trPr>
          <w:trHeight w:val="255"/>
          <w:jc w:val="center"/>
        </w:trPr>
        <w:tc>
          <w:tcPr>
            <w:tcW w:w="2791" w:type="pct"/>
            <w:gridSpan w:val="2"/>
            <w:shd w:val="clear" w:color="auto" w:fill="C0C0C0"/>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rPr>
                <w:sz w:val="17"/>
                <w:szCs w:val="24"/>
                <w:lang w:val="fr-FR"/>
              </w:rPr>
            </w:pPr>
            <w:r w:rsidRPr="00885E80">
              <w:rPr>
                <w:sz w:val="17"/>
                <w:szCs w:val="24"/>
                <w:lang w:val="fr-FR"/>
              </w:rPr>
              <w:t xml:space="preserve">  Total décès annuels dus au </w:t>
            </w:r>
            <w:r w:rsidR="00940485" w:rsidRPr="00885E80">
              <w:rPr>
                <w:sz w:val="17"/>
                <w:szCs w:val="24"/>
                <w:lang w:val="fr-FR"/>
              </w:rPr>
              <w:t>sida</w:t>
            </w:r>
            <w:r w:rsidRPr="00885E80">
              <w:rPr>
                <w:sz w:val="17"/>
                <w:szCs w:val="24"/>
                <w:lang w:val="fr-FR"/>
              </w:rPr>
              <w:t xml:space="preserve"> (pourcentage)</w:t>
            </w:r>
          </w:p>
        </w:tc>
        <w:tc>
          <w:tcPr>
            <w:tcW w:w="737" w:type="pct"/>
            <w:shd w:val="clear" w:color="auto" w:fill="C0C0C0"/>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jc w:val="right"/>
              <w:rPr>
                <w:sz w:val="17"/>
                <w:szCs w:val="24"/>
                <w:lang w:val="fr-FR"/>
              </w:rPr>
            </w:pPr>
            <w:r w:rsidRPr="00885E80">
              <w:rPr>
                <w:sz w:val="17"/>
                <w:szCs w:val="24"/>
                <w:lang w:val="fr-FR"/>
              </w:rPr>
              <w:t>220,75</w:t>
            </w:r>
          </w:p>
        </w:tc>
        <w:tc>
          <w:tcPr>
            <w:tcW w:w="859" w:type="pct"/>
            <w:shd w:val="clear" w:color="auto" w:fill="C0C0C0"/>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jc w:val="right"/>
              <w:rPr>
                <w:sz w:val="17"/>
                <w:szCs w:val="24"/>
                <w:lang w:val="fr-FR"/>
              </w:rPr>
            </w:pPr>
            <w:r w:rsidRPr="00885E80">
              <w:rPr>
                <w:sz w:val="17"/>
                <w:szCs w:val="24"/>
                <w:lang w:val="fr-FR"/>
              </w:rPr>
              <w:t>245,71</w:t>
            </w:r>
          </w:p>
        </w:tc>
        <w:tc>
          <w:tcPr>
            <w:tcW w:w="613" w:type="pct"/>
            <w:shd w:val="clear" w:color="auto" w:fill="C0C0C0"/>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jc w:val="right"/>
              <w:rPr>
                <w:sz w:val="17"/>
                <w:szCs w:val="24"/>
                <w:lang w:val="fr-FR"/>
              </w:rPr>
            </w:pPr>
            <w:r w:rsidRPr="00885E80">
              <w:rPr>
                <w:sz w:val="17"/>
                <w:szCs w:val="24"/>
                <w:lang w:val="fr-FR"/>
              </w:rPr>
              <w:t>298,34</w:t>
            </w:r>
          </w:p>
        </w:tc>
      </w:tr>
      <w:tr w:rsidR="00E15507" w:rsidRPr="00885E80">
        <w:trPr>
          <w:trHeight w:val="255"/>
          <w:jc w:val="center"/>
        </w:trPr>
        <w:tc>
          <w:tcPr>
            <w:tcW w:w="2791" w:type="pct"/>
            <w:gridSpan w:val="2"/>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rPr>
                <w:sz w:val="17"/>
                <w:szCs w:val="24"/>
                <w:lang w:val="fr-FR"/>
              </w:rPr>
            </w:pPr>
            <w:r w:rsidRPr="00885E80">
              <w:rPr>
                <w:sz w:val="17"/>
                <w:szCs w:val="24"/>
                <w:lang w:val="fr-FR"/>
              </w:rPr>
              <w:t xml:space="preserve">  Hommes</w:t>
            </w:r>
          </w:p>
        </w:tc>
        <w:tc>
          <w:tcPr>
            <w:tcW w:w="737" w:type="pct"/>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jc w:val="right"/>
              <w:rPr>
                <w:sz w:val="17"/>
                <w:szCs w:val="24"/>
                <w:lang w:val="fr-FR"/>
              </w:rPr>
            </w:pPr>
            <w:r w:rsidRPr="00885E80">
              <w:rPr>
                <w:sz w:val="17"/>
                <w:szCs w:val="24"/>
                <w:lang w:val="fr-FR"/>
              </w:rPr>
              <w:t>98,37</w:t>
            </w:r>
          </w:p>
        </w:tc>
        <w:tc>
          <w:tcPr>
            <w:tcW w:w="859" w:type="pct"/>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jc w:val="right"/>
              <w:rPr>
                <w:sz w:val="17"/>
                <w:szCs w:val="24"/>
                <w:lang w:val="fr-FR"/>
              </w:rPr>
            </w:pPr>
            <w:r w:rsidRPr="00885E80">
              <w:rPr>
                <w:sz w:val="17"/>
                <w:szCs w:val="24"/>
                <w:lang w:val="fr-FR"/>
              </w:rPr>
              <w:t>108,79</w:t>
            </w:r>
          </w:p>
        </w:tc>
        <w:tc>
          <w:tcPr>
            <w:tcW w:w="613" w:type="pct"/>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jc w:val="right"/>
              <w:rPr>
                <w:sz w:val="17"/>
                <w:szCs w:val="24"/>
                <w:lang w:val="fr-FR"/>
              </w:rPr>
            </w:pPr>
            <w:r w:rsidRPr="00885E80">
              <w:rPr>
                <w:sz w:val="17"/>
                <w:szCs w:val="24"/>
                <w:lang w:val="fr-FR"/>
              </w:rPr>
              <w:t>131,17</w:t>
            </w:r>
          </w:p>
        </w:tc>
      </w:tr>
      <w:tr w:rsidR="00E15507" w:rsidRPr="00885E80">
        <w:trPr>
          <w:trHeight w:val="255"/>
          <w:jc w:val="center"/>
        </w:trPr>
        <w:tc>
          <w:tcPr>
            <w:tcW w:w="2791" w:type="pct"/>
            <w:gridSpan w:val="2"/>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rPr>
                <w:sz w:val="17"/>
                <w:szCs w:val="24"/>
                <w:lang w:val="fr-FR"/>
              </w:rPr>
            </w:pPr>
            <w:r w:rsidRPr="00885E80">
              <w:rPr>
                <w:sz w:val="17"/>
                <w:szCs w:val="24"/>
                <w:lang w:val="fr-FR"/>
              </w:rPr>
              <w:t xml:space="preserve">  Femmes</w:t>
            </w:r>
          </w:p>
        </w:tc>
        <w:tc>
          <w:tcPr>
            <w:tcW w:w="737" w:type="pct"/>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jc w:val="right"/>
              <w:rPr>
                <w:sz w:val="17"/>
                <w:szCs w:val="24"/>
                <w:lang w:val="fr-FR"/>
              </w:rPr>
            </w:pPr>
            <w:r w:rsidRPr="00885E80">
              <w:rPr>
                <w:sz w:val="17"/>
                <w:szCs w:val="24"/>
                <w:lang w:val="fr-FR"/>
              </w:rPr>
              <w:t>122,38</w:t>
            </w:r>
          </w:p>
        </w:tc>
        <w:tc>
          <w:tcPr>
            <w:tcW w:w="859" w:type="pct"/>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jc w:val="right"/>
              <w:rPr>
                <w:sz w:val="17"/>
                <w:szCs w:val="24"/>
                <w:lang w:val="fr-FR"/>
              </w:rPr>
            </w:pPr>
            <w:r w:rsidRPr="00885E80">
              <w:rPr>
                <w:sz w:val="17"/>
                <w:szCs w:val="24"/>
                <w:lang w:val="fr-FR"/>
              </w:rPr>
              <w:t>136,92</w:t>
            </w:r>
          </w:p>
        </w:tc>
        <w:tc>
          <w:tcPr>
            <w:tcW w:w="613" w:type="pct"/>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jc w:val="right"/>
              <w:rPr>
                <w:sz w:val="17"/>
                <w:szCs w:val="24"/>
                <w:lang w:val="fr-FR"/>
              </w:rPr>
            </w:pPr>
            <w:r w:rsidRPr="00885E80">
              <w:rPr>
                <w:sz w:val="17"/>
                <w:szCs w:val="24"/>
                <w:lang w:val="fr-FR"/>
              </w:rPr>
              <w:t>167,17</w:t>
            </w:r>
          </w:p>
        </w:tc>
      </w:tr>
      <w:tr w:rsidR="00E15507" w:rsidRPr="00885E80">
        <w:trPr>
          <w:trHeight w:val="255"/>
          <w:jc w:val="center"/>
        </w:trPr>
        <w:tc>
          <w:tcPr>
            <w:tcW w:w="2791" w:type="pct"/>
            <w:gridSpan w:val="2"/>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rPr>
                <w:sz w:val="17"/>
                <w:szCs w:val="24"/>
                <w:lang w:val="fr-FR"/>
              </w:rPr>
            </w:pPr>
            <w:r w:rsidRPr="00885E80">
              <w:rPr>
                <w:sz w:val="17"/>
                <w:szCs w:val="24"/>
                <w:lang w:val="fr-FR"/>
              </w:rPr>
              <w:t xml:space="preserve">  par milliers </w:t>
            </w:r>
          </w:p>
        </w:tc>
        <w:tc>
          <w:tcPr>
            <w:tcW w:w="737" w:type="pct"/>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jc w:val="right"/>
              <w:rPr>
                <w:sz w:val="17"/>
                <w:szCs w:val="24"/>
                <w:lang w:val="fr-FR"/>
              </w:rPr>
            </w:pPr>
            <w:r w:rsidRPr="00885E80">
              <w:rPr>
                <w:sz w:val="17"/>
                <w:szCs w:val="24"/>
                <w:lang w:val="fr-FR"/>
              </w:rPr>
              <w:t>1,63</w:t>
            </w:r>
          </w:p>
        </w:tc>
        <w:tc>
          <w:tcPr>
            <w:tcW w:w="859" w:type="pct"/>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jc w:val="right"/>
              <w:rPr>
                <w:sz w:val="17"/>
                <w:szCs w:val="24"/>
                <w:lang w:val="fr-FR"/>
              </w:rPr>
            </w:pPr>
            <w:r w:rsidRPr="00885E80">
              <w:rPr>
                <w:sz w:val="17"/>
                <w:szCs w:val="24"/>
                <w:lang w:val="fr-FR"/>
              </w:rPr>
              <w:t>1,78</w:t>
            </w:r>
          </w:p>
        </w:tc>
        <w:tc>
          <w:tcPr>
            <w:tcW w:w="613" w:type="pct"/>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jc w:val="right"/>
              <w:rPr>
                <w:sz w:val="17"/>
                <w:szCs w:val="24"/>
                <w:lang w:val="fr-FR"/>
              </w:rPr>
            </w:pPr>
            <w:r w:rsidRPr="00885E80">
              <w:rPr>
                <w:sz w:val="17"/>
                <w:szCs w:val="24"/>
                <w:lang w:val="fr-FR"/>
              </w:rPr>
              <w:t>1,98</w:t>
            </w:r>
          </w:p>
        </w:tc>
      </w:tr>
      <w:tr w:rsidR="00E15507" w:rsidRPr="00885E80">
        <w:trPr>
          <w:trHeight w:val="255"/>
          <w:jc w:val="center"/>
        </w:trPr>
        <w:tc>
          <w:tcPr>
            <w:tcW w:w="4387" w:type="pct"/>
            <w:gridSpan w:val="4"/>
            <w:shd w:val="clear" w:color="auto" w:fill="C0C0C0"/>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rPr>
                <w:sz w:val="17"/>
                <w:szCs w:val="24"/>
                <w:lang w:val="fr-FR"/>
              </w:rPr>
            </w:pPr>
            <w:r w:rsidRPr="00885E80">
              <w:rPr>
                <w:sz w:val="17"/>
                <w:szCs w:val="24"/>
                <w:lang w:val="fr-FR"/>
              </w:rPr>
              <w:t xml:space="preserve">Décès cumulés dus au </w:t>
            </w:r>
            <w:r w:rsidR="00940485" w:rsidRPr="00885E80">
              <w:rPr>
                <w:sz w:val="17"/>
                <w:szCs w:val="24"/>
                <w:lang w:val="fr-FR"/>
              </w:rPr>
              <w:t>sida</w:t>
            </w:r>
            <w:r w:rsidRPr="00885E80">
              <w:rPr>
                <w:sz w:val="17"/>
                <w:szCs w:val="24"/>
                <w:lang w:val="fr-FR"/>
              </w:rPr>
              <w:t xml:space="preserve"> (millions) </w:t>
            </w:r>
          </w:p>
        </w:tc>
        <w:tc>
          <w:tcPr>
            <w:tcW w:w="613" w:type="pct"/>
            <w:shd w:val="clear" w:color="auto" w:fill="C0C0C0"/>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rPr>
                <w:sz w:val="17"/>
                <w:szCs w:val="24"/>
                <w:lang w:val="fr-FR"/>
              </w:rPr>
            </w:pPr>
            <w:r w:rsidRPr="00885E80">
              <w:rPr>
                <w:sz w:val="17"/>
                <w:szCs w:val="24"/>
                <w:lang w:val="fr-FR"/>
              </w:rPr>
              <w:t> </w:t>
            </w:r>
          </w:p>
        </w:tc>
      </w:tr>
      <w:tr w:rsidR="00E15507" w:rsidRPr="00885E80">
        <w:trPr>
          <w:trHeight w:val="255"/>
          <w:jc w:val="center"/>
        </w:trPr>
        <w:tc>
          <w:tcPr>
            <w:tcW w:w="2763" w:type="pct"/>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rPr>
                <w:sz w:val="17"/>
                <w:szCs w:val="24"/>
                <w:lang w:val="fr-FR"/>
              </w:rPr>
            </w:pPr>
            <w:r w:rsidRPr="00885E80">
              <w:rPr>
                <w:sz w:val="17"/>
                <w:szCs w:val="24"/>
                <w:lang w:val="fr-FR"/>
              </w:rPr>
              <w:t xml:space="preserve">  Total</w:t>
            </w:r>
          </w:p>
        </w:tc>
        <w:tc>
          <w:tcPr>
            <w:tcW w:w="765" w:type="pct"/>
            <w:gridSpan w:val="2"/>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jc w:val="right"/>
              <w:rPr>
                <w:sz w:val="17"/>
                <w:szCs w:val="24"/>
                <w:lang w:val="fr-FR"/>
              </w:rPr>
            </w:pPr>
            <w:r w:rsidRPr="00885E80">
              <w:rPr>
                <w:sz w:val="17"/>
                <w:szCs w:val="24"/>
                <w:lang w:val="fr-FR"/>
              </w:rPr>
              <w:t>1,45</w:t>
            </w:r>
          </w:p>
        </w:tc>
        <w:tc>
          <w:tcPr>
            <w:tcW w:w="859" w:type="pct"/>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jc w:val="right"/>
              <w:rPr>
                <w:sz w:val="17"/>
                <w:szCs w:val="24"/>
                <w:lang w:val="fr-FR"/>
              </w:rPr>
            </w:pPr>
            <w:r w:rsidRPr="00885E80">
              <w:rPr>
                <w:sz w:val="17"/>
                <w:szCs w:val="24"/>
                <w:lang w:val="fr-FR"/>
              </w:rPr>
              <w:t>1,70</w:t>
            </w:r>
          </w:p>
        </w:tc>
        <w:tc>
          <w:tcPr>
            <w:tcW w:w="613" w:type="pct"/>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jc w:val="right"/>
              <w:rPr>
                <w:sz w:val="17"/>
                <w:szCs w:val="24"/>
                <w:lang w:val="fr-FR"/>
              </w:rPr>
            </w:pPr>
            <w:r w:rsidRPr="00885E80">
              <w:rPr>
                <w:sz w:val="17"/>
                <w:szCs w:val="24"/>
                <w:lang w:val="fr-FR"/>
              </w:rPr>
              <w:t>2,82</w:t>
            </w:r>
          </w:p>
        </w:tc>
      </w:tr>
      <w:tr w:rsidR="00E15507" w:rsidRPr="00885E80">
        <w:trPr>
          <w:trHeight w:val="255"/>
          <w:jc w:val="center"/>
        </w:trPr>
        <w:tc>
          <w:tcPr>
            <w:tcW w:w="2763" w:type="pct"/>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rPr>
                <w:sz w:val="17"/>
                <w:szCs w:val="24"/>
                <w:lang w:val="fr-FR"/>
              </w:rPr>
            </w:pPr>
            <w:r w:rsidRPr="00885E80">
              <w:rPr>
                <w:sz w:val="17"/>
                <w:szCs w:val="24"/>
                <w:lang w:val="fr-FR"/>
              </w:rPr>
              <w:t xml:space="preserve">  Hommes</w:t>
            </w:r>
          </w:p>
        </w:tc>
        <w:tc>
          <w:tcPr>
            <w:tcW w:w="765" w:type="pct"/>
            <w:gridSpan w:val="2"/>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jc w:val="right"/>
              <w:rPr>
                <w:sz w:val="17"/>
                <w:szCs w:val="24"/>
                <w:lang w:val="fr-FR"/>
              </w:rPr>
            </w:pPr>
            <w:r w:rsidRPr="00885E80">
              <w:rPr>
                <w:sz w:val="17"/>
                <w:szCs w:val="24"/>
                <w:lang w:val="fr-FR"/>
              </w:rPr>
              <w:t>0,69</w:t>
            </w:r>
          </w:p>
        </w:tc>
        <w:tc>
          <w:tcPr>
            <w:tcW w:w="859" w:type="pct"/>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jc w:val="right"/>
              <w:rPr>
                <w:sz w:val="17"/>
                <w:szCs w:val="24"/>
                <w:lang w:val="fr-FR"/>
              </w:rPr>
            </w:pPr>
            <w:r w:rsidRPr="00885E80">
              <w:rPr>
                <w:sz w:val="17"/>
                <w:szCs w:val="24"/>
                <w:lang w:val="fr-FR"/>
              </w:rPr>
              <w:t>0,80</w:t>
            </w:r>
          </w:p>
        </w:tc>
        <w:tc>
          <w:tcPr>
            <w:tcW w:w="613" w:type="pct"/>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jc w:val="right"/>
              <w:rPr>
                <w:sz w:val="17"/>
                <w:szCs w:val="24"/>
                <w:lang w:val="fr-FR"/>
              </w:rPr>
            </w:pPr>
            <w:r w:rsidRPr="00885E80">
              <w:rPr>
                <w:sz w:val="17"/>
                <w:szCs w:val="24"/>
                <w:lang w:val="fr-FR"/>
              </w:rPr>
              <w:t>1,29</w:t>
            </w:r>
          </w:p>
        </w:tc>
      </w:tr>
      <w:tr w:rsidR="00E15507" w:rsidRPr="00885E80">
        <w:trPr>
          <w:trHeight w:val="255"/>
          <w:jc w:val="center"/>
        </w:trPr>
        <w:tc>
          <w:tcPr>
            <w:tcW w:w="2763" w:type="pct"/>
            <w:tcBorders>
              <w:bottom w:val="single" w:sz="12" w:space="0" w:color="auto"/>
            </w:tcBorders>
            <w:shd w:val="clear" w:color="auto" w:fill="auto"/>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rPr>
                <w:sz w:val="17"/>
                <w:szCs w:val="24"/>
                <w:lang w:val="fr-FR"/>
              </w:rPr>
            </w:pPr>
            <w:r w:rsidRPr="00885E80">
              <w:rPr>
                <w:sz w:val="17"/>
                <w:szCs w:val="24"/>
                <w:lang w:val="fr-FR"/>
              </w:rPr>
              <w:t xml:space="preserve">  Femmes</w:t>
            </w:r>
          </w:p>
        </w:tc>
        <w:tc>
          <w:tcPr>
            <w:tcW w:w="765" w:type="pct"/>
            <w:gridSpan w:val="2"/>
            <w:tcBorders>
              <w:bottom w:val="single" w:sz="12" w:space="0" w:color="auto"/>
            </w:tcBorders>
            <w:shd w:val="clear" w:color="auto" w:fill="auto"/>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jc w:val="right"/>
              <w:rPr>
                <w:sz w:val="17"/>
                <w:szCs w:val="24"/>
                <w:lang w:val="fr-FR"/>
              </w:rPr>
            </w:pPr>
            <w:r w:rsidRPr="00885E80">
              <w:rPr>
                <w:sz w:val="17"/>
                <w:szCs w:val="24"/>
                <w:lang w:val="fr-FR"/>
              </w:rPr>
              <w:t>0,76</w:t>
            </w:r>
          </w:p>
        </w:tc>
        <w:tc>
          <w:tcPr>
            <w:tcW w:w="859" w:type="pct"/>
            <w:tcBorders>
              <w:bottom w:val="single" w:sz="12" w:space="0" w:color="auto"/>
            </w:tcBorders>
            <w:shd w:val="clear" w:color="auto" w:fill="auto"/>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jc w:val="right"/>
              <w:rPr>
                <w:sz w:val="17"/>
                <w:szCs w:val="24"/>
                <w:lang w:val="fr-FR"/>
              </w:rPr>
            </w:pPr>
            <w:r w:rsidRPr="00885E80">
              <w:rPr>
                <w:sz w:val="17"/>
                <w:szCs w:val="24"/>
                <w:lang w:val="fr-FR"/>
              </w:rPr>
              <w:t>0,90</w:t>
            </w:r>
          </w:p>
        </w:tc>
        <w:tc>
          <w:tcPr>
            <w:tcW w:w="613" w:type="pct"/>
            <w:tcBorders>
              <w:bottom w:val="single" w:sz="12" w:space="0" w:color="auto"/>
            </w:tcBorders>
            <w:shd w:val="clear" w:color="auto" w:fill="auto"/>
            <w:noWrap/>
            <w:vAlign w:val="bottom"/>
          </w:tcPr>
          <w:p w:rsidR="00E15507" w:rsidRPr="00885E80" w:rsidRDefault="00E15507" w:rsidP="00885E80">
            <w:pPr>
              <w:tabs>
                <w:tab w:val="left" w:pos="288"/>
                <w:tab w:val="left" w:pos="576"/>
                <w:tab w:val="left" w:pos="864"/>
                <w:tab w:val="left" w:pos="1152"/>
              </w:tabs>
              <w:suppressAutoHyphens/>
              <w:spacing w:before="40" w:after="40" w:line="210" w:lineRule="exact"/>
              <w:ind w:right="43"/>
              <w:jc w:val="right"/>
              <w:rPr>
                <w:sz w:val="17"/>
                <w:szCs w:val="24"/>
                <w:lang w:val="fr-FR"/>
              </w:rPr>
            </w:pPr>
            <w:r w:rsidRPr="00885E80">
              <w:rPr>
                <w:sz w:val="17"/>
                <w:szCs w:val="24"/>
                <w:lang w:val="fr-FR"/>
              </w:rPr>
              <w:t>1,53</w:t>
            </w:r>
          </w:p>
        </w:tc>
      </w:tr>
    </w:tbl>
    <w:p w:rsidR="00885E80" w:rsidRDefault="00885E80" w:rsidP="00740CA4">
      <w:pPr>
        <w:pStyle w:val="SingleTxt"/>
        <w:rPr>
          <w:lang w:val="fr-FR"/>
        </w:rPr>
      </w:pPr>
    </w:p>
    <w:p w:rsidR="00E15507" w:rsidRDefault="00BB02C6" w:rsidP="00BB02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E15507" w:rsidRPr="005D6CD4">
        <w:rPr>
          <w:lang w:val="fr-FR"/>
        </w:rPr>
        <w:t>3.11</w:t>
      </w:r>
      <w:r>
        <w:rPr>
          <w:lang w:val="fr-FR"/>
        </w:rPr>
        <w:tab/>
      </w:r>
      <w:r w:rsidR="00E15507" w:rsidRPr="005D6CD4">
        <w:rPr>
          <w:lang w:val="fr-FR"/>
        </w:rPr>
        <w:t>Autres initiatives visant à faire face aux aspects sexistes du VIH/</w:t>
      </w:r>
      <w:r w:rsidR="00940485">
        <w:rPr>
          <w:lang w:val="fr-FR"/>
        </w:rPr>
        <w:t>SIDA</w:t>
      </w:r>
      <w:r w:rsidR="00E15507" w:rsidRPr="005D6CD4">
        <w:rPr>
          <w:lang w:val="fr-FR"/>
        </w:rPr>
        <w:t xml:space="preserve"> au </w:t>
      </w:r>
      <w:r w:rsidR="00E15507">
        <w:rPr>
          <w:lang w:val="fr-FR"/>
        </w:rPr>
        <w:t>Nigéria</w:t>
      </w:r>
      <w:r w:rsidR="00E15507" w:rsidRPr="005D6CD4">
        <w:rPr>
          <w:lang w:val="fr-FR"/>
        </w:rPr>
        <w:t xml:space="preserve"> </w:t>
      </w:r>
    </w:p>
    <w:p w:rsidR="00BB02C6" w:rsidRPr="00BB02C6" w:rsidRDefault="00BB02C6" w:rsidP="00BB02C6">
      <w:pPr>
        <w:pStyle w:val="SingleTxt"/>
        <w:spacing w:after="0" w:line="120" w:lineRule="exact"/>
        <w:rPr>
          <w:sz w:val="10"/>
          <w:lang w:val="fr-FR"/>
        </w:rPr>
      </w:pPr>
    </w:p>
    <w:p w:rsidR="00E15507" w:rsidRPr="005D6CD4" w:rsidRDefault="00E15507" w:rsidP="00740CA4">
      <w:pPr>
        <w:pStyle w:val="SingleTxt"/>
        <w:rPr>
          <w:i/>
          <w:highlight w:val="yellow"/>
          <w:lang w:val="fr-FR"/>
        </w:rPr>
      </w:pPr>
      <w:r w:rsidRPr="00F67DD1">
        <w:rPr>
          <w:bCs/>
          <w:lang w:val="fr-FR"/>
        </w:rPr>
        <w:t>3.11.1</w:t>
      </w:r>
      <w:r w:rsidR="00F67DD1">
        <w:rPr>
          <w:i/>
          <w:lang w:val="fr-FR"/>
        </w:rPr>
        <w:t xml:space="preserve"> </w:t>
      </w:r>
      <w:r w:rsidRPr="005D6CD4">
        <w:rPr>
          <w:i/>
          <w:lang w:val="fr-FR"/>
        </w:rPr>
        <w:t xml:space="preserve"> Une directive de politique générale oblige tous les ministères et certains organismes à mettre en place un bureau du VIH/</w:t>
      </w:r>
      <w:r w:rsidR="00940485">
        <w:rPr>
          <w:i/>
          <w:lang w:val="fr-FR"/>
        </w:rPr>
        <w:t>SIDA</w:t>
      </w:r>
      <w:r w:rsidRPr="005D6CD4">
        <w:rPr>
          <w:i/>
          <w:lang w:val="fr-FR"/>
        </w:rPr>
        <w:t xml:space="preserve"> et cette directive a été appliquée dans la plupart des ministères, tels que ceux du Travail et de la Production, de la Condition de la femme, de la Défense ainsi que des organismes tels que les services d</w:t>
      </w:r>
      <w:r w:rsidR="000A3D87">
        <w:rPr>
          <w:i/>
          <w:lang w:val="fr-FR"/>
        </w:rPr>
        <w:t>’</w:t>
      </w:r>
      <w:r w:rsidRPr="005D6CD4">
        <w:rPr>
          <w:i/>
          <w:lang w:val="fr-FR"/>
        </w:rPr>
        <w:t xml:space="preserve">immigration et les prisons. Le principal objectif dans ce domaine consiste à réduire sensiblement le nombre de nouvelles infections ainsi que de fournir un soutien et des soins aux personnes déjà infectées, les femmes en particulier. </w:t>
      </w:r>
    </w:p>
    <w:p w:rsidR="00E15507" w:rsidRPr="005D6CD4" w:rsidRDefault="00E15507" w:rsidP="00740CA4">
      <w:pPr>
        <w:pStyle w:val="SingleTxt"/>
        <w:rPr>
          <w:i/>
          <w:color w:val="000000"/>
          <w:highlight w:val="yellow"/>
          <w:lang w:val="fr-FR"/>
        </w:rPr>
      </w:pPr>
      <w:r w:rsidRPr="00F67DD1">
        <w:rPr>
          <w:bCs/>
          <w:lang w:val="fr-FR"/>
        </w:rPr>
        <w:t>3.11.2</w:t>
      </w:r>
      <w:r w:rsidR="00F67DD1">
        <w:rPr>
          <w:bCs/>
          <w:lang w:val="fr-FR"/>
        </w:rPr>
        <w:t xml:space="preserve">. </w:t>
      </w:r>
      <w:r w:rsidRPr="005D6CD4">
        <w:rPr>
          <w:i/>
          <w:lang w:val="fr-FR"/>
        </w:rPr>
        <w:t xml:space="preserve"> Un comité technique sur la problématique hommes-femmes a été créé par le consortium des fondations, partenaires de développement, institutions des Nations Unies et le ministère fédéral de la Santé.</w:t>
      </w:r>
      <w:r>
        <w:rPr>
          <w:i/>
          <w:lang w:val="fr-FR"/>
        </w:rPr>
        <w:t xml:space="preserve"> </w:t>
      </w:r>
      <w:r w:rsidRPr="005D6CD4">
        <w:rPr>
          <w:i/>
          <w:lang w:val="fr-FR"/>
        </w:rPr>
        <w:t>Le comité œuvre avec le NACA et a réussi à intégrer la problématique hommes-femmes au Cadre d</w:t>
      </w:r>
      <w:r w:rsidR="000A3D87">
        <w:rPr>
          <w:i/>
          <w:lang w:val="fr-FR"/>
        </w:rPr>
        <w:t>’</w:t>
      </w:r>
      <w:r w:rsidRPr="005D6CD4">
        <w:rPr>
          <w:i/>
          <w:lang w:val="fr-FR"/>
        </w:rPr>
        <w:t>action stratégique national sur le HIV/</w:t>
      </w:r>
      <w:r w:rsidR="00940485">
        <w:rPr>
          <w:i/>
          <w:lang w:val="fr-FR"/>
        </w:rPr>
        <w:t>SIDA</w:t>
      </w:r>
      <w:r w:rsidRPr="005D6CD4">
        <w:rPr>
          <w:i/>
          <w:lang w:val="fr-FR"/>
        </w:rPr>
        <w:t xml:space="preserve"> pour </w:t>
      </w:r>
      <w:r w:rsidRPr="005D6CD4">
        <w:rPr>
          <w:i/>
          <w:color w:val="000000"/>
          <w:lang w:val="fr-FR"/>
        </w:rPr>
        <w:t>2005-2009. La contribution du comité à l</w:t>
      </w:r>
      <w:r w:rsidR="000A3D87">
        <w:rPr>
          <w:i/>
          <w:color w:val="000000"/>
          <w:lang w:val="fr-FR"/>
        </w:rPr>
        <w:t>’</w:t>
      </w:r>
      <w:r w:rsidRPr="005D6CD4">
        <w:rPr>
          <w:i/>
          <w:color w:val="000000"/>
          <w:lang w:val="fr-FR"/>
        </w:rPr>
        <w:t>intégration de cette problématique aux politiques et programmes de lutte contre le VIH/</w:t>
      </w:r>
      <w:r w:rsidR="00940485">
        <w:rPr>
          <w:i/>
          <w:color w:val="000000"/>
          <w:lang w:val="fr-FR"/>
        </w:rPr>
        <w:t>SIDA</w:t>
      </w:r>
      <w:r w:rsidRPr="005D6CD4">
        <w:rPr>
          <w:i/>
          <w:color w:val="000000"/>
          <w:lang w:val="fr-FR"/>
        </w:rPr>
        <w:t xml:space="preserve"> se poursuit, tandis que le cadre d</w:t>
      </w:r>
      <w:r w:rsidR="000A3D87">
        <w:rPr>
          <w:i/>
          <w:color w:val="000000"/>
          <w:lang w:val="fr-FR"/>
        </w:rPr>
        <w:t>’</w:t>
      </w:r>
      <w:r w:rsidRPr="005D6CD4">
        <w:rPr>
          <w:i/>
          <w:color w:val="000000"/>
          <w:lang w:val="fr-FR"/>
        </w:rPr>
        <w:t>action stratégique sert de modèle en Afrique de l</w:t>
      </w:r>
      <w:r w:rsidR="000A3D87">
        <w:rPr>
          <w:i/>
          <w:color w:val="000000"/>
          <w:lang w:val="fr-FR"/>
        </w:rPr>
        <w:t>’</w:t>
      </w:r>
      <w:r w:rsidRPr="005D6CD4">
        <w:rPr>
          <w:i/>
          <w:color w:val="000000"/>
          <w:lang w:val="fr-FR"/>
        </w:rPr>
        <w:t>Ouest pour traiter des questions d</w:t>
      </w:r>
      <w:r w:rsidR="000A3D87">
        <w:rPr>
          <w:i/>
          <w:color w:val="000000"/>
          <w:lang w:val="fr-FR"/>
        </w:rPr>
        <w:t>’</w:t>
      </w:r>
      <w:r w:rsidRPr="005D6CD4">
        <w:rPr>
          <w:i/>
          <w:color w:val="000000"/>
          <w:lang w:val="fr-FR"/>
        </w:rPr>
        <w:t>égalité des sexes dans le cadre de la pandémie du VIH/</w:t>
      </w:r>
      <w:r w:rsidR="00940485">
        <w:rPr>
          <w:i/>
          <w:color w:val="000000"/>
          <w:lang w:val="fr-FR"/>
        </w:rPr>
        <w:t>SIDA</w:t>
      </w:r>
      <w:r w:rsidRPr="005D6CD4">
        <w:rPr>
          <w:i/>
          <w:color w:val="000000"/>
          <w:lang w:val="fr-FR"/>
        </w:rPr>
        <w:t>.</w:t>
      </w:r>
    </w:p>
    <w:p w:rsidR="00E15507" w:rsidRPr="005D6CD4" w:rsidRDefault="00E15507" w:rsidP="00740CA4">
      <w:pPr>
        <w:pStyle w:val="SingleTxt"/>
        <w:rPr>
          <w:bCs/>
          <w:i/>
          <w:iCs/>
          <w:lang w:val="fr-FR"/>
        </w:rPr>
      </w:pPr>
      <w:r w:rsidRPr="00F67DD1">
        <w:rPr>
          <w:iCs/>
          <w:lang w:val="fr-FR"/>
        </w:rPr>
        <w:t>3.11.3</w:t>
      </w:r>
      <w:r w:rsidR="00F67DD1">
        <w:rPr>
          <w:bCs/>
          <w:i/>
          <w:iCs/>
          <w:lang w:val="fr-FR"/>
        </w:rPr>
        <w:t xml:space="preserve">. </w:t>
      </w:r>
      <w:r w:rsidRPr="005D6CD4">
        <w:rPr>
          <w:bCs/>
          <w:i/>
          <w:iCs/>
          <w:lang w:val="fr-FR"/>
        </w:rPr>
        <w:t xml:space="preserve"> Pour faire davantage face aux aspects du VIH/</w:t>
      </w:r>
      <w:r w:rsidR="00940485">
        <w:rPr>
          <w:bCs/>
          <w:i/>
          <w:iCs/>
          <w:lang w:val="fr-FR"/>
        </w:rPr>
        <w:t>SIDA</w:t>
      </w:r>
      <w:r w:rsidRPr="005D6CD4">
        <w:rPr>
          <w:bCs/>
          <w:i/>
          <w:iCs/>
          <w:lang w:val="fr-FR"/>
        </w:rPr>
        <w:t xml:space="preserve"> liés aux inégalités des sexes, le Gouvernement du </w:t>
      </w:r>
      <w:r>
        <w:rPr>
          <w:bCs/>
          <w:i/>
          <w:iCs/>
          <w:lang w:val="fr-FR"/>
        </w:rPr>
        <w:t>Nigéria</w:t>
      </w:r>
      <w:r w:rsidRPr="005D6CD4">
        <w:rPr>
          <w:bCs/>
          <w:i/>
          <w:iCs/>
          <w:lang w:val="fr-FR"/>
        </w:rPr>
        <w:t>, au titre d</w:t>
      </w:r>
      <w:r w:rsidR="000A3D87">
        <w:rPr>
          <w:bCs/>
          <w:i/>
          <w:iCs/>
          <w:lang w:val="fr-FR"/>
        </w:rPr>
        <w:t>’</w:t>
      </w:r>
      <w:r w:rsidRPr="005D6CD4">
        <w:rPr>
          <w:bCs/>
          <w:i/>
          <w:iCs/>
          <w:lang w:val="fr-FR"/>
        </w:rPr>
        <w:t>un programme bilatéral avec l</w:t>
      </w:r>
      <w:r w:rsidR="000A3D87">
        <w:rPr>
          <w:bCs/>
          <w:i/>
          <w:iCs/>
          <w:lang w:val="fr-FR"/>
        </w:rPr>
        <w:t>’</w:t>
      </w:r>
      <w:r w:rsidRPr="005D6CD4">
        <w:rPr>
          <w:bCs/>
          <w:i/>
          <w:iCs/>
          <w:lang w:val="fr-FR"/>
        </w:rPr>
        <w:t xml:space="preserve">ACDI, a mis en place le Fonds nigérian de riposte au </w:t>
      </w:r>
      <w:r w:rsidR="00940485">
        <w:rPr>
          <w:bCs/>
          <w:i/>
          <w:iCs/>
          <w:lang w:val="fr-FR"/>
        </w:rPr>
        <w:t>SIDA</w:t>
      </w:r>
      <w:r w:rsidRPr="005D6CD4">
        <w:rPr>
          <w:bCs/>
          <w:i/>
          <w:iCs/>
          <w:lang w:val="fr-FR"/>
        </w:rPr>
        <w:t>. La stratégie de l</w:t>
      </w:r>
      <w:r w:rsidR="000A3D87">
        <w:rPr>
          <w:bCs/>
          <w:i/>
          <w:iCs/>
          <w:lang w:val="fr-FR"/>
        </w:rPr>
        <w:t>’</w:t>
      </w:r>
      <w:r w:rsidRPr="005D6CD4">
        <w:rPr>
          <w:bCs/>
          <w:i/>
          <w:iCs/>
          <w:lang w:val="fr-FR"/>
        </w:rPr>
        <w:t>égalité des sexes dans le cadre de ce fonds vise à promouvoir la prise en compte systématique du souci de la parité des sexes dans la lutte contre le VIH/</w:t>
      </w:r>
      <w:r w:rsidR="00940485">
        <w:rPr>
          <w:bCs/>
          <w:i/>
          <w:iCs/>
          <w:lang w:val="fr-FR"/>
        </w:rPr>
        <w:t>SIDA</w:t>
      </w:r>
      <w:r w:rsidRPr="005D6CD4">
        <w:rPr>
          <w:bCs/>
          <w:i/>
          <w:iCs/>
          <w:lang w:val="fr-FR"/>
        </w:rPr>
        <w:t xml:space="preserve"> à tous les niveaux et dans différents contextes sociaux. Cette stratégie repose sur cinq piliers, à savoir, l</w:t>
      </w:r>
      <w:r w:rsidR="000A3D87">
        <w:rPr>
          <w:bCs/>
          <w:i/>
          <w:iCs/>
          <w:lang w:val="fr-FR"/>
        </w:rPr>
        <w:t>’</w:t>
      </w:r>
      <w:r w:rsidRPr="005D6CD4">
        <w:rPr>
          <w:bCs/>
          <w:i/>
          <w:iCs/>
          <w:lang w:val="fr-FR"/>
        </w:rPr>
        <w:t>analyse des problèmes de parité des sexes, système de gestion soucieux de la parité des sexes, audit tenant compte de la parité des sexes, suivi et évaluation fondés sur la parité des sexes et documentation et diffusion des pratiques optimales. Cette initiative donne lieu et encourage l</w:t>
      </w:r>
      <w:r w:rsidR="000A3D87">
        <w:rPr>
          <w:bCs/>
          <w:i/>
          <w:iCs/>
          <w:lang w:val="fr-FR"/>
        </w:rPr>
        <w:t>’</w:t>
      </w:r>
      <w:r w:rsidRPr="005D6CD4">
        <w:rPr>
          <w:bCs/>
          <w:i/>
          <w:iCs/>
          <w:lang w:val="fr-FR"/>
        </w:rPr>
        <w:t>infusion de la connaissance des différences entre les sexes dans la programmation de la lutte contre le VIH/</w:t>
      </w:r>
      <w:r w:rsidR="00940485">
        <w:rPr>
          <w:bCs/>
          <w:i/>
          <w:iCs/>
          <w:lang w:val="fr-FR"/>
        </w:rPr>
        <w:t>SIDA</w:t>
      </w:r>
      <w:r w:rsidRPr="005D6CD4">
        <w:rPr>
          <w:bCs/>
          <w:i/>
          <w:iCs/>
          <w:lang w:val="fr-FR"/>
        </w:rPr>
        <w:t>.</w:t>
      </w:r>
    </w:p>
    <w:p w:rsidR="00E15507" w:rsidRPr="005D6CD4" w:rsidRDefault="00BB02C6" w:rsidP="00740CA4">
      <w:pPr>
        <w:pStyle w:val="SingleTxt"/>
        <w:rPr>
          <w:bCs/>
          <w:i/>
          <w:iCs/>
          <w:lang w:val="fr-FR"/>
        </w:rPr>
      </w:pPr>
      <w:r>
        <w:rPr>
          <w:bCs/>
          <w:i/>
          <w:iCs/>
          <w:lang w:val="fr-FR"/>
        </w:rPr>
        <w:tab/>
      </w:r>
      <w:r w:rsidR="00E15507" w:rsidRPr="005D6CD4">
        <w:rPr>
          <w:bCs/>
          <w:i/>
          <w:iCs/>
          <w:lang w:val="fr-FR"/>
        </w:rPr>
        <w:t>Les interventions financées par ce fonds ont abouti à une sensibilisation accrue aux questions de santé et de bien-être des femmes et des hommes, des garçons et des filles nigérians, à une participation plus importante de tous à</w:t>
      </w:r>
      <w:r w:rsidR="00E15507">
        <w:rPr>
          <w:bCs/>
          <w:i/>
          <w:iCs/>
          <w:lang w:val="fr-FR"/>
        </w:rPr>
        <w:t xml:space="preserve"> </w:t>
      </w:r>
      <w:r w:rsidR="00E15507" w:rsidRPr="005D6CD4">
        <w:rPr>
          <w:bCs/>
          <w:i/>
          <w:iCs/>
          <w:lang w:val="fr-FR"/>
        </w:rPr>
        <w:t>la lutte contre la propagation du VIH/</w:t>
      </w:r>
      <w:r w:rsidR="00940485">
        <w:rPr>
          <w:bCs/>
          <w:i/>
          <w:iCs/>
          <w:lang w:val="fr-FR"/>
        </w:rPr>
        <w:t>SIDA</w:t>
      </w:r>
      <w:r w:rsidR="00E15507" w:rsidRPr="005D6CD4">
        <w:rPr>
          <w:bCs/>
          <w:i/>
          <w:iCs/>
          <w:lang w:val="fr-FR"/>
        </w:rPr>
        <w:t xml:space="preserve"> et à des soins et un appui renforcés. Ces résultats ont permis que les préoccupations et les données d</w:t>
      </w:r>
      <w:r w:rsidR="000A3D87">
        <w:rPr>
          <w:bCs/>
          <w:i/>
          <w:iCs/>
          <w:lang w:val="fr-FR"/>
        </w:rPr>
        <w:t>’</w:t>
      </w:r>
      <w:r w:rsidR="00E15507" w:rsidRPr="005D6CD4">
        <w:rPr>
          <w:bCs/>
          <w:i/>
          <w:iCs/>
          <w:lang w:val="fr-FR"/>
        </w:rPr>
        <w:t>expérience des femmes comme des hommes fassent partie intégrante de la conception, de l</w:t>
      </w:r>
      <w:r w:rsidR="000A3D87">
        <w:rPr>
          <w:bCs/>
          <w:i/>
          <w:iCs/>
          <w:lang w:val="fr-FR"/>
        </w:rPr>
        <w:t>’</w:t>
      </w:r>
      <w:r w:rsidR="00E15507" w:rsidRPr="005D6CD4">
        <w:rPr>
          <w:bCs/>
          <w:i/>
          <w:iCs/>
          <w:lang w:val="fr-FR"/>
        </w:rPr>
        <w:t>exécution, du suivi et de l</w:t>
      </w:r>
      <w:r w:rsidR="000A3D87">
        <w:rPr>
          <w:bCs/>
          <w:i/>
          <w:iCs/>
          <w:lang w:val="fr-FR"/>
        </w:rPr>
        <w:t>’</w:t>
      </w:r>
      <w:r w:rsidR="00E15507" w:rsidRPr="005D6CD4">
        <w:rPr>
          <w:bCs/>
          <w:i/>
          <w:iCs/>
          <w:lang w:val="fr-FR"/>
        </w:rPr>
        <w:t>évaluation des programmes de lutte contre le VIH/</w:t>
      </w:r>
      <w:r w:rsidR="00940485">
        <w:rPr>
          <w:bCs/>
          <w:i/>
          <w:iCs/>
          <w:lang w:val="fr-FR"/>
        </w:rPr>
        <w:t>SIDA</w:t>
      </w:r>
      <w:r w:rsidR="00E15507" w:rsidRPr="005D6CD4">
        <w:rPr>
          <w:bCs/>
          <w:i/>
          <w:iCs/>
          <w:lang w:val="fr-FR"/>
        </w:rPr>
        <w:t>.</w:t>
      </w:r>
    </w:p>
    <w:p w:rsidR="00E15507" w:rsidRDefault="00E15507" w:rsidP="00740CA4">
      <w:pPr>
        <w:pStyle w:val="SingleTxt"/>
        <w:rPr>
          <w:bCs/>
          <w:i/>
          <w:iCs/>
          <w:lang w:val="fr-FR"/>
        </w:rPr>
      </w:pPr>
      <w:r w:rsidRPr="00F67DD1">
        <w:rPr>
          <w:iCs/>
          <w:lang w:val="fr-FR"/>
        </w:rPr>
        <w:t>3.11.4</w:t>
      </w:r>
      <w:r w:rsidR="00F67DD1">
        <w:rPr>
          <w:bCs/>
          <w:i/>
          <w:iCs/>
          <w:lang w:val="fr-FR"/>
        </w:rPr>
        <w:t xml:space="preserve">. </w:t>
      </w:r>
      <w:r w:rsidRPr="005D6CD4">
        <w:rPr>
          <w:bCs/>
          <w:i/>
          <w:iCs/>
          <w:lang w:val="fr-FR"/>
        </w:rPr>
        <w:t xml:space="preserve"> À titre d</w:t>
      </w:r>
      <w:r w:rsidR="000A3D87">
        <w:rPr>
          <w:bCs/>
          <w:i/>
          <w:iCs/>
          <w:lang w:val="fr-FR"/>
        </w:rPr>
        <w:t>’</w:t>
      </w:r>
      <w:r w:rsidRPr="005D6CD4">
        <w:rPr>
          <w:bCs/>
          <w:i/>
          <w:iCs/>
          <w:lang w:val="fr-FR"/>
        </w:rPr>
        <w:t>exemple précis, suite à la 14</w:t>
      </w:r>
      <w:r w:rsidRPr="005D6CD4">
        <w:rPr>
          <w:bCs/>
          <w:i/>
          <w:iCs/>
          <w:vertAlign w:val="superscript"/>
          <w:lang w:val="fr-FR"/>
        </w:rPr>
        <w:t>ème</w:t>
      </w:r>
      <w:r w:rsidRPr="005D6CD4">
        <w:rPr>
          <w:bCs/>
          <w:i/>
          <w:iCs/>
          <w:lang w:val="fr-FR"/>
        </w:rPr>
        <w:t xml:space="preserve"> Conférence internationale</w:t>
      </w:r>
      <w:r>
        <w:rPr>
          <w:bCs/>
          <w:i/>
          <w:iCs/>
          <w:lang w:val="fr-FR"/>
        </w:rPr>
        <w:t xml:space="preserve"> </w:t>
      </w:r>
      <w:r w:rsidRPr="005D6CD4">
        <w:rPr>
          <w:bCs/>
          <w:i/>
          <w:iCs/>
          <w:lang w:val="fr-FR"/>
        </w:rPr>
        <w:t xml:space="preserve">sur le </w:t>
      </w:r>
      <w:r w:rsidR="00940485">
        <w:rPr>
          <w:bCs/>
          <w:i/>
          <w:iCs/>
          <w:lang w:val="fr-FR"/>
        </w:rPr>
        <w:t>SIDA</w:t>
      </w:r>
      <w:r w:rsidRPr="005D6CD4">
        <w:rPr>
          <w:bCs/>
          <w:i/>
          <w:iCs/>
          <w:lang w:val="fr-FR"/>
        </w:rPr>
        <w:t xml:space="preserve"> et les maladies sexuellement transmissibles, accueillie par le </w:t>
      </w:r>
      <w:r>
        <w:rPr>
          <w:bCs/>
          <w:i/>
          <w:iCs/>
          <w:lang w:val="fr-FR"/>
        </w:rPr>
        <w:t>Nigéria</w:t>
      </w:r>
      <w:r w:rsidRPr="005D6CD4">
        <w:rPr>
          <w:bCs/>
          <w:i/>
          <w:iCs/>
          <w:lang w:val="fr-FR"/>
        </w:rPr>
        <w:t xml:space="preserve"> en décembre 2005, le Gouvernement a annoncé une nouvelle politique relative aux services médicaux gratuits pour les femmes enceintes séropositives. Ceci n</w:t>
      </w:r>
      <w:r w:rsidR="000A3D87">
        <w:rPr>
          <w:bCs/>
          <w:i/>
          <w:iCs/>
          <w:lang w:val="fr-FR"/>
        </w:rPr>
        <w:t>’</w:t>
      </w:r>
      <w:r w:rsidRPr="005D6CD4">
        <w:rPr>
          <w:bCs/>
          <w:i/>
          <w:iCs/>
          <w:lang w:val="fr-FR"/>
        </w:rPr>
        <w:t>était pas sans rapport avec les délibérations fortement médiatisées et de vaste portée organisées pour traiter de l</w:t>
      </w:r>
      <w:r w:rsidR="000A3D87">
        <w:rPr>
          <w:bCs/>
          <w:i/>
          <w:iCs/>
          <w:lang w:val="fr-FR"/>
        </w:rPr>
        <w:t>’</w:t>
      </w:r>
      <w:r w:rsidRPr="005D6CD4">
        <w:rPr>
          <w:bCs/>
          <w:i/>
          <w:iCs/>
          <w:lang w:val="fr-FR"/>
        </w:rPr>
        <w:t>inégalité des sexes liée aux questions de VIH/</w:t>
      </w:r>
      <w:r w:rsidR="00940485">
        <w:rPr>
          <w:bCs/>
          <w:i/>
          <w:iCs/>
          <w:lang w:val="fr-FR"/>
        </w:rPr>
        <w:t>SIDA</w:t>
      </w:r>
      <w:r w:rsidRPr="005D6CD4">
        <w:rPr>
          <w:bCs/>
          <w:i/>
          <w:iCs/>
          <w:lang w:val="fr-FR"/>
        </w:rPr>
        <w:t xml:space="preserve"> à la conférence. </w:t>
      </w:r>
    </w:p>
    <w:p w:rsidR="00BB02C6" w:rsidRPr="00BB02C6" w:rsidRDefault="00BB02C6" w:rsidP="00BB02C6">
      <w:pPr>
        <w:pStyle w:val="SingleTxt"/>
        <w:spacing w:after="0" w:line="120" w:lineRule="exact"/>
        <w:rPr>
          <w:bCs/>
          <w:i/>
          <w:iCs/>
          <w:sz w:val="10"/>
          <w:lang w:val="fr-FR"/>
        </w:rPr>
      </w:pPr>
    </w:p>
    <w:p w:rsidR="00E15507" w:rsidRDefault="00BB02C6" w:rsidP="00F67D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rPr>
          <w:b w:val="0"/>
          <w:lang w:val="fr-FR"/>
        </w:rPr>
      </w:pPr>
      <w:r>
        <w:rPr>
          <w:lang w:val="fr-FR"/>
        </w:rPr>
        <w:tab/>
      </w:r>
      <w:r w:rsidR="00E15507" w:rsidRPr="005D6CD4">
        <w:rPr>
          <w:lang w:val="fr-FR"/>
        </w:rPr>
        <w:t xml:space="preserve">3.12 </w:t>
      </w:r>
      <w:r>
        <w:rPr>
          <w:lang w:val="fr-FR"/>
        </w:rPr>
        <w:tab/>
      </w:r>
      <w:r w:rsidR="00E15507" w:rsidRPr="00BB02C6">
        <w:rPr>
          <w:b w:val="0"/>
          <w:lang w:val="fr-FR"/>
        </w:rPr>
        <w:t>Sur la base des chiffres et des tableaux présentés plus haut et indiquant le niveau croissant actuel de l</w:t>
      </w:r>
      <w:r w:rsidR="000A3D87">
        <w:rPr>
          <w:b w:val="0"/>
          <w:lang w:val="fr-FR"/>
        </w:rPr>
        <w:t>’</w:t>
      </w:r>
      <w:r w:rsidR="00E15507" w:rsidRPr="00BB02C6">
        <w:rPr>
          <w:b w:val="0"/>
          <w:lang w:val="fr-FR"/>
        </w:rPr>
        <w:t>épidémie dans les zones rurales, le pays prépare des interventions appropriées en ciblant les groupes vulnérables. Des efforts concertés sont déployés pour limiter l</w:t>
      </w:r>
      <w:r w:rsidR="000A3D87">
        <w:rPr>
          <w:b w:val="0"/>
          <w:lang w:val="fr-FR"/>
        </w:rPr>
        <w:t>’</w:t>
      </w:r>
      <w:r w:rsidR="00E15507" w:rsidRPr="00BB02C6">
        <w:rPr>
          <w:b w:val="0"/>
          <w:lang w:val="fr-FR"/>
        </w:rPr>
        <w:t>épidémie par l</w:t>
      </w:r>
      <w:r w:rsidR="000A3D87">
        <w:rPr>
          <w:b w:val="0"/>
          <w:lang w:val="fr-FR"/>
        </w:rPr>
        <w:t>’</w:t>
      </w:r>
      <w:r w:rsidR="00E15507" w:rsidRPr="00BB02C6">
        <w:rPr>
          <w:b w:val="0"/>
          <w:lang w:val="fr-FR"/>
        </w:rPr>
        <w:t xml:space="preserve">accroissement du programme antirétroviral (y compris la subvention des médicaments antirétroviraux) pour satisfaire la demande croissante des cas estimés de VIH dans le pays. </w:t>
      </w:r>
    </w:p>
    <w:p w:rsidR="00BB02C6" w:rsidRPr="00BB02C6" w:rsidRDefault="00BB02C6" w:rsidP="00BB02C6">
      <w:pPr>
        <w:pStyle w:val="SingleTxt"/>
        <w:spacing w:after="0" w:line="120" w:lineRule="exact"/>
        <w:rPr>
          <w:sz w:val="10"/>
          <w:lang w:val="fr-FR"/>
        </w:rPr>
      </w:pPr>
    </w:p>
    <w:p w:rsidR="00E15507" w:rsidRPr="005D6CD4" w:rsidRDefault="00F67DD1" w:rsidP="00740CA4">
      <w:pPr>
        <w:pStyle w:val="SingleTxt"/>
        <w:rPr>
          <w:lang w:val="fr-FR"/>
        </w:rPr>
      </w:pPr>
      <w:r>
        <w:rPr>
          <w:lang w:val="fr-FR"/>
        </w:rPr>
        <w:tab/>
      </w:r>
      <w:r w:rsidR="00E15507" w:rsidRPr="005D6CD4">
        <w:rPr>
          <w:lang w:val="fr-FR"/>
        </w:rPr>
        <w:t>Les autres programmes de lutte contre le VIH/</w:t>
      </w:r>
      <w:r w:rsidR="00940485">
        <w:rPr>
          <w:lang w:val="fr-FR"/>
        </w:rPr>
        <w:t>SIDA</w:t>
      </w:r>
      <w:r w:rsidR="00E15507" w:rsidRPr="005D6CD4">
        <w:rPr>
          <w:lang w:val="fr-FR"/>
        </w:rPr>
        <w:t xml:space="preserve"> sont les suivants :</w:t>
      </w:r>
    </w:p>
    <w:p w:rsidR="00E15507" w:rsidRPr="005D6CD4" w:rsidRDefault="00E15507" w:rsidP="009546E1">
      <w:pPr>
        <w:pStyle w:val="SingleTxt"/>
        <w:numPr>
          <w:ilvl w:val="2"/>
          <w:numId w:val="11"/>
        </w:numPr>
        <w:tabs>
          <w:tab w:val="clear" w:pos="1742"/>
          <w:tab w:val="clear" w:pos="3427"/>
          <w:tab w:val="left" w:pos="1710"/>
        </w:tabs>
        <w:ind w:left="1710" w:hanging="450"/>
        <w:rPr>
          <w:lang w:val="fr-FR"/>
        </w:rPr>
      </w:pPr>
      <w:r w:rsidRPr="005D6CD4">
        <w:rPr>
          <w:lang w:val="fr-FR"/>
        </w:rPr>
        <w:t>Les stratégies d</w:t>
      </w:r>
      <w:r w:rsidR="000A3D87">
        <w:rPr>
          <w:lang w:val="fr-FR"/>
        </w:rPr>
        <w:t>’</w:t>
      </w:r>
      <w:r w:rsidRPr="005D6CD4">
        <w:rPr>
          <w:lang w:val="fr-FR"/>
        </w:rPr>
        <w:t>intervention sont intensifiées dans</w:t>
      </w:r>
      <w:r>
        <w:rPr>
          <w:lang w:val="fr-FR"/>
        </w:rPr>
        <w:t xml:space="preserve"> </w:t>
      </w:r>
      <w:r w:rsidRPr="005D6CD4">
        <w:rPr>
          <w:lang w:val="fr-FR"/>
        </w:rPr>
        <w:t>toutes les zones à prévalence élevée, plus particulièrement en milieu rural, auprès des adolescents et des jeunes vulnérables de 15 à 24 ans et des femmes qui n</w:t>
      </w:r>
      <w:r w:rsidR="000A3D87">
        <w:rPr>
          <w:lang w:val="fr-FR"/>
        </w:rPr>
        <w:t>’</w:t>
      </w:r>
      <w:r w:rsidRPr="005D6CD4">
        <w:rPr>
          <w:lang w:val="fr-FR"/>
        </w:rPr>
        <w:t>ont qu</w:t>
      </w:r>
      <w:r w:rsidR="000A3D87">
        <w:rPr>
          <w:lang w:val="fr-FR"/>
        </w:rPr>
        <w:t>’</w:t>
      </w:r>
      <w:r w:rsidRPr="005D6CD4">
        <w:rPr>
          <w:lang w:val="fr-FR"/>
        </w:rPr>
        <w:t>un niveau d</w:t>
      </w:r>
      <w:r w:rsidR="000A3D87">
        <w:rPr>
          <w:lang w:val="fr-FR"/>
        </w:rPr>
        <w:t>’</w:t>
      </w:r>
      <w:r w:rsidRPr="005D6CD4">
        <w:rPr>
          <w:lang w:val="fr-FR"/>
        </w:rPr>
        <w:t xml:space="preserve">instruction du primaire ou du secondaire. </w:t>
      </w:r>
    </w:p>
    <w:p w:rsidR="00E15507" w:rsidRPr="005D6CD4" w:rsidRDefault="00E15507" w:rsidP="009546E1">
      <w:pPr>
        <w:pStyle w:val="SingleTxt"/>
        <w:numPr>
          <w:ilvl w:val="2"/>
          <w:numId w:val="11"/>
        </w:numPr>
        <w:tabs>
          <w:tab w:val="clear" w:pos="1742"/>
          <w:tab w:val="clear" w:pos="3427"/>
          <w:tab w:val="left" w:pos="1710"/>
        </w:tabs>
        <w:ind w:left="1710" w:hanging="450"/>
        <w:rPr>
          <w:lang w:val="fr-FR"/>
        </w:rPr>
      </w:pPr>
      <w:r w:rsidRPr="005D6CD4">
        <w:rPr>
          <w:lang w:val="fr-FR"/>
        </w:rPr>
        <w:t>Dans les zones où la prévalence du VIH est encore relativement faible on veille à maintenir le taux strictement et constamment faible et à limiter l</w:t>
      </w:r>
      <w:r w:rsidR="000A3D87">
        <w:rPr>
          <w:lang w:val="fr-FR"/>
        </w:rPr>
        <w:t>’</w:t>
      </w:r>
      <w:r w:rsidRPr="005D6CD4">
        <w:rPr>
          <w:lang w:val="fr-FR"/>
        </w:rPr>
        <w:t xml:space="preserve">épidémie. </w:t>
      </w:r>
    </w:p>
    <w:p w:rsidR="00E15507" w:rsidRPr="005D6CD4" w:rsidRDefault="00E15507" w:rsidP="009546E1">
      <w:pPr>
        <w:pStyle w:val="SingleTxt"/>
        <w:numPr>
          <w:ilvl w:val="2"/>
          <w:numId w:val="11"/>
        </w:numPr>
        <w:tabs>
          <w:tab w:val="clear" w:pos="1742"/>
          <w:tab w:val="clear" w:pos="3427"/>
          <w:tab w:val="left" w:pos="1710"/>
        </w:tabs>
        <w:ind w:left="1710" w:hanging="450"/>
        <w:rPr>
          <w:lang w:val="fr-FR"/>
        </w:rPr>
      </w:pPr>
      <w:r w:rsidRPr="005D6CD4">
        <w:rPr>
          <w:lang w:val="fr-FR"/>
        </w:rPr>
        <w:t>Il y</w:t>
      </w:r>
      <w:r>
        <w:rPr>
          <w:lang w:val="fr-FR"/>
        </w:rPr>
        <w:t xml:space="preserve"> </w:t>
      </w:r>
      <w:r w:rsidRPr="005D6CD4">
        <w:rPr>
          <w:lang w:val="fr-FR"/>
        </w:rPr>
        <w:t xml:space="preserve">a une forte expansion des services de PTME et de CTV pour la population en général </w:t>
      </w:r>
    </w:p>
    <w:p w:rsidR="00E15507" w:rsidRDefault="00E15507" w:rsidP="009546E1">
      <w:pPr>
        <w:pStyle w:val="SingleTxt"/>
        <w:numPr>
          <w:ilvl w:val="2"/>
          <w:numId w:val="11"/>
        </w:numPr>
        <w:tabs>
          <w:tab w:val="clear" w:pos="1742"/>
          <w:tab w:val="clear" w:pos="3427"/>
          <w:tab w:val="left" w:pos="1710"/>
        </w:tabs>
        <w:ind w:left="1710" w:hanging="450"/>
        <w:rPr>
          <w:lang w:val="fr-FR"/>
        </w:rPr>
      </w:pPr>
      <w:r w:rsidRPr="005D6CD4">
        <w:rPr>
          <w:lang w:val="fr-FR"/>
        </w:rPr>
        <w:t xml:space="preserve">Les activités actuelles de soin et de soutien, notamment le programme antirétroviral, sont actuellement amplifiées afin de répondre aux besoins croissantes du grand nombre de cas de </w:t>
      </w:r>
      <w:r w:rsidR="00940485">
        <w:rPr>
          <w:lang w:val="fr-FR"/>
        </w:rPr>
        <w:t>SIDA</w:t>
      </w:r>
      <w:r w:rsidRPr="005D6CD4">
        <w:rPr>
          <w:lang w:val="fr-FR"/>
        </w:rPr>
        <w:t xml:space="preserve"> existant dans le pays.</w:t>
      </w:r>
      <w:r>
        <w:rPr>
          <w:lang w:val="fr-FR"/>
        </w:rPr>
        <w:t xml:space="preserve"> </w:t>
      </w:r>
    </w:p>
    <w:p w:rsidR="00BB02C6" w:rsidRPr="00BB02C6" w:rsidRDefault="00BB02C6" w:rsidP="00BB02C6">
      <w:pPr>
        <w:pStyle w:val="SingleTxt"/>
        <w:spacing w:after="0" w:line="120" w:lineRule="exact"/>
        <w:rPr>
          <w:sz w:val="10"/>
          <w:lang w:val="fr-FR"/>
        </w:rPr>
      </w:pPr>
    </w:p>
    <w:p w:rsidR="00E15507" w:rsidRDefault="00BB02C6" w:rsidP="00BB02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E15507" w:rsidRPr="005D6CD4">
        <w:rPr>
          <w:lang w:val="fr-FR"/>
        </w:rPr>
        <w:t xml:space="preserve">3.13 </w:t>
      </w:r>
      <w:r>
        <w:rPr>
          <w:lang w:val="fr-FR"/>
        </w:rPr>
        <w:tab/>
      </w:r>
      <w:r w:rsidR="00E15507" w:rsidRPr="005D6CD4">
        <w:rPr>
          <w:lang w:val="fr-FR"/>
        </w:rPr>
        <w:t>Défis</w:t>
      </w:r>
    </w:p>
    <w:p w:rsidR="00BB02C6" w:rsidRPr="00BB02C6" w:rsidRDefault="00BB02C6" w:rsidP="00BB02C6">
      <w:pPr>
        <w:pStyle w:val="SingleTxt"/>
        <w:spacing w:after="0" w:line="120" w:lineRule="exact"/>
        <w:rPr>
          <w:sz w:val="10"/>
          <w:lang w:val="fr-FR"/>
        </w:rPr>
      </w:pPr>
    </w:p>
    <w:p w:rsidR="00E15507" w:rsidRPr="005D6CD4" w:rsidRDefault="00E15507" w:rsidP="00740CA4">
      <w:pPr>
        <w:pStyle w:val="SingleTxt"/>
        <w:rPr>
          <w:lang w:val="fr-FR"/>
        </w:rPr>
      </w:pPr>
      <w:r w:rsidRPr="005D6CD4">
        <w:rPr>
          <w:bCs/>
          <w:lang w:val="fr-FR"/>
        </w:rPr>
        <w:t>3.12.1</w:t>
      </w:r>
      <w:r w:rsidRPr="005D6CD4">
        <w:rPr>
          <w:lang w:val="fr-FR"/>
        </w:rPr>
        <w:t xml:space="preserve"> Malgré la riposte nationale telle qu</w:t>
      </w:r>
      <w:r w:rsidR="000A3D87">
        <w:rPr>
          <w:lang w:val="fr-FR"/>
        </w:rPr>
        <w:t>’</w:t>
      </w:r>
      <w:r w:rsidRPr="005D6CD4">
        <w:rPr>
          <w:lang w:val="fr-FR"/>
        </w:rPr>
        <w:t>elle est définie dans les politiques, mécanismes et programmes, la mise en œuvre des interventions en vue de combattre efficacement la propagation du VIH/</w:t>
      </w:r>
      <w:r w:rsidR="00940485">
        <w:rPr>
          <w:lang w:val="fr-FR"/>
        </w:rPr>
        <w:t>SIDA</w:t>
      </w:r>
      <w:r w:rsidRPr="005D6CD4">
        <w:rPr>
          <w:lang w:val="fr-FR"/>
        </w:rPr>
        <w:t xml:space="preserve"> se heurte à des obstacles considérables.</w:t>
      </w:r>
      <w:r>
        <w:rPr>
          <w:lang w:val="fr-FR"/>
        </w:rPr>
        <w:t xml:space="preserve"> </w:t>
      </w:r>
      <w:r w:rsidRPr="005D6CD4">
        <w:rPr>
          <w:lang w:val="fr-FR"/>
        </w:rPr>
        <w:t>Les principaux défis qui se posent aux actions visant à éradiquer le VIH dans le pays ont pour noms la pauvreté et l</w:t>
      </w:r>
      <w:r w:rsidR="000A3D87">
        <w:rPr>
          <w:lang w:val="fr-FR"/>
        </w:rPr>
        <w:t>’</w:t>
      </w:r>
      <w:r w:rsidRPr="005D6CD4">
        <w:rPr>
          <w:lang w:val="fr-FR"/>
        </w:rPr>
        <w:t>inégalité des sexes. La perception culturelle de la masculinité et de la féminité accroissent constamment la vulnérabilité des femmes et des filles à l</w:t>
      </w:r>
      <w:r w:rsidR="000A3D87">
        <w:rPr>
          <w:lang w:val="fr-FR"/>
        </w:rPr>
        <w:t>’</w:t>
      </w:r>
      <w:r w:rsidRPr="005D6CD4">
        <w:rPr>
          <w:lang w:val="fr-FR"/>
        </w:rPr>
        <w:t>infection au VIH.</w:t>
      </w:r>
    </w:p>
    <w:p w:rsidR="00E15507" w:rsidRPr="005D6CD4" w:rsidRDefault="00F67DD1" w:rsidP="00740CA4">
      <w:pPr>
        <w:pStyle w:val="SingleTxt"/>
        <w:rPr>
          <w:lang w:val="fr-FR"/>
        </w:rPr>
      </w:pPr>
      <w:r>
        <w:rPr>
          <w:lang w:val="fr-FR"/>
        </w:rPr>
        <w:tab/>
      </w:r>
      <w:r w:rsidR="00E15507" w:rsidRPr="005D6CD4">
        <w:rPr>
          <w:lang w:val="fr-FR"/>
        </w:rPr>
        <w:t>Des mesures efficaces s</w:t>
      </w:r>
      <w:r w:rsidR="000A3D87">
        <w:rPr>
          <w:lang w:val="fr-FR"/>
        </w:rPr>
        <w:t>’</w:t>
      </w:r>
      <w:r w:rsidR="00E15507" w:rsidRPr="005D6CD4">
        <w:rPr>
          <w:lang w:val="fr-FR"/>
        </w:rPr>
        <w:t>imposent encore dans des domaines tels que le changement des comportements, la communication, en particulier entre les partenaires sexuels, l</w:t>
      </w:r>
      <w:r w:rsidR="000A3D87">
        <w:rPr>
          <w:lang w:val="fr-FR"/>
        </w:rPr>
        <w:t>’</w:t>
      </w:r>
      <w:r w:rsidR="00E15507" w:rsidRPr="005D6CD4">
        <w:rPr>
          <w:lang w:val="fr-FR"/>
        </w:rPr>
        <w:t>utilisation accessible, abordable, conjointe et efficace des préservatifs masculins et féminins, l</w:t>
      </w:r>
      <w:r w:rsidR="000A3D87">
        <w:rPr>
          <w:lang w:val="fr-FR"/>
        </w:rPr>
        <w:t>’</w:t>
      </w:r>
      <w:r w:rsidR="00E15507" w:rsidRPr="005D6CD4">
        <w:rPr>
          <w:lang w:val="fr-FR"/>
        </w:rPr>
        <w:t>incapacité des femmes et des filles à négocier des pratiques sexuelles saines et le traitement des IST et le manque de capacité technique pour gérer les initiatives de prévention du VIH/</w:t>
      </w:r>
      <w:r w:rsidR="00940485">
        <w:rPr>
          <w:lang w:val="fr-FR"/>
        </w:rPr>
        <w:t>SIDA</w:t>
      </w:r>
      <w:r w:rsidR="00E15507" w:rsidRPr="005D6CD4">
        <w:rPr>
          <w:lang w:val="fr-FR"/>
        </w:rPr>
        <w:t>. Ces perspectives socioculturelles et sexistes posent des défis majeurs au pays car ce sont des facteurs déterminants qui favorisent la propagation de la maladie.</w:t>
      </w:r>
    </w:p>
    <w:p w:rsidR="00BB02C6" w:rsidRPr="00BB02C6" w:rsidRDefault="00BB02C6" w:rsidP="00BB02C6">
      <w:pPr>
        <w:pStyle w:val="SingleTxt"/>
        <w:spacing w:after="0" w:line="120" w:lineRule="exact"/>
        <w:rPr>
          <w:sz w:val="10"/>
          <w:lang w:val="fr-FR"/>
        </w:rPr>
      </w:pPr>
    </w:p>
    <w:p w:rsidR="00BB02C6" w:rsidRPr="00BB02C6" w:rsidRDefault="00BB02C6" w:rsidP="00BB02C6">
      <w:pPr>
        <w:pStyle w:val="SingleTxt"/>
        <w:spacing w:after="0" w:line="120" w:lineRule="exact"/>
        <w:rPr>
          <w:sz w:val="10"/>
          <w:lang w:val="fr-FR"/>
        </w:rPr>
      </w:pPr>
    </w:p>
    <w:p w:rsidR="00BB02C6" w:rsidRDefault="00BB02C6" w:rsidP="00BB02C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E15507" w:rsidRPr="005D6CD4">
        <w:rPr>
          <w:lang w:val="fr-FR"/>
        </w:rPr>
        <w:t>Article 4</w:t>
      </w:r>
    </w:p>
    <w:p w:rsidR="00E15507" w:rsidRDefault="00BB02C6" w:rsidP="00BB02C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E15507" w:rsidRPr="005D6CD4">
        <w:rPr>
          <w:lang w:val="fr-FR"/>
        </w:rPr>
        <w:t xml:space="preserve">Mesures spéciales </w:t>
      </w:r>
      <w:r w:rsidR="00B908B6">
        <w:rPr>
          <w:lang w:val="fr-FR"/>
        </w:rPr>
        <w:t xml:space="preserve">visant à </w:t>
      </w:r>
      <w:r w:rsidR="00E15507" w:rsidRPr="005D6CD4">
        <w:rPr>
          <w:lang w:val="fr-FR"/>
        </w:rPr>
        <w:t>accélérer la réalisation de l</w:t>
      </w:r>
      <w:r w:rsidR="000A3D87">
        <w:rPr>
          <w:lang w:val="fr-FR"/>
        </w:rPr>
        <w:t>’</w:t>
      </w:r>
      <w:r w:rsidR="00E15507" w:rsidRPr="005D6CD4">
        <w:rPr>
          <w:lang w:val="fr-FR"/>
        </w:rPr>
        <w:t>égalité des hommes et des femmes</w:t>
      </w:r>
    </w:p>
    <w:p w:rsidR="00BB02C6" w:rsidRPr="00BB02C6" w:rsidRDefault="00BB02C6" w:rsidP="00BB02C6">
      <w:pPr>
        <w:pStyle w:val="SingleTxt"/>
        <w:spacing w:after="0" w:line="120" w:lineRule="exact"/>
        <w:rPr>
          <w:sz w:val="10"/>
          <w:lang w:val="fr-FR"/>
        </w:rPr>
      </w:pPr>
    </w:p>
    <w:p w:rsidR="00BB02C6" w:rsidRPr="00BB02C6" w:rsidRDefault="00BB02C6" w:rsidP="00BB02C6">
      <w:pPr>
        <w:pStyle w:val="SingleTxt"/>
        <w:spacing w:after="0" w:line="120" w:lineRule="exact"/>
        <w:rPr>
          <w:sz w:val="10"/>
          <w:lang w:val="fr-FR"/>
        </w:rPr>
      </w:pPr>
    </w:p>
    <w:p w:rsidR="00E15507" w:rsidRDefault="00BB02C6" w:rsidP="00BB02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4.1</w:t>
      </w:r>
      <w:r>
        <w:rPr>
          <w:lang w:val="fr-FR"/>
        </w:rPr>
        <w:tab/>
      </w:r>
      <w:r w:rsidR="00E15507" w:rsidRPr="005D6CD4">
        <w:rPr>
          <w:lang w:val="fr-FR"/>
        </w:rPr>
        <w:t>Mesures administratives et juridiques visant à accélérer la réalisation de l</w:t>
      </w:r>
      <w:r w:rsidR="000A3D87">
        <w:rPr>
          <w:lang w:val="fr-FR"/>
        </w:rPr>
        <w:t>’</w:t>
      </w:r>
      <w:r w:rsidR="00E15507" w:rsidRPr="005D6CD4">
        <w:rPr>
          <w:lang w:val="fr-FR"/>
        </w:rPr>
        <w:t>égalité</w:t>
      </w:r>
    </w:p>
    <w:p w:rsidR="00BB02C6" w:rsidRPr="00BB02C6" w:rsidRDefault="00BB02C6" w:rsidP="00BB02C6">
      <w:pPr>
        <w:pStyle w:val="SingleTxt"/>
        <w:spacing w:after="0" w:line="120" w:lineRule="exact"/>
        <w:rPr>
          <w:sz w:val="10"/>
          <w:lang w:val="fr-FR"/>
        </w:rPr>
      </w:pPr>
    </w:p>
    <w:p w:rsidR="00E15507" w:rsidRPr="005D6CD4" w:rsidRDefault="00BB02C6" w:rsidP="00740CA4">
      <w:pPr>
        <w:pStyle w:val="SingleTxt"/>
        <w:rPr>
          <w:lang w:val="fr-FR"/>
        </w:rPr>
      </w:pPr>
      <w:r>
        <w:rPr>
          <w:lang w:val="fr-FR"/>
        </w:rPr>
        <w:tab/>
      </w:r>
      <w:r w:rsidR="00E15507" w:rsidRPr="005D6CD4">
        <w:rPr>
          <w:lang w:val="fr-FR"/>
        </w:rPr>
        <w:t>La Politique nationale sur les femmes, lancée en 2000, demeure le cadre servant à promouvoir la réalisation rapide de l</w:t>
      </w:r>
      <w:r w:rsidR="000A3D87">
        <w:rPr>
          <w:lang w:val="fr-FR"/>
        </w:rPr>
        <w:t>’</w:t>
      </w:r>
      <w:r w:rsidR="00E15507" w:rsidRPr="005D6CD4">
        <w:rPr>
          <w:lang w:val="fr-FR"/>
        </w:rPr>
        <w:t>égalité entre les hommes et les femmes.</w:t>
      </w:r>
      <w:r w:rsidR="00E15507">
        <w:rPr>
          <w:lang w:val="fr-FR"/>
        </w:rPr>
        <w:t xml:space="preserve"> </w:t>
      </w:r>
      <w:r w:rsidR="00E15507" w:rsidRPr="005D6CD4">
        <w:rPr>
          <w:lang w:val="fr-FR"/>
        </w:rPr>
        <w:t>Le document énonce les directives pour la promotion de l</w:t>
      </w:r>
      <w:r w:rsidR="000A3D87">
        <w:rPr>
          <w:lang w:val="fr-FR"/>
        </w:rPr>
        <w:t>’</w:t>
      </w:r>
      <w:r w:rsidR="00E15507" w:rsidRPr="005D6CD4">
        <w:rPr>
          <w:lang w:val="fr-FR"/>
        </w:rPr>
        <w:t>égalité des sexes dans tous les secteurs de l</w:t>
      </w:r>
      <w:r w:rsidR="000A3D87">
        <w:rPr>
          <w:lang w:val="fr-FR"/>
        </w:rPr>
        <w:t>’</w:t>
      </w:r>
      <w:r w:rsidR="00E15507" w:rsidRPr="005D6CD4">
        <w:rPr>
          <w:lang w:val="fr-FR"/>
        </w:rPr>
        <w:t xml:space="preserve">économie. Étant donné ses limites, cette politique est actuellement révisée en vue de devenir la </w:t>
      </w:r>
      <w:r w:rsidR="00E15507" w:rsidRPr="00F67DD1">
        <w:rPr>
          <w:b/>
          <w:lang w:val="fr-FR"/>
        </w:rPr>
        <w:t>Politique nationale sur l</w:t>
      </w:r>
      <w:r w:rsidR="000A3D87" w:rsidRPr="00F67DD1">
        <w:rPr>
          <w:b/>
          <w:lang w:val="fr-FR"/>
        </w:rPr>
        <w:t>’</w:t>
      </w:r>
      <w:r w:rsidR="00E15507" w:rsidRPr="00F67DD1">
        <w:rPr>
          <w:b/>
          <w:lang w:val="fr-FR"/>
        </w:rPr>
        <w:t>égalité des sexes</w:t>
      </w:r>
      <w:r w:rsidR="00E15507" w:rsidRPr="005D6CD4">
        <w:rPr>
          <w:lang w:val="fr-FR"/>
        </w:rPr>
        <w:t>, de manière à traduire la nouvelle orientation vers l</w:t>
      </w:r>
      <w:r w:rsidR="000A3D87">
        <w:rPr>
          <w:lang w:val="fr-FR"/>
        </w:rPr>
        <w:t>’</w:t>
      </w:r>
      <w:r w:rsidR="00E15507" w:rsidRPr="005D6CD4">
        <w:rPr>
          <w:lang w:val="fr-FR"/>
        </w:rPr>
        <w:t>égalité des sexes et le développement</w:t>
      </w:r>
      <w:r w:rsidR="00E15507">
        <w:rPr>
          <w:lang w:val="fr-FR"/>
        </w:rPr>
        <w:t xml:space="preserve"> </w:t>
      </w:r>
      <w:r w:rsidR="00E15507" w:rsidRPr="005D6CD4">
        <w:rPr>
          <w:lang w:val="fr-FR"/>
        </w:rPr>
        <w:t>et à s</w:t>
      </w:r>
      <w:r w:rsidR="000A3D87">
        <w:rPr>
          <w:lang w:val="fr-FR"/>
        </w:rPr>
        <w:t>’</w:t>
      </w:r>
      <w:r w:rsidR="00E15507" w:rsidRPr="005D6CD4">
        <w:rPr>
          <w:lang w:val="fr-FR"/>
        </w:rPr>
        <w:t>aligner sur le programme de réforme actuel du Gouvernement.</w:t>
      </w:r>
    </w:p>
    <w:p w:rsidR="00E15507" w:rsidRPr="005D6CD4" w:rsidRDefault="00BB02C6" w:rsidP="00740CA4">
      <w:pPr>
        <w:pStyle w:val="SingleTxt"/>
        <w:rPr>
          <w:lang w:val="fr-FR"/>
        </w:rPr>
      </w:pPr>
      <w:r>
        <w:rPr>
          <w:lang w:val="fr-FR"/>
        </w:rPr>
        <w:tab/>
      </w:r>
      <w:r w:rsidR="00E15507" w:rsidRPr="005D6CD4">
        <w:rPr>
          <w:lang w:val="fr-FR"/>
        </w:rPr>
        <w:t xml:space="preserve">En 2003, le </w:t>
      </w:r>
      <w:r w:rsidR="00E15507" w:rsidRPr="00F67DD1">
        <w:rPr>
          <w:b/>
          <w:lang w:val="fr-FR"/>
        </w:rPr>
        <w:t xml:space="preserve">Congrès du Travail du </w:t>
      </w:r>
      <w:r w:rsidR="00E15507" w:rsidRPr="00F67DD1">
        <w:rPr>
          <w:b/>
          <w:bCs/>
          <w:lang w:val="fr-FR"/>
        </w:rPr>
        <w:t>Nigéria</w:t>
      </w:r>
      <w:r w:rsidR="00E15507" w:rsidRPr="005D6CD4">
        <w:rPr>
          <w:bCs/>
          <w:lang w:val="fr-FR"/>
        </w:rPr>
        <w:t>,</w:t>
      </w:r>
      <w:r w:rsidR="00E15507" w:rsidRPr="005D6CD4">
        <w:rPr>
          <w:lang w:val="fr-FR"/>
        </w:rPr>
        <w:t xml:space="preserve"> qui était alors la coalition mère des unions syndicales du pays, a élaboré une Politique sur l</w:t>
      </w:r>
      <w:r w:rsidR="000A3D87">
        <w:rPr>
          <w:lang w:val="fr-FR"/>
        </w:rPr>
        <w:t>’</w:t>
      </w:r>
      <w:r w:rsidR="00E15507" w:rsidRPr="005D6CD4">
        <w:rPr>
          <w:lang w:val="fr-FR"/>
        </w:rPr>
        <w:t xml:space="preserve">égalité des sexes au sein de la centrale syndicale. La politique dénommée </w:t>
      </w:r>
      <w:r w:rsidR="00D17E6C">
        <w:rPr>
          <w:lang w:val="fr-FR"/>
        </w:rPr>
        <w:t>“ </w:t>
      </w:r>
      <w:r w:rsidR="00E15507" w:rsidRPr="005D6CD4">
        <w:rPr>
          <w:lang w:val="fr-FR"/>
        </w:rPr>
        <w:t>L</w:t>
      </w:r>
      <w:r w:rsidR="000A3D87">
        <w:rPr>
          <w:lang w:val="fr-FR"/>
        </w:rPr>
        <w:t>’</w:t>
      </w:r>
      <w:r w:rsidR="00E15507" w:rsidRPr="005D6CD4">
        <w:rPr>
          <w:lang w:val="fr-FR"/>
        </w:rPr>
        <w:t>égalité des sexes</w:t>
      </w:r>
      <w:r w:rsidR="000A3D87">
        <w:rPr>
          <w:lang w:val="fr-FR"/>
        </w:rPr>
        <w:t> »</w:t>
      </w:r>
      <w:r w:rsidR="00E15507" w:rsidRPr="005D6CD4">
        <w:rPr>
          <w:lang w:val="fr-FR"/>
        </w:rPr>
        <w:t xml:space="preserve"> amendait la constitution du Congrès du Travail et prévoyait une Commission nationale des femmes dont la présidente aura le statut du Vice-président du Congrès du Travail du </w:t>
      </w:r>
      <w:r w:rsidR="00E15507">
        <w:rPr>
          <w:lang w:val="fr-FR"/>
        </w:rPr>
        <w:t>Nigéria</w:t>
      </w:r>
      <w:r w:rsidR="00E15507" w:rsidRPr="005D6CD4">
        <w:rPr>
          <w:lang w:val="fr-FR"/>
        </w:rPr>
        <w:t>. La politique visait essentiellement à faire en sorte que toutes les unions syndicales membres du Congrès du Travail œuvrent de concert pour atteindre l</w:t>
      </w:r>
      <w:r w:rsidR="000A3D87">
        <w:rPr>
          <w:lang w:val="fr-FR"/>
        </w:rPr>
        <w:t>’</w:t>
      </w:r>
      <w:r w:rsidR="00E15507" w:rsidRPr="005D6CD4">
        <w:rPr>
          <w:lang w:val="fr-FR"/>
        </w:rPr>
        <w:t>objectif d</w:t>
      </w:r>
      <w:r w:rsidR="000A3D87">
        <w:rPr>
          <w:lang w:val="fr-FR"/>
        </w:rPr>
        <w:t>’</w:t>
      </w:r>
      <w:r w:rsidR="00E15507" w:rsidRPr="005D6CD4">
        <w:rPr>
          <w:lang w:val="fr-FR"/>
        </w:rPr>
        <w:t>une représentation féminine de 30 % dans toutes les structures dirigeantes.</w:t>
      </w:r>
    </w:p>
    <w:p w:rsidR="00E15507" w:rsidRDefault="00BB02C6" w:rsidP="00740CA4">
      <w:pPr>
        <w:pStyle w:val="SingleTxt"/>
        <w:rPr>
          <w:lang w:val="fr-FR"/>
        </w:rPr>
      </w:pPr>
      <w:r>
        <w:rPr>
          <w:lang w:val="fr-FR"/>
        </w:rPr>
        <w:tab/>
      </w:r>
      <w:r w:rsidR="00E15507" w:rsidRPr="005D6CD4">
        <w:rPr>
          <w:lang w:val="fr-FR"/>
        </w:rPr>
        <w:t>Ces différentes politiques s</w:t>
      </w:r>
      <w:r w:rsidR="000A3D87">
        <w:rPr>
          <w:lang w:val="fr-FR"/>
        </w:rPr>
        <w:t>’</w:t>
      </w:r>
      <w:r w:rsidR="00E15507" w:rsidRPr="005D6CD4">
        <w:rPr>
          <w:lang w:val="fr-FR"/>
        </w:rPr>
        <w:t xml:space="preserve">inscrivent dans le cadre des dispositions juridiques de la Constitution de 1999, plus particulièrement la Section 42 qui assure la garantie contre toutes les formes de discrimination, y compris fondée sur le sexe. Les obligations constitutionnelles conformes aux </w:t>
      </w:r>
      <w:r w:rsidR="00E15507">
        <w:rPr>
          <w:lang w:val="fr-FR"/>
        </w:rPr>
        <w:t>articles</w:t>
      </w:r>
      <w:r w:rsidR="00E15507" w:rsidRPr="005D6CD4">
        <w:rPr>
          <w:lang w:val="fr-FR"/>
        </w:rPr>
        <w:t xml:space="preserve"> 13 – 15, 16, </w:t>
      </w:r>
      <w:r w:rsidR="00E15507">
        <w:rPr>
          <w:lang w:val="fr-FR"/>
        </w:rPr>
        <w:t>article</w:t>
      </w:r>
      <w:r w:rsidR="00E15507" w:rsidRPr="005D6CD4">
        <w:rPr>
          <w:lang w:val="fr-FR"/>
        </w:rPr>
        <w:t xml:space="preserve"> 1(b), 17 -18 de la Constitution de 1999 et les trois pouvoirs de l</w:t>
      </w:r>
      <w:r w:rsidR="000A3D87">
        <w:rPr>
          <w:lang w:val="fr-FR"/>
        </w:rPr>
        <w:t>’</w:t>
      </w:r>
      <w:r w:rsidR="00E15507" w:rsidRPr="005D6CD4">
        <w:rPr>
          <w:lang w:val="fr-FR"/>
        </w:rPr>
        <w:t>administration: l</w:t>
      </w:r>
      <w:r w:rsidR="000A3D87">
        <w:rPr>
          <w:lang w:val="fr-FR"/>
        </w:rPr>
        <w:t>’</w:t>
      </w:r>
      <w:r w:rsidR="00E15507" w:rsidRPr="005D6CD4">
        <w:rPr>
          <w:lang w:val="fr-FR"/>
        </w:rPr>
        <w:t>exécutif, le législatif et le judiciaire, offrent des organes compétents pour la promotion et la protection des femmes contre toutes les formes de pratiques, politiques et lois discriminatoires. Toutefois, le système patriarcale et la prédomination de stéréotypes culturels continuent d</w:t>
      </w:r>
      <w:r w:rsidR="000A3D87">
        <w:rPr>
          <w:lang w:val="fr-FR"/>
        </w:rPr>
        <w:t>’</w:t>
      </w:r>
      <w:r w:rsidR="00E15507" w:rsidRPr="005D6CD4">
        <w:rPr>
          <w:lang w:val="fr-FR"/>
        </w:rPr>
        <w:t>entraver la réalisation de l</w:t>
      </w:r>
      <w:r w:rsidR="000A3D87">
        <w:rPr>
          <w:lang w:val="fr-FR"/>
        </w:rPr>
        <w:t>’</w:t>
      </w:r>
      <w:r w:rsidR="00E15507" w:rsidRPr="005D6CD4">
        <w:rPr>
          <w:lang w:val="fr-FR"/>
        </w:rPr>
        <w:t>égalité des hommes et des femmes.</w:t>
      </w:r>
    </w:p>
    <w:p w:rsidR="00BB02C6" w:rsidRPr="00BB02C6" w:rsidRDefault="00BB02C6" w:rsidP="00BB02C6">
      <w:pPr>
        <w:pStyle w:val="SingleTxt"/>
        <w:spacing w:after="0" w:line="120" w:lineRule="exact"/>
        <w:rPr>
          <w:sz w:val="10"/>
          <w:lang w:val="fr-FR"/>
        </w:rPr>
      </w:pPr>
    </w:p>
    <w:p w:rsidR="00E15507" w:rsidRDefault="00BB02C6" w:rsidP="00BB02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E15507" w:rsidRPr="005D6CD4">
        <w:rPr>
          <w:lang w:val="fr-FR"/>
        </w:rPr>
        <w:t>4.2</w:t>
      </w:r>
      <w:r w:rsidR="00E15507" w:rsidRPr="005D6CD4">
        <w:rPr>
          <w:lang w:val="fr-FR"/>
        </w:rPr>
        <w:tab/>
        <w:t>Mesures spéciales prises pour assurer l</w:t>
      </w:r>
      <w:r w:rsidR="000A3D87">
        <w:rPr>
          <w:lang w:val="fr-FR"/>
        </w:rPr>
        <w:t>’</w:t>
      </w:r>
      <w:r w:rsidR="00E15507" w:rsidRPr="005D6CD4">
        <w:rPr>
          <w:lang w:val="fr-FR"/>
        </w:rPr>
        <w:t>égalité des femmes et des hommes</w:t>
      </w:r>
    </w:p>
    <w:p w:rsidR="00BB02C6" w:rsidRPr="00BB02C6" w:rsidRDefault="00BB02C6" w:rsidP="00BB02C6">
      <w:pPr>
        <w:pStyle w:val="SingleTxt"/>
        <w:spacing w:after="0" w:line="120" w:lineRule="exact"/>
        <w:rPr>
          <w:sz w:val="10"/>
          <w:lang w:val="fr-FR"/>
        </w:rPr>
      </w:pPr>
    </w:p>
    <w:p w:rsidR="00E15507" w:rsidRPr="005D6CD4" w:rsidRDefault="00BB02C6" w:rsidP="00740CA4">
      <w:pPr>
        <w:pStyle w:val="SingleTxt"/>
        <w:rPr>
          <w:lang w:val="fr-FR"/>
        </w:rPr>
      </w:pPr>
      <w:r>
        <w:rPr>
          <w:lang w:val="fr-FR"/>
        </w:rPr>
        <w:tab/>
      </w:r>
      <w:r w:rsidR="00E15507" w:rsidRPr="005D6CD4">
        <w:rPr>
          <w:lang w:val="fr-FR"/>
        </w:rPr>
        <w:t>L</w:t>
      </w:r>
      <w:r w:rsidR="000A3D87">
        <w:rPr>
          <w:lang w:val="fr-FR"/>
        </w:rPr>
        <w:t>’</w:t>
      </w:r>
      <w:r w:rsidR="00E15507" w:rsidRPr="005D6CD4">
        <w:rPr>
          <w:lang w:val="fr-FR"/>
        </w:rPr>
        <w:t xml:space="preserve">administration et les organisations de la société civile au </w:t>
      </w:r>
      <w:r w:rsidR="00E15507">
        <w:rPr>
          <w:lang w:val="fr-FR"/>
        </w:rPr>
        <w:t>Nigéria</w:t>
      </w:r>
      <w:r w:rsidR="00E15507" w:rsidRPr="005D6CD4">
        <w:rPr>
          <w:lang w:val="fr-FR"/>
        </w:rPr>
        <w:t xml:space="preserve"> ont mis en place des mesures pour permettre d</w:t>
      </w:r>
      <w:r w:rsidR="000A3D87">
        <w:rPr>
          <w:lang w:val="fr-FR"/>
        </w:rPr>
        <w:t>’</w:t>
      </w:r>
      <w:r w:rsidR="00E15507" w:rsidRPr="005D6CD4">
        <w:rPr>
          <w:lang w:val="fr-FR"/>
        </w:rPr>
        <w:t>accélérer la réalisation de l</w:t>
      </w:r>
      <w:r w:rsidR="000A3D87">
        <w:rPr>
          <w:lang w:val="fr-FR"/>
        </w:rPr>
        <w:t>’</w:t>
      </w:r>
      <w:r w:rsidR="00E15507" w:rsidRPr="005D6CD4">
        <w:rPr>
          <w:lang w:val="fr-FR"/>
        </w:rPr>
        <w:t>égalité des hommes et des femmes. Au niveau national, le document de NEEDS du Gouvernement fédéral prévoit la prise en compte de la parité des sexes dans tous les programmes découlant du document par le biais de l</w:t>
      </w:r>
      <w:r w:rsidR="000A3D87">
        <w:rPr>
          <w:lang w:val="fr-FR"/>
        </w:rPr>
        <w:t>’</w:t>
      </w:r>
      <w:r w:rsidR="00E15507" w:rsidRPr="005D6CD4">
        <w:rPr>
          <w:lang w:val="fr-FR"/>
        </w:rPr>
        <w:t xml:space="preserve">action positive. </w:t>
      </w:r>
    </w:p>
    <w:p w:rsidR="00E15507" w:rsidRPr="005D6CD4" w:rsidRDefault="00BB02C6" w:rsidP="00740CA4">
      <w:pPr>
        <w:pStyle w:val="SingleTxt"/>
        <w:rPr>
          <w:lang w:val="fr-FR"/>
        </w:rPr>
      </w:pPr>
      <w:r>
        <w:rPr>
          <w:lang w:val="fr-FR"/>
        </w:rPr>
        <w:tab/>
      </w:r>
      <w:r w:rsidR="00E15507" w:rsidRPr="005D6CD4">
        <w:rPr>
          <w:lang w:val="fr-FR"/>
        </w:rPr>
        <w:t>D</w:t>
      </w:r>
      <w:r w:rsidR="000A3D87">
        <w:rPr>
          <w:lang w:val="fr-FR"/>
        </w:rPr>
        <w:t>’</w:t>
      </w:r>
      <w:r w:rsidR="00E15507" w:rsidRPr="005D6CD4">
        <w:rPr>
          <w:lang w:val="fr-FR"/>
        </w:rPr>
        <w:t>autres mesures pour assurer la pleine émancipation des femmes présentées aux paragraphes 3.1 et 3.2 de ce rapport contribuent à fournir des mécanismes accélérés pour réaliser l</w:t>
      </w:r>
      <w:r w:rsidR="000A3D87">
        <w:rPr>
          <w:lang w:val="fr-FR"/>
        </w:rPr>
        <w:t>’</w:t>
      </w:r>
      <w:r w:rsidR="00E15507" w:rsidRPr="005D6CD4">
        <w:rPr>
          <w:lang w:val="fr-FR"/>
        </w:rPr>
        <w:t>égalité des femmes et des hommes. Ces actions cumulées permettent d</w:t>
      </w:r>
      <w:r w:rsidR="000A3D87">
        <w:rPr>
          <w:lang w:val="fr-FR"/>
        </w:rPr>
        <w:t>’</w:t>
      </w:r>
      <w:r w:rsidR="00E15507" w:rsidRPr="005D6CD4">
        <w:rPr>
          <w:lang w:val="fr-FR"/>
        </w:rPr>
        <w:t>éliminer les inégalités et d</w:t>
      </w:r>
      <w:r w:rsidR="000A3D87">
        <w:rPr>
          <w:lang w:val="fr-FR"/>
        </w:rPr>
        <w:t>’</w:t>
      </w:r>
      <w:r w:rsidR="00E15507" w:rsidRPr="005D6CD4">
        <w:rPr>
          <w:lang w:val="fr-FR"/>
        </w:rPr>
        <w:t>accélérer les processus pendant la période considérée.</w:t>
      </w:r>
    </w:p>
    <w:p w:rsidR="00E15507" w:rsidRPr="005D6CD4" w:rsidRDefault="00BB02C6" w:rsidP="00740CA4">
      <w:pPr>
        <w:pStyle w:val="SingleTxt"/>
        <w:rPr>
          <w:lang w:val="fr-FR"/>
        </w:rPr>
      </w:pPr>
      <w:r>
        <w:rPr>
          <w:lang w:val="fr-FR"/>
        </w:rPr>
        <w:tab/>
      </w:r>
      <w:r w:rsidR="00E15507" w:rsidRPr="005D6CD4">
        <w:rPr>
          <w:lang w:val="fr-FR"/>
        </w:rPr>
        <w:t>Les gains financiers procurés au Gouvernement par l</w:t>
      </w:r>
      <w:r w:rsidR="000A3D87">
        <w:rPr>
          <w:lang w:val="fr-FR"/>
        </w:rPr>
        <w:t>’</w:t>
      </w:r>
      <w:r w:rsidR="00E15507" w:rsidRPr="005D6CD4">
        <w:rPr>
          <w:lang w:val="fr-FR"/>
        </w:rPr>
        <w:t>allégement de dette qu</w:t>
      </w:r>
      <w:r w:rsidR="000A3D87">
        <w:rPr>
          <w:lang w:val="fr-FR"/>
        </w:rPr>
        <w:t>’</w:t>
      </w:r>
      <w:r w:rsidR="00E15507" w:rsidRPr="005D6CD4">
        <w:rPr>
          <w:lang w:val="fr-FR"/>
        </w:rPr>
        <w:t>il a obtenu en 2005 lui ont permis d</w:t>
      </w:r>
      <w:r w:rsidR="000A3D87">
        <w:rPr>
          <w:lang w:val="fr-FR"/>
        </w:rPr>
        <w:t>’</w:t>
      </w:r>
      <w:r w:rsidR="00E15507" w:rsidRPr="005D6CD4">
        <w:rPr>
          <w:lang w:val="fr-FR"/>
        </w:rPr>
        <w:t>affecter des fonds spéciaux au ministère de la Condition de la femme. Le financement spécial fourni par le biais des Gains d</w:t>
      </w:r>
      <w:r w:rsidR="000A3D87">
        <w:rPr>
          <w:lang w:val="fr-FR"/>
        </w:rPr>
        <w:t>’</w:t>
      </w:r>
      <w:r w:rsidR="00E15507" w:rsidRPr="005D6CD4">
        <w:rPr>
          <w:lang w:val="fr-FR"/>
        </w:rPr>
        <w:t>allégement de la dette et du service des Objectifs du Millénaire pour le développement doit contribuer à renforcer les capacités du ministère de la Condition de la femme et celles d</w:t>
      </w:r>
      <w:r w:rsidR="000A3D87">
        <w:rPr>
          <w:lang w:val="fr-FR"/>
        </w:rPr>
        <w:t>’</w:t>
      </w:r>
      <w:r w:rsidR="00E15507" w:rsidRPr="005D6CD4">
        <w:rPr>
          <w:lang w:val="fr-FR"/>
        </w:rPr>
        <w:t>autres acteurs pour leur permettre de suivre efficacement les secteurs chargés de poursuivre les OMD visant l</w:t>
      </w:r>
      <w:r w:rsidR="000A3D87">
        <w:rPr>
          <w:lang w:val="fr-FR"/>
        </w:rPr>
        <w:t>’</w:t>
      </w:r>
      <w:r w:rsidR="00E15507" w:rsidRPr="005D6CD4">
        <w:rPr>
          <w:lang w:val="fr-FR"/>
        </w:rPr>
        <w:t>égalité des sexes.</w:t>
      </w:r>
    </w:p>
    <w:p w:rsidR="00E15507" w:rsidRPr="005D6CD4" w:rsidRDefault="00BB02C6" w:rsidP="00740CA4">
      <w:pPr>
        <w:pStyle w:val="SingleTxt"/>
        <w:rPr>
          <w:lang w:val="fr-FR"/>
        </w:rPr>
      </w:pPr>
      <w:r>
        <w:rPr>
          <w:lang w:val="fr-FR"/>
        </w:rPr>
        <w:tab/>
      </w:r>
      <w:r w:rsidR="00E15507" w:rsidRPr="005D6CD4">
        <w:rPr>
          <w:lang w:val="fr-FR"/>
        </w:rPr>
        <w:t>Au cours de la Conférence nationale sur la réforme politique, qui s</w:t>
      </w:r>
      <w:r w:rsidR="000A3D87">
        <w:rPr>
          <w:lang w:val="fr-FR"/>
        </w:rPr>
        <w:t>’</w:t>
      </w:r>
      <w:r w:rsidR="00E15507" w:rsidRPr="005D6CD4">
        <w:rPr>
          <w:lang w:val="fr-FR"/>
        </w:rPr>
        <w:t>est tenue en 2005, le Comité des droits de l</w:t>
      </w:r>
      <w:r w:rsidR="000A3D87">
        <w:rPr>
          <w:lang w:val="fr-FR"/>
        </w:rPr>
        <w:t>’</w:t>
      </w:r>
      <w:r w:rsidR="00E15507" w:rsidRPr="005D6CD4">
        <w:rPr>
          <w:lang w:val="fr-FR"/>
        </w:rPr>
        <w:t>homme et de la Sécurité sociale a parmi ses recommandations, préconisé la création d</w:t>
      </w:r>
      <w:r w:rsidR="000A3D87">
        <w:rPr>
          <w:lang w:val="fr-FR"/>
        </w:rPr>
        <w:t>’</w:t>
      </w:r>
      <w:r w:rsidR="00E15507" w:rsidRPr="005D6CD4">
        <w:rPr>
          <w:lang w:val="fr-FR"/>
        </w:rPr>
        <w:t xml:space="preserve">une </w:t>
      </w:r>
      <w:r w:rsidR="00E15507" w:rsidRPr="00F67DD1">
        <w:rPr>
          <w:b/>
          <w:lang w:val="fr-FR"/>
        </w:rPr>
        <w:t>Commission de l</w:t>
      </w:r>
      <w:r w:rsidR="000A3D87" w:rsidRPr="00F67DD1">
        <w:rPr>
          <w:b/>
          <w:lang w:val="fr-FR"/>
        </w:rPr>
        <w:t>’</w:t>
      </w:r>
      <w:r w:rsidR="00E15507" w:rsidRPr="00F67DD1">
        <w:rPr>
          <w:b/>
          <w:lang w:val="fr-FR"/>
        </w:rPr>
        <w:t>égalité des chances</w:t>
      </w:r>
      <w:r w:rsidR="00E15507" w:rsidRPr="005D6CD4">
        <w:rPr>
          <w:lang w:val="fr-FR"/>
        </w:rPr>
        <w:t xml:space="preserve"> en remplacement de la Commission sur le caractère fédéral, en tant que mécanisme de garantie de l</w:t>
      </w:r>
      <w:r w:rsidR="000A3D87">
        <w:rPr>
          <w:lang w:val="fr-FR"/>
        </w:rPr>
        <w:t>’</w:t>
      </w:r>
      <w:r w:rsidR="00E15507" w:rsidRPr="005D6CD4">
        <w:rPr>
          <w:lang w:val="fr-FR"/>
        </w:rPr>
        <w:t>égalité sur la base du sexe.</w:t>
      </w:r>
    </w:p>
    <w:p w:rsidR="00E15507" w:rsidRPr="005D6CD4" w:rsidRDefault="00E15507" w:rsidP="00740CA4">
      <w:pPr>
        <w:pStyle w:val="SingleTxt"/>
        <w:rPr>
          <w:lang w:val="fr-FR"/>
        </w:rPr>
      </w:pPr>
      <w:r w:rsidRPr="005D6CD4">
        <w:rPr>
          <w:lang w:val="fr-FR"/>
        </w:rPr>
        <w:t>4.2.1</w:t>
      </w:r>
      <w:r w:rsidRPr="005D6CD4">
        <w:rPr>
          <w:lang w:val="fr-FR"/>
        </w:rPr>
        <w:tab/>
      </w:r>
      <w:r w:rsidR="00BB02C6">
        <w:rPr>
          <w:lang w:val="fr-FR"/>
        </w:rPr>
        <w:t xml:space="preserve"> </w:t>
      </w:r>
      <w:r w:rsidRPr="00F67DD1">
        <w:rPr>
          <w:b/>
          <w:lang w:val="fr-FR"/>
        </w:rPr>
        <w:t>Secteur privé</w:t>
      </w:r>
      <w:r w:rsidRPr="005D6CD4">
        <w:rPr>
          <w:lang w:val="fr-FR"/>
        </w:rPr>
        <w:t xml:space="preserve"> </w:t>
      </w:r>
    </w:p>
    <w:p w:rsidR="00E15507" w:rsidRPr="005D6CD4" w:rsidRDefault="00BB02C6" w:rsidP="00740CA4">
      <w:pPr>
        <w:pStyle w:val="SingleTxt"/>
        <w:rPr>
          <w:lang w:val="fr-FR"/>
        </w:rPr>
      </w:pPr>
      <w:r>
        <w:rPr>
          <w:lang w:val="fr-FR"/>
        </w:rPr>
        <w:tab/>
      </w:r>
      <w:r w:rsidR="00E15507" w:rsidRPr="005D6CD4">
        <w:rPr>
          <w:lang w:val="fr-FR"/>
        </w:rPr>
        <w:t>On enregistre une augmentation marginale du nombre de femmes qui ont accédé à des postes de décision dans le secteur privé. C</w:t>
      </w:r>
      <w:r w:rsidR="000A3D87">
        <w:rPr>
          <w:lang w:val="fr-FR"/>
        </w:rPr>
        <w:t>’</w:t>
      </w:r>
      <w:r w:rsidR="00E15507" w:rsidRPr="005D6CD4">
        <w:rPr>
          <w:lang w:val="fr-FR"/>
        </w:rPr>
        <w:t>est ainsi que dans le secteur industriel, en particulier, quelques femmes industriels sont apparues dans les sous-secteurs de la pharmacie, des technologies de l</w:t>
      </w:r>
      <w:r w:rsidR="000A3D87">
        <w:rPr>
          <w:lang w:val="fr-FR"/>
        </w:rPr>
        <w:t>’</w:t>
      </w:r>
      <w:r w:rsidR="00E15507" w:rsidRPr="005D6CD4">
        <w:rPr>
          <w:lang w:val="fr-FR"/>
        </w:rPr>
        <w:t>information et de l</w:t>
      </w:r>
      <w:r w:rsidR="000A3D87">
        <w:rPr>
          <w:lang w:val="fr-FR"/>
        </w:rPr>
        <w:t>’</w:t>
      </w:r>
      <w:r w:rsidR="00E15507" w:rsidRPr="005D6CD4">
        <w:rPr>
          <w:lang w:val="fr-FR"/>
        </w:rPr>
        <w:t>édition.</w:t>
      </w:r>
      <w:r w:rsidR="00E15507">
        <w:rPr>
          <w:lang w:val="fr-FR"/>
        </w:rPr>
        <w:t xml:space="preserve"> </w:t>
      </w:r>
      <w:r w:rsidR="00E15507" w:rsidRPr="005D6CD4">
        <w:rPr>
          <w:lang w:val="fr-FR"/>
        </w:rPr>
        <w:t>À titre d</w:t>
      </w:r>
      <w:r w:rsidR="000A3D87">
        <w:rPr>
          <w:lang w:val="fr-FR"/>
        </w:rPr>
        <w:t>’</w:t>
      </w:r>
      <w:r w:rsidR="00E15507" w:rsidRPr="005D6CD4">
        <w:rPr>
          <w:lang w:val="fr-FR"/>
        </w:rPr>
        <w:t xml:space="preserve">illustration, les sociétés Emzor Pharmaceuticals et Omatek Computers appartiennent à des femmes. À la différence de la situation dans le secteur bancaire avant 1999 lorsque le pays ne comptait aucune femme PDG, une femme est actuellement à la tête de la banque Oceanic ainsi que de la Bourse du </w:t>
      </w:r>
      <w:r w:rsidR="00E15507">
        <w:rPr>
          <w:lang w:val="fr-FR"/>
        </w:rPr>
        <w:t>Nigéria</w:t>
      </w:r>
      <w:r w:rsidR="00E15507" w:rsidRPr="005D6CD4">
        <w:rPr>
          <w:lang w:val="fr-FR"/>
        </w:rPr>
        <w:t xml:space="preserve">. </w:t>
      </w:r>
    </w:p>
    <w:p w:rsidR="00E15507" w:rsidRPr="005D6CD4" w:rsidRDefault="00E15507" w:rsidP="00740CA4">
      <w:pPr>
        <w:pStyle w:val="SingleTxt"/>
        <w:rPr>
          <w:lang w:val="fr-FR"/>
        </w:rPr>
      </w:pPr>
      <w:r w:rsidRPr="005D6CD4">
        <w:rPr>
          <w:lang w:val="fr-FR"/>
        </w:rPr>
        <w:t>4.2.2</w:t>
      </w:r>
      <w:r w:rsidRPr="005D6CD4">
        <w:rPr>
          <w:lang w:val="fr-FR"/>
        </w:rPr>
        <w:tab/>
      </w:r>
      <w:r w:rsidR="00BB02C6">
        <w:rPr>
          <w:lang w:val="fr-FR"/>
        </w:rPr>
        <w:t xml:space="preserve"> </w:t>
      </w:r>
      <w:r w:rsidRPr="00F67DD1">
        <w:rPr>
          <w:b/>
          <w:lang w:val="fr-FR"/>
        </w:rPr>
        <w:t>Partis politiques</w:t>
      </w:r>
    </w:p>
    <w:p w:rsidR="00E15507" w:rsidRPr="005D6CD4" w:rsidRDefault="00BB02C6" w:rsidP="00740CA4">
      <w:pPr>
        <w:pStyle w:val="SingleTxt"/>
        <w:rPr>
          <w:lang w:val="fr-FR"/>
        </w:rPr>
      </w:pPr>
      <w:r>
        <w:rPr>
          <w:lang w:val="fr-FR"/>
        </w:rPr>
        <w:tab/>
      </w:r>
      <w:r w:rsidR="00E15507" w:rsidRPr="005D6CD4">
        <w:rPr>
          <w:lang w:val="fr-FR"/>
        </w:rPr>
        <w:t>Le ministère fédéral de la Condition de la femme, les OSC et la Coalition nationale sur la participation politique des femmes poursuivent leurs efforts en vue d</w:t>
      </w:r>
      <w:r w:rsidR="000A3D87">
        <w:rPr>
          <w:lang w:val="fr-FR"/>
        </w:rPr>
        <w:t>’</w:t>
      </w:r>
      <w:r w:rsidR="00E15507" w:rsidRPr="005D6CD4">
        <w:rPr>
          <w:lang w:val="fr-FR"/>
        </w:rPr>
        <w:t>emmener les partis politiques à reconnaitre la nécessité d</w:t>
      </w:r>
      <w:r w:rsidR="000A3D87">
        <w:rPr>
          <w:lang w:val="fr-FR"/>
        </w:rPr>
        <w:t>’</w:t>
      </w:r>
      <w:r w:rsidR="00E15507" w:rsidRPr="005D6CD4">
        <w:rPr>
          <w:lang w:val="fr-FR"/>
        </w:rPr>
        <w:t>adopter une politique d</w:t>
      </w:r>
      <w:r w:rsidR="000A3D87">
        <w:rPr>
          <w:lang w:val="fr-FR"/>
        </w:rPr>
        <w:t>’</w:t>
      </w:r>
      <w:r w:rsidR="00E15507" w:rsidRPr="005D6CD4">
        <w:rPr>
          <w:lang w:val="fr-FR"/>
        </w:rPr>
        <w:t>action positive pour assurer la participation accrue des femmes à la vie politique des partis, en particulier dans le cadre des élections de 2007.</w:t>
      </w:r>
    </w:p>
    <w:p w:rsidR="00E15507" w:rsidRPr="005D6CD4" w:rsidRDefault="00BB02C6" w:rsidP="00740CA4">
      <w:pPr>
        <w:pStyle w:val="SingleTxt"/>
        <w:rPr>
          <w:lang w:val="fr-FR"/>
        </w:rPr>
      </w:pPr>
      <w:r>
        <w:rPr>
          <w:lang w:val="fr-FR"/>
        </w:rPr>
        <w:tab/>
      </w:r>
      <w:r w:rsidR="00E15507" w:rsidRPr="005D6CD4">
        <w:rPr>
          <w:lang w:val="fr-FR"/>
        </w:rPr>
        <w:t>Des groupes de pressions féminins se constituent pour renforcer les capacités des candidats femmes, encourager davantage de femmes à s</w:t>
      </w:r>
      <w:r w:rsidR="000A3D87">
        <w:rPr>
          <w:lang w:val="fr-FR"/>
        </w:rPr>
        <w:t>’</w:t>
      </w:r>
      <w:r w:rsidR="00E15507" w:rsidRPr="005D6CD4">
        <w:rPr>
          <w:lang w:val="fr-FR"/>
        </w:rPr>
        <w:t>inscrire et à adhérer aux partis politiques pour participer plus efficacement aux processus politiques.</w:t>
      </w:r>
    </w:p>
    <w:p w:rsidR="00E15507" w:rsidRDefault="00BB02C6" w:rsidP="00BB02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E15507" w:rsidRPr="005D6CD4">
        <w:rPr>
          <w:lang w:val="fr-FR"/>
        </w:rPr>
        <w:t>4.3</w:t>
      </w:r>
      <w:r>
        <w:rPr>
          <w:lang w:val="fr-FR"/>
        </w:rPr>
        <w:tab/>
      </w:r>
      <w:r w:rsidR="00E15507" w:rsidRPr="005D6CD4">
        <w:rPr>
          <w:lang w:val="fr-FR"/>
        </w:rPr>
        <w:t>Autres mesures pour accélérer la réalisation de l</w:t>
      </w:r>
      <w:r w:rsidR="000A3D87">
        <w:rPr>
          <w:lang w:val="fr-FR"/>
        </w:rPr>
        <w:t>’</w:t>
      </w:r>
      <w:r w:rsidR="00E15507" w:rsidRPr="005D6CD4">
        <w:rPr>
          <w:lang w:val="fr-FR"/>
        </w:rPr>
        <w:t xml:space="preserve">égalité </w:t>
      </w:r>
    </w:p>
    <w:p w:rsidR="00BB02C6" w:rsidRPr="00BB02C6" w:rsidRDefault="00BB02C6" w:rsidP="00BB02C6">
      <w:pPr>
        <w:pStyle w:val="SingleTxt"/>
        <w:spacing w:after="0" w:line="120" w:lineRule="exact"/>
        <w:rPr>
          <w:sz w:val="10"/>
          <w:lang w:val="fr-FR"/>
        </w:rPr>
      </w:pPr>
    </w:p>
    <w:p w:rsidR="00E15507" w:rsidRPr="005D6CD4" w:rsidRDefault="00BB02C6" w:rsidP="00740CA4">
      <w:pPr>
        <w:pStyle w:val="SingleTxt"/>
        <w:rPr>
          <w:lang w:val="fr-FR"/>
        </w:rPr>
      </w:pPr>
      <w:r>
        <w:rPr>
          <w:lang w:val="fr-FR"/>
        </w:rPr>
        <w:tab/>
      </w:r>
      <w:r w:rsidR="00E15507" w:rsidRPr="005D6CD4">
        <w:rPr>
          <w:lang w:val="fr-FR"/>
        </w:rPr>
        <w:t>Les pouvoirs publics à tous les niveaux s</w:t>
      </w:r>
      <w:r w:rsidR="000A3D87">
        <w:rPr>
          <w:lang w:val="fr-FR"/>
        </w:rPr>
        <w:t>’</w:t>
      </w:r>
      <w:r w:rsidR="00E15507" w:rsidRPr="005D6CD4">
        <w:rPr>
          <w:lang w:val="fr-FR"/>
        </w:rPr>
        <w:t>attachent à accélérer la réalisation de l</w:t>
      </w:r>
      <w:r w:rsidR="000A3D87">
        <w:rPr>
          <w:lang w:val="fr-FR"/>
        </w:rPr>
        <w:t>’</w:t>
      </w:r>
      <w:r w:rsidR="00E15507" w:rsidRPr="005D6CD4">
        <w:rPr>
          <w:lang w:val="fr-FR"/>
        </w:rPr>
        <w:t>égalité entre les hommes et les femmes. Les initiatives notables à cet égard sont les suivantes :</w:t>
      </w:r>
    </w:p>
    <w:p w:rsidR="00E15507" w:rsidRPr="005D6CD4" w:rsidRDefault="00E15507" w:rsidP="009546E1">
      <w:pPr>
        <w:pStyle w:val="SingleTxt"/>
        <w:numPr>
          <w:ilvl w:val="2"/>
          <w:numId w:val="12"/>
        </w:numPr>
        <w:tabs>
          <w:tab w:val="clear" w:pos="1742"/>
          <w:tab w:val="clear" w:pos="3427"/>
          <w:tab w:val="left" w:pos="1710"/>
        </w:tabs>
        <w:ind w:left="1710" w:hanging="450"/>
        <w:rPr>
          <w:i/>
          <w:iCs/>
          <w:lang w:val="fr-FR"/>
        </w:rPr>
      </w:pPr>
      <w:r w:rsidRPr="005D6CD4">
        <w:rPr>
          <w:i/>
          <w:iCs/>
          <w:lang w:val="fr-FR"/>
        </w:rPr>
        <w:t>Dans l</w:t>
      </w:r>
      <w:r w:rsidR="000A3D87">
        <w:rPr>
          <w:i/>
          <w:iCs/>
          <w:lang w:val="fr-FR"/>
        </w:rPr>
        <w:t>’</w:t>
      </w:r>
      <w:r w:rsidRPr="005D6CD4">
        <w:rPr>
          <w:i/>
          <w:iCs/>
          <w:lang w:val="fr-FR"/>
        </w:rPr>
        <w:t>État de Kebbi, le Programme d</w:t>
      </w:r>
      <w:r w:rsidR="000A3D87">
        <w:rPr>
          <w:i/>
          <w:iCs/>
          <w:lang w:val="fr-FR"/>
        </w:rPr>
        <w:t>’</w:t>
      </w:r>
      <w:r w:rsidRPr="005D6CD4">
        <w:rPr>
          <w:i/>
          <w:iCs/>
          <w:lang w:val="fr-FR"/>
        </w:rPr>
        <w:t>autonomisation économique des femmes lancé en 2005 pour rehausser le statut économique des femmes par rapport aux hommes.</w:t>
      </w:r>
    </w:p>
    <w:p w:rsidR="00E15507" w:rsidRPr="005D6CD4" w:rsidRDefault="00E15507" w:rsidP="009546E1">
      <w:pPr>
        <w:pStyle w:val="SingleTxt"/>
        <w:numPr>
          <w:ilvl w:val="2"/>
          <w:numId w:val="12"/>
        </w:numPr>
        <w:tabs>
          <w:tab w:val="clear" w:pos="1742"/>
          <w:tab w:val="clear" w:pos="3427"/>
          <w:tab w:val="left" w:pos="1710"/>
        </w:tabs>
        <w:ind w:left="1710" w:hanging="450"/>
        <w:rPr>
          <w:i/>
          <w:iCs/>
          <w:lang w:val="fr-FR"/>
        </w:rPr>
      </w:pPr>
      <w:r w:rsidRPr="005D6CD4">
        <w:rPr>
          <w:i/>
          <w:iCs/>
          <w:lang w:val="fr-FR"/>
        </w:rPr>
        <w:t>Dans les</w:t>
      </w:r>
      <w:r>
        <w:rPr>
          <w:i/>
          <w:iCs/>
          <w:lang w:val="fr-FR"/>
        </w:rPr>
        <w:t xml:space="preserve"> </w:t>
      </w:r>
      <w:r w:rsidRPr="005D6CD4">
        <w:rPr>
          <w:i/>
          <w:iCs/>
          <w:lang w:val="fr-FR"/>
        </w:rPr>
        <w:t xml:space="preserve">États </w:t>
      </w:r>
      <w:r>
        <w:rPr>
          <w:i/>
          <w:iCs/>
          <w:lang w:val="fr-FR"/>
        </w:rPr>
        <w:t>d</w:t>
      </w:r>
      <w:r w:rsidR="000A3D87">
        <w:rPr>
          <w:i/>
          <w:iCs/>
          <w:lang w:val="fr-FR"/>
        </w:rPr>
        <w:t>’</w:t>
      </w:r>
      <w:r>
        <w:rPr>
          <w:i/>
          <w:iCs/>
          <w:lang w:val="fr-FR"/>
        </w:rPr>
        <w:t>Ekiti</w:t>
      </w:r>
      <w:r w:rsidRPr="005D6CD4">
        <w:rPr>
          <w:i/>
          <w:iCs/>
          <w:lang w:val="fr-FR"/>
        </w:rPr>
        <w:t>, Sokoto, Zamfara et Kano, des centres de femmes sont disponibles pour l</w:t>
      </w:r>
      <w:r w:rsidR="000A3D87">
        <w:rPr>
          <w:i/>
          <w:iCs/>
          <w:lang w:val="fr-FR"/>
        </w:rPr>
        <w:t>’</w:t>
      </w:r>
      <w:r w:rsidRPr="005D6CD4">
        <w:rPr>
          <w:i/>
          <w:iCs/>
          <w:lang w:val="fr-FR"/>
        </w:rPr>
        <w:t>éducation permanente afin d</w:t>
      </w:r>
      <w:r w:rsidR="000A3D87">
        <w:rPr>
          <w:i/>
          <w:iCs/>
          <w:lang w:val="fr-FR"/>
        </w:rPr>
        <w:t>’</w:t>
      </w:r>
      <w:r w:rsidRPr="005D6CD4">
        <w:rPr>
          <w:i/>
          <w:iCs/>
          <w:lang w:val="fr-FR"/>
        </w:rPr>
        <w:t>offrir aux femmes qui ont abandonné l</w:t>
      </w:r>
      <w:r w:rsidR="000A3D87">
        <w:rPr>
          <w:i/>
          <w:iCs/>
          <w:lang w:val="fr-FR"/>
        </w:rPr>
        <w:t>’</w:t>
      </w:r>
      <w:r w:rsidRPr="005D6CD4">
        <w:rPr>
          <w:i/>
          <w:iCs/>
          <w:lang w:val="fr-FR"/>
        </w:rPr>
        <w:t>école la</w:t>
      </w:r>
      <w:r>
        <w:rPr>
          <w:i/>
          <w:iCs/>
          <w:lang w:val="fr-FR"/>
        </w:rPr>
        <w:t xml:space="preserve"> </w:t>
      </w:r>
      <w:r w:rsidRPr="005D6CD4">
        <w:rPr>
          <w:i/>
          <w:iCs/>
          <w:lang w:val="fr-FR"/>
        </w:rPr>
        <w:t xml:space="preserve">possibilité de reprendre leurs études. </w:t>
      </w:r>
    </w:p>
    <w:p w:rsidR="00E15507" w:rsidRPr="005D6CD4" w:rsidRDefault="00E15507" w:rsidP="009546E1">
      <w:pPr>
        <w:pStyle w:val="SingleTxt"/>
        <w:numPr>
          <w:ilvl w:val="2"/>
          <w:numId w:val="12"/>
        </w:numPr>
        <w:tabs>
          <w:tab w:val="clear" w:pos="1742"/>
          <w:tab w:val="clear" w:pos="3427"/>
          <w:tab w:val="left" w:pos="1710"/>
        </w:tabs>
        <w:ind w:left="1710" w:hanging="450"/>
        <w:rPr>
          <w:i/>
          <w:iCs/>
          <w:lang w:val="fr-FR"/>
        </w:rPr>
      </w:pPr>
      <w:r w:rsidRPr="005D6CD4">
        <w:rPr>
          <w:i/>
          <w:iCs/>
          <w:lang w:val="fr-FR"/>
        </w:rPr>
        <w:t>Dans le document de FEEDS de septembre 2005, chaque organisme d</w:t>
      </w:r>
      <w:r w:rsidR="000A3D87">
        <w:rPr>
          <w:i/>
          <w:iCs/>
          <w:lang w:val="fr-FR"/>
        </w:rPr>
        <w:t>’</w:t>
      </w:r>
      <w:r w:rsidRPr="005D6CD4">
        <w:rPr>
          <w:i/>
          <w:iCs/>
          <w:lang w:val="fr-FR"/>
        </w:rPr>
        <w:t>exécution devrait intégrer une démarche soucieuse de l</w:t>
      </w:r>
      <w:r w:rsidR="000A3D87">
        <w:rPr>
          <w:i/>
          <w:iCs/>
          <w:lang w:val="fr-FR"/>
        </w:rPr>
        <w:t>’</w:t>
      </w:r>
      <w:r w:rsidRPr="005D6CD4">
        <w:rPr>
          <w:i/>
          <w:iCs/>
          <w:lang w:val="fr-FR"/>
        </w:rPr>
        <w:t>égalité des sexes à ses processus de planification et d</w:t>
      </w:r>
      <w:r w:rsidR="000A3D87">
        <w:rPr>
          <w:i/>
          <w:iCs/>
          <w:lang w:val="fr-FR"/>
        </w:rPr>
        <w:t>’</w:t>
      </w:r>
      <w:r w:rsidRPr="005D6CD4">
        <w:rPr>
          <w:i/>
          <w:iCs/>
          <w:lang w:val="fr-FR"/>
        </w:rPr>
        <w:t>exécution, par exemple, une politique de bourse d</w:t>
      </w:r>
      <w:r w:rsidR="000A3D87">
        <w:rPr>
          <w:i/>
          <w:iCs/>
          <w:lang w:val="fr-FR"/>
        </w:rPr>
        <w:t>’</w:t>
      </w:r>
      <w:r w:rsidRPr="005D6CD4">
        <w:rPr>
          <w:i/>
          <w:iCs/>
          <w:lang w:val="fr-FR"/>
        </w:rPr>
        <w:t>études favorisant l</w:t>
      </w:r>
      <w:r w:rsidR="000A3D87">
        <w:rPr>
          <w:i/>
          <w:iCs/>
          <w:lang w:val="fr-FR"/>
        </w:rPr>
        <w:t>’</w:t>
      </w:r>
      <w:r w:rsidRPr="005D6CD4">
        <w:rPr>
          <w:i/>
          <w:iCs/>
          <w:lang w:val="fr-FR"/>
        </w:rPr>
        <w:t>accès accru des femmes à l</w:t>
      </w:r>
      <w:r w:rsidR="000A3D87">
        <w:rPr>
          <w:i/>
          <w:iCs/>
          <w:lang w:val="fr-FR"/>
        </w:rPr>
        <w:t>’</w:t>
      </w:r>
      <w:r w:rsidRPr="005D6CD4">
        <w:rPr>
          <w:i/>
          <w:iCs/>
          <w:lang w:val="fr-FR"/>
        </w:rPr>
        <w:t>éducation.</w:t>
      </w:r>
    </w:p>
    <w:p w:rsidR="00E15507" w:rsidRPr="005D6CD4" w:rsidRDefault="00E15507" w:rsidP="009546E1">
      <w:pPr>
        <w:pStyle w:val="SingleTxt"/>
        <w:numPr>
          <w:ilvl w:val="2"/>
          <w:numId w:val="12"/>
        </w:numPr>
        <w:tabs>
          <w:tab w:val="clear" w:pos="1742"/>
          <w:tab w:val="clear" w:pos="3427"/>
          <w:tab w:val="left" w:pos="1710"/>
        </w:tabs>
        <w:ind w:left="1710" w:hanging="450"/>
        <w:rPr>
          <w:i/>
          <w:iCs/>
          <w:lang w:val="fr-FR"/>
        </w:rPr>
      </w:pPr>
      <w:r w:rsidRPr="005D6CD4">
        <w:rPr>
          <w:i/>
          <w:iCs/>
          <w:lang w:val="fr-FR"/>
        </w:rPr>
        <w:t xml:space="preserve">Les données des études effectuées pour le rapport de </w:t>
      </w:r>
      <w:r>
        <w:rPr>
          <w:i/>
          <w:iCs/>
          <w:lang w:val="fr-FR"/>
        </w:rPr>
        <w:t>la Convention</w:t>
      </w:r>
      <w:r w:rsidRPr="005D6CD4">
        <w:rPr>
          <w:i/>
          <w:iCs/>
          <w:lang w:val="fr-FR"/>
        </w:rPr>
        <w:t xml:space="preserve"> de février 2006 ont montré que dans l</w:t>
      </w:r>
      <w:r w:rsidR="000A3D87">
        <w:rPr>
          <w:i/>
          <w:iCs/>
          <w:lang w:val="fr-FR"/>
        </w:rPr>
        <w:t>’</w:t>
      </w:r>
      <w:r w:rsidRPr="005D6CD4">
        <w:rPr>
          <w:i/>
          <w:iCs/>
          <w:lang w:val="fr-FR"/>
        </w:rPr>
        <w:t>État de Plateau les politiques économiques font une large place aux contributions fructueuses des femmes à l</w:t>
      </w:r>
      <w:r w:rsidR="000A3D87">
        <w:rPr>
          <w:i/>
          <w:iCs/>
          <w:lang w:val="fr-FR"/>
        </w:rPr>
        <w:t>’</w:t>
      </w:r>
      <w:r w:rsidRPr="005D6CD4">
        <w:rPr>
          <w:i/>
          <w:iCs/>
          <w:lang w:val="fr-FR"/>
        </w:rPr>
        <w:t>économie nationale et étatique.</w:t>
      </w:r>
    </w:p>
    <w:p w:rsidR="00E15507" w:rsidRPr="005D6CD4" w:rsidRDefault="00E15507" w:rsidP="009546E1">
      <w:pPr>
        <w:pStyle w:val="SingleTxt"/>
        <w:numPr>
          <w:ilvl w:val="2"/>
          <w:numId w:val="12"/>
        </w:numPr>
        <w:tabs>
          <w:tab w:val="clear" w:pos="1742"/>
          <w:tab w:val="clear" w:pos="3427"/>
          <w:tab w:val="left" w:pos="1710"/>
        </w:tabs>
        <w:ind w:left="1710" w:hanging="450"/>
        <w:rPr>
          <w:i/>
          <w:iCs/>
          <w:lang w:val="fr-FR"/>
        </w:rPr>
      </w:pPr>
      <w:r w:rsidRPr="005D6CD4">
        <w:rPr>
          <w:i/>
          <w:iCs/>
          <w:lang w:val="fr-FR"/>
        </w:rPr>
        <w:t>Les autorités de plusieurs États ont aussi adopté des mesures spéciales d</w:t>
      </w:r>
      <w:r w:rsidR="000A3D87">
        <w:rPr>
          <w:i/>
          <w:iCs/>
          <w:lang w:val="fr-FR"/>
        </w:rPr>
        <w:t>’</w:t>
      </w:r>
      <w:r w:rsidRPr="005D6CD4">
        <w:rPr>
          <w:i/>
          <w:iCs/>
          <w:lang w:val="fr-FR"/>
        </w:rPr>
        <w:t>action positive dans l</w:t>
      </w:r>
      <w:r w:rsidR="000A3D87">
        <w:rPr>
          <w:i/>
          <w:iCs/>
          <w:lang w:val="fr-FR"/>
        </w:rPr>
        <w:t>’</w:t>
      </w:r>
      <w:r w:rsidRPr="005D6CD4">
        <w:rPr>
          <w:i/>
          <w:iCs/>
          <w:lang w:val="fr-FR"/>
        </w:rPr>
        <w:t>élaboration de leurs documents de SEEDS, la mise en œuvre des dispositions de la Loi sur l</w:t>
      </w:r>
      <w:r w:rsidR="000A3D87">
        <w:rPr>
          <w:i/>
          <w:iCs/>
          <w:lang w:val="fr-FR"/>
        </w:rPr>
        <w:t>’</w:t>
      </w:r>
      <w:r w:rsidRPr="005D6CD4">
        <w:rPr>
          <w:i/>
          <w:iCs/>
          <w:lang w:val="fr-FR"/>
        </w:rPr>
        <w:t>enseignement de base pour tous et intensifié les programmes nationaux d</w:t>
      </w:r>
      <w:r w:rsidR="000A3D87">
        <w:rPr>
          <w:i/>
          <w:iCs/>
          <w:lang w:val="fr-FR"/>
        </w:rPr>
        <w:t>’</w:t>
      </w:r>
      <w:r w:rsidRPr="005D6CD4">
        <w:rPr>
          <w:i/>
          <w:iCs/>
          <w:lang w:val="fr-FR"/>
        </w:rPr>
        <w:t>éradication de la pauvreté.</w:t>
      </w:r>
    </w:p>
    <w:p w:rsidR="00E15507" w:rsidRPr="005D6CD4" w:rsidRDefault="00E15507" w:rsidP="009546E1">
      <w:pPr>
        <w:pStyle w:val="SingleTxt"/>
        <w:numPr>
          <w:ilvl w:val="2"/>
          <w:numId w:val="12"/>
        </w:numPr>
        <w:tabs>
          <w:tab w:val="clear" w:pos="1742"/>
          <w:tab w:val="clear" w:pos="3427"/>
          <w:tab w:val="left" w:pos="1710"/>
        </w:tabs>
        <w:ind w:left="1710" w:hanging="450"/>
        <w:rPr>
          <w:i/>
          <w:iCs/>
          <w:lang w:val="fr-FR"/>
        </w:rPr>
      </w:pPr>
      <w:r w:rsidRPr="005D6CD4">
        <w:rPr>
          <w:i/>
          <w:iCs/>
          <w:lang w:val="fr-FR"/>
        </w:rPr>
        <w:t>Les prêts du fonds WOFEE d</w:t>
      </w:r>
      <w:r w:rsidR="000A3D87">
        <w:rPr>
          <w:i/>
          <w:iCs/>
          <w:lang w:val="fr-FR"/>
        </w:rPr>
        <w:t>’</w:t>
      </w:r>
      <w:r w:rsidRPr="005D6CD4">
        <w:rPr>
          <w:i/>
          <w:iCs/>
          <w:lang w:val="fr-FR"/>
        </w:rPr>
        <w:t>un montant total de 18 millions de naira sont actuellement décaissés dans de nombreux États du pays, en même que se crée des centres d</w:t>
      </w:r>
      <w:r w:rsidR="000A3D87">
        <w:rPr>
          <w:i/>
          <w:iCs/>
          <w:lang w:val="fr-FR"/>
        </w:rPr>
        <w:t>’</w:t>
      </w:r>
      <w:r w:rsidRPr="005D6CD4">
        <w:rPr>
          <w:i/>
          <w:iCs/>
          <w:lang w:val="fr-FR"/>
        </w:rPr>
        <w:t>acquisition des compétences pour renforcer les moyens d</w:t>
      </w:r>
      <w:r w:rsidR="000A3D87">
        <w:rPr>
          <w:i/>
          <w:iCs/>
          <w:lang w:val="fr-FR"/>
        </w:rPr>
        <w:t>’</w:t>
      </w:r>
      <w:r w:rsidRPr="005D6CD4">
        <w:rPr>
          <w:i/>
          <w:iCs/>
          <w:lang w:val="fr-FR"/>
        </w:rPr>
        <w:t>un éventail de jeunes filles et femmes pauvres et sans emploi, notamment dans les États de Lagos, Ogun, Osun, Ekiti, Ebonyi et Rivers.</w:t>
      </w:r>
    </w:p>
    <w:p w:rsidR="00E15507" w:rsidRPr="005D6CD4" w:rsidRDefault="00E15507" w:rsidP="009546E1">
      <w:pPr>
        <w:pStyle w:val="SingleTxt"/>
        <w:numPr>
          <w:ilvl w:val="2"/>
          <w:numId w:val="12"/>
        </w:numPr>
        <w:tabs>
          <w:tab w:val="clear" w:pos="1742"/>
          <w:tab w:val="clear" w:pos="3427"/>
          <w:tab w:val="left" w:pos="1710"/>
        </w:tabs>
        <w:ind w:left="1710" w:hanging="450"/>
        <w:rPr>
          <w:i/>
          <w:iCs/>
          <w:lang w:val="fr-FR"/>
        </w:rPr>
      </w:pPr>
      <w:r w:rsidRPr="005D6CD4">
        <w:rPr>
          <w:i/>
          <w:iCs/>
          <w:lang w:val="fr-FR"/>
        </w:rPr>
        <w:t xml:space="preserve">Access Bank </w:t>
      </w:r>
      <w:r>
        <w:rPr>
          <w:i/>
          <w:iCs/>
          <w:lang w:val="fr-FR"/>
        </w:rPr>
        <w:t>Nigeria</w:t>
      </w:r>
      <w:r w:rsidRPr="005D6CD4">
        <w:rPr>
          <w:i/>
          <w:iCs/>
          <w:lang w:val="fr-FR"/>
        </w:rPr>
        <w:t xml:space="preserve"> PLC et la SFI ont fourni un montant de 50 millions de dollars pour le renforcement des capacités et l</w:t>
      </w:r>
      <w:r w:rsidR="000A3D87">
        <w:rPr>
          <w:i/>
          <w:iCs/>
          <w:lang w:val="fr-FR"/>
        </w:rPr>
        <w:t>’</w:t>
      </w:r>
      <w:r w:rsidRPr="005D6CD4">
        <w:rPr>
          <w:i/>
          <w:iCs/>
          <w:lang w:val="fr-FR"/>
        </w:rPr>
        <w:t>amélioration des compétences de gestion des femmes chefs d</w:t>
      </w:r>
      <w:r w:rsidR="000A3D87">
        <w:rPr>
          <w:i/>
          <w:iCs/>
          <w:lang w:val="fr-FR"/>
        </w:rPr>
        <w:t>’</w:t>
      </w:r>
      <w:r w:rsidRPr="005D6CD4">
        <w:rPr>
          <w:i/>
          <w:iCs/>
          <w:lang w:val="fr-FR"/>
        </w:rPr>
        <w:t>entreprise et pour l</w:t>
      </w:r>
      <w:r w:rsidR="000A3D87">
        <w:rPr>
          <w:i/>
          <w:iCs/>
          <w:lang w:val="fr-FR"/>
        </w:rPr>
        <w:t>’</w:t>
      </w:r>
      <w:r w:rsidRPr="005D6CD4">
        <w:rPr>
          <w:i/>
          <w:iCs/>
          <w:lang w:val="fr-FR"/>
        </w:rPr>
        <w:t>octroi de prêts.</w:t>
      </w:r>
      <w:r>
        <w:rPr>
          <w:i/>
          <w:iCs/>
          <w:lang w:val="fr-FR"/>
        </w:rPr>
        <w:t xml:space="preserve"> </w:t>
      </w:r>
    </w:p>
    <w:p w:rsidR="00E15507" w:rsidRPr="00325A01" w:rsidRDefault="00E15507" w:rsidP="009546E1">
      <w:pPr>
        <w:pStyle w:val="SingleTxt"/>
        <w:numPr>
          <w:ilvl w:val="2"/>
          <w:numId w:val="12"/>
        </w:numPr>
        <w:tabs>
          <w:tab w:val="clear" w:pos="1742"/>
          <w:tab w:val="clear" w:pos="3427"/>
          <w:tab w:val="left" w:pos="1710"/>
        </w:tabs>
        <w:ind w:left="1710" w:hanging="450"/>
        <w:rPr>
          <w:lang w:val="fr-FR"/>
        </w:rPr>
      </w:pPr>
      <w:r w:rsidRPr="005D6CD4">
        <w:rPr>
          <w:i/>
          <w:iCs/>
          <w:lang w:val="fr-FR"/>
        </w:rPr>
        <w:t>L</w:t>
      </w:r>
      <w:r w:rsidR="000A3D87">
        <w:rPr>
          <w:i/>
          <w:iCs/>
          <w:lang w:val="fr-FR"/>
        </w:rPr>
        <w:t>’</w:t>
      </w:r>
      <w:r w:rsidRPr="005D6CD4">
        <w:rPr>
          <w:i/>
          <w:iCs/>
          <w:lang w:val="fr-FR"/>
        </w:rPr>
        <w:t>État de Osun a mis à disposition 10 millions de naira pour former plus de 1 250 femmes choisies auprès de neuf circonscriptions</w:t>
      </w:r>
      <w:r>
        <w:rPr>
          <w:i/>
          <w:iCs/>
          <w:lang w:val="fr-FR"/>
        </w:rPr>
        <w:t xml:space="preserve"> </w:t>
      </w:r>
      <w:r w:rsidRPr="005D6CD4">
        <w:rPr>
          <w:i/>
          <w:iCs/>
          <w:lang w:val="fr-FR"/>
        </w:rPr>
        <w:t>fédérales de l</w:t>
      </w:r>
      <w:r w:rsidR="000A3D87">
        <w:rPr>
          <w:i/>
          <w:iCs/>
          <w:lang w:val="fr-FR"/>
        </w:rPr>
        <w:t>’</w:t>
      </w:r>
      <w:r w:rsidRPr="005D6CD4">
        <w:rPr>
          <w:i/>
          <w:iCs/>
          <w:lang w:val="fr-FR"/>
        </w:rPr>
        <w:t>État à diverses compétences professionnelles</w:t>
      </w:r>
      <w:r>
        <w:rPr>
          <w:i/>
          <w:iCs/>
          <w:lang w:val="fr-FR"/>
        </w:rPr>
        <w:t xml:space="preserve"> </w:t>
      </w:r>
      <w:r w:rsidRPr="005D6CD4">
        <w:rPr>
          <w:i/>
          <w:iCs/>
          <w:lang w:val="fr-FR"/>
        </w:rPr>
        <w:t>en 2006.</w:t>
      </w:r>
    </w:p>
    <w:p w:rsidR="00E15507" w:rsidRPr="005D6CD4" w:rsidRDefault="00E15507" w:rsidP="00740CA4">
      <w:pPr>
        <w:pStyle w:val="SingleTxt"/>
        <w:rPr>
          <w:lang w:val="fr-FR"/>
        </w:rPr>
      </w:pPr>
      <w:r w:rsidRPr="005D6CD4">
        <w:rPr>
          <w:lang w:val="fr-FR"/>
        </w:rPr>
        <w:t>4.3.1</w:t>
      </w:r>
      <w:r w:rsidRPr="005D6CD4">
        <w:rPr>
          <w:lang w:val="fr-FR"/>
        </w:rPr>
        <w:tab/>
      </w:r>
      <w:r w:rsidR="00325A01">
        <w:rPr>
          <w:lang w:val="fr-FR"/>
        </w:rPr>
        <w:t xml:space="preserve"> </w:t>
      </w:r>
      <w:r w:rsidRPr="00F67DD1">
        <w:rPr>
          <w:b/>
          <w:lang w:val="fr-FR"/>
        </w:rPr>
        <w:t>Initiatives et formation aux questions d</w:t>
      </w:r>
      <w:r w:rsidR="000A3D87" w:rsidRPr="00F67DD1">
        <w:rPr>
          <w:b/>
          <w:lang w:val="fr-FR"/>
        </w:rPr>
        <w:t>’</w:t>
      </w:r>
      <w:r w:rsidRPr="00F67DD1">
        <w:rPr>
          <w:b/>
          <w:lang w:val="fr-FR"/>
        </w:rPr>
        <w:t>égalité entre les sexes</w:t>
      </w:r>
    </w:p>
    <w:p w:rsidR="00E15507" w:rsidRPr="005D6CD4" w:rsidRDefault="00325A01" w:rsidP="00740CA4">
      <w:pPr>
        <w:pStyle w:val="SingleTxt"/>
        <w:rPr>
          <w:lang w:val="fr-FR"/>
        </w:rPr>
      </w:pPr>
      <w:r>
        <w:rPr>
          <w:lang w:val="fr-FR"/>
        </w:rPr>
        <w:tab/>
      </w:r>
      <w:r w:rsidR="00E15507" w:rsidRPr="005D6CD4">
        <w:rPr>
          <w:lang w:val="fr-FR"/>
        </w:rPr>
        <w:t>Le ministère de la Condition de la femme, le Centre national pour la promotion de la femme, des ONG et d</w:t>
      </w:r>
      <w:r w:rsidR="000A3D87">
        <w:rPr>
          <w:lang w:val="fr-FR"/>
        </w:rPr>
        <w:t>’</w:t>
      </w:r>
      <w:r w:rsidR="00E15507" w:rsidRPr="005D6CD4">
        <w:rPr>
          <w:lang w:val="fr-FR"/>
        </w:rPr>
        <w:t>autres acteurs prennent un ensemble d</w:t>
      </w:r>
      <w:r w:rsidR="000A3D87">
        <w:rPr>
          <w:lang w:val="fr-FR"/>
        </w:rPr>
        <w:t>’</w:t>
      </w:r>
      <w:r w:rsidR="00E15507" w:rsidRPr="005D6CD4">
        <w:rPr>
          <w:lang w:val="fr-FR"/>
        </w:rPr>
        <w:t>initiatives et exécutent des activités de formation adaptées aux différences entre les sexes, en collaboration avec les partenaires de développement sur une base permanente, dans le souci d</w:t>
      </w:r>
      <w:r w:rsidR="000A3D87">
        <w:rPr>
          <w:lang w:val="fr-FR"/>
        </w:rPr>
        <w:t>’</w:t>
      </w:r>
      <w:r w:rsidR="00E15507" w:rsidRPr="005D6CD4">
        <w:rPr>
          <w:lang w:val="fr-FR"/>
        </w:rPr>
        <w:t xml:space="preserve">intégrer systématiquement ces différences à tous les secteurs au niveau national et des États. Ces initiatives et activités se présentent comme suit : </w:t>
      </w:r>
    </w:p>
    <w:p w:rsidR="00F67DD1" w:rsidRDefault="00E15507" w:rsidP="009546E1">
      <w:pPr>
        <w:pStyle w:val="SingleTxt"/>
        <w:numPr>
          <w:ilvl w:val="2"/>
          <w:numId w:val="13"/>
        </w:numPr>
        <w:tabs>
          <w:tab w:val="clear" w:pos="3427"/>
        </w:tabs>
        <w:ind w:left="1710" w:hanging="450"/>
        <w:rPr>
          <w:lang w:val="fr-FR"/>
        </w:rPr>
      </w:pPr>
      <w:r w:rsidRPr="005D6CD4">
        <w:rPr>
          <w:lang w:val="fr-FR"/>
        </w:rPr>
        <w:t>En 2004, l</w:t>
      </w:r>
      <w:r w:rsidR="000A3D87">
        <w:rPr>
          <w:lang w:val="fr-FR"/>
        </w:rPr>
        <w:t>’</w:t>
      </w:r>
      <w:r w:rsidRPr="005D6CD4">
        <w:rPr>
          <w:lang w:val="fr-FR"/>
        </w:rPr>
        <w:t>Agence japonaise de coopération internationale, après un ensemble de consultations, a nommé un conseiller en matière de disparités entre les sexes au Centre national de promotion de la femme chargé de contribuer au renforcement des capacités du ministère de la Condition de la femme, du Centre national de promotion de la femme et du Département de la promotion de la femme du Territoire de la capitale fédérale, pour leur permettre d</w:t>
      </w:r>
      <w:r w:rsidR="000A3D87">
        <w:rPr>
          <w:lang w:val="fr-FR"/>
        </w:rPr>
        <w:t>’</w:t>
      </w:r>
      <w:r w:rsidRPr="005D6CD4">
        <w:rPr>
          <w:lang w:val="fr-FR"/>
        </w:rPr>
        <w:t>exécuter des programmes de formation aux questions des disparités entre les sexes. On trouvera dans l</w:t>
      </w:r>
      <w:r w:rsidR="000A3D87">
        <w:rPr>
          <w:lang w:val="fr-FR"/>
        </w:rPr>
        <w:t>’</w:t>
      </w:r>
      <w:r w:rsidRPr="005D6CD4">
        <w:rPr>
          <w:lang w:val="fr-FR"/>
        </w:rPr>
        <w:t>Encadré 4.1 les activités de formation organisées à l</w:t>
      </w:r>
      <w:r w:rsidR="000A3D87">
        <w:rPr>
          <w:lang w:val="fr-FR"/>
        </w:rPr>
        <w:t>’</w:t>
      </w:r>
      <w:r w:rsidRPr="005D6CD4">
        <w:rPr>
          <w:lang w:val="fr-FR"/>
        </w:rPr>
        <w:t>intention d</w:t>
      </w:r>
      <w:r w:rsidR="000A3D87">
        <w:rPr>
          <w:lang w:val="fr-FR"/>
        </w:rPr>
        <w:t>’</w:t>
      </w:r>
      <w:r w:rsidRPr="005D6CD4">
        <w:rPr>
          <w:lang w:val="fr-FR"/>
        </w:rPr>
        <w:t xml:space="preserve">un éventail de Nigérians au titre de ce projet. </w:t>
      </w:r>
    </w:p>
    <w:p w:rsidR="00E15507" w:rsidRPr="005D6CD4" w:rsidRDefault="00F67DD1" w:rsidP="00325A01">
      <w:pPr>
        <w:pStyle w:val="SingleTxt"/>
        <w:rPr>
          <w:lang w:val="fr-FR"/>
        </w:rPr>
      </w:pPr>
      <w:r>
        <w:rPr>
          <w:lang w:val="fr-FR"/>
        </w:rPr>
        <w:br w:type="page"/>
      </w:r>
      <w:r w:rsidR="00325A01">
        <w:rPr>
          <w:noProof/>
          <w:w w:val="100"/>
          <w:lang w:val="en-US"/>
        </w:rPr>
        <w:pict>
          <v:shape id="_x0000_s2119" type="#_x0000_t202" style="position:absolute;left:0;text-align:left;margin-left:61.3pt;margin-top:6.1pt;width:369pt;height:4in;z-index:11">
            <v:textbox>
              <w:txbxContent>
                <w:p w:rsidR="00D32F3D" w:rsidRDefault="00D32F3D" w:rsidP="00325A01">
                  <w:pPr>
                    <w:rPr>
                      <w:b/>
                    </w:rPr>
                  </w:pPr>
                  <w:r w:rsidRPr="00325A01">
                    <w:rPr>
                      <w:b/>
                    </w:rPr>
                    <w:t>Encadré 4.1</w:t>
                  </w:r>
                </w:p>
                <w:p w:rsidR="00D32F3D" w:rsidRPr="00325A01" w:rsidRDefault="00D32F3D" w:rsidP="00325A01">
                  <w:pPr>
                    <w:spacing w:line="120" w:lineRule="exact"/>
                    <w:rPr>
                      <w:b/>
                      <w:sz w:val="10"/>
                    </w:rPr>
                  </w:pPr>
                </w:p>
                <w:p w:rsidR="00D32F3D" w:rsidRDefault="00D32F3D" w:rsidP="00325A01">
                  <w:r w:rsidRPr="00325A01">
                    <w:rPr>
                      <w:b/>
                    </w:rPr>
                    <w:t xml:space="preserve">Formation </w:t>
                  </w:r>
                  <w:r>
                    <w:t>de base, intermédiaire et supérieure aux questions de parité entre les sexes à l’intention de 30 fonctionnaires du Centre de promotion de la femme, du ministère fédéral de la Condition de la femme et du Département de la promotion de la femme du Territoire de la capitale fédérale, entre août et septembre 2005;</w:t>
                  </w:r>
                </w:p>
                <w:p w:rsidR="00D32F3D" w:rsidRPr="00325A01" w:rsidRDefault="00D32F3D" w:rsidP="00325A01">
                  <w:pPr>
                    <w:spacing w:line="120" w:lineRule="exact"/>
                    <w:rPr>
                      <w:sz w:val="10"/>
                    </w:rPr>
                  </w:pPr>
                </w:p>
                <w:p w:rsidR="00D32F3D" w:rsidRDefault="00D32F3D" w:rsidP="00325A01">
                  <w:r w:rsidRPr="00325A01">
                    <w:rPr>
                      <w:b/>
                    </w:rPr>
                    <w:t>Formation</w:t>
                  </w:r>
                  <w:r>
                    <w:t xml:space="preserve"> dans le domaine de la planification et de la budgétisation intégrant la problématique hommes-femmes à l’intention des présidents des Commissions de la promotion de la femme des Assemblées législatives des États, des directeurs du Plan, de la recherche et de la statistique et d’autres parties prenantes. Cinquante deux personnes provenant de 26 États ont pris part à la formation en </w:t>
                  </w:r>
                  <w:r>
                    <w:br/>
                    <w:t>décembre 2005;</w:t>
                  </w:r>
                </w:p>
                <w:p w:rsidR="00D32F3D" w:rsidRPr="00325A01" w:rsidRDefault="00D32F3D" w:rsidP="00325A01">
                  <w:pPr>
                    <w:spacing w:line="120" w:lineRule="exact"/>
                    <w:rPr>
                      <w:sz w:val="10"/>
                    </w:rPr>
                  </w:pPr>
                </w:p>
                <w:p w:rsidR="00D32F3D" w:rsidRDefault="00D32F3D" w:rsidP="00325A01">
                  <w:r w:rsidRPr="00325A01">
                    <w:rPr>
                      <w:b/>
                    </w:rPr>
                    <w:t xml:space="preserve">Formation </w:t>
                  </w:r>
                  <w:r>
                    <w:t>à l’intention de 65 agents principaux de développement des femmes et de développement local provenant du ministère de la Condition de la femme de l’État de Kano en février 2006.</w:t>
                  </w:r>
                </w:p>
                <w:p w:rsidR="00D32F3D" w:rsidRPr="00325A01" w:rsidRDefault="00D32F3D" w:rsidP="00325A01">
                  <w:pPr>
                    <w:spacing w:line="120" w:lineRule="exact"/>
                    <w:rPr>
                      <w:sz w:val="10"/>
                    </w:rPr>
                  </w:pPr>
                </w:p>
                <w:p w:rsidR="00D32F3D" w:rsidRDefault="00D32F3D" w:rsidP="00325A01">
                  <w:r w:rsidRPr="00325A01">
                    <w:rPr>
                      <w:b/>
                    </w:rPr>
                    <w:t>Formation</w:t>
                  </w:r>
                  <w:r>
                    <w:t xml:space="preserve"> à l’intention des agents de développement, des décideurs et guides de l’opinion par la Commission de la justice, du développement et de la paix dans l’État d’Ogun.</w:t>
                  </w:r>
                </w:p>
                <w:p w:rsidR="00D32F3D" w:rsidRPr="00325A01" w:rsidRDefault="00D32F3D" w:rsidP="00325A01">
                  <w:pPr>
                    <w:spacing w:line="120" w:lineRule="exact"/>
                    <w:rPr>
                      <w:sz w:val="10"/>
                    </w:rPr>
                  </w:pPr>
                </w:p>
                <w:p w:rsidR="00D32F3D" w:rsidRDefault="00D32F3D" w:rsidP="00325A01">
                  <w:r w:rsidRPr="00325A01">
                    <w:rPr>
                      <w:b/>
                    </w:rPr>
                    <w:t xml:space="preserve">Mise en place </w:t>
                  </w:r>
                  <w:r>
                    <w:t>du Comité local de l’État de Bauchi sur la mise en œuvre des programmes de promotion de l’égalité des sexes dans le document SEEDS de cet État.</w:t>
                  </w:r>
                </w:p>
              </w:txbxContent>
            </v:textbox>
          </v:shape>
        </w:pict>
      </w:r>
    </w:p>
    <w:p w:rsidR="00E15507" w:rsidRDefault="00E15507" w:rsidP="00E15507">
      <w:pPr>
        <w:spacing w:line="480" w:lineRule="auto"/>
        <w:ind w:left="360"/>
        <w:rPr>
          <w:sz w:val="24"/>
          <w:szCs w:val="24"/>
          <w:lang w:val="fr-FR"/>
        </w:rPr>
      </w:pPr>
    </w:p>
    <w:p w:rsidR="00325A01" w:rsidRDefault="00325A01" w:rsidP="00E15507">
      <w:pPr>
        <w:spacing w:line="480" w:lineRule="auto"/>
        <w:ind w:left="360"/>
        <w:rPr>
          <w:sz w:val="24"/>
          <w:szCs w:val="24"/>
          <w:lang w:val="fr-FR"/>
        </w:rPr>
      </w:pPr>
    </w:p>
    <w:p w:rsidR="00325A01" w:rsidRDefault="00325A01" w:rsidP="00E15507">
      <w:pPr>
        <w:spacing w:line="480" w:lineRule="auto"/>
        <w:ind w:left="360"/>
        <w:rPr>
          <w:sz w:val="24"/>
          <w:szCs w:val="24"/>
          <w:lang w:val="fr-FR"/>
        </w:rPr>
      </w:pPr>
    </w:p>
    <w:p w:rsidR="00325A01" w:rsidRDefault="00325A01" w:rsidP="00E15507">
      <w:pPr>
        <w:spacing w:line="480" w:lineRule="auto"/>
        <w:ind w:left="360"/>
        <w:rPr>
          <w:sz w:val="24"/>
          <w:szCs w:val="24"/>
          <w:lang w:val="fr-FR"/>
        </w:rPr>
      </w:pPr>
    </w:p>
    <w:p w:rsidR="00325A01" w:rsidRDefault="00325A01" w:rsidP="00E15507">
      <w:pPr>
        <w:spacing w:line="480" w:lineRule="auto"/>
        <w:ind w:left="360"/>
        <w:rPr>
          <w:sz w:val="24"/>
          <w:szCs w:val="24"/>
          <w:lang w:val="fr-FR"/>
        </w:rPr>
      </w:pPr>
    </w:p>
    <w:p w:rsidR="00325A01" w:rsidRDefault="00325A01" w:rsidP="00E15507">
      <w:pPr>
        <w:spacing w:line="480" w:lineRule="auto"/>
        <w:ind w:left="360"/>
        <w:rPr>
          <w:sz w:val="24"/>
          <w:szCs w:val="24"/>
          <w:lang w:val="fr-FR"/>
        </w:rPr>
      </w:pPr>
    </w:p>
    <w:p w:rsidR="00325A01" w:rsidRDefault="00325A01" w:rsidP="00E15507">
      <w:pPr>
        <w:spacing w:line="480" w:lineRule="auto"/>
        <w:ind w:left="360"/>
        <w:rPr>
          <w:sz w:val="24"/>
          <w:szCs w:val="24"/>
          <w:lang w:val="fr-FR"/>
        </w:rPr>
      </w:pPr>
    </w:p>
    <w:p w:rsidR="00325A01" w:rsidRDefault="00325A01" w:rsidP="00E15507">
      <w:pPr>
        <w:spacing w:line="480" w:lineRule="auto"/>
        <w:ind w:left="360"/>
        <w:rPr>
          <w:sz w:val="24"/>
          <w:szCs w:val="24"/>
          <w:lang w:val="fr-FR"/>
        </w:rPr>
      </w:pPr>
    </w:p>
    <w:p w:rsidR="00325A01" w:rsidRDefault="00325A01" w:rsidP="00E15507">
      <w:pPr>
        <w:spacing w:line="480" w:lineRule="auto"/>
        <w:ind w:left="360"/>
        <w:rPr>
          <w:sz w:val="24"/>
          <w:szCs w:val="24"/>
          <w:lang w:val="fr-FR"/>
        </w:rPr>
      </w:pPr>
    </w:p>
    <w:p w:rsidR="00325A01" w:rsidRPr="005D6CD4" w:rsidRDefault="00325A01" w:rsidP="00E15507">
      <w:pPr>
        <w:spacing w:line="480" w:lineRule="auto"/>
        <w:ind w:left="360"/>
        <w:rPr>
          <w:sz w:val="24"/>
          <w:szCs w:val="24"/>
          <w:lang w:val="fr-FR"/>
        </w:rPr>
      </w:pPr>
    </w:p>
    <w:p w:rsidR="00B43E8B" w:rsidRPr="00B43E8B" w:rsidRDefault="00B43E8B" w:rsidP="00B43E8B">
      <w:pPr>
        <w:spacing w:line="120" w:lineRule="exact"/>
        <w:rPr>
          <w:sz w:val="10"/>
          <w:szCs w:val="24"/>
          <w:lang w:val="fr-FR"/>
        </w:rPr>
      </w:pPr>
    </w:p>
    <w:p w:rsidR="00E15507" w:rsidRPr="005D6CD4" w:rsidRDefault="00B43E8B" w:rsidP="00325A01">
      <w:pPr>
        <w:pStyle w:val="SingleTxt"/>
        <w:rPr>
          <w:lang w:val="fr-FR"/>
        </w:rPr>
      </w:pPr>
      <w:r>
        <w:rPr>
          <w:lang w:val="fr-FR"/>
        </w:rPr>
        <w:tab/>
      </w:r>
      <w:r w:rsidR="00E15507" w:rsidRPr="005D6CD4">
        <w:rPr>
          <w:lang w:val="fr-FR"/>
        </w:rPr>
        <w:t>Suite à ce qui précède, le Centre national de promotion de la femme, en collaboration avec l</w:t>
      </w:r>
      <w:r w:rsidR="000A3D87">
        <w:rPr>
          <w:lang w:val="fr-FR"/>
        </w:rPr>
        <w:t>’</w:t>
      </w:r>
      <w:r w:rsidR="00E15507" w:rsidRPr="005D6CD4">
        <w:rPr>
          <w:lang w:val="fr-FR"/>
        </w:rPr>
        <w:t>Agence japonaise de développement international, a conçu un manuel</w:t>
      </w:r>
      <w:r w:rsidR="00E15507">
        <w:rPr>
          <w:lang w:val="fr-FR"/>
        </w:rPr>
        <w:t xml:space="preserve"> </w:t>
      </w:r>
      <w:r w:rsidR="00E15507" w:rsidRPr="005D6CD4">
        <w:rPr>
          <w:lang w:val="fr-FR"/>
        </w:rPr>
        <w:t>de formation à la planification et à la budgétisation intégrant la problématique hommes-femmes qui doit être imprimé et distribué avant juin 2006. Cette publication renforcera davantage la prise en compte systématique de la problématique hommes-femmes et la budgétisation intégrant cette problématique dans le pays.</w:t>
      </w:r>
    </w:p>
    <w:p w:rsidR="00E15507" w:rsidRPr="005D6CD4" w:rsidRDefault="00E15507" w:rsidP="009546E1">
      <w:pPr>
        <w:pStyle w:val="SingleTxt"/>
        <w:numPr>
          <w:ilvl w:val="2"/>
          <w:numId w:val="14"/>
        </w:numPr>
        <w:tabs>
          <w:tab w:val="clear" w:pos="3427"/>
        </w:tabs>
        <w:ind w:left="1710" w:hanging="450"/>
        <w:rPr>
          <w:lang w:val="fr-FR"/>
        </w:rPr>
      </w:pPr>
      <w:r w:rsidRPr="005D6CD4">
        <w:rPr>
          <w:lang w:val="fr-FR"/>
        </w:rPr>
        <w:t>Un réseau sur la prise en compte des disparités entre les sexes dans le processus budgétaire a été constitué avec l</w:t>
      </w:r>
      <w:r w:rsidR="000A3D87">
        <w:rPr>
          <w:lang w:val="fr-FR"/>
        </w:rPr>
        <w:t>’</w:t>
      </w:r>
      <w:r w:rsidRPr="005D6CD4">
        <w:rPr>
          <w:lang w:val="fr-FR"/>
        </w:rPr>
        <w:t>aide de l</w:t>
      </w:r>
      <w:r w:rsidR="000A3D87">
        <w:rPr>
          <w:lang w:val="fr-FR"/>
        </w:rPr>
        <w:t>’</w:t>
      </w:r>
      <w:r w:rsidRPr="005D6CD4">
        <w:rPr>
          <w:lang w:val="fr-FR"/>
        </w:rPr>
        <w:t>UNIFEM sous la direction du Centre pour la démocratie et le développement (CDD). Le réseau s</w:t>
      </w:r>
      <w:r w:rsidR="000A3D87">
        <w:rPr>
          <w:lang w:val="fr-FR"/>
        </w:rPr>
        <w:t>’</w:t>
      </w:r>
      <w:r w:rsidRPr="005D6CD4">
        <w:rPr>
          <w:lang w:val="fr-FR"/>
        </w:rPr>
        <w:t>emploie à dispenser une formation consacrées aux questions de disparités entre les sexes à l</w:t>
      </w:r>
      <w:r w:rsidR="000A3D87">
        <w:rPr>
          <w:lang w:val="fr-FR"/>
        </w:rPr>
        <w:t>’</w:t>
      </w:r>
      <w:r w:rsidRPr="005D6CD4">
        <w:rPr>
          <w:lang w:val="fr-FR"/>
        </w:rPr>
        <w:t>intention des dirigeants des collectivités locales et à analyser l</w:t>
      </w:r>
      <w:r w:rsidR="000A3D87">
        <w:rPr>
          <w:lang w:val="fr-FR"/>
        </w:rPr>
        <w:t>’</w:t>
      </w:r>
      <w:r w:rsidRPr="005D6CD4">
        <w:rPr>
          <w:lang w:val="fr-FR"/>
        </w:rPr>
        <w:t>affectation des crédits dans les différentes couches de la société. Ce réseau a formé des législateurs femmes au niveau de l</w:t>
      </w:r>
      <w:r w:rsidR="000A3D87">
        <w:rPr>
          <w:lang w:val="fr-FR"/>
        </w:rPr>
        <w:t>’</w:t>
      </w:r>
      <w:r w:rsidRPr="005D6CD4">
        <w:rPr>
          <w:lang w:val="fr-FR"/>
        </w:rPr>
        <w:t>administration locale et de l</w:t>
      </w:r>
      <w:r w:rsidR="000A3D87">
        <w:rPr>
          <w:lang w:val="fr-FR"/>
        </w:rPr>
        <w:t>’</w:t>
      </w:r>
      <w:r w:rsidRPr="005D6CD4">
        <w:rPr>
          <w:lang w:val="fr-FR"/>
        </w:rPr>
        <w:t>État à travers le pays en matière de prise en compte des disparités entre les sexes dans le processus budgétaire en 2004 et 2005 à Abuja.</w:t>
      </w:r>
    </w:p>
    <w:p w:rsidR="00E15507" w:rsidRPr="005D6CD4" w:rsidRDefault="00E15507" w:rsidP="009546E1">
      <w:pPr>
        <w:pStyle w:val="SingleTxt"/>
        <w:numPr>
          <w:ilvl w:val="2"/>
          <w:numId w:val="14"/>
        </w:numPr>
        <w:tabs>
          <w:tab w:val="clear" w:pos="3427"/>
        </w:tabs>
        <w:ind w:left="1710" w:hanging="450"/>
        <w:rPr>
          <w:lang w:val="fr-FR"/>
        </w:rPr>
      </w:pPr>
      <w:r w:rsidRPr="005D6CD4">
        <w:rPr>
          <w:lang w:val="fr-FR"/>
        </w:rPr>
        <w:t>Plusieurs ONG ont organisé des activités de formation et de renforcement des capacités sur les questions d</w:t>
      </w:r>
      <w:r w:rsidR="000A3D87">
        <w:rPr>
          <w:lang w:val="fr-FR"/>
        </w:rPr>
        <w:t>’</w:t>
      </w:r>
      <w:r w:rsidRPr="005D6CD4">
        <w:rPr>
          <w:lang w:val="fr-FR"/>
        </w:rPr>
        <w:t>égalité des sexes</w:t>
      </w:r>
      <w:r>
        <w:rPr>
          <w:lang w:val="fr-FR"/>
        </w:rPr>
        <w:t xml:space="preserve"> </w:t>
      </w:r>
      <w:r w:rsidRPr="005D6CD4">
        <w:rPr>
          <w:lang w:val="fr-FR"/>
        </w:rPr>
        <w:t>à l</w:t>
      </w:r>
      <w:r w:rsidR="000A3D87">
        <w:rPr>
          <w:lang w:val="fr-FR"/>
        </w:rPr>
        <w:t>’</w:t>
      </w:r>
      <w:r w:rsidRPr="005D6CD4">
        <w:rPr>
          <w:lang w:val="fr-FR"/>
        </w:rPr>
        <w:t>intention des responsables publics, y compris des juges, des législateurs nationaux et d</w:t>
      </w:r>
      <w:r w:rsidR="000A3D87">
        <w:rPr>
          <w:lang w:val="fr-FR"/>
        </w:rPr>
        <w:t>’</w:t>
      </w:r>
      <w:r w:rsidRPr="005D6CD4">
        <w:rPr>
          <w:lang w:val="fr-FR"/>
        </w:rPr>
        <w:t>État sur l</w:t>
      </w:r>
      <w:r w:rsidR="000A3D87">
        <w:rPr>
          <w:lang w:val="fr-FR"/>
        </w:rPr>
        <w:t>’</w:t>
      </w:r>
      <w:r w:rsidRPr="005D6CD4">
        <w:rPr>
          <w:lang w:val="fr-FR"/>
        </w:rPr>
        <w:t>action positive et la prise en compte des questions d</w:t>
      </w:r>
      <w:r w:rsidR="000A3D87">
        <w:rPr>
          <w:lang w:val="fr-FR"/>
        </w:rPr>
        <w:t>’</w:t>
      </w:r>
      <w:r w:rsidRPr="005D6CD4">
        <w:rPr>
          <w:lang w:val="fr-FR"/>
        </w:rPr>
        <w:t>égalité des sexes dans le processus budgétaire.</w:t>
      </w:r>
    </w:p>
    <w:p w:rsidR="00E15507" w:rsidRPr="005D6CD4" w:rsidRDefault="00E15507" w:rsidP="009546E1">
      <w:pPr>
        <w:pStyle w:val="SingleTxt"/>
        <w:numPr>
          <w:ilvl w:val="2"/>
          <w:numId w:val="14"/>
        </w:numPr>
        <w:tabs>
          <w:tab w:val="clear" w:pos="3427"/>
        </w:tabs>
        <w:ind w:left="1710" w:hanging="450"/>
        <w:rPr>
          <w:lang w:val="fr-FR"/>
        </w:rPr>
      </w:pPr>
      <w:r w:rsidRPr="005D6CD4">
        <w:rPr>
          <w:lang w:val="fr-FR"/>
        </w:rPr>
        <w:t>Dans le cadre de son action visant la prise en compte systématique de la problématique hommes-femmes dans les politiques et programmes sectoriels, le ministère fédéral de la Condition de la femme a organisé à l</w:t>
      </w:r>
      <w:r w:rsidR="000A3D87">
        <w:rPr>
          <w:lang w:val="fr-FR"/>
        </w:rPr>
        <w:t>’</w:t>
      </w:r>
      <w:r w:rsidRPr="005D6CD4">
        <w:rPr>
          <w:lang w:val="fr-FR"/>
        </w:rPr>
        <w:t>intention de 150 cadres des structures de défense des droits des femmes au niveau des États et au plan national un programme de formation consacrée à la planification, la budgétisation et l</w:t>
      </w:r>
      <w:r w:rsidR="000A3D87">
        <w:rPr>
          <w:lang w:val="fr-FR"/>
        </w:rPr>
        <w:t>’</w:t>
      </w:r>
      <w:r w:rsidRPr="005D6CD4">
        <w:rPr>
          <w:lang w:val="fr-FR"/>
        </w:rPr>
        <w:t>audit intégrant la problématique hommes-femmes entre 2004 et 2006.</w:t>
      </w:r>
    </w:p>
    <w:p w:rsidR="00E15507" w:rsidRPr="005D6CD4" w:rsidRDefault="00E15507" w:rsidP="009546E1">
      <w:pPr>
        <w:pStyle w:val="SingleTxt"/>
        <w:numPr>
          <w:ilvl w:val="2"/>
          <w:numId w:val="14"/>
        </w:numPr>
        <w:tabs>
          <w:tab w:val="clear" w:pos="3427"/>
        </w:tabs>
        <w:ind w:left="1710" w:hanging="450"/>
        <w:rPr>
          <w:lang w:val="fr-FR"/>
        </w:rPr>
      </w:pPr>
      <w:r w:rsidRPr="005D6CD4">
        <w:rPr>
          <w:lang w:val="fr-FR"/>
        </w:rPr>
        <w:t>La Commission nationale des droits de l</w:t>
      </w:r>
      <w:r w:rsidR="000A3D87">
        <w:rPr>
          <w:lang w:val="fr-FR"/>
        </w:rPr>
        <w:t>’</w:t>
      </w:r>
      <w:r w:rsidRPr="005D6CD4">
        <w:rPr>
          <w:lang w:val="fr-FR"/>
        </w:rPr>
        <w:t>homme a organisé un programme de formation sur la parité des sexes à l</w:t>
      </w:r>
      <w:r w:rsidR="000A3D87">
        <w:rPr>
          <w:lang w:val="fr-FR"/>
        </w:rPr>
        <w:t>’</w:t>
      </w:r>
      <w:r w:rsidRPr="005D6CD4">
        <w:rPr>
          <w:lang w:val="fr-FR"/>
        </w:rPr>
        <w:t>intention de 50 chargés des droits de l</w:t>
      </w:r>
      <w:r w:rsidR="000A3D87">
        <w:rPr>
          <w:lang w:val="fr-FR"/>
        </w:rPr>
        <w:t>’</w:t>
      </w:r>
      <w:r w:rsidRPr="005D6CD4">
        <w:rPr>
          <w:lang w:val="fr-FR"/>
        </w:rPr>
        <w:t>homme de la police nigériane et des prisons nigérianes entre</w:t>
      </w:r>
      <w:r>
        <w:rPr>
          <w:lang w:val="fr-FR"/>
        </w:rPr>
        <w:t xml:space="preserve"> </w:t>
      </w:r>
      <w:r w:rsidRPr="005D6CD4">
        <w:rPr>
          <w:lang w:val="fr-FR"/>
        </w:rPr>
        <w:t>mai et juin 2006.</w:t>
      </w:r>
    </w:p>
    <w:p w:rsidR="00E15507" w:rsidRPr="005D6CD4" w:rsidRDefault="00E15507" w:rsidP="009546E1">
      <w:pPr>
        <w:pStyle w:val="SingleTxt"/>
        <w:numPr>
          <w:ilvl w:val="2"/>
          <w:numId w:val="14"/>
        </w:numPr>
        <w:tabs>
          <w:tab w:val="clear" w:pos="3427"/>
        </w:tabs>
        <w:ind w:left="1710" w:hanging="450"/>
        <w:rPr>
          <w:lang w:val="fr-FR"/>
        </w:rPr>
      </w:pPr>
      <w:r w:rsidRPr="005D6CD4">
        <w:rPr>
          <w:lang w:val="fr-FR"/>
        </w:rPr>
        <w:t>Le ministère fédéral de la Condition de la femme a organisé un programme de formation sur la prise en compte systématique de la question de la parité des sexes à l</w:t>
      </w:r>
      <w:r w:rsidR="000A3D87">
        <w:rPr>
          <w:lang w:val="fr-FR"/>
        </w:rPr>
        <w:t>’</w:t>
      </w:r>
      <w:r w:rsidRPr="005D6CD4">
        <w:rPr>
          <w:lang w:val="fr-FR"/>
        </w:rPr>
        <w:t>intention de 30 chargés de cette question au sein des ministères fédéraux et des sociétés parapubliques en décembre 2004</w:t>
      </w:r>
    </w:p>
    <w:p w:rsidR="00E15507" w:rsidRPr="005D6CD4" w:rsidRDefault="00E15507" w:rsidP="009546E1">
      <w:pPr>
        <w:pStyle w:val="SingleTxt"/>
        <w:numPr>
          <w:ilvl w:val="2"/>
          <w:numId w:val="14"/>
        </w:numPr>
        <w:tabs>
          <w:tab w:val="clear" w:pos="3427"/>
        </w:tabs>
        <w:ind w:left="1710" w:hanging="450"/>
        <w:rPr>
          <w:lang w:val="fr-FR"/>
        </w:rPr>
      </w:pPr>
      <w:r w:rsidRPr="005D6CD4">
        <w:rPr>
          <w:lang w:val="fr-FR"/>
        </w:rPr>
        <w:t>La Commission nationale des droits de l</w:t>
      </w:r>
      <w:r w:rsidR="000A3D87">
        <w:rPr>
          <w:lang w:val="fr-FR"/>
        </w:rPr>
        <w:t>’</w:t>
      </w:r>
      <w:r w:rsidRPr="005D6CD4">
        <w:rPr>
          <w:lang w:val="fr-FR"/>
        </w:rPr>
        <w:t>homme a organisé une formation sur la prise en compte des disparités entre les sexes à l</w:t>
      </w:r>
      <w:r w:rsidR="000A3D87">
        <w:rPr>
          <w:lang w:val="fr-FR"/>
        </w:rPr>
        <w:t>’</w:t>
      </w:r>
      <w:r w:rsidRPr="005D6CD4">
        <w:rPr>
          <w:lang w:val="fr-FR"/>
        </w:rPr>
        <w:t>intention de 50 juges en décembre 2005 et mai 2006</w:t>
      </w:r>
    </w:p>
    <w:p w:rsidR="00E15507" w:rsidRPr="005D6CD4" w:rsidRDefault="00E15507" w:rsidP="009546E1">
      <w:pPr>
        <w:pStyle w:val="SingleTxt"/>
        <w:numPr>
          <w:ilvl w:val="2"/>
          <w:numId w:val="14"/>
        </w:numPr>
        <w:tabs>
          <w:tab w:val="clear" w:pos="3427"/>
        </w:tabs>
        <w:ind w:left="1710" w:hanging="450"/>
        <w:rPr>
          <w:lang w:val="fr-FR"/>
        </w:rPr>
      </w:pPr>
      <w:r w:rsidRPr="005D6CD4">
        <w:rPr>
          <w:lang w:val="fr-FR"/>
        </w:rPr>
        <w:t>Le ministère fédéral de la Condition de la femme a organisé un programme de formation aux questions d</w:t>
      </w:r>
      <w:r w:rsidR="000A3D87">
        <w:rPr>
          <w:lang w:val="fr-FR"/>
        </w:rPr>
        <w:t>’</w:t>
      </w:r>
      <w:r w:rsidRPr="005D6CD4">
        <w:rPr>
          <w:lang w:val="fr-FR"/>
        </w:rPr>
        <w:t>égalité des sexes à l</w:t>
      </w:r>
      <w:r w:rsidR="000A3D87">
        <w:rPr>
          <w:lang w:val="fr-FR"/>
        </w:rPr>
        <w:t>’</w:t>
      </w:r>
      <w:r w:rsidRPr="005D6CD4">
        <w:rPr>
          <w:lang w:val="fr-FR"/>
        </w:rPr>
        <w:t>intention du personnel de santé qui fournit des services de soins des yeux en mai 2006.</w:t>
      </w:r>
    </w:p>
    <w:p w:rsidR="00E15507" w:rsidRPr="005D6CD4" w:rsidRDefault="00E15507" w:rsidP="009546E1">
      <w:pPr>
        <w:pStyle w:val="SingleTxt"/>
        <w:numPr>
          <w:ilvl w:val="2"/>
          <w:numId w:val="14"/>
        </w:numPr>
        <w:tabs>
          <w:tab w:val="clear" w:pos="3427"/>
        </w:tabs>
        <w:ind w:left="1710" w:hanging="450"/>
        <w:rPr>
          <w:lang w:val="fr-FR"/>
        </w:rPr>
      </w:pPr>
      <w:r w:rsidRPr="005D6CD4">
        <w:rPr>
          <w:lang w:val="fr-FR"/>
        </w:rPr>
        <w:t>Dans le cadre des efforts déployés en vue de mobiliser des crédits budgétaires accrus, le soutien politique et de sensibiliser le grand public aux pratiques traditionnelles nuisibles (PTN) à l</w:t>
      </w:r>
      <w:r w:rsidR="000A3D87">
        <w:rPr>
          <w:lang w:val="fr-FR"/>
        </w:rPr>
        <w:t>’</w:t>
      </w:r>
      <w:r w:rsidRPr="005D6CD4">
        <w:rPr>
          <w:lang w:val="fr-FR"/>
        </w:rPr>
        <w:t>égard des femmes, le FNUAP, en collaboration avec les ministères au niveau fédéral et des États, a formé plus de 300 participants aux techniques de plaidoyer et d</w:t>
      </w:r>
      <w:r w:rsidR="000A3D87">
        <w:rPr>
          <w:lang w:val="fr-FR"/>
        </w:rPr>
        <w:t>’</w:t>
      </w:r>
      <w:r w:rsidRPr="005D6CD4">
        <w:rPr>
          <w:lang w:val="fr-FR"/>
        </w:rPr>
        <w:t>utilisation des groupes de pression en faveur du développement démographique et des droits liés à la santé en matière de reproduction, entre 2003 et</w:t>
      </w:r>
      <w:r>
        <w:rPr>
          <w:lang w:val="fr-FR"/>
        </w:rPr>
        <w:t xml:space="preserve"> </w:t>
      </w:r>
      <w:r w:rsidRPr="005D6CD4">
        <w:rPr>
          <w:lang w:val="fr-FR"/>
        </w:rPr>
        <w:t>2005.</w:t>
      </w:r>
    </w:p>
    <w:p w:rsidR="00E15507" w:rsidRPr="005D6CD4" w:rsidRDefault="00E15507" w:rsidP="009546E1">
      <w:pPr>
        <w:pStyle w:val="SingleTxt"/>
        <w:numPr>
          <w:ilvl w:val="2"/>
          <w:numId w:val="14"/>
        </w:numPr>
        <w:tabs>
          <w:tab w:val="clear" w:pos="3427"/>
        </w:tabs>
        <w:ind w:left="1710" w:hanging="450"/>
        <w:rPr>
          <w:lang w:val="fr-FR"/>
        </w:rPr>
      </w:pPr>
      <w:r>
        <w:rPr>
          <w:lang w:val="fr-FR"/>
        </w:rPr>
        <w:t>L</w:t>
      </w:r>
      <w:r w:rsidR="000A3D87">
        <w:rPr>
          <w:lang w:val="fr-FR"/>
        </w:rPr>
        <w:t>’</w:t>
      </w:r>
      <w:r w:rsidRPr="005D6CD4">
        <w:rPr>
          <w:lang w:val="fr-FR"/>
        </w:rPr>
        <w:t>USAID a institué un Groupe national sur les questions d</w:t>
      </w:r>
      <w:r w:rsidR="000A3D87">
        <w:rPr>
          <w:lang w:val="fr-FR"/>
        </w:rPr>
        <w:t>’</w:t>
      </w:r>
      <w:r w:rsidRPr="005D6CD4">
        <w:rPr>
          <w:lang w:val="fr-FR"/>
        </w:rPr>
        <w:t>égalité des sexes, composé de fonctionnaires des ministères d</w:t>
      </w:r>
      <w:r w:rsidR="000A3D87">
        <w:rPr>
          <w:lang w:val="fr-FR"/>
        </w:rPr>
        <w:t>’</w:t>
      </w:r>
      <w:r w:rsidRPr="005D6CD4">
        <w:rPr>
          <w:lang w:val="fr-FR"/>
        </w:rPr>
        <w:t>exécution pertinents. Le groupe est formé pour s</w:t>
      </w:r>
      <w:r w:rsidR="000A3D87">
        <w:rPr>
          <w:lang w:val="fr-FR"/>
        </w:rPr>
        <w:t>’</w:t>
      </w:r>
      <w:r w:rsidRPr="005D6CD4">
        <w:rPr>
          <w:lang w:val="fr-FR"/>
        </w:rPr>
        <w:t>assurer que les documents de politique, les programmes et les activités du Gouvernement tiennent compte des disparités entre les sexes.</w:t>
      </w:r>
    </w:p>
    <w:p w:rsidR="00E15507" w:rsidRPr="005D6CD4" w:rsidRDefault="00E15507" w:rsidP="009546E1">
      <w:pPr>
        <w:pStyle w:val="SingleTxt"/>
        <w:numPr>
          <w:ilvl w:val="2"/>
          <w:numId w:val="14"/>
        </w:numPr>
        <w:tabs>
          <w:tab w:val="clear" w:pos="3427"/>
        </w:tabs>
        <w:ind w:left="1710" w:hanging="450"/>
        <w:rPr>
          <w:lang w:val="fr-FR"/>
        </w:rPr>
      </w:pPr>
      <w:r w:rsidRPr="005D6CD4">
        <w:rPr>
          <w:lang w:val="fr-FR"/>
        </w:rPr>
        <w:t xml:space="preserve">News Agency of </w:t>
      </w:r>
      <w:r>
        <w:rPr>
          <w:lang w:val="fr-FR"/>
        </w:rPr>
        <w:t>Nigeria</w:t>
      </w:r>
      <w:r w:rsidRPr="005D6CD4">
        <w:rPr>
          <w:lang w:val="fr-FR"/>
        </w:rPr>
        <w:t xml:space="preserve"> (NAN) en collaboration avec le FNUAP a formé, en 2006, plus de 70 journalistes/reporters dans le domaine de l</w:t>
      </w:r>
      <w:r w:rsidR="000A3D87">
        <w:rPr>
          <w:lang w:val="fr-FR"/>
        </w:rPr>
        <w:t>’</w:t>
      </w:r>
      <w:r w:rsidRPr="005D6CD4">
        <w:rPr>
          <w:lang w:val="fr-FR"/>
        </w:rPr>
        <w:t xml:space="preserve">égalité des sexes et du développement. </w:t>
      </w:r>
    </w:p>
    <w:p w:rsidR="00E15507" w:rsidRPr="005D6CD4" w:rsidRDefault="00E15507" w:rsidP="009546E1">
      <w:pPr>
        <w:pStyle w:val="SingleTxt"/>
        <w:numPr>
          <w:ilvl w:val="2"/>
          <w:numId w:val="14"/>
        </w:numPr>
        <w:tabs>
          <w:tab w:val="clear" w:pos="3427"/>
        </w:tabs>
        <w:ind w:left="1710" w:hanging="450"/>
        <w:rPr>
          <w:lang w:val="fr-FR"/>
        </w:rPr>
      </w:pPr>
      <w:r w:rsidRPr="005D6CD4">
        <w:rPr>
          <w:lang w:val="fr-FR"/>
        </w:rPr>
        <w:t>L</w:t>
      </w:r>
      <w:r w:rsidR="000A3D87">
        <w:rPr>
          <w:lang w:val="fr-FR"/>
        </w:rPr>
        <w:t>’</w:t>
      </w:r>
      <w:r w:rsidRPr="005D6CD4">
        <w:rPr>
          <w:lang w:val="fr-FR"/>
        </w:rPr>
        <w:t>UNICEF a collaboré avec des organismes publics à l</w:t>
      </w:r>
      <w:r w:rsidR="000A3D87">
        <w:rPr>
          <w:lang w:val="fr-FR"/>
        </w:rPr>
        <w:t>’</w:t>
      </w:r>
      <w:r w:rsidRPr="005D6CD4">
        <w:rPr>
          <w:lang w:val="fr-FR"/>
        </w:rPr>
        <w:t>organisation de plusieurs activités liées aux questions d</w:t>
      </w:r>
      <w:r w:rsidR="000A3D87">
        <w:rPr>
          <w:lang w:val="fr-FR"/>
        </w:rPr>
        <w:t>’</w:t>
      </w:r>
      <w:r w:rsidRPr="005D6CD4">
        <w:rPr>
          <w:lang w:val="fr-FR"/>
        </w:rPr>
        <w:t>égalité des sexes, notamment les suivantes :</w:t>
      </w:r>
    </w:p>
    <w:p w:rsidR="00E15507" w:rsidRPr="005D6CD4" w:rsidRDefault="00B43E8B" w:rsidP="00B43E8B">
      <w:pPr>
        <w:pStyle w:val="SingleTxt"/>
        <w:tabs>
          <w:tab w:val="clear" w:pos="1267"/>
        </w:tabs>
        <w:ind w:left="2250" w:hanging="983"/>
        <w:rPr>
          <w:b/>
          <w:bCs/>
          <w:i/>
          <w:iCs/>
          <w:lang w:val="fr-FR"/>
        </w:rPr>
      </w:pPr>
      <w:r>
        <w:rPr>
          <w:b/>
          <w:bCs/>
          <w:i/>
          <w:iCs/>
          <w:lang w:val="fr-FR"/>
        </w:rPr>
        <w:tab/>
      </w:r>
      <w:r>
        <w:rPr>
          <w:b/>
          <w:bCs/>
          <w:i/>
          <w:iCs/>
          <w:lang w:val="fr-FR"/>
        </w:rPr>
        <w:softHyphen/>
      </w:r>
      <w:r>
        <w:rPr>
          <w:b/>
          <w:bCs/>
          <w:i/>
          <w:iCs/>
          <w:lang w:val="fr-FR"/>
        </w:rPr>
        <w:tab/>
      </w:r>
      <w:r w:rsidR="00E15507">
        <w:rPr>
          <w:b/>
          <w:bCs/>
          <w:i/>
          <w:iCs/>
          <w:lang w:val="fr-FR"/>
        </w:rPr>
        <w:t xml:space="preserve"> </w:t>
      </w:r>
      <w:r w:rsidR="00E15507" w:rsidRPr="005D6CD4">
        <w:rPr>
          <w:b/>
          <w:bCs/>
          <w:i/>
          <w:iCs/>
          <w:lang w:val="fr-FR"/>
        </w:rPr>
        <w:t>une semaine de formation de formateurs aux questions d</w:t>
      </w:r>
      <w:r w:rsidR="000A3D87">
        <w:rPr>
          <w:b/>
          <w:bCs/>
          <w:i/>
          <w:iCs/>
          <w:lang w:val="fr-FR"/>
        </w:rPr>
        <w:t>’</w:t>
      </w:r>
      <w:r w:rsidR="00E15507" w:rsidRPr="005D6CD4">
        <w:rPr>
          <w:b/>
          <w:bCs/>
          <w:i/>
          <w:iCs/>
          <w:lang w:val="fr-FR"/>
        </w:rPr>
        <w:t>égalité des sexes à l</w:t>
      </w:r>
      <w:r w:rsidR="000A3D87">
        <w:rPr>
          <w:b/>
          <w:bCs/>
          <w:i/>
          <w:iCs/>
          <w:lang w:val="fr-FR"/>
        </w:rPr>
        <w:t>’</w:t>
      </w:r>
      <w:r w:rsidR="00E15507" w:rsidRPr="005D6CD4">
        <w:rPr>
          <w:b/>
          <w:bCs/>
          <w:i/>
          <w:iCs/>
          <w:lang w:val="fr-FR"/>
        </w:rPr>
        <w:t>intention de 25 adolescents choisis de six zones géopolitiques du pays en 2005</w:t>
      </w:r>
      <w:r w:rsidR="00D17E6C">
        <w:rPr>
          <w:b/>
          <w:bCs/>
          <w:i/>
          <w:iCs/>
          <w:lang w:val="fr-FR"/>
        </w:rPr>
        <w:t>;</w:t>
      </w:r>
    </w:p>
    <w:p w:rsidR="00E15507" w:rsidRPr="005D6CD4" w:rsidRDefault="00B43E8B" w:rsidP="00B43E8B">
      <w:pPr>
        <w:pStyle w:val="SingleTxt"/>
        <w:ind w:left="2250" w:hanging="983"/>
        <w:rPr>
          <w:b/>
          <w:bCs/>
          <w:i/>
          <w:iCs/>
          <w:lang w:val="fr-FR"/>
        </w:rPr>
      </w:pPr>
      <w:r>
        <w:rPr>
          <w:b/>
          <w:bCs/>
          <w:i/>
          <w:iCs/>
          <w:lang w:val="fr-FR"/>
        </w:rPr>
        <w:tab/>
      </w:r>
      <w:r>
        <w:rPr>
          <w:b/>
          <w:bCs/>
          <w:i/>
          <w:iCs/>
          <w:lang w:val="fr-FR"/>
        </w:rPr>
        <w:softHyphen/>
      </w:r>
      <w:r w:rsidR="00E15507">
        <w:rPr>
          <w:b/>
          <w:bCs/>
          <w:i/>
          <w:iCs/>
          <w:lang w:val="fr-FR"/>
        </w:rPr>
        <w:t xml:space="preserve"> </w:t>
      </w:r>
      <w:r>
        <w:rPr>
          <w:b/>
          <w:bCs/>
          <w:i/>
          <w:iCs/>
          <w:lang w:val="fr-FR"/>
        </w:rPr>
        <w:tab/>
      </w:r>
      <w:r>
        <w:rPr>
          <w:b/>
          <w:bCs/>
          <w:i/>
          <w:iCs/>
          <w:lang w:val="fr-FR"/>
        </w:rPr>
        <w:tab/>
      </w:r>
      <w:r w:rsidR="00E15507" w:rsidRPr="005D6CD4">
        <w:rPr>
          <w:b/>
          <w:bCs/>
          <w:i/>
          <w:iCs/>
          <w:lang w:val="fr-FR"/>
        </w:rPr>
        <w:t>l</w:t>
      </w:r>
      <w:r w:rsidR="000A3D87">
        <w:rPr>
          <w:b/>
          <w:bCs/>
          <w:i/>
          <w:iCs/>
          <w:lang w:val="fr-FR"/>
        </w:rPr>
        <w:t>’</w:t>
      </w:r>
      <w:r w:rsidR="00E15507" w:rsidRPr="005D6CD4">
        <w:rPr>
          <w:b/>
          <w:bCs/>
          <w:i/>
          <w:iCs/>
          <w:lang w:val="fr-FR"/>
        </w:rPr>
        <w:t>élaboration d</w:t>
      </w:r>
      <w:r w:rsidR="000A3D87">
        <w:rPr>
          <w:b/>
          <w:bCs/>
          <w:i/>
          <w:iCs/>
          <w:lang w:val="fr-FR"/>
        </w:rPr>
        <w:t>’</w:t>
      </w:r>
      <w:r w:rsidR="00E15507" w:rsidRPr="005D6CD4">
        <w:rPr>
          <w:b/>
          <w:bCs/>
          <w:i/>
          <w:iCs/>
          <w:lang w:val="fr-FR"/>
        </w:rPr>
        <w:t>un manuel de formation de jeunes adolescentes aux compétences psychosociales, en collaboration avec le Centre national de promotion de la femme (NCWD) en 2004</w:t>
      </w:r>
      <w:r w:rsidR="00D17E6C">
        <w:rPr>
          <w:b/>
          <w:bCs/>
          <w:i/>
          <w:iCs/>
          <w:lang w:val="fr-FR"/>
        </w:rPr>
        <w:t>;</w:t>
      </w:r>
    </w:p>
    <w:p w:rsidR="00E15507" w:rsidRPr="005D6CD4" w:rsidRDefault="00B43E8B" w:rsidP="00B43E8B">
      <w:pPr>
        <w:pStyle w:val="SingleTxt"/>
        <w:ind w:left="2250" w:hanging="983"/>
        <w:rPr>
          <w:b/>
          <w:bCs/>
          <w:i/>
          <w:iCs/>
          <w:lang w:val="fr-FR"/>
        </w:rPr>
      </w:pPr>
      <w:r>
        <w:rPr>
          <w:b/>
          <w:bCs/>
          <w:i/>
          <w:iCs/>
          <w:lang w:val="fr-FR"/>
        </w:rPr>
        <w:tab/>
      </w:r>
      <w:r>
        <w:rPr>
          <w:b/>
          <w:bCs/>
          <w:i/>
          <w:iCs/>
          <w:lang w:val="fr-FR"/>
        </w:rPr>
        <w:softHyphen/>
      </w:r>
      <w:r>
        <w:rPr>
          <w:b/>
          <w:bCs/>
          <w:i/>
          <w:iCs/>
          <w:lang w:val="fr-FR"/>
        </w:rPr>
        <w:tab/>
      </w:r>
      <w:r>
        <w:rPr>
          <w:b/>
          <w:bCs/>
          <w:i/>
          <w:iCs/>
          <w:lang w:val="fr-FR"/>
        </w:rPr>
        <w:tab/>
      </w:r>
      <w:r w:rsidR="00E15507" w:rsidRPr="005D6CD4">
        <w:rPr>
          <w:b/>
          <w:bCs/>
          <w:i/>
          <w:iCs/>
          <w:lang w:val="fr-FR"/>
        </w:rPr>
        <w:t>une série d</w:t>
      </w:r>
      <w:r w:rsidR="000A3D87">
        <w:rPr>
          <w:b/>
          <w:bCs/>
          <w:i/>
          <w:iCs/>
          <w:lang w:val="fr-FR"/>
        </w:rPr>
        <w:t>’</w:t>
      </w:r>
      <w:r w:rsidR="00E15507" w:rsidRPr="005D6CD4">
        <w:rPr>
          <w:b/>
          <w:bCs/>
          <w:i/>
          <w:iCs/>
          <w:lang w:val="fr-FR"/>
        </w:rPr>
        <w:t>ateliers sur la sensibilisation aux questions de disparités entre les</w:t>
      </w:r>
      <w:r w:rsidR="00E15507">
        <w:rPr>
          <w:b/>
          <w:bCs/>
          <w:i/>
          <w:iCs/>
          <w:lang w:val="fr-FR"/>
        </w:rPr>
        <w:t xml:space="preserve"> </w:t>
      </w:r>
      <w:r w:rsidR="00E15507" w:rsidRPr="005D6CD4">
        <w:rPr>
          <w:b/>
          <w:bCs/>
          <w:i/>
          <w:iCs/>
          <w:lang w:val="fr-FR"/>
        </w:rPr>
        <w:t>sexes organisés par lots dans les six zones géopolitiques et ciblant les femmes</w:t>
      </w:r>
      <w:r w:rsidR="00E15507">
        <w:rPr>
          <w:b/>
          <w:bCs/>
          <w:i/>
          <w:iCs/>
          <w:lang w:val="fr-FR"/>
        </w:rPr>
        <w:t xml:space="preserve"> </w:t>
      </w:r>
      <w:r w:rsidR="00E15507" w:rsidRPr="005D6CD4">
        <w:rPr>
          <w:b/>
          <w:bCs/>
          <w:i/>
          <w:iCs/>
          <w:lang w:val="fr-FR"/>
        </w:rPr>
        <w:t>au niveau des États, des collectivités locales et des populations locales, en collaboration avec les ministères d</w:t>
      </w:r>
      <w:r w:rsidR="000A3D87">
        <w:rPr>
          <w:b/>
          <w:bCs/>
          <w:i/>
          <w:iCs/>
          <w:lang w:val="fr-FR"/>
        </w:rPr>
        <w:t>’</w:t>
      </w:r>
      <w:r w:rsidR="00E15507" w:rsidRPr="005D6CD4">
        <w:rPr>
          <w:b/>
          <w:bCs/>
          <w:i/>
          <w:iCs/>
          <w:lang w:val="fr-FR"/>
        </w:rPr>
        <w:t>État de la Condition de la femme</w:t>
      </w:r>
      <w:r w:rsidR="00D17E6C">
        <w:rPr>
          <w:b/>
          <w:bCs/>
          <w:i/>
          <w:iCs/>
          <w:lang w:val="fr-FR"/>
        </w:rPr>
        <w:t>;</w:t>
      </w:r>
    </w:p>
    <w:p w:rsidR="00E15507" w:rsidRPr="005D6CD4" w:rsidRDefault="00B43E8B" w:rsidP="00B43E8B">
      <w:pPr>
        <w:pStyle w:val="SingleTxt"/>
        <w:ind w:left="2250" w:hanging="983"/>
        <w:rPr>
          <w:b/>
          <w:bCs/>
          <w:i/>
          <w:iCs/>
          <w:lang w:val="fr-FR"/>
        </w:rPr>
      </w:pPr>
      <w:r>
        <w:rPr>
          <w:b/>
          <w:bCs/>
          <w:i/>
          <w:iCs/>
          <w:lang w:val="fr-FR"/>
        </w:rPr>
        <w:tab/>
      </w:r>
      <w:r>
        <w:rPr>
          <w:b/>
          <w:bCs/>
          <w:i/>
          <w:iCs/>
          <w:lang w:val="fr-FR"/>
        </w:rPr>
        <w:softHyphen/>
      </w:r>
      <w:r>
        <w:rPr>
          <w:b/>
          <w:bCs/>
          <w:i/>
          <w:iCs/>
          <w:lang w:val="fr-FR"/>
        </w:rPr>
        <w:tab/>
      </w:r>
      <w:r>
        <w:rPr>
          <w:b/>
          <w:bCs/>
          <w:i/>
          <w:iCs/>
          <w:lang w:val="fr-FR"/>
        </w:rPr>
        <w:tab/>
      </w:r>
      <w:r w:rsidR="00E15507" w:rsidRPr="005D6CD4">
        <w:rPr>
          <w:b/>
          <w:bCs/>
          <w:i/>
          <w:iCs/>
          <w:lang w:val="fr-FR"/>
        </w:rPr>
        <w:t>réunion de sensibilisation avec</w:t>
      </w:r>
      <w:r w:rsidR="00E15507">
        <w:rPr>
          <w:b/>
          <w:bCs/>
          <w:i/>
          <w:iCs/>
          <w:lang w:val="fr-FR"/>
        </w:rPr>
        <w:t xml:space="preserve"> </w:t>
      </w:r>
      <w:r w:rsidR="00E15507" w:rsidRPr="005D6CD4">
        <w:rPr>
          <w:b/>
          <w:bCs/>
          <w:i/>
          <w:iCs/>
          <w:lang w:val="fr-FR"/>
        </w:rPr>
        <w:t>les principales agences de presse sur les PTN et l</w:t>
      </w:r>
      <w:r w:rsidR="000A3D87">
        <w:rPr>
          <w:b/>
          <w:bCs/>
          <w:i/>
          <w:iCs/>
          <w:lang w:val="fr-FR"/>
        </w:rPr>
        <w:t>’</w:t>
      </w:r>
      <w:r w:rsidR="00E15507" w:rsidRPr="005D6CD4">
        <w:rPr>
          <w:b/>
          <w:bCs/>
          <w:i/>
          <w:iCs/>
          <w:lang w:val="fr-FR"/>
        </w:rPr>
        <w:t>établissement de rapports tenant compte des disparités entre les sexes</w:t>
      </w:r>
      <w:r w:rsidR="00D17E6C">
        <w:rPr>
          <w:b/>
          <w:bCs/>
          <w:i/>
          <w:iCs/>
          <w:lang w:val="fr-FR"/>
        </w:rPr>
        <w:t>;</w:t>
      </w:r>
      <w:r w:rsidR="00E15507" w:rsidRPr="005D6CD4">
        <w:rPr>
          <w:b/>
          <w:bCs/>
          <w:i/>
          <w:iCs/>
          <w:lang w:val="fr-FR"/>
        </w:rPr>
        <w:t xml:space="preserve"> et</w:t>
      </w:r>
    </w:p>
    <w:p w:rsidR="00E15507" w:rsidRDefault="00B43E8B" w:rsidP="00B43E8B">
      <w:pPr>
        <w:pStyle w:val="SingleTxt"/>
        <w:ind w:left="2250" w:hanging="983"/>
        <w:rPr>
          <w:b/>
          <w:bCs/>
          <w:i/>
          <w:iCs/>
          <w:lang w:val="fr-FR"/>
        </w:rPr>
      </w:pPr>
      <w:r>
        <w:rPr>
          <w:b/>
          <w:bCs/>
          <w:i/>
          <w:iCs/>
          <w:lang w:val="fr-FR"/>
        </w:rPr>
        <w:tab/>
      </w:r>
      <w:r>
        <w:rPr>
          <w:b/>
          <w:bCs/>
          <w:i/>
          <w:iCs/>
          <w:lang w:val="fr-FR"/>
        </w:rPr>
        <w:softHyphen/>
      </w:r>
      <w:r>
        <w:rPr>
          <w:b/>
          <w:bCs/>
          <w:i/>
          <w:iCs/>
          <w:lang w:val="fr-FR"/>
        </w:rPr>
        <w:tab/>
      </w:r>
      <w:r>
        <w:rPr>
          <w:b/>
          <w:bCs/>
          <w:i/>
          <w:iCs/>
          <w:lang w:val="fr-FR"/>
        </w:rPr>
        <w:tab/>
      </w:r>
      <w:r w:rsidR="00E15507" w:rsidRPr="005D6CD4">
        <w:rPr>
          <w:b/>
          <w:bCs/>
          <w:i/>
          <w:iCs/>
          <w:lang w:val="fr-FR"/>
        </w:rPr>
        <w:t>formation de formateurs d</w:t>
      </w:r>
      <w:r w:rsidR="000A3D87">
        <w:rPr>
          <w:b/>
          <w:bCs/>
          <w:i/>
          <w:iCs/>
          <w:lang w:val="fr-FR"/>
        </w:rPr>
        <w:t>’</w:t>
      </w:r>
      <w:r w:rsidR="00E15507" w:rsidRPr="005D6CD4">
        <w:rPr>
          <w:b/>
          <w:bCs/>
          <w:i/>
          <w:iCs/>
          <w:lang w:val="fr-FR"/>
        </w:rPr>
        <w:t>une semaine aux questions d</w:t>
      </w:r>
      <w:r w:rsidR="000A3D87">
        <w:rPr>
          <w:b/>
          <w:bCs/>
          <w:i/>
          <w:iCs/>
          <w:lang w:val="fr-FR"/>
        </w:rPr>
        <w:t>’</w:t>
      </w:r>
      <w:r w:rsidR="00E15507" w:rsidRPr="005D6CD4">
        <w:rPr>
          <w:b/>
          <w:bCs/>
          <w:i/>
          <w:iCs/>
          <w:lang w:val="fr-FR"/>
        </w:rPr>
        <w:t>égalité des sexes, à l</w:t>
      </w:r>
      <w:r w:rsidR="000A3D87">
        <w:rPr>
          <w:b/>
          <w:bCs/>
          <w:i/>
          <w:iCs/>
          <w:lang w:val="fr-FR"/>
        </w:rPr>
        <w:t>’</w:t>
      </w:r>
      <w:r w:rsidR="00E15507" w:rsidRPr="005D6CD4">
        <w:rPr>
          <w:b/>
          <w:bCs/>
          <w:i/>
          <w:iCs/>
          <w:lang w:val="fr-FR"/>
        </w:rPr>
        <w:t>intention des directeurs des ministères fédéraux, des sociétés parapubliques et des OSC, afin de mettre en place un Comité consultatif et de coordination national pour la promotion des femmes.</w:t>
      </w:r>
    </w:p>
    <w:p w:rsidR="00B43E8B" w:rsidRPr="00B43E8B" w:rsidRDefault="00B43E8B" w:rsidP="00B43E8B">
      <w:pPr>
        <w:pStyle w:val="SingleTxt"/>
        <w:spacing w:after="0" w:line="120" w:lineRule="exact"/>
        <w:ind w:left="2250" w:hanging="983"/>
        <w:rPr>
          <w:b/>
          <w:bCs/>
          <w:i/>
          <w:iCs/>
          <w:sz w:val="10"/>
          <w:lang w:val="fr-FR"/>
        </w:rPr>
      </w:pPr>
    </w:p>
    <w:p w:rsidR="00E15507" w:rsidRDefault="00B43E8B" w:rsidP="00B43E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E15507" w:rsidRPr="005D6CD4">
        <w:rPr>
          <w:lang w:val="fr-FR"/>
        </w:rPr>
        <w:t>4.4</w:t>
      </w:r>
      <w:r>
        <w:rPr>
          <w:lang w:val="fr-FR"/>
        </w:rPr>
        <w:tab/>
      </w:r>
      <w:r w:rsidR="00E15507" w:rsidRPr="005D6CD4">
        <w:rPr>
          <w:lang w:val="fr-FR"/>
        </w:rPr>
        <w:t>Défis</w:t>
      </w:r>
    </w:p>
    <w:p w:rsidR="00B43E8B" w:rsidRPr="00B43E8B" w:rsidRDefault="00B43E8B" w:rsidP="00B43E8B">
      <w:pPr>
        <w:pStyle w:val="SingleTxt"/>
        <w:spacing w:after="0" w:line="120" w:lineRule="exact"/>
        <w:rPr>
          <w:sz w:val="10"/>
          <w:lang w:val="fr-FR"/>
        </w:rPr>
      </w:pPr>
    </w:p>
    <w:p w:rsidR="00E15507" w:rsidRPr="005D6CD4" w:rsidRDefault="00B43E8B" w:rsidP="00740CA4">
      <w:pPr>
        <w:pStyle w:val="SingleTxt"/>
        <w:rPr>
          <w:lang w:val="fr-FR"/>
        </w:rPr>
      </w:pPr>
      <w:r>
        <w:rPr>
          <w:lang w:val="fr-FR"/>
        </w:rPr>
        <w:tab/>
      </w:r>
      <w:r w:rsidR="00E15507" w:rsidRPr="005D6CD4">
        <w:rPr>
          <w:lang w:val="fr-FR"/>
        </w:rPr>
        <w:t>En dépit des efforts concertés que déploient les autorités fédérales et étatiques et les structures de promotion de l</w:t>
      </w:r>
      <w:r w:rsidR="000A3D87">
        <w:rPr>
          <w:lang w:val="fr-FR"/>
        </w:rPr>
        <w:t>’</w:t>
      </w:r>
      <w:r w:rsidR="00E15507" w:rsidRPr="005D6CD4">
        <w:rPr>
          <w:lang w:val="fr-FR"/>
        </w:rPr>
        <w:t>égalité des sexes pour assurer cette égalité dans tous les secteurs, politiques et programmes, des défis qui sont imputables au système patriarcal, aux croyances traditionnelles et coutumes profondément enracinées, au faible niveau d</w:t>
      </w:r>
      <w:r w:rsidR="000A3D87">
        <w:rPr>
          <w:lang w:val="fr-FR"/>
        </w:rPr>
        <w:t>’</w:t>
      </w:r>
      <w:r w:rsidR="00E15507" w:rsidRPr="005D6CD4">
        <w:rPr>
          <w:lang w:val="fr-FR"/>
        </w:rPr>
        <w:t>engagement et de participation des hommes au processus de changement, contribuent dans une très large mesure à perpétuer l</w:t>
      </w:r>
      <w:r w:rsidR="000A3D87">
        <w:rPr>
          <w:lang w:val="fr-FR"/>
        </w:rPr>
        <w:t>’</w:t>
      </w:r>
      <w:r w:rsidR="00E15507" w:rsidRPr="005D6CD4">
        <w:rPr>
          <w:lang w:val="fr-FR"/>
        </w:rPr>
        <w:t xml:space="preserve">inégalité des sexes dans le pays. </w:t>
      </w:r>
    </w:p>
    <w:p w:rsidR="00B43E8B" w:rsidRPr="00B43E8B" w:rsidRDefault="00B43E8B" w:rsidP="00B43E8B">
      <w:pPr>
        <w:pStyle w:val="SingleTxt"/>
        <w:spacing w:after="0" w:line="120" w:lineRule="exact"/>
        <w:rPr>
          <w:b/>
          <w:sz w:val="10"/>
          <w:lang w:val="fr-FR"/>
        </w:rPr>
      </w:pPr>
    </w:p>
    <w:p w:rsidR="00B43E8B" w:rsidRPr="00B43E8B" w:rsidRDefault="00B43E8B" w:rsidP="00B43E8B">
      <w:pPr>
        <w:pStyle w:val="SingleTxt"/>
        <w:spacing w:after="0" w:line="120" w:lineRule="exact"/>
        <w:rPr>
          <w:b/>
          <w:sz w:val="10"/>
          <w:lang w:val="fr-FR"/>
        </w:rPr>
      </w:pPr>
    </w:p>
    <w:p w:rsidR="00E15507" w:rsidRDefault="00B43E8B" w:rsidP="00B43E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E15507" w:rsidRPr="00643FD1">
        <w:rPr>
          <w:lang w:val="fr-FR"/>
        </w:rPr>
        <w:t>Article 5</w:t>
      </w:r>
      <w:r w:rsidR="00E15507">
        <w:rPr>
          <w:lang w:val="fr-FR"/>
        </w:rPr>
        <w:t xml:space="preserve"> </w:t>
      </w:r>
      <w:r w:rsidR="00E15507" w:rsidRPr="00643FD1">
        <w:rPr>
          <w:lang w:val="fr-FR"/>
        </w:rPr>
        <w:t>: Rôles et stéréotypes sexospécifiques</w:t>
      </w:r>
    </w:p>
    <w:p w:rsidR="00F67DD1" w:rsidRPr="00F67DD1" w:rsidRDefault="00F67DD1" w:rsidP="00F67DD1">
      <w:pPr>
        <w:pStyle w:val="SingleTxt"/>
        <w:spacing w:after="0" w:line="120" w:lineRule="exact"/>
        <w:rPr>
          <w:sz w:val="10"/>
          <w:lang w:val="fr-FR"/>
        </w:rPr>
      </w:pPr>
    </w:p>
    <w:p w:rsidR="00F67DD1" w:rsidRPr="00F67DD1" w:rsidRDefault="00F67DD1" w:rsidP="00F67DD1">
      <w:pPr>
        <w:pStyle w:val="SingleTxt"/>
        <w:spacing w:after="0" w:line="120" w:lineRule="exact"/>
        <w:rPr>
          <w:sz w:val="10"/>
          <w:lang w:val="fr-FR"/>
        </w:rPr>
      </w:pPr>
    </w:p>
    <w:p w:rsidR="00E15507" w:rsidRDefault="00F67DD1" w:rsidP="00F67D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5.1</w:t>
      </w:r>
      <w:r>
        <w:rPr>
          <w:lang w:val="fr-FR"/>
        </w:rPr>
        <w:tab/>
      </w:r>
      <w:r w:rsidR="00E15507" w:rsidRPr="005D6CD4">
        <w:rPr>
          <w:lang w:val="fr-FR"/>
        </w:rPr>
        <w:t>Mesures administratives et efforts d</w:t>
      </w:r>
      <w:r w:rsidR="000A3D87">
        <w:rPr>
          <w:lang w:val="fr-FR"/>
        </w:rPr>
        <w:t>’</w:t>
      </w:r>
      <w:r w:rsidR="00E15507" w:rsidRPr="005D6CD4">
        <w:rPr>
          <w:lang w:val="fr-FR"/>
        </w:rPr>
        <w:t xml:space="preserve">élimination des rôles </w:t>
      </w:r>
      <w:r w:rsidR="00E15507">
        <w:rPr>
          <w:lang w:val="fr-FR"/>
        </w:rPr>
        <w:t xml:space="preserve">sexospécifiques et des </w:t>
      </w:r>
      <w:r w:rsidR="00E15507" w:rsidRPr="005D6CD4">
        <w:rPr>
          <w:lang w:val="fr-FR"/>
        </w:rPr>
        <w:t>stéréotyp</w:t>
      </w:r>
      <w:r w:rsidR="00E15507">
        <w:rPr>
          <w:lang w:val="fr-FR"/>
        </w:rPr>
        <w:t xml:space="preserve">es concernant les </w:t>
      </w:r>
      <w:r w:rsidR="00E15507" w:rsidRPr="005D6CD4">
        <w:rPr>
          <w:lang w:val="fr-FR"/>
        </w:rPr>
        <w:t xml:space="preserve">filles et </w:t>
      </w:r>
      <w:r w:rsidR="00E15507">
        <w:rPr>
          <w:lang w:val="fr-FR"/>
        </w:rPr>
        <w:t>l</w:t>
      </w:r>
      <w:r w:rsidR="00E15507" w:rsidRPr="005D6CD4">
        <w:rPr>
          <w:lang w:val="fr-FR"/>
        </w:rPr>
        <w:t>es femmes</w:t>
      </w:r>
      <w:r w:rsidR="00E15507">
        <w:rPr>
          <w:lang w:val="fr-FR"/>
        </w:rPr>
        <w:t xml:space="preserve"> </w:t>
      </w:r>
    </w:p>
    <w:p w:rsidR="00C46625" w:rsidRPr="00C46625" w:rsidRDefault="00C46625" w:rsidP="00C46625">
      <w:pPr>
        <w:pStyle w:val="SingleTxt"/>
        <w:spacing w:after="0" w:line="120" w:lineRule="exact"/>
        <w:rPr>
          <w:sz w:val="10"/>
          <w:lang w:val="fr-FR"/>
        </w:rPr>
      </w:pPr>
    </w:p>
    <w:p w:rsidR="00E15507" w:rsidRPr="005D6CD4" w:rsidRDefault="00B43E8B" w:rsidP="00740CA4">
      <w:pPr>
        <w:pStyle w:val="SingleTxt"/>
        <w:rPr>
          <w:lang w:val="fr-FR"/>
        </w:rPr>
      </w:pPr>
      <w:r>
        <w:rPr>
          <w:lang w:val="fr-FR"/>
        </w:rPr>
        <w:tab/>
      </w:r>
      <w:r w:rsidR="00E15507" w:rsidRPr="005D6CD4">
        <w:rPr>
          <w:lang w:val="fr-FR"/>
        </w:rPr>
        <w:t xml:space="preserve">La sensibilisation </w:t>
      </w:r>
      <w:r w:rsidR="00E15507">
        <w:rPr>
          <w:lang w:val="fr-FR"/>
        </w:rPr>
        <w:t>aux questions d</w:t>
      </w:r>
      <w:r w:rsidR="000A3D87">
        <w:rPr>
          <w:lang w:val="fr-FR"/>
        </w:rPr>
        <w:t>’</w:t>
      </w:r>
      <w:r w:rsidR="00E15507">
        <w:rPr>
          <w:lang w:val="fr-FR"/>
        </w:rPr>
        <w:t xml:space="preserve">égalité des sexes </w:t>
      </w:r>
      <w:r w:rsidR="00E15507" w:rsidRPr="005D6CD4">
        <w:rPr>
          <w:lang w:val="fr-FR"/>
        </w:rPr>
        <w:t xml:space="preserve">fait partie des mesures à mettre en œuvre pour lutter contre les </w:t>
      </w:r>
      <w:r w:rsidR="00E15507">
        <w:rPr>
          <w:lang w:val="fr-FR"/>
        </w:rPr>
        <w:t xml:space="preserve">rôles </w:t>
      </w:r>
      <w:r w:rsidR="00E15507" w:rsidRPr="005D6CD4">
        <w:rPr>
          <w:lang w:val="fr-FR"/>
        </w:rPr>
        <w:t>stéréotypes qui freinent l</w:t>
      </w:r>
      <w:r w:rsidR="000A3D87">
        <w:rPr>
          <w:lang w:val="fr-FR"/>
        </w:rPr>
        <w:t>’</w:t>
      </w:r>
      <w:r w:rsidR="00E15507" w:rsidRPr="005D6CD4">
        <w:rPr>
          <w:lang w:val="fr-FR"/>
        </w:rPr>
        <w:t xml:space="preserve">épanouissement des femmes et des filles dans plusieurs domaines. Les activités de plaidoyer en vue de changer les perceptions socioculturelles des rôles et des interdictions non fondées selon le sexe ont été menées par les organisations de la société civile et le </w:t>
      </w:r>
      <w:r w:rsidR="00E15507">
        <w:rPr>
          <w:lang w:val="fr-FR"/>
        </w:rPr>
        <w:t>ministère</w:t>
      </w:r>
      <w:r w:rsidR="00E15507" w:rsidRPr="005D6CD4">
        <w:rPr>
          <w:lang w:val="fr-FR"/>
        </w:rPr>
        <w:t xml:space="preserve"> de la </w:t>
      </w:r>
      <w:r w:rsidR="00E15507">
        <w:rPr>
          <w:lang w:val="fr-FR"/>
        </w:rPr>
        <w:t>C</w:t>
      </w:r>
      <w:r w:rsidR="00E15507" w:rsidRPr="005D6CD4">
        <w:rPr>
          <w:lang w:val="fr-FR"/>
        </w:rPr>
        <w:t xml:space="preserve">ondition </w:t>
      </w:r>
      <w:r w:rsidR="00E15507">
        <w:rPr>
          <w:lang w:val="fr-FR"/>
        </w:rPr>
        <w:t>de la femme</w:t>
      </w:r>
      <w:r w:rsidR="00E15507" w:rsidRPr="005D6CD4">
        <w:rPr>
          <w:lang w:val="fr-FR"/>
        </w:rPr>
        <w:t xml:space="preserve"> aux niveaux national et des </w:t>
      </w:r>
      <w:r w:rsidR="00E15507">
        <w:rPr>
          <w:lang w:val="fr-FR"/>
        </w:rPr>
        <w:t>É</w:t>
      </w:r>
      <w:r w:rsidR="00E15507" w:rsidRPr="005D6CD4">
        <w:rPr>
          <w:lang w:val="fr-FR"/>
        </w:rPr>
        <w:t>tats, ainsi que les médias.</w:t>
      </w:r>
    </w:p>
    <w:p w:rsidR="00E15507" w:rsidRPr="005D6CD4" w:rsidRDefault="00B43E8B" w:rsidP="00740CA4">
      <w:pPr>
        <w:pStyle w:val="SingleTxt"/>
        <w:rPr>
          <w:lang w:val="fr-FR"/>
        </w:rPr>
      </w:pPr>
      <w:r>
        <w:rPr>
          <w:lang w:val="fr-FR"/>
        </w:rPr>
        <w:tab/>
      </w:r>
      <w:r w:rsidR="00E15507" w:rsidRPr="005D6CD4">
        <w:rPr>
          <w:lang w:val="fr-FR"/>
        </w:rPr>
        <w:t>Parmi ces mesures et efforts de plaidoyer, on peut citer</w:t>
      </w:r>
      <w:r w:rsidR="00E15507">
        <w:rPr>
          <w:lang w:val="fr-FR"/>
        </w:rPr>
        <w:t> :</w:t>
      </w:r>
    </w:p>
    <w:p w:rsidR="00E15507" w:rsidRPr="005D6CD4" w:rsidRDefault="00E15507" w:rsidP="009546E1">
      <w:pPr>
        <w:pStyle w:val="SingleTxt"/>
        <w:numPr>
          <w:ilvl w:val="2"/>
          <w:numId w:val="15"/>
        </w:numPr>
        <w:tabs>
          <w:tab w:val="clear" w:pos="3427"/>
        </w:tabs>
        <w:ind w:left="1710" w:hanging="450"/>
        <w:rPr>
          <w:lang w:val="fr-FR"/>
        </w:rPr>
      </w:pPr>
      <w:r w:rsidRPr="005D6CD4">
        <w:rPr>
          <w:lang w:val="fr-FR"/>
        </w:rPr>
        <w:t>La Politique nationale de l</w:t>
      </w:r>
      <w:r w:rsidR="000A3D87">
        <w:rPr>
          <w:lang w:val="fr-FR"/>
        </w:rPr>
        <w:t>’</w:t>
      </w:r>
      <w:r w:rsidRPr="005D6CD4">
        <w:rPr>
          <w:lang w:val="fr-FR"/>
        </w:rPr>
        <w:t xml:space="preserve">éducation </w:t>
      </w:r>
      <w:r>
        <w:rPr>
          <w:lang w:val="fr-FR"/>
        </w:rPr>
        <w:t xml:space="preserve">de </w:t>
      </w:r>
      <w:r w:rsidRPr="005D6CD4">
        <w:rPr>
          <w:lang w:val="fr-FR"/>
        </w:rPr>
        <w:t>2004 qui prévoit la création d</w:t>
      </w:r>
      <w:r w:rsidR="000A3D87">
        <w:rPr>
          <w:lang w:val="fr-FR"/>
        </w:rPr>
        <w:t>’</w:t>
      </w:r>
      <w:r w:rsidRPr="005D6CD4">
        <w:rPr>
          <w:lang w:val="fr-FR"/>
        </w:rPr>
        <w:t>institutions scientifiques réservées aux filles en vue de les encourager à étudier l</w:t>
      </w:r>
      <w:r>
        <w:rPr>
          <w:lang w:val="fr-FR"/>
        </w:rPr>
        <w:t>es</w:t>
      </w:r>
      <w:r w:rsidRPr="005D6CD4">
        <w:rPr>
          <w:lang w:val="fr-FR"/>
        </w:rPr>
        <w:t xml:space="preserve"> science</w:t>
      </w:r>
      <w:r>
        <w:rPr>
          <w:lang w:val="fr-FR"/>
        </w:rPr>
        <w:t>s</w:t>
      </w:r>
      <w:r w:rsidRPr="005D6CD4">
        <w:rPr>
          <w:lang w:val="fr-FR"/>
        </w:rPr>
        <w:t xml:space="preserve"> et l</w:t>
      </w:r>
      <w:r>
        <w:rPr>
          <w:lang w:val="fr-FR"/>
        </w:rPr>
        <w:t>es</w:t>
      </w:r>
      <w:r w:rsidRPr="005D6CD4">
        <w:rPr>
          <w:lang w:val="fr-FR"/>
        </w:rPr>
        <w:t xml:space="preserve"> technologie</w:t>
      </w:r>
      <w:r>
        <w:rPr>
          <w:lang w:val="fr-FR"/>
        </w:rPr>
        <w:t>s</w:t>
      </w:r>
      <w:r w:rsidRPr="005D6CD4">
        <w:rPr>
          <w:lang w:val="fr-FR"/>
        </w:rPr>
        <w:t>.</w:t>
      </w:r>
    </w:p>
    <w:p w:rsidR="00E15507" w:rsidRPr="005D6CD4" w:rsidRDefault="00E15507" w:rsidP="009546E1">
      <w:pPr>
        <w:pStyle w:val="SingleTxt"/>
        <w:numPr>
          <w:ilvl w:val="2"/>
          <w:numId w:val="15"/>
        </w:numPr>
        <w:tabs>
          <w:tab w:val="clear" w:pos="3427"/>
        </w:tabs>
        <w:ind w:left="1710" w:hanging="450"/>
        <w:rPr>
          <w:lang w:val="fr-FR"/>
        </w:rPr>
      </w:pPr>
      <w:r w:rsidRPr="005D6CD4">
        <w:rPr>
          <w:lang w:val="fr-FR"/>
        </w:rPr>
        <w:t>La Women</w:t>
      </w:r>
      <w:r w:rsidR="000A3D87">
        <w:rPr>
          <w:lang w:val="fr-FR"/>
        </w:rPr>
        <w:t>’</w:t>
      </w:r>
      <w:r w:rsidRPr="005D6CD4">
        <w:rPr>
          <w:lang w:val="fr-FR"/>
        </w:rPr>
        <w:t>s Organizations for Representative National Conference (WORNACO) a récemment organisé, du 7 au 10 juin 2005, une conférence nationale des femmes, avec la participation à un niveau élevé de plus de 500</w:t>
      </w:r>
      <w:r>
        <w:rPr>
          <w:lang w:val="fr-FR"/>
        </w:rPr>
        <w:t xml:space="preserve"> </w:t>
      </w:r>
      <w:r w:rsidRPr="005D6CD4">
        <w:rPr>
          <w:lang w:val="fr-FR"/>
        </w:rPr>
        <w:t>femmes leaders d</w:t>
      </w:r>
      <w:r w:rsidR="000A3D87">
        <w:rPr>
          <w:lang w:val="fr-FR"/>
        </w:rPr>
        <w:t>’</w:t>
      </w:r>
      <w:r w:rsidRPr="005D6CD4">
        <w:rPr>
          <w:lang w:val="fr-FR"/>
        </w:rPr>
        <w:t xml:space="preserve">opinion et de représentantes des femmes. Grâce à cette conférence, les femmes nigérianes ont été mieux informées sur les questions relatives </w:t>
      </w:r>
      <w:r>
        <w:rPr>
          <w:lang w:val="fr-FR"/>
        </w:rPr>
        <w:t xml:space="preserve">aux domaines suivants : </w:t>
      </w:r>
      <w:r w:rsidRPr="005D6CD4">
        <w:rPr>
          <w:lang w:val="fr-FR"/>
        </w:rPr>
        <w:t xml:space="preserve">la Constitution </w:t>
      </w:r>
      <w:r>
        <w:rPr>
          <w:lang w:val="fr-FR"/>
        </w:rPr>
        <w:t>nationale</w:t>
      </w:r>
      <w:r w:rsidRPr="005D6CD4">
        <w:rPr>
          <w:lang w:val="fr-FR"/>
        </w:rPr>
        <w:t>, les droits de l</w:t>
      </w:r>
      <w:r w:rsidR="000A3D87">
        <w:rPr>
          <w:lang w:val="fr-FR"/>
        </w:rPr>
        <w:t>’</w:t>
      </w:r>
      <w:r w:rsidRPr="005D6CD4">
        <w:rPr>
          <w:lang w:val="fr-FR"/>
        </w:rPr>
        <w:t>homme, la politique, la santé, les médias, l</w:t>
      </w:r>
      <w:r w:rsidR="000A3D87">
        <w:rPr>
          <w:lang w:val="fr-FR"/>
        </w:rPr>
        <w:t>’</w:t>
      </w:r>
      <w:r w:rsidRPr="005D6CD4">
        <w:rPr>
          <w:lang w:val="fr-FR"/>
        </w:rPr>
        <w:t>environnement, l</w:t>
      </w:r>
      <w:r w:rsidR="000A3D87">
        <w:rPr>
          <w:lang w:val="fr-FR"/>
        </w:rPr>
        <w:t>’</w:t>
      </w:r>
      <w:r w:rsidRPr="005D6CD4">
        <w:rPr>
          <w:lang w:val="fr-FR"/>
        </w:rPr>
        <w:t>éducation, l</w:t>
      </w:r>
      <w:r>
        <w:rPr>
          <w:lang w:val="fr-FR"/>
        </w:rPr>
        <w:t>es</w:t>
      </w:r>
      <w:r w:rsidRPr="005D6CD4">
        <w:rPr>
          <w:lang w:val="fr-FR"/>
        </w:rPr>
        <w:t xml:space="preserve"> science</w:t>
      </w:r>
      <w:r>
        <w:rPr>
          <w:lang w:val="fr-FR"/>
        </w:rPr>
        <w:t>s</w:t>
      </w:r>
      <w:r w:rsidRPr="005D6CD4">
        <w:rPr>
          <w:lang w:val="fr-FR"/>
        </w:rPr>
        <w:t xml:space="preserve"> et l</w:t>
      </w:r>
      <w:r>
        <w:rPr>
          <w:lang w:val="fr-FR"/>
        </w:rPr>
        <w:t>es</w:t>
      </w:r>
      <w:r w:rsidRPr="005D6CD4">
        <w:rPr>
          <w:lang w:val="fr-FR"/>
        </w:rPr>
        <w:t xml:space="preserve"> technologie</w:t>
      </w:r>
      <w:r>
        <w:rPr>
          <w:lang w:val="fr-FR"/>
        </w:rPr>
        <w:t>s</w:t>
      </w:r>
      <w:r w:rsidRPr="005D6CD4">
        <w:rPr>
          <w:lang w:val="fr-FR"/>
        </w:rPr>
        <w:t xml:space="preserve">. </w:t>
      </w:r>
      <w:r>
        <w:rPr>
          <w:lang w:val="fr-FR"/>
        </w:rPr>
        <w:t>À</w:t>
      </w:r>
      <w:r w:rsidRPr="005D6CD4">
        <w:rPr>
          <w:lang w:val="fr-FR"/>
        </w:rPr>
        <w:t xml:space="preserve"> la fin de cette conférence, un manifeste des femmes intitulé </w:t>
      </w:r>
      <w:r w:rsidR="00D17E6C">
        <w:rPr>
          <w:lang w:val="fr-FR"/>
        </w:rPr>
        <w:t>“ </w:t>
      </w:r>
      <w:r w:rsidRPr="005D6CD4">
        <w:rPr>
          <w:lang w:val="fr-FR"/>
        </w:rPr>
        <w:t>WOMANIFESTO</w:t>
      </w:r>
      <w:r w:rsidR="000A3D87">
        <w:rPr>
          <w:lang w:val="fr-FR"/>
        </w:rPr>
        <w:t> »</w:t>
      </w:r>
      <w:r w:rsidRPr="005D6CD4">
        <w:rPr>
          <w:lang w:val="fr-FR"/>
        </w:rPr>
        <w:t xml:space="preserve"> a été produit. </w:t>
      </w:r>
    </w:p>
    <w:p w:rsidR="00E15507" w:rsidRPr="005D6CD4" w:rsidRDefault="00E15507" w:rsidP="009546E1">
      <w:pPr>
        <w:pStyle w:val="SingleTxt"/>
        <w:numPr>
          <w:ilvl w:val="2"/>
          <w:numId w:val="15"/>
        </w:numPr>
        <w:tabs>
          <w:tab w:val="clear" w:pos="3427"/>
        </w:tabs>
        <w:ind w:left="1710" w:hanging="450"/>
        <w:rPr>
          <w:lang w:val="fr-FR"/>
        </w:rPr>
      </w:pPr>
      <w:r w:rsidRPr="005D6CD4">
        <w:rPr>
          <w:lang w:val="fr-FR"/>
        </w:rPr>
        <w:t>L</w:t>
      </w:r>
      <w:r>
        <w:rPr>
          <w:lang w:val="fr-FR"/>
        </w:rPr>
        <w:t xml:space="preserve">e réseau intitulé </w:t>
      </w:r>
      <w:r w:rsidRPr="005D6CD4">
        <w:rPr>
          <w:lang w:val="fr-FR"/>
        </w:rPr>
        <w:t>Gender</w:t>
      </w:r>
      <w:r>
        <w:rPr>
          <w:lang w:val="fr-FR"/>
        </w:rPr>
        <w:t xml:space="preserve"> </w:t>
      </w:r>
      <w:r w:rsidRPr="005D6CD4">
        <w:rPr>
          <w:lang w:val="fr-FR"/>
        </w:rPr>
        <w:t>and Constitution Reform Network (GECORN) a présenté un mémorandum à la Conférence nationale sur les réformes politiques et à l</w:t>
      </w:r>
      <w:r w:rsidR="000A3D87">
        <w:rPr>
          <w:lang w:val="fr-FR"/>
        </w:rPr>
        <w:t>’</w:t>
      </w:r>
      <w:r w:rsidRPr="005D6CD4">
        <w:rPr>
          <w:lang w:val="fr-FR"/>
        </w:rPr>
        <w:t>Audience publique nationale sur la réforme constitutionnelle en février 2006, en vue de mettre l</w:t>
      </w:r>
      <w:r w:rsidR="000A3D87">
        <w:rPr>
          <w:lang w:val="fr-FR"/>
        </w:rPr>
        <w:t>’</w:t>
      </w:r>
      <w:r w:rsidRPr="005D6CD4">
        <w:rPr>
          <w:lang w:val="fr-FR"/>
        </w:rPr>
        <w:t xml:space="preserve">accent sur les questions de promotion de </w:t>
      </w:r>
      <w:r>
        <w:rPr>
          <w:lang w:val="fr-FR"/>
        </w:rPr>
        <w:t xml:space="preserve">la </w:t>
      </w:r>
      <w:r w:rsidRPr="005D6CD4">
        <w:rPr>
          <w:lang w:val="fr-FR"/>
        </w:rPr>
        <w:t xml:space="preserve">femme. </w:t>
      </w:r>
    </w:p>
    <w:p w:rsidR="00E15507" w:rsidRPr="005D6CD4" w:rsidRDefault="00E15507" w:rsidP="009546E1">
      <w:pPr>
        <w:pStyle w:val="SingleTxt"/>
        <w:numPr>
          <w:ilvl w:val="2"/>
          <w:numId w:val="15"/>
        </w:numPr>
        <w:tabs>
          <w:tab w:val="clear" w:pos="3427"/>
        </w:tabs>
        <w:ind w:left="1710" w:hanging="450"/>
        <w:rPr>
          <w:lang w:val="fr-FR"/>
        </w:rPr>
      </w:pPr>
      <w:r w:rsidRPr="005D6CD4">
        <w:rPr>
          <w:lang w:val="fr-FR"/>
        </w:rPr>
        <w:t>Entre août 2005 et mai 2006, l</w:t>
      </w:r>
      <w:r>
        <w:rPr>
          <w:lang w:val="fr-FR"/>
        </w:rPr>
        <w:t xml:space="preserve">a </w:t>
      </w:r>
      <w:r w:rsidRPr="005D6CD4">
        <w:rPr>
          <w:lang w:val="fr-FR"/>
        </w:rPr>
        <w:t xml:space="preserve">ministre de la </w:t>
      </w:r>
      <w:r>
        <w:rPr>
          <w:lang w:val="fr-FR"/>
        </w:rPr>
        <w:t>C</w:t>
      </w:r>
      <w:r w:rsidRPr="005D6CD4">
        <w:rPr>
          <w:lang w:val="fr-FR"/>
        </w:rPr>
        <w:t xml:space="preserve">ondition </w:t>
      </w:r>
      <w:r>
        <w:rPr>
          <w:lang w:val="fr-FR"/>
        </w:rPr>
        <w:t>de la femme</w:t>
      </w:r>
      <w:r w:rsidRPr="005D6CD4">
        <w:rPr>
          <w:lang w:val="fr-FR"/>
        </w:rPr>
        <w:t xml:space="preserve"> a entrepris des visites de plaidoyer dans 20 </w:t>
      </w:r>
      <w:r>
        <w:rPr>
          <w:lang w:val="fr-FR"/>
        </w:rPr>
        <w:t>É</w:t>
      </w:r>
      <w:r w:rsidRPr="005D6CD4">
        <w:rPr>
          <w:lang w:val="fr-FR"/>
        </w:rPr>
        <w:t>tats pour rencontrer les gouverneurs, les législateurs et les chefs traditionnels en vue de plaider pour la promotion des femmes et la reconnaissance de</w:t>
      </w:r>
      <w:r>
        <w:rPr>
          <w:lang w:val="fr-FR"/>
        </w:rPr>
        <w:t xml:space="preserve"> leur</w:t>
      </w:r>
      <w:r w:rsidRPr="005D6CD4">
        <w:rPr>
          <w:lang w:val="fr-FR"/>
        </w:rPr>
        <w:t>s droits</w:t>
      </w:r>
      <w:r>
        <w:rPr>
          <w:lang w:val="fr-FR"/>
        </w:rPr>
        <w:t xml:space="preserve">, </w:t>
      </w:r>
      <w:r w:rsidRPr="005D6CD4">
        <w:rPr>
          <w:lang w:val="fr-FR"/>
        </w:rPr>
        <w:t>conformément aux dispositions de la Convention et de la Loi sur les droits de l</w:t>
      </w:r>
      <w:r w:rsidR="000A3D87">
        <w:rPr>
          <w:lang w:val="fr-FR"/>
        </w:rPr>
        <w:t>’</w:t>
      </w:r>
      <w:r w:rsidRPr="005D6CD4">
        <w:rPr>
          <w:lang w:val="fr-FR"/>
        </w:rPr>
        <w:t>enfant, ainsi que</w:t>
      </w:r>
      <w:r>
        <w:rPr>
          <w:lang w:val="fr-FR"/>
        </w:rPr>
        <w:t xml:space="preserve"> pour l</w:t>
      </w:r>
      <w:r w:rsidR="000A3D87">
        <w:rPr>
          <w:lang w:val="fr-FR"/>
        </w:rPr>
        <w:t>’</w:t>
      </w:r>
      <w:r>
        <w:rPr>
          <w:lang w:val="fr-FR"/>
        </w:rPr>
        <w:t xml:space="preserve">augmentation </w:t>
      </w:r>
      <w:r w:rsidRPr="005D6CD4">
        <w:rPr>
          <w:lang w:val="fr-FR"/>
        </w:rPr>
        <w:t>de l</w:t>
      </w:r>
      <w:r w:rsidR="000A3D87">
        <w:rPr>
          <w:lang w:val="fr-FR"/>
        </w:rPr>
        <w:t>’</w:t>
      </w:r>
      <w:r w:rsidRPr="005D6CD4">
        <w:rPr>
          <w:lang w:val="fr-FR"/>
        </w:rPr>
        <w:t>enveloppe budgétaire allouée aux questions féminines.</w:t>
      </w:r>
    </w:p>
    <w:p w:rsidR="00E15507" w:rsidRPr="005D6CD4" w:rsidRDefault="00E15507" w:rsidP="009546E1">
      <w:pPr>
        <w:pStyle w:val="SingleTxt"/>
        <w:numPr>
          <w:ilvl w:val="2"/>
          <w:numId w:val="15"/>
        </w:numPr>
        <w:tabs>
          <w:tab w:val="clear" w:pos="3427"/>
        </w:tabs>
        <w:ind w:left="1710" w:hanging="450"/>
        <w:rPr>
          <w:lang w:val="fr-FR"/>
        </w:rPr>
      </w:pPr>
      <w:r w:rsidRPr="005D6CD4">
        <w:rPr>
          <w:lang w:val="fr-FR"/>
        </w:rPr>
        <w:t xml:space="preserve">Le </w:t>
      </w:r>
      <w:r>
        <w:rPr>
          <w:lang w:val="fr-FR"/>
        </w:rPr>
        <w:t>m</w:t>
      </w:r>
      <w:r w:rsidRPr="005D6CD4">
        <w:rPr>
          <w:lang w:val="fr-FR"/>
        </w:rPr>
        <w:t xml:space="preserve">inistère fédéral de la </w:t>
      </w:r>
      <w:r>
        <w:rPr>
          <w:lang w:val="fr-FR"/>
        </w:rPr>
        <w:t>C</w:t>
      </w:r>
      <w:r w:rsidRPr="005D6CD4">
        <w:rPr>
          <w:lang w:val="fr-FR"/>
        </w:rPr>
        <w:t xml:space="preserve">ondition </w:t>
      </w:r>
      <w:r>
        <w:rPr>
          <w:lang w:val="fr-FR"/>
        </w:rPr>
        <w:t>de la femme</w:t>
      </w:r>
      <w:r w:rsidRPr="005D6CD4">
        <w:rPr>
          <w:lang w:val="fr-FR"/>
        </w:rPr>
        <w:t xml:space="preserve">, en partenariat avec le </w:t>
      </w:r>
      <w:r>
        <w:rPr>
          <w:lang w:val="fr-FR"/>
        </w:rPr>
        <w:t>m</w:t>
      </w:r>
      <w:r w:rsidRPr="005D6CD4">
        <w:rPr>
          <w:lang w:val="fr-FR"/>
        </w:rPr>
        <w:t>inistère fédéral de l</w:t>
      </w:r>
      <w:r w:rsidR="000A3D87">
        <w:rPr>
          <w:lang w:val="fr-FR"/>
        </w:rPr>
        <w:t>’</w:t>
      </w:r>
      <w:r>
        <w:rPr>
          <w:lang w:val="fr-FR"/>
        </w:rPr>
        <w:t>I</w:t>
      </w:r>
      <w:r w:rsidRPr="005D6CD4">
        <w:rPr>
          <w:lang w:val="fr-FR"/>
        </w:rPr>
        <w:t>nformation et de l</w:t>
      </w:r>
      <w:r w:rsidR="000A3D87">
        <w:rPr>
          <w:lang w:val="fr-FR"/>
        </w:rPr>
        <w:t>’</w:t>
      </w:r>
      <w:r>
        <w:rPr>
          <w:lang w:val="fr-FR"/>
        </w:rPr>
        <w:t>O</w:t>
      </w:r>
      <w:r w:rsidRPr="005D6CD4">
        <w:rPr>
          <w:lang w:val="fr-FR"/>
        </w:rPr>
        <w:t>rientation nationale, la presse écrite et la presse électronique, ainsi que l</w:t>
      </w:r>
      <w:r w:rsidR="000A3D87">
        <w:rPr>
          <w:lang w:val="fr-FR"/>
        </w:rPr>
        <w:t>’</w:t>
      </w:r>
      <w:r w:rsidRPr="005D6CD4">
        <w:rPr>
          <w:lang w:val="fr-FR"/>
        </w:rPr>
        <w:t>industrie du cinéma a produit et diffusé des programmes destinés à l</w:t>
      </w:r>
      <w:r w:rsidR="000A3D87">
        <w:rPr>
          <w:lang w:val="fr-FR"/>
        </w:rPr>
        <w:t>’</w:t>
      </w:r>
      <w:r w:rsidRPr="005D6CD4">
        <w:rPr>
          <w:lang w:val="fr-FR"/>
        </w:rPr>
        <w:t>élimination des stéréotypes sexuels et à la promotion de l</w:t>
      </w:r>
      <w:r>
        <w:rPr>
          <w:lang w:val="fr-FR"/>
        </w:rPr>
        <w:t xml:space="preserve">a </w:t>
      </w:r>
      <w:r w:rsidRPr="005D6CD4">
        <w:rPr>
          <w:lang w:val="fr-FR"/>
        </w:rPr>
        <w:t>femme.</w:t>
      </w:r>
    </w:p>
    <w:p w:rsidR="00E15507" w:rsidRPr="005D6CD4" w:rsidRDefault="00E15507" w:rsidP="009546E1">
      <w:pPr>
        <w:pStyle w:val="SingleTxt"/>
        <w:numPr>
          <w:ilvl w:val="2"/>
          <w:numId w:val="15"/>
        </w:numPr>
        <w:tabs>
          <w:tab w:val="clear" w:pos="3427"/>
        </w:tabs>
        <w:ind w:left="1710" w:hanging="450"/>
        <w:rPr>
          <w:lang w:val="fr-FR"/>
        </w:rPr>
      </w:pPr>
      <w:r w:rsidRPr="005D6CD4">
        <w:rPr>
          <w:lang w:val="fr-FR"/>
        </w:rPr>
        <w:t>Les réponses aux questionnaires administrés par l</w:t>
      </w:r>
      <w:r>
        <w:rPr>
          <w:lang w:val="fr-FR"/>
        </w:rPr>
        <w:t xml:space="preserve">e ministère fédéral de la Condition de la femme </w:t>
      </w:r>
      <w:r w:rsidRPr="005D6CD4">
        <w:rPr>
          <w:lang w:val="fr-FR"/>
        </w:rPr>
        <w:t xml:space="preserve">en vue de la rédaction du sixième rapport périodique indiquent que les femmes commencent à entrer dans les professions qui étaient jadis considérées comme des professions masculines telles que </w:t>
      </w:r>
      <w:r>
        <w:rPr>
          <w:lang w:val="fr-FR"/>
        </w:rPr>
        <w:t xml:space="preserve">celles de </w:t>
      </w:r>
      <w:r w:rsidRPr="005D6CD4">
        <w:rPr>
          <w:lang w:val="fr-FR"/>
        </w:rPr>
        <w:t xml:space="preserve">mécanicien automobile, </w:t>
      </w:r>
      <w:r>
        <w:rPr>
          <w:lang w:val="fr-FR"/>
        </w:rPr>
        <w:t xml:space="preserve">de </w:t>
      </w:r>
      <w:r w:rsidRPr="005D6CD4">
        <w:rPr>
          <w:lang w:val="fr-FR"/>
        </w:rPr>
        <w:t xml:space="preserve">soudeur, </w:t>
      </w:r>
      <w:r>
        <w:rPr>
          <w:lang w:val="fr-FR"/>
        </w:rPr>
        <w:t xml:space="preserve">de </w:t>
      </w:r>
      <w:r w:rsidRPr="005D6CD4">
        <w:rPr>
          <w:lang w:val="fr-FR"/>
        </w:rPr>
        <w:t>chauffeur commercia</w:t>
      </w:r>
      <w:r>
        <w:rPr>
          <w:lang w:val="fr-FR"/>
        </w:rPr>
        <w:t>l</w:t>
      </w:r>
      <w:r w:rsidRPr="005D6CD4">
        <w:rPr>
          <w:lang w:val="fr-FR"/>
        </w:rPr>
        <w:t xml:space="preserve"> et </w:t>
      </w:r>
      <w:r>
        <w:rPr>
          <w:lang w:val="fr-FR"/>
        </w:rPr>
        <w:t xml:space="preserve">de </w:t>
      </w:r>
      <w:r w:rsidRPr="005D6CD4">
        <w:rPr>
          <w:lang w:val="fr-FR"/>
        </w:rPr>
        <w:t>motocycliste.</w:t>
      </w:r>
    </w:p>
    <w:p w:rsidR="00E15507" w:rsidRDefault="00F812B7" w:rsidP="00F812B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E15507">
        <w:rPr>
          <w:lang w:val="fr-FR"/>
        </w:rPr>
        <w:t>Article 6</w:t>
      </w:r>
      <w:r w:rsidR="0061676D">
        <w:rPr>
          <w:lang w:val="fr-FR"/>
        </w:rPr>
        <w:br/>
      </w:r>
      <w:r w:rsidR="00E15507">
        <w:rPr>
          <w:lang w:val="fr-FR"/>
        </w:rPr>
        <w:t>Traite de femmes et exploitation à des fins de prostitution</w:t>
      </w:r>
    </w:p>
    <w:p w:rsidR="00F812B7" w:rsidRPr="00F812B7" w:rsidRDefault="00F812B7" w:rsidP="00F812B7">
      <w:pPr>
        <w:pStyle w:val="SingleTxt"/>
        <w:spacing w:after="0" w:line="120" w:lineRule="exact"/>
        <w:rPr>
          <w:sz w:val="10"/>
          <w:lang w:val="fr-FR"/>
        </w:rPr>
      </w:pPr>
    </w:p>
    <w:p w:rsidR="00E15507" w:rsidRDefault="00F812B7" w:rsidP="00F812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E15507" w:rsidRPr="005D6CD4">
        <w:rPr>
          <w:lang w:val="fr-FR"/>
        </w:rPr>
        <w:t xml:space="preserve">6.1 </w:t>
      </w:r>
      <w:r w:rsidR="00E15507" w:rsidRPr="005D6CD4">
        <w:rPr>
          <w:lang w:val="fr-FR"/>
        </w:rPr>
        <w:tab/>
        <w:t>Mesures d</w:t>
      </w:r>
      <w:r w:rsidR="000A3D87">
        <w:rPr>
          <w:lang w:val="fr-FR"/>
        </w:rPr>
        <w:t>’</w:t>
      </w:r>
      <w:r w:rsidR="00E15507" w:rsidRPr="005D6CD4">
        <w:rPr>
          <w:lang w:val="fr-FR"/>
        </w:rPr>
        <w:t xml:space="preserve">ordre juridique </w:t>
      </w:r>
    </w:p>
    <w:p w:rsidR="00F812B7" w:rsidRPr="00F812B7" w:rsidRDefault="00F812B7" w:rsidP="00F812B7">
      <w:pPr>
        <w:pStyle w:val="SingleTxt"/>
        <w:spacing w:after="0" w:line="120" w:lineRule="exact"/>
        <w:rPr>
          <w:sz w:val="10"/>
          <w:lang w:val="fr-FR"/>
        </w:rPr>
      </w:pPr>
    </w:p>
    <w:p w:rsidR="00E15507" w:rsidRDefault="00F812B7" w:rsidP="00740CA4">
      <w:pPr>
        <w:pStyle w:val="SingleTxt"/>
        <w:rPr>
          <w:lang w:val="fr-FR"/>
        </w:rPr>
      </w:pPr>
      <w:r>
        <w:rPr>
          <w:lang w:val="fr-FR"/>
        </w:rPr>
        <w:tab/>
      </w:r>
      <w:r w:rsidR="00E15507" w:rsidRPr="005D6CD4">
        <w:rPr>
          <w:lang w:val="fr-FR"/>
        </w:rPr>
        <w:t>Selon les dispositions de l</w:t>
      </w:r>
      <w:r w:rsidR="000A3D87">
        <w:rPr>
          <w:lang w:val="fr-FR"/>
        </w:rPr>
        <w:t>’</w:t>
      </w:r>
      <w:r w:rsidR="00E15507" w:rsidRPr="005D6CD4">
        <w:rPr>
          <w:lang w:val="fr-FR"/>
        </w:rPr>
        <w:t>article 6</w:t>
      </w:r>
      <w:r w:rsidR="00E15507">
        <w:rPr>
          <w:lang w:val="fr-FR"/>
        </w:rPr>
        <w:t xml:space="preserve"> de la Convention</w:t>
      </w:r>
      <w:r w:rsidR="00E15507" w:rsidRPr="005D6CD4">
        <w:rPr>
          <w:lang w:val="fr-FR"/>
        </w:rPr>
        <w:t xml:space="preserve">, les </w:t>
      </w:r>
      <w:r w:rsidR="00E15507">
        <w:rPr>
          <w:lang w:val="fr-FR"/>
        </w:rPr>
        <w:t>É</w:t>
      </w:r>
      <w:r w:rsidR="00E15507" w:rsidRPr="005D6CD4">
        <w:rPr>
          <w:lang w:val="fr-FR"/>
        </w:rPr>
        <w:t>tats parties doivent prendre les mesures appropriées, notamment l</w:t>
      </w:r>
      <w:r w:rsidR="000A3D87">
        <w:rPr>
          <w:lang w:val="fr-FR"/>
        </w:rPr>
        <w:t>’</w:t>
      </w:r>
      <w:r w:rsidR="00E15507" w:rsidRPr="005D6CD4">
        <w:rPr>
          <w:lang w:val="fr-FR"/>
        </w:rPr>
        <w:t>adoption de lois, en vue de la suppression de toutes les formes de tra</w:t>
      </w:r>
      <w:r w:rsidR="00E15507">
        <w:rPr>
          <w:lang w:val="fr-FR"/>
        </w:rPr>
        <w:t xml:space="preserve">ite </w:t>
      </w:r>
      <w:r w:rsidR="00E15507" w:rsidRPr="005D6CD4">
        <w:rPr>
          <w:lang w:val="fr-FR"/>
        </w:rPr>
        <w:t>et d</w:t>
      </w:r>
      <w:r w:rsidR="000A3D87">
        <w:rPr>
          <w:lang w:val="fr-FR"/>
        </w:rPr>
        <w:t>’</w:t>
      </w:r>
      <w:r w:rsidR="00E15507" w:rsidRPr="005D6CD4">
        <w:rPr>
          <w:lang w:val="fr-FR"/>
        </w:rPr>
        <w:t>exploitation de la prostitution des femmes. L</w:t>
      </w:r>
      <w:r w:rsidR="000A3D87">
        <w:rPr>
          <w:lang w:val="fr-FR"/>
        </w:rPr>
        <w:t>’</w:t>
      </w:r>
      <w:r w:rsidR="00E15507" w:rsidRPr="005D6CD4">
        <w:rPr>
          <w:lang w:val="fr-FR"/>
        </w:rPr>
        <w:t>article 4 de la Constitution de 1999 dispose clairement que tout citoyen nigérian a droit au respect de sa dignité et interdit la torture ou les traitements inhumains ou dégradants, l</w:t>
      </w:r>
      <w:r w:rsidR="000A3D87">
        <w:rPr>
          <w:lang w:val="fr-FR"/>
        </w:rPr>
        <w:t>’</w:t>
      </w:r>
      <w:r w:rsidR="00E15507" w:rsidRPr="005D6CD4">
        <w:rPr>
          <w:lang w:val="fr-FR"/>
        </w:rPr>
        <w:t>esclavage ou la servitude. Les articles 223 à 225 d</w:t>
      </w:r>
      <w:r w:rsidR="00E15507">
        <w:rPr>
          <w:lang w:val="fr-FR"/>
        </w:rPr>
        <w:t>u C</w:t>
      </w:r>
      <w:r w:rsidR="00E15507" w:rsidRPr="005D6CD4">
        <w:rPr>
          <w:lang w:val="fr-FR"/>
        </w:rPr>
        <w:t xml:space="preserve">ode </w:t>
      </w:r>
      <w:r w:rsidR="00E15507">
        <w:rPr>
          <w:lang w:val="fr-FR"/>
        </w:rPr>
        <w:t>d</w:t>
      </w:r>
      <w:r w:rsidR="000A3D87">
        <w:rPr>
          <w:lang w:val="fr-FR"/>
        </w:rPr>
        <w:t>’</w:t>
      </w:r>
      <w:r w:rsidR="00E15507">
        <w:rPr>
          <w:lang w:val="fr-FR"/>
        </w:rPr>
        <w:t xml:space="preserve">instruction criminelle </w:t>
      </w:r>
      <w:r w:rsidR="00E15507" w:rsidRPr="005D6CD4">
        <w:rPr>
          <w:lang w:val="fr-FR"/>
        </w:rPr>
        <w:t>en vigueur dans Sud du Nigéria interdi</w:t>
      </w:r>
      <w:r w:rsidR="00E15507">
        <w:rPr>
          <w:lang w:val="fr-FR"/>
        </w:rPr>
        <w:t>sent</w:t>
      </w:r>
      <w:r w:rsidR="00E15507" w:rsidRPr="005D6CD4">
        <w:rPr>
          <w:lang w:val="fr-FR"/>
        </w:rPr>
        <w:t xml:space="preserve"> l</w:t>
      </w:r>
      <w:r w:rsidR="00E15507">
        <w:rPr>
          <w:lang w:val="fr-FR"/>
        </w:rPr>
        <w:t xml:space="preserve">a traite </w:t>
      </w:r>
      <w:r w:rsidR="00E15507" w:rsidRPr="005D6CD4">
        <w:rPr>
          <w:lang w:val="fr-FR"/>
        </w:rPr>
        <w:t>des êtres humains. L</w:t>
      </w:r>
      <w:r w:rsidR="00E15507">
        <w:rPr>
          <w:lang w:val="fr-FR"/>
        </w:rPr>
        <w:t>e C</w:t>
      </w:r>
      <w:r w:rsidR="00E15507" w:rsidRPr="005D6CD4">
        <w:rPr>
          <w:lang w:val="fr-FR"/>
        </w:rPr>
        <w:t>ode pénal en vigueur dans le Nord du Nigéria comporte également des dispositions qui interdisent ce</w:t>
      </w:r>
      <w:r w:rsidR="00E15507">
        <w:rPr>
          <w:lang w:val="fr-FR"/>
        </w:rPr>
        <w:t>tte traite</w:t>
      </w:r>
      <w:r w:rsidR="00E15507" w:rsidRPr="005D6CD4">
        <w:rPr>
          <w:lang w:val="fr-FR"/>
        </w:rPr>
        <w:t xml:space="preserve">. </w:t>
      </w:r>
      <w:r w:rsidR="00E15507">
        <w:rPr>
          <w:lang w:val="fr-FR"/>
        </w:rPr>
        <w:t xml:space="preserve">Un pas décisif dans ce domaine est la promulgation du </w:t>
      </w:r>
      <w:r w:rsidR="00E15507">
        <w:rPr>
          <w:b/>
          <w:lang w:val="fr-FR"/>
        </w:rPr>
        <w:t>Texte</w:t>
      </w:r>
      <w:r w:rsidR="00E15507" w:rsidRPr="005263DE">
        <w:rPr>
          <w:b/>
          <w:lang w:val="fr-FR"/>
        </w:rPr>
        <w:t xml:space="preserve"> d</w:t>
      </w:r>
      <w:r w:rsidR="000A3D87">
        <w:rPr>
          <w:b/>
          <w:lang w:val="fr-FR"/>
        </w:rPr>
        <w:t>’</w:t>
      </w:r>
      <w:r w:rsidR="00E15507" w:rsidRPr="005263DE">
        <w:rPr>
          <w:b/>
          <w:lang w:val="fr-FR"/>
        </w:rPr>
        <w:t xml:space="preserve">application </w:t>
      </w:r>
      <w:r w:rsidR="00E15507">
        <w:rPr>
          <w:b/>
          <w:lang w:val="fr-FR"/>
        </w:rPr>
        <w:t xml:space="preserve">et </w:t>
      </w:r>
      <w:r w:rsidR="00E15507" w:rsidRPr="005263DE">
        <w:rPr>
          <w:b/>
          <w:lang w:val="fr-FR"/>
        </w:rPr>
        <w:t>d</w:t>
      </w:r>
      <w:r w:rsidR="000A3D87">
        <w:rPr>
          <w:b/>
          <w:lang w:val="fr-FR"/>
        </w:rPr>
        <w:t>’</w:t>
      </w:r>
      <w:r w:rsidR="00E15507" w:rsidRPr="005263DE">
        <w:rPr>
          <w:b/>
          <w:lang w:val="fr-FR"/>
        </w:rPr>
        <w:t>administration de la</w:t>
      </w:r>
      <w:r w:rsidR="00E15507">
        <w:rPr>
          <w:lang w:val="fr-FR"/>
        </w:rPr>
        <w:t xml:space="preserve"> </w:t>
      </w:r>
      <w:r w:rsidR="00E15507" w:rsidRPr="005263DE">
        <w:rPr>
          <w:b/>
          <w:lang w:val="fr-FR"/>
        </w:rPr>
        <w:t xml:space="preserve">Loi de 2003 sur </w:t>
      </w:r>
      <w:r w:rsidR="00E15507">
        <w:rPr>
          <w:b/>
          <w:lang w:val="fr-FR"/>
        </w:rPr>
        <w:t>(l</w:t>
      </w:r>
      <w:r w:rsidR="000A3D87">
        <w:rPr>
          <w:b/>
          <w:lang w:val="fr-FR"/>
        </w:rPr>
        <w:t>’</w:t>
      </w:r>
      <w:r w:rsidR="00E15507">
        <w:rPr>
          <w:b/>
          <w:lang w:val="fr-FR"/>
        </w:rPr>
        <w:t xml:space="preserve">interdiction de) </w:t>
      </w:r>
      <w:r w:rsidR="00E15507" w:rsidRPr="005263DE">
        <w:rPr>
          <w:b/>
          <w:lang w:val="fr-FR"/>
        </w:rPr>
        <w:t>la</w:t>
      </w:r>
      <w:r w:rsidR="00E15507">
        <w:rPr>
          <w:b/>
          <w:lang w:val="fr-FR"/>
        </w:rPr>
        <w:t xml:space="preserve"> traite des personnes</w:t>
      </w:r>
      <w:r w:rsidR="00E15507" w:rsidRPr="005263DE">
        <w:rPr>
          <w:b/>
          <w:lang w:val="fr-FR"/>
        </w:rPr>
        <w:t>.</w:t>
      </w:r>
      <w:r w:rsidR="00E15507" w:rsidRPr="005D6CD4">
        <w:rPr>
          <w:b/>
          <w:lang w:val="fr-FR"/>
        </w:rPr>
        <w:t xml:space="preserve"> </w:t>
      </w:r>
      <w:r w:rsidR="00E15507" w:rsidRPr="005D6CD4">
        <w:rPr>
          <w:lang w:val="fr-FR"/>
        </w:rPr>
        <w:t xml:space="preserve">Dans le même objectif, plusieurs </w:t>
      </w:r>
      <w:r w:rsidR="00E15507">
        <w:rPr>
          <w:lang w:val="fr-FR"/>
        </w:rPr>
        <w:t>É</w:t>
      </w:r>
      <w:r w:rsidR="00E15507" w:rsidRPr="005D6CD4">
        <w:rPr>
          <w:lang w:val="fr-FR"/>
        </w:rPr>
        <w:t>tats dont Edo, Cross River et Imo ont adopté des lois pour prévenir et punir les cas de</w:t>
      </w:r>
      <w:r w:rsidR="00E15507">
        <w:rPr>
          <w:lang w:val="fr-FR"/>
        </w:rPr>
        <w:t xml:space="preserve"> traite des </w:t>
      </w:r>
      <w:r w:rsidR="00E15507" w:rsidRPr="005D6CD4">
        <w:rPr>
          <w:lang w:val="fr-FR"/>
        </w:rPr>
        <w:t>enfants.</w:t>
      </w:r>
    </w:p>
    <w:p w:rsidR="00F812B7" w:rsidRPr="00F812B7" w:rsidRDefault="00F812B7" w:rsidP="00F812B7">
      <w:pPr>
        <w:pStyle w:val="SingleTxt"/>
        <w:spacing w:after="0" w:line="120" w:lineRule="exact"/>
        <w:rPr>
          <w:sz w:val="10"/>
          <w:lang w:val="fr-FR"/>
        </w:rPr>
      </w:pPr>
    </w:p>
    <w:p w:rsidR="00E15507" w:rsidRDefault="00F812B7" w:rsidP="00F812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6.2</w:t>
      </w:r>
      <w:r>
        <w:rPr>
          <w:lang w:val="fr-FR"/>
        </w:rPr>
        <w:tab/>
      </w:r>
      <w:r w:rsidR="00E15507" w:rsidRPr="005D6CD4">
        <w:rPr>
          <w:lang w:val="fr-FR"/>
        </w:rPr>
        <w:t xml:space="preserve">Mesures administratives </w:t>
      </w:r>
    </w:p>
    <w:p w:rsidR="00F812B7" w:rsidRPr="00F812B7" w:rsidRDefault="00F812B7" w:rsidP="00F812B7">
      <w:pPr>
        <w:pStyle w:val="SingleTxt"/>
        <w:spacing w:after="0" w:line="120" w:lineRule="exact"/>
        <w:rPr>
          <w:sz w:val="10"/>
          <w:lang w:val="fr-FR"/>
        </w:rPr>
      </w:pPr>
    </w:p>
    <w:p w:rsidR="00C46625" w:rsidRDefault="00F812B7" w:rsidP="00740CA4">
      <w:pPr>
        <w:pStyle w:val="SingleTxt"/>
        <w:rPr>
          <w:lang w:val="fr-FR"/>
        </w:rPr>
      </w:pPr>
      <w:r>
        <w:rPr>
          <w:lang w:val="fr-FR"/>
        </w:rPr>
        <w:tab/>
      </w:r>
      <w:r w:rsidR="00E15507">
        <w:rPr>
          <w:lang w:val="fr-FR"/>
        </w:rPr>
        <w:t xml:space="preserve">Le Nigéria a </w:t>
      </w:r>
      <w:r w:rsidR="00E15507" w:rsidRPr="005D6CD4">
        <w:rPr>
          <w:lang w:val="fr-FR"/>
        </w:rPr>
        <w:t>un Bureau de l</w:t>
      </w:r>
      <w:r w:rsidR="000A3D87">
        <w:rPr>
          <w:lang w:val="fr-FR"/>
        </w:rPr>
        <w:t>’</w:t>
      </w:r>
      <w:r w:rsidR="00E15507" w:rsidRPr="005D6CD4">
        <w:rPr>
          <w:lang w:val="fr-FR"/>
        </w:rPr>
        <w:t xml:space="preserve">Assistant spécial du Président de la République sur </w:t>
      </w:r>
      <w:r w:rsidR="00E15507">
        <w:rPr>
          <w:lang w:val="fr-FR"/>
        </w:rPr>
        <w:t xml:space="preserve">la traite </w:t>
      </w:r>
      <w:r w:rsidR="00E15507" w:rsidRPr="005D6CD4">
        <w:rPr>
          <w:lang w:val="fr-FR"/>
        </w:rPr>
        <w:t>des êtres humains et le travail des enfants qui appuie l</w:t>
      </w:r>
      <w:r w:rsidR="00E15507">
        <w:rPr>
          <w:lang w:val="fr-FR"/>
        </w:rPr>
        <w:t xml:space="preserve">a NAPTIP </w:t>
      </w:r>
      <w:r w:rsidR="00E15507" w:rsidRPr="005D6CD4">
        <w:rPr>
          <w:lang w:val="fr-FR"/>
        </w:rPr>
        <w:t>dans l</w:t>
      </w:r>
      <w:r w:rsidR="000A3D87">
        <w:rPr>
          <w:lang w:val="fr-FR"/>
        </w:rPr>
        <w:t>’</w:t>
      </w:r>
      <w:r w:rsidR="00E15507" w:rsidRPr="005D6CD4">
        <w:rPr>
          <w:lang w:val="fr-FR"/>
        </w:rPr>
        <w:t xml:space="preserve">exécution de ses missions. Les succès palpables </w:t>
      </w:r>
      <w:r w:rsidR="00E15507">
        <w:rPr>
          <w:lang w:val="fr-FR"/>
        </w:rPr>
        <w:t xml:space="preserve">enregistrés dans la lutte contre la traite </w:t>
      </w:r>
      <w:r w:rsidR="00E15507" w:rsidRPr="005D6CD4">
        <w:rPr>
          <w:lang w:val="fr-FR"/>
        </w:rPr>
        <w:t>des êtres humains indiquent qu</w:t>
      </w:r>
      <w:r w:rsidR="000A3D87">
        <w:rPr>
          <w:lang w:val="fr-FR"/>
        </w:rPr>
        <w:t>’</w:t>
      </w:r>
      <w:r w:rsidR="00E15507" w:rsidRPr="005D6CD4">
        <w:rPr>
          <w:lang w:val="fr-FR"/>
        </w:rPr>
        <w:t>environ 24</w:t>
      </w:r>
      <w:r w:rsidR="00E15507">
        <w:rPr>
          <w:lang w:val="fr-FR"/>
        </w:rPr>
        <w:t> </w:t>
      </w:r>
      <w:r w:rsidR="00E15507" w:rsidRPr="005D6CD4">
        <w:rPr>
          <w:lang w:val="fr-FR"/>
        </w:rPr>
        <w:t xml:space="preserve">000 exemplaires de </w:t>
      </w:r>
      <w:r w:rsidR="00E15507" w:rsidRPr="005D6CD4">
        <w:rPr>
          <w:b/>
          <w:lang w:val="fr-FR"/>
        </w:rPr>
        <w:t>la</w:t>
      </w:r>
      <w:r w:rsidR="00E15507" w:rsidRPr="005D6CD4">
        <w:rPr>
          <w:lang w:val="fr-FR"/>
        </w:rPr>
        <w:t xml:space="preserve"> </w:t>
      </w:r>
      <w:r w:rsidR="00E15507" w:rsidRPr="005D6CD4">
        <w:rPr>
          <w:b/>
          <w:lang w:val="fr-FR"/>
        </w:rPr>
        <w:t>Loi</w:t>
      </w:r>
      <w:r w:rsidR="00E15507" w:rsidRPr="005D6CD4">
        <w:rPr>
          <w:lang w:val="fr-FR"/>
        </w:rPr>
        <w:t xml:space="preserve"> ont </w:t>
      </w:r>
      <w:r w:rsidR="00E15507">
        <w:rPr>
          <w:lang w:val="fr-FR"/>
        </w:rPr>
        <w:t xml:space="preserve">été </w:t>
      </w:r>
      <w:r w:rsidR="00E15507" w:rsidRPr="005D6CD4">
        <w:rPr>
          <w:lang w:val="fr-FR"/>
        </w:rPr>
        <w:t>jusqu</w:t>
      </w:r>
      <w:r w:rsidR="000A3D87">
        <w:rPr>
          <w:lang w:val="fr-FR"/>
        </w:rPr>
        <w:t>’</w:t>
      </w:r>
      <w:r w:rsidR="00E15507">
        <w:rPr>
          <w:lang w:val="fr-FR"/>
        </w:rPr>
        <w:t xml:space="preserve">ici </w:t>
      </w:r>
      <w:r w:rsidR="00E15507" w:rsidRPr="005D6CD4">
        <w:rPr>
          <w:lang w:val="fr-FR"/>
        </w:rPr>
        <w:t>distribués en vue d</w:t>
      </w:r>
      <w:r w:rsidR="000A3D87">
        <w:rPr>
          <w:lang w:val="fr-FR"/>
        </w:rPr>
        <w:t>’</w:t>
      </w:r>
      <w:r w:rsidR="00E15507" w:rsidRPr="005D6CD4">
        <w:rPr>
          <w:lang w:val="fr-FR"/>
        </w:rPr>
        <w:t>éduquer, sensibiliser, et informer les populations sur le grave problème d</w:t>
      </w:r>
      <w:r w:rsidR="00E15507">
        <w:rPr>
          <w:lang w:val="fr-FR"/>
        </w:rPr>
        <w:t xml:space="preserve">e la traite des </w:t>
      </w:r>
      <w:r w:rsidR="00E15507" w:rsidRPr="005D6CD4">
        <w:rPr>
          <w:lang w:val="fr-FR"/>
        </w:rPr>
        <w:t>enfants.</w:t>
      </w:r>
      <w:r w:rsidR="00E15507">
        <w:rPr>
          <w:lang w:val="fr-FR"/>
        </w:rPr>
        <w:t xml:space="preserve"> </w:t>
      </w:r>
      <w:r w:rsidR="00E15507" w:rsidRPr="005D6CD4">
        <w:rPr>
          <w:lang w:val="fr-FR"/>
        </w:rPr>
        <w:t xml:space="preserve">En outre, la police est habilitée non seulement à fouiller et inspecter les véhicules et les domiciles, mais également </w:t>
      </w:r>
      <w:r w:rsidR="00E15507">
        <w:rPr>
          <w:lang w:val="fr-FR"/>
        </w:rPr>
        <w:t xml:space="preserve">à </w:t>
      </w:r>
      <w:r w:rsidR="00E15507" w:rsidRPr="005D6CD4">
        <w:rPr>
          <w:lang w:val="fr-FR"/>
        </w:rPr>
        <w:t>arrêter toute personne qu</w:t>
      </w:r>
      <w:r w:rsidR="000A3D87">
        <w:rPr>
          <w:lang w:val="fr-FR"/>
        </w:rPr>
        <w:t>’</w:t>
      </w:r>
      <w:r w:rsidR="00E15507" w:rsidRPr="005D6CD4">
        <w:rPr>
          <w:lang w:val="fr-FR"/>
        </w:rPr>
        <w:t xml:space="preserve">elle suspecte </w:t>
      </w:r>
      <w:r w:rsidR="00E15507">
        <w:rPr>
          <w:lang w:val="fr-FR"/>
        </w:rPr>
        <w:t>d</w:t>
      </w:r>
      <w:r w:rsidR="000A3D87">
        <w:rPr>
          <w:lang w:val="fr-FR"/>
        </w:rPr>
        <w:t>’</w:t>
      </w:r>
      <w:r w:rsidR="00E15507" w:rsidRPr="005D6CD4">
        <w:rPr>
          <w:lang w:val="fr-FR"/>
        </w:rPr>
        <w:t>être impliquée dans ce</w:t>
      </w:r>
      <w:r w:rsidR="00E15507">
        <w:rPr>
          <w:lang w:val="fr-FR"/>
        </w:rPr>
        <w:t>tte activité</w:t>
      </w:r>
      <w:r w:rsidR="00E15507" w:rsidRPr="005D6CD4">
        <w:rPr>
          <w:lang w:val="fr-FR"/>
        </w:rPr>
        <w:t xml:space="preserve">. </w:t>
      </w:r>
    </w:p>
    <w:p w:rsidR="00E15507" w:rsidRDefault="00C46625" w:rsidP="00C466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br w:type="page"/>
      </w:r>
      <w:r w:rsidR="00F812B7">
        <w:rPr>
          <w:lang w:val="fr-FR"/>
        </w:rPr>
        <w:tab/>
        <w:t>6.3</w:t>
      </w:r>
      <w:r w:rsidR="00F812B7">
        <w:rPr>
          <w:lang w:val="fr-FR"/>
        </w:rPr>
        <w:tab/>
      </w:r>
      <w:r w:rsidR="00E15507" w:rsidRPr="005D6CD4">
        <w:rPr>
          <w:lang w:val="fr-FR"/>
        </w:rPr>
        <w:t>Les progrès accomplis</w:t>
      </w:r>
    </w:p>
    <w:p w:rsidR="00F812B7" w:rsidRPr="00F812B7" w:rsidRDefault="00F812B7" w:rsidP="00F812B7">
      <w:pPr>
        <w:pStyle w:val="SingleTxt"/>
        <w:spacing w:after="0" w:line="120" w:lineRule="exact"/>
        <w:rPr>
          <w:sz w:val="10"/>
          <w:lang w:val="fr-FR"/>
        </w:rPr>
      </w:pPr>
    </w:p>
    <w:p w:rsidR="00E15507" w:rsidRPr="005D6CD4" w:rsidRDefault="00F812B7" w:rsidP="00740CA4">
      <w:pPr>
        <w:pStyle w:val="SingleTxt"/>
        <w:rPr>
          <w:color w:val="000000"/>
          <w:lang w:val="fr-FR"/>
        </w:rPr>
      </w:pPr>
      <w:r>
        <w:rPr>
          <w:lang w:val="fr-FR"/>
        </w:rPr>
        <w:tab/>
      </w:r>
      <w:r w:rsidR="00E15507" w:rsidRPr="005D6CD4">
        <w:rPr>
          <w:lang w:val="fr-FR"/>
        </w:rPr>
        <w:t>Le Nigéria a conclu</w:t>
      </w:r>
      <w:r w:rsidR="00E15507">
        <w:rPr>
          <w:lang w:val="fr-FR"/>
        </w:rPr>
        <w:t>,</w:t>
      </w:r>
      <w:r w:rsidR="00E15507" w:rsidRPr="005D6CD4">
        <w:rPr>
          <w:lang w:val="fr-FR"/>
        </w:rPr>
        <w:t xml:space="preserve"> avec certains pays</w:t>
      </w:r>
      <w:r w:rsidR="00E15507">
        <w:rPr>
          <w:lang w:val="fr-FR"/>
        </w:rPr>
        <w:t>,</w:t>
      </w:r>
      <w:r w:rsidR="00E15507" w:rsidRPr="005D6CD4">
        <w:rPr>
          <w:lang w:val="fr-FR"/>
        </w:rPr>
        <w:t xml:space="preserve"> un </w:t>
      </w:r>
      <w:r w:rsidR="00E15507">
        <w:rPr>
          <w:lang w:val="fr-FR"/>
        </w:rPr>
        <w:t>certain nombre d</w:t>
      </w:r>
      <w:r w:rsidR="000A3D87">
        <w:rPr>
          <w:lang w:val="fr-FR"/>
        </w:rPr>
        <w:t>’</w:t>
      </w:r>
      <w:r w:rsidR="00E15507" w:rsidRPr="005D6CD4">
        <w:rPr>
          <w:lang w:val="fr-FR"/>
        </w:rPr>
        <w:t>accords bilatéraux sur l</w:t>
      </w:r>
      <w:r w:rsidR="00E15507">
        <w:rPr>
          <w:lang w:val="fr-FR"/>
        </w:rPr>
        <w:t xml:space="preserve">a traite </w:t>
      </w:r>
      <w:r w:rsidR="00E15507" w:rsidRPr="005D6CD4">
        <w:rPr>
          <w:lang w:val="fr-FR"/>
        </w:rPr>
        <w:t xml:space="preserve">des êtres humains. Il a également ratifié et intégré la Convention des Nations Unies contre la criminalité transnationale organisée (ou Convention de Palerme) </w:t>
      </w:r>
      <w:r w:rsidR="00E15507">
        <w:rPr>
          <w:lang w:val="fr-FR"/>
        </w:rPr>
        <w:t>à</w:t>
      </w:r>
      <w:r w:rsidR="00E15507" w:rsidRPr="005D6CD4">
        <w:rPr>
          <w:lang w:val="fr-FR"/>
        </w:rPr>
        <w:t xml:space="preserve"> sa législation, ainsi que ses protocoles pour la prévention, la suppression et la répression d</w:t>
      </w:r>
      <w:r w:rsidR="00E15507">
        <w:rPr>
          <w:lang w:val="fr-FR"/>
        </w:rPr>
        <w:t xml:space="preserve">e la traite </w:t>
      </w:r>
      <w:r w:rsidR="00E15507" w:rsidRPr="005D6CD4">
        <w:rPr>
          <w:lang w:val="fr-FR"/>
        </w:rPr>
        <w:t>des êtres humains, surtout des femmes et des enfants.</w:t>
      </w:r>
      <w:r w:rsidR="00E15507">
        <w:rPr>
          <w:lang w:val="fr-FR"/>
        </w:rPr>
        <w:t xml:space="preserve"> Le Protocole de lutte contre le trafic illicite </w:t>
      </w:r>
      <w:r w:rsidR="00E15507" w:rsidRPr="005D6CD4">
        <w:rPr>
          <w:lang w:val="fr-FR"/>
        </w:rPr>
        <w:t xml:space="preserve">de migrants a également été ratifié. </w:t>
      </w:r>
    </w:p>
    <w:p w:rsidR="00E15507" w:rsidRPr="005D6CD4" w:rsidRDefault="00F812B7" w:rsidP="00740CA4">
      <w:pPr>
        <w:pStyle w:val="SingleTxt"/>
        <w:rPr>
          <w:lang w:val="fr-FR"/>
        </w:rPr>
      </w:pPr>
      <w:r>
        <w:rPr>
          <w:lang w:val="fr-FR"/>
        </w:rPr>
        <w:t xml:space="preserve">6.3.1  </w:t>
      </w:r>
      <w:r w:rsidR="00E15507" w:rsidRPr="005D6CD4">
        <w:rPr>
          <w:lang w:val="fr-FR"/>
        </w:rPr>
        <w:t>D</w:t>
      </w:r>
      <w:r w:rsidR="000A3D87">
        <w:rPr>
          <w:lang w:val="fr-FR"/>
        </w:rPr>
        <w:t>’</w:t>
      </w:r>
      <w:r w:rsidR="00E15507" w:rsidRPr="005D6CD4">
        <w:rPr>
          <w:lang w:val="fr-FR"/>
        </w:rPr>
        <w:t xml:space="preserve">autres progrès ont été enregistrés par le </w:t>
      </w:r>
      <w:r w:rsidR="00E15507">
        <w:rPr>
          <w:lang w:val="fr-FR"/>
        </w:rPr>
        <w:t>G</w:t>
      </w:r>
      <w:r w:rsidR="00E15507" w:rsidRPr="005D6CD4">
        <w:rPr>
          <w:lang w:val="fr-FR"/>
        </w:rPr>
        <w:t xml:space="preserve">ouvernement et les organismes nigérians tels que la NATIP, les </w:t>
      </w:r>
      <w:r w:rsidR="00E15507">
        <w:rPr>
          <w:lang w:val="fr-FR"/>
        </w:rPr>
        <w:t xml:space="preserve">ONG </w:t>
      </w:r>
      <w:r w:rsidR="00E15507" w:rsidRPr="005D6CD4">
        <w:rPr>
          <w:lang w:val="fr-FR"/>
        </w:rPr>
        <w:t>et les partenaires de développement au quadruple plan des politiques, de la coopération bilatérale, du logement et des programmes. Il s</w:t>
      </w:r>
      <w:r w:rsidR="000A3D87">
        <w:rPr>
          <w:lang w:val="fr-FR"/>
        </w:rPr>
        <w:t>’</w:t>
      </w:r>
      <w:r w:rsidR="00E15507" w:rsidRPr="005D6CD4">
        <w:rPr>
          <w:lang w:val="fr-FR"/>
        </w:rPr>
        <w:t>agit notamment de</w:t>
      </w:r>
      <w:r w:rsidR="00E15507">
        <w:rPr>
          <w:lang w:val="fr-FR"/>
        </w:rPr>
        <w:t>s cas suivants</w:t>
      </w:r>
      <w:r w:rsidR="00E15507" w:rsidRPr="005D6CD4">
        <w:rPr>
          <w:lang w:val="fr-FR"/>
        </w:rPr>
        <w:t xml:space="preserve"> : </w:t>
      </w:r>
    </w:p>
    <w:p w:rsidR="00E15507" w:rsidRPr="005D6CD4" w:rsidRDefault="00E15507" w:rsidP="00740CA4">
      <w:pPr>
        <w:pStyle w:val="SingleTxt"/>
        <w:rPr>
          <w:b/>
          <w:lang w:val="fr-FR"/>
        </w:rPr>
      </w:pPr>
      <w:r w:rsidRPr="005D6CD4">
        <w:rPr>
          <w:b/>
          <w:lang w:val="fr-FR"/>
        </w:rPr>
        <w:t>Politiques et recherche</w:t>
      </w:r>
    </w:p>
    <w:p w:rsidR="00E15507" w:rsidRPr="005D6CD4" w:rsidRDefault="00E15507" w:rsidP="009546E1">
      <w:pPr>
        <w:pStyle w:val="SingleTxt"/>
        <w:numPr>
          <w:ilvl w:val="2"/>
          <w:numId w:val="16"/>
        </w:numPr>
        <w:tabs>
          <w:tab w:val="clear" w:pos="3427"/>
        </w:tabs>
        <w:ind w:left="1710" w:hanging="450"/>
        <w:rPr>
          <w:lang w:val="fr-FR"/>
        </w:rPr>
      </w:pPr>
      <w:r w:rsidRPr="005D6CD4">
        <w:rPr>
          <w:lang w:val="fr-FR"/>
        </w:rPr>
        <w:t>L</w:t>
      </w:r>
      <w:r w:rsidR="000A3D87">
        <w:rPr>
          <w:lang w:val="fr-FR"/>
        </w:rPr>
        <w:t>’</w:t>
      </w:r>
      <w:r w:rsidRPr="005D6CD4">
        <w:rPr>
          <w:lang w:val="fr-FR"/>
        </w:rPr>
        <w:t>adoption de la Dé</w:t>
      </w:r>
      <w:r>
        <w:rPr>
          <w:lang w:val="fr-FR"/>
        </w:rPr>
        <w:t>claration de la CEDEAO sur la traite</w:t>
      </w:r>
      <w:r w:rsidRPr="005D6CD4">
        <w:rPr>
          <w:lang w:val="fr-FR"/>
        </w:rPr>
        <w:t xml:space="preserve"> </w:t>
      </w:r>
      <w:r>
        <w:rPr>
          <w:lang w:val="fr-FR"/>
        </w:rPr>
        <w:t xml:space="preserve">des personnes </w:t>
      </w:r>
      <w:r w:rsidRPr="005D6CD4">
        <w:rPr>
          <w:lang w:val="fr-FR"/>
        </w:rPr>
        <w:t>et le Plan d</w:t>
      </w:r>
      <w:r w:rsidR="000A3D87">
        <w:rPr>
          <w:lang w:val="fr-FR"/>
        </w:rPr>
        <w:t>’</w:t>
      </w:r>
      <w:r w:rsidRPr="005D6CD4">
        <w:rPr>
          <w:lang w:val="fr-FR"/>
        </w:rPr>
        <w:t>action initial d</w:t>
      </w:r>
      <w:r>
        <w:rPr>
          <w:lang w:val="fr-FR"/>
        </w:rPr>
        <w:t xml:space="preserve">e la CEDEAO sur la traite des personnes </w:t>
      </w:r>
      <w:r w:rsidRPr="005D6CD4">
        <w:rPr>
          <w:lang w:val="fr-FR"/>
        </w:rPr>
        <w:t>a renforcé la coopération sous-régionale entre les pays d</w:t>
      </w:r>
      <w:r w:rsidR="000A3D87">
        <w:rPr>
          <w:lang w:val="fr-FR"/>
        </w:rPr>
        <w:t>’</w:t>
      </w:r>
      <w:r w:rsidRPr="005D6CD4">
        <w:rPr>
          <w:lang w:val="fr-FR"/>
        </w:rPr>
        <w:t>Afrique de l</w:t>
      </w:r>
      <w:r w:rsidR="000A3D87">
        <w:rPr>
          <w:lang w:val="fr-FR"/>
        </w:rPr>
        <w:t>’</w:t>
      </w:r>
      <w:r w:rsidRPr="005D6CD4">
        <w:rPr>
          <w:lang w:val="fr-FR"/>
        </w:rPr>
        <w:t>Ouest.</w:t>
      </w:r>
    </w:p>
    <w:p w:rsidR="00E15507" w:rsidRPr="005D6CD4" w:rsidRDefault="00E15507" w:rsidP="009546E1">
      <w:pPr>
        <w:pStyle w:val="SingleTxt"/>
        <w:numPr>
          <w:ilvl w:val="2"/>
          <w:numId w:val="16"/>
        </w:numPr>
        <w:tabs>
          <w:tab w:val="clear" w:pos="3427"/>
        </w:tabs>
        <w:ind w:left="1710" w:hanging="450"/>
        <w:rPr>
          <w:lang w:val="fr-FR"/>
        </w:rPr>
      </w:pPr>
      <w:r w:rsidRPr="005D6CD4">
        <w:rPr>
          <w:lang w:val="fr-FR"/>
        </w:rPr>
        <w:t xml:space="preserve">La NATIP a élaboré une Politique </w:t>
      </w:r>
      <w:r w:rsidRPr="00FF38C6">
        <w:rPr>
          <w:lang w:val="fr-FR"/>
        </w:rPr>
        <w:t>nationale sur les services de conseil et de réinsertion et sa stratégie de mise en œuv</w:t>
      </w:r>
      <w:r w:rsidRPr="005D6CD4">
        <w:rPr>
          <w:lang w:val="fr-FR"/>
        </w:rPr>
        <w:t xml:space="preserve">re, ce qui a permis </w:t>
      </w:r>
      <w:r>
        <w:rPr>
          <w:lang w:val="fr-FR"/>
        </w:rPr>
        <w:t>d</w:t>
      </w:r>
      <w:r w:rsidR="000A3D87">
        <w:rPr>
          <w:lang w:val="fr-FR"/>
        </w:rPr>
        <w:t>’</w:t>
      </w:r>
      <w:r>
        <w:rPr>
          <w:lang w:val="fr-FR"/>
        </w:rPr>
        <w:t xml:space="preserve">améliorer ces services en faveur des </w:t>
      </w:r>
      <w:r w:rsidRPr="005D6CD4">
        <w:rPr>
          <w:lang w:val="fr-FR"/>
        </w:rPr>
        <w:t xml:space="preserve">victimes </w:t>
      </w:r>
      <w:r>
        <w:rPr>
          <w:lang w:val="fr-FR"/>
        </w:rPr>
        <w:t>de la traite des personnes</w:t>
      </w:r>
      <w:r w:rsidRPr="005D6CD4">
        <w:rPr>
          <w:lang w:val="fr-FR"/>
        </w:rPr>
        <w:t>.</w:t>
      </w:r>
      <w:r>
        <w:rPr>
          <w:lang w:val="fr-FR"/>
        </w:rPr>
        <w:t xml:space="preserve">   </w:t>
      </w:r>
      <w:r w:rsidRPr="005D6CD4">
        <w:rPr>
          <w:lang w:val="fr-FR"/>
        </w:rPr>
        <w:t xml:space="preserve"> </w:t>
      </w:r>
    </w:p>
    <w:p w:rsidR="00E15507" w:rsidRPr="005D6CD4" w:rsidRDefault="00E15507" w:rsidP="009546E1">
      <w:pPr>
        <w:pStyle w:val="SingleTxt"/>
        <w:numPr>
          <w:ilvl w:val="2"/>
          <w:numId w:val="16"/>
        </w:numPr>
        <w:tabs>
          <w:tab w:val="clear" w:pos="3427"/>
        </w:tabs>
        <w:ind w:left="1710" w:hanging="450"/>
        <w:rPr>
          <w:lang w:val="fr-FR"/>
        </w:rPr>
      </w:pPr>
      <w:r w:rsidRPr="005D6CD4">
        <w:rPr>
          <w:lang w:val="fr-FR"/>
        </w:rPr>
        <w:t>L</w:t>
      </w:r>
      <w:r w:rsidR="000A3D87">
        <w:rPr>
          <w:lang w:val="fr-FR"/>
        </w:rPr>
        <w:t>’</w:t>
      </w:r>
      <w:r w:rsidRPr="005D6CD4">
        <w:rPr>
          <w:lang w:val="fr-FR"/>
        </w:rPr>
        <w:t>analyse de la situation et l</w:t>
      </w:r>
      <w:r w:rsidR="000A3D87">
        <w:rPr>
          <w:lang w:val="fr-FR"/>
        </w:rPr>
        <w:t>’</w:t>
      </w:r>
      <w:r w:rsidRPr="005D6CD4">
        <w:rPr>
          <w:lang w:val="fr-FR"/>
        </w:rPr>
        <w:t>évaluation des tendances d</w:t>
      </w:r>
      <w:r>
        <w:rPr>
          <w:lang w:val="fr-FR"/>
        </w:rPr>
        <w:t>e la traite d</w:t>
      </w:r>
      <w:r w:rsidRPr="005D6CD4">
        <w:rPr>
          <w:lang w:val="fr-FR"/>
        </w:rPr>
        <w:t xml:space="preserve">es enfants dans onze </w:t>
      </w:r>
      <w:r>
        <w:rPr>
          <w:lang w:val="fr-FR"/>
        </w:rPr>
        <w:t>É</w:t>
      </w:r>
      <w:r w:rsidRPr="005D6CD4">
        <w:rPr>
          <w:lang w:val="fr-FR"/>
        </w:rPr>
        <w:t>tats où ce fléau est répandu ont été réalisées en 2004 en vue d</w:t>
      </w:r>
      <w:r w:rsidR="000A3D87">
        <w:rPr>
          <w:lang w:val="fr-FR"/>
        </w:rPr>
        <w:t>’</w:t>
      </w:r>
      <w:r w:rsidRPr="005D6CD4">
        <w:rPr>
          <w:lang w:val="fr-FR"/>
        </w:rPr>
        <w:t xml:space="preserve">améliorer la prévention, la planification et la programmation </w:t>
      </w:r>
      <w:r>
        <w:rPr>
          <w:lang w:val="fr-FR"/>
        </w:rPr>
        <w:t xml:space="preserve">concernant </w:t>
      </w:r>
      <w:r w:rsidRPr="005D6CD4">
        <w:rPr>
          <w:lang w:val="fr-FR"/>
        </w:rPr>
        <w:t xml:space="preserve">les questions liées </w:t>
      </w:r>
      <w:r>
        <w:rPr>
          <w:lang w:val="fr-FR"/>
        </w:rPr>
        <w:t>à la traite des personnes</w:t>
      </w:r>
      <w:r w:rsidRPr="005D6CD4">
        <w:rPr>
          <w:lang w:val="fr-FR"/>
        </w:rPr>
        <w:t>. L</w:t>
      </w:r>
      <w:r w:rsidR="000A3D87">
        <w:rPr>
          <w:lang w:val="fr-FR"/>
        </w:rPr>
        <w:t>’</w:t>
      </w:r>
      <w:r w:rsidRPr="005D6CD4">
        <w:rPr>
          <w:lang w:val="fr-FR"/>
        </w:rPr>
        <w:t>évaluation de la situation d</w:t>
      </w:r>
      <w:r>
        <w:rPr>
          <w:lang w:val="fr-FR"/>
        </w:rPr>
        <w:t xml:space="preserve">e la traite </w:t>
      </w:r>
      <w:r w:rsidRPr="005D6CD4">
        <w:rPr>
          <w:lang w:val="fr-FR"/>
        </w:rPr>
        <w:t xml:space="preserve">des enfants dans les </w:t>
      </w:r>
      <w:r>
        <w:rPr>
          <w:lang w:val="fr-FR"/>
        </w:rPr>
        <w:t>É</w:t>
      </w:r>
      <w:r w:rsidRPr="005D6CD4">
        <w:rPr>
          <w:lang w:val="fr-FR"/>
        </w:rPr>
        <w:t>tats d</w:t>
      </w:r>
      <w:r>
        <w:rPr>
          <w:lang w:val="fr-FR"/>
        </w:rPr>
        <w:t xml:space="preserve">e </w:t>
      </w:r>
      <w:r w:rsidRPr="005D6CD4">
        <w:rPr>
          <w:lang w:val="fr-FR"/>
        </w:rPr>
        <w:t>Borno, Yobe, Jigawa, Adamawa, Taraba</w:t>
      </w:r>
      <w:r>
        <w:rPr>
          <w:lang w:val="fr-FR"/>
        </w:rPr>
        <w:t xml:space="preserve"> </w:t>
      </w:r>
      <w:r w:rsidRPr="005D6CD4">
        <w:rPr>
          <w:lang w:val="fr-FR"/>
        </w:rPr>
        <w:t>et Kano a également été faite en vue d</w:t>
      </w:r>
      <w:r w:rsidR="000A3D87">
        <w:rPr>
          <w:lang w:val="fr-FR"/>
        </w:rPr>
        <w:t>’</w:t>
      </w:r>
      <w:r>
        <w:rPr>
          <w:lang w:val="fr-FR"/>
        </w:rPr>
        <w:t xml:space="preserve">actualiser les données sur </w:t>
      </w:r>
      <w:r w:rsidRPr="005D6CD4">
        <w:rPr>
          <w:lang w:val="fr-FR"/>
        </w:rPr>
        <w:t>l</w:t>
      </w:r>
      <w:r w:rsidR="000A3D87">
        <w:rPr>
          <w:lang w:val="fr-FR"/>
        </w:rPr>
        <w:t>’</w:t>
      </w:r>
      <w:r w:rsidRPr="005D6CD4">
        <w:rPr>
          <w:lang w:val="fr-FR"/>
        </w:rPr>
        <w:t xml:space="preserve">ampleur, les sources et les </w:t>
      </w:r>
      <w:r>
        <w:rPr>
          <w:lang w:val="fr-FR"/>
        </w:rPr>
        <w:t xml:space="preserve">itinéraires de </w:t>
      </w:r>
      <w:r w:rsidRPr="005D6CD4">
        <w:rPr>
          <w:lang w:val="fr-FR"/>
        </w:rPr>
        <w:t>transit, les auteurs et les destinations d</w:t>
      </w:r>
      <w:r>
        <w:rPr>
          <w:lang w:val="fr-FR"/>
        </w:rPr>
        <w:t xml:space="preserve">e la traite des </w:t>
      </w:r>
      <w:r w:rsidRPr="005D6CD4">
        <w:rPr>
          <w:lang w:val="fr-FR"/>
        </w:rPr>
        <w:t xml:space="preserve">enfants dans ces </w:t>
      </w:r>
      <w:r>
        <w:rPr>
          <w:lang w:val="fr-FR"/>
        </w:rPr>
        <w:t>É</w:t>
      </w:r>
      <w:r w:rsidRPr="005D6CD4">
        <w:rPr>
          <w:lang w:val="fr-FR"/>
        </w:rPr>
        <w:t>tats.</w:t>
      </w:r>
    </w:p>
    <w:p w:rsidR="00E15507" w:rsidRPr="005D6CD4" w:rsidRDefault="00E15507" w:rsidP="00740CA4">
      <w:pPr>
        <w:pStyle w:val="SingleTxt"/>
        <w:rPr>
          <w:b/>
          <w:lang w:val="fr-FR"/>
        </w:rPr>
      </w:pPr>
      <w:r>
        <w:rPr>
          <w:b/>
          <w:lang w:val="fr-FR"/>
        </w:rPr>
        <w:t>C</w:t>
      </w:r>
      <w:r w:rsidRPr="005D6CD4">
        <w:rPr>
          <w:b/>
          <w:lang w:val="fr-FR"/>
        </w:rPr>
        <w:t>oopération bilatérale</w:t>
      </w:r>
    </w:p>
    <w:p w:rsidR="00E15507" w:rsidRPr="005D6CD4" w:rsidRDefault="00E15507" w:rsidP="009546E1">
      <w:pPr>
        <w:pStyle w:val="SingleTxt"/>
        <w:numPr>
          <w:ilvl w:val="3"/>
          <w:numId w:val="16"/>
        </w:numPr>
        <w:tabs>
          <w:tab w:val="clear" w:pos="3787"/>
        </w:tabs>
        <w:ind w:left="1260"/>
        <w:rPr>
          <w:lang w:val="fr-FR"/>
        </w:rPr>
      </w:pPr>
      <w:r w:rsidRPr="005D6CD4">
        <w:rPr>
          <w:lang w:val="fr-FR"/>
        </w:rPr>
        <w:t>L</w:t>
      </w:r>
      <w:r w:rsidR="000A3D87">
        <w:rPr>
          <w:lang w:val="fr-FR"/>
        </w:rPr>
        <w:t>’</w:t>
      </w:r>
      <w:r w:rsidRPr="005D6CD4">
        <w:rPr>
          <w:lang w:val="fr-FR"/>
        </w:rPr>
        <w:t xml:space="preserve">accord de coopération que le </w:t>
      </w:r>
      <w:r>
        <w:rPr>
          <w:lang w:val="fr-FR"/>
        </w:rPr>
        <w:t>G</w:t>
      </w:r>
      <w:r w:rsidRPr="005D6CD4">
        <w:rPr>
          <w:lang w:val="fr-FR"/>
        </w:rPr>
        <w:t>ouvernement fédéral a signé avec l</w:t>
      </w:r>
      <w:r w:rsidR="000A3D87">
        <w:rPr>
          <w:lang w:val="fr-FR"/>
        </w:rPr>
        <w:t>’</w:t>
      </w:r>
      <w:r w:rsidRPr="005D6CD4">
        <w:rPr>
          <w:lang w:val="fr-FR"/>
        </w:rPr>
        <w:t xml:space="preserve">OIM sur la lutte contre </w:t>
      </w:r>
      <w:r>
        <w:rPr>
          <w:lang w:val="fr-FR"/>
        </w:rPr>
        <w:t xml:space="preserve">la traite </w:t>
      </w:r>
      <w:r w:rsidRPr="005D6CD4">
        <w:rPr>
          <w:lang w:val="fr-FR"/>
        </w:rPr>
        <w:t>des femmes et des enfants, la fourniture des services de conseil, de ré</w:t>
      </w:r>
      <w:r>
        <w:rPr>
          <w:lang w:val="fr-FR"/>
        </w:rPr>
        <w:t xml:space="preserve">insertion </w:t>
      </w:r>
      <w:r w:rsidRPr="005D6CD4">
        <w:rPr>
          <w:lang w:val="fr-FR"/>
        </w:rPr>
        <w:t>et d</w:t>
      </w:r>
      <w:r>
        <w:rPr>
          <w:lang w:val="fr-FR"/>
        </w:rPr>
        <w:t xml:space="preserve">e démarginalisation </w:t>
      </w:r>
      <w:r w:rsidRPr="005D6CD4">
        <w:rPr>
          <w:lang w:val="fr-FR"/>
        </w:rPr>
        <w:t>prévoit un Plan de suivi des résultats permettant de faire l</w:t>
      </w:r>
      <w:r>
        <w:rPr>
          <w:lang w:val="fr-FR"/>
        </w:rPr>
        <w:t xml:space="preserve">e point des </w:t>
      </w:r>
      <w:r w:rsidRPr="005D6CD4">
        <w:rPr>
          <w:lang w:val="fr-FR"/>
        </w:rPr>
        <w:t>progrès accomplis dans les domaines du conseil et de la ré</w:t>
      </w:r>
      <w:r>
        <w:rPr>
          <w:lang w:val="fr-FR"/>
        </w:rPr>
        <w:t>insertion</w:t>
      </w:r>
      <w:r w:rsidRPr="005D6CD4">
        <w:rPr>
          <w:lang w:val="fr-FR"/>
        </w:rPr>
        <w:t xml:space="preserve">, </w:t>
      </w:r>
      <w:r>
        <w:rPr>
          <w:lang w:val="fr-FR"/>
        </w:rPr>
        <w:t xml:space="preserve">de </w:t>
      </w:r>
      <w:r w:rsidRPr="005D6CD4">
        <w:rPr>
          <w:lang w:val="fr-FR"/>
        </w:rPr>
        <w:t xml:space="preserve">la prévention et </w:t>
      </w:r>
      <w:r>
        <w:rPr>
          <w:lang w:val="fr-FR"/>
        </w:rPr>
        <w:t xml:space="preserve">de </w:t>
      </w:r>
      <w:r w:rsidRPr="005D6CD4">
        <w:rPr>
          <w:lang w:val="fr-FR"/>
        </w:rPr>
        <w:t>la justice pénale.</w:t>
      </w:r>
    </w:p>
    <w:p w:rsidR="00E15507" w:rsidRPr="005D6CD4" w:rsidRDefault="00E15507" w:rsidP="009546E1">
      <w:pPr>
        <w:pStyle w:val="SingleTxt"/>
        <w:numPr>
          <w:ilvl w:val="3"/>
          <w:numId w:val="16"/>
        </w:numPr>
        <w:tabs>
          <w:tab w:val="clear" w:pos="3787"/>
        </w:tabs>
        <w:ind w:left="1260"/>
        <w:rPr>
          <w:lang w:val="fr-FR"/>
        </w:rPr>
      </w:pPr>
      <w:r w:rsidRPr="005D6CD4">
        <w:rPr>
          <w:lang w:val="fr-FR"/>
        </w:rPr>
        <w:t xml:space="preserve">Les accords de coopération signés avec les gouvernements français, </w:t>
      </w:r>
      <w:r>
        <w:rPr>
          <w:lang w:val="fr-FR"/>
        </w:rPr>
        <w:t>néerlandais</w:t>
      </w:r>
      <w:r w:rsidRPr="005D6CD4">
        <w:rPr>
          <w:lang w:val="fr-FR"/>
        </w:rPr>
        <w:t xml:space="preserve"> et italien ont permis d</w:t>
      </w:r>
      <w:r w:rsidR="000A3D87">
        <w:rPr>
          <w:lang w:val="fr-FR"/>
        </w:rPr>
        <w:t>’</w:t>
      </w:r>
      <w:r w:rsidRPr="005D6CD4">
        <w:rPr>
          <w:lang w:val="fr-FR"/>
        </w:rPr>
        <w:t>accroître la recherche et l</w:t>
      </w:r>
      <w:r w:rsidR="000A3D87">
        <w:rPr>
          <w:lang w:val="fr-FR"/>
        </w:rPr>
        <w:t>’</w:t>
      </w:r>
      <w:r w:rsidRPr="005D6CD4">
        <w:rPr>
          <w:lang w:val="fr-FR"/>
        </w:rPr>
        <w:t>assistance technique apportée au Nigéria dans les domaines du renforcement des capacités (formation et fourniture des équipements) et du financement.</w:t>
      </w:r>
    </w:p>
    <w:p w:rsidR="00E15507" w:rsidRPr="005D6CD4" w:rsidRDefault="00E15507" w:rsidP="009546E1">
      <w:pPr>
        <w:pStyle w:val="SingleTxt"/>
        <w:numPr>
          <w:ilvl w:val="3"/>
          <w:numId w:val="16"/>
        </w:numPr>
        <w:tabs>
          <w:tab w:val="clear" w:pos="3787"/>
        </w:tabs>
        <w:ind w:left="1260"/>
        <w:rPr>
          <w:lang w:val="fr-FR"/>
        </w:rPr>
      </w:pPr>
      <w:r w:rsidRPr="005D6CD4">
        <w:rPr>
          <w:lang w:val="fr-FR"/>
        </w:rPr>
        <w:t>L</w:t>
      </w:r>
      <w:r w:rsidR="000A3D87">
        <w:rPr>
          <w:lang w:val="fr-FR"/>
        </w:rPr>
        <w:t>’</w:t>
      </w:r>
      <w:r w:rsidRPr="005D6CD4">
        <w:rPr>
          <w:lang w:val="fr-FR"/>
        </w:rPr>
        <w:t>accord de coopération signé entre le Nigéria et le Bénin a permis d</w:t>
      </w:r>
      <w:r w:rsidR="000A3D87">
        <w:rPr>
          <w:lang w:val="fr-FR"/>
        </w:rPr>
        <w:t>’</w:t>
      </w:r>
      <w:r w:rsidRPr="005D6CD4">
        <w:rPr>
          <w:lang w:val="fr-FR"/>
        </w:rPr>
        <w:t>améliorer les processus de rapatriement et de réintégration des victimes d</w:t>
      </w:r>
      <w:r>
        <w:rPr>
          <w:lang w:val="fr-FR"/>
        </w:rPr>
        <w:t>e la traite</w:t>
      </w:r>
      <w:r w:rsidRPr="005D6CD4">
        <w:rPr>
          <w:lang w:val="fr-FR"/>
        </w:rPr>
        <w:t xml:space="preserve"> </w:t>
      </w:r>
      <w:r>
        <w:rPr>
          <w:lang w:val="fr-FR"/>
        </w:rPr>
        <w:t xml:space="preserve">des personnes </w:t>
      </w:r>
      <w:r w:rsidRPr="005D6CD4">
        <w:rPr>
          <w:lang w:val="fr-FR"/>
        </w:rPr>
        <w:t xml:space="preserve">entre les deux pays. </w:t>
      </w:r>
    </w:p>
    <w:p w:rsidR="00E15507" w:rsidRPr="005D6CD4" w:rsidRDefault="00E15507" w:rsidP="009546E1">
      <w:pPr>
        <w:pStyle w:val="SingleTxt"/>
        <w:numPr>
          <w:ilvl w:val="3"/>
          <w:numId w:val="16"/>
        </w:numPr>
        <w:tabs>
          <w:tab w:val="clear" w:pos="3787"/>
        </w:tabs>
        <w:ind w:left="1260"/>
        <w:rPr>
          <w:lang w:val="fr-FR"/>
        </w:rPr>
      </w:pPr>
      <w:r w:rsidRPr="005D6CD4">
        <w:rPr>
          <w:lang w:val="fr-FR"/>
        </w:rPr>
        <w:t>Un accord de coopération multilatérale pour lutter contre l</w:t>
      </w:r>
      <w:r>
        <w:rPr>
          <w:lang w:val="fr-FR"/>
        </w:rPr>
        <w:t xml:space="preserve">a traite des personnes </w:t>
      </w:r>
      <w:r w:rsidRPr="005D6CD4">
        <w:rPr>
          <w:lang w:val="fr-FR"/>
        </w:rPr>
        <w:t>a été signé en 2005 entre le Nigéria, le Niger, le Bénin, le Togo, le Burkina Faso, la Côte d</w:t>
      </w:r>
      <w:r w:rsidR="000A3D87">
        <w:rPr>
          <w:lang w:val="fr-FR"/>
        </w:rPr>
        <w:t>’</w:t>
      </w:r>
      <w:r w:rsidRPr="005D6CD4">
        <w:rPr>
          <w:lang w:val="fr-FR"/>
        </w:rPr>
        <w:t>Ivoire et la Sierra Leone.</w:t>
      </w:r>
    </w:p>
    <w:p w:rsidR="00E15507" w:rsidRPr="005D6CD4" w:rsidRDefault="00C46625" w:rsidP="00740CA4">
      <w:pPr>
        <w:pStyle w:val="SingleTxt"/>
        <w:rPr>
          <w:b/>
          <w:lang w:val="fr-FR"/>
        </w:rPr>
      </w:pPr>
      <w:r>
        <w:rPr>
          <w:b/>
          <w:lang w:val="fr-FR"/>
        </w:rPr>
        <w:br w:type="page"/>
      </w:r>
      <w:r w:rsidR="00E15507">
        <w:rPr>
          <w:b/>
          <w:lang w:val="fr-FR"/>
        </w:rPr>
        <w:t>Centres d</w:t>
      </w:r>
      <w:r w:rsidR="000A3D87">
        <w:rPr>
          <w:b/>
          <w:lang w:val="fr-FR"/>
        </w:rPr>
        <w:t>’</w:t>
      </w:r>
      <w:r w:rsidR="00E15507">
        <w:rPr>
          <w:b/>
          <w:lang w:val="fr-FR"/>
        </w:rPr>
        <w:t>accueil</w:t>
      </w:r>
    </w:p>
    <w:p w:rsidR="00E15507" w:rsidRPr="005D6CD4" w:rsidRDefault="00E15507" w:rsidP="009546E1">
      <w:pPr>
        <w:pStyle w:val="SingleTxt"/>
        <w:numPr>
          <w:ilvl w:val="2"/>
          <w:numId w:val="17"/>
        </w:numPr>
        <w:tabs>
          <w:tab w:val="clear" w:pos="3427"/>
        </w:tabs>
        <w:ind w:left="1710" w:hanging="450"/>
        <w:rPr>
          <w:lang w:val="fr-FR"/>
        </w:rPr>
      </w:pPr>
      <w:r w:rsidRPr="005D6CD4">
        <w:rPr>
          <w:lang w:val="fr-FR"/>
        </w:rPr>
        <w:t>L</w:t>
      </w:r>
      <w:r>
        <w:rPr>
          <w:lang w:val="fr-FR"/>
        </w:rPr>
        <w:t xml:space="preserve">a NAPTIP </w:t>
      </w:r>
      <w:r w:rsidRPr="005D6CD4">
        <w:rPr>
          <w:lang w:val="fr-FR"/>
        </w:rPr>
        <w:t>gère actuellement à Lagos et dans l</w:t>
      </w:r>
      <w:r w:rsidR="000A3D87">
        <w:rPr>
          <w:lang w:val="fr-FR"/>
        </w:rPr>
        <w:t>’</w:t>
      </w:r>
      <w:r>
        <w:rPr>
          <w:lang w:val="fr-FR"/>
        </w:rPr>
        <w:t>É</w:t>
      </w:r>
      <w:r w:rsidRPr="005D6CD4">
        <w:rPr>
          <w:lang w:val="fr-FR"/>
        </w:rPr>
        <w:t xml:space="preserve">tat du Bénin des </w:t>
      </w:r>
      <w:r>
        <w:rPr>
          <w:lang w:val="fr-FR"/>
        </w:rPr>
        <w:t>centres d</w:t>
      </w:r>
      <w:r w:rsidR="000A3D87">
        <w:rPr>
          <w:lang w:val="fr-FR"/>
        </w:rPr>
        <w:t>’</w:t>
      </w:r>
      <w:r>
        <w:rPr>
          <w:lang w:val="fr-FR"/>
        </w:rPr>
        <w:t xml:space="preserve">accueil </w:t>
      </w:r>
      <w:r w:rsidRPr="005D6CD4">
        <w:rPr>
          <w:lang w:val="fr-FR"/>
        </w:rPr>
        <w:t>qui ont été construits par l</w:t>
      </w:r>
      <w:r w:rsidR="000A3D87">
        <w:rPr>
          <w:lang w:val="fr-FR"/>
        </w:rPr>
        <w:t>’</w:t>
      </w:r>
      <w:r w:rsidRPr="005D6CD4">
        <w:rPr>
          <w:lang w:val="fr-FR"/>
        </w:rPr>
        <w:t>OIM dans le but de conseiller et d</w:t>
      </w:r>
      <w:r w:rsidR="000A3D87">
        <w:rPr>
          <w:lang w:val="fr-FR"/>
        </w:rPr>
        <w:t>’</w:t>
      </w:r>
      <w:r w:rsidRPr="005D6CD4">
        <w:rPr>
          <w:lang w:val="fr-FR"/>
        </w:rPr>
        <w:t>aider à la ré</w:t>
      </w:r>
      <w:r>
        <w:rPr>
          <w:lang w:val="fr-FR"/>
        </w:rPr>
        <w:t xml:space="preserve">insertion </w:t>
      </w:r>
      <w:r w:rsidRPr="005D6CD4">
        <w:rPr>
          <w:lang w:val="fr-FR"/>
        </w:rPr>
        <w:t>des victimes d</w:t>
      </w:r>
      <w:r>
        <w:rPr>
          <w:lang w:val="fr-FR"/>
        </w:rPr>
        <w:t>e la traite des personnes</w:t>
      </w:r>
      <w:r w:rsidRPr="005D6CD4">
        <w:rPr>
          <w:lang w:val="fr-FR"/>
        </w:rPr>
        <w:t xml:space="preserve">. </w:t>
      </w:r>
    </w:p>
    <w:p w:rsidR="00E15507" w:rsidRPr="005D6CD4" w:rsidRDefault="00E15507" w:rsidP="009546E1">
      <w:pPr>
        <w:pStyle w:val="SingleTxt"/>
        <w:numPr>
          <w:ilvl w:val="2"/>
          <w:numId w:val="17"/>
        </w:numPr>
        <w:tabs>
          <w:tab w:val="clear" w:pos="3427"/>
        </w:tabs>
        <w:ind w:left="1710" w:hanging="450"/>
        <w:rPr>
          <w:lang w:val="fr-FR"/>
        </w:rPr>
      </w:pPr>
      <w:r w:rsidRPr="005D6CD4">
        <w:rPr>
          <w:lang w:val="fr-FR"/>
        </w:rPr>
        <w:t xml:space="preserve">Sept foyers de transit ont été construits dans les </w:t>
      </w:r>
      <w:r>
        <w:rPr>
          <w:lang w:val="fr-FR"/>
        </w:rPr>
        <w:t>É</w:t>
      </w:r>
      <w:r w:rsidRPr="005D6CD4">
        <w:rPr>
          <w:lang w:val="fr-FR"/>
        </w:rPr>
        <w:t>tats d</w:t>
      </w:r>
      <w:r>
        <w:rPr>
          <w:lang w:val="fr-FR"/>
        </w:rPr>
        <w:t>e</w:t>
      </w:r>
      <w:r w:rsidRPr="005D6CD4">
        <w:rPr>
          <w:lang w:val="fr-FR"/>
        </w:rPr>
        <w:t xml:space="preserve"> Kano, Edo, Akwa Ibom, Abuja, Enugu, Sokoto et Lagos pour la ré</w:t>
      </w:r>
      <w:r>
        <w:rPr>
          <w:lang w:val="fr-FR"/>
        </w:rPr>
        <w:t xml:space="preserve">insertion </w:t>
      </w:r>
      <w:r w:rsidRPr="005D6CD4">
        <w:rPr>
          <w:lang w:val="fr-FR"/>
        </w:rPr>
        <w:t xml:space="preserve">des victimes de </w:t>
      </w:r>
      <w:r>
        <w:rPr>
          <w:lang w:val="fr-FR"/>
        </w:rPr>
        <w:t>la traite.</w:t>
      </w:r>
    </w:p>
    <w:p w:rsidR="00E15507" w:rsidRPr="005D6CD4" w:rsidRDefault="00E15507" w:rsidP="00740CA4">
      <w:pPr>
        <w:pStyle w:val="SingleTxt"/>
        <w:rPr>
          <w:b/>
          <w:lang w:val="fr-FR"/>
        </w:rPr>
      </w:pPr>
      <w:r>
        <w:rPr>
          <w:b/>
          <w:lang w:val="fr-FR"/>
        </w:rPr>
        <w:t>P</w:t>
      </w:r>
      <w:r w:rsidRPr="005D6CD4">
        <w:rPr>
          <w:b/>
          <w:lang w:val="fr-FR"/>
        </w:rPr>
        <w:t>rogrammes</w:t>
      </w:r>
    </w:p>
    <w:p w:rsidR="00E15507" w:rsidRPr="005D6CD4" w:rsidRDefault="00E15507" w:rsidP="009546E1">
      <w:pPr>
        <w:pStyle w:val="SingleTxt"/>
        <w:numPr>
          <w:ilvl w:val="3"/>
          <w:numId w:val="17"/>
        </w:numPr>
        <w:tabs>
          <w:tab w:val="clear" w:pos="4147"/>
        </w:tabs>
        <w:ind w:left="1710" w:hanging="450"/>
        <w:rPr>
          <w:lang w:val="fr-FR"/>
        </w:rPr>
      </w:pPr>
      <w:r w:rsidRPr="005D6CD4">
        <w:rPr>
          <w:lang w:val="fr-FR"/>
        </w:rPr>
        <w:t>La mise sur pied de Groupes de coordination et d</w:t>
      </w:r>
      <w:r w:rsidR="000A3D87">
        <w:rPr>
          <w:lang w:val="fr-FR"/>
        </w:rPr>
        <w:t>’</w:t>
      </w:r>
      <w:r w:rsidRPr="005D6CD4">
        <w:rPr>
          <w:lang w:val="fr-FR"/>
        </w:rPr>
        <w:t xml:space="preserve">un Réseau </w:t>
      </w:r>
      <w:r>
        <w:rPr>
          <w:lang w:val="fr-FR"/>
        </w:rPr>
        <w:t xml:space="preserve">de lutte contre la traite des personnes </w:t>
      </w:r>
      <w:r w:rsidRPr="005D6CD4">
        <w:rPr>
          <w:lang w:val="fr-FR"/>
        </w:rPr>
        <w:t>par la NATIP, avec l</w:t>
      </w:r>
      <w:r w:rsidR="000A3D87">
        <w:rPr>
          <w:lang w:val="fr-FR"/>
        </w:rPr>
        <w:t>’</w:t>
      </w:r>
      <w:r w:rsidRPr="005D6CD4">
        <w:rPr>
          <w:lang w:val="fr-FR"/>
        </w:rPr>
        <w:t>appui du Département d</w:t>
      </w:r>
      <w:r w:rsidR="000A3D87">
        <w:rPr>
          <w:lang w:val="fr-FR"/>
        </w:rPr>
        <w:t>’</w:t>
      </w:r>
      <w:r>
        <w:rPr>
          <w:lang w:val="fr-FR"/>
        </w:rPr>
        <w:t>É</w:t>
      </w:r>
      <w:r w:rsidRPr="005D6CD4">
        <w:rPr>
          <w:lang w:val="fr-FR"/>
        </w:rPr>
        <w:t xml:space="preserve">tat américain et </w:t>
      </w:r>
      <w:r>
        <w:rPr>
          <w:lang w:val="fr-FR"/>
        </w:rPr>
        <w:t xml:space="preserve">de </w:t>
      </w:r>
      <w:r w:rsidRPr="005D6CD4">
        <w:rPr>
          <w:lang w:val="fr-FR"/>
        </w:rPr>
        <w:t>l</w:t>
      </w:r>
      <w:r w:rsidR="000A3D87">
        <w:rPr>
          <w:lang w:val="fr-FR"/>
        </w:rPr>
        <w:t>’</w:t>
      </w:r>
      <w:r w:rsidRPr="005D6CD4">
        <w:rPr>
          <w:lang w:val="fr-FR"/>
        </w:rPr>
        <w:t>UNICEF facilite les synergies et la con</w:t>
      </w:r>
      <w:r>
        <w:rPr>
          <w:lang w:val="fr-FR"/>
        </w:rPr>
        <w:t>vergence dans la lutte contre la traite d</w:t>
      </w:r>
      <w:r w:rsidRPr="005D6CD4">
        <w:rPr>
          <w:lang w:val="fr-FR"/>
        </w:rPr>
        <w:t>es enfants au Nigéria.</w:t>
      </w:r>
    </w:p>
    <w:p w:rsidR="00E15507" w:rsidRPr="005D6CD4" w:rsidRDefault="00E15507" w:rsidP="009546E1">
      <w:pPr>
        <w:pStyle w:val="SingleTxt"/>
        <w:numPr>
          <w:ilvl w:val="3"/>
          <w:numId w:val="17"/>
        </w:numPr>
        <w:ind w:left="1710" w:hanging="450"/>
        <w:rPr>
          <w:lang w:val="fr-FR"/>
        </w:rPr>
      </w:pPr>
      <w:r w:rsidRPr="005D6CD4">
        <w:rPr>
          <w:lang w:val="fr-FR"/>
        </w:rPr>
        <w:t xml:space="preserve">Le projet pilote du </w:t>
      </w:r>
      <w:r>
        <w:rPr>
          <w:lang w:val="fr-FR"/>
        </w:rPr>
        <w:t>m</w:t>
      </w:r>
      <w:r w:rsidRPr="005D6CD4">
        <w:rPr>
          <w:lang w:val="fr-FR"/>
        </w:rPr>
        <w:t>inistère de l</w:t>
      </w:r>
      <w:r w:rsidR="000A3D87">
        <w:rPr>
          <w:lang w:val="fr-FR"/>
        </w:rPr>
        <w:t>’</w:t>
      </w:r>
      <w:r>
        <w:rPr>
          <w:lang w:val="fr-FR"/>
        </w:rPr>
        <w:t>É</w:t>
      </w:r>
      <w:r w:rsidRPr="005D6CD4">
        <w:rPr>
          <w:lang w:val="fr-FR"/>
        </w:rPr>
        <w:t>ducation de l</w:t>
      </w:r>
      <w:r w:rsidR="000A3D87">
        <w:rPr>
          <w:lang w:val="fr-FR"/>
        </w:rPr>
        <w:t>’</w:t>
      </w:r>
      <w:r>
        <w:rPr>
          <w:lang w:val="fr-FR"/>
        </w:rPr>
        <w:t>É</w:t>
      </w:r>
      <w:r w:rsidRPr="005D6CD4">
        <w:rPr>
          <w:lang w:val="fr-FR"/>
        </w:rPr>
        <w:t>tat d</w:t>
      </w:r>
      <w:r w:rsidR="000A3D87">
        <w:rPr>
          <w:lang w:val="fr-FR"/>
        </w:rPr>
        <w:t>’</w:t>
      </w:r>
      <w:r w:rsidRPr="005D6CD4">
        <w:rPr>
          <w:lang w:val="fr-FR"/>
        </w:rPr>
        <w:t>Edo en collaboration avec l</w:t>
      </w:r>
      <w:r w:rsidR="000A3D87">
        <w:rPr>
          <w:lang w:val="fr-FR"/>
        </w:rPr>
        <w:t>’</w:t>
      </w:r>
      <w:r w:rsidRPr="005D6CD4">
        <w:rPr>
          <w:lang w:val="fr-FR"/>
        </w:rPr>
        <w:t>OIM a été mis en œuvre en vue de l</w:t>
      </w:r>
      <w:r w:rsidR="000A3D87">
        <w:rPr>
          <w:lang w:val="fr-FR"/>
        </w:rPr>
        <w:t>’</w:t>
      </w:r>
      <w:r w:rsidRPr="005D6CD4">
        <w:rPr>
          <w:lang w:val="fr-FR"/>
        </w:rPr>
        <w:t>intégration des questions de tra</w:t>
      </w:r>
      <w:r>
        <w:rPr>
          <w:lang w:val="fr-FR"/>
        </w:rPr>
        <w:t xml:space="preserve">ite </w:t>
      </w:r>
      <w:r w:rsidRPr="005D6CD4">
        <w:rPr>
          <w:lang w:val="fr-FR"/>
        </w:rPr>
        <w:t xml:space="preserve">des </w:t>
      </w:r>
      <w:r>
        <w:rPr>
          <w:lang w:val="fr-FR"/>
        </w:rPr>
        <w:t xml:space="preserve">personnes </w:t>
      </w:r>
      <w:r w:rsidRPr="005D6CD4">
        <w:rPr>
          <w:lang w:val="fr-FR"/>
        </w:rPr>
        <w:t>et de VIH/</w:t>
      </w:r>
      <w:r w:rsidR="00940485">
        <w:rPr>
          <w:lang w:val="fr-FR"/>
        </w:rPr>
        <w:t>SIDA</w:t>
      </w:r>
      <w:r>
        <w:rPr>
          <w:lang w:val="fr-FR"/>
        </w:rPr>
        <w:t xml:space="preserve"> aux</w:t>
      </w:r>
      <w:r w:rsidRPr="005D6CD4">
        <w:rPr>
          <w:lang w:val="fr-FR"/>
        </w:rPr>
        <w:t xml:space="preserve"> programmes des établissements secondaires.</w:t>
      </w:r>
    </w:p>
    <w:p w:rsidR="00E15507" w:rsidRPr="005D6CD4" w:rsidRDefault="00E15507" w:rsidP="009546E1">
      <w:pPr>
        <w:pStyle w:val="SingleTxt"/>
        <w:numPr>
          <w:ilvl w:val="3"/>
          <w:numId w:val="17"/>
        </w:numPr>
        <w:ind w:left="1710" w:hanging="450"/>
        <w:rPr>
          <w:lang w:val="fr-FR"/>
        </w:rPr>
      </w:pPr>
      <w:r w:rsidRPr="005D6CD4">
        <w:rPr>
          <w:lang w:val="fr-FR"/>
        </w:rPr>
        <w:t>La création d</w:t>
      </w:r>
      <w:r w:rsidR="000A3D87">
        <w:rPr>
          <w:lang w:val="fr-FR"/>
        </w:rPr>
        <w:t>’</w:t>
      </w:r>
      <w:r w:rsidRPr="005D6CD4">
        <w:rPr>
          <w:lang w:val="fr-FR"/>
        </w:rPr>
        <w:t xml:space="preserve">un réseau </w:t>
      </w:r>
      <w:r>
        <w:rPr>
          <w:lang w:val="fr-FR"/>
        </w:rPr>
        <w:t xml:space="preserve">de lutte contre la traite des personnes </w:t>
      </w:r>
      <w:r w:rsidRPr="005D6CD4">
        <w:rPr>
          <w:lang w:val="fr-FR"/>
        </w:rPr>
        <w:t xml:space="preserve">couvrant 22 </w:t>
      </w:r>
      <w:r>
        <w:rPr>
          <w:lang w:val="fr-FR"/>
        </w:rPr>
        <w:t>É</w:t>
      </w:r>
      <w:r w:rsidRPr="005D6CD4">
        <w:rPr>
          <w:lang w:val="fr-FR"/>
        </w:rPr>
        <w:t>tats de la Fédération où l</w:t>
      </w:r>
      <w:r>
        <w:rPr>
          <w:lang w:val="fr-FR"/>
        </w:rPr>
        <w:t xml:space="preserve">a traite </w:t>
      </w:r>
      <w:r w:rsidRPr="005D6CD4">
        <w:rPr>
          <w:lang w:val="fr-FR"/>
        </w:rPr>
        <w:t>est répandu</w:t>
      </w:r>
      <w:r>
        <w:rPr>
          <w:lang w:val="fr-FR"/>
        </w:rPr>
        <w:t>e</w:t>
      </w:r>
      <w:r w:rsidRPr="005D6CD4">
        <w:rPr>
          <w:lang w:val="fr-FR"/>
        </w:rPr>
        <w:t xml:space="preserve"> a permis une meilleure sensibilisation des personnes à la base en vue de s</w:t>
      </w:r>
      <w:r w:rsidR="000A3D87">
        <w:rPr>
          <w:lang w:val="fr-FR"/>
        </w:rPr>
        <w:t>’</w:t>
      </w:r>
      <w:r w:rsidRPr="005D6CD4">
        <w:rPr>
          <w:lang w:val="fr-FR"/>
        </w:rPr>
        <w:t>attaquer au problème d</w:t>
      </w:r>
      <w:r>
        <w:rPr>
          <w:lang w:val="fr-FR"/>
        </w:rPr>
        <w:t xml:space="preserve">e la traite des personnes </w:t>
      </w:r>
      <w:r w:rsidRPr="005D6CD4">
        <w:rPr>
          <w:lang w:val="fr-FR"/>
        </w:rPr>
        <w:t>à la source, et permis l</w:t>
      </w:r>
      <w:r w:rsidR="000A3D87">
        <w:rPr>
          <w:lang w:val="fr-FR"/>
        </w:rPr>
        <w:t>’</w:t>
      </w:r>
      <w:r w:rsidRPr="005D6CD4">
        <w:rPr>
          <w:lang w:val="fr-FR"/>
        </w:rPr>
        <w:t>intervention de victimes d</w:t>
      </w:r>
      <w:r>
        <w:rPr>
          <w:lang w:val="fr-FR"/>
        </w:rPr>
        <w:t>e la traite e</w:t>
      </w:r>
      <w:r w:rsidRPr="005D6CD4">
        <w:rPr>
          <w:lang w:val="fr-FR"/>
        </w:rPr>
        <w:t xml:space="preserve">t des poursuites judiciaires qui </w:t>
      </w:r>
      <w:r>
        <w:rPr>
          <w:lang w:val="fr-FR"/>
        </w:rPr>
        <w:t>ont donné lieu à des condamnations</w:t>
      </w:r>
      <w:r w:rsidRPr="005D6CD4">
        <w:rPr>
          <w:lang w:val="fr-FR"/>
        </w:rPr>
        <w:t xml:space="preserve"> </w:t>
      </w:r>
      <w:r>
        <w:rPr>
          <w:lang w:val="fr-FR"/>
        </w:rPr>
        <w:t xml:space="preserve">des </w:t>
      </w:r>
      <w:r w:rsidRPr="005D6CD4">
        <w:rPr>
          <w:lang w:val="fr-FR"/>
        </w:rPr>
        <w:t xml:space="preserve"> auteurs de </w:t>
      </w:r>
      <w:r>
        <w:rPr>
          <w:lang w:val="fr-FR"/>
        </w:rPr>
        <w:t xml:space="preserve">la </w:t>
      </w:r>
      <w:r w:rsidRPr="005D6CD4">
        <w:rPr>
          <w:lang w:val="fr-FR"/>
        </w:rPr>
        <w:t>tra</w:t>
      </w:r>
      <w:r>
        <w:rPr>
          <w:lang w:val="fr-FR"/>
        </w:rPr>
        <w:t>ite des personnes</w:t>
      </w:r>
      <w:r w:rsidRPr="005D6CD4">
        <w:rPr>
          <w:lang w:val="fr-FR"/>
        </w:rPr>
        <w:t>.</w:t>
      </w:r>
    </w:p>
    <w:p w:rsidR="00E15507" w:rsidRPr="005D6CD4" w:rsidRDefault="00E15507" w:rsidP="009546E1">
      <w:pPr>
        <w:pStyle w:val="SingleTxt"/>
        <w:numPr>
          <w:ilvl w:val="3"/>
          <w:numId w:val="17"/>
        </w:numPr>
        <w:ind w:left="1710" w:hanging="450"/>
        <w:rPr>
          <w:lang w:val="fr-FR"/>
        </w:rPr>
      </w:pPr>
      <w:r w:rsidRPr="005D6CD4">
        <w:rPr>
          <w:lang w:val="fr-FR"/>
        </w:rPr>
        <w:t>La création de sept Centres de ressources pour les jeunes en vue de fournir des soins de santé, d</w:t>
      </w:r>
      <w:r w:rsidR="000A3D87">
        <w:rPr>
          <w:lang w:val="fr-FR"/>
        </w:rPr>
        <w:t>’</w:t>
      </w:r>
      <w:r w:rsidRPr="005D6CD4">
        <w:rPr>
          <w:lang w:val="fr-FR"/>
        </w:rPr>
        <w:t>apprentissage, et d</w:t>
      </w:r>
      <w:r w:rsidR="000A3D87">
        <w:rPr>
          <w:lang w:val="fr-FR"/>
        </w:rPr>
        <w:t>’</w:t>
      </w:r>
      <w:r w:rsidRPr="005D6CD4">
        <w:rPr>
          <w:lang w:val="fr-FR"/>
        </w:rPr>
        <w:t>assistance judiciaire et d</w:t>
      </w:r>
      <w:r w:rsidR="000A3D87">
        <w:rPr>
          <w:lang w:val="fr-FR"/>
        </w:rPr>
        <w:t>’</w:t>
      </w:r>
      <w:r w:rsidRPr="005D6CD4">
        <w:rPr>
          <w:lang w:val="fr-FR"/>
        </w:rPr>
        <w:t xml:space="preserve">information aux jeunes dans les </w:t>
      </w:r>
      <w:r>
        <w:rPr>
          <w:lang w:val="fr-FR"/>
        </w:rPr>
        <w:t>É</w:t>
      </w:r>
      <w:r w:rsidRPr="005D6CD4">
        <w:rPr>
          <w:lang w:val="fr-FR"/>
        </w:rPr>
        <w:t>tats d</w:t>
      </w:r>
      <w:r w:rsidR="000A3D87">
        <w:rPr>
          <w:lang w:val="fr-FR"/>
        </w:rPr>
        <w:t>’</w:t>
      </w:r>
      <w:r w:rsidRPr="005D6CD4">
        <w:rPr>
          <w:lang w:val="fr-FR"/>
        </w:rPr>
        <w:t xml:space="preserve">Edo, </w:t>
      </w:r>
      <w:r>
        <w:rPr>
          <w:lang w:val="fr-FR"/>
        </w:rPr>
        <w:t>K</w:t>
      </w:r>
      <w:r w:rsidRPr="005D6CD4">
        <w:rPr>
          <w:lang w:val="fr-FR"/>
        </w:rPr>
        <w:t>ano, Akwa, Sokoto, Ebonyi et Imo.</w:t>
      </w:r>
    </w:p>
    <w:p w:rsidR="00E15507" w:rsidRPr="005D6CD4" w:rsidRDefault="00E15507" w:rsidP="009546E1">
      <w:pPr>
        <w:pStyle w:val="SingleTxt"/>
        <w:numPr>
          <w:ilvl w:val="3"/>
          <w:numId w:val="17"/>
        </w:numPr>
        <w:ind w:left="1710" w:hanging="450"/>
        <w:rPr>
          <w:lang w:val="fr-FR"/>
        </w:rPr>
      </w:pPr>
      <w:r w:rsidRPr="005D6CD4">
        <w:rPr>
          <w:lang w:val="fr-FR"/>
        </w:rPr>
        <w:t>Des programmes de sensibilisation destinés à décourager l</w:t>
      </w:r>
      <w:r>
        <w:rPr>
          <w:lang w:val="fr-FR"/>
        </w:rPr>
        <w:t xml:space="preserve">a traite </w:t>
      </w:r>
      <w:r w:rsidRPr="005D6CD4">
        <w:rPr>
          <w:lang w:val="fr-FR"/>
        </w:rPr>
        <w:t xml:space="preserve">des </w:t>
      </w:r>
      <w:r>
        <w:rPr>
          <w:lang w:val="fr-FR"/>
        </w:rPr>
        <w:t xml:space="preserve">personnes </w:t>
      </w:r>
      <w:r w:rsidRPr="005D6CD4">
        <w:rPr>
          <w:lang w:val="fr-FR"/>
        </w:rPr>
        <w:t>sont organisés régulièrement dans plusieurs communautés, marchés, écoles et institutions universitaires, ainsi que dans diverses régions du pays, surtout dans les zones où l</w:t>
      </w:r>
      <w:r>
        <w:rPr>
          <w:lang w:val="fr-FR"/>
        </w:rPr>
        <w:t xml:space="preserve">a traite des personnes </w:t>
      </w:r>
      <w:r w:rsidRPr="005D6CD4">
        <w:rPr>
          <w:lang w:val="fr-FR"/>
        </w:rPr>
        <w:t>est répandu</w:t>
      </w:r>
      <w:r>
        <w:rPr>
          <w:lang w:val="fr-FR"/>
        </w:rPr>
        <w:t>e</w:t>
      </w:r>
      <w:r w:rsidRPr="005D6CD4">
        <w:rPr>
          <w:lang w:val="fr-FR"/>
        </w:rPr>
        <w:t xml:space="preserve"> comme Bénin city dans l</w:t>
      </w:r>
      <w:r w:rsidR="000A3D87">
        <w:rPr>
          <w:lang w:val="fr-FR"/>
        </w:rPr>
        <w:t>’</w:t>
      </w:r>
      <w:r>
        <w:rPr>
          <w:lang w:val="fr-FR"/>
        </w:rPr>
        <w:t>É</w:t>
      </w:r>
      <w:r w:rsidRPr="005D6CD4">
        <w:rPr>
          <w:lang w:val="fr-FR"/>
        </w:rPr>
        <w:t xml:space="preserve">tat </w:t>
      </w:r>
      <w:r>
        <w:rPr>
          <w:lang w:val="fr-FR"/>
        </w:rPr>
        <w:t>d</w:t>
      </w:r>
      <w:r w:rsidR="000A3D87">
        <w:rPr>
          <w:lang w:val="fr-FR"/>
        </w:rPr>
        <w:t>’</w:t>
      </w:r>
      <w:r w:rsidRPr="005D6CD4">
        <w:rPr>
          <w:lang w:val="fr-FR"/>
        </w:rPr>
        <w:t>Edo, Danko dans l</w:t>
      </w:r>
      <w:r w:rsidR="000A3D87">
        <w:rPr>
          <w:lang w:val="fr-FR"/>
        </w:rPr>
        <w:t>’</w:t>
      </w:r>
      <w:r>
        <w:rPr>
          <w:lang w:val="fr-FR"/>
        </w:rPr>
        <w:t>É</w:t>
      </w:r>
      <w:r w:rsidRPr="005D6CD4">
        <w:rPr>
          <w:lang w:val="fr-FR"/>
        </w:rPr>
        <w:t>tat d</w:t>
      </w:r>
      <w:r>
        <w:rPr>
          <w:lang w:val="fr-FR"/>
        </w:rPr>
        <w:t>u</w:t>
      </w:r>
      <w:r w:rsidRPr="005D6CD4">
        <w:rPr>
          <w:lang w:val="fr-FR"/>
        </w:rPr>
        <w:t xml:space="preserve"> Niger, et Edu dans le Kwara, Oshogbo dans l</w:t>
      </w:r>
      <w:r w:rsidR="000A3D87">
        <w:rPr>
          <w:lang w:val="fr-FR"/>
        </w:rPr>
        <w:t>’</w:t>
      </w:r>
      <w:r>
        <w:rPr>
          <w:lang w:val="fr-FR"/>
        </w:rPr>
        <w:t>É</w:t>
      </w:r>
      <w:r w:rsidRPr="005D6CD4">
        <w:rPr>
          <w:lang w:val="fr-FR"/>
        </w:rPr>
        <w:t>tat d</w:t>
      </w:r>
      <w:r>
        <w:rPr>
          <w:lang w:val="fr-FR"/>
        </w:rPr>
        <w:t xml:space="preserve">e </w:t>
      </w:r>
      <w:r w:rsidRPr="005D6CD4">
        <w:rPr>
          <w:lang w:val="fr-FR"/>
        </w:rPr>
        <w:t>Osun, Kafanchan dans le Plateau, et l</w:t>
      </w:r>
      <w:r w:rsidR="000A3D87">
        <w:rPr>
          <w:lang w:val="fr-FR"/>
        </w:rPr>
        <w:t>’</w:t>
      </w:r>
      <w:r>
        <w:rPr>
          <w:lang w:val="fr-FR"/>
        </w:rPr>
        <w:t>É</w:t>
      </w:r>
      <w:r w:rsidRPr="005D6CD4">
        <w:rPr>
          <w:lang w:val="fr-FR"/>
        </w:rPr>
        <w:t>tat de Kaduna.</w:t>
      </w:r>
    </w:p>
    <w:p w:rsidR="00E15507" w:rsidRPr="005D6CD4" w:rsidRDefault="00E15507" w:rsidP="00740CA4">
      <w:pPr>
        <w:pStyle w:val="SingleTxt"/>
        <w:rPr>
          <w:lang w:val="fr-FR"/>
        </w:rPr>
      </w:pPr>
      <w:r w:rsidRPr="005D6CD4">
        <w:rPr>
          <w:b/>
          <w:lang w:val="fr-FR"/>
        </w:rPr>
        <w:t>6.3.2</w:t>
      </w:r>
      <w:r w:rsidRPr="005D6CD4">
        <w:rPr>
          <w:lang w:val="fr-FR"/>
        </w:rPr>
        <w:t>. De solides partenariats ont été noués aux niveaux national et international avec la police, les services d</w:t>
      </w:r>
      <w:r w:rsidR="000A3D87">
        <w:rPr>
          <w:lang w:val="fr-FR"/>
        </w:rPr>
        <w:t>’</w:t>
      </w:r>
      <w:r w:rsidRPr="005D6CD4">
        <w:rPr>
          <w:lang w:val="fr-FR"/>
        </w:rPr>
        <w:t>immigration et de douane du Nigéria en vue de s</w:t>
      </w:r>
      <w:r w:rsidR="000A3D87">
        <w:rPr>
          <w:lang w:val="fr-FR"/>
        </w:rPr>
        <w:t>’</w:t>
      </w:r>
      <w:r w:rsidRPr="005D6CD4">
        <w:rPr>
          <w:lang w:val="fr-FR"/>
        </w:rPr>
        <w:t>attaquer au problème d</w:t>
      </w:r>
      <w:r>
        <w:rPr>
          <w:lang w:val="fr-FR"/>
        </w:rPr>
        <w:t xml:space="preserve">e la traite </w:t>
      </w:r>
      <w:r w:rsidRPr="005D6CD4">
        <w:rPr>
          <w:lang w:val="fr-FR"/>
        </w:rPr>
        <w:t xml:space="preserve">des </w:t>
      </w:r>
      <w:r>
        <w:rPr>
          <w:lang w:val="fr-FR"/>
        </w:rPr>
        <w:t>personnes</w:t>
      </w:r>
      <w:r w:rsidRPr="005D6CD4">
        <w:rPr>
          <w:lang w:val="fr-FR"/>
        </w:rPr>
        <w:t xml:space="preserve"> à travers le contrôle des mouvements transfrontaliers illégaux d</w:t>
      </w:r>
      <w:r w:rsidR="000A3D87">
        <w:rPr>
          <w:lang w:val="fr-FR"/>
        </w:rPr>
        <w:t>’</w:t>
      </w:r>
      <w:r w:rsidRPr="005D6CD4">
        <w:rPr>
          <w:lang w:val="fr-FR"/>
        </w:rPr>
        <w:t>enfants et de femmes. Par conséquent, un rapport annuel, des fiches de renseignement et un Manuel de soutien aux victimes ont été publiés et largement distribués.</w:t>
      </w:r>
      <w:r>
        <w:rPr>
          <w:lang w:val="fr-FR"/>
        </w:rPr>
        <w:t xml:space="preserve"> </w:t>
      </w:r>
    </w:p>
    <w:p w:rsidR="00E15507" w:rsidRPr="005D6CD4" w:rsidRDefault="00E15507" w:rsidP="00740CA4">
      <w:pPr>
        <w:pStyle w:val="SingleTxt"/>
        <w:rPr>
          <w:lang w:val="fr-FR"/>
        </w:rPr>
      </w:pPr>
      <w:r w:rsidRPr="005D6CD4">
        <w:rPr>
          <w:b/>
          <w:lang w:val="fr-FR"/>
        </w:rPr>
        <w:t>6.3.3</w:t>
      </w:r>
      <w:r w:rsidRPr="005D6CD4">
        <w:rPr>
          <w:lang w:val="fr-FR"/>
        </w:rPr>
        <w:t xml:space="preserve"> Les Services d</w:t>
      </w:r>
      <w:r w:rsidR="000A3D87">
        <w:rPr>
          <w:lang w:val="fr-FR"/>
        </w:rPr>
        <w:t>’</w:t>
      </w:r>
      <w:r w:rsidRPr="005D6CD4">
        <w:rPr>
          <w:lang w:val="fr-FR"/>
        </w:rPr>
        <w:t>immigration du Nigéria et d</w:t>
      </w:r>
      <w:r w:rsidR="000A3D87">
        <w:rPr>
          <w:lang w:val="fr-FR"/>
        </w:rPr>
        <w:t>’</w:t>
      </w:r>
      <w:r w:rsidRPr="005D6CD4">
        <w:rPr>
          <w:lang w:val="fr-FR"/>
        </w:rPr>
        <w:t>autres organismes de contrôle des frontières, notamment les Services de douane du Nigéria ont mis au point des opérations au niveau des frontières pour contrôler les mouvements ou les transferts illégaux d</w:t>
      </w:r>
      <w:r w:rsidR="000A3D87">
        <w:rPr>
          <w:lang w:val="fr-FR"/>
        </w:rPr>
        <w:t>’</w:t>
      </w:r>
      <w:r w:rsidRPr="005D6CD4">
        <w:rPr>
          <w:lang w:val="fr-FR"/>
        </w:rPr>
        <w:t>enfants et de femmes. Récemment, les Services d</w:t>
      </w:r>
      <w:r w:rsidR="000A3D87">
        <w:rPr>
          <w:lang w:val="fr-FR"/>
        </w:rPr>
        <w:t>’</w:t>
      </w:r>
      <w:r w:rsidRPr="005D6CD4">
        <w:rPr>
          <w:lang w:val="fr-FR"/>
        </w:rPr>
        <w:t xml:space="preserve">immigration ont créé un département spécifiquement dédié </w:t>
      </w:r>
      <w:r>
        <w:rPr>
          <w:lang w:val="fr-FR"/>
        </w:rPr>
        <w:t>à la lutte contre la traite des personnes</w:t>
      </w:r>
      <w:r w:rsidRPr="005D6CD4">
        <w:rPr>
          <w:lang w:val="fr-FR"/>
        </w:rPr>
        <w:t xml:space="preserve">. Les Forces de police nigérianes comprennent également une unité consacrée </w:t>
      </w:r>
      <w:r>
        <w:rPr>
          <w:lang w:val="fr-FR"/>
        </w:rPr>
        <w:t xml:space="preserve">à la lutte contre la traite </w:t>
      </w:r>
      <w:r w:rsidRPr="005D6CD4">
        <w:rPr>
          <w:lang w:val="fr-FR"/>
        </w:rPr>
        <w:t>national</w:t>
      </w:r>
      <w:r>
        <w:rPr>
          <w:lang w:val="fr-FR"/>
        </w:rPr>
        <w:t>e</w:t>
      </w:r>
      <w:r w:rsidRPr="005D6CD4">
        <w:rPr>
          <w:lang w:val="fr-FR"/>
        </w:rPr>
        <w:t xml:space="preserve"> et international</w:t>
      </w:r>
      <w:r>
        <w:rPr>
          <w:lang w:val="fr-FR"/>
        </w:rPr>
        <w:t>e</w:t>
      </w:r>
      <w:r w:rsidRPr="005D6CD4">
        <w:rPr>
          <w:lang w:val="fr-FR"/>
        </w:rPr>
        <w:t xml:space="preserve"> d</w:t>
      </w:r>
      <w:r>
        <w:rPr>
          <w:lang w:val="fr-FR"/>
        </w:rPr>
        <w:t>es personnes</w:t>
      </w:r>
      <w:r w:rsidRPr="005D6CD4">
        <w:rPr>
          <w:lang w:val="fr-FR"/>
        </w:rPr>
        <w:t xml:space="preserve">. Les efforts actuels de collaboration en cours ont été très bénéfiques pour la lutte contre </w:t>
      </w:r>
      <w:r>
        <w:rPr>
          <w:lang w:val="fr-FR"/>
        </w:rPr>
        <w:t>cette activité</w:t>
      </w:r>
      <w:r w:rsidRPr="005D6CD4">
        <w:rPr>
          <w:lang w:val="fr-FR"/>
        </w:rPr>
        <w:t xml:space="preserve">. </w:t>
      </w:r>
    </w:p>
    <w:p w:rsidR="00E15507" w:rsidRPr="005D6CD4" w:rsidRDefault="00C46625" w:rsidP="00740CA4">
      <w:pPr>
        <w:pStyle w:val="SingleTxt"/>
        <w:rPr>
          <w:lang w:val="fr-FR"/>
        </w:rPr>
      </w:pPr>
      <w:r>
        <w:rPr>
          <w:lang w:val="fr-FR"/>
        </w:rPr>
        <w:tab/>
      </w:r>
      <w:r w:rsidR="00E15507" w:rsidRPr="005D6CD4">
        <w:rPr>
          <w:lang w:val="fr-FR"/>
        </w:rPr>
        <w:t xml:space="preserve">Les domaines de collaboration ont également été étendus à la formation des </w:t>
      </w:r>
      <w:r w:rsidR="00E15507">
        <w:rPr>
          <w:lang w:val="fr-FR"/>
        </w:rPr>
        <w:t>fonctionnaires judiciaires</w:t>
      </w:r>
      <w:r w:rsidR="00E15507" w:rsidRPr="005D6CD4">
        <w:rPr>
          <w:lang w:val="fr-FR"/>
        </w:rPr>
        <w:t>, notamment les juges, les avocats, les procureurs, le personnel des services d</w:t>
      </w:r>
      <w:r w:rsidR="000A3D87">
        <w:rPr>
          <w:lang w:val="fr-FR"/>
        </w:rPr>
        <w:t>’</w:t>
      </w:r>
      <w:r w:rsidR="00E15507" w:rsidRPr="005D6CD4">
        <w:rPr>
          <w:lang w:val="fr-FR"/>
        </w:rPr>
        <w:t>immigration et les policiers.</w:t>
      </w:r>
    </w:p>
    <w:p w:rsidR="00E15507" w:rsidRDefault="00C46625" w:rsidP="00306BA7">
      <w:pPr>
        <w:pStyle w:val="SingleTxt"/>
        <w:rPr>
          <w:color w:val="000000"/>
          <w:lang w:val="fr-FR"/>
        </w:rPr>
      </w:pPr>
      <w:r>
        <w:rPr>
          <w:color w:val="000000"/>
          <w:lang w:val="fr-FR"/>
        </w:rPr>
        <w:tab/>
      </w:r>
      <w:r w:rsidR="00E15507" w:rsidRPr="005D6CD4">
        <w:rPr>
          <w:color w:val="000000"/>
          <w:lang w:val="fr-FR"/>
        </w:rPr>
        <w:t xml:space="preserve">Les programmes exécutés avec succès en 2005 grâce aux efforts de collaboration entre </w:t>
      </w:r>
      <w:r w:rsidR="00E15507">
        <w:rPr>
          <w:color w:val="000000"/>
          <w:lang w:val="fr-FR"/>
        </w:rPr>
        <w:t>la NAPTIP</w:t>
      </w:r>
      <w:r w:rsidR="00E15507" w:rsidRPr="005D6CD4">
        <w:rPr>
          <w:color w:val="000000"/>
          <w:lang w:val="fr-FR"/>
        </w:rPr>
        <w:t>, l</w:t>
      </w:r>
      <w:r w:rsidR="000A3D87">
        <w:rPr>
          <w:color w:val="000000"/>
          <w:lang w:val="fr-FR"/>
        </w:rPr>
        <w:t>’</w:t>
      </w:r>
      <w:r w:rsidR="00E15507" w:rsidRPr="005D6CD4">
        <w:rPr>
          <w:color w:val="000000"/>
          <w:lang w:val="fr-FR"/>
        </w:rPr>
        <w:t xml:space="preserve">UNICEF, </w:t>
      </w:r>
      <w:r w:rsidR="00E15507">
        <w:rPr>
          <w:color w:val="000000"/>
          <w:lang w:val="fr-FR"/>
        </w:rPr>
        <w:t>l</w:t>
      </w:r>
      <w:r w:rsidR="00E15507" w:rsidRPr="005D6CD4">
        <w:rPr>
          <w:color w:val="000000"/>
          <w:lang w:val="fr-FR"/>
        </w:rPr>
        <w:t xml:space="preserve">a Commission des services judiciaires, le </w:t>
      </w:r>
      <w:r w:rsidR="00E15507">
        <w:rPr>
          <w:color w:val="000000"/>
          <w:lang w:val="fr-FR"/>
        </w:rPr>
        <w:t>ministère</w:t>
      </w:r>
      <w:r w:rsidR="00E15507" w:rsidRPr="005D6CD4">
        <w:rPr>
          <w:color w:val="000000"/>
          <w:lang w:val="fr-FR"/>
        </w:rPr>
        <w:t xml:space="preserve"> fédéral de la </w:t>
      </w:r>
      <w:r w:rsidR="00E15507">
        <w:rPr>
          <w:color w:val="000000"/>
          <w:lang w:val="fr-FR"/>
        </w:rPr>
        <w:t>C</w:t>
      </w:r>
      <w:r w:rsidR="00E15507" w:rsidRPr="005D6CD4">
        <w:rPr>
          <w:color w:val="000000"/>
          <w:lang w:val="fr-FR"/>
        </w:rPr>
        <w:t xml:space="preserve">ondition </w:t>
      </w:r>
      <w:r w:rsidR="00E15507">
        <w:rPr>
          <w:color w:val="000000"/>
          <w:lang w:val="fr-FR"/>
        </w:rPr>
        <w:t>de la femme</w:t>
      </w:r>
      <w:r w:rsidR="00E15507" w:rsidRPr="005D6CD4">
        <w:rPr>
          <w:color w:val="000000"/>
          <w:lang w:val="fr-FR"/>
        </w:rPr>
        <w:t>, la Commission nationale des droits de l</w:t>
      </w:r>
      <w:r w:rsidR="000A3D87">
        <w:rPr>
          <w:color w:val="000000"/>
          <w:lang w:val="fr-FR"/>
        </w:rPr>
        <w:t>’</w:t>
      </w:r>
      <w:r w:rsidR="00E15507" w:rsidRPr="005D6CD4">
        <w:rPr>
          <w:color w:val="000000"/>
          <w:lang w:val="fr-FR"/>
        </w:rPr>
        <w:t xml:space="preserve">homme sont </w:t>
      </w:r>
      <w:r w:rsidR="00E15507">
        <w:rPr>
          <w:color w:val="000000"/>
          <w:lang w:val="fr-FR"/>
        </w:rPr>
        <w:t>présentés dans l</w:t>
      </w:r>
      <w:r w:rsidR="000A3D87">
        <w:rPr>
          <w:color w:val="000000"/>
          <w:lang w:val="fr-FR"/>
        </w:rPr>
        <w:t>’</w:t>
      </w:r>
      <w:r w:rsidR="00E15507">
        <w:rPr>
          <w:color w:val="000000"/>
          <w:lang w:val="fr-FR"/>
        </w:rPr>
        <w:t>E</w:t>
      </w:r>
      <w:r w:rsidR="00E15507" w:rsidRPr="005D6CD4">
        <w:rPr>
          <w:color w:val="000000"/>
          <w:lang w:val="fr-FR"/>
        </w:rPr>
        <w:t>ncadré 6.1.</w:t>
      </w:r>
    </w:p>
    <w:p w:rsidR="001E4E36" w:rsidRDefault="001E4E36" w:rsidP="001E4E36">
      <w:pPr>
        <w:rPr>
          <w:lang w:val="fr-FR"/>
        </w:rPr>
      </w:pPr>
      <w:r>
        <w:rPr>
          <w:noProof/>
          <w:w w:val="100"/>
          <w:lang w:val="en-US"/>
        </w:rPr>
        <w:pict>
          <v:shape id="_x0000_s2122" type="#_x0000_t202" style="position:absolute;margin-left:61.3pt;margin-top:9.1pt;width:369pt;height:297pt;z-index:12">
            <v:textbox>
              <w:txbxContent>
                <w:p w:rsidR="00D32F3D" w:rsidRPr="00306BA7" w:rsidRDefault="00D32F3D" w:rsidP="00306BA7">
                  <w:pPr>
                    <w:spacing w:after="120"/>
                    <w:ind w:left="72"/>
                    <w:suppressOverlap/>
                    <w:rPr>
                      <w:b/>
                      <w:color w:val="000000"/>
                      <w:lang w:val="fr-FR"/>
                    </w:rPr>
                  </w:pPr>
                  <w:r w:rsidRPr="00306BA7">
                    <w:rPr>
                      <w:b/>
                      <w:color w:val="000000"/>
                      <w:lang w:val="fr-FR"/>
                    </w:rPr>
                    <w:t>Encadré 6.1</w:t>
                  </w:r>
                </w:p>
                <w:p w:rsidR="00D32F3D" w:rsidRPr="00C46625" w:rsidRDefault="00D32F3D" w:rsidP="00306BA7">
                  <w:pPr>
                    <w:spacing w:after="120"/>
                    <w:ind w:left="72"/>
                    <w:suppressOverlap/>
                    <w:jc w:val="both"/>
                    <w:rPr>
                      <w:i/>
                      <w:color w:val="000000"/>
                      <w:lang w:val="fr-FR"/>
                    </w:rPr>
                  </w:pPr>
                  <w:r w:rsidRPr="00C46625">
                    <w:rPr>
                      <w:color w:val="000000"/>
                      <w:lang w:val="fr-FR"/>
                    </w:rPr>
                    <w:t>60 travailleurs</w:t>
                  </w:r>
                  <w:r w:rsidRPr="00C46625">
                    <w:rPr>
                      <w:i/>
                      <w:color w:val="000000"/>
                      <w:lang w:val="fr-FR"/>
                    </w:rPr>
                    <w:t xml:space="preserve"> sociaux en provenance des institutions de garde d’enfants des zones résidentielles du Nigéria ont bénéficié d’une formation standard de base en matière de conseil et de réintégration des enfants. Ce qui a permis des soins et une protection améliorés des enfants qui n’ont pas de fournisseurs de soins de premier recours.</w:t>
                  </w:r>
                </w:p>
                <w:p w:rsidR="00D32F3D" w:rsidRPr="00C46625" w:rsidRDefault="00D32F3D" w:rsidP="00306BA7">
                  <w:pPr>
                    <w:spacing w:after="120"/>
                    <w:ind w:left="72"/>
                    <w:suppressOverlap/>
                    <w:jc w:val="both"/>
                    <w:rPr>
                      <w:color w:val="000000"/>
                      <w:lang w:val="fr-FR"/>
                    </w:rPr>
                  </w:pPr>
                  <w:r w:rsidRPr="00C46625">
                    <w:rPr>
                      <w:color w:val="000000"/>
                      <w:lang w:val="fr-FR"/>
                    </w:rPr>
                    <w:t xml:space="preserve">154 </w:t>
                  </w:r>
                  <w:r w:rsidRPr="00C46625">
                    <w:rPr>
                      <w:i/>
                      <w:color w:val="000000"/>
                      <w:lang w:val="fr-FR"/>
                    </w:rPr>
                    <w:t xml:space="preserve">personnes chargées des enquêtes/exécution provenant de la police et des services d’immigration ont été formées. Elles sont mieux outillées, ce qui permet d’améliorer la prévention, l’arrestation, l’établissement de rapports, et les poursuites contre les auteurs de traite de personnes ainsi que le rapatriement des victimes. </w:t>
                  </w:r>
                </w:p>
                <w:p w:rsidR="00D32F3D" w:rsidRPr="00C46625" w:rsidRDefault="00D32F3D" w:rsidP="00306BA7">
                  <w:pPr>
                    <w:spacing w:after="120"/>
                    <w:ind w:left="72"/>
                    <w:suppressOverlap/>
                    <w:jc w:val="both"/>
                    <w:rPr>
                      <w:i/>
                      <w:color w:val="000000"/>
                      <w:lang w:val="fr-FR"/>
                    </w:rPr>
                  </w:pPr>
                  <w:r w:rsidRPr="00C46625">
                    <w:rPr>
                      <w:i/>
                      <w:color w:val="000000"/>
                      <w:lang w:val="fr-FR"/>
                    </w:rPr>
                    <w:t xml:space="preserve">328 personnes de </w:t>
                  </w:r>
                  <w:r w:rsidRPr="00C46625">
                    <w:rPr>
                      <w:color w:val="000000"/>
                      <w:lang w:val="fr-FR"/>
                    </w:rPr>
                    <w:t>maintien de l’ordre</w:t>
                  </w:r>
                  <w:r w:rsidRPr="00C46625">
                    <w:rPr>
                      <w:i/>
                      <w:color w:val="000000"/>
                      <w:lang w:val="fr-FR"/>
                    </w:rPr>
                    <w:t xml:space="preserve"> et personnes chargées de poursuivre les auteurs d’abus sur les enfants ont été formées et sont mieux placées pour assurer la protection des droits des jeunes délinquants.</w:t>
                  </w:r>
                </w:p>
                <w:p w:rsidR="00D32F3D" w:rsidRPr="00C46625" w:rsidRDefault="00D32F3D" w:rsidP="00306BA7">
                  <w:pPr>
                    <w:spacing w:after="120"/>
                    <w:ind w:left="72"/>
                    <w:suppressOverlap/>
                    <w:jc w:val="both"/>
                    <w:rPr>
                      <w:i/>
                      <w:color w:val="000000"/>
                      <w:lang w:val="fr-FR"/>
                    </w:rPr>
                  </w:pPr>
                  <w:r w:rsidRPr="00C46625">
                    <w:rPr>
                      <w:color w:val="000000"/>
                      <w:lang w:val="fr-FR"/>
                    </w:rPr>
                    <w:t>1 100 jeunes délinquants</w:t>
                  </w:r>
                  <w:r w:rsidRPr="00C46625">
                    <w:rPr>
                      <w:i/>
                      <w:color w:val="000000"/>
                      <w:lang w:val="fr-FR"/>
                    </w:rPr>
                    <w:t>, enfants indigents et femmes bénéficient d’une meilleure défense par un avocat, de services de conseil, de programmes de déjudiciarisation et de services bénévoles grâce à des agents de maintien de l’ordre formés.</w:t>
                  </w:r>
                </w:p>
                <w:p w:rsidR="00D32F3D" w:rsidRDefault="00D32F3D" w:rsidP="00306BA7">
                  <w:pPr>
                    <w:spacing w:after="120"/>
                    <w:ind w:left="72"/>
                    <w:suppressOverlap/>
                    <w:jc w:val="both"/>
                  </w:pPr>
                  <w:r w:rsidRPr="00C46625">
                    <w:rPr>
                      <w:color w:val="000000"/>
                      <w:lang w:val="fr-FR"/>
                    </w:rPr>
                    <w:t>93 praticiens du droit</w:t>
                  </w:r>
                  <w:r w:rsidRPr="00C46625">
                    <w:rPr>
                      <w:i/>
                      <w:color w:val="000000"/>
                      <w:lang w:val="fr-FR"/>
                    </w:rPr>
                    <w:t>, travailleurs sociaux, représentants du ministère fédéral de la Condition de la femme et d’ONG ont été formés dans le domaine de l’administration de la justice juvénile et des programmes de déjudiciarisation.</w:t>
                  </w:r>
                </w:p>
              </w:txbxContent>
            </v:textbox>
          </v:shape>
        </w:pict>
      </w:r>
    </w:p>
    <w:p w:rsidR="001E4E36" w:rsidRDefault="001E4E36" w:rsidP="001E4E36">
      <w:pPr>
        <w:rPr>
          <w:lang w:val="fr-FR"/>
        </w:rPr>
      </w:pPr>
    </w:p>
    <w:p w:rsidR="001E4E36" w:rsidRDefault="001E4E36" w:rsidP="001E4E36">
      <w:pPr>
        <w:rPr>
          <w:lang w:val="fr-FR"/>
        </w:rPr>
      </w:pPr>
    </w:p>
    <w:p w:rsidR="001E4E36" w:rsidRDefault="001E4E36" w:rsidP="001E4E36">
      <w:pPr>
        <w:rPr>
          <w:lang w:val="fr-FR"/>
        </w:rPr>
      </w:pPr>
    </w:p>
    <w:p w:rsidR="001E4E36" w:rsidRDefault="001E4E36" w:rsidP="001E4E36">
      <w:pPr>
        <w:rPr>
          <w:lang w:val="fr-FR"/>
        </w:rPr>
      </w:pPr>
    </w:p>
    <w:p w:rsidR="001E4E36" w:rsidRDefault="001E4E36" w:rsidP="001E4E36">
      <w:pPr>
        <w:rPr>
          <w:lang w:val="fr-FR"/>
        </w:rPr>
      </w:pPr>
    </w:p>
    <w:p w:rsidR="001E4E36" w:rsidRDefault="001E4E36" w:rsidP="001E4E36">
      <w:pPr>
        <w:rPr>
          <w:lang w:val="fr-FR"/>
        </w:rPr>
      </w:pPr>
    </w:p>
    <w:p w:rsidR="001E4E36" w:rsidRDefault="001E4E36" w:rsidP="001E4E36">
      <w:pPr>
        <w:rPr>
          <w:lang w:val="fr-FR"/>
        </w:rPr>
      </w:pPr>
    </w:p>
    <w:p w:rsidR="001E4E36" w:rsidRDefault="001E4E36" w:rsidP="001E4E36">
      <w:pPr>
        <w:rPr>
          <w:lang w:val="fr-FR"/>
        </w:rPr>
      </w:pPr>
    </w:p>
    <w:p w:rsidR="00306BA7" w:rsidRDefault="00306BA7" w:rsidP="001E4E36">
      <w:pPr>
        <w:rPr>
          <w:lang w:val="fr-FR"/>
        </w:rPr>
      </w:pPr>
    </w:p>
    <w:p w:rsidR="001E4E36" w:rsidRDefault="001E4E36" w:rsidP="001E4E36">
      <w:pPr>
        <w:rPr>
          <w:lang w:val="fr-FR"/>
        </w:rPr>
      </w:pPr>
    </w:p>
    <w:p w:rsidR="001E4E36" w:rsidRDefault="001E4E36" w:rsidP="001E4E36">
      <w:pPr>
        <w:rPr>
          <w:lang w:val="fr-FR"/>
        </w:rPr>
      </w:pPr>
    </w:p>
    <w:p w:rsidR="001E4E36" w:rsidRDefault="001E4E36" w:rsidP="001E4E36">
      <w:pPr>
        <w:rPr>
          <w:lang w:val="fr-FR"/>
        </w:rPr>
      </w:pPr>
    </w:p>
    <w:p w:rsidR="001E4E36" w:rsidRDefault="001E4E36" w:rsidP="001E4E36">
      <w:pPr>
        <w:rPr>
          <w:lang w:val="fr-FR"/>
        </w:rPr>
      </w:pPr>
    </w:p>
    <w:p w:rsidR="001E4E36" w:rsidRDefault="001E4E36" w:rsidP="001E4E36">
      <w:pPr>
        <w:rPr>
          <w:lang w:val="fr-FR"/>
        </w:rPr>
      </w:pPr>
    </w:p>
    <w:p w:rsidR="001E4E36" w:rsidRDefault="001E4E36" w:rsidP="001E4E36">
      <w:pPr>
        <w:rPr>
          <w:lang w:val="fr-FR"/>
        </w:rPr>
      </w:pPr>
    </w:p>
    <w:p w:rsidR="001E4E36" w:rsidRDefault="001E4E36" w:rsidP="001E4E36">
      <w:pPr>
        <w:rPr>
          <w:lang w:val="fr-FR"/>
        </w:rPr>
      </w:pPr>
    </w:p>
    <w:p w:rsidR="001E4E36" w:rsidRDefault="001E4E36" w:rsidP="001E4E36">
      <w:pPr>
        <w:rPr>
          <w:lang w:val="fr-FR"/>
        </w:rPr>
      </w:pPr>
    </w:p>
    <w:p w:rsidR="001E4E36" w:rsidRDefault="001E4E36" w:rsidP="001E4E36">
      <w:pPr>
        <w:rPr>
          <w:lang w:val="fr-FR"/>
        </w:rPr>
      </w:pPr>
    </w:p>
    <w:p w:rsidR="001E4E36" w:rsidRDefault="001E4E36" w:rsidP="001E4E36">
      <w:pPr>
        <w:rPr>
          <w:lang w:val="fr-FR"/>
        </w:rPr>
      </w:pPr>
    </w:p>
    <w:p w:rsidR="001E4E36" w:rsidRDefault="001E4E36" w:rsidP="001E4E36">
      <w:pPr>
        <w:rPr>
          <w:lang w:val="fr-FR"/>
        </w:rPr>
      </w:pPr>
    </w:p>
    <w:p w:rsidR="001E4E36" w:rsidRDefault="001E4E36" w:rsidP="001E4E36">
      <w:pPr>
        <w:rPr>
          <w:lang w:val="fr-FR"/>
        </w:rPr>
      </w:pPr>
    </w:p>
    <w:p w:rsidR="001E4E36" w:rsidRDefault="001E4E36" w:rsidP="001E4E36">
      <w:pPr>
        <w:rPr>
          <w:lang w:val="fr-FR"/>
        </w:rPr>
      </w:pPr>
    </w:p>
    <w:p w:rsidR="001E4E36" w:rsidRDefault="001E4E36" w:rsidP="001E4E36">
      <w:pPr>
        <w:rPr>
          <w:lang w:val="fr-FR"/>
        </w:rPr>
      </w:pPr>
    </w:p>
    <w:p w:rsidR="001E4E36" w:rsidRDefault="001E4E36" w:rsidP="001E4E36">
      <w:pPr>
        <w:rPr>
          <w:lang w:val="fr-FR"/>
        </w:rPr>
      </w:pPr>
    </w:p>
    <w:p w:rsidR="001E4E36" w:rsidRDefault="001E4E36" w:rsidP="001E4E36">
      <w:pPr>
        <w:rPr>
          <w:lang w:val="fr-FR"/>
        </w:rPr>
      </w:pPr>
    </w:p>
    <w:p w:rsidR="001E4E36" w:rsidRPr="005D6CD4" w:rsidRDefault="001E4E36" w:rsidP="001E4E36">
      <w:pPr>
        <w:rPr>
          <w:lang w:val="fr-FR"/>
        </w:rPr>
      </w:pPr>
    </w:p>
    <w:p w:rsidR="00E15507" w:rsidRPr="005D6CD4" w:rsidRDefault="00E15507" w:rsidP="001E4E36">
      <w:pPr>
        <w:pStyle w:val="SingleTxt"/>
        <w:rPr>
          <w:lang w:val="fr-FR"/>
        </w:rPr>
      </w:pPr>
      <w:r w:rsidRPr="005D6CD4">
        <w:rPr>
          <w:b/>
          <w:lang w:val="fr-FR"/>
        </w:rPr>
        <w:t>6.3.4</w:t>
      </w:r>
      <w:r w:rsidRPr="005D6CD4">
        <w:rPr>
          <w:lang w:val="fr-FR"/>
        </w:rPr>
        <w:t xml:space="preserve"> </w:t>
      </w:r>
      <w:r w:rsidR="001E4E36">
        <w:rPr>
          <w:lang w:val="fr-FR"/>
        </w:rPr>
        <w:t xml:space="preserve"> </w:t>
      </w:r>
      <w:r w:rsidRPr="005D6CD4">
        <w:rPr>
          <w:lang w:val="fr-FR"/>
        </w:rPr>
        <w:t>L</w:t>
      </w:r>
      <w:r w:rsidR="000A3D87">
        <w:rPr>
          <w:lang w:val="fr-FR"/>
        </w:rPr>
        <w:t>’</w:t>
      </w:r>
      <w:r w:rsidRPr="005D6CD4">
        <w:rPr>
          <w:lang w:val="fr-FR"/>
        </w:rPr>
        <w:t>impact de la coopération entre le Nigéria et les pays de destination a permis l</w:t>
      </w:r>
      <w:r w:rsidR="000A3D87">
        <w:rPr>
          <w:lang w:val="fr-FR"/>
        </w:rPr>
        <w:t>’</w:t>
      </w:r>
      <w:r>
        <w:rPr>
          <w:lang w:val="fr-FR"/>
        </w:rPr>
        <w:t xml:space="preserve">augmentation </w:t>
      </w:r>
      <w:r w:rsidRPr="005D6CD4">
        <w:rPr>
          <w:lang w:val="fr-FR"/>
        </w:rPr>
        <w:t>du nombre d</w:t>
      </w:r>
      <w:r w:rsidR="000A3D87">
        <w:rPr>
          <w:lang w:val="fr-FR"/>
        </w:rPr>
        <w:t>’</w:t>
      </w:r>
      <w:r w:rsidRPr="005D6CD4">
        <w:rPr>
          <w:lang w:val="fr-FR"/>
        </w:rPr>
        <w:t>arrestations et de procès contre les personnes impliquées dans l</w:t>
      </w:r>
      <w:r>
        <w:rPr>
          <w:lang w:val="fr-FR"/>
        </w:rPr>
        <w:t xml:space="preserve">a traite </w:t>
      </w:r>
      <w:r w:rsidRPr="005D6CD4">
        <w:rPr>
          <w:lang w:val="fr-FR"/>
        </w:rPr>
        <w:t>d</w:t>
      </w:r>
      <w:r>
        <w:rPr>
          <w:lang w:val="fr-FR"/>
        </w:rPr>
        <w:t xml:space="preserve">es </w:t>
      </w:r>
      <w:r w:rsidRPr="005D6CD4">
        <w:rPr>
          <w:lang w:val="fr-FR"/>
        </w:rPr>
        <w:t>enfants et toutes les formes d</w:t>
      </w:r>
      <w:r w:rsidR="000A3D87">
        <w:rPr>
          <w:lang w:val="fr-FR"/>
        </w:rPr>
        <w:t>’</w:t>
      </w:r>
      <w:r w:rsidRPr="005D6CD4">
        <w:rPr>
          <w:lang w:val="fr-FR"/>
        </w:rPr>
        <w:t>exploitation sexuelle. Les partenaires de développement, les organismes internationaux et les ONG ont apporté un soutien matériel à l</w:t>
      </w:r>
      <w:r>
        <w:rPr>
          <w:lang w:val="fr-FR"/>
        </w:rPr>
        <w:t xml:space="preserve">a NAPTIP </w:t>
      </w:r>
      <w:r w:rsidRPr="005D6CD4">
        <w:rPr>
          <w:lang w:val="fr-FR"/>
        </w:rPr>
        <w:t>dans son action de secours et de réintégration sociale des personnes victimes de tra</w:t>
      </w:r>
      <w:r>
        <w:rPr>
          <w:lang w:val="fr-FR"/>
        </w:rPr>
        <w:t>ite</w:t>
      </w:r>
      <w:r w:rsidRPr="005D6CD4">
        <w:rPr>
          <w:lang w:val="fr-FR"/>
        </w:rPr>
        <w:t xml:space="preserve">. </w:t>
      </w:r>
    </w:p>
    <w:p w:rsidR="00E15507" w:rsidRPr="005D6CD4" w:rsidRDefault="00E15507" w:rsidP="001E4E36">
      <w:pPr>
        <w:pStyle w:val="SingleTxt"/>
        <w:rPr>
          <w:lang w:val="fr-FR"/>
        </w:rPr>
      </w:pPr>
      <w:r w:rsidRPr="005D6CD4">
        <w:rPr>
          <w:b/>
          <w:lang w:val="fr-FR"/>
        </w:rPr>
        <w:t>6.3.5</w:t>
      </w:r>
      <w:r w:rsidRPr="005D6CD4">
        <w:rPr>
          <w:lang w:val="fr-FR"/>
        </w:rPr>
        <w:t xml:space="preserve"> </w:t>
      </w:r>
      <w:r w:rsidR="001E4E36">
        <w:rPr>
          <w:lang w:val="fr-FR"/>
        </w:rPr>
        <w:t xml:space="preserve"> </w:t>
      </w:r>
      <w:r w:rsidRPr="005D6CD4">
        <w:rPr>
          <w:lang w:val="fr-FR"/>
        </w:rPr>
        <w:t>En mai 2006, une conférence régionale sur l</w:t>
      </w:r>
      <w:r>
        <w:rPr>
          <w:lang w:val="fr-FR"/>
        </w:rPr>
        <w:t xml:space="preserve">a traite des personnes </w:t>
      </w:r>
      <w:r w:rsidRPr="005D6CD4">
        <w:rPr>
          <w:lang w:val="fr-FR"/>
        </w:rPr>
        <w:t>s</w:t>
      </w:r>
      <w:r w:rsidR="000A3D87">
        <w:rPr>
          <w:lang w:val="fr-FR"/>
        </w:rPr>
        <w:t>’</w:t>
      </w:r>
      <w:r w:rsidRPr="005D6CD4">
        <w:rPr>
          <w:lang w:val="fr-FR"/>
        </w:rPr>
        <w:t>est tenue au Gabon. Elle a permis l</w:t>
      </w:r>
      <w:r w:rsidR="000A3D87">
        <w:rPr>
          <w:lang w:val="fr-FR"/>
        </w:rPr>
        <w:t>’</w:t>
      </w:r>
      <w:r w:rsidRPr="005D6CD4">
        <w:rPr>
          <w:lang w:val="fr-FR"/>
        </w:rPr>
        <w:t>adoption d</w:t>
      </w:r>
      <w:r w:rsidR="000A3D87">
        <w:rPr>
          <w:lang w:val="fr-FR"/>
        </w:rPr>
        <w:t>’</w:t>
      </w:r>
      <w:r w:rsidRPr="005D6CD4">
        <w:rPr>
          <w:lang w:val="fr-FR"/>
        </w:rPr>
        <w:t>une plateforme commune contre l</w:t>
      </w:r>
      <w:r>
        <w:rPr>
          <w:lang w:val="fr-FR"/>
        </w:rPr>
        <w:t xml:space="preserve">a traite des </w:t>
      </w:r>
      <w:r w:rsidRPr="005D6CD4">
        <w:rPr>
          <w:lang w:val="fr-FR"/>
        </w:rPr>
        <w:t>êtres humains en Afrique centrale et de l</w:t>
      </w:r>
      <w:r w:rsidR="000A3D87">
        <w:rPr>
          <w:lang w:val="fr-FR"/>
        </w:rPr>
        <w:t>’</w:t>
      </w:r>
      <w:r w:rsidRPr="005D6CD4">
        <w:rPr>
          <w:lang w:val="fr-FR"/>
        </w:rPr>
        <w:t>Ouest.</w:t>
      </w:r>
    </w:p>
    <w:p w:rsidR="00E15507" w:rsidRPr="005D6CD4" w:rsidRDefault="001E4E36" w:rsidP="001E4E36">
      <w:pPr>
        <w:pStyle w:val="SingleTxt"/>
        <w:rPr>
          <w:lang w:val="fr-FR"/>
        </w:rPr>
      </w:pPr>
      <w:r>
        <w:rPr>
          <w:lang w:val="fr-FR"/>
        </w:rPr>
        <w:tab/>
      </w:r>
      <w:r w:rsidR="00E15507" w:rsidRPr="005D6CD4">
        <w:rPr>
          <w:lang w:val="fr-FR"/>
        </w:rPr>
        <w:t xml:space="preserve">Les </w:t>
      </w:r>
      <w:r w:rsidR="00E15507">
        <w:rPr>
          <w:lang w:val="fr-FR"/>
        </w:rPr>
        <w:t xml:space="preserve">itinéraires de la traite </w:t>
      </w:r>
      <w:r w:rsidR="00E15507" w:rsidRPr="005D6CD4">
        <w:rPr>
          <w:lang w:val="fr-FR"/>
        </w:rPr>
        <w:t xml:space="preserve">ont été </w:t>
      </w:r>
      <w:r w:rsidR="00E15507">
        <w:rPr>
          <w:lang w:val="fr-FR"/>
        </w:rPr>
        <w:t xml:space="preserve">actualisés </w:t>
      </w:r>
      <w:r w:rsidR="00E15507" w:rsidRPr="005D6CD4">
        <w:rPr>
          <w:lang w:val="fr-FR"/>
        </w:rPr>
        <w:t>par le projet LUTRENA de l</w:t>
      </w:r>
      <w:r w:rsidR="000A3D87">
        <w:rPr>
          <w:lang w:val="fr-FR"/>
        </w:rPr>
        <w:t>’</w:t>
      </w:r>
      <w:r w:rsidR="00E15507" w:rsidRPr="005D6CD4">
        <w:rPr>
          <w:lang w:val="fr-FR"/>
        </w:rPr>
        <w:t xml:space="preserve">OIT comme le montre la figure 6.1, en vue de permettre une bonne </w:t>
      </w:r>
      <w:r w:rsidR="00E15507" w:rsidRPr="00740CA4">
        <w:t>compréhension du problème et susciter l</w:t>
      </w:r>
      <w:r w:rsidR="000A3D87">
        <w:t>’</w:t>
      </w:r>
      <w:r w:rsidR="00E15507" w:rsidRPr="00740CA4">
        <w:t>intervention au-delà des frontières nationales. Les figures 6.2 et 6.4 ci-après montrent le nombre d</w:t>
      </w:r>
      <w:r w:rsidR="000A3D87">
        <w:t>’</w:t>
      </w:r>
      <w:r w:rsidR="00E15507" w:rsidRPr="00740CA4">
        <w:t>enfants nigérians victimes de la traite et secourus au cours de la période visée par le présent rapport.</w:t>
      </w:r>
    </w:p>
    <w:p w:rsidR="00E15507" w:rsidRDefault="00E15507" w:rsidP="001E4E36">
      <w:pPr>
        <w:pStyle w:val="SingleTxt"/>
        <w:jc w:val="left"/>
        <w:rPr>
          <w:b/>
          <w:lang w:val="fr-FR"/>
        </w:rPr>
      </w:pPr>
      <w:r w:rsidRPr="005D6CD4">
        <w:rPr>
          <w:lang w:val="fr-FR"/>
        </w:rPr>
        <w:t xml:space="preserve">Figure 6.1 </w:t>
      </w:r>
      <w:r w:rsidR="001E4E36">
        <w:rPr>
          <w:lang w:val="fr-FR"/>
        </w:rPr>
        <w:br/>
      </w:r>
      <w:r w:rsidRPr="001E4E36">
        <w:rPr>
          <w:b/>
          <w:lang w:val="fr-FR"/>
        </w:rPr>
        <w:t>Itinéraires de la traite actualisés par le projet LUTRENA de l</w:t>
      </w:r>
      <w:r w:rsidR="000A3D87">
        <w:rPr>
          <w:b/>
          <w:lang w:val="fr-FR"/>
        </w:rPr>
        <w:t>’</w:t>
      </w:r>
      <w:r w:rsidRPr="001E4E36">
        <w:rPr>
          <w:b/>
          <w:lang w:val="fr-FR"/>
        </w:rPr>
        <w:t xml:space="preserve">OIT </w:t>
      </w:r>
    </w:p>
    <w:p w:rsidR="001E4E36" w:rsidRPr="001E4E36" w:rsidRDefault="001E4E36" w:rsidP="001E4E36">
      <w:pPr>
        <w:pStyle w:val="SingleTxt"/>
        <w:spacing w:after="0" w:line="120" w:lineRule="exact"/>
        <w:jc w:val="left"/>
        <w:rPr>
          <w:sz w:val="10"/>
          <w:lang w:val="fr-FR"/>
        </w:rPr>
      </w:pPr>
    </w:p>
    <w:p w:rsidR="00E15507" w:rsidRPr="00D35192" w:rsidRDefault="00E15507" w:rsidP="00E15507">
      <w:pPr>
        <w:spacing w:line="480" w:lineRule="auto"/>
        <w:ind w:left="360"/>
        <w:rPr>
          <w:sz w:val="24"/>
          <w:szCs w:val="24"/>
          <w:lang w:val="en-CA"/>
        </w:rPr>
      </w:pPr>
      <w:r w:rsidRPr="005D6CD4">
        <w:rPr>
          <w:sz w:val="24"/>
          <w:szCs w:val="24"/>
          <w:lang w:val="fr-FR"/>
        </w:rPr>
        <w:fldChar w:fldCharType="begin"/>
      </w:r>
      <w:r w:rsidRPr="00D35192">
        <w:rPr>
          <w:sz w:val="24"/>
          <w:szCs w:val="24"/>
          <w:lang w:val="en-CA"/>
        </w:rPr>
        <w:instrText xml:space="preserve"> EMBED PowerPoint.Slide.8  </w:instrText>
      </w:r>
      <w:r w:rsidRPr="005D6CD4">
        <w:rPr>
          <w:sz w:val="24"/>
          <w:szCs w:val="24"/>
          <w:lang w:val="fr-FR"/>
        </w:rPr>
        <w:fldChar w:fldCharType="separate"/>
      </w:r>
      <w:r w:rsidR="00D35192">
        <w:rPr>
          <w:b/>
          <w:bCs/>
          <w:sz w:val="24"/>
          <w:szCs w:val="24"/>
          <w:lang w:val="en-US"/>
        </w:rPr>
        <w:t>Error! Objects cannot be created from editing field codes.</w:t>
      </w:r>
      <w:r w:rsidRPr="005D6CD4">
        <w:rPr>
          <w:sz w:val="24"/>
          <w:szCs w:val="24"/>
          <w:lang w:val="fr-FR"/>
        </w:rPr>
        <w:fldChar w:fldCharType="end"/>
      </w:r>
    </w:p>
    <w:p w:rsidR="00E15507" w:rsidRPr="001E4E36" w:rsidRDefault="00E15507" w:rsidP="001E4E36">
      <w:pPr>
        <w:pStyle w:val="SingleTxt"/>
        <w:rPr>
          <w:sz w:val="17"/>
          <w:szCs w:val="17"/>
          <w:lang w:val="fr-FR"/>
        </w:rPr>
      </w:pPr>
      <w:r w:rsidRPr="001E4E36">
        <w:rPr>
          <w:i/>
          <w:sz w:val="17"/>
          <w:szCs w:val="17"/>
          <w:lang w:val="fr-FR"/>
        </w:rPr>
        <w:t>Source</w:t>
      </w:r>
      <w:r w:rsidRPr="001E4E36">
        <w:rPr>
          <w:sz w:val="17"/>
          <w:szCs w:val="17"/>
          <w:lang w:val="fr-FR"/>
        </w:rPr>
        <w:t> : Projet LUTRENA de l</w:t>
      </w:r>
      <w:r w:rsidR="000A3D87">
        <w:rPr>
          <w:sz w:val="17"/>
          <w:szCs w:val="17"/>
          <w:lang w:val="fr-FR"/>
        </w:rPr>
        <w:t>’</w:t>
      </w:r>
      <w:r w:rsidRPr="001E4E36">
        <w:rPr>
          <w:sz w:val="17"/>
          <w:szCs w:val="17"/>
          <w:lang w:val="fr-FR"/>
        </w:rPr>
        <w:t xml:space="preserve">OIT, 2006 </w:t>
      </w:r>
    </w:p>
    <w:p w:rsidR="00E15507" w:rsidRDefault="00E15507" w:rsidP="001E4E36">
      <w:pPr>
        <w:pStyle w:val="SingleTxt"/>
        <w:jc w:val="left"/>
        <w:rPr>
          <w:b/>
          <w:lang w:val="fr-FR"/>
        </w:rPr>
      </w:pPr>
      <w:r w:rsidRPr="005D6CD4">
        <w:rPr>
          <w:lang w:val="fr-FR"/>
        </w:rPr>
        <w:t>Figure 6.2</w:t>
      </w:r>
      <w:r w:rsidR="001E4E36">
        <w:rPr>
          <w:lang w:val="fr-FR"/>
        </w:rPr>
        <w:br/>
      </w:r>
      <w:r w:rsidRPr="001E4E36">
        <w:rPr>
          <w:b/>
          <w:lang w:val="fr-FR"/>
        </w:rPr>
        <w:t>Nombre d</w:t>
      </w:r>
      <w:r w:rsidR="000A3D87">
        <w:rPr>
          <w:b/>
          <w:lang w:val="fr-FR"/>
        </w:rPr>
        <w:t>’</w:t>
      </w:r>
      <w:r w:rsidRPr="001E4E36">
        <w:rPr>
          <w:b/>
          <w:lang w:val="fr-FR"/>
        </w:rPr>
        <w:t>enfants victimes de la traite par zones d</w:t>
      </w:r>
      <w:r w:rsidR="000A3D87">
        <w:rPr>
          <w:b/>
          <w:lang w:val="fr-FR"/>
        </w:rPr>
        <w:t>’</w:t>
      </w:r>
      <w:r w:rsidRPr="001E4E36">
        <w:rPr>
          <w:b/>
          <w:lang w:val="fr-FR"/>
        </w:rPr>
        <w:t>origine</w:t>
      </w:r>
    </w:p>
    <w:p w:rsidR="001E4E36" w:rsidRPr="001E4E36" w:rsidRDefault="001E4E36" w:rsidP="001E4E36">
      <w:pPr>
        <w:pStyle w:val="SingleTxt"/>
        <w:spacing w:after="0" w:line="120" w:lineRule="exact"/>
        <w:jc w:val="left"/>
        <w:rPr>
          <w:b/>
          <w:sz w:val="10"/>
          <w:lang w:val="fr-FR"/>
        </w:rPr>
      </w:pPr>
    </w:p>
    <w:p w:rsidR="00E15507" w:rsidRPr="005D6CD4" w:rsidRDefault="00E15507" w:rsidP="00E15507">
      <w:pPr>
        <w:spacing w:line="480" w:lineRule="auto"/>
        <w:rPr>
          <w:sz w:val="24"/>
          <w:szCs w:val="24"/>
          <w:lang w:val="fr-FR"/>
        </w:rPr>
      </w:pPr>
      <w:r w:rsidRPr="005D6CD4">
        <w:rPr>
          <w:sz w:val="24"/>
          <w:szCs w:val="24"/>
          <w:lang w:val="fr-FR"/>
        </w:rPr>
        <w:object w:dxaOrig="7373" w:dyaOrig="2687">
          <v:shape id="_x0000_i1028" type="#_x0000_t75" style="width:369pt;height:134.25pt" o:ole="">
            <v:imagedata r:id="rId22" o:title=""/>
          </v:shape>
          <o:OLEObject Type="Embed" ProgID="MSGraph.Chart.8" ShapeID="_x0000_i1028" DrawAspect="Content" ObjectID="_1386037417" r:id="rId23">
            <o:FieldCodes>\s</o:FieldCodes>
          </o:OLEObject>
        </w:object>
      </w:r>
    </w:p>
    <w:p w:rsidR="00E15507" w:rsidRPr="001E4E36" w:rsidRDefault="00E15507" w:rsidP="001E4E36">
      <w:pPr>
        <w:pStyle w:val="SingleTxt"/>
        <w:rPr>
          <w:sz w:val="17"/>
          <w:szCs w:val="17"/>
          <w:lang w:val="fr-FR"/>
        </w:rPr>
      </w:pPr>
      <w:r w:rsidRPr="001E4E36">
        <w:rPr>
          <w:i/>
          <w:sz w:val="17"/>
          <w:szCs w:val="17"/>
          <w:lang w:val="fr-FR"/>
        </w:rPr>
        <w:t>Source</w:t>
      </w:r>
      <w:r w:rsidRPr="001E4E36">
        <w:rPr>
          <w:sz w:val="17"/>
          <w:szCs w:val="17"/>
          <w:lang w:val="fr-FR"/>
        </w:rPr>
        <w:t> : Rapport annuel de la NAPTIP, 2006</w:t>
      </w:r>
    </w:p>
    <w:p w:rsidR="00E15507" w:rsidRDefault="001E4E36" w:rsidP="00B240BA">
      <w:pPr>
        <w:pStyle w:val="SingleTxt"/>
        <w:jc w:val="left"/>
        <w:rPr>
          <w:b/>
          <w:lang w:val="fr-FR"/>
        </w:rPr>
      </w:pPr>
      <w:r>
        <w:rPr>
          <w:i/>
          <w:lang w:val="fr-FR"/>
        </w:rPr>
        <w:br w:type="page"/>
      </w:r>
      <w:r w:rsidR="00E15507" w:rsidRPr="00B240BA">
        <w:rPr>
          <w:lang w:val="fr-FR"/>
        </w:rPr>
        <w:t>Fig</w:t>
      </w:r>
      <w:r w:rsidR="00B240BA" w:rsidRPr="00B240BA">
        <w:rPr>
          <w:lang w:val="fr-FR"/>
        </w:rPr>
        <w:t>ure</w:t>
      </w:r>
      <w:r w:rsidR="00E15507" w:rsidRPr="00B240BA">
        <w:rPr>
          <w:lang w:val="fr-FR"/>
        </w:rPr>
        <w:t xml:space="preserve"> 6.3</w:t>
      </w:r>
      <w:r w:rsidR="00B240BA">
        <w:rPr>
          <w:i/>
          <w:lang w:val="fr-FR"/>
        </w:rPr>
        <w:br/>
      </w:r>
      <w:r w:rsidR="00E15507" w:rsidRPr="00B240BA">
        <w:rPr>
          <w:b/>
          <w:lang w:val="fr-FR"/>
        </w:rPr>
        <w:t>Nombre d</w:t>
      </w:r>
      <w:r w:rsidR="000A3D87">
        <w:rPr>
          <w:b/>
          <w:lang w:val="fr-FR"/>
        </w:rPr>
        <w:t>’</w:t>
      </w:r>
      <w:r w:rsidR="00E15507" w:rsidRPr="00B240BA">
        <w:rPr>
          <w:b/>
          <w:lang w:val="fr-FR"/>
        </w:rPr>
        <w:t>enfants secourus par zones</w:t>
      </w:r>
    </w:p>
    <w:p w:rsidR="00B2732B" w:rsidRDefault="00B2732B" w:rsidP="00B2732B">
      <w:pPr>
        <w:pStyle w:val="SingleTxt"/>
        <w:spacing w:after="0" w:line="240" w:lineRule="auto"/>
        <w:jc w:val="left"/>
        <w:rPr>
          <w:b/>
          <w:lang w:val="fr-FR"/>
        </w:rPr>
      </w:pPr>
    </w:p>
    <w:p w:rsidR="00B2732B" w:rsidRDefault="00650792" w:rsidP="00B2732B">
      <w:pPr>
        <w:spacing w:line="480" w:lineRule="auto"/>
        <w:rPr>
          <w:b/>
          <w:i/>
          <w:sz w:val="24"/>
          <w:szCs w:val="24"/>
        </w:rPr>
      </w:pPr>
      <w:r w:rsidRPr="002460B2">
        <w:rPr>
          <w:sz w:val="24"/>
          <w:szCs w:val="24"/>
        </w:rPr>
        <w:object w:dxaOrig="7744" w:dyaOrig="2578">
          <v:shape id="_x0000_i1029" type="#_x0000_t75" style="width:387pt;height:129pt" o:ole="">
            <v:imagedata r:id="rId24" o:title=""/>
          </v:shape>
          <o:OLEObject Type="Embed" ProgID="MSGraph.Chart.8" ShapeID="_x0000_i1029" DrawAspect="Content" ObjectID="_1386037418" r:id="rId25">
            <o:FieldCodes>\s</o:FieldCodes>
          </o:OLEObject>
        </w:object>
      </w:r>
      <w:r w:rsidR="00B2732B" w:rsidRPr="002460B2">
        <w:rPr>
          <w:b/>
          <w:i/>
          <w:sz w:val="24"/>
          <w:szCs w:val="24"/>
        </w:rPr>
        <w:t xml:space="preserve"> </w:t>
      </w:r>
    </w:p>
    <w:p w:rsidR="00E15507" w:rsidRPr="00F209C2" w:rsidRDefault="00E15507" w:rsidP="00B240BA">
      <w:pPr>
        <w:pStyle w:val="SingleTxt"/>
        <w:rPr>
          <w:i/>
          <w:sz w:val="17"/>
          <w:szCs w:val="17"/>
          <w:lang w:val="fr-FR"/>
        </w:rPr>
      </w:pPr>
      <w:r w:rsidRPr="00F209C2">
        <w:rPr>
          <w:i/>
          <w:sz w:val="17"/>
          <w:szCs w:val="17"/>
          <w:lang w:val="fr-FR"/>
        </w:rPr>
        <w:t>Source :</w:t>
      </w:r>
      <w:r w:rsidRPr="00F209C2">
        <w:rPr>
          <w:sz w:val="17"/>
          <w:szCs w:val="17"/>
          <w:lang w:val="fr-FR"/>
        </w:rPr>
        <w:t xml:space="preserve"> Rapport annuel de la NAPTIP, 2004-2006</w:t>
      </w:r>
    </w:p>
    <w:p w:rsidR="00E15507" w:rsidRDefault="00E15507" w:rsidP="00F209C2">
      <w:pPr>
        <w:pStyle w:val="SingleTxt"/>
        <w:jc w:val="left"/>
        <w:rPr>
          <w:b/>
          <w:lang w:val="fr-FR"/>
        </w:rPr>
      </w:pPr>
      <w:r w:rsidRPr="00F209C2">
        <w:rPr>
          <w:lang w:val="fr-FR"/>
        </w:rPr>
        <w:t>Fig</w:t>
      </w:r>
      <w:r w:rsidR="00F209C2" w:rsidRPr="00F209C2">
        <w:rPr>
          <w:lang w:val="fr-FR"/>
        </w:rPr>
        <w:t xml:space="preserve">ure </w:t>
      </w:r>
      <w:r w:rsidRPr="00F209C2">
        <w:rPr>
          <w:lang w:val="fr-FR"/>
        </w:rPr>
        <w:t>6.4</w:t>
      </w:r>
      <w:r w:rsidR="00F209C2">
        <w:rPr>
          <w:i/>
          <w:lang w:val="fr-FR"/>
        </w:rPr>
        <w:br/>
      </w:r>
      <w:r w:rsidRPr="00F209C2">
        <w:rPr>
          <w:b/>
          <w:lang w:val="fr-FR"/>
        </w:rPr>
        <w:t>Nombre d</w:t>
      </w:r>
      <w:r w:rsidR="000A3D87">
        <w:rPr>
          <w:b/>
          <w:lang w:val="fr-FR"/>
        </w:rPr>
        <w:t>’</w:t>
      </w:r>
      <w:r w:rsidRPr="00F209C2">
        <w:rPr>
          <w:b/>
          <w:lang w:val="fr-FR"/>
        </w:rPr>
        <w:t>enfants secourus dans différents pays</w:t>
      </w:r>
    </w:p>
    <w:p w:rsidR="00F209C2" w:rsidRPr="00F209C2" w:rsidRDefault="00F209C2" w:rsidP="00F209C2">
      <w:pPr>
        <w:pStyle w:val="SingleTxt"/>
        <w:spacing w:after="0" w:line="120" w:lineRule="exact"/>
        <w:jc w:val="left"/>
        <w:rPr>
          <w:b/>
          <w:sz w:val="10"/>
          <w:lang w:val="fr-FR"/>
        </w:rPr>
      </w:pPr>
    </w:p>
    <w:p w:rsidR="00E15507" w:rsidRPr="005D6CD4" w:rsidRDefault="00C63FDC" w:rsidP="00E15507">
      <w:pPr>
        <w:spacing w:line="480" w:lineRule="auto"/>
        <w:rPr>
          <w:sz w:val="24"/>
          <w:szCs w:val="24"/>
          <w:lang w:val="fr-FR"/>
        </w:rPr>
      </w:pPr>
      <w:r w:rsidRPr="005D6CD4">
        <w:rPr>
          <w:sz w:val="24"/>
          <w:szCs w:val="24"/>
          <w:lang w:val="fr-FR"/>
        </w:rPr>
        <w:object w:dxaOrig="7230" w:dyaOrig="3840">
          <v:shape id="_x0000_i1030" type="#_x0000_t75" style="width:361.5pt;height:192pt" o:ole="">
            <v:imagedata r:id="rId26" o:title=""/>
          </v:shape>
          <o:OLEObject Type="Embed" ProgID="Excel.Chart.8" ShapeID="_x0000_i1030" DrawAspect="Content" ObjectID="_1386037419" r:id="rId27">
            <o:FieldCodes>\s</o:FieldCodes>
          </o:OLEObject>
        </w:object>
      </w:r>
    </w:p>
    <w:p w:rsidR="00E15507" w:rsidRPr="00F209C2" w:rsidRDefault="00E15507" w:rsidP="00F209C2">
      <w:pPr>
        <w:pStyle w:val="SingleTxt"/>
        <w:rPr>
          <w:sz w:val="17"/>
          <w:szCs w:val="17"/>
          <w:lang w:val="fr-FR"/>
        </w:rPr>
      </w:pPr>
      <w:r w:rsidRPr="00F209C2">
        <w:rPr>
          <w:i/>
          <w:sz w:val="17"/>
          <w:szCs w:val="17"/>
          <w:lang w:val="fr-FR"/>
        </w:rPr>
        <w:t>Source</w:t>
      </w:r>
      <w:r w:rsidRPr="00F209C2">
        <w:rPr>
          <w:sz w:val="17"/>
          <w:szCs w:val="17"/>
          <w:lang w:val="fr-FR"/>
        </w:rPr>
        <w:t> : Rapport annuel de la NAPTIP, 2004-2006</w:t>
      </w:r>
    </w:p>
    <w:p w:rsidR="00E15507" w:rsidRDefault="00F209C2" w:rsidP="00F209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E15507" w:rsidRPr="005D6CD4">
        <w:rPr>
          <w:lang w:val="fr-FR"/>
        </w:rPr>
        <w:t xml:space="preserve">6.4 </w:t>
      </w:r>
      <w:r>
        <w:rPr>
          <w:lang w:val="fr-FR"/>
        </w:rPr>
        <w:tab/>
      </w:r>
      <w:r w:rsidR="00E15507" w:rsidRPr="005D6CD4">
        <w:rPr>
          <w:lang w:val="fr-FR"/>
        </w:rPr>
        <w:t xml:space="preserve">Efforts actuels de mise en œuvre des lois </w:t>
      </w:r>
      <w:r w:rsidR="00E15507">
        <w:rPr>
          <w:lang w:val="fr-FR"/>
        </w:rPr>
        <w:t xml:space="preserve">de lutte contre la traite des personnes </w:t>
      </w:r>
      <w:r w:rsidR="00E15507" w:rsidRPr="005D6CD4">
        <w:rPr>
          <w:lang w:val="fr-FR"/>
        </w:rPr>
        <w:t xml:space="preserve">par le </w:t>
      </w:r>
      <w:r w:rsidR="00E15507">
        <w:rPr>
          <w:lang w:val="fr-FR"/>
        </w:rPr>
        <w:t>G</w:t>
      </w:r>
      <w:r w:rsidR="00E15507" w:rsidRPr="005D6CD4">
        <w:rPr>
          <w:lang w:val="fr-FR"/>
        </w:rPr>
        <w:t>ouvernement et les ONG</w:t>
      </w:r>
    </w:p>
    <w:p w:rsidR="00F209C2" w:rsidRPr="00F209C2" w:rsidRDefault="00F209C2" w:rsidP="00F209C2">
      <w:pPr>
        <w:pStyle w:val="SingleTxt"/>
        <w:spacing w:after="0" w:line="120" w:lineRule="exact"/>
        <w:rPr>
          <w:sz w:val="10"/>
          <w:lang w:val="fr-FR"/>
        </w:rPr>
      </w:pPr>
    </w:p>
    <w:p w:rsidR="00E15507" w:rsidRPr="005D6CD4" w:rsidRDefault="00F209C2" w:rsidP="00740CA4">
      <w:pPr>
        <w:pStyle w:val="SingleTxt"/>
        <w:rPr>
          <w:lang w:val="fr-FR"/>
        </w:rPr>
      </w:pPr>
      <w:r>
        <w:rPr>
          <w:lang w:val="fr-FR"/>
        </w:rPr>
        <w:tab/>
      </w:r>
      <w:r w:rsidR="00E15507" w:rsidRPr="005D6CD4">
        <w:rPr>
          <w:lang w:val="fr-FR"/>
        </w:rPr>
        <w:t xml:space="preserve">En mai 2006, les réalisations suivantes ont été enregistrées : </w:t>
      </w:r>
    </w:p>
    <w:p w:rsidR="00E15507" w:rsidRPr="005D6CD4" w:rsidRDefault="00F209C2" w:rsidP="00F209C2">
      <w:pPr>
        <w:pStyle w:val="SingleTxt"/>
        <w:numPr>
          <w:ilvl w:val="0"/>
          <w:numId w:val="18"/>
        </w:numPr>
        <w:rPr>
          <w:lang w:val="fr-FR"/>
        </w:rPr>
      </w:pPr>
      <w:r>
        <w:rPr>
          <w:lang w:val="fr-FR"/>
        </w:rPr>
        <w:tab/>
      </w:r>
      <w:r w:rsidR="00E15507" w:rsidRPr="005D6CD4">
        <w:rPr>
          <w:lang w:val="fr-FR"/>
        </w:rPr>
        <w:t xml:space="preserve">Des enquêtes sur plus de 64 affaires, dont 18 affaires portées devant les tribunaux. Sept condamnations à des peines de prison allant de 2 à 7 ans pour des infractions liées </w:t>
      </w:r>
      <w:r w:rsidR="00E15507">
        <w:rPr>
          <w:lang w:val="fr-FR"/>
        </w:rPr>
        <w:t>à la traite des personnes</w:t>
      </w:r>
      <w:r w:rsidR="00E15507" w:rsidRPr="005D6CD4">
        <w:rPr>
          <w:lang w:val="fr-FR"/>
        </w:rPr>
        <w:t>.</w:t>
      </w:r>
    </w:p>
    <w:p w:rsidR="00E15507" w:rsidRPr="005D6CD4" w:rsidRDefault="00F209C2" w:rsidP="00F209C2">
      <w:pPr>
        <w:pStyle w:val="SingleTxt"/>
        <w:numPr>
          <w:ilvl w:val="0"/>
          <w:numId w:val="18"/>
        </w:numPr>
        <w:rPr>
          <w:lang w:val="fr-FR"/>
        </w:rPr>
      </w:pPr>
      <w:r>
        <w:rPr>
          <w:lang w:val="fr-FR"/>
        </w:rPr>
        <w:tab/>
      </w:r>
      <w:r w:rsidR="00E15507" w:rsidRPr="005D6CD4">
        <w:rPr>
          <w:lang w:val="fr-FR"/>
        </w:rPr>
        <w:t>520 femmes victimes de</w:t>
      </w:r>
      <w:r w:rsidR="00E15507">
        <w:rPr>
          <w:lang w:val="fr-FR"/>
        </w:rPr>
        <w:t xml:space="preserve"> la traite des personnes au plan </w:t>
      </w:r>
      <w:r w:rsidR="00E15507" w:rsidRPr="005D6CD4">
        <w:rPr>
          <w:lang w:val="fr-FR"/>
        </w:rPr>
        <w:t xml:space="preserve">national et international ont été secourues, logées et conseillées. </w:t>
      </w:r>
    </w:p>
    <w:p w:rsidR="0061676D" w:rsidRDefault="00F209C2" w:rsidP="00F209C2">
      <w:pPr>
        <w:pStyle w:val="SingleTxt"/>
        <w:numPr>
          <w:ilvl w:val="0"/>
          <w:numId w:val="18"/>
        </w:numPr>
        <w:rPr>
          <w:lang w:val="fr-FR"/>
        </w:rPr>
      </w:pPr>
      <w:r>
        <w:rPr>
          <w:lang w:val="fr-FR"/>
        </w:rPr>
        <w:tab/>
      </w:r>
      <w:r w:rsidR="00E15507" w:rsidRPr="005D6CD4">
        <w:rPr>
          <w:lang w:val="fr-FR"/>
        </w:rPr>
        <w:t>Avec l</w:t>
      </w:r>
      <w:r w:rsidR="000A3D87">
        <w:rPr>
          <w:lang w:val="fr-FR"/>
        </w:rPr>
        <w:t>’</w:t>
      </w:r>
      <w:r w:rsidR="00E15507" w:rsidRPr="005D6CD4">
        <w:rPr>
          <w:lang w:val="fr-FR"/>
        </w:rPr>
        <w:t xml:space="preserve">aide du </w:t>
      </w:r>
      <w:r w:rsidR="00E15507">
        <w:rPr>
          <w:lang w:val="fr-FR"/>
        </w:rPr>
        <w:t>G</w:t>
      </w:r>
      <w:r w:rsidR="00E15507" w:rsidRPr="005D6CD4">
        <w:rPr>
          <w:lang w:val="fr-FR"/>
        </w:rPr>
        <w:t>ouvernement italien et de l</w:t>
      </w:r>
      <w:r w:rsidR="000A3D87">
        <w:rPr>
          <w:lang w:val="fr-FR"/>
        </w:rPr>
        <w:t>’</w:t>
      </w:r>
      <w:r w:rsidR="00E15507" w:rsidRPr="005D6CD4">
        <w:rPr>
          <w:lang w:val="fr-FR"/>
        </w:rPr>
        <w:t xml:space="preserve">Organisation internationale du travail /Prévention </w:t>
      </w:r>
      <w:r w:rsidR="00E15507">
        <w:rPr>
          <w:lang w:val="fr-FR"/>
        </w:rPr>
        <w:t>de la traite</w:t>
      </w:r>
      <w:r w:rsidR="00E15507" w:rsidRPr="005D6CD4">
        <w:rPr>
          <w:lang w:val="fr-FR"/>
        </w:rPr>
        <w:t xml:space="preserve"> </w:t>
      </w:r>
      <w:r w:rsidR="00E15507">
        <w:rPr>
          <w:lang w:val="fr-FR"/>
        </w:rPr>
        <w:t xml:space="preserve">des personnes </w:t>
      </w:r>
      <w:r w:rsidR="00E15507" w:rsidRPr="005D6CD4">
        <w:rPr>
          <w:lang w:val="fr-FR"/>
        </w:rPr>
        <w:t>en Afrique de l</w:t>
      </w:r>
      <w:r w:rsidR="000A3D87">
        <w:rPr>
          <w:lang w:val="fr-FR"/>
        </w:rPr>
        <w:t>’</w:t>
      </w:r>
      <w:r w:rsidR="00E15507" w:rsidRPr="005D6CD4">
        <w:rPr>
          <w:lang w:val="fr-FR"/>
        </w:rPr>
        <w:t>Ouest (ILO/PATWA), un Centre de suivi a été créé dans le bureau de l</w:t>
      </w:r>
      <w:r w:rsidR="00E15507">
        <w:rPr>
          <w:lang w:val="fr-FR"/>
        </w:rPr>
        <w:t xml:space="preserve">a NAPTIP </w:t>
      </w:r>
      <w:r w:rsidR="00E15507" w:rsidRPr="005D6CD4">
        <w:rPr>
          <w:lang w:val="fr-FR"/>
        </w:rPr>
        <w:t>à Abuja et équipé d</w:t>
      </w:r>
      <w:r w:rsidR="000A3D87">
        <w:rPr>
          <w:lang w:val="fr-FR"/>
        </w:rPr>
        <w:t>’</w:t>
      </w:r>
      <w:r w:rsidR="00E15507" w:rsidRPr="005D6CD4">
        <w:rPr>
          <w:lang w:val="fr-FR"/>
        </w:rPr>
        <w:t xml:space="preserve">une antenne V-SAT (équipement Internet). Ce qui a permis </w:t>
      </w:r>
      <w:r w:rsidR="00E15507">
        <w:rPr>
          <w:lang w:val="fr-FR"/>
        </w:rPr>
        <w:t>d</w:t>
      </w:r>
      <w:r w:rsidR="000A3D87">
        <w:rPr>
          <w:lang w:val="fr-FR"/>
        </w:rPr>
        <w:t>’</w:t>
      </w:r>
      <w:r w:rsidR="00E15507" w:rsidRPr="005D6CD4">
        <w:rPr>
          <w:lang w:val="fr-FR"/>
        </w:rPr>
        <w:t>amélior</w:t>
      </w:r>
      <w:r w:rsidR="00E15507">
        <w:rPr>
          <w:lang w:val="fr-FR"/>
        </w:rPr>
        <w:t xml:space="preserve">er </w:t>
      </w:r>
      <w:r w:rsidR="00E15507" w:rsidRPr="005D6CD4">
        <w:rPr>
          <w:lang w:val="fr-FR"/>
        </w:rPr>
        <w:t>la documentation, l</w:t>
      </w:r>
      <w:r w:rsidR="000A3D87">
        <w:rPr>
          <w:lang w:val="fr-FR"/>
        </w:rPr>
        <w:t>’</w:t>
      </w:r>
      <w:r w:rsidR="00E15507" w:rsidRPr="005D6CD4">
        <w:rPr>
          <w:lang w:val="fr-FR"/>
        </w:rPr>
        <w:t>établissement des rapports et la communication sur l</w:t>
      </w:r>
      <w:r w:rsidR="00E15507">
        <w:rPr>
          <w:lang w:val="fr-FR"/>
        </w:rPr>
        <w:t xml:space="preserve">a traite </w:t>
      </w:r>
      <w:r w:rsidR="00E15507" w:rsidRPr="005D6CD4">
        <w:rPr>
          <w:lang w:val="fr-FR"/>
        </w:rPr>
        <w:t>des enfants avec les partenaires à l</w:t>
      </w:r>
      <w:r w:rsidR="000A3D87">
        <w:rPr>
          <w:lang w:val="fr-FR"/>
        </w:rPr>
        <w:t>’</w:t>
      </w:r>
      <w:r w:rsidR="00E15507" w:rsidRPr="005D6CD4">
        <w:rPr>
          <w:lang w:val="fr-FR"/>
        </w:rPr>
        <w:t>intérieur et à l</w:t>
      </w:r>
      <w:r w:rsidR="000A3D87">
        <w:rPr>
          <w:lang w:val="fr-FR"/>
        </w:rPr>
        <w:t>’</w:t>
      </w:r>
      <w:r w:rsidR="00E15507" w:rsidRPr="005D6CD4">
        <w:rPr>
          <w:lang w:val="fr-FR"/>
        </w:rPr>
        <w:t>extérieur du pays.</w:t>
      </w:r>
    </w:p>
    <w:p w:rsidR="00E15507" w:rsidRPr="005D6CD4" w:rsidRDefault="0061676D" w:rsidP="0061676D">
      <w:pPr>
        <w:pStyle w:val="SingleTxt"/>
        <w:rPr>
          <w:lang w:val="fr-FR"/>
        </w:rPr>
      </w:pPr>
      <w:r>
        <w:rPr>
          <w:lang w:val="fr-FR"/>
        </w:rPr>
        <w:br w:type="page"/>
      </w:r>
      <w:r w:rsidR="00F209C2">
        <w:rPr>
          <w:lang w:val="fr-FR"/>
        </w:rPr>
        <w:tab/>
      </w:r>
      <w:r w:rsidR="00E15507" w:rsidRPr="005D6CD4">
        <w:rPr>
          <w:lang w:val="fr-FR"/>
        </w:rPr>
        <w:t>Avec le soutien des services de lutte contre le trafic des stupéfiants du Département d</w:t>
      </w:r>
      <w:r w:rsidR="000A3D87">
        <w:rPr>
          <w:lang w:val="fr-FR"/>
        </w:rPr>
        <w:t>’</w:t>
      </w:r>
      <w:r w:rsidR="00E15507">
        <w:rPr>
          <w:lang w:val="fr-FR"/>
        </w:rPr>
        <w:t>É</w:t>
      </w:r>
      <w:r w:rsidR="00E15507" w:rsidRPr="005D6CD4">
        <w:rPr>
          <w:lang w:val="fr-FR"/>
        </w:rPr>
        <w:t>tat américain et de l</w:t>
      </w:r>
      <w:r w:rsidR="000A3D87">
        <w:rPr>
          <w:lang w:val="fr-FR"/>
        </w:rPr>
        <w:t>’</w:t>
      </w:r>
      <w:r w:rsidR="00E15507" w:rsidRPr="005D6CD4">
        <w:rPr>
          <w:lang w:val="fr-FR"/>
        </w:rPr>
        <w:t xml:space="preserve">UNICEF, des groupes de travail officiels constitués de fonctionnaires nigérians ont été créés dans 22 </w:t>
      </w:r>
      <w:r w:rsidR="00E15507">
        <w:rPr>
          <w:lang w:val="fr-FR"/>
        </w:rPr>
        <w:t>É</w:t>
      </w:r>
      <w:r w:rsidR="00E15507" w:rsidRPr="005D6CD4">
        <w:rPr>
          <w:lang w:val="fr-FR"/>
        </w:rPr>
        <w:t>tats en vue d</w:t>
      </w:r>
      <w:r w:rsidR="000A3D87">
        <w:rPr>
          <w:lang w:val="fr-FR"/>
        </w:rPr>
        <w:t>’</w:t>
      </w:r>
      <w:r w:rsidR="00E15507" w:rsidRPr="005D6CD4">
        <w:rPr>
          <w:lang w:val="fr-FR"/>
        </w:rPr>
        <w:t>accélér</w:t>
      </w:r>
      <w:r w:rsidR="00E15507">
        <w:rPr>
          <w:lang w:val="fr-FR"/>
        </w:rPr>
        <w:t xml:space="preserve">er </w:t>
      </w:r>
      <w:r w:rsidR="00E15507" w:rsidRPr="005D6CD4">
        <w:rPr>
          <w:lang w:val="fr-FR"/>
        </w:rPr>
        <w:t>l</w:t>
      </w:r>
      <w:r w:rsidR="000A3D87">
        <w:rPr>
          <w:lang w:val="fr-FR"/>
        </w:rPr>
        <w:t>’</w:t>
      </w:r>
      <w:r w:rsidR="00E15507" w:rsidRPr="005D6CD4">
        <w:rPr>
          <w:lang w:val="fr-FR"/>
        </w:rPr>
        <w:t>échange d</w:t>
      </w:r>
      <w:r w:rsidR="000A3D87">
        <w:rPr>
          <w:lang w:val="fr-FR"/>
        </w:rPr>
        <w:t>’</w:t>
      </w:r>
      <w:r w:rsidR="00E15507" w:rsidRPr="005D6CD4">
        <w:rPr>
          <w:lang w:val="fr-FR"/>
        </w:rPr>
        <w:t>informations, les arrestations et les enquêtes sur l</w:t>
      </w:r>
      <w:r w:rsidR="00E15507">
        <w:rPr>
          <w:lang w:val="fr-FR"/>
        </w:rPr>
        <w:t xml:space="preserve">a traite </w:t>
      </w:r>
      <w:r w:rsidR="00E15507" w:rsidRPr="005D6CD4">
        <w:rPr>
          <w:lang w:val="fr-FR"/>
        </w:rPr>
        <w:t>d</w:t>
      </w:r>
      <w:r w:rsidR="00E15507">
        <w:rPr>
          <w:lang w:val="fr-FR"/>
        </w:rPr>
        <w:t xml:space="preserve">es </w:t>
      </w:r>
      <w:r w:rsidR="00E15507" w:rsidRPr="005D6CD4">
        <w:rPr>
          <w:lang w:val="fr-FR"/>
        </w:rPr>
        <w:t>enfants.</w:t>
      </w:r>
      <w:r w:rsidR="00E15507">
        <w:rPr>
          <w:lang w:val="fr-FR"/>
        </w:rPr>
        <w:t xml:space="preserve"> </w:t>
      </w:r>
    </w:p>
    <w:p w:rsidR="00E15507" w:rsidRPr="005D6CD4" w:rsidRDefault="00F209C2" w:rsidP="00F209C2">
      <w:pPr>
        <w:pStyle w:val="SingleTxt"/>
        <w:numPr>
          <w:ilvl w:val="0"/>
          <w:numId w:val="18"/>
        </w:numPr>
        <w:rPr>
          <w:lang w:val="fr-FR"/>
        </w:rPr>
      </w:pPr>
      <w:r>
        <w:rPr>
          <w:lang w:val="fr-FR"/>
        </w:rPr>
        <w:tab/>
      </w:r>
      <w:r w:rsidR="00E15507" w:rsidRPr="005D6CD4">
        <w:rPr>
          <w:lang w:val="fr-FR"/>
        </w:rPr>
        <w:t>L</w:t>
      </w:r>
      <w:r w:rsidR="000A3D87">
        <w:rPr>
          <w:lang w:val="fr-FR"/>
        </w:rPr>
        <w:t>’</w:t>
      </w:r>
      <w:r w:rsidR="00E15507" w:rsidRPr="005D6CD4">
        <w:rPr>
          <w:lang w:val="fr-FR"/>
        </w:rPr>
        <w:t>extension de l</w:t>
      </w:r>
      <w:r w:rsidR="000A3D87">
        <w:rPr>
          <w:lang w:val="fr-FR"/>
        </w:rPr>
        <w:t>’</w:t>
      </w:r>
      <w:r w:rsidR="00E15507" w:rsidRPr="005D6CD4">
        <w:rPr>
          <w:lang w:val="fr-FR"/>
        </w:rPr>
        <w:t>initiative en vue d</w:t>
      </w:r>
      <w:r w:rsidR="000A3D87">
        <w:rPr>
          <w:lang w:val="fr-FR"/>
        </w:rPr>
        <w:t>’</w:t>
      </w:r>
      <w:r w:rsidR="00E15507" w:rsidRPr="005D6CD4">
        <w:rPr>
          <w:lang w:val="fr-FR"/>
        </w:rPr>
        <w:t>impliquer un réseau d</w:t>
      </w:r>
      <w:r w:rsidR="000A3D87">
        <w:rPr>
          <w:lang w:val="fr-FR"/>
        </w:rPr>
        <w:t>’</w:t>
      </w:r>
      <w:r w:rsidR="00E15507" w:rsidRPr="005D6CD4">
        <w:rPr>
          <w:lang w:val="fr-FR"/>
        </w:rPr>
        <w:t>OSC travaillant sur l</w:t>
      </w:r>
      <w:r w:rsidR="00E15507">
        <w:rPr>
          <w:lang w:val="fr-FR"/>
        </w:rPr>
        <w:t xml:space="preserve">a traite </w:t>
      </w:r>
      <w:r w:rsidR="00E15507" w:rsidRPr="005D6CD4">
        <w:rPr>
          <w:lang w:val="fr-FR"/>
        </w:rPr>
        <w:t>de</w:t>
      </w:r>
      <w:r w:rsidR="00E15507">
        <w:rPr>
          <w:lang w:val="fr-FR"/>
        </w:rPr>
        <w:t>s</w:t>
      </w:r>
      <w:r w:rsidR="00E15507" w:rsidRPr="005D6CD4">
        <w:rPr>
          <w:lang w:val="fr-FR"/>
        </w:rPr>
        <w:t xml:space="preserve"> personnes à travers l</w:t>
      </w:r>
      <w:r w:rsidR="000A3D87">
        <w:rPr>
          <w:lang w:val="fr-FR"/>
        </w:rPr>
        <w:t>’</w:t>
      </w:r>
      <w:r w:rsidR="00E15507">
        <w:rPr>
          <w:lang w:val="fr-FR"/>
        </w:rPr>
        <w:t xml:space="preserve">éradication de la traite des femmes et du travail des enfants </w:t>
      </w:r>
      <w:r w:rsidR="00E15507" w:rsidRPr="005D6CD4">
        <w:rPr>
          <w:lang w:val="fr-FR"/>
        </w:rPr>
        <w:t>avec le soutien d</w:t>
      </w:r>
      <w:r w:rsidR="00E15507">
        <w:rPr>
          <w:lang w:val="fr-FR"/>
        </w:rPr>
        <w:t>e l</w:t>
      </w:r>
      <w:r w:rsidR="000A3D87">
        <w:rPr>
          <w:lang w:val="fr-FR"/>
        </w:rPr>
        <w:t>’</w:t>
      </w:r>
      <w:r w:rsidR="00E15507">
        <w:rPr>
          <w:lang w:val="fr-FR"/>
        </w:rPr>
        <w:t>ACDI</w:t>
      </w:r>
      <w:r w:rsidR="00E15507" w:rsidRPr="005D6CD4">
        <w:rPr>
          <w:lang w:val="fr-FR"/>
        </w:rPr>
        <w:t xml:space="preserve"> et de la National Commission du Royaume Uni, facilitée par l</w:t>
      </w:r>
      <w:r w:rsidR="000A3D87">
        <w:rPr>
          <w:lang w:val="fr-FR"/>
        </w:rPr>
        <w:t>’</w:t>
      </w:r>
      <w:r w:rsidR="00E15507" w:rsidRPr="005D6CD4">
        <w:rPr>
          <w:lang w:val="fr-FR"/>
        </w:rPr>
        <w:t>UNICEF</w:t>
      </w:r>
    </w:p>
    <w:p w:rsidR="00E15507" w:rsidRPr="005D6CD4" w:rsidRDefault="00F209C2" w:rsidP="00F209C2">
      <w:pPr>
        <w:pStyle w:val="SingleTxt"/>
        <w:numPr>
          <w:ilvl w:val="0"/>
          <w:numId w:val="18"/>
        </w:numPr>
        <w:rPr>
          <w:lang w:val="fr-FR"/>
        </w:rPr>
      </w:pPr>
      <w:r>
        <w:rPr>
          <w:lang w:val="fr-FR"/>
        </w:rPr>
        <w:tab/>
      </w:r>
      <w:r w:rsidR="00E15507" w:rsidRPr="005D6CD4">
        <w:rPr>
          <w:lang w:val="fr-FR"/>
        </w:rPr>
        <w:t xml:space="preserve">La création de clubs </w:t>
      </w:r>
      <w:r w:rsidR="00E15507">
        <w:rPr>
          <w:lang w:val="fr-FR"/>
        </w:rPr>
        <w:t xml:space="preserve">consacrés à </w:t>
      </w:r>
      <w:r w:rsidR="00E15507" w:rsidRPr="005D6CD4">
        <w:rPr>
          <w:lang w:val="fr-FR"/>
        </w:rPr>
        <w:t>l</w:t>
      </w:r>
      <w:r w:rsidR="000A3D87">
        <w:rPr>
          <w:lang w:val="fr-FR"/>
        </w:rPr>
        <w:t>’</w:t>
      </w:r>
      <w:r w:rsidR="00E15507">
        <w:rPr>
          <w:lang w:val="fr-FR"/>
        </w:rPr>
        <w:t xml:space="preserve">éradication de la traite des femmes et du travail des enfants </w:t>
      </w:r>
      <w:r w:rsidR="00E15507" w:rsidRPr="005D6CD4">
        <w:rPr>
          <w:lang w:val="fr-FR"/>
        </w:rPr>
        <w:t xml:space="preserve">dans les établissements secondaires et des formations </w:t>
      </w:r>
      <w:r w:rsidR="00E15507">
        <w:rPr>
          <w:lang w:val="fr-FR"/>
        </w:rPr>
        <w:t xml:space="preserve">de </w:t>
      </w:r>
      <w:r w:rsidR="00E15507" w:rsidRPr="005D6CD4">
        <w:rPr>
          <w:lang w:val="fr-FR"/>
        </w:rPr>
        <w:t>NYSC à travers toute la Fédération en vue de sensibiliser les étudiants et les diplômés des institutions universitaires sur les méfaits d</w:t>
      </w:r>
      <w:r w:rsidR="00E15507">
        <w:rPr>
          <w:lang w:val="fr-FR"/>
        </w:rPr>
        <w:t xml:space="preserve">e la traite </w:t>
      </w:r>
      <w:r w:rsidR="00E15507" w:rsidRPr="005D6CD4">
        <w:rPr>
          <w:lang w:val="fr-FR"/>
        </w:rPr>
        <w:t>des êtres humains.</w:t>
      </w:r>
    </w:p>
    <w:p w:rsidR="00E15507" w:rsidRPr="005D6CD4" w:rsidRDefault="00F209C2" w:rsidP="00F209C2">
      <w:pPr>
        <w:pStyle w:val="SingleTxt"/>
        <w:numPr>
          <w:ilvl w:val="0"/>
          <w:numId w:val="18"/>
        </w:numPr>
        <w:rPr>
          <w:lang w:val="fr-FR"/>
        </w:rPr>
      </w:pPr>
      <w:r>
        <w:rPr>
          <w:lang w:val="fr-FR"/>
        </w:rPr>
        <w:tab/>
      </w:r>
      <w:r w:rsidR="00E15507" w:rsidRPr="005D6CD4">
        <w:rPr>
          <w:lang w:val="fr-FR"/>
        </w:rPr>
        <w:t>Des lignes d</w:t>
      </w:r>
      <w:r w:rsidR="000A3D87">
        <w:rPr>
          <w:lang w:val="fr-FR"/>
        </w:rPr>
        <w:t>’</w:t>
      </w:r>
      <w:r w:rsidR="00E15507">
        <w:rPr>
          <w:lang w:val="fr-FR"/>
        </w:rPr>
        <w:t xml:space="preserve">appel </w:t>
      </w:r>
      <w:r w:rsidR="00E15507" w:rsidRPr="005D6CD4">
        <w:rPr>
          <w:lang w:val="fr-FR"/>
        </w:rPr>
        <w:t xml:space="preserve">téléphonique </w:t>
      </w:r>
      <w:r w:rsidR="00E15507">
        <w:rPr>
          <w:lang w:val="fr-FR"/>
        </w:rPr>
        <w:t>d</w:t>
      </w:r>
      <w:r w:rsidR="000A3D87">
        <w:rPr>
          <w:lang w:val="fr-FR"/>
        </w:rPr>
        <w:t>’</w:t>
      </w:r>
      <w:r w:rsidR="00E15507">
        <w:rPr>
          <w:lang w:val="fr-FR"/>
        </w:rPr>
        <w:t xml:space="preserve">urgence </w:t>
      </w:r>
      <w:r w:rsidR="00E15507" w:rsidRPr="005D6CD4">
        <w:rPr>
          <w:lang w:val="fr-FR"/>
        </w:rPr>
        <w:t>ont été installées par la NAPTIP pour permettre au public de signaler les cas de tra</w:t>
      </w:r>
      <w:r w:rsidR="00E15507">
        <w:rPr>
          <w:lang w:val="fr-FR"/>
        </w:rPr>
        <w:t xml:space="preserve">ite </w:t>
      </w:r>
      <w:r w:rsidR="00E15507" w:rsidRPr="005D6CD4">
        <w:rPr>
          <w:lang w:val="fr-FR"/>
        </w:rPr>
        <w:t>ou de mauvais traitements d</w:t>
      </w:r>
      <w:r w:rsidR="000A3D87">
        <w:rPr>
          <w:lang w:val="fr-FR"/>
        </w:rPr>
        <w:t>’</w:t>
      </w:r>
      <w:r w:rsidR="00E15507" w:rsidRPr="005D6CD4">
        <w:rPr>
          <w:lang w:val="fr-FR"/>
        </w:rPr>
        <w:t>enfants ou de femmes</w:t>
      </w:r>
    </w:p>
    <w:p w:rsidR="00E15507" w:rsidRPr="005D6CD4" w:rsidRDefault="00F209C2" w:rsidP="00F209C2">
      <w:pPr>
        <w:pStyle w:val="SingleTxt"/>
        <w:numPr>
          <w:ilvl w:val="0"/>
          <w:numId w:val="18"/>
        </w:numPr>
        <w:rPr>
          <w:lang w:val="fr-FR"/>
        </w:rPr>
      </w:pPr>
      <w:r>
        <w:rPr>
          <w:lang w:val="fr-FR"/>
        </w:rPr>
        <w:tab/>
      </w:r>
      <w:r w:rsidR="00E15507" w:rsidRPr="005D6CD4">
        <w:rPr>
          <w:lang w:val="fr-FR"/>
        </w:rPr>
        <w:t xml:space="preserve">Le </w:t>
      </w:r>
      <w:r w:rsidR="00E15507">
        <w:rPr>
          <w:lang w:val="fr-FR"/>
        </w:rPr>
        <w:t>ministère</w:t>
      </w:r>
      <w:r w:rsidR="00E15507" w:rsidRPr="005D6CD4">
        <w:rPr>
          <w:lang w:val="fr-FR"/>
        </w:rPr>
        <w:t xml:space="preserve"> fédéral d</w:t>
      </w:r>
      <w:r w:rsidR="00E15507">
        <w:rPr>
          <w:lang w:val="fr-FR"/>
        </w:rPr>
        <w:t>e l</w:t>
      </w:r>
      <w:r w:rsidR="000A3D87">
        <w:rPr>
          <w:lang w:val="fr-FR"/>
        </w:rPr>
        <w:t>’</w:t>
      </w:r>
      <w:r w:rsidR="00E15507">
        <w:rPr>
          <w:lang w:val="fr-FR"/>
        </w:rPr>
        <w:t>O</w:t>
      </w:r>
      <w:r w:rsidR="00E15507" w:rsidRPr="005D6CD4">
        <w:rPr>
          <w:lang w:val="fr-FR"/>
        </w:rPr>
        <w:t>rientation nationale, en collaboration avec l</w:t>
      </w:r>
      <w:r w:rsidR="000A3D87">
        <w:rPr>
          <w:lang w:val="fr-FR"/>
        </w:rPr>
        <w:t>’</w:t>
      </w:r>
      <w:r w:rsidR="00E15507" w:rsidRPr="005D6CD4">
        <w:rPr>
          <w:lang w:val="fr-FR"/>
        </w:rPr>
        <w:t xml:space="preserve">OIT/IPEC a mené les activités suivantes </w:t>
      </w:r>
      <w:r w:rsidR="00E15507">
        <w:rPr>
          <w:lang w:val="fr-FR"/>
        </w:rPr>
        <w:t>à l</w:t>
      </w:r>
      <w:r w:rsidR="000A3D87">
        <w:rPr>
          <w:lang w:val="fr-FR"/>
        </w:rPr>
        <w:t>’</w:t>
      </w:r>
      <w:r w:rsidR="00E15507">
        <w:rPr>
          <w:lang w:val="fr-FR"/>
        </w:rPr>
        <w:t>appui de la lutte contre la</w:t>
      </w:r>
      <w:r w:rsidR="00E15507" w:rsidRPr="005D6CD4">
        <w:rPr>
          <w:lang w:val="fr-FR"/>
        </w:rPr>
        <w:t xml:space="preserve"> </w:t>
      </w:r>
      <w:r w:rsidR="00E15507">
        <w:rPr>
          <w:lang w:val="fr-FR"/>
        </w:rPr>
        <w:t xml:space="preserve">traite </w:t>
      </w:r>
      <w:r w:rsidR="00E15507" w:rsidRPr="005D6CD4">
        <w:rPr>
          <w:lang w:val="fr-FR"/>
        </w:rPr>
        <w:t>et le travail des enfants au Nigéria</w:t>
      </w:r>
    </w:p>
    <w:p w:rsidR="00E15507" w:rsidRPr="005D6CD4" w:rsidRDefault="00E15507" w:rsidP="009546E1">
      <w:pPr>
        <w:pStyle w:val="SingleTxt"/>
        <w:numPr>
          <w:ilvl w:val="1"/>
          <w:numId w:val="18"/>
        </w:numPr>
        <w:tabs>
          <w:tab w:val="clear" w:pos="2707"/>
        </w:tabs>
        <w:ind w:left="2250" w:hanging="270"/>
        <w:rPr>
          <w:lang w:val="fr-FR"/>
        </w:rPr>
      </w:pPr>
      <w:r w:rsidRPr="005D6CD4">
        <w:rPr>
          <w:lang w:val="fr-FR"/>
        </w:rPr>
        <w:t>Atelier d</w:t>
      </w:r>
      <w:r w:rsidR="000A3D87">
        <w:rPr>
          <w:lang w:val="fr-FR"/>
        </w:rPr>
        <w:t>’</w:t>
      </w:r>
      <w:r w:rsidRPr="005D6CD4">
        <w:rPr>
          <w:lang w:val="fr-FR"/>
        </w:rPr>
        <w:t>éducation et de sensibilisation des organisations religieuses du Nigéria sur la nécessité de lancer une campagne d</w:t>
      </w:r>
      <w:r w:rsidR="000A3D87">
        <w:rPr>
          <w:lang w:val="fr-FR"/>
        </w:rPr>
        <w:t>’</w:t>
      </w:r>
      <w:r w:rsidRPr="005D6CD4">
        <w:rPr>
          <w:lang w:val="fr-FR"/>
        </w:rPr>
        <w:t>élimination du travail et d</w:t>
      </w:r>
      <w:r>
        <w:rPr>
          <w:lang w:val="fr-FR"/>
        </w:rPr>
        <w:t xml:space="preserve">e la traite </w:t>
      </w:r>
      <w:r w:rsidRPr="005D6CD4">
        <w:rPr>
          <w:lang w:val="fr-FR"/>
        </w:rPr>
        <w:t xml:space="preserve">des enfants, de produire et </w:t>
      </w:r>
      <w:r>
        <w:rPr>
          <w:lang w:val="fr-FR"/>
        </w:rPr>
        <w:t xml:space="preserve">de </w:t>
      </w:r>
      <w:r w:rsidRPr="005D6CD4">
        <w:rPr>
          <w:lang w:val="fr-FR"/>
        </w:rPr>
        <w:t>diffuser des spots radio sur la prévention d</w:t>
      </w:r>
      <w:r>
        <w:rPr>
          <w:lang w:val="fr-FR"/>
        </w:rPr>
        <w:t xml:space="preserve">e la traite </w:t>
      </w:r>
      <w:r w:rsidRPr="005D6CD4">
        <w:rPr>
          <w:lang w:val="fr-FR"/>
        </w:rPr>
        <w:t>des êtres humains.</w:t>
      </w:r>
    </w:p>
    <w:p w:rsidR="00E15507" w:rsidRDefault="00E15507" w:rsidP="009546E1">
      <w:pPr>
        <w:pStyle w:val="SingleTxt"/>
        <w:numPr>
          <w:ilvl w:val="1"/>
          <w:numId w:val="18"/>
        </w:numPr>
        <w:tabs>
          <w:tab w:val="clear" w:pos="2707"/>
        </w:tabs>
        <w:ind w:left="2250" w:hanging="270"/>
        <w:rPr>
          <w:lang w:val="fr-FR"/>
        </w:rPr>
      </w:pPr>
      <w:r w:rsidRPr="005D6CD4">
        <w:rPr>
          <w:lang w:val="fr-FR"/>
        </w:rPr>
        <w:t>La production de spots radio sur les outils, les affiches et les panneaux publicitaires de l</w:t>
      </w:r>
      <w:r w:rsidR="000A3D87">
        <w:rPr>
          <w:lang w:val="fr-FR"/>
        </w:rPr>
        <w:t>’</w:t>
      </w:r>
      <w:r w:rsidRPr="005D6CD4">
        <w:rPr>
          <w:lang w:val="fr-FR"/>
        </w:rPr>
        <w:t>IEC en vue d</w:t>
      </w:r>
      <w:r>
        <w:rPr>
          <w:lang w:val="fr-FR"/>
        </w:rPr>
        <w:t xml:space="preserve">e sensibiliser </w:t>
      </w:r>
      <w:r w:rsidRPr="005D6CD4">
        <w:rPr>
          <w:lang w:val="fr-FR"/>
        </w:rPr>
        <w:t xml:space="preserve">le public et </w:t>
      </w:r>
      <w:r>
        <w:rPr>
          <w:lang w:val="fr-FR"/>
        </w:rPr>
        <w:t xml:space="preserve">de </w:t>
      </w:r>
      <w:r w:rsidRPr="005D6CD4">
        <w:rPr>
          <w:lang w:val="fr-FR"/>
        </w:rPr>
        <w:t>réduire le niveau d</w:t>
      </w:r>
      <w:r>
        <w:rPr>
          <w:lang w:val="fr-FR"/>
        </w:rPr>
        <w:t xml:space="preserve">e la traite </w:t>
      </w:r>
      <w:r w:rsidRPr="005D6CD4">
        <w:rPr>
          <w:lang w:val="fr-FR"/>
        </w:rPr>
        <w:t>des êtres humains dans le pays.</w:t>
      </w:r>
    </w:p>
    <w:p w:rsidR="005F5CDB" w:rsidRPr="005F5CDB" w:rsidRDefault="005F5CDB" w:rsidP="005F5CDB">
      <w:pPr>
        <w:pStyle w:val="SingleTxt"/>
        <w:spacing w:after="0" w:line="120" w:lineRule="exact"/>
        <w:rPr>
          <w:sz w:val="10"/>
          <w:lang w:val="fr-FR"/>
        </w:rPr>
      </w:pPr>
    </w:p>
    <w:p w:rsidR="00E15507" w:rsidRDefault="005F5CDB" w:rsidP="005F5C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E15507" w:rsidRPr="005D6CD4">
        <w:rPr>
          <w:lang w:val="fr-FR"/>
        </w:rPr>
        <w:t xml:space="preserve">6.5 </w:t>
      </w:r>
      <w:r>
        <w:rPr>
          <w:lang w:val="fr-FR"/>
        </w:rPr>
        <w:tab/>
      </w:r>
      <w:r w:rsidR="00E15507" w:rsidRPr="005D6CD4">
        <w:rPr>
          <w:lang w:val="fr-FR"/>
        </w:rPr>
        <w:t>Défis</w:t>
      </w:r>
    </w:p>
    <w:p w:rsidR="005F5CDB" w:rsidRPr="005F5CDB" w:rsidRDefault="005F5CDB" w:rsidP="005F5CDB">
      <w:pPr>
        <w:pStyle w:val="SingleTxt"/>
        <w:spacing w:after="0" w:line="120" w:lineRule="exact"/>
        <w:rPr>
          <w:sz w:val="10"/>
          <w:lang w:val="fr-FR"/>
        </w:rPr>
      </w:pPr>
    </w:p>
    <w:p w:rsidR="00E15507" w:rsidRPr="005D6CD4" w:rsidRDefault="005F5CDB" w:rsidP="00740CA4">
      <w:pPr>
        <w:pStyle w:val="SingleTxt"/>
        <w:rPr>
          <w:lang w:val="fr-FR"/>
        </w:rPr>
      </w:pPr>
      <w:r>
        <w:rPr>
          <w:lang w:val="fr-FR"/>
        </w:rPr>
        <w:tab/>
      </w:r>
      <w:r w:rsidR="00E15507" w:rsidRPr="005D6CD4">
        <w:rPr>
          <w:lang w:val="fr-FR"/>
        </w:rPr>
        <w:t>En dépit de la réduction sensible des formes de tra</w:t>
      </w:r>
      <w:r w:rsidR="00E15507">
        <w:rPr>
          <w:lang w:val="fr-FR"/>
        </w:rPr>
        <w:t>ite</w:t>
      </w:r>
      <w:r w:rsidR="00E15507" w:rsidRPr="005D6CD4">
        <w:rPr>
          <w:lang w:val="fr-FR"/>
        </w:rPr>
        <w:t xml:space="preserve"> </w:t>
      </w:r>
      <w:r w:rsidR="00E15507">
        <w:rPr>
          <w:lang w:val="fr-FR"/>
        </w:rPr>
        <w:t xml:space="preserve">des personnes </w:t>
      </w:r>
      <w:r w:rsidR="00E15507" w:rsidRPr="005D6CD4">
        <w:rPr>
          <w:lang w:val="fr-FR"/>
        </w:rPr>
        <w:t>qui avaient systématiquement cours par le passé, sans entraves et sans rapports y afférents, l</w:t>
      </w:r>
      <w:r w:rsidR="00E15507">
        <w:rPr>
          <w:lang w:val="fr-FR"/>
        </w:rPr>
        <w:t xml:space="preserve">a traite </w:t>
      </w:r>
      <w:r w:rsidR="00E15507" w:rsidRPr="005D6CD4">
        <w:rPr>
          <w:lang w:val="fr-FR"/>
        </w:rPr>
        <w:t>des femmes et des enfants ainsi que les diverses formes d</w:t>
      </w:r>
      <w:r w:rsidR="000A3D87">
        <w:rPr>
          <w:lang w:val="fr-FR"/>
        </w:rPr>
        <w:t>’</w:t>
      </w:r>
      <w:r w:rsidR="00E15507" w:rsidRPr="005D6CD4">
        <w:rPr>
          <w:lang w:val="fr-FR"/>
        </w:rPr>
        <w:t xml:space="preserve">exploitation des femmes demeure un problème dans le pays, malgré les nombreuses mesures prises par le </w:t>
      </w:r>
      <w:r w:rsidR="00E15507">
        <w:rPr>
          <w:lang w:val="fr-FR"/>
        </w:rPr>
        <w:t>G</w:t>
      </w:r>
      <w:r w:rsidR="00E15507" w:rsidRPr="005D6CD4">
        <w:rPr>
          <w:lang w:val="fr-FR"/>
        </w:rPr>
        <w:t xml:space="preserve">ouvernement et diverses organisations internationales et non gouvernementales. </w:t>
      </w:r>
    </w:p>
    <w:p w:rsidR="00E15507" w:rsidRPr="005D6CD4" w:rsidRDefault="005F5CDB" w:rsidP="00740CA4">
      <w:pPr>
        <w:pStyle w:val="SingleTxt"/>
        <w:rPr>
          <w:lang w:val="fr-FR"/>
        </w:rPr>
      </w:pPr>
      <w:r>
        <w:rPr>
          <w:lang w:val="fr-FR"/>
        </w:rPr>
        <w:tab/>
      </w:r>
      <w:r w:rsidR="00E15507" w:rsidRPr="005D6CD4">
        <w:rPr>
          <w:lang w:val="fr-FR"/>
        </w:rPr>
        <w:t xml:space="preserve">Il est par conséquent nécessaire de créer davantage de </w:t>
      </w:r>
      <w:r w:rsidR="00E15507">
        <w:rPr>
          <w:lang w:val="fr-FR"/>
        </w:rPr>
        <w:t xml:space="preserve">voies de rapatriement </w:t>
      </w:r>
      <w:r w:rsidR="00E15507" w:rsidRPr="005D6CD4">
        <w:rPr>
          <w:lang w:val="fr-FR"/>
        </w:rPr>
        <w:t>d</w:t>
      </w:r>
      <w:r w:rsidR="000A3D87">
        <w:rPr>
          <w:lang w:val="fr-FR"/>
        </w:rPr>
        <w:t>’</w:t>
      </w:r>
      <w:r w:rsidR="00E15507" w:rsidRPr="005D6CD4">
        <w:rPr>
          <w:lang w:val="fr-FR"/>
        </w:rPr>
        <w:t xml:space="preserve">enfants/femmes victimes de </w:t>
      </w:r>
      <w:r w:rsidR="00E15507">
        <w:rPr>
          <w:lang w:val="fr-FR"/>
        </w:rPr>
        <w:t xml:space="preserve">la traite </w:t>
      </w:r>
      <w:r w:rsidR="00E15507" w:rsidRPr="005D6CD4">
        <w:rPr>
          <w:lang w:val="fr-FR"/>
        </w:rPr>
        <w:t>au niveau local, national, ré</w:t>
      </w:r>
      <w:r w:rsidR="00E15507">
        <w:rPr>
          <w:lang w:val="fr-FR"/>
        </w:rPr>
        <w:t>gional et international et des É</w:t>
      </w:r>
      <w:r w:rsidR="00E15507" w:rsidRPr="005D6CD4">
        <w:rPr>
          <w:lang w:val="fr-FR"/>
        </w:rPr>
        <w:t>tats. Le mécanisme institutionnel de suivi, d</w:t>
      </w:r>
      <w:r w:rsidR="000A3D87">
        <w:rPr>
          <w:lang w:val="fr-FR"/>
        </w:rPr>
        <w:t>’</w:t>
      </w:r>
      <w:r w:rsidR="00E15507">
        <w:rPr>
          <w:lang w:val="fr-FR"/>
        </w:rPr>
        <w:t>établissement de rapports sur la traite des personnes</w:t>
      </w:r>
      <w:r w:rsidR="00E15507" w:rsidRPr="005D6CD4">
        <w:rPr>
          <w:lang w:val="fr-FR"/>
        </w:rPr>
        <w:t>, de ré</w:t>
      </w:r>
      <w:r w:rsidR="00E15507">
        <w:rPr>
          <w:lang w:val="fr-FR"/>
        </w:rPr>
        <w:t xml:space="preserve">adaptation </w:t>
      </w:r>
      <w:r w:rsidR="00E15507" w:rsidRPr="005D6CD4">
        <w:rPr>
          <w:lang w:val="fr-FR"/>
        </w:rPr>
        <w:t xml:space="preserve">et de réintégration doit être davantage renforcé. </w:t>
      </w:r>
    </w:p>
    <w:p w:rsidR="00E15507" w:rsidRPr="005D6CD4" w:rsidRDefault="005F5CDB" w:rsidP="00740CA4">
      <w:pPr>
        <w:pStyle w:val="SingleTxt"/>
        <w:rPr>
          <w:lang w:val="fr-FR"/>
        </w:rPr>
      </w:pPr>
      <w:r>
        <w:rPr>
          <w:lang w:val="fr-FR"/>
        </w:rPr>
        <w:tab/>
      </w:r>
      <w:r w:rsidR="00E15507" w:rsidRPr="005D6CD4">
        <w:rPr>
          <w:lang w:val="fr-FR"/>
        </w:rPr>
        <w:t>Il est urgent d</w:t>
      </w:r>
      <w:r w:rsidR="000A3D87">
        <w:rPr>
          <w:lang w:val="fr-FR"/>
        </w:rPr>
        <w:t>’</w:t>
      </w:r>
      <w:r w:rsidR="00E15507" w:rsidRPr="005D6CD4">
        <w:rPr>
          <w:lang w:val="fr-FR"/>
        </w:rPr>
        <w:t xml:space="preserve">instituer une meilleure coordination avec les </w:t>
      </w:r>
      <w:r w:rsidR="00E15507">
        <w:rPr>
          <w:lang w:val="fr-FR"/>
        </w:rPr>
        <w:t>É</w:t>
      </w:r>
      <w:r w:rsidR="00E15507" w:rsidRPr="005D6CD4">
        <w:rPr>
          <w:lang w:val="fr-FR"/>
        </w:rPr>
        <w:t>tats voisins pour encourager la conclusion d</w:t>
      </w:r>
      <w:r w:rsidR="000A3D87">
        <w:rPr>
          <w:lang w:val="fr-FR"/>
        </w:rPr>
        <w:t>’</w:t>
      </w:r>
      <w:r w:rsidR="00E15507" w:rsidRPr="005D6CD4">
        <w:rPr>
          <w:lang w:val="fr-FR"/>
        </w:rPr>
        <w:t>accords transnationaux de collaboration en vue de lutter contre l</w:t>
      </w:r>
      <w:r w:rsidR="000A3D87">
        <w:rPr>
          <w:lang w:val="fr-FR"/>
        </w:rPr>
        <w:t>’</w:t>
      </w:r>
      <w:r w:rsidR="00E15507" w:rsidRPr="005D6CD4">
        <w:rPr>
          <w:lang w:val="fr-FR"/>
        </w:rPr>
        <w:t xml:space="preserve">offre </w:t>
      </w:r>
      <w:r w:rsidR="00E15507">
        <w:rPr>
          <w:lang w:val="fr-FR"/>
        </w:rPr>
        <w:t xml:space="preserve">tout comme la </w:t>
      </w:r>
      <w:r w:rsidR="00E15507" w:rsidRPr="005D6CD4">
        <w:rPr>
          <w:lang w:val="fr-FR"/>
        </w:rPr>
        <w:t>demande d</w:t>
      </w:r>
      <w:r w:rsidR="00E15507">
        <w:rPr>
          <w:lang w:val="fr-FR"/>
        </w:rPr>
        <w:t xml:space="preserve">e la traite </w:t>
      </w:r>
      <w:r w:rsidR="00E15507" w:rsidRPr="005D6CD4">
        <w:rPr>
          <w:lang w:val="fr-FR"/>
        </w:rPr>
        <w:t>des enfants/femmes au Nigéria.</w:t>
      </w:r>
    </w:p>
    <w:p w:rsidR="00E15507" w:rsidRDefault="00E15507" w:rsidP="00740CA4">
      <w:pPr>
        <w:pStyle w:val="SingleTxt"/>
        <w:rPr>
          <w:lang w:val="fr-FR"/>
        </w:rPr>
      </w:pPr>
    </w:p>
    <w:p w:rsidR="00E15507" w:rsidRDefault="005F5CDB" w:rsidP="005F5C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br w:type="page"/>
      </w:r>
      <w:r>
        <w:rPr>
          <w:lang w:val="fr-FR"/>
        </w:rPr>
        <w:tab/>
      </w:r>
      <w:r>
        <w:rPr>
          <w:lang w:val="fr-FR"/>
        </w:rPr>
        <w:tab/>
      </w:r>
      <w:r w:rsidR="00E15507">
        <w:rPr>
          <w:lang w:val="fr-FR"/>
        </w:rPr>
        <w:t>Article 7</w:t>
      </w:r>
      <w:r>
        <w:rPr>
          <w:lang w:val="fr-FR"/>
        </w:rPr>
        <w:br/>
      </w:r>
      <w:r w:rsidR="00E15507">
        <w:rPr>
          <w:lang w:val="fr-FR"/>
        </w:rPr>
        <w:t>Les femmes dans la vie politique et publique</w:t>
      </w:r>
    </w:p>
    <w:p w:rsidR="005F5CDB" w:rsidRPr="005F5CDB" w:rsidRDefault="005F5CDB" w:rsidP="005F5CDB">
      <w:pPr>
        <w:pStyle w:val="SingleTxt"/>
        <w:spacing w:after="0" w:line="120" w:lineRule="exact"/>
        <w:rPr>
          <w:sz w:val="10"/>
          <w:lang w:val="fr-FR"/>
        </w:rPr>
      </w:pPr>
    </w:p>
    <w:p w:rsidR="005F5CDB" w:rsidRPr="005F5CDB" w:rsidRDefault="005F5CDB" w:rsidP="005F5CDB">
      <w:pPr>
        <w:pStyle w:val="SingleTxt"/>
        <w:spacing w:after="0" w:line="120" w:lineRule="exact"/>
        <w:rPr>
          <w:sz w:val="10"/>
          <w:lang w:val="fr-FR"/>
        </w:rPr>
      </w:pPr>
    </w:p>
    <w:p w:rsidR="00E15507" w:rsidRDefault="005F5CDB" w:rsidP="005F5C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E15507" w:rsidRPr="005D6CD4">
        <w:rPr>
          <w:lang w:val="fr-FR"/>
        </w:rPr>
        <w:t xml:space="preserve">7.0 </w:t>
      </w:r>
      <w:r>
        <w:rPr>
          <w:lang w:val="fr-FR"/>
        </w:rPr>
        <w:tab/>
      </w:r>
      <w:r w:rsidR="00E15507" w:rsidRPr="005D6CD4">
        <w:rPr>
          <w:lang w:val="fr-FR"/>
        </w:rPr>
        <w:t>Contexte constitutionnel de la participation des femmes à la vie politique et publique</w:t>
      </w:r>
    </w:p>
    <w:p w:rsidR="005F5CDB" w:rsidRPr="005F5CDB" w:rsidRDefault="005F5CDB" w:rsidP="005F5CDB">
      <w:pPr>
        <w:pStyle w:val="SingleTxt"/>
        <w:spacing w:after="0" w:line="120" w:lineRule="exact"/>
        <w:rPr>
          <w:sz w:val="10"/>
          <w:lang w:val="fr-FR"/>
        </w:rPr>
      </w:pPr>
    </w:p>
    <w:p w:rsidR="00E15507" w:rsidRDefault="005F5CDB" w:rsidP="005F5C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rPr>
          <w:b w:val="0"/>
          <w:lang w:val="fr-FR"/>
        </w:rPr>
      </w:pPr>
      <w:r>
        <w:rPr>
          <w:lang w:val="fr-FR"/>
        </w:rPr>
        <w:tab/>
      </w:r>
      <w:r w:rsidR="00E15507" w:rsidRPr="005D6CD4">
        <w:rPr>
          <w:lang w:val="fr-FR"/>
        </w:rPr>
        <w:t xml:space="preserve">7.1 </w:t>
      </w:r>
      <w:r>
        <w:rPr>
          <w:lang w:val="fr-FR"/>
        </w:rPr>
        <w:tab/>
      </w:r>
      <w:r w:rsidR="00E15507" w:rsidRPr="005F5CDB">
        <w:rPr>
          <w:b w:val="0"/>
          <w:lang w:val="fr-FR"/>
        </w:rPr>
        <w:t>Le Nigéria reconnaît que la démocratie et la bonne gouvernance nécessitent que les hommes et les femmes aient un accès illimité aux espaces de pouvoir où ils peuvent donner la pleine mesure de leur valeur politique et où leurs exigences individuelles peuvent être manifestées et satisfaites. L</w:t>
      </w:r>
      <w:r w:rsidR="000A3D87">
        <w:rPr>
          <w:b w:val="0"/>
          <w:lang w:val="fr-FR"/>
        </w:rPr>
        <w:t>’</w:t>
      </w:r>
      <w:r w:rsidR="00E15507" w:rsidRPr="005F5CDB">
        <w:rPr>
          <w:b w:val="0"/>
          <w:lang w:val="fr-FR"/>
        </w:rPr>
        <w:t>article 42 de la Constitution de 1999 garantit à tout Nigérian (homme ou femme) la protection contre la discrimination et la liberté d</w:t>
      </w:r>
      <w:r w:rsidR="000A3D87">
        <w:rPr>
          <w:b w:val="0"/>
          <w:lang w:val="fr-FR"/>
        </w:rPr>
        <w:t>’</w:t>
      </w:r>
      <w:r w:rsidR="00E15507" w:rsidRPr="005F5CDB">
        <w:rPr>
          <w:b w:val="0"/>
          <w:lang w:val="fr-FR"/>
        </w:rPr>
        <w:t>association qui, par extension, implique la liberté d</w:t>
      </w:r>
      <w:r w:rsidR="000A3D87">
        <w:rPr>
          <w:b w:val="0"/>
          <w:lang w:val="fr-FR"/>
        </w:rPr>
        <w:t>’</w:t>
      </w:r>
      <w:r w:rsidR="00E15507" w:rsidRPr="005F5CDB">
        <w:rPr>
          <w:b w:val="0"/>
          <w:lang w:val="fr-FR"/>
        </w:rPr>
        <w:t>association politique et de participation à la vie politique pour tous sur un même pied d</w:t>
      </w:r>
      <w:r w:rsidR="000A3D87">
        <w:rPr>
          <w:b w:val="0"/>
          <w:lang w:val="fr-FR"/>
        </w:rPr>
        <w:t>’</w:t>
      </w:r>
      <w:r w:rsidR="00E15507" w:rsidRPr="005F5CDB">
        <w:rPr>
          <w:b w:val="0"/>
          <w:lang w:val="fr-FR"/>
        </w:rPr>
        <w:t>égalité. La même Constitution stipule que des élections libres et équitables sont organisées dans la plus grande transparence et la sécurité pour tous les intervenants.</w:t>
      </w:r>
    </w:p>
    <w:p w:rsidR="005F5CDB" w:rsidRPr="005F5CDB" w:rsidRDefault="005F5CDB" w:rsidP="005F5CDB">
      <w:pPr>
        <w:pStyle w:val="SingleTxt"/>
        <w:spacing w:after="0" w:line="120" w:lineRule="exact"/>
        <w:rPr>
          <w:sz w:val="10"/>
          <w:lang w:val="fr-FR"/>
        </w:rPr>
      </w:pPr>
    </w:p>
    <w:p w:rsidR="00E15507" w:rsidRDefault="005F5CDB" w:rsidP="005F5C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E15507" w:rsidRPr="005D6CD4">
        <w:rPr>
          <w:lang w:val="fr-FR"/>
        </w:rPr>
        <w:t xml:space="preserve">7.2 </w:t>
      </w:r>
      <w:r>
        <w:rPr>
          <w:lang w:val="fr-FR"/>
        </w:rPr>
        <w:tab/>
      </w:r>
      <w:r w:rsidR="00E15507" w:rsidRPr="005D6CD4">
        <w:rPr>
          <w:lang w:val="fr-FR"/>
        </w:rPr>
        <w:t>Mesures d</w:t>
      </w:r>
      <w:r w:rsidR="000A3D87">
        <w:rPr>
          <w:lang w:val="fr-FR"/>
        </w:rPr>
        <w:t>’</w:t>
      </w:r>
      <w:r w:rsidR="00E15507" w:rsidRPr="005D6CD4">
        <w:rPr>
          <w:lang w:val="fr-FR"/>
        </w:rPr>
        <w:t>ordre juridique et législatif d</w:t>
      </w:r>
      <w:r w:rsidR="000A3D87">
        <w:rPr>
          <w:lang w:val="fr-FR"/>
        </w:rPr>
        <w:t>’</w:t>
      </w:r>
      <w:r w:rsidR="00E15507" w:rsidRPr="005D6CD4">
        <w:rPr>
          <w:lang w:val="fr-FR"/>
        </w:rPr>
        <w:t>accélération de la participation des femmes à la vie politique et publique</w:t>
      </w:r>
    </w:p>
    <w:p w:rsidR="005F5CDB" w:rsidRPr="005F5CDB" w:rsidRDefault="005F5CDB" w:rsidP="005F5CDB">
      <w:pPr>
        <w:pStyle w:val="SingleTxt"/>
        <w:spacing w:after="0" w:line="120" w:lineRule="exact"/>
        <w:rPr>
          <w:sz w:val="10"/>
          <w:lang w:val="fr-FR"/>
        </w:rPr>
      </w:pPr>
    </w:p>
    <w:p w:rsidR="00E15507" w:rsidRPr="005D6CD4" w:rsidRDefault="005F5CDB" w:rsidP="00740CA4">
      <w:pPr>
        <w:pStyle w:val="SingleTxt"/>
        <w:rPr>
          <w:lang w:val="fr-FR"/>
        </w:rPr>
      </w:pPr>
      <w:r>
        <w:rPr>
          <w:lang w:val="fr-FR"/>
        </w:rPr>
        <w:tab/>
      </w:r>
      <w:r w:rsidR="00E15507" w:rsidRPr="005D6CD4">
        <w:rPr>
          <w:lang w:val="fr-FR"/>
        </w:rPr>
        <w:t xml:space="preserve">Au moment de la préparation du présent rapport, des mesures ont été prises par le </w:t>
      </w:r>
      <w:r w:rsidR="00E15507">
        <w:rPr>
          <w:lang w:val="fr-FR"/>
        </w:rPr>
        <w:t>G</w:t>
      </w:r>
      <w:r w:rsidR="00E15507" w:rsidRPr="005D6CD4">
        <w:rPr>
          <w:lang w:val="fr-FR"/>
        </w:rPr>
        <w:t>ouvernement, les OSC et les partis politiques pour accroître le nombre de femmes à des pos</w:t>
      </w:r>
      <w:r w:rsidR="00E15507">
        <w:rPr>
          <w:lang w:val="fr-FR"/>
        </w:rPr>
        <w:t xml:space="preserve">tes </w:t>
      </w:r>
      <w:r w:rsidR="00E15507" w:rsidRPr="005D6CD4">
        <w:rPr>
          <w:lang w:val="fr-FR"/>
        </w:rPr>
        <w:t xml:space="preserve">de pouvoir. </w:t>
      </w:r>
      <w:r w:rsidR="00E15507">
        <w:rPr>
          <w:lang w:val="fr-FR"/>
        </w:rPr>
        <w:t xml:space="preserve">Ces mesures comprennent les suivantes : </w:t>
      </w:r>
    </w:p>
    <w:p w:rsidR="00E15507" w:rsidRPr="005D6CD4" w:rsidRDefault="005F5CDB" w:rsidP="009546E1">
      <w:pPr>
        <w:pStyle w:val="SingleTxt"/>
        <w:numPr>
          <w:ilvl w:val="0"/>
          <w:numId w:val="19"/>
        </w:numPr>
        <w:tabs>
          <w:tab w:val="clear" w:pos="1987"/>
        </w:tabs>
        <w:ind w:left="1800" w:hanging="540"/>
        <w:rPr>
          <w:lang w:val="fr-FR"/>
        </w:rPr>
      </w:pPr>
      <w:r>
        <w:rPr>
          <w:lang w:val="fr-FR"/>
        </w:rPr>
        <w:tab/>
      </w:r>
      <w:r w:rsidR="00E15507" w:rsidRPr="005D6CD4">
        <w:rPr>
          <w:lang w:val="fr-FR"/>
        </w:rPr>
        <w:t xml:space="preserve">Projet de loi de modification de la Commission </w:t>
      </w:r>
      <w:r w:rsidR="00E15507">
        <w:rPr>
          <w:lang w:val="fr-FR"/>
        </w:rPr>
        <w:t xml:space="preserve">sur le caractère fédéral </w:t>
      </w:r>
      <w:r w:rsidR="00E15507" w:rsidRPr="005D6CD4">
        <w:rPr>
          <w:lang w:val="fr-FR"/>
        </w:rPr>
        <w:t>qui se trouve actuellement devant l</w:t>
      </w:r>
      <w:r w:rsidR="000A3D87">
        <w:rPr>
          <w:lang w:val="fr-FR"/>
        </w:rPr>
        <w:t>’</w:t>
      </w:r>
      <w:r w:rsidR="00E15507" w:rsidRPr="005D6CD4">
        <w:rPr>
          <w:lang w:val="fr-FR"/>
        </w:rPr>
        <w:t>Assemblée nationale en vue de l</w:t>
      </w:r>
      <w:r w:rsidR="000A3D87">
        <w:rPr>
          <w:lang w:val="fr-FR"/>
        </w:rPr>
        <w:t>’</w:t>
      </w:r>
      <w:r w:rsidR="00E15507" w:rsidRPr="005D6CD4">
        <w:rPr>
          <w:lang w:val="fr-FR"/>
        </w:rPr>
        <w:t>inclusion d</w:t>
      </w:r>
      <w:r w:rsidR="000A3D87">
        <w:rPr>
          <w:lang w:val="fr-FR"/>
        </w:rPr>
        <w:t>’</w:t>
      </w:r>
      <w:r w:rsidR="00E15507" w:rsidRPr="005D6CD4">
        <w:rPr>
          <w:lang w:val="fr-FR"/>
        </w:rPr>
        <w:t>une clause sur la parité des sexes dans toutes les nominations à l</w:t>
      </w:r>
      <w:r w:rsidR="000A3D87">
        <w:rPr>
          <w:lang w:val="fr-FR"/>
        </w:rPr>
        <w:t>’</w:t>
      </w:r>
      <w:r w:rsidR="00E15507" w:rsidRPr="005D6CD4">
        <w:rPr>
          <w:lang w:val="fr-FR"/>
        </w:rPr>
        <w:t>échelon fédéral.</w:t>
      </w:r>
    </w:p>
    <w:p w:rsidR="00E15507" w:rsidRPr="005D6CD4" w:rsidRDefault="005F5CDB" w:rsidP="009546E1">
      <w:pPr>
        <w:pStyle w:val="SingleTxt"/>
        <w:numPr>
          <w:ilvl w:val="0"/>
          <w:numId w:val="19"/>
        </w:numPr>
        <w:tabs>
          <w:tab w:val="clear" w:pos="1987"/>
        </w:tabs>
        <w:ind w:left="1800" w:hanging="540"/>
        <w:rPr>
          <w:lang w:val="fr-FR"/>
        </w:rPr>
      </w:pPr>
      <w:r>
        <w:rPr>
          <w:lang w:val="fr-FR"/>
        </w:rPr>
        <w:tab/>
      </w:r>
      <w:r w:rsidR="00E15507" w:rsidRPr="005D6CD4">
        <w:rPr>
          <w:lang w:val="fr-FR"/>
        </w:rPr>
        <w:t>La convocation d</w:t>
      </w:r>
      <w:r w:rsidR="000A3D87">
        <w:rPr>
          <w:lang w:val="fr-FR"/>
        </w:rPr>
        <w:t>’</w:t>
      </w:r>
      <w:r w:rsidR="00E15507" w:rsidRPr="005D6CD4">
        <w:rPr>
          <w:lang w:val="fr-FR"/>
        </w:rPr>
        <w:t xml:space="preserve">une </w:t>
      </w:r>
      <w:r w:rsidR="00E15507">
        <w:rPr>
          <w:lang w:val="fr-FR"/>
        </w:rPr>
        <w:t>conférence nationale sur la réforme politique</w:t>
      </w:r>
      <w:r w:rsidR="00E15507" w:rsidRPr="005D6CD4">
        <w:rPr>
          <w:lang w:val="fr-FR"/>
        </w:rPr>
        <w:t xml:space="preserve"> </w:t>
      </w:r>
      <w:r w:rsidR="00E15507">
        <w:rPr>
          <w:lang w:val="fr-FR"/>
        </w:rPr>
        <w:t xml:space="preserve">pour </w:t>
      </w:r>
      <w:r w:rsidR="00E15507" w:rsidRPr="005D6CD4">
        <w:rPr>
          <w:lang w:val="fr-FR"/>
        </w:rPr>
        <w:t>procéder à une révision constitutionnelle en vue d</w:t>
      </w:r>
      <w:r w:rsidR="000A3D87">
        <w:rPr>
          <w:lang w:val="fr-FR"/>
        </w:rPr>
        <w:t>’</w:t>
      </w:r>
      <w:r w:rsidR="00E15507">
        <w:rPr>
          <w:lang w:val="fr-FR"/>
        </w:rPr>
        <w:t>intégrer les considérations d</w:t>
      </w:r>
      <w:r w:rsidR="000A3D87">
        <w:rPr>
          <w:lang w:val="fr-FR"/>
        </w:rPr>
        <w:t>’</w:t>
      </w:r>
      <w:r w:rsidR="00E15507">
        <w:rPr>
          <w:lang w:val="fr-FR"/>
        </w:rPr>
        <w:t xml:space="preserve">égalité </w:t>
      </w:r>
      <w:r w:rsidR="00E15507" w:rsidRPr="005D6CD4">
        <w:rPr>
          <w:lang w:val="fr-FR"/>
        </w:rPr>
        <w:t>de</w:t>
      </w:r>
      <w:r w:rsidR="00E15507">
        <w:rPr>
          <w:lang w:val="fr-FR"/>
        </w:rPr>
        <w:t xml:space="preserve">s sexes </w:t>
      </w:r>
      <w:r w:rsidR="00E15507" w:rsidRPr="005D6CD4">
        <w:rPr>
          <w:lang w:val="fr-FR"/>
        </w:rPr>
        <w:t xml:space="preserve"> </w:t>
      </w:r>
      <w:r w:rsidR="00E15507">
        <w:rPr>
          <w:lang w:val="fr-FR"/>
        </w:rPr>
        <w:t>à</w:t>
      </w:r>
      <w:r w:rsidR="00E15507" w:rsidRPr="005D6CD4">
        <w:rPr>
          <w:lang w:val="fr-FR"/>
        </w:rPr>
        <w:t xml:space="preserve"> ses dispositions. Pour remédier au déséquilibre constaté dans la nomination des représentants à cette conférence, le Président s</w:t>
      </w:r>
      <w:r w:rsidR="000A3D87">
        <w:rPr>
          <w:lang w:val="fr-FR"/>
        </w:rPr>
        <w:t>’</w:t>
      </w:r>
      <w:r w:rsidR="00E15507" w:rsidRPr="005D6CD4">
        <w:rPr>
          <w:lang w:val="fr-FR"/>
        </w:rPr>
        <w:t xml:space="preserve">est assuré que 20 personnes parmi les 50 proposées pour prendre part à la conférence sont des femmes. Ceci dans le but de protéger les droits des femmes et de formuler des mécanismes et stratégies de révision qui tiennent compte des femmes. </w:t>
      </w:r>
    </w:p>
    <w:p w:rsidR="00E15507" w:rsidRPr="005D6CD4" w:rsidRDefault="005F5CDB" w:rsidP="009546E1">
      <w:pPr>
        <w:pStyle w:val="SingleTxt"/>
        <w:numPr>
          <w:ilvl w:val="0"/>
          <w:numId w:val="19"/>
        </w:numPr>
        <w:tabs>
          <w:tab w:val="clear" w:pos="1987"/>
        </w:tabs>
        <w:ind w:left="1800" w:hanging="540"/>
        <w:rPr>
          <w:lang w:val="fr-FR"/>
        </w:rPr>
      </w:pPr>
      <w:r>
        <w:rPr>
          <w:lang w:val="fr-FR"/>
        </w:rPr>
        <w:tab/>
      </w:r>
      <w:r w:rsidR="00E15507" w:rsidRPr="005D6CD4">
        <w:rPr>
          <w:lang w:val="fr-FR"/>
        </w:rPr>
        <w:t>Le projet de loi d</w:t>
      </w:r>
      <w:r w:rsidR="000A3D87">
        <w:rPr>
          <w:lang w:val="fr-FR"/>
        </w:rPr>
        <w:t>’</w:t>
      </w:r>
      <w:r w:rsidR="00E15507" w:rsidRPr="005D6CD4">
        <w:rPr>
          <w:lang w:val="fr-FR"/>
        </w:rPr>
        <w:t>intégration de la Convention à la législation nigériane est actuellement sur la table des députés.</w:t>
      </w:r>
    </w:p>
    <w:p w:rsidR="00E15507" w:rsidRPr="005D6CD4" w:rsidRDefault="00E15507" w:rsidP="00740CA4">
      <w:pPr>
        <w:pStyle w:val="SingleTxt"/>
        <w:rPr>
          <w:lang w:val="fr-FR"/>
        </w:rPr>
      </w:pPr>
      <w:r w:rsidRPr="005D6CD4">
        <w:rPr>
          <w:bCs/>
          <w:lang w:val="fr-FR"/>
        </w:rPr>
        <w:t xml:space="preserve">7.2.1 </w:t>
      </w:r>
      <w:r w:rsidR="005F5CDB">
        <w:rPr>
          <w:bCs/>
          <w:lang w:val="fr-FR"/>
        </w:rPr>
        <w:t xml:space="preserve"> </w:t>
      </w:r>
      <w:r w:rsidRPr="005D6CD4">
        <w:rPr>
          <w:lang w:val="fr-FR"/>
        </w:rPr>
        <w:t xml:space="preserve">Les recommandations des femmes déléguées à la </w:t>
      </w:r>
      <w:r>
        <w:rPr>
          <w:lang w:val="fr-FR"/>
        </w:rPr>
        <w:t xml:space="preserve">conférence nationale sur la réforme politique </w:t>
      </w:r>
      <w:r w:rsidRPr="005D6CD4">
        <w:rPr>
          <w:lang w:val="fr-FR"/>
        </w:rPr>
        <w:t>en vue d</w:t>
      </w:r>
      <w:r w:rsidR="000A3D87">
        <w:rPr>
          <w:lang w:val="fr-FR"/>
        </w:rPr>
        <w:t>’</w:t>
      </w:r>
      <w:r w:rsidRPr="005D6CD4">
        <w:rPr>
          <w:lang w:val="fr-FR"/>
        </w:rPr>
        <w:t>accroître leur participation équitable à la vie politique et publique sont :</w:t>
      </w:r>
    </w:p>
    <w:p w:rsidR="00E15507" w:rsidRPr="005D6CD4" w:rsidRDefault="00E15507" w:rsidP="009546E1">
      <w:pPr>
        <w:pStyle w:val="SingleTxt"/>
        <w:numPr>
          <w:ilvl w:val="0"/>
          <w:numId w:val="20"/>
        </w:numPr>
        <w:ind w:hanging="727"/>
        <w:rPr>
          <w:lang w:val="fr-FR"/>
        </w:rPr>
      </w:pPr>
      <w:r>
        <w:rPr>
          <w:lang w:val="fr-FR"/>
        </w:rPr>
        <w:t>M</w:t>
      </w:r>
      <w:r w:rsidRPr="005D6CD4">
        <w:rPr>
          <w:lang w:val="fr-FR"/>
        </w:rPr>
        <w:t>odification du langage de la Constitution de 1999 pour qu</w:t>
      </w:r>
      <w:r w:rsidR="000A3D87">
        <w:rPr>
          <w:lang w:val="fr-FR"/>
        </w:rPr>
        <w:t>’</w:t>
      </w:r>
      <w:r w:rsidRPr="005D6CD4">
        <w:rPr>
          <w:lang w:val="fr-FR"/>
        </w:rPr>
        <w:t>il soit non sexiste</w:t>
      </w:r>
    </w:p>
    <w:p w:rsidR="00E15507" w:rsidRPr="005D6CD4" w:rsidRDefault="00E15507" w:rsidP="009546E1">
      <w:pPr>
        <w:pStyle w:val="SingleTxt"/>
        <w:numPr>
          <w:ilvl w:val="0"/>
          <w:numId w:val="20"/>
        </w:numPr>
        <w:tabs>
          <w:tab w:val="clear" w:pos="1987"/>
        </w:tabs>
        <w:ind w:left="1710" w:hanging="450"/>
        <w:rPr>
          <w:lang w:val="fr-FR"/>
        </w:rPr>
      </w:pPr>
      <w:r w:rsidRPr="005D6CD4">
        <w:rPr>
          <w:lang w:val="fr-FR"/>
        </w:rPr>
        <w:t>Amendement de l</w:t>
      </w:r>
      <w:r w:rsidR="000A3D87">
        <w:rPr>
          <w:lang w:val="fr-FR"/>
        </w:rPr>
        <w:t>’</w:t>
      </w:r>
      <w:r w:rsidRPr="005D6CD4">
        <w:rPr>
          <w:lang w:val="fr-FR"/>
        </w:rPr>
        <w:t>article (29) de la Constitution afin de porter l</w:t>
      </w:r>
      <w:r w:rsidR="000A3D87">
        <w:rPr>
          <w:lang w:val="fr-FR"/>
        </w:rPr>
        <w:t>’</w:t>
      </w:r>
      <w:r w:rsidRPr="005D6CD4">
        <w:rPr>
          <w:lang w:val="fr-FR"/>
        </w:rPr>
        <w:t>âge minimum de mariage à 18 ans conformément à la Loi sur les droits de l</w:t>
      </w:r>
      <w:r w:rsidR="000A3D87">
        <w:rPr>
          <w:lang w:val="fr-FR"/>
        </w:rPr>
        <w:t>’</w:t>
      </w:r>
      <w:r w:rsidRPr="005D6CD4">
        <w:rPr>
          <w:lang w:val="fr-FR"/>
        </w:rPr>
        <w:t xml:space="preserve">enfant de 2003 </w:t>
      </w:r>
    </w:p>
    <w:p w:rsidR="00E15507" w:rsidRPr="005D6CD4" w:rsidRDefault="00E15507" w:rsidP="009546E1">
      <w:pPr>
        <w:pStyle w:val="SingleTxt"/>
        <w:numPr>
          <w:ilvl w:val="0"/>
          <w:numId w:val="20"/>
        </w:numPr>
        <w:ind w:left="1710" w:hanging="450"/>
        <w:rPr>
          <w:lang w:val="fr-FR"/>
        </w:rPr>
      </w:pPr>
      <w:r w:rsidRPr="005D6CD4">
        <w:rPr>
          <w:lang w:val="fr-FR"/>
        </w:rPr>
        <w:t>Amendement de la Constitution afin d</w:t>
      </w:r>
      <w:r w:rsidR="000A3D87">
        <w:rPr>
          <w:lang w:val="fr-FR"/>
        </w:rPr>
        <w:t>’</w:t>
      </w:r>
      <w:r w:rsidRPr="005D6CD4">
        <w:rPr>
          <w:lang w:val="fr-FR"/>
        </w:rPr>
        <w:t>y inclure l</w:t>
      </w:r>
      <w:r w:rsidR="000A3D87">
        <w:rPr>
          <w:lang w:val="fr-FR"/>
        </w:rPr>
        <w:t>’</w:t>
      </w:r>
      <w:r>
        <w:rPr>
          <w:lang w:val="fr-FR"/>
        </w:rPr>
        <w:t xml:space="preserve">action positive </w:t>
      </w:r>
      <w:r w:rsidRPr="005D6CD4">
        <w:rPr>
          <w:lang w:val="fr-FR"/>
        </w:rPr>
        <w:t>en prévoyant à l</w:t>
      </w:r>
      <w:r w:rsidR="000A3D87">
        <w:rPr>
          <w:lang w:val="fr-FR"/>
        </w:rPr>
        <w:t>’</w:t>
      </w:r>
      <w:r w:rsidRPr="005D6CD4">
        <w:rPr>
          <w:lang w:val="fr-FR"/>
        </w:rPr>
        <w:t>article 15(2) que les femmes soient représentées à hauteur de 40</w:t>
      </w:r>
      <w:r>
        <w:rPr>
          <w:lang w:val="fr-FR"/>
        </w:rPr>
        <w:t> </w:t>
      </w:r>
      <w:r w:rsidRPr="005D6CD4">
        <w:rPr>
          <w:lang w:val="fr-FR"/>
        </w:rPr>
        <w:t xml:space="preserve">% à tous les niveaux de gouvernance et de programmation </w:t>
      </w:r>
    </w:p>
    <w:p w:rsidR="00E15507" w:rsidRPr="005D6CD4" w:rsidRDefault="00E15507" w:rsidP="009546E1">
      <w:pPr>
        <w:pStyle w:val="SingleTxt"/>
        <w:numPr>
          <w:ilvl w:val="0"/>
          <w:numId w:val="20"/>
        </w:numPr>
        <w:ind w:left="1710" w:hanging="450"/>
        <w:rPr>
          <w:u w:val="single"/>
          <w:lang w:val="fr-FR"/>
        </w:rPr>
      </w:pPr>
      <w:r w:rsidRPr="005D6CD4">
        <w:rPr>
          <w:lang w:val="fr-FR"/>
        </w:rPr>
        <w:t>La création d</w:t>
      </w:r>
      <w:r w:rsidR="000A3D87">
        <w:rPr>
          <w:lang w:val="fr-FR"/>
        </w:rPr>
        <w:t>’</w:t>
      </w:r>
      <w:r w:rsidRPr="005D6CD4">
        <w:rPr>
          <w:lang w:val="fr-FR"/>
        </w:rPr>
        <w:t>une Commission de l</w:t>
      </w:r>
      <w:r w:rsidR="000A3D87">
        <w:rPr>
          <w:lang w:val="fr-FR"/>
        </w:rPr>
        <w:t>’</w:t>
      </w:r>
      <w:r w:rsidRPr="005D6CD4">
        <w:rPr>
          <w:lang w:val="fr-FR"/>
        </w:rPr>
        <w:t>égalité de</w:t>
      </w:r>
      <w:r>
        <w:rPr>
          <w:lang w:val="fr-FR"/>
        </w:rPr>
        <w:t>s</w:t>
      </w:r>
      <w:r w:rsidRPr="005D6CD4">
        <w:rPr>
          <w:lang w:val="fr-FR"/>
        </w:rPr>
        <w:t xml:space="preserve"> chances, en lieu et place de la Commission </w:t>
      </w:r>
      <w:r>
        <w:rPr>
          <w:lang w:val="fr-FR"/>
        </w:rPr>
        <w:t xml:space="preserve">sur le caractère fédéral </w:t>
      </w:r>
      <w:r w:rsidRPr="005D6CD4">
        <w:rPr>
          <w:lang w:val="fr-FR"/>
        </w:rPr>
        <w:t>afin que par delà la géographie et l</w:t>
      </w:r>
      <w:r w:rsidR="000A3D87">
        <w:rPr>
          <w:lang w:val="fr-FR"/>
        </w:rPr>
        <w:t>’</w:t>
      </w:r>
      <w:r w:rsidRPr="005D6CD4">
        <w:rPr>
          <w:lang w:val="fr-FR"/>
        </w:rPr>
        <w:t xml:space="preserve">ethnicité, les questions féminines et le handicap soient pris en compte dans les critères de mise en œuvre du principe/politique </w:t>
      </w:r>
      <w:r>
        <w:rPr>
          <w:lang w:val="fr-FR"/>
        </w:rPr>
        <w:t>du caractère fédéral</w:t>
      </w:r>
    </w:p>
    <w:p w:rsidR="00E15507" w:rsidRPr="005D6CD4" w:rsidRDefault="00E15507" w:rsidP="009546E1">
      <w:pPr>
        <w:pStyle w:val="SingleTxt"/>
        <w:numPr>
          <w:ilvl w:val="0"/>
          <w:numId w:val="20"/>
        </w:numPr>
        <w:ind w:left="1710" w:hanging="450"/>
        <w:rPr>
          <w:lang w:val="fr-FR"/>
        </w:rPr>
      </w:pPr>
      <w:r w:rsidRPr="005D6CD4">
        <w:rPr>
          <w:lang w:val="fr-FR"/>
        </w:rPr>
        <w:t xml:space="preserve">Le </w:t>
      </w:r>
      <w:r>
        <w:rPr>
          <w:lang w:val="fr-FR"/>
        </w:rPr>
        <w:t>G</w:t>
      </w:r>
      <w:r w:rsidRPr="005D6CD4">
        <w:rPr>
          <w:lang w:val="fr-FR"/>
        </w:rPr>
        <w:t>ouvernement doit accroître les opportunités d</w:t>
      </w:r>
      <w:r>
        <w:rPr>
          <w:lang w:val="fr-FR"/>
        </w:rPr>
        <w:t xml:space="preserve">e la </w:t>
      </w:r>
      <w:r w:rsidR="00D17E6C">
        <w:rPr>
          <w:lang w:val="fr-FR"/>
        </w:rPr>
        <w:t>“ </w:t>
      </w:r>
      <w:r w:rsidRPr="005D6CD4">
        <w:rPr>
          <w:lang w:val="fr-FR"/>
        </w:rPr>
        <w:t>deuxième chance</w:t>
      </w:r>
      <w:r w:rsidR="000A3D87">
        <w:rPr>
          <w:lang w:val="fr-FR"/>
        </w:rPr>
        <w:t> »</w:t>
      </w:r>
      <w:r w:rsidRPr="005D6CD4">
        <w:rPr>
          <w:lang w:val="fr-FR"/>
        </w:rPr>
        <w:t xml:space="preserve"> d</w:t>
      </w:r>
      <w:r w:rsidR="000A3D87">
        <w:rPr>
          <w:lang w:val="fr-FR"/>
        </w:rPr>
        <w:t>’</w:t>
      </w:r>
      <w:r w:rsidRPr="005D6CD4">
        <w:rPr>
          <w:lang w:val="fr-FR"/>
        </w:rPr>
        <w:t>aller à l</w:t>
      </w:r>
      <w:r w:rsidR="000A3D87">
        <w:rPr>
          <w:lang w:val="fr-FR"/>
        </w:rPr>
        <w:t>’</w:t>
      </w:r>
      <w:r w:rsidRPr="005D6CD4">
        <w:rPr>
          <w:lang w:val="fr-FR"/>
        </w:rPr>
        <w:t xml:space="preserve">école pour les filles et les femmes </w:t>
      </w:r>
    </w:p>
    <w:p w:rsidR="00E15507" w:rsidRPr="005D6CD4" w:rsidRDefault="00E15507" w:rsidP="009546E1">
      <w:pPr>
        <w:pStyle w:val="SingleTxt"/>
        <w:numPr>
          <w:ilvl w:val="0"/>
          <w:numId w:val="20"/>
        </w:numPr>
        <w:ind w:left="1710" w:hanging="450"/>
        <w:rPr>
          <w:lang w:val="fr-FR"/>
        </w:rPr>
      </w:pPr>
      <w:r w:rsidRPr="005D6CD4">
        <w:rPr>
          <w:lang w:val="fr-FR"/>
        </w:rPr>
        <w:t>Les femmes mariées doivent jouir de l</w:t>
      </w:r>
      <w:r w:rsidR="000A3D87">
        <w:rPr>
          <w:lang w:val="fr-FR"/>
        </w:rPr>
        <w:t>’</w:t>
      </w:r>
      <w:r w:rsidRPr="005D6CD4">
        <w:rPr>
          <w:lang w:val="fr-FR"/>
        </w:rPr>
        <w:t>égalité de droits en tant que conjointe dans leur foyer</w:t>
      </w:r>
    </w:p>
    <w:p w:rsidR="00E15507" w:rsidRPr="005D6CD4" w:rsidRDefault="00E15507" w:rsidP="009546E1">
      <w:pPr>
        <w:pStyle w:val="SingleTxt"/>
        <w:numPr>
          <w:ilvl w:val="0"/>
          <w:numId w:val="20"/>
        </w:numPr>
        <w:ind w:left="1710" w:hanging="450"/>
        <w:rPr>
          <w:lang w:val="fr-FR"/>
        </w:rPr>
      </w:pPr>
      <w:r w:rsidRPr="005D6CD4">
        <w:rPr>
          <w:lang w:val="fr-FR"/>
        </w:rPr>
        <w:t xml:space="preserve">Les capacités du </w:t>
      </w:r>
      <w:r>
        <w:rPr>
          <w:lang w:val="fr-FR"/>
        </w:rPr>
        <w:t>m</w:t>
      </w:r>
      <w:r w:rsidRPr="005D6CD4">
        <w:rPr>
          <w:lang w:val="fr-FR"/>
        </w:rPr>
        <w:t xml:space="preserve">inistère de la </w:t>
      </w:r>
      <w:r>
        <w:rPr>
          <w:lang w:val="fr-FR"/>
        </w:rPr>
        <w:t>C</w:t>
      </w:r>
      <w:r w:rsidRPr="005D6CD4">
        <w:rPr>
          <w:lang w:val="fr-FR"/>
        </w:rPr>
        <w:t xml:space="preserve">ondition </w:t>
      </w:r>
      <w:r>
        <w:rPr>
          <w:lang w:val="fr-FR"/>
        </w:rPr>
        <w:t>de la femme</w:t>
      </w:r>
      <w:r w:rsidRPr="005D6CD4">
        <w:rPr>
          <w:lang w:val="fr-FR"/>
        </w:rPr>
        <w:t xml:space="preserve"> doivent être renforcées en vue de la coordination des réformes multisectorielles qui intègrent réformes sociales, économiques et politiques pour accroître la participation, l</w:t>
      </w:r>
      <w:r w:rsidR="000A3D87">
        <w:rPr>
          <w:lang w:val="fr-FR"/>
        </w:rPr>
        <w:t>’</w:t>
      </w:r>
      <w:r w:rsidRPr="005D6CD4">
        <w:rPr>
          <w:lang w:val="fr-FR"/>
        </w:rPr>
        <w:t>accès et la représentation des femmes dans la vie publique.</w:t>
      </w:r>
    </w:p>
    <w:p w:rsidR="00E15507" w:rsidRPr="005D6CD4" w:rsidRDefault="00E15507" w:rsidP="009546E1">
      <w:pPr>
        <w:pStyle w:val="SingleTxt"/>
        <w:numPr>
          <w:ilvl w:val="0"/>
          <w:numId w:val="20"/>
        </w:numPr>
        <w:ind w:left="1710" w:hanging="450"/>
        <w:rPr>
          <w:lang w:val="fr-FR"/>
        </w:rPr>
      </w:pPr>
      <w:r w:rsidRPr="005D6CD4">
        <w:rPr>
          <w:lang w:val="fr-FR"/>
        </w:rPr>
        <w:t>Les femmes doivent bénéficier d</w:t>
      </w:r>
      <w:r w:rsidR="000A3D87">
        <w:rPr>
          <w:lang w:val="fr-FR"/>
        </w:rPr>
        <w:t>’</w:t>
      </w:r>
      <w:r w:rsidRPr="005D6CD4">
        <w:rPr>
          <w:lang w:val="fr-FR"/>
        </w:rPr>
        <w:t>un accès prioritaire aux ressources de réduction de la pauvreté et d</w:t>
      </w:r>
      <w:r>
        <w:rPr>
          <w:lang w:val="fr-FR"/>
        </w:rPr>
        <w:t xml:space="preserve">e démarginalisation </w:t>
      </w:r>
      <w:r w:rsidRPr="005D6CD4">
        <w:rPr>
          <w:lang w:val="fr-FR"/>
        </w:rPr>
        <w:t>sur le plan économique</w:t>
      </w:r>
      <w:r w:rsidR="00D17E6C">
        <w:rPr>
          <w:lang w:val="fr-FR"/>
        </w:rPr>
        <w:t>;</w:t>
      </w:r>
      <w:r w:rsidRPr="005D6CD4">
        <w:rPr>
          <w:lang w:val="fr-FR"/>
        </w:rPr>
        <w:t xml:space="preserve"> les familles et les enfants nécessiteux sont les principales cibles de la plupart de ces programmes</w:t>
      </w:r>
    </w:p>
    <w:p w:rsidR="00E15507" w:rsidRPr="005D6CD4" w:rsidRDefault="00E15507" w:rsidP="009546E1">
      <w:pPr>
        <w:pStyle w:val="SingleTxt"/>
        <w:numPr>
          <w:ilvl w:val="0"/>
          <w:numId w:val="20"/>
        </w:numPr>
        <w:ind w:hanging="727"/>
        <w:rPr>
          <w:lang w:val="fr-FR"/>
        </w:rPr>
      </w:pPr>
      <w:r w:rsidRPr="005D6CD4">
        <w:rPr>
          <w:lang w:val="fr-FR"/>
        </w:rPr>
        <w:t>Une attention particulière doit être accordée à l</w:t>
      </w:r>
      <w:r w:rsidR="000A3D87">
        <w:rPr>
          <w:lang w:val="fr-FR"/>
        </w:rPr>
        <w:t>’</w:t>
      </w:r>
      <w:r w:rsidRPr="005D6CD4">
        <w:rPr>
          <w:lang w:val="fr-FR"/>
        </w:rPr>
        <w:t>éducation des filles</w:t>
      </w:r>
    </w:p>
    <w:p w:rsidR="00E15507" w:rsidRPr="005D6CD4" w:rsidRDefault="00E15507" w:rsidP="009546E1">
      <w:pPr>
        <w:pStyle w:val="SingleTxt"/>
        <w:numPr>
          <w:ilvl w:val="0"/>
          <w:numId w:val="20"/>
        </w:numPr>
        <w:ind w:left="1710" w:hanging="450"/>
        <w:rPr>
          <w:lang w:val="fr-FR"/>
        </w:rPr>
      </w:pPr>
      <w:r w:rsidRPr="005D6CD4">
        <w:rPr>
          <w:lang w:val="fr-FR"/>
        </w:rPr>
        <w:t>La Commission de réforme juridique doit réviser le droit positif et le droit coutumier qui favorisent la discrimination à l</w:t>
      </w:r>
      <w:r w:rsidR="000A3D87">
        <w:rPr>
          <w:lang w:val="fr-FR"/>
        </w:rPr>
        <w:t>’</w:t>
      </w:r>
      <w:r w:rsidRPr="005D6CD4">
        <w:rPr>
          <w:lang w:val="fr-FR"/>
        </w:rPr>
        <w:t>égard des femmes dans la vie politique et publique</w:t>
      </w:r>
    </w:p>
    <w:p w:rsidR="00E15507" w:rsidRPr="005D6CD4" w:rsidRDefault="00E15507" w:rsidP="009546E1">
      <w:pPr>
        <w:pStyle w:val="SingleTxt"/>
        <w:numPr>
          <w:ilvl w:val="0"/>
          <w:numId w:val="20"/>
        </w:numPr>
        <w:ind w:left="1710" w:hanging="450"/>
        <w:rPr>
          <w:lang w:val="fr-FR"/>
        </w:rPr>
      </w:pPr>
      <w:r>
        <w:rPr>
          <w:lang w:val="fr-FR"/>
        </w:rPr>
        <w:t xml:space="preserve">Des efforts doit être déployés </w:t>
      </w:r>
      <w:r w:rsidRPr="005D6CD4">
        <w:rPr>
          <w:lang w:val="fr-FR"/>
        </w:rPr>
        <w:t>en vue de modifi</w:t>
      </w:r>
      <w:r>
        <w:rPr>
          <w:lang w:val="fr-FR"/>
        </w:rPr>
        <w:t xml:space="preserve">er </w:t>
      </w:r>
      <w:r w:rsidRPr="005D6CD4">
        <w:rPr>
          <w:lang w:val="fr-FR"/>
        </w:rPr>
        <w:t xml:space="preserve">ou </w:t>
      </w:r>
      <w:r>
        <w:rPr>
          <w:lang w:val="fr-FR"/>
        </w:rPr>
        <w:t>d</w:t>
      </w:r>
      <w:r w:rsidR="000A3D87">
        <w:rPr>
          <w:lang w:val="fr-FR"/>
        </w:rPr>
        <w:t>’</w:t>
      </w:r>
      <w:r w:rsidRPr="005D6CD4">
        <w:rPr>
          <w:lang w:val="fr-FR"/>
        </w:rPr>
        <w:t>élimin</w:t>
      </w:r>
      <w:r>
        <w:rPr>
          <w:lang w:val="fr-FR"/>
        </w:rPr>
        <w:t xml:space="preserve">er les </w:t>
      </w:r>
      <w:r w:rsidRPr="005D6CD4">
        <w:rPr>
          <w:lang w:val="fr-FR"/>
        </w:rPr>
        <w:t>cultures et attitudes qui ont une influence négative sur la santé de la société, et l</w:t>
      </w:r>
      <w:r w:rsidR="000A3D87">
        <w:rPr>
          <w:lang w:val="fr-FR"/>
        </w:rPr>
        <w:t>’</w:t>
      </w:r>
      <w:r>
        <w:rPr>
          <w:lang w:val="fr-FR"/>
        </w:rPr>
        <w:t xml:space="preserve">on mettre fin à des </w:t>
      </w:r>
      <w:r w:rsidRPr="005D6CD4">
        <w:rPr>
          <w:lang w:val="fr-FR"/>
        </w:rPr>
        <w:t xml:space="preserve">pratiques </w:t>
      </w:r>
      <w:r>
        <w:rPr>
          <w:lang w:val="fr-FR"/>
        </w:rPr>
        <w:t xml:space="preserve">telles que </w:t>
      </w:r>
      <w:r w:rsidRPr="005D6CD4">
        <w:rPr>
          <w:lang w:val="fr-FR"/>
        </w:rPr>
        <w:t>la corruption, le tribalisme, l</w:t>
      </w:r>
      <w:r w:rsidR="000A3D87">
        <w:rPr>
          <w:lang w:val="fr-FR"/>
        </w:rPr>
        <w:t>’</w:t>
      </w:r>
      <w:r>
        <w:rPr>
          <w:lang w:val="fr-FR"/>
        </w:rPr>
        <w:t>analphabétisme</w:t>
      </w:r>
      <w:r w:rsidRPr="005D6CD4">
        <w:rPr>
          <w:lang w:val="fr-FR"/>
        </w:rPr>
        <w:t>, la pauvreté, l</w:t>
      </w:r>
      <w:r w:rsidR="000A3D87">
        <w:rPr>
          <w:lang w:val="fr-FR"/>
        </w:rPr>
        <w:t>’</w:t>
      </w:r>
      <w:r w:rsidRPr="005D6CD4">
        <w:rPr>
          <w:lang w:val="fr-FR"/>
        </w:rPr>
        <w:t>excision, le mariage précoce, l</w:t>
      </w:r>
      <w:r w:rsidR="000A3D87">
        <w:rPr>
          <w:lang w:val="fr-FR"/>
        </w:rPr>
        <w:t>’</w:t>
      </w:r>
      <w:r w:rsidRPr="005D6CD4">
        <w:rPr>
          <w:lang w:val="fr-FR"/>
        </w:rPr>
        <w:t>esclavage des enfants, la prostitution</w:t>
      </w:r>
      <w:r>
        <w:rPr>
          <w:lang w:val="fr-FR"/>
        </w:rPr>
        <w:t xml:space="preserve">, etc. </w:t>
      </w:r>
      <w:r w:rsidRPr="005D6CD4">
        <w:rPr>
          <w:lang w:val="fr-FR"/>
        </w:rPr>
        <w:t xml:space="preserve"> </w:t>
      </w:r>
    </w:p>
    <w:p w:rsidR="00E15507" w:rsidRPr="005D6CD4" w:rsidRDefault="00E15507" w:rsidP="00740CA4">
      <w:pPr>
        <w:pStyle w:val="SingleTxt"/>
        <w:rPr>
          <w:lang w:val="fr-FR"/>
        </w:rPr>
      </w:pPr>
      <w:r w:rsidRPr="005D6CD4">
        <w:rPr>
          <w:bCs/>
          <w:lang w:val="fr-FR"/>
        </w:rPr>
        <w:t>7.2.2</w:t>
      </w:r>
      <w:r w:rsidRPr="005D6CD4">
        <w:rPr>
          <w:lang w:val="fr-FR"/>
        </w:rPr>
        <w:t xml:space="preserve"> Les recommandations ci-dessus ont permis un activisme accru des organisations de défense des droits humains des femmes pour pousser au changement et en suivre la mise en œuvre au niveau national ou des </w:t>
      </w:r>
      <w:r>
        <w:rPr>
          <w:lang w:val="fr-FR"/>
        </w:rPr>
        <w:t>É</w:t>
      </w:r>
      <w:r w:rsidRPr="005D6CD4">
        <w:rPr>
          <w:lang w:val="fr-FR"/>
        </w:rPr>
        <w:t>tats.</w:t>
      </w:r>
    </w:p>
    <w:p w:rsidR="00E15507" w:rsidRPr="005D6CD4" w:rsidRDefault="00CB5BF8" w:rsidP="00740CA4">
      <w:pPr>
        <w:pStyle w:val="SingleTxt"/>
        <w:rPr>
          <w:lang w:val="fr-FR"/>
        </w:rPr>
      </w:pPr>
      <w:r>
        <w:rPr>
          <w:lang w:val="fr-FR"/>
        </w:rPr>
        <w:tab/>
      </w:r>
      <w:r w:rsidR="00E15507" w:rsidRPr="005D6CD4">
        <w:rPr>
          <w:lang w:val="fr-FR"/>
        </w:rPr>
        <w:t xml:space="preserve">Le succès de la </w:t>
      </w:r>
      <w:r w:rsidR="00E15507">
        <w:rPr>
          <w:lang w:val="fr-FR"/>
        </w:rPr>
        <w:t>conférence nationale sur la réforme politique d</w:t>
      </w:r>
      <w:r w:rsidR="000A3D87">
        <w:rPr>
          <w:lang w:val="fr-FR"/>
        </w:rPr>
        <w:t>’</w:t>
      </w:r>
      <w:r w:rsidR="00E15507">
        <w:rPr>
          <w:lang w:val="fr-FR"/>
        </w:rPr>
        <w:t xml:space="preserve">un point de vue de la parité entre les sexes </w:t>
      </w:r>
      <w:r w:rsidR="00E15507" w:rsidRPr="005D6CD4">
        <w:rPr>
          <w:lang w:val="fr-FR"/>
        </w:rPr>
        <w:t xml:space="preserve">a été rendu possible grâce au soutien des partenaires </w:t>
      </w:r>
      <w:r w:rsidR="00E15507">
        <w:rPr>
          <w:lang w:val="fr-FR"/>
        </w:rPr>
        <w:t xml:space="preserve">de </w:t>
      </w:r>
      <w:r w:rsidR="00E15507" w:rsidRPr="005D6CD4">
        <w:rPr>
          <w:lang w:val="fr-FR"/>
        </w:rPr>
        <w:t xml:space="preserve"> développement. Une </w:t>
      </w:r>
      <w:r w:rsidR="00E15507">
        <w:rPr>
          <w:lang w:val="fr-FR"/>
        </w:rPr>
        <w:t>Cellule</w:t>
      </w:r>
      <w:r w:rsidR="00E15507" w:rsidRPr="005D6CD4">
        <w:rPr>
          <w:lang w:val="fr-FR"/>
        </w:rPr>
        <w:t xml:space="preserve"> </w:t>
      </w:r>
      <w:r w:rsidR="00E15507">
        <w:rPr>
          <w:lang w:val="fr-FR"/>
        </w:rPr>
        <w:t>d</w:t>
      </w:r>
      <w:r w:rsidR="000A3D87">
        <w:rPr>
          <w:lang w:val="fr-FR"/>
        </w:rPr>
        <w:t>’</w:t>
      </w:r>
      <w:r w:rsidR="00E15507">
        <w:rPr>
          <w:lang w:val="fr-FR"/>
        </w:rPr>
        <w:t>appui aux initiatives en faveur de l</w:t>
      </w:r>
      <w:r w:rsidR="000A3D87">
        <w:rPr>
          <w:lang w:val="fr-FR"/>
        </w:rPr>
        <w:t>’</w:t>
      </w:r>
      <w:r w:rsidR="00E15507">
        <w:rPr>
          <w:lang w:val="fr-FR"/>
        </w:rPr>
        <w:t>égalité des sexes</w:t>
      </w:r>
      <w:r w:rsidR="00E15507" w:rsidRPr="005D6CD4">
        <w:rPr>
          <w:lang w:val="fr-FR"/>
        </w:rPr>
        <w:t>, financée par l</w:t>
      </w:r>
      <w:r w:rsidR="000A3D87">
        <w:rPr>
          <w:lang w:val="fr-FR"/>
        </w:rPr>
        <w:t>’</w:t>
      </w:r>
      <w:r w:rsidR="00E15507" w:rsidRPr="005D6CD4">
        <w:rPr>
          <w:lang w:val="fr-FR"/>
        </w:rPr>
        <w:t>ACDI, l</w:t>
      </w:r>
      <w:r w:rsidR="000A3D87">
        <w:rPr>
          <w:lang w:val="fr-FR"/>
        </w:rPr>
        <w:t>’</w:t>
      </w:r>
      <w:r w:rsidR="00E15507" w:rsidRPr="005D6CD4">
        <w:rPr>
          <w:lang w:val="fr-FR"/>
        </w:rPr>
        <w:t>UNIFEM et le Centre national de promotion de la femme (ACDI) a été créé pour former et renforcer les capacités de</w:t>
      </w:r>
      <w:r w:rsidR="00E15507">
        <w:rPr>
          <w:lang w:val="fr-FR"/>
        </w:rPr>
        <w:t>s</w:t>
      </w:r>
      <w:r w:rsidR="00E15507" w:rsidRPr="005D6CD4">
        <w:rPr>
          <w:lang w:val="fr-FR"/>
        </w:rPr>
        <w:t xml:space="preserve"> femmes élues en vue de leur participation à la </w:t>
      </w:r>
      <w:r w:rsidR="00E15507">
        <w:rPr>
          <w:lang w:val="fr-FR"/>
        </w:rPr>
        <w:t>conférence nationale sur la réforme politique</w:t>
      </w:r>
      <w:r w:rsidR="00E15507" w:rsidRPr="005D6CD4">
        <w:rPr>
          <w:lang w:val="fr-FR"/>
        </w:rPr>
        <w:t>. L</w:t>
      </w:r>
      <w:r w:rsidR="00E15507">
        <w:rPr>
          <w:lang w:val="fr-FR"/>
        </w:rPr>
        <w:t>a Cellule d</w:t>
      </w:r>
      <w:r w:rsidR="000A3D87">
        <w:rPr>
          <w:lang w:val="fr-FR"/>
        </w:rPr>
        <w:t>’</w:t>
      </w:r>
      <w:r w:rsidR="00E15507">
        <w:rPr>
          <w:lang w:val="fr-FR"/>
        </w:rPr>
        <w:t>appui aux initiatives en faveur de l</w:t>
      </w:r>
      <w:r w:rsidR="000A3D87">
        <w:rPr>
          <w:lang w:val="fr-FR"/>
        </w:rPr>
        <w:t>’</w:t>
      </w:r>
      <w:r w:rsidR="00E15507">
        <w:rPr>
          <w:lang w:val="fr-FR"/>
        </w:rPr>
        <w:t>égalité des sexes a p</w:t>
      </w:r>
      <w:r w:rsidR="00E15507" w:rsidRPr="005D6CD4">
        <w:rPr>
          <w:lang w:val="fr-FR"/>
        </w:rPr>
        <w:t>u obtenir les résultats suivants dans le cadre de cette conférence :</w:t>
      </w:r>
    </w:p>
    <w:p w:rsidR="00E15507" w:rsidRPr="005D6CD4" w:rsidRDefault="00CB5BF8" w:rsidP="00CB5BF8">
      <w:pPr>
        <w:pStyle w:val="SingleTxt"/>
        <w:numPr>
          <w:ilvl w:val="0"/>
          <w:numId w:val="21"/>
        </w:numPr>
        <w:rPr>
          <w:lang w:val="fr-FR"/>
        </w:rPr>
      </w:pPr>
      <w:r>
        <w:rPr>
          <w:lang w:val="fr-FR"/>
        </w:rPr>
        <w:tab/>
      </w:r>
      <w:r w:rsidR="00E15507" w:rsidRPr="005D6CD4">
        <w:rPr>
          <w:lang w:val="fr-FR"/>
        </w:rPr>
        <w:t>Renforcement des capacités techniques des délégués femmes en vue de leur participation active aux dialogues et débats nationaux, ce qui leur a permis de présenter des données concrètes à l</w:t>
      </w:r>
      <w:r w:rsidR="000A3D87">
        <w:rPr>
          <w:lang w:val="fr-FR"/>
        </w:rPr>
        <w:t>’</w:t>
      </w:r>
      <w:r w:rsidR="00E15507" w:rsidRPr="005D6CD4">
        <w:rPr>
          <w:lang w:val="fr-FR"/>
        </w:rPr>
        <w:t>appui des priorités des femmes et des questions de gouvernance.</w:t>
      </w:r>
    </w:p>
    <w:p w:rsidR="00E15507" w:rsidRDefault="00CB5BF8" w:rsidP="00CB5BF8">
      <w:pPr>
        <w:pStyle w:val="SingleTxt"/>
        <w:numPr>
          <w:ilvl w:val="0"/>
          <w:numId w:val="21"/>
        </w:numPr>
        <w:rPr>
          <w:lang w:val="fr-FR"/>
        </w:rPr>
      </w:pPr>
      <w:r>
        <w:rPr>
          <w:lang w:val="fr-FR"/>
        </w:rPr>
        <w:tab/>
      </w:r>
      <w:r w:rsidR="00E15507" w:rsidRPr="005D6CD4">
        <w:rPr>
          <w:lang w:val="fr-FR"/>
        </w:rPr>
        <w:t>Information du public sur les questions d</w:t>
      </w:r>
      <w:r w:rsidR="000A3D87">
        <w:rPr>
          <w:lang w:val="fr-FR"/>
        </w:rPr>
        <w:t>’</w:t>
      </w:r>
      <w:r w:rsidR="00E15507" w:rsidRPr="005D6CD4">
        <w:rPr>
          <w:lang w:val="fr-FR"/>
        </w:rPr>
        <w:t>inégalité entre les sexes dans les processus démocratiques et de développement.</w:t>
      </w:r>
    </w:p>
    <w:p w:rsidR="00CB5BF8" w:rsidRPr="00CB5BF8" w:rsidRDefault="00CB5BF8" w:rsidP="00CB5BF8">
      <w:pPr>
        <w:pStyle w:val="SingleTxt"/>
        <w:spacing w:after="0" w:line="120" w:lineRule="exact"/>
        <w:rPr>
          <w:sz w:val="10"/>
          <w:lang w:val="fr-FR"/>
        </w:rPr>
      </w:pPr>
    </w:p>
    <w:p w:rsidR="00E15507" w:rsidRDefault="00CB5BF8" w:rsidP="00CB5B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E15507" w:rsidRPr="005D6CD4">
        <w:rPr>
          <w:lang w:val="fr-FR"/>
        </w:rPr>
        <w:t xml:space="preserve">7.3 </w:t>
      </w:r>
      <w:r>
        <w:rPr>
          <w:lang w:val="fr-FR"/>
        </w:rPr>
        <w:tab/>
      </w:r>
      <w:r w:rsidR="00E15507" w:rsidRPr="00151646">
        <w:rPr>
          <w:lang w:val="fr-FR"/>
        </w:rPr>
        <w:t>Réalisations concrètes en matière d</w:t>
      </w:r>
      <w:r w:rsidR="000A3D87">
        <w:rPr>
          <w:lang w:val="fr-FR"/>
        </w:rPr>
        <w:t>’</w:t>
      </w:r>
      <w:r w:rsidR="00E15507" w:rsidRPr="00151646">
        <w:rPr>
          <w:lang w:val="fr-FR"/>
        </w:rPr>
        <w:t>accès des femmes à des postes électifs ou obtenus par nomination</w:t>
      </w:r>
    </w:p>
    <w:p w:rsidR="00CB5BF8" w:rsidRPr="00CB5BF8" w:rsidRDefault="00CB5BF8" w:rsidP="00CB5BF8">
      <w:pPr>
        <w:pStyle w:val="SingleTxt"/>
        <w:spacing w:after="0" w:line="120" w:lineRule="exact"/>
        <w:rPr>
          <w:sz w:val="10"/>
          <w:lang w:val="fr-FR"/>
        </w:rPr>
      </w:pPr>
    </w:p>
    <w:p w:rsidR="00E15507" w:rsidRPr="005D6CD4" w:rsidRDefault="00E15507" w:rsidP="00740CA4">
      <w:pPr>
        <w:pStyle w:val="SingleTxt"/>
        <w:rPr>
          <w:lang w:val="fr-FR"/>
        </w:rPr>
      </w:pPr>
      <w:r w:rsidRPr="005D6CD4">
        <w:rPr>
          <w:bCs/>
          <w:lang w:val="fr-FR"/>
        </w:rPr>
        <w:t>7.3.1</w:t>
      </w:r>
      <w:r w:rsidRPr="005D6CD4">
        <w:rPr>
          <w:lang w:val="fr-FR"/>
        </w:rPr>
        <w:t xml:space="preserve"> </w:t>
      </w:r>
      <w:r w:rsidR="00CB5BF8">
        <w:rPr>
          <w:lang w:val="fr-FR"/>
        </w:rPr>
        <w:t xml:space="preserve"> </w:t>
      </w:r>
      <w:r w:rsidRPr="005D6CD4">
        <w:rPr>
          <w:lang w:val="fr-FR"/>
        </w:rPr>
        <w:t xml:space="preserve">On a enregistré une légère </w:t>
      </w:r>
      <w:r>
        <w:rPr>
          <w:lang w:val="fr-FR"/>
        </w:rPr>
        <w:t xml:space="preserve">augmentation du nombre de </w:t>
      </w:r>
      <w:r w:rsidRPr="005D6CD4">
        <w:rPr>
          <w:lang w:val="fr-FR"/>
        </w:rPr>
        <w:t>femmes à des postes décisionnels dans les secteurs public et privé entre le dernier rapport périodique et l</w:t>
      </w:r>
      <w:r w:rsidR="000A3D87">
        <w:rPr>
          <w:lang w:val="fr-FR"/>
        </w:rPr>
        <w:t>’</w:t>
      </w:r>
      <w:r w:rsidRPr="005D6CD4">
        <w:rPr>
          <w:lang w:val="fr-FR"/>
        </w:rPr>
        <w:t>actuel. Les femmes représentent actuellement environ 19</w:t>
      </w:r>
      <w:r>
        <w:rPr>
          <w:lang w:val="fr-FR"/>
        </w:rPr>
        <w:t> </w:t>
      </w:r>
      <w:r w:rsidRPr="005D6CD4">
        <w:rPr>
          <w:lang w:val="fr-FR"/>
        </w:rPr>
        <w:t xml:space="preserve">% des membres du </w:t>
      </w:r>
      <w:r>
        <w:rPr>
          <w:lang w:val="fr-FR"/>
        </w:rPr>
        <w:t>G</w:t>
      </w:r>
      <w:r w:rsidRPr="005D6CD4">
        <w:rPr>
          <w:lang w:val="fr-FR"/>
        </w:rPr>
        <w:t>ouvernement fédéral contre 12</w:t>
      </w:r>
      <w:r>
        <w:rPr>
          <w:lang w:val="fr-FR"/>
        </w:rPr>
        <w:t> </w:t>
      </w:r>
      <w:r w:rsidRPr="005D6CD4">
        <w:rPr>
          <w:lang w:val="fr-FR"/>
        </w:rPr>
        <w:t xml:space="preserve">% </w:t>
      </w:r>
      <w:r>
        <w:rPr>
          <w:lang w:val="fr-FR"/>
        </w:rPr>
        <w:t xml:space="preserve">au cours de la période visée par le </w:t>
      </w:r>
      <w:r w:rsidRPr="005D6CD4">
        <w:rPr>
          <w:lang w:val="fr-FR"/>
        </w:rPr>
        <w:t>quatrième</w:t>
      </w:r>
      <w:r>
        <w:rPr>
          <w:lang w:val="fr-FR"/>
        </w:rPr>
        <w:t>-</w:t>
      </w:r>
      <w:r w:rsidRPr="005D6CD4">
        <w:rPr>
          <w:lang w:val="fr-FR"/>
        </w:rPr>
        <w:t>cinquième rapport et sont titulaires de portefeuilles clés comme les Finances, les Affaires étrangères, l</w:t>
      </w:r>
      <w:r w:rsidR="000A3D87">
        <w:rPr>
          <w:lang w:val="fr-FR"/>
        </w:rPr>
        <w:t>’</w:t>
      </w:r>
      <w:r w:rsidRPr="005D6CD4">
        <w:rPr>
          <w:lang w:val="fr-FR"/>
        </w:rPr>
        <w:t>Environnement, l</w:t>
      </w:r>
      <w:r w:rsidR="000A3D87">
        <w:rPr>
          <w:lang w:val="fr-FR"/>
        </w:rPr>
        <w:t>’</w:t>
      </w:r>
      <w:r>
        <w:rPr>
          <w:lang w:val="fr-FR"/>
        </w:rPr>
        <w:t>É</w:t>
      </w:r>
      <w:r w:rsidRPr="005D6CD4">
        <w:rPr>
          <w:lang w:val="fr-FR"/>
        </w:rPr>
        <w:t>ducation et les Minéraux solides. Actuellement, 22</w:t>
      </w:r>
      <w:r>
        <w:rPr>
          <w:lang w:val="fr-FR"/>
        </w:rPr>
        <w:t> </w:t>
      </w:r>
      <w:r w:rsidRPr="005D6CD4">
        <w:rPr>
          <w:lang w:val="fr-FR"/>
        </w:rPr>
        <w:t>% des Secrétaires fédéraux permanents sont des femmes contre 10</w:t>
      </w:r>
      <w:r>
        <w:rPr>
          <w:lang w:val="fr-FR"/>
        </w:rPr>
        <w:t> </w:t>
      </w:r>
      <w:r w:rsidRPr="005D6CD4">
        <w:rPr>
          <w:lang w:val="fr-FR"/>
        </w:rPr>
        <w:t xml:space="preserve">% en 1999. Environ 10 grandes entreprises parapubliques nigérianes sont dirigées par des femmes. </w:t>
      </w:r>
    </w:p>
    <w:p w:rsidR="00E15507" w:rsidRPr="005D6CD4" w:rsidRDefault="00CB5BF8" w:rsidP="00740CA4">
      <w:pPr>
        <w:pStyle w:val="SingleTxt"/>
        <w:rPr>
          <w:lang w:val="fr-FR"/>
        </w:rPr>
      </w:pPr>
      <w:r>
        <w:rPr>
          <w:lang w:val="fr-FR"/>
        </w:rPr>
        <w:tab/>
      </w:r>
      <w:r w:rsidR="00E15507" w:rsidRPr="005D6CD4">
        <w:rPr>
          <w:lang w:val="fr-FR"/>
        </w:rPr>
        <w:t>Parmi ces entreprises, on peut citer l</w:t>
      </w:r>
      <w:r w:rsidR="000A3D87">
        <w:rPr>
          <w:lang w:val="fr-FR"/>
        </w:rPr>
        <w:t>’</w:t>
      </w:r>
      <w:r w:rsidR="00E15507" w:rsidRPr="005D6CD4">
        <w:rPr>
          <w:lang w:val="fr-FR"/>
        </w:rPr>
        <w:t>Agence nationale d</w:t>
      </w:r>
      <w:r w:rsidR="000A3D87">
        <w:rPr>
          <w:lang w:val="fr-FR"/>
        </w:rPr>
        <w:t>’</w:t>
      </w:r>
      <w:r w:rsidR="00E15507" w:rsidRPr="005D6CD4">
        <w:rPr>
          <w:lang w:val="fr-FR"/>
        </w:rPr>
        <w:t xml:space="preserve">administration </w:t>
      </w:r>
      <w:r w:rsidR="00E15507">
        <w:rPr>
          <w:lang w:val="fr-FR"/>
        </w:rPr>
        <w:t xml:space="preserve">et </w:t>
      </w:r>
      <w:r w:rsidR="00E15507" w:rsidRPr="005D6CD4">
        <w:rPr>
          <w:lang w:val="fr-FR"/>
        </w:rPr>
        <w:t xml:space="preserve">de contrôle des produits alimentaires et </w:t>
      </w:r>
      <w:r w:rsidR="00E15507">
        <w:rPr>
          <w:lang w:val="fr-FR"/>
        </w:rPr>
        <w:t>des médicaments</w:t>
      </w:r>
      <w:r w:rsidR="00E15507" w:rsidRPr="005D6CD4">
        <w:rPr>
          <w:lang w:val="fr-FR"/>
        </w:rPr>
        <w:t xml:space="preserve">, </w:t>
      </w:r>
      <w:r w:rsidR="00E15507">
        <w:rPr>
          <w:lang w:val="fr-FR"/>
        </w:rPr>
        <w:t xml:space="preserve">la </w:t>
      </w:r>
      <w:r w:rsidR="00E15507" w:rsidRPr="005D6CD4">
        <w:rPr>
          <w:lang w:val="fr-FR"/>
        </w:rPr>
        <w:t xml:space="preserve">Bourse </w:t>
      </w:r>
      <w:r w:rsidR="00E15507">
        <w:rPr>
          <w:lang w:val="fr-FR"/>
        </w:rPr>
        <w:t>du Nigéria</w:t>
      </w:r>
      <w:r w:rsidR="00E15507" w:rsidRPr="005D6CD4">
        <w:rPr>
          <w:lang w:val="fr-FR"/>
        </w:rPr>
        <w:t xml:space="preserve">, la </w:t>
      </w:r>
      <w:r w:rsidR="00E15507">
        <w:rPr>
          <w:lang w:val="fr-FR"/>
        </w:rPr>
        <w:t>Direction fédérale des impôts</w:t>
      </w:r>
      <w:r w:rsidR="00E15507" w:rsidRPr="005D6CD4">
        <w:rPr>
          <w:lang w:val="fr-FR"/>
        </w:rPr>
        <w:t>, l</w:t>
      </w:r>
      <w:r w:rsidR="00E15507">
        <w:rPr>
          <w:lang w:val="fr-FR"/>
        </w:rPr>
        <w:t>e Conseil nigérian de promotion des exportations</w:t>
      </w:r>
      <w:r w:rsidR="00E15507" w:rsidRPr="005D6CD4">
        <w:rPr>
          <w:lang w:val="fr-FR"/>
        </w:rPr>
        <w:t xml:space="preserve">, </w:t>
      </w:r>
      <w:r w:rsidR="00E15507">
        <w:rPr>
          <w:lang w:val="fr-FR"/>
        </w:rPr>
        <w:t>l</w:t>
      </w:r>
      <w:r w:rsidR="000A3D87">
        <w:rPr>
          <w:lang w:val="fr-FR"/>
        </w:rPr>
        <w:t>’</w:t>
      </w:r>
      <w:r w:rsidR="00E15507">
        <w:rPr>
          <w:lang w:val="fr-FR"/>
        </w:rPr>
        <w:t>Agence de promotion des petites et moyennes entreprises du Nigéria</w:t>
      </w:r>
      <w:r w:rsidR="00E15507" w:rsidRPr="005D6CD4">
        <w:rPr>
          <w:lang w:val="fr-FR"/>
        </w:rPr>
        <w:t>, le Bureau d</w:t>
      </w:r>
      <w:r w:rsidR="00E15507">
        <w:rPr>
          <w:lang w:val="fr-FR"/>
        </w:rPr>
        <w:t>e l</w:t>
      </w:r>
      <w:r w:rsidR="000A3D87">
        <w:rPr>
          <w:lang w:val="fr-FR"/>
        </w:rPr>
        <w:t>’</w:t>
      </w:r>
      <w:r w:rsidR="00E15507" w:rsidRPr="005D6CD4">
        <w:rPr>
          <w:lang w:val="fr-FR"/>
        </w:rPr>
        <w:t xml:space="preserve">Assistant </w:t>
      </w:r>
      <w:r w:rsidR="00E15507">
        <w:rPr>
          <w:lang w:val="fr-FR"/>
        </w:rPr>
        <w:t>s</w:t>
      </w:r>
      <w:r w:rsidR="00E15507" w:rsidRPr="005D6CD4">
        <w:rPr>
          <w:lang w:val="fr-FR"/>
        </w:rPr>
        <w:t xml:space="preserve">pécial </w:t>
      </w:r>
      <w:r w:rsidR="00E15507">
        <w:rPr>
          <w:lang w:val="fr-FR"/>
        </w:rPr>
        <w:t xml:space="preserve">principal </w:t>
      </w:r>
      <w:r w:rsidR="00E15507" w:rsidRPr="005D6CD4">
        <w:rPr>
          <w:lang w:val="fr-FR"/>
        </w:rPr>
        <w:t>du Président pour les OMD, entre autre</w:t>
      </w:r>
      <w:r w:rsidR="00E15507">
        <w:rPr>
          <w:lang w:val="fr-FR"/>
        </w:rPr>
        <w:t>s</w:t>
      </w:r>
      <w:r w:rsidR="00E15507" w:rsidRPr="005D6CD4">
        <w:rPr>
          <w:lang w:val="fr-FR"/>
        </w:rPr>
        <w:t>. Dans la magistrature, une femme a été nommée pour la première fois juge à la Cour suprême en 2005.</w:t>
      </w:r>
    </w:p>
    <w:p w:rsidR="00CB5BF8" w:rsidRDefault="00E15507" w:rsidP="00740CA4">
      <w:pPr>
        <w:pStyle w:val="SingleTxt"/>
        <w:rPr>
          <w:lang w:val="fr-FR"/>
        </w:rPr>
      </w:pPr>
      <w:r w:rsidRPr="005D6CD4">
        <w:rPr>
          <w:lang w:val="fr-FR"/>
        </w:rPr>
        <w:t>7.3.2</w:t>
      </w:r>
      <w:r w:rsidRPr="005D6CD4">
        <w:rPr>
          <w:lang w:val="fr-FR"/>
        </w:rPr>
        <w:tab/>
      </w:r>
      <w:r w:rsidR="00CB5BF8">
        <w:rPr>
          <w:lang w:val="fr-FR"/>
        </w:rPr>
        <w:t xml:space="preserve"> </w:t>
      </w:r>
      <w:r w:rsidRPr="005D6CD4">
        <w:rPr>
          <w:lang w:val="fr-FR"/>
        </w:rPr>
        <w:t xml:space="preserve">Quant aux postes électifs, on note une </w:t>
      </w:r>
      <w:r>
        <w:rPr>
          <w:lang w:val="fr-FR"/>
        </w:rPr>
        <w:t xml:space="preserve">augmentation </w:t>
      </w:r>
      <w:r w:rsidRPr="005D6CD4">
        <w:rPr>
          <w:lang w:val="fr-FR"/>
        </w:rPr>
        <w:t>marginale du nombre de femmes élues à la Chambre haute et à la Chambre basse de l</w:t>
      </w:r>
      <w:r w:rsidR="000A3D87">
        <w:rPr>
          <w:lang w:val="fr-FR"/>
        </w:rPr>
        <w:t>’</w:t>
      </w:r>
      <w:r w:rsidRPr="005D6CD4">
        <w:rPr>
          <w:lang w:val="fr-FR"/>
        </w:rPr>
        <w:t>Assemblée entre les élections de 1999 et celles de 2003</w:t>
      </w:r>
      <w:r>
        <w:rPr>
          <w:lang w:val="fr-FR"/>
        </w:rPr>
        <w:t xml:space="preserve">. </w:t>
      </w:r>
      <w:r w:rsidRPr="005D6CD4">
        <w:rPr>
          <w:lang w:val="fr-FR"/>
        </w:rPr>
        <w:t>Au Sénat, 4 membres sur 109 sont des femmes et 21 sur 360 membres de la Chambre fédérale des représentants sont également des femmes. Le nombre de femmes assistantes de gouverneur est passé de 1 à 4.</w:t>
      </w:r>
      <w:r>
        <w:rPr>
          <w:lang w:val="fr-FR"/>
        </w:rPr>
        <w:t xml:space="preserve"> Deux </w:t>
      </w:r>
      <w:r w:rsidRPr="005D6CD4">
        <w:rPr>
          <w:lang w:val="fr-FR"/>
        </w:rPr>
        <w:t>des 36 Présidents d</w:t>
      </w:r>
      <w:r w:rsidR="000A3D87">
        <w:rPr>
          <w:lang w:val="fr-FR"/>
        </w:rPr>
        <w:t>’</w:t>
      </w:r>
      <w:r w:rsidRPr="005D6CD4">
        <w:rPr>
          <w:lang w:val="fr-FR"/>
        </w:rPr>
        <w:t>Assemblées d</w:t>
      </w:r>
      <w:r w:rsidR="000A3D87">
        <w:rPr>
          <w:lang w:val="fr-FR"/>
        </w:rPr>
        <w:t>’</w:t>
      </w:r>
      <w:r>
        <w:rPr>
          <w:lang w:val="fr-FR"/>
        </w:rPr>
        <w:t>É</w:t>
      </w:r>
      <w:r w:rsidRPr="005D6CD4">
        <w:rPr>
          <w:lang w:val="fr-FR"/>
        </w:rPr>
        <w:t>tat sont des femmes</w:t>
      </w:r>
      <w:r w:rsidR="00D17E6C">
        <w:rPr>
          <w:lang w:val="fr-FR"/>
        </w:rPr>
        <w:t>;</w:t>
      </w:r>
      <w:r w:rsidRPr="005D6CD4">
        <w:rPr>
          <w:lang w:val="fr-FR"/>
        </w:rPr>
        <w:t xml:space="preserve"> 47 présidents de </w:t>
      </w:r>
      <w:r>
        <w:rPr>
          <w:lang w:val="fr-FR"/>
        </w:rPr>
        <w:t>collectivités locales</w:t>
      </w:r>
      <w:r w:rsidRPr="005D6CD4">
        <w:rPr>
          <w:lang w:val="fr-FR"/>
        </w:rPr>
        <w:t xml:space="preserve"> sur 774 sont des femmes</w:t>
      </w:r>
      <w:r w:rsidR="00D17E6C">
        <w:rPr>
          <w:lang w:val="fr-FR"/>
        </w:rPr>
        <w:t>;</w:t>
      </w:r>
      <w:r w:rsidRPr="005D6CD4">
        <w:rPr>
          <w:lang w:val="fr-FR"/>
        </w:rPr>
        <w:t xml:space="preserve"> et 143 conseillers sur un total de 8</w:t>
      </w:r>
      <w:r>
        <w:rPr>
          <w:lang w:val="fr-FR"/>
        </w:rPr>
        <w:t> </w:t>
      </w:r>
      <w:r w:rsidRPr="005D6CD4">
        <w:rPr>
          <w:lang w:val="fr-FR"/>
        </w:rPr>
        <w:t>810 sont des femmes.</w:t>
      </w:r>
      <w:r>
        <w:rPr>
          <w:lang w:val="fr-FR"/>
        </w:rPr>
        <w:t xml:space="preserve"> </w:t>
      </w:r>
    </w:p>
    <w:p w:rsidR="00740CA4" w:rsidRDefault="00CB5BF8" w:rsidP="00CB5BF8">
      <w:pPr>
        <w:pStyle w:val="SingleTxt"/>
        <w:jc w:val="left"/>
        <w:rPr>
          <w:lang w:val="fr-FR"/>
        </w:rPr>
      </w:pPr>
      <w:r>
        <w:rPr>
          <w:lang w:val="fr-FR"/>
        </w:rPr>
        <w:br w:type="page"/>
      </w:r>
      <w:r w:rsidRPr="00CB5BF8">
        <w:rPr>
          <w:lang w:val="fr-FR"/>
        </w:rPr>
        <w:t>Tableau 7.1</w:t>
      </w:r>
      <w:r>
        <w:rPr>
          <w:lang w:val="fr-FR"/>
        </w:rPr>
        <w:br/>
      </w:r>
      <w:r w:rsidRPr="00CB5BF8">
        <w:rPr>
          <w:b/>
          <w:lang w:val="fr-FR"/>
        </w:rPr>
        <w:t>Répartition des femmes à certains postes électifs/de nomination, 1999-2006</w:t>
      </w:r>
    </w:p>
    <w:p w:rsidR="00FE11A8" w:rsidRPr="00FE11A8" w:rsidRDefault="00FE11A8" w:rsidP="00FE11A8">
      <w:pPr>
        <w:pStyle w:val="SingleTxt"/>
        <w:spacing w:after="0" w:line="120" w:lineRule="exact"/>
        <w:rPr>
          <w:sz w:val="10"/>
          <w:lang w:val="fr-FR"/>
        </w:rPr>
      </w:pPr>
    </w:p>
    <w:tbl>
      <w:tblPr>
        <w:tblW w:w="9962" w:type="dxa"/>
        <w:tblLook w:val="01E0"/>
      </w:tblPr>
      <w:tblGrid>
        <w:gridCol w:w="1908"/>
        <w:gridCol w:w="908"/>
        <w:gridCol w:w="892"/>
        <w:gridCol w:w="900"/>
        <w:gridCol w:w="1080"/>
        <w:gridCol w:w="900"/>
        <w:gridCol w:w="810"/>
        <w:gridCol w:w="908"/>
        <w:gridCol w:w="802"/>
        <w:gridCol w:w="854"/>
      </w:tblGrid>
      <w:tr w:rsidR="00FE11A8" w:rsidRPr="00CB5BF8">
        <w:trPr>
          <w:tblHeader/>
        </w:trPr>
        <w:tc>
          <w:tcPr>
            <w:tcW w:w="1908" w:type="dxa"/>
            <w:vMerge w:val="restart"/>
            <w:tcBorders>
              <w:top w:val="single" w:sz="4" w:space="0" w:color="auto"/>
            </w:tcBorders>
            <w:shd w:val="clear" w:color="auto" w:fill="auto"/>
            <w:vAlign w:val="bottom"/>
          </w:tcPr>
          <w:p w:rsidR="00FE11A8" w:rsidRPr="00CB5BF8" w:rsidRDefault="00FE11A8" w:rsidP="00CB5BF8">
            <w:pPr>
              <w:shd w:val="clear" w:color="auto" w:fill="D9D9D9"/>
              <w:tabs>
                <w:tab w:val="left" w:pos="288"/>
                <w:tab w:val="left" w:pos="576"/>
                <w:tab w:val="left" w:pos="864"/>
                <w:tab w:val="left" w:pos="1152"/>
              </w:tabs>
              <w:suppressAutoHyphens/>
              <w:spacing w:before="80" w:after="80" w:line="160" w:lineRule="exact"/>
              <w:ind w:right="43"/>
              <w:rPr>
                <w:b/>
                <w:bCs/>
                <w:i/>
                <w:sz w:val="14"/>
                <w:szCs w:val="17"/>
                <w:lang w:val="fr-FR"/>
              </w:rPr>
            </w:pPr>
            <w:r>
              <w:rPr>
                <w:b/>
                <w:bCs/>
                <w:i/>
                <w:sz w:val="14"/>
                <w:szCs w:val="17"/>
                <w:lang w:val="fr-FR"/>
              </w:rPr>
              <w:t>Type de poste</w:t>
            </w:r>
          </w:p>
        </w:tc>
        <w:tc>
          <w:tcPr>
            <w:tcW w:w="908" w:type="dxa"/>
            <w:vMerge w:val="restart"/>
            <w:tcBorders>
              <w:top w:val="single" w:sz="4" w:space="0" w:color="auto"/>
            </w:tcBorders>
            <w:shd w:val="clear" w:color="auto" w:fill="auto"/>
            <w:vAlign w:val="bottom"/>
          </w:tcPr>
          <w:p w:rsidR="00FE11A8" w:rsidRPr="00CB5BF8" w:rsidRDefault="00FE11A8" w:rsidP="00CB5BF8">
            <w:pPr>
              <w:shd w:val="clear" w:color="auto" w:fill="D9D9D9"/>
              <w:tabs>
                <w:tab w:val="left" w:pos="288"/>
                <w:tab w:val="left" w:pos="576"/>
                <w:tab w:val="left" w:pos="864"/>
                <w:tab w:val="left" w:pos="1152"/>
              </w:tabs>
              <w:suppressAutoHyphens/>
              <w:spacing w:before="80" w:after="80" w:line="160" w:lineRule="exact"/>
              <w:ind w:right="43"/>
              <w:jc w:val="right"/>
              <w:rPr>
                <w:b/>
                <w:bCs/>
                <w:i/>
                <w:sz w:val="14"/>
                <w:szCs w:val="17"/>
                <w:lang w:val="fr-FR"/>
              </w:rPr>
            </w:pPr>
            <w:r>
              <w:rPr>
                <w:b/>
                <w:bCs/>
                <w:i/>
                <w:sz w:val="14"/>
                <w:szCs w:val="17"/>
                <w:lang w:val="fr-FR"/>
              </w:rPr>
              <w:t>Nombre disponible</w:t>
            </w:r>
          </w:p>
        </w:tc>
        <w:tc>
          <w:tcPr>
            <w:tcW w:w="1792" w:type="dxa"/>
            <w:gridSpan w:val="2"/>
            <w:tcBorders>
              <w:top w:val="single" w:sz="4" w:space="0" w:color="auto"/>
              <w:bottom w:val="single" w:sz="4" w:space="0" w:color="auto"/>
            </w:tcBorders>
            <w:shd w:val="clear" w:color="auto" w:fill="auto"/>
            <w:vAlign w:val="bottom"/>
          </w:tcPr>
          <w:p w:rsidR="00FE11A8" w:rsidRPr="00CB5BF8" w:rsidRDefault="00FE11A8" w:rsidP="00FE11A8">
            <w:pPr>
              <w:shd w:val="clear" w:color="auto" w:fill="D9D9D9"/>
              <w:tabs>
                <w:tab w:val="left" w:pos="288"/>
                <w:tab w:val="left" w:pos="576"/>
                <w:tab w:val="left" w:pos="864"/>
                <w:tab w:val="left" w:pos="1152"/>
              </w:tabs>
              <w:suppressAutoHyphens/>
              <w:spacing w:before="80" w:after="80" w:line="160" w:lineRule="exact"/>
              <w:ind w:right="43"/>
              <w:jc w:val="center"/>
              <w:rPr>
                <w:i/>
                <w:sz w:val="14"/>
                <w:szCs w:val="17"/>
                <w:lang w:val="fr-FR"/>
              </w:rPr>
            </w:pPr>
            <w:r>
              <w:rPr>
                <w:i/>
                <w:sz w:val="14"/>
                <w:szCs w:val="17"/>
                <w:lang w:val="fr-FR"/>
              </w:rPr>
              <w:t>1999</w:t>
            </w:r>
          </w:p>
        </w:tc>
        <w:tc>
          <w:tcPr>
            <w:tcW w:w="1080" w:type="dxa"/>
            <w:vMerge w:val="restart"/>
            <w:tcBorders>
              <w:top w:val="single" w:sz="4" w:space="0" w:color="auto"/>
            </w:tcBorders>
            <w:shd w:val="clear" w:color="auto" w:fill="auto"/>
            <w:vAlign w:val="bottom"/>
          </w:tcPr>
          <w:p w:rsidR="00FE11A8" w:rsidRPr="00CB5BF8" w:rsidRDefault="00FE11A8" w:rsidP="00CB5BF8">
            <w:pPr>
              <w:shd w:val="clear" w:color="auto" w:fill="D9D9D9"/>
              <w:tabs>
                <w:tab w:val="left" w:pos="288"/>
                <w:tab w:val="left" w:pos="576"/>
                <w:tab w:val="left" w:pos="864"/>
                <w:tab w:val="left" w:pos="1152"/>
              </w:tabs>
              <w:suppressAutoHyphens/>
              <w:spacing w:before="80" w:after="80" w:line="160" w:lineRule="exact"/>
              <w:ind w:right="43"/>
              <w:jc w:val="right"/>
              <w:rPr>
                <w:b/>
                <w:bCs/>
                <w:i/>
                <w:sz w:val="14"/>
                <w:szCs w:val="17"/>
                <w:lang w:val="fr-FR"/>
              </w:rPr>
            </w:pPr>
            <w:r>
              <w:rPr>
                <w:b/>
                <w:bCs/>
                <w:i/>
                <w:sz w:val="14"/>
                <w:szCs w:val="17"/>
                <w:lang w:val="fr-FR"/>
              </w:rPr>
              <w:t xml:space="preserve">Nombre </w:t>
            </w:r>
            <w:r>
              <w:rPr>
                <w:b/>
                <w:bCs/>
                <w:i/>
                <w:sz w:val="14"/>
                <w:szCs w:val="17"/>
                <w:lang w:val="fr-FR"/>
              </w:rPr>
              <w:br/>
              <w:t>disponibles</w:t>
            </w:r>
          </w:p>
        </w:tc>
        <w:tc>
          <w:tcPr>
            <w:tcW w:w="1710" w:type="dxa"/>
            <w:gridSpan w:val="2"/>
            <w:tcBorders>
              <w:top w:val="single" w:sz="4" w:space="0" w:color="auto"/>
              <w:bottom w:val="single" w:sz="4" w:space="0" w:color="auto"/>
            </w:tcBorders>
            <w:shd w:val="clear" w:color="auto" w:fill="auto"/>
            <w:vAlign w:val="bottom"/>
          </w:tcPr>
          <w:p w:rsidR="00FE11A8" w:rsidRPr="00CB5BF8" w:rsidRDefault="00FE11A8" w:rsidP="00FE11A8">
            <w:pPr>
              <w:shd w:val="clear" w:color="auto" w:fill="D9D9D9"/>
              <w:tabs>
                <w:tab w:val="left" w:pos="288"/>
                <w:tab w:val="left" w:pos="576"/>
                <w:tab w:val="left" w:pos="864"/>
                <w:tab w:val="left" w:pos="1152"/>
              </w:tabs>
              <w:suppressAutoHyphens/>
              <w:spacing w:before="80" w:after="80" w:line="160" w:lineRule="exact"/>
              <w:ind w:right="43"/>
              <w:jc w:val="center"/>
              <w:rPr>
                <w:i/>
                <w:sz w:val="14"/>
                <w:szCs w:val="17"/>
                <w:lang w:val="fr-FR"/>
              </w:rPr>
            </w:pPr>
            <w:r>
              <w:rPr>
                <w:i/>
                <w:sz w:val="14"/>
                <w:szCs w:val="17"/>
                <w:lang w:val="fr-FR"/>
              </w:rPr>
              <w:t>2003</w:t>
            </w:r>
          </w:p>
        </w:tc>
        <w:tc>
          <w:tcPr>
            <w:tcW w:w="908" w:type="dxa"/>
            <w:vMerge w:val="restart"/>
            <w:tcBorders>
              <w:top w:val="single" w:sz="4" w:space="0" w:color="auto"/>
            </w:tcBorders>
            <w:shd w:val="clear" w:color="auto" w:fill="auto"/>
            <w:vAlign w:val="bottom"/>
          </w:tcPr>
          <w:p w:rsidR="00FE11A8" w:rsidRPr="00CB5BF8" w:rsidRDefault="00FE11A8" w:rsidP="00CB5BF8">
            <w:pPr>
              <w:shd w:val="clear" w:color="auto" w:fill="D9D9D9"/>
              <w:tabs>
                <w:tab w:val="left" w:pos="288"/>
                <w:tab w:val="left" w:pos="576"/>
                <w:tab w:val="left" w:pos="864"/>
                <w:tab w:val="left" w:pos="1152"/>
              </w:tabs>
              <w:suppressAutoHyphens/>
              <w:spacing w:before="80" w:after="80" w:line="160" w:lineRule="exact"/>
              <w:ind w:right="43"/>
              <w:jc w:val="right"/>
              <w:rPr>
                <w:b/>
                <w:bCs/>
                <w:i/>
                <w:sz w:val="14"/>
                <w:szCs w:val="17"/>
                <w:lang w:val="fr-FR"/>
              </w:rPr>
            </w:pPr>
            <w:r>
              <w:rPr>
                <w:b/>
                <w:bCs/>
                <w:i/>
                <w:sz w:val="14"/>
                <w:szCs w:val="17"/>
                <w:lang w:val="fr-FR"/>
              </w:rPr>
              <w:t>Nombre disponible</w:t>
            </w:r>
          </w:p>
        </w:tc>
        <w:tc>
          <w:tcPr>
            <w:tcW w:w="1656" w:type="dxa"/>
            <w:gridSpan w:val="2"/>
            <w:tcBorders>
              <w:top w:val="single" w:sz="4" w:space="0" w:color="auto"/>
              <w:bottom w:val="single" w:sz="4" w:space="0" w:color="auto"/>
            </w:tcBorders>
            <w:shd w:val="clear" w:color="auto" w:fill="auto"/>
            <w:vAlign w:val="bottom"/>
          </w:tcPr>
          <w:p w:rsidR="00FE11A8" w:rsidRPr="00CB5BF8" w:rsidRDefault="00FE11A8" w:rsidP="00FE11A8">
            <w:pPr>
              <w:shd w:val="clear" w:color="auto" w:fill="D9D9D9"/>
              <w:tabs>
                <w:tab w:val="left" w:pos="288"/>
                <w:tab w:val="left" w:pos="576"/>
                <w:tab w:val="left" w:pos="864"/>
                <w:tab w:val="left" w:pos="1152"/>
              </w:tabs>
              <w:suppressAutoHyphens/>
              <w:spacing w:before="80" w:after="80" w:line="160" w:lineRule="exact"/>
              <w:ind w:right="43"/>
              <w:jc w:val="center"/>
              <w:rPr>
                <w:i/>
                <w:sz w:val="14"/>
                <w:szCs w:val="17"/>
                <w:lang w:val="fr-FR"/>
              </w:rPr>
            </w:pPr>
            <w:r>
              <w:rPr>
                <w:i/>
                <w:sz w:val="14"/>
                <w:szCs w:val="17"/>
                <w:lang w:val="fr-FR"/>
              </w:rPr>
              <w:t>2006</w:t>
            </w:r>
          </w:p>
        </w:tc>
      </w:tr>
      <w:tr w:rsidR="00FE11A8" w:rsidRPr="00CB5BF8">
        <w:trPr>
          <w:tblHeader/>
        </w:trPr>
        <w:tc>
          <w:tcPr>
            <w:tcW w:w="1908" w:type="dxa"/>
            <w:vMerge/>
            <w:tcBorders>
              <w:bottom w:val="single" w:sz="12" w:space="0" w:color="auto"/>
            </w:tcBorders>
            <w:shd w:val="clear" w:color="auto" w:fill="auto"/>
            <w:vAlign w:val="bottom"/>
          </w:tcPr>
          <w:p w:rsidR="00FE11A8" w:rsidRPr="00CB5BF8" w:rsidRDefault="00FE11A8" w:rsidP="00CB5BF8">
            <w:pPr>
              <w:shd w:val="clear" w:color="auto" w:fill="D9D9D9"/>
              <w:tabs>
                <w:tab w:val="left" w:pos="288"/>
                <w:tab w:val="left" w:pos="576"/>
                <w:tab w:val="left" w:pos="864"/>
                <w:tab w:val="left" w:pos="1152"/>
              </w:tabs>
              <w:suppressAutoHyphens/>
              <w:spacing w:before="80" w:after="80" w:line="160" w:lineRule="exact"/>
              <w:ind w:right="43"/>
              <w:rPr>
                <w:b/>
                <w:bCs/>
                <w:i/>
                <w:sz w:val="14"/>
                <w:szCs w:val="17"/>
                <w:lang w:val="fr-FR"/>
              </w:rPr>
            </w:pPr>
          </w:p>
        </w:tc>
        <w:tc>
          <w:tcPr>
            <w:tcW w:w="908" w:type="dxa"/>
            <w:vMerge/>
            <w:tcBorders>
              <w:bottom w:val="single" w:sz="12" w:space="0" w:color="auto"/>
            </w:tcBorders>
            <w:shd w:val="clear" w:color="auto" w:fill="auto"/>
            <w:vAlign w:val="bottom"/>
          </w:tcPr>
          <w:p w:rsidR="00FE11A8" w:rsidRPr="00CB5BF8" w:rsidRDefault="00FE11A8" w:rsidP="00CB5BF8">
            <w:pPr>
              <w:shd w:val="clear" w:color="auto" w:fill="D9D9D9"/>
              <w:tabs>
                <w:tab w:val="left" w:pos="288"/>
                <w:tab w:val="left" w:pos="576"/>
                <w:tab w:val="left" w:pos="864"/>
                <w:tab w:val="left" w:pos="1152"/>
              </w:tabs>
              <w:suppressAutoHyphens/>
              <w:spacing w:before="80" w:after="80" w:line="160" w:lineRule="exact"/>
              <w:ind w:right="43"/>
              <w:jc w:val="right"/>
              <w:rPr>
                <w:b/>
                <w:bCs/>
                <w:i/>
                <w:sz w:val="14"/>
                <w:szCs w:val="17"/>
                <w:lang w:val="fr-FR"/>
              </w:rPr>
            </w:pPr>
          </w:p>
        </w:tc>
        <w:tc>
          <w:tcPr>
            <w:tcW w:w="892" w:type="dxa"/>
            <w:tcBorders>
              <w:top w:val="single" w:sz="4" w:space="0" w:color="auto"/>
              <w:bottom w:val="single" w:sz="12" w:space="0" w:color="auto"/>
            </w:tcBorders>
            <w:shd w:val="clear" w:color="auto" w:fill="auto"/>
            <w:vAlign w:val="bottom"/>
          </w:tcPr>
          <w:p w:rsidR="00FE11A8" w:rsidRPr="00CB5BF8" w:rsidRDefault="00FE11A8" w:rsidP="00CB5BF8">
            <w:pPr>
              <w:shd w:val="clear" w:color="auto" w:fill="D9D9D9"/>
              <w:tabs>
                <w:tab w:val="left" w:pos="288"/>
                <w:tab w:val="left" w:pos="576"/>
                <w:tab w:val="left" w:pos="864"/>
                <w:tab w:val="left" w:pos="1152"/>
              </w:tabs>
              <w:suppressAutoHyphens/>
              <w:spacing w:before="80" w:after="80" w:line="160" w:lineRule="exact"/>
              <w:ind w:right="43"/>
              <w:jc w:val="right"/>
              <w:rPr>
                <w:i/>
                <w:sz w:val="14"/>
                <w:szCs w:val="17"/>
                <w:lang w:val="fr-FR"/>
              </w:rPr>
            </w:pPr>
            <w:r>
              <w:rPr>
                <w:i/>
                <w:sz w:val="14"/>
                <w:szCs w:val="17"/>
                <w:lang w:val="fr-FR"/>
              </w:rPr>
              <w:t>Hommes</w:t>
            </w:r>
          </w:p>
        </w:tc>
        <w:tc>
          <w:tcPr>
            <w:tcW w:w="900" w:type="dxa"/>
            <w:tcBorders>
              <w:top w:val="single" w:sz="4" w:space="0" w:color="auto"/>
              <w:bottom w:val="single" w:sz="12" w:space="0" w:color="auto"/>
            </w:tcBorders>
            <w:shd w:val="clear" w:color="auto" w:fill="auto"/>
            <w:vAlign w:val="bottom"/>
          </w:tcPr>
          <w:p w:rsidR="00FE11A8" w:rsidRPr="00CB5BF8" w:rsidRDefault="00FE11A8" w:rsidP="00CB5BF8">
            <w:pPr>
              <w:shd w:val="clear" w:color="auto" w:fill="D9D9D9"/>
              <w:tabs>
                <w:tab w:val="left" w:pos="288"/>
                <w:tab w:val="left" w:pos="576"/>
                <w:tab w:val="left" w:pos="864"/>
                <w:tab w:val="left" w:pos="1152"/>
              </w:tabs>
              <w:suppressAutoHyphens/>
              <w:spacing w:before="80" w:after="80" w:line="160" w:lineRule="exact"/>
              <w:ind w:right="43"/>
              <w:jc w:val="right"/>
              <w:rPr>
                <w:i/>
                <w:sz w:val="14"/>
                <w:szCs w:val="17"/>
                <w:lang w:val="fr-FR"/>
              </w:rPr>
            </w:pPr>
            <w:r>
              <w:rPr>
                <w:i/>
                <w:sz w:val="14"/>
                <w:szCs w:val="17"/>
                <w:lang w:val="fr-FR"/>
              </w:rPr>
              <w:t>Femmes</w:t>
            </w:r>
          </w:p>
        </w:tc>
        <w:tc>
          <w:tcPr>
            <w:tcW w:w="1080" w:type="dxa"/>
            <w:vMerge/>
            <w:tcBorders>
              <w:bottom w:val="single" w:sz="12" w:space="0" w:color="auto"/>
            </w:tcBorders>
            <w:shd w:val="clear" w:color="auto" w:fill="auto"/>
            <w:vAlign w:val="bottom"/>
          </w:tcPr>
          <w:p w:rsidR="00FE11A8" w:rsidRPr="00CB5BF8" w:rsidRDefault="00FE11A8" w:rsidP="00CB5BF8">
            <w:pPr>
              <w:shd w:val="clear" w:color="auto" w:fill="D9D9D9"/>
              <w:tabs>
                <w:tab w:val="left" w:pos="288"/>
                <w:tab w:val="left" w:pos="576"/>
                <w:tab w:val="left" w:pos="864"/>
                <w:tab w:val="left" w:pos="1152"/>
              </w:tabs>
              <w:suppressAutoHyphens/>
              <w:spacing w:before="80" w:after="80" w:line="160" w:lineRule="exact"/>
              <w:ind w:right="43"/>
              <w:jc w:val="right"/>
              <w:rPr>
                <w:b/>
                <w:bCs/>
                <w:i/>
                <w:sz w:val="14"/>
                <w:szCs w:val="17"/>
                <w:lang w:val="fr-FR"/>
              </w:rPr>
            </w:pPr>
          </w:p>
        </w:tc>
        <w:tc>
          <w:tcPr>
            <w:tcW w:w="900" w:type="dxa"/>
            <w:tcBorders>
              <w:top w:val="single" w:sz="4" w:space="0" w:color="auto"/>
              <w:bottom w:val="single" w:sz="12" w:space="0" w:color="auto"/>
            </w:tcBorders>
            <w:shd w:val="clear" w:color="auto" w:fill="auto"/>
            <w:vAlign w:val="bottom"/>
          </w:tcPr>
          <w:p w:rsidR="00FE11A8" w:rsidRPr="00CB5BF8" w:rsidRDefault="00FE11A8" w:rsidP="00CB5BF8">
            <w:pPr>
              <w:shd w:val="clear" w:color="auto" w:fill="D9D9D9"/>
              <w:tabs>
                <w:tab w:val="left" w:pos="288"/>
                <w:tab w:val="left" w:pos="576"/>
                <w:tab w:val="left" w:pos="864"/>
                <w:tab w:val="left" w:pos="1152"/>
              </w:tabs>
              <w:suppressAutoHyphens/>
              <w:spacing w:before="80" w:after="80" w:line="160" w:lineRule="exact"/>
              <w:ind w:right="43"/>
              <w:jc w:val="right"/>
              <w:rPr>
                <w:i/>
                <w:sz w:val="14"/>
                <w:szCs w:val="17"/>
                <w:lang w:val="fr-FR"/>
              </w:rPr>
            </w:pPr>
            <w:r>
              <w:rPr>
                <w:i/>
                <w:sz w:val="14"/>
                <w:szCs w:val="17"/>
                <w:lang w:val="fr-FR"/>
              </w:rPr>
              <w:t>Hommes</w:t>
            </w:r>
          </w:p>
        </w:tc>
        <w:tc>
          <w:tcPr>
            <w:tcW w:w="810" w:type="dxa"/>
            <w:tcBorders>
              <w:top w:val="single" w:sz="4" w:space="0" w:color="auto"/>
              <w:bottom w:val="single" w:sz="12" w:space="0" w:color="auto"/>
            </w:tcBorders>
            <w:shd w:val="clear" w:color="auto" w:fill="auto"/>
            <w:vAlign w:val="bottom"/>
          </w:tcPr>
          <w:p w:rsidR="00FE11A8" w:rsidRPr="00CB5BF8" w:rsidRDefault="00FE11A8" w:rsidP="00CB5BF8">
            <w:pPr>
              <w:shd w:val="clear" w:color="auto" w:fill="D9D9D9"/>
              <w:tabs>
                <w:tab w:val="left" w:pos="288"/>
                <w:tab w:val="left" w:pos="576"/>
                <w:tab w:val="left" w:pos="864"/>
                <w:tab w:val="left" w:pos="1152"/>
              </w:tabs>
              <w:suppressAutoHyphens/>
              <w:spacing w:before="80" w:after="80" w:line="160" w:lineRule="exact"/>
              <w:ind w:right="43"/>
              <w:jc w:val="right"/>
              <w:rPr>
                <w:i/>
                <w:sz w:val="14"/>
                <w:szCs w:val="17"/>
                <w:lang w:val="fr-FR"/>
              </w:rPr>
            </w:pPr>
            <w:r>
              <w:rPr>
                <w:i/>
                <w:sz w:val="14"/>
                <w:szCs w:val="17"/>
                <w:lang w:val="fr-FR"/>
              </w:rPr>
              <w:t>Femmes</w:t>
            </w:r>
          </w:p>
        </w:tc>
        <w:tc>
          <w:tcPr>
            <w:tcW w:w="908" w:type="dxa"/>
            <w:vMerge/>
            <w:tcBorders>
              <w:bottom w:val="single" w:sz="12" w:space="0" w:color="auto"/>
            </w:tcBorders>
            <w:shd w:val="clear" w:color="auto" w:fill="auto"/>
            <w:vAlign w:val="bottom"/>
          </w:tcPr>
          <w:p w:rsidR="00FE11A8" w:rsidRPr="00CB5BF8" w:rsidRDefault="00FE11A8" w:rsidP="00CB5BF8">
            <w:pPr>
              <w:shd w:val="clear" w:color="auto" w:fill="D9D9D9"/>
              <w:tabs>
                <w:tab w:val="left" w:pos="288"/>
                <w:tab w:val="left" w:pos="576"/>
                <w:tab w:val="left" w:pos="864"/>
                <w:tab w:val="left" w:pos="1152"/>
              </w:tabs>
              <w:suppressAutoHyphens/>
              <w:spacing w:before="80" w:after="80" w:line="160" w:lineRule="exact"/>
              <w:ind w:right="43"/>
              <w:jc w:val="right"/>
              <w:rPr>
                <w:b/>
                <w:bCs/>
                <w:i/>
                <w:sz w:val="14"/>
                <w:szCs w:val="17"/>
                <w:lang w:val="fr-FR"/>
              </w:rPr>
            </w:pPr>
          </w:p>
        </w:tc>
        <w:tc>
          <w:tcPr>
            <w:tcW w:w="802" w:type="dxa"/>
            <w:tcBorders>
              <w:top w:val="single" w:sz="4" w:space="0" w:color="auto"/>
              <w:bottom w:val="single" w:sz="12" w:space="0" w:color="auto"/>
            </w:tcBorders>
            <w:shd w:val="clear" w:color="auto" w:fill="auto"/>
            <w:vAlign w:val="bottom"/>
          </w:tcPr>
          <w:p w:rsidR="00FE11A8" w:rsidRPr="00CB5BF8" w:rsidRDefault="00FE11A8" w:rsidP="00CB5BF8">
            <w:pPr>
              <w:shd w:val="clear" w:color="auto" w:fill="D9D9D9"/>
              <w:tabs>
                <w:tab w:val="left" w:pos="288"/>
                <w:tab w:val="left" w:pos="576"/>
                <w:tab w:val="left" w:pos="864"/>
                <w:tab w:val="left" w:pos="1152"/>
              </w:tabs>
              <w:suppressAutoHyphens/>
              <w:spacing w:before="80" w:after="80" w:line="160" w:lineRule="exact"/>
              <w:ind w:right="43"/>
              <w:jc w:val="right"/>
              <w:rPr>
                <w:i/>
                <w:sz w:val="14"/>
                <w:szCs w:val="17"/>
                <w:lang w:val="fr-FR"/>
              </w:rPr>
            </w:pPr>
            <w:r>
              <w:rPr>
                <w:i/>
                <w:sz w:val="14"/>
                <w:szCs w:val="17"/>
                <w:lang w:val="fr-FR"/>
              </w:rPr>
              <w:t>Hommes</w:t>
            </w:r>
          </w:p>
        </w:tc>
        <w:tc>
          <w:tcPr>
            <w:tcW w:w="854" w:type="dxa"/>
            <w:tcBorders>
              <w:top w:val="single" w:sz="4" w:space="0" w:color="auto"/>
              <w:bottom w:val="single" w:sz="12" w:space="0" w:color="auto"/>
            </w:tcBorders>
            <w:shd w:val="clear" w:color="auto" w:fill="auto"/>
            <w:vAlign w:val="bottom"/>
          </w:tcPr>
          <w:p w:rsidR="00FE11A8" w:rsidRPr="00CB5BF8" w:rsidRDefault="00FE11A8" w:rsidP="00CB5BF8">
            <w:pPr>
              <w:shd w:val="clear" w:color="auto" w:fill="D9D9D9"/>
              <w:tabs>
                <w:tab w:val="left" w:pos="288"/>
                <w:tab w:val="left" w:pos="576"/>
                <w:tab w:val="left" w:pos="864"/>
                <w:tab w:val="left" w:pos="1152"/>
              </w:tabs>
              <w:suppressAutoHyphens/>
              <w:spacing w:before="80" w:after="80" w:line="160" w:lineRule="exact"/>
              <w:ind w:right="43"/>
              <w:jc w:val="right"/>
              <w:rPr>
                <w:i/>
                <w:sz w:val="14"/>
                <w:szCs w:val="17"/>
                <w:lang w:val="fr-FR"/>
              </w:rPr>
            </w:pPr>
            <w:r>
              <w:rPr>
                <w:i/>
                <w:sz w:val="14"/>
                <w:szCs w:val="17"/>
                <w:lang w:val="fr-FR"/>
              </w:rPr>
              <w:t>Femmes</w:t>
            </w:r>
          </w:p>
        </w:tc>
      </w:tr>
      <w:tr w:rsidR="00FE11A8" w:rsidRPr="00CB5BF8">
        <w:trPr>
          <w:trHeight w:hRule="exact" w:val="115"/>
          <w:tblHeader/>
        </w:trPr>
        <w:tc>
          <w:tcPr>
            <w:tcW w:w="1908" w:type="dxa"/>
            <w:tcBorders>
              <w:top w:val="single" w:sz="12" w:space="0" w:color="auto"/>
            </w:tcBorders>
            <w:shd w:val="clear" w:color="auto" w:fill="auto"/>
            <w:vAlign w:val="bottom"/>
          </w:tcPr>
          <w:p w:rsidR="00CB5BF8" w:rsidRPr="00CB5BF8" w:rsidRDefault="00CB5BF8" w:rsidP="00CB5BF8">
            <w:pPr>
              <w:shd w:val="clear" w:color="auto" w:fill="D9D9D9"/>
              <w:tabs>
                <w:tab w:val="left" w:pos="288"/>
                <w:tab w:val="left" w:pos="576"/>
                <w:tab w:val="left" w:pos="864"/>
                <w:tab w:val="left" w:pos="1152"/>
              </w:tabs>
              <w:suppressAutoHyphens/>
              <w:spacing w:before="40" w:after="40" w:line="210" w:lineRule="exact"/>
              <w:ind w:right="43"/>
              <w:rPr>
                <w:b/>
                <w:bCs/>
                <w:sz w:val="17"/>
                <w:szCs w:val="17"/>
                <w:lang w:val="fr-FR"/>
              </w:rPr>
            </w:pPr>
          </w:p>
        </w:tc>
        <w:tc>
          <w:tcPr>
            <w:tcW w:w="908" w:type="dxa"/>
            <w:tcBorders>
              <w:top w:val="single" w:sz="12" w:space="0" w:color="auto"/>
            </w:tcBorders>
            <w:shd w:val="clear" w:color="auto" w:fill="auto"/>
            <w:vAlign w:val="bottom"/>
          </w:tcPr>
          <w:p w:rsidR="00CB5BF8" w:rsidRPr="00CB5BF8" w:rsidRDefault="00CB5BF8" w:rsidP="00CB5BF8">
            <w:pPr>
              <w:shd w:val="clear" w:color="auto" w:fill="D9D9D9"/>
              <w:tabs>
                <w:tab w:val="left" w:pos="288"/>
                <w:tab w:val="left" w:pos="576"/>
                <w:tab w:val="left" w:pos="864"/>
                <w:tab w:val="left" w:pos="1152"/>
              </w:tabs>
              <w:suppressAutoHyphens/>
              <w:spacing w:before="40" w:after="40" w:line="210" w:lineRule="exact"/>
              <w:ind w:right="43"/>
              <w:jc w:val="right"/>
              <w:rPr>
                <w:b/>
                <w:bCs/>
                <w:sz w:val="17"/>
                <w:szCs w:val="17"/>
                <w:lang w:val="fr-FR"/>
              </w:rPr>
            </w:pPr>
          </w:p>
        </w:tc>
        <w:tc>
          <w:tcPr>
            <w:tcW w:w="892" w:type="dxa"/>
            <w:tcBorders>
              <w:top w:val="single" w:sz="12" w:space="0" w:color="auto"/>
            </w:tcBorders>
            <w:shd w:val="clear" w:color="auto" w:fill="auto"/>
            <w:vAlign w:val="bottom"/>
          </w:tcPr>
          <w:p w:rsidR="00CB5BF8" w:rsidRPr="00CB5BF8" w:rsidRDefault="00CB5BF8"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p>
        </w:tc>
        <w:tc>
          <w:tcPr>
            <w:tcW w:w="900" w:type="dxa"/>
            <w:tcBorders>
              <w:top w:val="single" w:sz="12" w:space="0" w:color="auto"/>
            </w:tcBorders>
            <w:shd w:val="clear" w:color="auto" w:fill="auto"/>
            <w:vAlign w:val="bottom"/>
          </w:tcPr>
          <w:p w:rsidR="00CB5BF8" w:rsidRPr="00CB5BF8" w:rsidRDefault="00CB5BF8"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p>
        </w:tc>
        <w:tc>
          <w:tcPr>
            <w:tcW w:w="1080" w:type="dxa"/>
            <w:tcBorders>
              <w:top w:val="single" w:sz="12" w:space="0" w:color="auto"/>
            </w:tcBorders>
            <w:shd w:val="clear" w:color="auto" w:fill="auto"/>
            <w:vAlign w:val="bottom"/>
          </w:tcPr>
          <w:p w:rsidR="00CB5BF8" w:rsidRPr="00CB5BF8" w:rsidRDefault="00CB5BF8" w:rsidP="00CB5BF8">
            <w:pPr>
              <w:shd w:val="clear" w:color="auto" w:fill="D9D9D9"/>
              <w:tabs>
                <w:tab w:val="left" w:pos="288"/>
                <w:tab w:val="left" w:pos="576"/>
                <w:tab w:val="left" w:pos="864"/>
                <w:tab w:val="left" w:pos="1152"/>
              </w:tabs>
              <w:suppressAutoHyphens/>
              <w:spacing w:before="40" w:after="40" w:line="210" w:lineRule="exact"/>
              <w:ind w:right="43"/>
              <w:jc w:val="right"/>
              <w:rPr>
                <w:b/>
                <w:bCs/>
                <w:sz w:val="17"/>
                <w:szCs w:val="17"/>
                <w:lang w:val="fr-FR"/>
              </w:rPr>
            </w:pPr>
          </w:p>
        </w:tc>
        <w:tc>
          <w:tcPr>
            <w:tcW w:w="900" w:type="dxa"/>
            <w:tcBorders>
              <w:top w:val="single" w:sz="12" w:space="0" w:color="auto"/>
            </w:tcBorders>
            <w:shd w:val="clear" w:color="auto" w:fill="auto"/>
            <w:vAlign w:val="bottom"/>
          </w:tcPr>
          <w:p w:rsidR="00CB5BF8" w:rsidRPr="00CB5BF8" w:rsidRDefault="00CB5BF8"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p>
        </w:tc>
        <w:tc>
          <w:tcPr>
            <w:tcW w:w="810" w:type="dxa"/>
            <w:tcBorders>
              <w:top w:val="single" w:sz="12" w:space="0" w:color="auto"/>
            </w:tcBorders>
            <w:shd w:val="clear" w:color="auto" w:fill="auto"/>
            <w:vAlign w:val="bottom"/>
          </w:tcPr>
          <w:p w:rsidR="00CB5BF8" w:rsidRPr="00CB5BF8" w:rsidRDefault="00CB5BF8"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p>
        </w:tc>
        <w:tc>
          <w:tcPr>
            <w:tcW w:w="908" w:type="dxa"/>
            <w:tcBorders>
              <w:top w:val="single" w:sz="12" w:space="0" w:color="auto"/>
            </w:tcBorders>
            <w:shd w:val="clear" w:color="auto" w:fill="auto"/>
            <w:vAlign w:val="bottom"/>
          </w:tcPr>
          <w:p w:rsidR="00CB5BF8" w:rsidRPr="00CB5BF8" w:rsidRDefault="00CB5BF8" w:rsidP="00CB5BF8">
            <w:pPr>
              <w:shd w:val="clear" w:color="auto" w:fill="D9D9D9"/>
              <w:tabs>
                <w:tab w:val="left" w:pos="288"/>
                <w:tab w:val="left" w:pos="576"/>
                <w:tab w:val="left" w:pos="864"/>
                <w:tab w:val="left" w:pos="1152"/>
              </w:tabs>
              <w:suppressAutoHyphens/>
              <w:spacing w:before="40" w:after="40" w:line="210" w:lineRule="exact"/>
              <w:ind w:right="43"/>
              <w:jc w:val="right"/>
              <w:rPr>
                <w:b/>
                <w:bCs/>
                <w:sz w:val="17"/>
                <w:szCs w:val="17"/>
                <w:lang w:val="fr-FR"/>
              </w:rPr>
            </w:pPr>
          </w:p>
        </w:tc>
        <w:tc>
          <w:tcPr>
            <w:tcW w:w="802" w:type="dxa"/>
            <w:tcBorders>
              <w:top w:val="single" w:sz="12" w:space="0" w:color="auto"/>
            </w:tcBorders>
            <w:shd w:val="clear" w:color="auto" w:fill="auto"/>
            <w:vAlign w:val="bottom"/>
          </w:tcPr>
          <w:p w:rsidR="00CB5BF8" w:rsidRPr="00CB5BF8" w:rsidRDefault="00CB5BF8"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p>
        </w:tc>
        <w:tc>
          <w:tcPr>
            <w:tcW w:w="854" w:type="dxa"/>
            <w:tcBorders>
              <w:top w:val="single" w:sz="12" w:space="0" w:color="auto"/>
            </w:tcBorders>
            <w:shd w:val="clear" w:color="auto" w:fill="auto"/>
            <w:vAlign w:val="bottom"/>
          </w:tcPr>
          <w:p w:rsidR="00CB5BF8" w:rsidRPr="00CB5BF8" w:rsidRDefault="00CB5BF8"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p>
        </w:tc>
      </w:tr>
      <w:tr w:rsidR="00FE11A8" w:rsidRPr="00CB5BF8">
        <w:tc>
          <w:tcPr>
            <w:tcW w:w="1908"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rPr>
                <w:b/>
                <w:bCs/>
                <w:sz w:val="17"/>
                <w:szCs w:val="17"/>
                <w:lang w:val="fr-FR"/>
              </w:rPr>
            </w:pPr>
            <w:r w:rsidRPr="00CB5BF8">
              <w:rPr>
                <w:b/>
                <w:bCs/>
                <w:sz w:val="17"/>
                <w:szCs w:val="17"/>
                <w:lang w:val="fr-FR"/>
              </w:rPr>
              <w:t>Président</w:t>
            </w:r>
          </w:p>
        </w:tc>
        <w:tc>
          <w:tcPr>
            <w:tcW w:w="908"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b/>
                <w:bCs/>
                <w:sz w:val="17"/>
                <w:szCs w:val="17"/>
                <w:lang w:val="fr-FR"/>
              </w:rPr>
            </w:pPr>
            <w:r w:rsidRPr="00CB5BF8">
              <w:rPr>
                <w:b/>
                <w:bCs/>
                <w:sz w:val="17"/>
                <w:szCs w:val="17"/>
                <w:lang w:val="fr-FR"/>
              </w:rPr>
              <w:t>1</w:t>
            </w:r>
          </w:p>
        </w:tc>
        <w:tc>
          <w:tcPr>
            <w:tcW w:w="892"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1</w:t>
            </w:r>
          </w:p>
        </w:tc>
        <w:tc>
          <w:tcPr>
            <w:tcW w:w="900"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Néant</w:t>
            </w:r>
          </w:p>
        </w:tc>
        <w:tc>
          <w:tcPr>
            <w:tcW w:w="1080"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b/>
                <w:bCs/>
                <w:sz w:val="17"/>
                <w:szCs w:val="17"/>
                <w:lang w:val="fr-FR"/>
              </w:rPr>
            </w:pPr>
            <w:r w:rsidRPr="00CB5BF8">
              <w:rPr>
                <w:b/>
                <w:bCs/>
                <w:sz w:val="17"/>
                <w:szCs w:val="17"/>
                <w:lang w:val="fr-FR"/>
              </w:rPr>
              <w:t>1</w:t>
            </w:r>
          </w:p>
        </w:tc>
        <w:tc>
          <w:tcPr>
            <w:tcW w:w="900"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1</w:t>
            </w:r>
          </w:p>
        </w:tc>
        <w:tc>
          <w:tcPr>
            <w:tcW w:w="810"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Néant</w:t>
            </w:r>
          </w:p>
        </w:tc>
        <w:tc>
          <w:tcPr>
            <w:tcW w:w="908"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b/>
                <w:bCs/>
                <w:sz w:val="17"/>
                <w:szCs w:val="17"/>
                <w:lang w:val="fr-FR"/>
              </w:rPr>
            </w:pPr>
            <w:r w:rsidRPr="00CB5BF8">
              <w:rPr>
                <w:b/>
                <w:bCs/>
                <w:sz w:val="17"/>
                <w:szCs w:val="17"/>
                <w:lang w:val="fr-FR"/>
              </w:rPr>
              <w:t>1</w:t>
            </w:r>
          </w:p>
        </w:tc>
        <w:tc>
          <w:tcPr>
            <w:tcW w:w="802"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1</w:t>
            </w:r>
          </w:p>
        </w:tc>
        <w:tc>
          <w:tcPr>
            <w:tcW w:w="854"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Néant</w:t>
            </w:r>
          </w:p>
        </w:tc>
      </w:tr>
      <w:tr w:rsidR="00FE11A8" w:rsidRPr="00CB5BF8">
        <w:tc>
          <w:tcPr>
            <w:tcW w:w="1908"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rPr>
                <w:b/>
                <w:bCs/>
                <w:sz w:val="17"/>
                <w:szCs w:val="17"/>
                <w:lang w:val="fr-FR"/>
              </w:rPr>
            </w:pPr>
            <w:r w:rsidRPr="00CB5BF8">
              <w:rPr>
                <w:b/>
                <w:bCs/>
                <w:sz w:val="17"/>
                <w:szCs w:val="17"/>
                <w:lang w:val="fr-FR"/>
              </w:rPr>
              <w:t>Vice- Président</w:t>
            </w:r>
          </w:p>
        </w:tc>
        <w:tc>
          <w:tcPr>
            <w:tcW w:w="908"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b/>
                <w:bCs/>
                <w:sz w:val="17"/>
                <w:szCs w:val="17"/>
                <w:lang w:val="fr-FR"/>
              </w:rPr>
            </w:pPr>
            <w:r w:rsidRPr="00CB5BF8">
              <w:rPr>
                <w:b/>
                <w:bCs/>
                <w:sz w:val="17"/>
                <w:szCs w:val="17"/>
                <w:lang w:val="fr-FR"/>
              </w:rPr>
              <w:t>1</w:t>
            </w:r>
          </w:p>
        </w:tc>
        <w:tc>
          <w:tcPr>
            <w:tcW w:w="892"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1</w:t>
            </w:r>
          </w:p>
        </w:tc>
        <w:tc>
          <w:tcPr>
            <w:tcW w:w="900"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Néant</w:t>
            </w:r>
          </w:p>
        </w:tc>
        <w:tc>
          <w:tcPr>
            <w:tcW w:w="1080"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b/>
                <w:bCs/>
                <w:sz w:val="17"/>
                <w:szCs w:val="17"/>
                <w:lang w:val="fr-FR"/>
              </w:rPr>
            </w:pPr>
            <w:r w:rsidRPr="00CB5BF8">
              <w:rPr>
                <w:b/>
                <w:bCs/>
                <w:sz w:val="17"/>
                <w:szCs w:val="17"/>
                <w:lang w:val="fr-FR"/>
              </w:rPr>
              <w:t>1</w:t>
            </w:r>
          </w:p>
        </w:tc>
        <w:tc>
          <w:tcPr>
            <w:tcW w:w="900"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1</w:t>
            </w:r>
          </w:p>
        </w:tc>
        <w:tc>
          <w:tcPr>
            <w:tcW w:w="810"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Néant</w:t>
            </w:r>
          </w:p>
        </w:tc>
        <w:tc>
          <w:tcPr>
            <w:tcW w:w="908"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b/>
                <w:bCs/>
                <w:sz w:val="17"/>
                <w:szCs w:val="17"/>
                <w:lang w:val="fr-FR"/>
              </w:rPr>
            </w:pPr>
            <w:r w:rsidRPr="00CB5BF8">
              <w:rPr>
                <w:b/>
                <w:bCs/>
                <w:sz w:val="17"/>
                <w:szCs w:val="17"/>
                <w:lang w:val="fr-FR"/>
              </w:rPr>
              <w:t>1</w:t>
            </w:r>
          </w:p>
        </w:tc>
        <w:tc>
          <w:tcPr>
            <w:tcW w:w="802"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1</w:t>
            </w:r>
          </w:p>
        </w:tc>
        <w:tc>
          <w:tcPr>
            <w:tcW w:w="854"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Néant</w:t>
            </w:r>
          </w:p>
        </w:tc>
      </w:tr>
      <w:tr w:rsidR="00FE11A8" w:rsidRPr="00CB5BF8">
        <w:tc>
          <w:tcPr>
            <w:tcW w:w="1908"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rPr>
                <w:b/>
                <w:bCs/>
                <w:sz w:val="17"/>
                <w:szCs w:val="17"/>
                <w:lang w:val="fr-FR"/>
              </w:rPr>
            </w:pPr>
            <w:r w:rsidRPr="00CB5BF8">
              <w:rPr>
                <w:b/>
                <w:bCs/>
                <w:sz w:val="17"/>
                <w:szCs w:val="17"/>
                <w:lang w:val="fr-FR"/>
              </w:rPr>
              <w:t>Sénat</w:t>
            </w:r>
          </w:p>
        </w:tc>
        <w:tc>
          <w:tcPr>
            <w:tcW w:w="908"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b/>
                <w:bCs/>
                <w:sz w:val="17"/>
                <w:szCs w:val="17"/>
                <w:lang w:val="fr-FR"/>
              </w:rPr>
            </w:pPr>
            <w:r w:rsidRPr="00CB5BF8">
              <w:rPr>
                <w:b/>
                <w:bCs/>
                <w:sz w:val="17"/>
                <w:szCs w:val="17"/>
                <w:lang w:val="fr-FR"/>
              </w:rPr>
              <w:t>109</w:t>
            </w:r>
          </w:p>
        </w:tc>
        <w:tc>
          <w:tcPr>
            <w:tcW w:w="892"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106</w:t>
            </w:r>
          </w:p>
        </w:tc>
        <w:tc>
          <w:tcPr>
            <w:tcW w:w="900"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3</w:t>
            </w:r>
          </w:p>
        </w:tc>
        <w:tc>
          <w:tcPr>
            <w:tcW w:w="1080"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b/>
                <w:bCs/>
                <w:sz w:val="17"/>
                <w:szCs w:val="17"/>
                <w:lang w:val="fr-FR"/>
              </w:rPr>
            </w:pPr>
            <w:r w:rsidRPr="00CB5BF8">
              <w:rPr>
                <w:b/>
                <w:bCs/>
                <w:sz w:val="17"/>
                <w:szCs w:val="17"/>
                <w:lang w:val="fr-FR"/>
              </w:rPr>
              <w:t>109</w:t>
            </w:r>
          </w:p>
        </w:tc>
        <w:tc>
          <w:tcPr>
            <w:tcW w:w="900"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106</w:t>
            </w:r>
          </w:p>
        </w:tc>
        <w:tc>
          <w:tcPr>
            <w:tcW w:w="810"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3</w:t>
            </w:r>
          </w:p>
        </w:tc>
        <w:tc>
          <w:tcPr>
            <w:tcW w:w="908"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b/>
                <w:bCs/>
                <w:sz w:val="17"/>
                <w:szCs w:val="17"/>
                <w:lang w:val="fr-FR"/>
              </w:rPr>
            </w:pPr>
            <w:r w:rsidRPr="00CB5BF8">
              <w:rPr>
                <w:b/>
                <w:bCs/>
                <w:sz w:val="17"/>
                <w:szCs w:val="17"/>
                <w:lang w:val="fr-FR"/>
              </w:rPr>
              <w:t>109</w:t>
            </w:r>
          </w:p>
        </w:tc>
        <w:tc>
          <w:tcPr>
            <w:tcW w:w="802"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105</w:t>
            </w:r>
          </w:p>
        </w:tc>
        <w:tc>
          <w:tcPr>
            <w:tcW w:w="854"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4</w:t>
            </w:r>
          </w:p>
        </w:tc>
      </w:tr>
      <w:tr w:rsidR="00FE11A8" w:rsidRPr="00CB5BF8">
        <w:tc>
          <w:tcPr>
            <w:tcW w:w="1908"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rPr>
                <w:b/>
                <w:bCs/>
                <w:sz w:val="17"/>
                <w:szCs w:val="17"/>
                <w:lang w:val="fr-FR"/>
              </w:rPr>
            </w:pPr>
            <w:r w:rsidRPr="00CB5BF8">
              <w:rPr>
                <w:b/>
                <w:bCs/>
                <w:sz w:val="17"/>
                <w:szCs w:val="17"/>
                <w:lang w:val="fr-FR"/>
              </w:rPr>
              <w:t>Chambre des représentants</w:t>
            </w:r>
          </w:p>
        </w:tc>
        <w:tc>
          <w:tcPr>
            <w:tcW w:w="908"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b/>
                <w:bCs/>
                <w:sz w:val="17"/>
                <w:szCs w:val="17"/>
                <w:lang w:val="fr-FR"/>
              </w:rPr>
            </w:pPr>
            <w:r w:rsidRPr="00CB5BF8">
              <w:rPr>
                <w:b/>
                <w:bCs/>
                <w:sz w:val="17"/>
                <w:szCs w:val="17"/>
                <w:lang w:val="fr-FR"/>
              </w:rPr>
              <w:t>360</w:t>
            </w:r>
          </w:p>
        </w:tc>
        <w:tc>
          <w:tcPr>
            <w:tcW w:w="892"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348</w:t>
            </w:r>
          </w:p>
        </w:tc>
        <w:tc>
          <w:tcPr>
            <w:tcW w:w="900"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12</w:t>
            </w:r>
          </w:p>
        </w:tc>
        <w:tc>
          <w:tcPr>
            <w:tcW w:w="1080"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b/>
                <w:bCs/>
                <w:sz w:val="17"/>
                <w:szCs w:val="17"/>
                <w:lang w:val="fr-FR"/>
              </w:rPr>
            </w:pPr>
            <w:r w:rsidRPr="00CB5BF8">
              <w:rPr>
                <w:b/>
                <w:bCs/>
                <w:sz w:val="17"/>
                <w:szCs w:val="17"/>
                <w:lang w:val="fr-FR"/>
              </w:rPr>
              <w:t>360</w:t>
            </w:r>
          </w:p>
        </w:tc>
        <w:tc>
          <w:tcPr>
            <w:tcW w:w="900"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339</w:t>
            </w:r>
          </w:p>
        </w:tc>
        <w:tc>
          <w:tcPr>
            <w:tcW w:w="810"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21</w:t>
            </w:r>
          </w:p>
        </w:tc>
        <w:tc>
          <w:tcPr>
            <w:tcW w:w="908"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b/>
                <w:bCs/>
                <w:sz w:val="17"/>
                <w:szCs w:val="17"/>
                <w:lang w:val="fr-FR"/>
              </w:rPr>
            </w:pPr>
            <w:r w:rsidRPr="00CB5BF8">
              <w:rPr>
                <w:b/>
                <w:bCs/>
                <w:sz w:val="17"/>
                <w:szCs w:val="17"/>
                <w:lang w:val="fr-FR"/>
              </w:rPr>
              <w:t>360</w:t>
            </w:r>
          </w:p>
        </w:tc>
        <w:tc>
          <w:tcPr>
            <w:tcW w:w="802"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340</w:t>
            </w:r>
          </w:p>
        </w:tc>
        <w:tc>
          <w:tcPr>
            <w:tcW w:w="854"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20</w:t>
            </w:r>
          </w:p>
        </w:tc>
      </w:tr>
      <w:tr w:rsidR="00FE11A8" w:rsidRPr="00CB5BF8">
        <w:tc>
          <w:tcPr>
            <w:tcW w:w="1908"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rPr>
                <w:b/>
                <w:bCs/>
                <w:sz w:val="17"/>
                <w:szCs w:val="17"/>
                <w:lang w:val="fr-FR"/>
              </w:rPr>
            </w:pPr>
            <w:r w:rsidRPr="00CB5BF8">
              <w:rPr>
                <w:b/>
                <w:bCs/>
                <w:sz w:val="17"/>
                <w:szCs w:val="17"/>
                <w:lang w:val="fr-FR"/>
              </w:rPr>
              <w:t>Président du Sénat</w:t>
            </w:r>
          </w:p>
        </w:tc>
        <w:tc>
          <w:tcPr>
            <w:tcW w:w="908"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b/>
                <w:bCs/>
                <w:sz w:val="17"/>
                <w:szCs w:val="17"/>
                <w:lang w:val="fr-FR"/>
              </w:rPr>
            </w:pPr>
            <w:r w:rsidRPr="00CB5BF8">
              <w:rPr>
                <w:b/>
                <w:bCs/>
                <w:sz w:val="17"/>
                <w:szCs w:val="17"/>
                <w:lang w:val="fr-FR"/>
              </w:rPr>
              <w:t>1</w:t>
            </w:r>
          </w:p>
        </w:tc>
        <w:tc>
          <w:tcPr>
            <w:tcW w:w="892"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1</w:t>
            </w:r>
          </w:p>
        </w:tc>
        <w:tc>
          <w:tcPr>
            <w:tcW w:w="900"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1</w:t>
            </w:r>
          </w:p>
        </w:tc>
        <w:tc>
          <w:tcPr>
            <w:tcW w:w="1080"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b/>
                <w:bCs/>
                <w:sz w:val="17"/>
                <w:szCs w:val="17"/>
                <w:lang w:val="fr-FR"/>
              </w:rPr>
            </w:pPr>
            <w:r w:rsidRPr="00CB5BF8">
              <w:rPr>
                <w:b/>
                <w:bCs/>
                <w:sz w:val="17"/>
                <w:szCs w:val="17"/>
                <w:lang w:val="fr-FR"/>
              </w:rPr>
              <w:t>1</w:t>
            </w:r>
          </w:p>
        </w:tc>
        <w:tc>
          <w:tcPr>
            <w:tcW w:w="900"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1</w:t>
            </w:r>
          </w:p>
        </w:tc>
        <w:tc>
          <w:tcPr>
            <w:tcW w:w="810"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1</w:t>
            </w:r>
          </w:p>
        </w:tc>
        <w:tc>
          <w:tcPr>
            <w:tcW w:w="908"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b/>
                <w:bCs/>
                <w:sz w:val="17"/>
                <w:szCs w:val="17"/>
                <w:lang w:val="fr-FR"/>
              </w:rPr>
            </w:pPr>
            <w:r w:rsidRPr="00CB5BF8">
              <w:rPr>
                <w:b/>
                <w:bCs/>
                <w:sz w:val="17"/>
                <w:szCs w:val="17"/>
                <w:lang w:val="fr-FR"/>
              </w:rPr>
              <w:t>1</w:t>
            </w:r>
          </w:p>
        </w:tc>
        <w:tc>
          <w:tcPr>
            <w:tcW w:w="802"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1</w:t>
            </w:r>
          </w:p>
        </w:tc>
        <w:tc>
          <w:tcPr>
            <w:tcW w:w="854"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1</w:t>
            </w:r>
          </w:p>
        </w:tc>
      </w:tr>
      <w:tr w:rsidR="00FE11A8" w:rsidRPr="00CB5BF8">
        <w:tc>
          <w:tcPr>
            <w:tcW w:w="1908"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rPr>
                <w:b/>
                <w:bCs/>
                <w:sz w:val="17"/>
                <w:szCs w:val="17"/>
                <w:lang w:val="fr-FR"/>
              </w:rPr>
            </w:pPr>
            <w:r w:rsidRPr="00CB5BF8">
              <w:rPr>
                <w:b/>
                <w:bCs/>
                <w:sz w:val="17"/>
                <w:szCs w:val="17"/>
                <w:lang w:val="fr-FR"/>
              </w:rPr>
              <w:t>Président de Chambre des représentants</w:t>
            </w:r>
          </w:p>
        </w:tc>
        <w:tc>
          <w:tcPr>
            <w:tcW w:w="908"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b/>
                <w:bCs/>
                <w:sz w:val="17"/>
                <w:szCs w:val="17"/>
                <w:lang w:val="fr-FR"/>
              </w:rPr>
            </w:pPr>
          </w:p>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b/>
                <w:bCs/>
                <w:sz w:val="17"/>
                <w:szCs w:val="17"/>
                <w:lang w:val="fr-FR"/>
              </w:rPr>
            </w:pPr>
            <w:r w:rsidRPr="00CB5BF8">
              <w:rPr>
                <w:b/>
                <w:bCs/>
                <w:sz w:val="17"/>
                <w:szCs w:val="17"/>
                <w:lang w:val="fr-FR"/>
              </w:rPr>
              <w:t>1</w:t>
            </w:r>
          </w:p>
        </w:tc>
        <w:tc>
          <w:tcPr>
            <w:tcW w:w="892"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1</w:t>
            </w:r>
          </w:p>
        </w:tc>
        <w:tc>
          <w:tcPr>
            <w:tcW w:w="900"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1</w:t>
            </w:r>
          </w:p>
        </w:tc>
        <w:tc>
          <w:tcPr>
            <w:tcW w:w="1080"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b/>
                <w:bCs/>
                <w:sz w:val="17"/>
                <w:szCs w:val="17"/>
                <w:lang w:val="fr-FR"/>
              </w:rPr>
            </w:pPr>
            <w:r w:rsidRPr="00CB5BF8">
              <w:rPr>
                <w:b/>
                <w:bCs/>
                <w:sz w:val="17"/>
                <w:szCs w:val="17"/>
                <w:lang w:val="fr-FR"/>
              </w:rPr>
              <w:t>1</w:t>
            </w:r>
          </w:p>
        </w:tc>
        <w:tc>
          <w:tcPr>
            <w:tcW w:w="900"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1</w:t>
            </w:r>
          </w:p>
        </w:tc>
        <w:tc>
          <w:tcPr>
            <w:tcW w:w="810"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1</w:t>
            </w:r>
          </w:p>
        </w:tc>
        <w:tc>
          <w:tcPr>
            <w:tcW w:w="908"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b/>
                <w:bCs/>
                <w:sz w:val="17"/>
                <w:szCs w:val="17"/>
                <w:lang w:val="fr-FR"/>
              </w:rPr>
            </w:pPr>
            <w:r w:rsidRPr="00CB5BF8">
              <w:rPr>
                <w:b/>
                <w:bCs/>
                <w:sz w:val="17"/>
                <w:szCs w:val="17"/>
                <w:lang w:val="fr-FR"/>
              </w:rPr>
              <w:t>1</w:t>
            </w:r>
          </w:p>
        </w:tc>
        <w:tc>
          <w:tcPr>
            <w:tcW w:w="802"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1</w:t>
            </w:r>
          </w:p>
        </w:tc>
        <w:tc>
          <w:tcPr>
            <w:tcW w:w="854"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1</w:t>
            </w:r>
          </w:p>
        </w:tc>
      </w:tr>
      <w:tr w:rsidR="00FE11A8" w:rsidRPr="00CB5BF8">
        <w:tc>
          <w:tcPr>
            <w:tcW w:w="1908"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rPr>
                <w:b/>
                <w:bCs/>
                <w:sz w:val="17"/>
                <w:szCs w:val="17"/>
                <w:lang w:val="fr-FR"/>
              </w:rPr>
            </w:pPr>
            <w:r w:rsidRPr="00CB5BF8">
              <w:rPr>
                <w:b/>
                <w:bCs/>
                <w:sz w:val="17"/>
                <w:szCs w:val="17"/>
                <w:lang w:val="fr-FR"/>
              </w:rPr>
              <w:t>Gouverneurs</w:t>
            </w:r>
          </w:p>
        </w:tc>
        <w:tc>
          <w:tcPr>
            <w:tcW w:w="908"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b/>
                <w:bCs/>
                <w:sz w:val="17"/>
                <w:szCs w:val="17"/>
                <w:lang w:val="fr-FR"/>
              </w:rPr>
            </w:pPr>
            <w:r w:rsidRPr="00CB5BF8">
              <w:rPr>
                <w:b/>
                <w:bCs/>
                <w:sz w:val="17"/>
                <w:szCs w:val="17"/>
                <w:lang w:val="fr-FR"/>
              </w:rPr>
              <w:t>36</w:t>
            </w:r>
          </w:p>
        </w:tc>
        <w:tc>
          <w:tcPr>
            <w:tcW w:w="892"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36</w:t>
            </w:r>
          </w:p>
        </w:tc>
        <w:tc>
          <w:tcPr>
            <w:tcW w:w="900"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Néant</w:t>
            </w:r>
          </w:p>
        </w:tc>
        <w:tc>
          <w:tcPr>
            <w:tcW w:w="1080"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b/>
                <w:bCs/>
                <w:sz w:val="17"/>
                <w:szCs w:val="17"/>
                <w:lang w:val="fr-FR"/>
              </w:rPr>
            </w:pPr>
            <w:r w:rsidRPr="00CB5BF8">
              <w:rPr>
                <w:b/>
                <w:bCs/>
                <w:sz w:val="17"/>
                <w:szCs w:val="17"/>
                <w:lang w:val="fr-FR"/>
              </w:rPr>
              <w:t>36</w:t>
            </w:r>
          </w:p>
        </w:tc>
        <w:tc>
          <w:tcPr>
            <w:tcW w:w="900"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36</w:t>
            </w:r>
          </w:p>
        </w:tc>
        <w:tc>
          <w:tcPr>
            <w:tcW w:w="810"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Néant</w:t>
            </w:r>
          </w:p>
        </w:tc>
        <w:tc>
          <w:tcPr>
            <w:tcW w:w="908"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b/>
                <w:bCs/>
                <w:sz w:val="17"/>
                <w:szCs w:val="17"/>
                <w:lang w:val="fr-FR"/>
              </w:rPr>
            </w:pPr>
            <w:r w:rsidRPr="00CB5BF8">
              <w:rPr>
                <w:b/>
                <w:bCs/>
                <w:sz w:val="17"/>
                <w:szCs w:val="17"/>
                <w:lang w:val="fr-FR"/>
              </w:rPr>
              <w:t>36</w:t>
            </w:r>
          </w:p>
        </w:tc>
        <w:tc>
          <w:tcPr>
            <w:tcW w:w="802"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36</w:t>
            </w:r>
          </w:p>
        </w:tc>
        <w:tc>
          <w:tcPr>
            <w:tcW w:w="854"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Néant</w:t>
            </w:r>
          </w:p>
        </w:tc>
      </w:tr>
      <w:tr w:rsidR="00FE11A8" w:rsidRPr="00CB5BF8">
        <w:tc>
          <w:tcPr>
            <w:tcW w:w="1908"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rPr>
                <w:b/>
                <w:bCs/>
                <w:sz w:val="17"/>
                <w:szCs w:val="17"/>
                <w:lang w:val="fr-FR"/>
              </w:rPr>
            </w:pPr>
            <w:r w:rsidRPr="00CB5BF8">
              <w:rPr>
                <w:b/>
                <w:bCs/>
                <w:sz w:val="17"/>
                <w:szCs w:val="17"/>
                <w:lang w:val="fr-FR"/>
              </w:rPr>
              <w:t>Gouverneurs adjoints</w:t>
            </w:r>
          </w:p>
        </w:tc>
        <w:tc>
          <w:tcPr>
            <w:tcW w:w="908"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b/>
                <w:bCs/>
                <w:sz w:val="17"/>
                <w:szCs w:val="17"/>
                <w:lang w:val="fr-FR"/>
              </w:rPr>
            </w:pPr>
            <w:r w:rsidRPr="00CB5BF8">
              <w:rPr>
                <w:b/>
                <w:bCs/>
                <w:sz w:val="17"/>
                <w:szCs w:val="17"/>
                <w:lang w:val="fr-FR"/>
              </w:rPr>
              <w:t>36</w:t>
            </w:r>
          </w:p>
        </w:tc>
        <w:tc>
          <w:tcPr>
            <w:tcW w:w="892"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35</w:t>
            </w:r>
          </w:p>
        </w:tc>
        <w:tc>
          <w:tcPr>
            <w:tcW w:w="900"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1</w:t>
            </w:r>
          </w:p>
        </w:tc>
        <w:tc>
          <w:tcPr>
            <w:tcW w:w="1080"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b/>
                <w:bCs/>
                <w:sz w:val="17"/>
                <w:szCs w:val="17"/>
                <w:lang w:val="fr-FR"/>
              </w:rPr>
            </w:pPr>
            <w:r w:rsidRPr="00CB5BF8">
              <w:rPr>
                <w:b/>
                <w:bCs/>
                <w:sz w:val="17"/>
                <w:szCs w:val="17"/>
                <w:lang w:val="fr-FR"/>
              </w:rPr>
              <w:t>36</w:t>
            </w:r>
          </w:p>
        </w:tc>
        <w:tc>
          <w:tcPr>
            <w:tcW w:w="900"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34</w:t>
            </w:r>
          </w:p>
        </w:tc>
        <w:tc>
          <w:tcPr>
            <w:tcW w:w="810"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2</w:t>
            </w:r>
          </w:p>
        </w:tc>
        <w:tc>
          <w:tcPr>
            <w:tcW w:w="908"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b/>
                <w:bCs/>
                <w:sz w:val="17"/>
                <w:szCs w:val="17"/>
                <w:lang w:val="fr-FR"/>
              </w:rPr>
            </w:pPr>
            <w:r w:rsidRPr="00CB5BF8">
              <w:rPr>
                <w:b/>
                <w:bCs/>
                <w:sz w:val="17"/>
                <w:szCs w:val="17"/>
                <w:lang w:val="fr-FR"/>
              </w:rPr>
              <w:t>36</w:t>
            </w:r>
          </w:p>
        </w:tc>
        <w:tc>
          <w:tcPr>
            <w:tcW w:w="802"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32</w:t>
            </w:r>
          </w:p>
        </w:tc>
        <w:tc>
          <w:tcPr>
            <w:tcW w:w="854"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4</w:t>
            </w:r>
          </w:p>
        </w:tc>
      </w:tr>
      <w:tr w:rsidR="00FE11A8" w:rsidRPr="00CB5BF8">
        <w:tc>
          <w:tcPr>
            <w:tcW w:w="1908"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rPr>
                <w:b/>
                <w:bCs/>
                <w:sz w:val="17"/>
                <w:szCs w:val="17"/>
                <w:lang w:val="fr-FR"/>
              </w:rPr>
            </w:pPr>
            <w:r w:rsidRPr="00CB5BF8">
              <w:rPr>
                <w:b/>
                <w:bCs/>
                <w:sz w:val="17"/>
                <w:szCs w:val="17"/>
                <w:lang w:val="fr-FR"/>
              </w:rPr>
              <w:t>Assemblées d</w:t>
            </w:r>
            <w:r w:rsidR="000A3D87">
              <w:rPr>
                <w:b/>
                <w:bCs/>
                <w:sz w:val="17"/>
                <w:szCs w:val="17"/>
                <w:lang w:val="fr-FR"/>
              </w:rPr>
              <w:t>’</w:t>
            </w:r>
            <w:r w:rsidRPr="00CB5BF8">
              <w:rPr>
                <w:b/>
                <w:bCs/>
                <w:sz w:val="17"/>
                <w:szCs w:val="17"/>
                <w:lang w:val="fr-FR"/>
              </w:rPr>
              <w:t>État</w:t>
            </w:r>
          </w:p>
        </w:tc>
        <w:tc>
          <w:tcPr>
            <w:tcW w:w="908"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b/>
                <w:bCs/>
                <w:sz w:val="17"/>
                <w:szCs w:val="17"/>
                <w:lang w:val="fr-FR"/>
              </w:rPr>
            </w:pPr>
            <w:r w:rsidRPr="00CB5BF8">
              <w:rPr>
                <w:b/>
                <w:bCs/>
                <w:sz w:val="17"/>
                <w:szCs w:val="17"/>
                <w:lang w:val="fr-FR"/>
              </w:rPr>
              <w:t>1 002</w:t>
            </w:r>
          </w:p>
        </w:tc>
        <w:tc>
          <w:tcPr>
            <w:tcW w:w="892"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990</w:t>
            </w:r>
          </w:p>
        </w:tc>
        <w:tc>
          <w:tcPr>
            <w:tcW w:w="900"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12</w:t>
            </w:r>
          </w:p>
        </w:tc>
        <w:tc>
          <w:tcPr>
            <w:tcW w:w="1080"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b/>
                <w:bCs/>
                <w:sz w:val="17"/>
                <w:szCs w:val="17"/>
                <w:lang w:val="fr-FR"/>
              </w:rPr>
            </w:pPr>
            <w:r w:rsidRPr="00CB5BF8">
              <w:rPr>
                <w:b/>
                <w:bCs/>
                <w:sz w:val="17"/>
                <w:szCs w:val="17"/>
                <w:lang w:val="fr-FR"/>
              </w:rPr>
              <w:t>1 002</w:t>
            </w:r>
          </w:p>
        </w:tc>
        <w:tc>
          <w:tcPr>
            <w:tcW w:w="900"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p>
        </w:tc>
        <w:tc>
          <w:tcPr>
            <w:tcW w:w="810"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23</w:t>
            </w:r>
          </w:p>
        </w:tc>
        <w:tc>
          <w:tcPr>
            <w:tcW w:w="908"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b/>
                <w:bCs/>
                <w:sz w:val="17"/>
                <w:szCs w:val="17"/>
                <w:lang w:val="fr-FR"/>
              </w:rPr>
            </w:pPr>
            <w:r w:rsidRPr="00CB5BF8">
              <w:rPr>
                <w:b/>
                <w:bCs/>
                <w:sz w:val="17"/>
                <w:szCs w:val="17"/>
                <w:lang w:val="fr-FR"/>
              </w:rPr>
              <w:t>1 002</w:t>
            </w:r>
          </w:p>
        </w:tc>
        <w:tc>
          <w:tcPr>
            <w:tcW w:w="802"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p>
        </w:tc>
        <w:tc>
          <w:tcPr>
            <w:tcW w:w="854"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21</w:t>
            </w:r>
          </w:p>
        </w:tc>
      </w:tr>
      <w:tr w:rsidR="00FE11A8" w:rsidRPr="00CB5BF8">
        <w:tc>
          <w:tcPr>
            <w:tcW w:w="1908"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rPr>
                <w:b/>
                <w:bCs/>
                <w:sz w:val="17"/>
                <w:szCs w:val="17"/>
                <w:lang w:val="fr-FR"/>
              </w:rPr>
            </w:pPr>
            <w:r w:rsidRPr="00CB5BF8">
              <w:rPr>
                <w:b/>
                <w:bCs/>
                <w:sz w:val="17"/>
                <w:szCs w:val="17"/>
                <w:lang w:val="fr-FR"/>
              </w:rPr>
              <w:t>Président d</w:t>
            </w:r>
            <w:r w:rsidR="000A3D87">
              <w:rPr>
                <w:b/>
                <w:bCs/>
                <w:sz w:val="17"/>
                <w:szCs w:val="17"/>
                <w:lang w:val="fr-FR"/>
              </w:rPr>
              <w:t>’</w:t>
            </w:r>
            <w:r w:rsidRPr="00CB5BF8">
              <w:rPr>
                <w:b/>
                <w:bCs/>
                <w:sz w:val="17"/>
                <w:szCs w:val="17"/>
                <w:lang w:val="fr-FR"/>
              </w:rPr>
              <w:t>Assemblées d</w:t>
            </w:r>
            <w:r w:rsidR="000A3D87">
              <w:rPr>
                <w:b/>
                <w:bCs/>
                <w:sz w:val="17"/>
                <w:szCs w:val="17"/>
                <w:lang w:val="fr-FR"/>
              </w:rPr>
              <w:t>’</w:t>
            </w:r>
            <w:r w:rsidRPr="00CB5BF8">
              <w:rPr>
                <w:b/>
                <w:bCs/>
                <w:sz w:val="17"/>
                <w:szCs w:val="17"/>
                <w:lang w:val="fr-FR"/>
              </w:rPr>
              <w:t>État</w:t>
            </w:r>
          </w:p>
        </w:tc>
        <w:tc>
          <w:tcPr>
            <w:tcW w:w="908"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b/>
                <w:bCs/>
                <w:sz w:val="17"/>
                <w:szCs w:val="17"/>
                <w:lang w:val="fr-FR"/>
              </w:rPr>
            </w:pPr>
            <w:r w:rsidRPr="00CB5BF8">
              <w:rPr>
                <w:b/>
                <w:bCs/>
                <w:sz w:val="17"/>
                <w:szCs w:val="17"/>
                <w:lang w:val="fr-FR"/>
              </w:rPr>
              <w:t>36</w:t>
            </w:r>
          </w:p>
        </w:tc>
        <w:tc>
          <w:tcPr>
            <w:tcW w:w="892"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35</w:t>
            </w:r>
          </w:p>
        </w:tc>
        <w:tc>
          <w:tcPr>
            <w:tcW w:w="900"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1</w:t>
            </w:r>
          </w:p>
        </w:tc>
        <w:tc>
          <w:tcPr>
            <w:tcW w:w="1080"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b/>
                <w:bCs/>
                <w:sz w:val="17"/>
                <w:szCs w:val="17"/>
                <w:lang w:val="fr-FR"/>
              </w:rPr>
            </w:pPr>
            <w:r w:rsidRPr="00CB5BF8">
              <w:rPr>
                <w:b/>
                <w:bCs/>
                <w:sz w:val="17"/>
                <w:szCs w:val="17"/>
                <w:lang w:val="fr-FR"/>
              </w:rPr>
              <w:t>36</w:t>
            </w:r>
          </w:p>
        </w:tc>
        <w:tc>
          <w:tcPr>
            <w:tcW w:w="900"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34</w:t>
            </w:r>
          </w:p>
        </w:tc>
        <w:tc>
          <w:tcPr>
            <w:tcW w:w="810"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2</w:t>
            </w:r>
          </w:p>
        </w:tc>
        <w:tc>
          <w:tcPr>
            <w:tcW w:w="908"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b/>
                <w:bCs/>
                <w:sz w:val="17"/>
                <w:szCs w:val="17"/>
                <w:lang w:val="fr-FR"/>
              </w:rPr>
            </w:pPr>
            <w:r w:rsidRPr="00CB5BF8">
              <w:rPr>
                <w:b/>
                <w:bCs/>
                <w:sz w:val="17"/>
                <w:szCs w:val="17"/>
                <w:lang w:val="fr-FR"/>
              </w:rPr>
              <w:t>36</w:t>
            </w:r>
          </w:p>
        </w:tc>
        <w:tc>
          <w:tcPr>
            <w:tcW w:w="802"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35</w:t>
            </w:r>
          </w:p>
        </w:tc>
        <w:tc>
          <w:tcPr>
            <w:tcW w:w="854"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1</w:t>
            </w:r>
          </w:p>
        </w:tc>
      </w:tr>
      <w:tr w:rsidR="00FE11A8" w:rsidRPr="00CB5BF8">
        <w:tc>
          <w:tcPr>
            <w:tcW w:w="1908"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rPr>
                <w:b/>
                <w:bCs/>
                <w:sz w:val="17"/>
                <w:szCs w:val="17"/>
                <w:lang w:val="fr-FR"/>
              </w:rPr>
            </w:pPr>
            <w:r w:rsidRPr="00CB5BF8">
              <w:rPr>
                <w:b/>
                <w:bCs/>
                <w:sz w:val="17"/>
                <w:szCs w:val="17"/>
                <w:lang w:val="fr-FR"/>
              </w:rPr>
              <w:t>Vice-présidents d</w:t>
            </w:r>
            <w:r w:rsidR="000A3D87">
              <w:rPr>
                <w:b/>
                <w:bCs/>
                <w:sz w:val="17"/>
                <w:szCs w:val="17"/>
                <w:lang w:val="fr-FR"/>
              </w:rPr>
              <w:t>’</w:t>
            </w:r>
            <w:r w:rsidRPr="00CB5BF8">
              <w:rPr>
                <w:b/>
                <w:bCs/>
                <w:sz w:val="17"/>
                <w:szCs w:val="17"/>
                <w:lang w:val="fr-FR"/>
              </w:rPr>
              <w:t>Assemblées d</w:t>
            </w:r>
            <w:r w:rsidR="000A3D87">
              <w:rPr>
                <w:b/>
                <w:bCs/>
                <w:sz w:val="17"/>
                <w:szCs w:val="17"/>
                <w:lang w:val="fr-FR"/>
              </w:rPr>
              <w:t>’</w:t>
            </w:r>
            <w:r w:rsidRPr="00CB5BF8">
              <w:rPr>
                <w:b/>
                <w:bCs/>
                <w:sz w:val="17"/>
                <w:szCs w:val="17"/>
                <w:lang w:val="fr-FR"/>
              </w:rPr>
              <w:t>État</w:t>
            </w:r>
          </w:p>
        </w:tc>
        <w:tc>
          <w:tcPr>
            <w:tcW w:w="908"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b/>
                <w:bCs/>
                <w:sz w:val="17"/>
                <w:szCs w:val="17"/>
                <w:lang w:val="fr-FR"/>
              </w:rPr>
            </w:pPr>
            <w:r w:rsidRPr="00CB5BF8">
              <w:rPr>
                <w:b/>
                <w:bCs/>
                <w:sz w:val="17"/>
                <w:szCs w:val="17"/>
                <w:lang w:val="fr-FR"/>
              </w:rPr>
              <w:t>36</w:t>
            </w:r>
          </w:p>
        </w:tc>
        <w:tc>
          <w:tcPr>
            <w:tcW w:w="892"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36</w:t>
            </w:r>
          </w:p>
        </w:tc>
        <w:tc>
          <w:tcPr>
            <w:tcW w:w="900"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Néant</w:t>
            </w:r>
          </w:p>
        </w:tc>
        <w:tc>
          <w:tcPr>
            <w:tcW w:w="1080"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b/>
                <w:bCs/>
                <w:sz w:val="17"/>
                <w:szCs w:val="17"/>
                <w:lang w:val="fr-FR"/>
              </w:rPr>
            </w:pPr>
            <w:r w:rsidRPr="00CB5BF8">
              <w:rPr>
                <w:b/>
                <w:bCs/>
                <w:sz w:val="17"/>
                <w:szCs w:val="17"/>
                <w:lang w:val="fr-FR"/>
              </w:rPr>
              <w:t>36</w:t>
            </w:r>
          </w:p>
        </w:tc>
        <w:tc>
          <w:tcPr>
            <w:tcW w:w="900"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35</w:t>
            </w:r>
          </w:p>
        </w:tc>
        <w:tc>
          <w:tcPr>
            <w:tcW w:w="810"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1</w:t>
            </w:r>
          </w:p>
        </w:tc>
        <w:tc>
          <w:tcPr>
            <w:tcW w:w="908"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b/>
                <w:bCs/>
                <w:sz w:val="17"/>
                <w:szCs w:val="17"/>
                <w:lang w:val="fr-FR"/>
              </w:rPr>
            </w:pPr>
            <w:r w:rsidRPr="00CB5BF8">
              <w:rPr>
                <w:b/>
                <w:bCs/>
                <w:sz w:val="17"/>
                <w:szCs w:val="17"/>
                <w:lang w:val="fr-FR"/>
              </w:rPr>
              <w:t>36</w:t>
            </w:r>
          </w:p>
        </w:tc>
        <w:tc>
          <w:tcPr>
            <w:tcW w:w="802"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35</w:t>
            </w:r>
          </w:p>
        </w:tc>
        <w:tc>
          <w:tcPr>
            <w:tcW w:w="854"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1</w:t>
            </w:r>
          </w:p>
        </w:tc>
      </w:tr>
      <w:tr w:rsidR="00FE11A8" w:rsidRPr="00CB5BF8">
        <w:tc>
          <w:tcPr>
            <w:tcW w:w="1908"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rPr>
                <w:b/>
                <w:bCs/>
                <w:sz w:val="17"/>
                <w:szCs w:val="17"/>
                <w:lang w:val="fr-FR"/>
              </w:rPr>
            </w:pPr>
            <w:r w:rsidRPr="00CB5BF8">
              <w:rPr>
                <w:b/>
                <w:bCs/>
                <w:sz w:val="17"/>
                <w:szCs w:val="17"/>
                <w:lang w:val="fr-FR"/>
              </w:rPr>
              <w:t>Ministres</w:t>
            </w:r>
          </w:p>
        </w:tc>
        <w:tc>
          <w:tcPr>
            <w:tcW w:w="908"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b/>
                <w:bCs/>
                <w:sz w:val="17"/>
                <w:szCs w:val="17"/>
                <w:lang w:val="fr-FR"/>
              </w:rPr>
            </w:pPr>
            <w:r w:rsidRPr="00CB5BF8">
              <w:rPr>
                <w:b/>
                <w:bCs/>
                <w:sz w:val="17"/>
                <w:szCs w:val="17"/>
                <w:lang w:val="fr-FR"/>
              </w:rPr>
              <w:t>49</w:t>
            </w:r>
          </w:p>
        </w:tc>
        <w:tc>
          <w:tcPr>
            <w:tcW w:w="892"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45</w:t>
            </w:r>
          </w:p>
        </w:tc>
        <w:tc>
          <w:tcPr>
            <w:tcW w:w="900"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4</w:t>
            </w:r>
          </w:p>
        </w:tc>
        <w:tc>
          <w:tcPr>
            <w:tcW w:w="1080"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b/>
                <w:bCs/>
                <w:sz w:val="17"/>
                <w:szCs w:val="17"/>
                <w:lang w:val="fr-FR"/>
              </w:rPr>
            </w:pPr>
            <w:r w:rsidRPr="00CB5BF8">
              <w:rPr>
                <w:b/>
                <w:bCs/>
                <w:sz w:val="17"/>
                <w:szCs w:val="17"/>
                <w:lang w:val="fr-FR"/>
              </w:rPr>
              <w:t>49</w:t>
            </w:r>
          </w:p>
        </w:tc>
        <w:tc>
          <w:tcPr>
            <w:tcW w:w="900"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43</w:t>
            </w:r>
          </w:p>
        </w:tc>
        <w:tc>
          <w:tcPr>
            <w:tcW w:w="810"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8</w:t>
            </w:r>
          </w:p>
        </w:tc>
        <w:tc>
          <w:tcPr>
            <w:tcW w:w="908"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b/>
                <w:bCs/>
                <w:sz w:val="17"/>
                <w:szCs w:val="17"/>
                <w:lang w:val="fr-FR"/>
              </w:rPr>
            </w:pPr>
            <w:r w:rsidRPr="00CB5BF8">
              <w:rPr>
                <w:b/>
                <w:bCs/>
                <w:sz w:val="17"/>
                <w:szCs w:val="17"/>
                <w:lang w:val="fr-FR"/>
              </w:rPr>
              <w:t>49</w:t>
            </w:r>
          </w:p>
        </w:tc>
        <w:tc>
          <w:tcPr>
            <w:tcW w:w="802"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39</w:t>
            </w:r>
          </w:p>
        </w:tc>
        <w:tc>
          <w:tcPr>
            <w:tcW w:w="854"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10</w:t>
            </w:r>
          </w:p>
        </w:tc>
      </w:tr>
      <w:tr w:rsidR="00FE11A8" w:rsidRPr="00CB5BF8">
        <w:tc>
          <w:tcPr>
            <w:tcW w:w="1908"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rPr>
                <w:b/>
                <w:bCs/>
                <w:sz w:val="17"/>
                <w:szCs w:val="17"/>
                <w:lang w:val="fr-FR"/>
              </w:rPr>
            </w:pPr>
            <w:r w:rsidRPr="00CB5BF8">
              <w:rPr>
                <w:b/>
                <w:bCs/>
                <w:sz w:val="17"/>
                <w:szCs w:val="17"/>
                <w:lang w:val="fr-FR"/>
              </w:rPr>
              <w:t>Secrétaires permanents (Fédéral)</w:t>
            </w:r>
          </w:p>
        </w:tc>
        <w:tc>
          <w:tcPr>
            <w:tcW w:w="908"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b/>
                <w:bCs/>
                <w:sz w:val="17"/>
                <w:szCs w:val="17"/>
                <w:lang w:val="fr-FR"/>
              </w:rPr>
            </w:pPr>
            <w:r w:rsidRPr="00CB5BF8">
              <w:rPr>
                <w:b/>
                <w:bCs/>
                <w:sz w:val="17"/>
                <w:szCs w:val="17"/>
                <w:lang w:val="fr-FR"/>
              </w:rPr>
              <w:t>40</w:t>
            </w:r>
          </w:p>
        </w:tc>
        <w:tc>
          <w:tcPr>
            <w:tcW w:w="892"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32</w:t>
            </w:r>
          </w:p>
        </w:tc>
        <w:tc>
          <w:tcPr>
            <w:tcW w:w="900"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8</w:t>
            </w:r>
          </w:p>
        </w:tc>
        <w:tc>
          <w:tcPr>
            <w:tcW w:w="1080"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b/>
                <w:bCs/>
                <w:sz w:val="17"/>
                <w:szCs w:val="17"/>
                <w:lang w:val="fr-FR"/>
              </w:rPr>
            </w:pPr>
            <w:r w:rsidRPr="00CB5BF8">
              <w:rPr>
                <w:b/>
                <w:bCs/>
                <w:sz w:val="17"/>
                <w:szCs w:val="17"/>
                <w:lang w:val="fr-FR"/>
              </w:rPr>
              <w:t>40</w:t>
            </w:r>
          </w:p>
        </w:tc>
        <w:tc>
          <w:tcPr>
            <w:tcW w:w="900"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28</w:t>
            </w:r>
          </w:p>
        </w:tc>
        <w:tc>
          <w:tcPr>
            <w:tcW w:w="810"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12</w:t>
            </w:r>
          </w:p>
        </w:tc>
        <w:tc>
          <w:tcPr>
            <w:tcW w:w="908"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b/>
                <w:bCs/>
                <w:sz w:val="17"/>
                <w:szCs w:val="17"/>
                <w:lang w:val="fr-FR"/>
              </w:rPr>
            </w:pPr>
            <w:r w:rsidRPr="00CB5BF8">
              <w:rPr>
                <w:b/>
                <w:bCs/>
                <w:sz w:val="17"/>
                <w:szCs w:val="17"/>
                <w:lang w:val="fr-FR"/>
              </w:rPr>
              <w:t>40</w:t>
            </w:r>
          </w:p>
        </w:tc>
        <w:tc>
          <w:tcPr>
            <w:tcW w:w="802"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27</w:t>
            </w:r>
          </w:p>
        </w:tc>
        <w:tc>
          <w:tcPr>
            <w:tcW w:w="854"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13</w:t>
            </w:r>
          </w:p>
        </w:tc>
      </w:tr>
      <w:tr w:rsidR="00FE11A8" w:rsidRPr="00CB5BF8">
        <w:tc>
          <w:tcPr>
            <w:tcW w:w="1908"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rPr>
                <w:b/>
                <w:bCs/>
                <w:sz w:val="17"/>
                <w:szCs w:val="17"/>
                <w:lang w:val="fr-FR"/>
              </w:rPr>
            </w:pPr>
            <w:r w:rsidRPr="00CB5BF8">
              <w:rPr>
                <w:b/>
                <w:bCs/>
                <w:sz w:val="17"/>
                <w:szCs w:val="17"/>
                <w:lang w:val="fr-FR"/>
              </w:rPr>
              <w:t>Conseillers spéciaux</w:t>
            </w:r>
          </w:p>
        </w:tc>
        <w:tc>
          <w:tcPr>
            <w:tcW w:w="908"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b/>
                <w:bCs/>
                <w:sz w:val="17"/>
                <w:szCs w:val="17"/>
                <w:lang w:val="fr-FR"/>
              </w:rPr>
            </w:pPr>
          </w:p>
        </w:tc>
        <w:tc>
          <w:tcPr>
            <w:tcW w:w="892"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p>
        </w:tc>
        <w:tc>
          <w:tcPr>
            <w:tcW w:w="900"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p>
        </w:tc>
        <w:tc>
          <w:tcPr>
            <w:tcW w:w="1080"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b/>
                <w:bCs/>
                <w:sz w:val="17"/>
                <w:szCs w:val="17"/>
                <w:lang w:val="fr-FR"/>
              </w:rPr>
            </w:pPr>
          </w:p>
        </w:tc>
        <w:tc>
          <w:tcPr>
            <w:tcW w:w="900"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p>
        </w:tc>
        <w:tc>
          <w:tcPr>
            <w:tcW w:w="810"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p>
        </w:tc>
        <w:tc>
          <w:tcPr>
            <w:tcW w:w="908"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b/>
                <w:bCs/>
                <w:sz w:val="17"/>
                <w:szCs w:val="17"/>
                <w:lang w:val="fr-FR"/>
              </w:rPr>
            </w:pPr>
            <w:r w:rsidRPr="00CB5BF8">
              <w:rPr>
                <w:b/>
                <w:bCs/>
                <w:sz w:val="17"/>
                <w:szCs w:val="17"/>
                <w:lang w:val="fr-FR"/>
              </w:rPr>
              <w:t>20</w:t>
            </w:r>
          </w:p>
        </w:tc>
        <w:tc>
          <w:tcPr>
            <w:tcW w:w="802"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18</w:t>
            </w:r>
          </w:p>
        </w:tc>
        <w:tc>
          <w:tcPr>
            <w:tcW w:w="854"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2</w:t>
            </w:r>
          </w:p>
        </w:tc>
      </w:tr>
      <w:tr w:rsidR="00FE11A8" w:rsidRPr="00CB5BF8">
        <w:tc>
          <w:tcPr>
            <w:tcW w:w="1908"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rPr>
                <w:b/>
                <w:bCs/>
                <w:sz w:val="17"/>
                <w:szCs w:val="17"/>
                <w:lang w:val="fr-FR"/>
              </w:rPr>
            </w:pPr>
            <w:r w:rsidRPr="00CB5BF8">
              <w:rPr>
                <w:b/>
                <w:bCs/>
                <w:sz w:val="17"/>
                <w:szCs w:val="17"/>
                <w:lang w:val="fr-FR"/>
              </w:rPr>
              <w:t>Assistants spéciaux principaux</w:t>
            </w:r>
          </w:p>
        </w:tc>
        <w:tc>
          <w:tcPr>
            <w:tcW w:w="908"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b/>
                <w:bCs/>
                <w:sz w:val="17"/>
                <w:szCs w:val="17"/>
                <w:lang w:val="fr-FR"/>
              </w:rPr>
            </w:pPr>
          </w:p>
        </w:tc>
        <w:tc>
          <w:tcPr>
            <w:tcW w:w="892"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p>
        </w:tc>
        <w:tc>
          <w:tcPr>
            <w:tcW w:w="900"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p>
        </w:tc>
        <w:tc>
          <w:tcPr>
            <w:tcW w:w="1080"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b/>
                <w:bCs/>
                <w:sz w:val="17"/>
                <w:szCs w:val="17"/>
                <w:lang w:val="fr-FR"/>
              </w:rPr>
            </w:pPr>
          </w:p>
        </w:tc>
        <w:tc>
          <w:tcPr>
            <w:tcW w:w="900"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p>
        </w:tc>
        <w:tc>
          <w:tcPr>
            <w:tcW w:w="810"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p>
        </w:tc>
        <w:tc>
          <w:tcPr>
            <w:tcW w:w="908"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b/>
                <w:bCs/>
                <w:sz w:val="17"/>
                <w:szCs w:val="17"/>
                <w:lang w:val="fr-FR"/>
              </w:rPr>
            </w:pPr>
          </w:p>
        </w:tc>
        <w:tc>
          <w:tcPr>
            <w:tcW w:w="802"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p>
        </w:tc>
        <w:tc>
          <w:tcPr>
            <w:tcW w:w="854"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p>
        </w:tc>
      </w:tr>
      <w:tr w:rsidR="00FE11A8" w:rsidRPr="00CB5BF8">
        <w:tc>
          <w:tcPr>
            <w:tcW w:w="1908"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rPr>
                <w:b/>
                <w:bCs/>
                <w:sz w:val="17"/>
                <w:szCs w:val="17"/>
                <w:lang w:val="fr-FR"/>
              </w:rPr>
            </w:pPr>
            <w:r w:rsidRPr="00CB5BF8">
              <w:rPr>
                <w:b/>
                <w:bCs/>
                <w:sz w:val="17"/>
                <w:szCs w:val="17"/>
                <w:lang w:val="fr-FR"/>
              </w:rPr>
              <w:t>Présidents de collectivités territoriales</w:t>
            </w:r>
          </w:p>
        </w:tc>
        <w:tc>
          <w:tcPr>
            <w:tcW w:w="908"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b/>
                <w:bCs/>
                <w:sz w:val="17"/>
                <w:szCs w:val="17"/>
                <w:lang w:val="fr-FR"/>
              </w:rPr>
            </w:pPr>
            <w:r w:rsidRPr="00CB5BF8">
              <w:rPr>
                <w:b/>
                <w:bCs/>
                <w:sz w:val="17"/>
                <w:szCs w:val="17"/>
                <w:lang w:val="fr-FR"/>
              </w:rPr>
              <w:t>774</w:t>
            </w:r>
          </w:p>
        </w:tc>
        <w:tc>
          <w:tcPr>
            <w:tcW w:w="892"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p>
        </w:tc>
        <w:tc>
          <w:tcPr>
            <w:tcW w:w="900"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p>
        </w:tc>
        <w:tc>
          <w:tcPr>
            <w:tcW w:w="1080"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b/>
                <w:bCs/>
                <w:sz w:val="17"/>
                <w:szCs w:val="17"/>
                <w:lang w:val="fr-FR"/>
              </w:rPr>
            </w:pPr>
            <w:r w:rsidRPr="00CB5BF8">
              <w:rPr>
                <w:b/>
                <w:bCs/>
                <w:sz w:val="17"/>
                <w:szCs w:val="17"/>
                <w:lang w:val="fr-FR"/>
              </w:rPr>
              <w:t>774</w:t>
            </w:r>
          </w:p>
        </w:tc>
        <w:tc>
          <w:tcPr>
            <w:tcW w:w="900"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p>
        </w:tc>
        <w:tc>
          <w:tcPr>
            <w:tcW w:w="810"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9</w:t>
            </w:r>
          </w:p>
        </w:tc>
        <w:tc>
          <w:tcPr>
            <w:tcW w:w="908"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b/>
                <w:bCs/>
                <w:sz w:val="17"/>
                <w:szCs w:val="17"/>
                <w:lang w:val="fr-FR"/>
              </w:rPr>
            </w:pPr>
          </w:p>
        </w:tc>
        <w:tc>
          <w:tcPr>
            <w:tcW w:w="802"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p>
        </w:tc>
        <w:tc>
          <w:tcPr>
            <w:tcW w:w="854" w:type="dxa"/>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11</w:t>
            </w:r>
          </w:p>
        </w:tc>
      </w:tr>
      <w:tr w:rsidR="00FE11A8" w:rsidRPr="00CB5BF8">
        <w:tc>
          <w:tcPr>
            <w:tcW w:w="1908" w:type="dxa"/>
            <w:tcBorders>
              <w:bottom w:val="single" w:sz="12" w:space="0" w:color="auto"/>
            </w:tcBorders>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rPr>
                <w:b/>
                <w:bCs/>
                <w:sz w:val="17"/>
                <w:szCs w:val="17"/>
                <w:lang w:val="fr-FR"/>
              </w:rPr>
            </w:pPr>
            <w:r w:rsidRPr="00CB5BF8">
              <w:rPr>
                <w:b/>
                <w:bCs/>
                <w:sz w:val="17"/>
                <w:szCs w:val="17"/>
                <w:lang w:val="fr-FR"/>
              </w:rPr>
              <w:t>Conseillers</w:t>
            </w:r>
          </w:p>
        </w:tc>
        <w:tc>
          <w:tcPr>
            <w:tcW w:w="908" w:type="dxa"/>
            <w:tcBorders>
              <w:bottom w:val="single" w:sz="12" w:space="0" w:color="auto"/>
            </w:tcBorders>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b/>
                <w:bCs/>
                <w:sz w:val="17"/>
                <w:szCs w:val="17"/>
                <w:lang w:val="fr-FR"/>
              </w:rPr>
            </w:pPr>
            <w:r w:rsidRPr="00CB5BF8">
              <w:rPr>
                <w:b/>
                <w:bCs/>
                <w:sz w:val="17"/>
                <w:szCs w:val="17"/>
                <w:lang w:val="fr-FR"/>
              </w:rPr>
              <w:t>8 953</w:t>
            </w:r>
          </w:p>
        </w:tc>
        <w:tc>
          <w:tcPr>
            <w:tcW w:w="892" w:type="dxa"/>
            <w:tcBorders>
              <w:bottom w:val="single" w:sz="12" w:space="0" w:color="auto"/>
            </w:tcBorders>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p>
        </w:tc>
        <w:tc>
          <w:tcPr>
            <w:tcW w:w="900" w:type="dxa"/>
            <w:tcBorders>
              <w:bottom w:val="single" w:sz="12" w:space="0" w:color="auto"/>
            </w:tcBorders>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p>
        </w:tc>
        <w:tc>
          <w:tcPr>
            <w:tcW w:w="1080" w:type="dxa"/>
            <w:tcBorders>
              <w:bottom w:val="single" w:sz="12" w:space="0" w:color="auto"/>
            </w:tcBorders>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b/>
                <w:bCs/>
                <w:sz w:val="17"/>
                <w:szCs w:val="17"/>
                <w:lang w:val="fr-FR"/>
              </w:rPr>
            </w:pPr>
          </w:p>
        </w:tc>
        <w:tc>
          <w:tcPr>
            <w:tcW w:w="900" w:type="dxa"/>
            <w:tcBorders>
              <w:bottom w:val="single" w:sz="12" w:space="0" w:color="auto"/>
            </w:tcBorders>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8 810</w:t>
            </w:r>
          </w:p>
        </w:tc>
        <w:tc>
          <w:tcPr>
            <w:tcW w:w="810" w:type="dxa"/>
            <w:tcBorders>
              <w:bottom w:val="single" w:sz="12" w:space="0" w:color="auto"/>
            </w:tcBorders>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r w:rsidRPr="00CB5BF8">
              <w:rPr>
                <w:sz w:val="17"/>
                <w:szCs w:val="17"/>
                <w:lang w:val="fr-FR"/>
              </w:rPr>
              <w:t>143</w:t>
            </w:r>
          </w:p>
        </w:tc>
        <w:tc>
          <w:tcPr>
            <w:tcW w:w="908" w:type="dxa"/>
            <w:tcBorders>
              <w:bottom w:val="single" w:sz="12" w:space="0" w:color="auto"/>
            </w:tcBorders>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b/>
                <w:bCs/>
                <w:sz w:val="17"/>
                <w:szCs w:val="17"/>
                <w:lang w:val="fr-FR"/>
              </w:rPr>
            </w:pPr>
          </w:p>
        </w:tc>
        <w:tc>
          <w:tcPr>
            <w:tcW w:w="802" w:type="dxa"/>
            <w:tcBorders>
              <w:bottom w:val="single" w:sz="12" w:space="0" w:color="auto"/>
            </w:tcBorders>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p>
        </w:tc>
        <w:tc>
          <w:tcPr>
            <w:tcW w:w="854" w:type="dxa"/>
            <w:tcBorders>
              <w:bottom w:val="single" w:sz="12" w:space="0" w:color="auto"/>
            </w:tcBorders>
            <w:shd w:val="clear" w:color="auto" w:fill="auto"/>
            <w:vAlign w:val="bottom"/>
          </w:tcPr>
          <w:p w:rsidR="00E15507" w:rsidRPr="00CB5BF8" w:rsidRDefault="00E15507" w:rsidP="00CB5BF8">
            <w:pPr>
              <w:shd w:val="clear" w:color="auto" w:fill="D9D9D9"/>
              <w:tabs>
                <w:tab w:val="left" w:pos="288"/>
                <w:tab w:val="left" w:pos="576"/>
                <w:tab w:val="left" w:pos="864"/>
                <w:tab w:val="left" w:pos="1152"/>
              </w:tabs>
              <w:suppressAutoHyphens/>
              <w:spacing w:before="40" w:after="40" w:line="210" w:lineRule="exact"/>
              <w:ind w:right="43"/>
              <w:jc w:val="right"/>
              <w:rPr>
                <w:sz w:val="17"/>
                <w:szCs w:val="17"/>
                <w:lang w:val="fr-FR"/>
              </w:rPr>
            </w:pPr>
          </w:p>
        </w:tc>
      </w:tr>
    </w:tbl>
    <w:p w:rsidR="00BC2C76" w:rsidRPr="00BC2C76" w:rsidRDefault="00BC2C76" w:rsidP="00BC2C76">
      <w:pPr>
        <w:shd w:val="clear" w:color="auto" w:fill="D9D9D9"/>
        <w:spacing w:line="120" w:lineRule="exact"/>
        <w:rPr>
          <w:b/>
          <w:bCs/>
          <w:sz w:val="10"/>
          <w:lang w:val="fr-FR"/>
        </w:rPr>
      </w:pPr>
    </w:p>
    <w:p w:rsidR="00E15507" w:rsidRPr="00BC2C76" w:rsidRDefault="00E15507" w:rsidP="00BC2C76">
      <w:pPr>
        <w:shd w:val="clear" w:color="auto" w:fill="D9D9D9"/>
        <w:spacing w:after="120"/>
        <w:rPr>
          <w:sz w:val="17"/>
          <w:szCs w:val="17"/>
          <w:lang w:val="fr-FR"/>
        </w:rPr>
      </w:pPr>
      <w:r w:rsidRPr="00BC2C76">
        <w:rPr>
          <w:b/>
          <w:bCs/>
          <w:sz w:val="17"/>
          <w:szCs w:val="17"/>
          <w:lang w:val="fr-FR"/>
        </w:rPr>
        <w:t xml:space="preserve">Note: </w:t>
      </w:r>
      <w:r w:rsidRPr="00BC2C76">
        <w:rPr>
          <w:sz w:val="17"/>
          <w:szCs w:val="17"/>
          <w:lang w:val="fr-FR"/>
        </w:rPr>
        <w:t>Le tableau montre une augmentation sensible des nominations de femmes, par exemple on a enregistré des progrès dans la nomination de femmes au poste de Vice-gouverneur à la suite de l</w:t>
      </w:r>
      <w:r w:rsidR="000A3D87">
        <w:rPr>
          <w:sz w:val="17"/>
          <w:szCs w:val="17"/>
          <w:lang w:val="fr-FR"/>
        </w:rPr>
        <w:t>’</w:t>
      </w:r>
      <w:r w:rsidRPr="00BC2C76">
        <w:rPr>
          <w:sz w:val="17"/>
          <w:szCs w:val="17"/>
          <w:lang w:val="fr-FR"/>
        </w:rPr>
        <w:t>amélioration du climat politique</w:t>
      </w:r>
    </w:p>
    <w:p w:rsidR="00E15507" w:rsidRPr="00BC2C76" w:rsidRDefault="00E15507" w:rsidP="00E15507">
      <w:pPr>
        <w:spacing w:line="480" w:lineRule="auto"/>
        <w:rPr>
          <w:sz w:val="17"/>
          <w:szCs w:val="17"/>
          <w:lang w:val="fr-FR"/>
        </w:rPr>
      </w:pPr>
      <w:r w:rsidRPr="00BC2C76">
        <w:rPr>
          <w:i/>
          <w:sz w:val="17"/>
          <w:szCs w:val="17"/>
          <w:lang w:val="fr-FR"/>
        </w:rPr>
        <w:t>Source</w:t>
      </w:r>
      <w:r w:rsidRPr="00BC2C76">
        <w:rPr>
          <w:sz w:val="17"/>
          <w:szCs w:val="17"/>
          <w:lang w:val="fr-FR"/>
        </w:rPr>
        <w:t> :</w:t>
      </w:r>
      <w:r w:rsidR="00D17E6C" w:rsidRPr="00BC2C76">
        <w:rPr>
          <w:sz w:val="17"/>
          <w:szCs w:val="17"/>
          <w:lang w:val="fr-FR"/>
        </w:rPr>
        <w:t xml:space="preserve"> – </w:t>
      </w:r>
      <w:r w:rsidRPr="00BC2C76">
        <w:rPr>
          <w:sz w:val="17"/>
          <w:szCs w:val="17"/>
          <w:lang w:val="fr-FR"/>
        </w:rPr>
        <w:t>Enquête de terrain, CEDAW 2006</w:t>
      </w:r>
    </w:p>
    <w:p w:rsidR="00E15507" w:rsidRDefault="00BC2C76" w:rsidP="00BC2C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E15507" w:rsidRPr="005D6CD4">
        <w:rPr>
          <w:lang w:val="fr-FR"/>
        </w:rPr>
        <w:t xml:space="preserve">7.4 </w:t>
      </w:r>
      <w:r>
        <w:rPr>
          <w:lang w:val="fr-FR"/>
        </w:rPr>
        <w:tab/>
      </w:r>
      <w:r w:rsidR="00E15507" w:rsidRPr="005D6CD4">
        <w:rPr>
          <w:lang w:val="fr-FR"/>
        </w:rPr>
        <w:t>Actions en cours pour l</w:t>
      </w:r>
      <w:r w:rsidR="000A3D87">
        <w:rPr>
          <w:lang w:val="fr-FR"/>
        </w:rPr>
        <w:t>’</w:t>
      </w:r>
      <w:r w:rsidR="00E15507" w:rsidRPr="005D6CD4">
        <w:rPr>
          <w:lang w:val="fr-FR"/>
        </w:rPr>
        <w:t>amélioration de la participation des femmes à la vie politique et publique</w:t>
      </w:r>
    </w:p>
    <w:p w:rsidR="00BC2C76" w:rsidRPr="00BC2C76" w:rsidRDefault="00BC2C76" w:rsidP="00BC2C76">
      <w:pPr>
        <w:pStyle w:val="SingleTxt"/>
        <w:spacing w:after="0" w:line="120" w:lineRule="exact"/>
        <w:rPr>
          <w:sz w:val="10"/>
          <w:lang w:val="fr-FR"/>
        </w:rPr>
      </w:pPr>
    </w:p>
    <w:p w:rsidR="00E15507" w:rsidRPr="005D6CD4" w:rsidRDefault="00E15507" w:rsidP="00740CA4">
      <w:pPr>
        <w:pStyle w:val="SingleTxt"/>
        <w:rPr>
          <w:lang w:val="fr-FR"/>
        </w:rPr>
      </w:pPr>
      <w:r w:rsidRPr="005D6CD4">
        <w:rPr>
          <w:lang w:val="fr-FR"/>
        </w:rPr>
        <w:t xml:space="preserve">7.4.1 </w:t>
      </w:r>
      <w:r w:rsidR="00BC2C76">
        <w:rPr>
          <w:lang w:val="fr-FR"/>
        </w:rPr>
        <w:t xml:space="preserve"> </w:t>
      </w:r>
      <w:r w:rsidRPr="005D6CD4">
        <w:rPr>
          <w:lang w:val="fr-FR"/>
        </w:rPr>
        <w:t>Les efforts actuels entrepris par les structures gouvernementales de promotion des femmes en vue d</w:t>
      </w:r>
      <w:r>
        <w:rPr>
          <w:lang w:val="fr-FR"/>
        </w:rPr>
        <w:t xml:space="preserve">e sensibiliser </w:t>
      </w:r>
      <w:r w:rsidRPr="005D6CD4">
        <w:rPr>
          <w:lang w:val="fr-FR"/>
        </w:rPr>
        <w:t>l</w:t>
      </w:r>
      <w:r w:rsidR="000A3D87">
        <w:rPr>
          <w:lang w:val="fr-FR"/>
        </w:rPr>
        <w:t>’</w:t>
      </w:r>
      <w:r w:rsidRPr="005D6CD4">
        <w:rPr>
          <w:lang w:val="fr-FR"/>
        </w:rPr>
        <w:t xml:space="preserve">INEC et les partis politiques à </w:t>
      </w:r>
      <w:r>
        <w:rPr>
          <w:lang w:val="fr-FR"/>
        </w:rPr>
        <w:t>la nécessité d</w:t>
      </w:r>
      <w:r w:rsidR="000A3D87">
        <w:rPr>
          <w:lang w:val="fr-FR"/>
        </w:rPr>
        <w:t>’</w:t>
      </w:r>
      <w:r w:rsidRPr="005D6CD4">
        <w:rPr>
          <w:lang w:val="fr-FR"/>
        </w:rPr>
        <w:t>une participation accrue des femmes à la vie politique au cours des élections 2007. Le 22 mai 2006, l</w:t>
      </w:r>
      <w:r>
        <w:rPr>
          <w:lang w:val="fr-FR"/>
        </w:rPr>
        <w:t xml:space="preserve">a </w:t>
      </w:r>
      <w:r w:rsidRPr="005D6CD4">
        <w:rPr>
          <w:lang w:val="fr-FR"/>
        </w:rPr>
        <w:t xml:space="preserve">Ministre de la </w:t>
      </w:r>
      <w:r>
        <w:rPr>
          <w:lang w:val="fr-FR"/>
        </w:rPr>
        <w:t>C</w:t>
      </w:r>
      <w:r w:rsidRPr="005D6CD4">
        <w:rPr>
          <w:lang w:val="fr-FR"/>
        </w:rPr>
        <w:t xml:space="preserve">ondition </w:t>
      </w:r>
      <w:r>
        <w:rPr>
          <w:lang w:val="fr-FR"/>
        </w:rPr>
        <w:t xml:space="preserve">de la femme </w:t>
      </w:r>
      <w:r w:rsidRPr="005D6CD4">
        <w:rPr>
          <w:lang w:val="fr-FR"/>
        </w:rPr>
        <w:t>a organisé une réunion avec les femmes leaders d</w:t>
      </w:r>
      <w:r w:rsidR="000A3D87">
        <w:rPr>
          <w:lang w:val="fr-FR"/>
        </w:rPr>
        <w:t>’</w:t>
      </w:r>
      <w:r w:rsidRPr="005D6CD4">
        <w:rPr>
          <w:lang w:val="fr-FR"/>
        </w:rPr>
        <w:t>opinion provenan</w:t>
      </w:r>
      <w:r>
        <w:rPr>
          <w:lang w:val="fr-FR"/>
        </w:rPr>
        <w:t xml:space="preserve">t des quatre coins du </w:t>
      </w:r>
      <w:r w:rsidRPr="005D6CD4">
        <w:rPr>
          <w:lang w:val="fr-FR"/>
        </w:rPr>
        <w:t>pays pour élaborer les stratégies d</w:t>
      </w:r>
      <w:r w:rsidR="000A3D87">
        <w:rPr>
          <w:lang w:val="fr-FR"/>
        </w:rPr>
        <w:t>’</w:t>
      </w:r>
      <w:r w:rsidRPr="005D6CD4">
        <w:rPr>
          <w:lang w:val="fr-FR"/>
        </w:rPr>
        <w:t xml:space="preserve">action. </w:t>
      </w:r>
    </w:p>
    <w:p w:rsidR="00E15507" w:rsidRPr="005D6CD4" w:rsidRDefault="00BC2C76" w:rsidP="00740CA4">
      <w:pPr>
        <w:pStyle w:val="SingleTxt"/>
        <w:rPr>
          <w:lang w:val="fr-FR"/>
        </w:rPr>
      </w:pPr>
      <w:r>
        <w:rPr>
          <w:lang w:val="fr-FR"/>
        </w:rPr>
        <w:tab/>
      </w:r>
      <w:r w:rsidR="00E15507" w:rsidRPr="005D6CD4">
        <w:rPr>
          <w:lang w:val="fr-FR"/>
        </w:rPr>
        <w:t xml:space="preserve">Parmi les autres initiatives on peut citer : </w:t>
      </w:r>
    </w:p>
    <w:p w:rsidR="00E15507" w:rsidRPr="005D6CD4" w:rsidRDefault="00E15507" w:rsidP="009546E1">
      <w:pPr>
        <w:pStyle w:val="SingleTxt"/>
        <w:numPr>
          <w:ilvl w:val="0"/>
          <w:numId w:val="22"/>
        </w:numPr>
        <w:tabs>
          <w:tab w:val="clear" w:pos="1742"/>
          <w:tab w:val="clear" w:pos="1987"/>
          <w:tab w:val="left" w:pos="1800"/>
        </w:tabs>
        <w:ind w:left="1800" w:hanging="540"/>
        <w:rPr>
          <w:lang w:val="fr-FR"/>
        </w:rPr>
      </w:pPr>
      <w:r w:rsidRPr="005D6CD4">
        <w:rPr>
          <w:lang w:val="fr-FR"/>
        </w:rPr>
        <w:t xml:space="preserve">La création des </w:t>
      </w:r>
      <w:r>
        <w:rPr>
          <w:lang w:val="fr-FR"/>
        </w:rPr>
        <w:t xml:space="preserve">bureaux de démarginalisation politique des femmes </w:t>
      </w:r>
      <w:r w:rsidRPr="005D6CD4">
        <w:rPr>
          <w:lang w:val="fr-FR"/>
        </w:rPr>
        <w:t xml:space="preserve">dans les six zones géopolitiques de la Fédération afin de </w:t>
      </w:r>
      <w:r>
        <w:rPr>
          <w:lang w:val="fr-FR"/>
        </w:rPr>
        <w:t xml:space="preserve">consolider les </w:t>
      </w:r>
      <w:r w:rsidRPr="005D6CD4">
        <w:rPr>
          <w:lang w:val="fr-FR"/>
        </w:rPr>
        <w:t>efforts de mobilisation.</w:t>
      </w:r>
    </w:p>
    <w:p w:rsidR="00E15507" w:rsidRPr="005D6CD4" w:rsidRDefault="00E15507" w:rsidP="009546E1">
      <w:pPr>
        <w:pStyle w:val="SingleTxt"/>
        <w:numPr>
          <w:ilvl w:val="0"/>
          <w:numId w:val="22"/>
        </w:numPr>
        <w:tabs>
          <w:tab w:val="clear" w:pos="1742"/>
          <w:tab w:val="clear" w:pos="1987"/>
          <w:tab w:val="left" w:pos="1800"/>
        </w:tabs>
        <w:ind w:left="1800" w:hanging="540"/>
        <w:rPr>
          <w:lang w:val="fr-FR"/>
        </w:rPr>
      </w:pPr>
      <w:r w:rsidRPr="005D6CD4">
        <w:rPr>
          <w:lang w:val="fr-FR"/>
        </w:rPr>
        <w:t>Renforcement des structures chargées de</w:t>
      </w:r>
      <w:r>
        <w:rPr>
          <w:lang w:val="fr-FR"/>
        </w:rPr>
        <w:t>s</w:t>
      </w:r>
      <w:r w:rsidRPr="005D6CD4">
        <w:rPr>
          <w:lang w:val="fr-FR"/>
        </w:rPr>
        <w:t xml:space="preserve"> questions féminines avec des moyens financiers et humains en vue d</w:t>
      </w:r>
      <w:r w:rsidR="000A3D87">
        <w:rPr>
          <w:lang w:val="fr-FR"/>
        </w:rPr>
        <w:t>’</w:t>
      </w:r>
      <w:r w:rsidRPr="005D6CD4">
        <w:rPr>
          <w:lang w:val="fr-FR"/>
        </w:rPr>
        <w:t>améliorer leur performance et leur efficacité.</w:t>
      </w:r>
    </w:p>
    <w:p w:rsidR="00E15507" w:rsidRPr="005D6CD4" w:rsidRDefault="00E15507" w:rsidP="009546E1">
      <w:pPr>
        <w:pStyle w:val="SingleTxt"/>
        <w:numPr>
          <w:ilvl w:val="0"/>
          <w:numId w:val="22"/>
        </w:numPr>
        <w:tabs>
          <w:tab w:val="clear" w:pos="1742"/>
          <w:tab w:val="clear" w:pos="1987"/>
          <w:tab w:val="left" w:pos="1800"/>
        </w:tabs>
        <w:ind w:left="1800" w:hanging="540"/>
        <w:rPr>
          <w:lang w:val="fr-FR"/>
        </w:rPr>
      </w:pPr>
      <w:r w:rsidRPr="005D6CD4">
        <w:rPr>
          <w:lang w:val="fr-FR"/>
        </w:rPr>
        <w:t>Des visites de plaidoyer de l</w:t>
      </w:r>
      <w:r>
        <w:rPr>
          <w:lang w:val="fr-FR"/>
        </w:rPr>
        <w:t xml:space="preserve">a </w:t>
      </w:r>
      <w:r w:rsidRPr="005D6CD4">
        <w:rPr>
          <w:lang w:val="fr-FR"/>
        </w:rPr>
        <w:t xml:space="preserve">Ministre de la </w:t>
      </w:r>
      <w:r>
        <w:rPr>
          <w:lang w:val="fr-FR"/>
        </w:rPr>
        <w:t>C</w:t>
      </w:r>
      <w:r w:rsidRPr="005D6CD4">
        <w:rPr>
          <w:lang w:val="fr-FR"/>
        </w:rPr>
        <w:t xml:space="preserve">ondition </w:t>
      </w:r>
      <w:r>
        <w:rPr>
          <w:lang w:val="fr-FR"/>
        </w:rPr>
        <w:t>de la femme</w:t>
      </w:r>
      <w:r w:rsidRPr="005D6CD4">
        <w:rPr>
          <w:lang w:val="fr-FR"/>
        </w:rPr>
        <w:t xml:space="preserve"> dans les </w:t>
      </w:r>
      <w:r>
        <w:rPr>
          <w:lang w:val="fr-FR"/>
        </w:rPr>
        <w:t>É</w:t>
      </w:r>
      <w:r w:rsidRPr="005D6CD4">
        <w:rPr>
          <w:lang w:val="fr-FR"/>
        </w:rPr>
        <w:t xml:space="preserve">tats pour accélérer la collaboration avec les </w:t>
      </w:r>
      <w:r>
        <w:rPr>
          <w:lang w:val="fr-FR"/>
        </w:rPr>
        <w:t>G</w:t>
      </w:r>
      <w:r w:rsidRPr="005D6CD4">
        <w:rPr>
          <w:lang w:val="fr-FR"/>
        </w:rPr>
        <w:t>ouvernements d</w:t>
      </w:r>
      <w:r>
        <w:rPr>
          <w:lang w:val="fr-FR"/>
        </w:rPr>
        <w:t>es É</w:t>
      </w:r>
      <w:r w:rsidRPr="005D6CD4">
        <w:rPr>
          <w:lang w:val="fr-FR"/>
        </w:rPr>
        <w:t>tat</w:t>
      </w:r>
      <w:r>
        <w:rPr>
          <w:lang w:val="fr-FR"/>
        </w:rPr>
        <w:t>s</w:t>
      </w:r>
      <w:r w:rsidRPr="005D6CD4">
        <w:rPr>
          <w:lang w:val="fr-FR"/>
        </w:rPr>
        <w:t xml:space="preserve"> sur les questions </w:t>
      </w:r>
      <w:r>
        <w:rPr>
          <w:lang w:val="fr-FR"/>
        </w:rPr>
        <w:t>concernant les femmes et les enfants</w:t>
      </w:r>
      <w:r w:rsidR="00D17E6C">
        <w:rPr>
          <w:lang w:val="fr-FR"/>
        </w:rPr>
        <w:t>;</w:t>
      </w:r>
      <w:r>
        <w:rPr>
          <w:lang w:val="fr-FR"/>
        </w:rPr>
        <w:t xml:space="preserve"> </w:t>
      </w:r>
      <w:r w:rsidRPr="005D6CD4">
        <w:rPr>
          <w:lang w:val="fr-FR"/>
        </w:rPr>
        <w:t>particulièrement l</w:t>
      </w:r>
      <w:r w:rsidR="000A3D87">
        <w:rPr>
          <w:lang w:val="fr-FR"/>
        </w:rPr>
        <w:t>’</w:t>
      </w:r>
      <w:r w:rsidRPr="005D6CD4">
        <w:rPr>
          <w:lang w:val="fr-FR"/>
        </w:rPr>
        <w:t>intégration de la Convention à la législation</w:t>
      </w:r>
      <w:r>
        <w:rPr>
          <w:lang w:val="fr-FR"/>
        </w:rPr>
        <w:t xml:space="preserve"> nationale</w:t>
      </w:r>
      <w:r w:rsidRPr="005D6CD4">
        <w:rPr>
          <w:lang w:val="fr-FR"/>
        </w:rPr>
        <w:t>, le vote de la Loi sur les droits de l</w:t>
      </w:r>
      <w:r w:rsidR="000A3D87">
        <w:rPr>
          <w:lang w:val="fr-FR"/>
        </w:rPr>
        <w:t>’</w:t>
      </w:r>
      <w:r>
        <w:rPr>
          <w:lang w:val="fr-FR"/>
        </w:rPr>
        <w:t>e</w:t>
      </w:r>
      <w:r w:rsidRPr="005D6CD4">
        <w:rPr>
          <w:lang w:val="fr-FR"/>
        </w:rPr>
        <w:t xml:space="preserve">nfant et </w:t>
      </w:r>
      <w:r>
        <w:rPr>
          <w:lang w:val="fr-FR"/>
        </w:rPr>
        <w:t>l</w:t>
      </w:r>
      <w:r w:rsidR="000A3D87">
        <w:rPr>
          <w:lang w:val="fr-FR"/>
        </w:rPr>
        <w:t>’</w:t>
      </w:r>
      <w:r w:rsidRPr="005D6CD4">
        <w:rPr>
          <w:lang w:val="fr-FR"/>
        </w:rPr>
        <w:t>a</w:t>
      </w:r>
      <w:r>
        <w:rPr>
          <w:lang w:val="fr-FR"/>
        </w:rPr>
        <w:t xml:space="preserve">ugmentation </w:t>
      </w:r>
      <w:r w:rsidRPr="005D6CD4">
        <w:rPr>
          <w:lang w:val="fr-FR"/>
        </w:rPr>
        <w:t>de l</w:t>
      </w:r>
      <w:r w:rsidR="000A3D87">
        <w:rPr>
          <w:lang w:val="fr-FR"/>
        </w:rPr>
        <w:t>’</w:t>
      </w:r>
      <w:r w:rsidRPr="005D6CD4">
        <w:rPr>
          <w:lang w:val="fr-FR"/>
        </w:rPr>
        <w:t xml:space="preserve">enveloppe budgétaire allouée aux structures chargées des questions féminines dans les </w:t>
      </w:r>
      <w:r>
        <w:rPr>
          <w:lang w:val="fr-FR"/>
        </w:rPr>
        <w:t>É</w:t>
      </w:r>
      <w:r w:rsidRPr="005D6CD4">
        <w:rPr>
          <w:lang w:val="fr-FR"/>
        </w:rPr>
        <w:t>tats. Les cibles de ces visites étaient les Gouverneurs d</w:t>
      </w:r>
      <w:r w:rsidR="000A3D87">
        <w:rPr>
          <w:lang w:val="fr-FR"/>
        </w:rPr>
        <w:t>’</w:t>
      </w:r>
      <w:r>
        <w:rPr>
          <w:lang w:val="fr-FR"/>
        </w:rPr>
        <w:t>É</w:t>
      </w:r>
      <w:r w:rsidRPr="005D6CD4">
        <w:rPr>
          <w:lang w:val="fr-FR"/>
        </w:rPr>
        <w:t>tat, les Assemblées d</w:t>
      </w:r>
      <w:r w:rsidR="000A3D87">
        <w:rPr>
          <w:lang w:val="fr-FR"/>
        </w:rPr>
        <w:t>’</w:t>
      </w:r>
      <w:r>
        <w:rPr>
          <w:lang w:val="fr-FR"/>
        </w:rPr>
        <w:t>É</w:t>
      </w:r>
      <w:r w:rsidRPr="005D6CD4">
        <w:rPr>
          <w:lang w:val="fr-FR"/>
        </w:rPr>
        <w:t>tat, les chefs traditionnels et les leaders des co</w:t>
      </w:r>
      <w:r>
        <w:rPr>
          <w:lang w:val="fr-FR"/>
        </w:rPr>
        <w:t>llectivités</w:t>
      </w:r>
    </w:p>
    <w:p w:rsidR="00E15507" w:rsidRDefault="00E15507" w:rsidP="00740CA4">
      <w:pPr>
        <w:pStyle w:val="SingleTxt"/>
        <w:rPr>
          <w:lang w:val="fr-FR"/>
        </w:rPr>
      </w:pPr>
      <w:r w:rsidRPr="005D6CD4">
        <w:rPr>
          <w:lang w:val="fr-FR"/>
        </w:rPr>
        <w:t xml:space="preserve">7.4.2 </w:t>
      </w:r>
      <w:r w:rsidR="00BC2C76">
        <w:rPr>
          <w:lang w:val="fr-FR"/>
        </w:rPr>
        <w:t xml:space="preserve"> </w:t>
      </w:r>
      <w:r w:rsidRPr="005D6CD4">
        <w:rPr>
          <w:lang w:val="fr-FR"/>
        </w:rPr>
        <w:t>Le Centre national de promotion de la femme a un Temple de la renommée pour les femmes nigérianes, qui rend hommage aux femmes qui se sont distinguées dans toutes les professions. Depuis 2004, les femmes qui ont excellé dans leur profession sont choisies et intégrées au Temple de la renommée lors d</w:t>
      </w:r>
      <w:r w:rsidR="000A3D87">
        <w:rPr>
          <w:lang w:val="fr-FR"/>
        </w:rPr>
        <w:t>’</w:t>
      </w:r>
      <w:r w:rsidRPr="005D6CD4">
        <w:rPr>
          <w:lang w:val="fr-FR"/>
        </w:rPr>
        <w:t>une cérémonie impressionnante. Le temple est décoré de photos et de plaques qui présentent ces femmes comme des exemples à suivre par les jeunes générations. Entre 2004 et le moment où le présent rapport était en préparation, 26 femmes pionnières y ont été admises.</w:t>
      </w:r>
    </w:p>
    <w:p w:rsidR="00BC2C76" w:rsidRPr="00BC2C76" w:rsidRDefault="00BC2C76" w:rsidP="00BC2C76">
      <w:pPr>
        <w:pStyle w:val="SingleTxt"/>
        <w:spacing w:after="0" w:line="120" w:lineRule="exact"/>
        <w:rPr>
          <w:sz w:val="10"/>
          <w:lang w:val="fr-FR"/>
        </w:rPr>
      </w:pPr>
    </w:p>
    <w:p w:rsidR="00E15507" w:rsidRDefault="00BC2C76" w:rsidP="00BC2C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7.5</w:t>
      </w:r>
      <w:r w:rsidR="00E15507">
        <w:rPr>
          <w:lang w:val="fr-FR"/>
        </w:rPr>
        <w:t xml:space="preserve"> </w:t>
      </w:r>
      <w:r>
        <w:rPr>
          <w:lang w:val="fr-FR"/>
        </w:rPr>
        <w:tab/>
      </w:r>
      <w:r w:rsidR="00E15507" w:rsidRPr="005D6CD4">
        <w:rPr>
          <w:lang w:val="fr-FR"/>
        </w:rPr>
        <w:t>Mesures prises par les partis politiques pour accroître la participation des femmes à la vie politique</w:t>
      </w:r>
    </w:p>
    <w:p w:rsidR="00BC2C76" w:rsidRPr="00BC2C76" w:rsidRDefault="00BC2C76" w:rsidP="00BC2C76">
      <w:pPr>
        <w:pStyle w:val="SingleTxt"/>
        <w:spacing w:after="0" w:line="120" w:lineRule="exact"/>
        <w:rPr>
          <w:sz w:val="10"/>
          <w:lang w:val="fr-FR"/>
        </w:rPr>
      </w:pPr>
    </w:p>
    <w:p w:rsidR="00E15507" w:rsidRPr="005D6CD4" w:rsidRDefault="00E15507" w:rsidP="00740CA4">
      <w:pPr>
        <w:pStyle w:val="SingleTxt"/>
        <w:rPr>
          <w:lang w:val="fr-FR"/>
        </w:rPr>
      </w:pPr>
      <w:r w:rsidRPr="005D6CD4">
        <w:rPr>
          <w:lang w:val="fr-FR"/>
        </w:rPr>
        <w:t xml:space="preserve">7.5.1 </w:t>
      </w:r>
      <w:r w:rsidR="00BC2C76">
        <w:rPr>
          <w:lang w:val="fr-FR"/>
        </w:rPr>
        <w:t xml:space="preserve"> </w:t>
      </w:r>
      <w:r w:rsidRPr="005D6CD4">
        <w:rPr>
          <w:lang w:val="fr-FR"/>
        </w:rPr>
        <w:t>Malgré la position privilégiée que les partis occupent sur la scène politique du pays, un nombre négligeable de femmes nigérianes y militent. Et elles ne sont pas nombreuses à faire partie du personnel de direction des partis et des mesures spécifiques n</w:t>
      </w:r>
      <w:r w:rsidR="000A3D87">
        <w:rPr>
          <w:lang w:val="fr-FR"/>
        </w:rPr>
        <w:t>’</w:t>
      </w:r>
      <w:r w:rsidRPr="005D6CD4">
        <w:rPr>
          <w:lang w:val="fr-FR"/>
        </w:rPr>
        <w:t xml:space="preserve">ont pas été prises par ces partis </w:t>
      </w:r>
      <w:r>
        <w:rPr>
          <w:lang w:val="fr-FR"/>
        </w:rPr>
        <w:t xml:space="preserve">pour </w:t>
      </w:r>
      <w:r w:rsidRPr="005D6CD4">
        <w:rPr>
          <w:lang w:val="fr-FR"/>
        </w:rPr>
        <w:t>accroître la représentation des femmes sur la scène politique. Bien que des formations comme le People</w:t>
      </w:r>
      <w:r w:rsidR="000A3D87">
        <w:rPr>
          <w:lang w:val="fr-FR"/>
        </w:rPr>
        <w:t>’</w:t>
      </w:r>
      <w:r w:rsidRPr="005D6CD4">
        <w:rPr>
          <w:lang w:val="fr-FR"/>
        </w:rPr>
        <w:t>s Democratic Party aient instauré la gratuité de l</w:t>
      </w:r>
      <w:r w:rsidR="000A3D87">
        <w:rPr>
          <w:lang w:val="fr-FR"/>
        </w:rPr>
        <w:t>’</w:t>
      </w:r>
      <w:r w:rsidRPr="005D6CD4">
        <w:rPr>
          <w:lang w:val="fr-FR"/>
        </w:rPr>
        <w:t>inscription et des formulaires pour les femmes souhaitant se porter candidates à des postes électifs, ils exigent parfois d</w:t>
      </w:r>
      <w:r w:rsidR="000A3D87">
        <w:rPr>
          <w:lang w:val="fr-FR"/>
        </w:rPr>
        <w:t>’</w:t>
      </w:r>
      <w:r w:rsidRPr="005D6CD4">
        <w:rPr>
          <w:lang w:val="fr-FR"/>
        </w:rPr>
        <w:t>autres paiements qui sont inaccessibles aux femmes. Toutefois, des efforts sont faits afin d</w:t>
      </w:r>
      <w:r w:rsidR="000A3D87">
        <w:rPr>
          <w:lang w:val="fr-FR"/>
        </w:rPr>
        <w:t>’</w:t>
      </w:r>
      <w:r w:rsidRPr="005D6CD4">
        <w:rPr>
          <w:lang w:val="fr-FR"/>
        </w:rPr>
        <w:t>impliquer l</w:t>
      </w:r>
      <w:r w:rsidR="000A3D87">
        <w:rPr>
          <w:lang w:val="fr-FR"/>
        </w:rPr>
        <w:t>’</w:t>
      </w:r>
      <w:r w:rsidRPr="005D6CD4">
        <w:rPr>
          <w:lang w:val="fr-FR"/>
        </w:rPr>
        <w:t xml:space="preserve">INEC et les partis et de négocier une représentation accrue des femmes lors des scrutins de 2007 et au-delà. </w:t>
      </w:r>
    </w:p>
    <w:p w:rsidR="00BC2C76" w:rsidRPr="00BC2C76" w:rsidRDefault="00BC2C76" w:rsidP="00BC2C76">
      <w:pPr>
        <w:pStyle w:val="SingleTxt"/>
        <w:spacing w:after="0" w:line="120" w:lineRule="exact"/>
        <w:rPr>
          <w:sz w:val="10"/>
          <w:lang w:val="fr-FR"/>
        </w:rPr>
      </w:pPr>
    </w:p>
    <w:p w:rsidR="00BC2C76" w:rsidRPr="00BC2C76" w:rsidRDefault="00BC2C76" w:rsidP="00BC2C76">
      <w:pPr>
        <w:pStyle w:val="SingleTxt"/>
        <w:spacing w:after="0" w:line="120" w:lineRule="exact"/>
        <w:rPr>
          <w:sz w:val="10"/>
          <w:lang w:val="fr-FR"/>
        </w:rPr>
      </w:pPr>
    </w:p>
    <w:p w:rsidR="00E15507" w:rsidRDefault="00BC2C76" w:rsidP="00BC2C7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E15507" w:rsidRPr="00D92999">
        <w:rPr>
          <w:lang w:val="fr-FR"/>
        </w:rPr>
        <w:t>Article 8</w:t>
      </w:r>
      <w:r>
        <w:rPr>
          <w:lang w:val="fr-FR"/>
        </w:rPr>
        <w:br/>
      </w:r>
      <w:r w:rsidR="00E15507" w:rsidRPr="00D92999">
        <w:rPr>
          <w:lang w:val="fr-FR"/>
        </w:rPr>
        <w:t>Représentation des femmes au niveau international</w:t>
      </w:r>
    </w:p>
    <w:p w:rsidR="00BC2C76" w:rsidRPr="00BC2C76" w:rsidRDefault="00BC2C76" w:rsidP="00BC2C76">
      <w:pPr>
        <w:pStyle w:val="SingleTxt"/>
        <w:spacing w:after="0" w:line="120" w:lineRule="exact"/>
        <w:rPr>
          <w:sz w:val="10"/>
          <w:lang w:val="fr-FR"/>
        </w:rPr>
      </w:pPr>
    </w:p>
    <w:p w:rsidR="00BC2C76" w:rsidRPr="00BC2C76" w:rsidRDefault="00BC2C76" w:rsidP="00BC2C76">
      <w:pPr>
        <w:pStyle w:val="SingleTxt"/>
        <w:spacing w:after="0" w:line="120" w:lineRule="exact"/>
        <w:rPr>
          <w:sz w:val="10"/>
          <w:lang w:val="fr-FR"/>
        </w:rPr>
      </w:pPr>
    </w:p>
    <w:p w:rsidR="00E15507" w:rsidRDefault="00BC2C76" w:rsidP="00BC2C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E15507" w:rsidRPr="005D6CD4">
        <w:rPr>
          <w:lang w:val="fr-FR"/>
        </w:rPr>
        <w:t>Les femmes dans le</w:t>
      </w:r>
      <w:r w:rsidR="00E15507">
        <w:rPr>
          <w:lang w:val="fr-FR"/>
        </w:rPr>
        <w:t xml:space="preserve"> </w:t>
      </w:r>
      <w:r w:rsidR="00E15507" w:rsidRPr="005D6CD4">
        <w:rPr>
          <w:lang w:val="fr-FR"/>
        </w:rPr>
        <w:t>s</w:t>
      </w:r>
      <w:r w:rsidR="00E15507">
        <w:rPr>
          <w:lang w:val="fr-FR"/>
        </w:rPr>
        <w:t>ervice diplomatique</w:t>
      </w:r>
    </w:p>
    <w:p w:rsidR="00BC2C76" w:rsidRPr="00BC2C76" w:rsidRDefault="00BC2C76" w:rsidP="00BC2C76">
      <w:pPr>
        <w:pStyle w:val="SingleTxt"/>
        <w:spacing w:after="0" w:line="120" w:lineRule="exact"/>
        <w:rPr>
          <w:sz w:val="10"/>
          <w:lang w:val="fr-FR"/>
        </w:rPr>
      </w:pPr>
    </w:p>
    <w:p w:rsidR="00E15507" w:rsidRPr="005D6CD4" w:rsidRDefault="00BC2C76" w:rsidP="00740CA4">
      <w:pPr>
        <w:pStyle w:val="SingleTxt"/>
        <w:rPr>
          <w:iCs/>
          <w:lang w:val="fr-FR"/>
        </w:rPr>
      </w:pPr>
      <w:r>
        <w:rPr>
          <w:iCs/>
          <w:lang w:val="fr-FR"/>
        </w:rPr>
        <w:tab/>
      </w:r>
      <w:r w:rsidR="00E15507" w:rsidRPr="005D6CD4">
        <w:rPr>
          <w:iCs/>
          <w:lang w:val="fr-FR"/>
        </w:rPr>
        <w:t>Les règles qui régissent la diplomatie nigériane s</w:t>
      </w:r>
      <w:r w:rsidR="000A3D87">
        <w:rPr>
          <w:iCs/>
          <w:lang w:val="fr-FR"/>
        </w:rPr>
        <w:t>’</w:t>
      </w:r>
      <w:r w:rsidR="00E15507" w:rsidRPr="005D6CD4">
        <w:rPr>
          <w:iCs/>
          <w:lang w:val="fr-FR"/>
        </w:rPr>
        <w:t xml:space="preserve">appliquent à égalité aux hommes et aux femmes. Les nominations dans ce domaine sont fondées sur le principe de la représentation égale de tous les </w:t>
      </w:r>
      <w:r w:rsidR="00E15507">
        <w:rPr>
          <w:iCs/>
          <w:lang w:val="fr-FR"/>
        </w:rPr>
        <w:t>É</w:t>
      </w:r>
      <w:r w:rsidR="00E15507" w:rsidRPr="005D6CD4">
        <w:rPr>
          <w:iCs/>
          <w:lang w:val="fr-FR"/>
        </w:rPr>
        <w:t>tats de la Fédération. Bien que des mesures spéciales n</w:t>
      </w:r>
      <w:r w:rsidR="000A3D87">
        <w:rPr>
          <w:iCs/>
          <w:lang w:val="fr-FR"/>
        </w:rPr>
        <w:t>’</w:t>
      </w:r>
      <w:r w:rsidR="00E15507" w:rsidRPr="005D6CD4">
        <w:rPr>
          <w:iCs/>
          <w:lang w:val="fr-FR"/>
        </w:rPr>
        <w:t xml:space="preserve">aient pas été prises pour le recrutement des femmes dans la diplomatie nigériane ou la fonction publique internationale, le recrutement effectué en 2001 au </w:t>
      </w:r>
      <w:r w:rsidR="00E15507">
        <w:rPr>
          <w:iCs/>
          <w:lang w:val="fr-FR"/>
        </w:rPr>
        <w:t>m</w:t>
      </w:r>
      <w:r w:rsidR="00E15507" w:rsidRPr="005D6CD4">
        <w:rPr>
          <w:iCs/>
          <w:lang w:val="fr-FR"/>
        </w:rPr>
        <w:t xml:space="preserve">inistère des </w:t>
      </w:r>
      <w:r w:rsidR="00E15507">
        <w:rPr>
          <w:iCs/>
          <w:lang w:val="fr-FR"/>
        </w:rPr>
        <w:t>A</w:t>
      </w:r>
      <w:r w:rsidR="00E15507" w:rsidRPr="005D6CD4">
        <w:rPr>
          <w:iCs/>
          <w:lang w:val="fr-FR"/>
        </w:rPr>
        <w:t>ffaires étrangères montre que vingt-quatre (24) diplomates femmes ont été recrutées. Soit 27,03</w:t>
      </w:r>
      <w:r w:rsidR="00E15507">
        <w:rPr>
          <w:iCs/>
          <w:lang w:val="fr-FR"/>
        </w:rPr>
        <w:t> </w:t>
      </w:r>
      <w:r w:rsidR="00E15507" w:rsidRPr="005D6CD4">
        <w:rPr>
          <w:iCs/>
          <w:lang w:val="fr-FR"/>
        </w:rPr>
        <w:t>% de l</w:t>
      </w:r>
      <w:r w:rsidR="000A3D87">
        <w:rPr>
          <w:iCs/>
          <w:lang w:val="fr-FR"/>
        </w:rPr>
        <w:t>’</w:t>
      </w:r>
      <w:r w:rsidR="00E15507" w:rsidRPr="005D6CD4">
        <w:rPr>
          <w:iCs/>
          <w:lang w:val="fr-FR"/>
        </w:rPr>
        <w:t xml:space="preserve">ensemble des recrutements de cette année. </w:t>
      </w:r>
    </w:p>
    <w:p w:rsidR="00E15507" w:rsidRPr="005D6CD4" w:rsidRDefault="00BC2C76" w:rsidP="00740CA4">
      <w:pPr>
        <w:pStyle w:val="SingleTxt"/>
        <w:rPr>
          <w:iCs/>
          <w:lang w:val="fr-FR"/>
        </w:rPr>
      </w:pPr>
      <w:r>
        <w:rPr>
          <w:iCs/>
          <w:lang w:val="fr-FR"/>
        </w:rPr>
        <w:tab/>
      </w:r>
      <w:r w:rsidR="00E15507" w:rsidRPr="005D6CD4">
        <w:rPr>
          <w:iCs/>
          <w:lang w:val="fr-FR"/>
        </w:rPr>
        <w:t>Il faut relever qu</w:t>
      </w:r>
      <w:r w:rsidR="000A3D87">
        <w:rPr>
          <w:iCs/>
          <w:lang w:val="fr-FR"/>
        </w:rPr>
        <w:t>’</w:t>
      </w:r>
      <w:r w:rsidR="00E15507" w:rsidRPr="005D6CD4">
        <w:rPr>
          <w:iCs/>
          <w:lang w:val="fr-FR"/>
        </w:rPr>
        <w:t>il s</w:t>
      </w:r>
      <w:r w:rsidR="000A3D87">
        <w:rPr>
          <w:iCs/>
          <w:lang w:val="fr-FR"/>
        </w:rPr>
        <w:t>’</w:t>
      </w:r>
      <w:r w:rsidR="00E15507" w:rsidRPr="005D6CD4">
        <w:rPr>
          <w:iCs/>
          <w:lang w:val="fr-FR"/>
        </w:rPr>
        <w:t xml:space="preserve">agit là du nombre le plus élevé de femmes à ce niveau depuis la création du </w:t>
      </w:r>
      <w:r w:rsidR="00E15507">
        <w:rPr>
          <w:iCs/>
          <w:lang w:val="fr-FR"/>
        </w:rPr>
        <w:t>ministère</w:t>
      </w:r>
      <w:r w:rsidR="00E15507" w:rsidRPr="005D6CD4">
        <w:rPr>
          <w:iCs/>
          <w:lang w:val="fr-FR"/>
        </w:rPr>
        <w:t xml:space="preserve"> nigérian des </w:t>
      </w:r>
      <w:r w:rsidR="00E15507">
        <w:rPr>
          <w:iCs/>
          <w:lang w:val="fr-FR"/>
        </w:rPr>
        <w:t>Affaires</w:t>
      </w:r>
      <w:r w:rsidR="00E15507" w:rsidRPr="005D6CD4">
        <w:rPr>
          <w:iCs/>
          <w:lang w:val="fr-FR"/>
        </w:rPr>
        <w:t xml:space="preserve"> étrangères. Les dernières nominations dans ce </w:t>
      </w:r>
      <w:r w:rsidR="00E15507">
        <w:rPr>
          <w:iCs/>
          <w:lang w:val="fr-FR"/>
        </w:rPr>
        <w:t>ministère</w:t>
      </w:r>
      <w:r w:rsidR="00E15507" w:rsidRPr="005D6CD4">
        <w:rPr>
          <w:iCs/>
          <w:lang w:val="fr-FR"/>
        </w:rPr>
        <w:t xml:space="preserve"> ont permis aux femmes d</w:t>
      </w:r>
      <w:r w:rsidR="000A3D87">
        <w:rPr>
          <w:iCs/>
          <w:lang w:val="fr-FR"/>
        </w:rPr>
        <w:t>’</w:t>
      </w:r>
      <w:r w:rsidR="00E15507" w:rsidRPr="005D6CD4">
        <w:rPr>
          <w:iCs/>
          <w:lang w:val="fr-FR"/>
        </w:rPr>
        <w:t xml:space="preserve">occuper de hauts postes décisionnels tels que </w:t>
      </w:r>
      <w:r w:rsidR="00E15507">
        <w:rPr>
          <w:iCs/>
          <w:lang w:val="fr-FR"/>
        </w:rPr>
        <w:t xml:space="preserve">celui de </w:t>
      </w:r>
      <w:r w:rsidR="00E15507" w:rsidRPr="005D6CD4">
        <w:rPr>
          <w:iCs/>
          <w:lang w:val="fr-FR"/>
        </w:rPr>
        <w:t xml:space="preserve">Ministre des affaires étrangères et </w:t>
      </w:r>
      <w:r w:rsidR="00E15507">
        <w:rPr>
          <w:iCs/>
          <w:lang w:val="fr-FR"/>
        </w:rPr>
        <w:t xml:space="preserve">de </w:t>
      </w:r>
      <w:r w:rsidR="00E15507" w:rsidRPr="005D6CD4">
        <w:rPr>
          <w:iCs/>
          <w:lang w:val="fr-FR"/>
        </w:rPr>
        <w:t>Sous-secrétaires chargées de l</w:t>
      </w:r>
      <w:r w:rsidR="000A3D87">
        <w:rPr>
          <w:iCs/>
          <w:lang w:val="fr-FR"/>
        </w:rPr>
        <w:t>’</w:t>
      </w:r>
      <w:r w:rsidR="00E15507" w:rsidRPr="005D6CD4">
        <w:rPr>
          <w:iCs/>
          <w:lang w:val="fr-FR"/>
        </w:rPr>
        <w:t xml:space="preserve">administration et des affaires africaines. </w:t>
      </w:r>
    </w:p>
    <w:p w:rsidR="00E15507" w:rsidRDefault="00BC2C76" w:rsidP="00740CA4">
      <w:pPr>
        <w:pStyle w:val="SingleTxt"/>
        <w:rPr>
          <w:iCs/>
          <w:lang w:val="fr-FR"/>
        </w:rPr>
      </w:pPr>
      <w:r>
        <w:rPr>
          <w:iCs/>
          <w:lang w:val="fr-FR"/>
        </w:rPr>
        <w:tab/>
      </w:r>
      <w:r w:rsidR="00E15507" w:rsidRPr="005D6CD4">
        <w:rPr>
          <w:iCs/>
          <w:lang w:val="fr-FR"/>
        </w:rPr>
        <w:t xml:space="preserve">Comme le montre le </w:t>
      </w:r>
      <w:r w:rsidR="00E15507">
        <w:rPr>
          <w:iCs/>
          <w:lang w:val="fr-FR"/>
        </w:rPr>
        <w:t>Tableau</w:t>
      </w:r>
      <w:r w:rsidR="00E15507" w:rsidRPr="005D6CD4">
        <w:rPr>
          <w:iCs/>
          <w:lang w:val="fr-FR"/>
        </w:rPr>
        <w:t xml:space="preserve"> 8.1, sur 593 diplomates de carrière au </w:t>
      </w:r>
      <w:r w:rsidR="00E15507">
        <w:rPr>
          <w:iCs/>
          <w:lang w:val="fr-FR"/>
        </w:rPr>
        <w:t>ministère</w:t>
      </w:r>
      <w:r w:rsidR="00E15507" w:rsidRPr="005D6CD4">
        <w:rPr>
          <w:iCs/>
          <w:lang w:val="fr-FR"/>
        </w:rPr>
        <w:t xml:space="preserve"> des </w:t>
      </w:r>
      <w:r w:rsidR="00E15507">
        <w:rPr>
          <w:iCs/>
          <w:lang w:val="fr-FR"/>
        </w:rPr>
        <w:t>A</w:t>
      </w:r>
      <w:r w:rsidR="00E15507" w:rsidRPr="005D6CD4">
        <w:rPr>
          <w:iCs/>
          <w:lang w:val="fr-FR"/>
        </w:rPr>
        <w:t>ffaires étrangères, 63 (10,6</w:t>
      </w:r>
      <w:r w:rsidR="00E15507">
        <w:rPr>
          <w:iCs/>
          <w:lang w:val="fr-FR"/>
        </w:rPr>
        <w:t> </w:t>
      </w:r>
      <w:r w:rsidR="00E15507" w:rsidRPr="005D6CD4">
        <w:rPr>
          <w:iCs/>
          <w:lang w:val="fr-FR"/>
        </w:rPr>
        <w:t>%) sont des femmes, avec seulement 7 femmes (8,04</w:t>
      </w:r>
      <w:r w:rsidR="00E15507">
        <w:rPr>
          <w:iCs/>
          <w:lang w:val="fr-FR"/>
        </w:rPr>
        <w:t> </w:t>
      </w:r>
      <w:r w:rsidR="00E15507" w:rsidRPr="005D6CD4">
        <w:rPr>
          <w:iCs/>
          <w:lang w:val="fr-FR"/>
        </w:rPr>
        <w:t>%) ambassadrices sur 87. Parmi ces ambassadrices, on compte 2 ambassadrices de carrière et 5 ambassadrices hors carrière. Malgré les mesures d</w:t>
      </w:r>
      <w:r w:rsidR="000A3D87">
        <w:rPr>
          <w:iCs/>
          <w:lang w:val="fr-FR"/>
        </w:rPr>
        <w:t>’</w:t>
      </w:r>
      <w:r w:rsidR="00E15507" w:rsidRPr="005D6CD4">
        <w:rPr>
          <w:iCs/>
          <w:lang w:val="fr-FR"/>
        </w:rPr>
        <w:t>ordre politique et de plaidoyer sur la participation sur un pied d</w:t>
      </w:r>
      <w:r w:rsidR="000A3D87">
        <w:rPr>
          <w:iCs/>
          <w:lang w:val="fr-FR"/>
        </w:rPr>
        <w:t>’</w:t>
      </w:r>
      <w:r w:rsidR="00E15507" w:rsidRPr="005D6CD4">
        <w:rPr>
          <w:iCs/>
          <w:lang w:val="fr-FR"/>
        </w:rPr>
        <w:t>égalité des femmes à la vie publique, les progrès accomplis dans le domaine de la diplomatie sont restés modestes depuis le dernier rapport périodique.</w:t>
      </w:r>
    </w:p>
    <w:p w:rsidR="00BC2C76" w:rsidRDefault="00BC2C76" w:rsidP="00BC2C76">
      <w:pPr>
        <w:pStyle w:val="SingleTxt"/>
        <w:jc w:val="left"/>
        <w:rPr>
          <w:bCs/>
          <w:lang w:val="fr-FR"/>
        </w:rPr>
      </w:pPr>
      <w:r w:rsidRPr="00BC2C76">
        <w:rPr>
          <w:bCs/>
          <w:lang w:val="fr-FR"/>
        </w:rPr>
        <w:t>Tableau 8.1</w:t>
      </w:r>
      <w:r>
        <w:rPr>
          <w:bCs/>
          <w:lang w:val="fr-FR"/>
        </w:rPr>
        <w:br/>
      </w:r>
      <w:r w:rsidRPr="00BC2C76">
        <w:rPr>
          <w:b/>
          <w:bCs/>
          <w:lang w:val="fr-FR"/>
        </w:rPr>
        <w:t>Répartition par sexe des ambassadeurs/personnel diplomatique dans les missions, 2002 et 2006</w:t>
      </w:r>
    </w:p>
    <w:p w:rsidR="00BC2C76" w:rsidRDefault="00BC2C76"/>
    <w:tbl>
      <w:tblPr>
        <w:tblW w:w="0" w:type="auto"/>
        <w:tblInd w:w="198" w:type="dxa"/>
        <w:tblLayout w:type="fixed"/>
        <w:tblLook w:val="0000"/>
      </w:tblPr>
      <w:tblGrid>
        <w:gridCol w:w="2610"/>
        <w:gridCol w:w="810"/>
        <w:gridCol w:w="810"/>
        <w:gridCol w:w="900"/>
        <w:gridCol w:w="900"/>
        <w:gridCol w:w="990"/>
        <w:gridCol w:w="900"/>
        <w:gridCol w:w="810"/>
        <w:gridCol w:w="990"/>
      </w:tblGrid>
      <w:tr w:rsidR="00BC2C76" w:rsidRPr="00BC2C76">
        <w:tblPrEx>
          <w:tblCellMar>
            <w:top w:w="0" w:type="dxa"/>
            <w:bottom w:w="0" w:type="dxa"/>
          </w:tblCellMar>
        </w:tblPrEx>
        <w:trPr>
          <w:tblHeader/>
        </w:trPr>
        <w:tc>
          <w:tcPr>
            <w:tcW w:w="2610" w:type="dxa"/>
            <w:vMerge w:val="restart"/>
            <w:tcBorders>
              <w:top w:val="single" w:sz="4" w:space="0" w:color="auto"/>
            </w:tcBorders>
            <w:shd w:val="clear" w:color="auto" w:fill="auto"/>
            <w:vAlign w:val="bottom"/>
          </w:tcPr>
          <w:p w:rsidR="00BC2C76" w:rsidRPr="00BC2C76" w:rsidRDefault="00BC2C76" w:rsidP="00BC2C76">
            <w:pPr>
              <w:suppressAutoHyphens/>
              <w:spacing w:before="80" w:after="80" w:line="160" w:lineRule="exact"/>
              <w:ind w:right="43"/>
              <w:rPr>
                <w:i/>
                <w:sz w:val="14"/>
                <w:szCs w:val="24"/>
                <w:lang w:val="fr-FR"/>
              </w:rPr>
            </w:pPr>
            <w:r>
              <w:rPr>
                <w:i/>
                <w:sz w:val="14"/>
                <w:szCs w:val="24"/>
                <w:lang w:val="fr-FR"/>
              </w:rPr>
              <w:t>Catégories de personnel diplomatique</w:t>
            </w:r>
          </w:p>
        </w:tc>
        <w:tc>
          <w:tcPr>
            <w:tcW w:w="3420" w:type="dxa"/>
            <w:gridSpan w:val="4"/>
            <w:tcBorders>
              <w:top w:val="single" w:sz="4" w:space="0" w:color="auto"/>
              <w:bottom w:val="single" w:sz="4" w:space="0" w:color="auto"/>
            </w:tcBorders>
            <w:shd w:val="clear" w:color="auto" w:fill="auto"/>
            <w:vAlign w:val="bottom"/>
          </w:tcPr>
          <w:p w:rsidR="00BC2C76" w:rsidRPr="00BC2C76" w:rsidRDefault="00BC2C76" w:rsidP="005D71E6">
            <w:pPr>
              <w:suppressAutoHyphens/>
              <w:spacing w:before="80" w:after="80" w:line="160" w:lineRule="exact"/>
              <w:ind w:right="43"/>
              <w:jc w:val="center"/>
              <w:rPr>
                <w:i/>
                <w:sz w:val="14"/>
                <w:szCs w:val="24"/>
                <w:lang w:val="fr-FR"/>
              </w:rPr>
            </w:pPr>
            <w:r>
              <w:rPr>
                <w:i/>
                <w:sz w:val="14"/>
                <w:szCs w:val="24"/>
                <w:lang w:val="fr-FR"/>
              </w:rPr>
              <w:t>2002</w:t>
            </w:r>
          </w:p>
        </w:tc>
        <w:tc>
          <w:tcPr>
            <w:tcW w:w="3690" w:type="dxa"/>
            <w:gridSpan w:val="4"/>
            <w:tcBorders>
              <w:top w:val="single" w:sz="4" w:space="0" w:color="auto"/>
              <w:bottom w:val="single" w:sz="4" w:space="0" w:color="auto"/>
            </w:tcBorders>
            <w:shd w:val="clear" w:color="auto" w:fill="auto"/>
            <w:vAlign w:val="bottom"/>
          </w:tcPr>
          <w:p w:rsidR="00BC2C76" w:rsidRPr="00BC2C76" w:rsidRDefault="00BC2C76" w:rsidP="005D71E6">
            <w:pPr>
              <w:suppressAutoHyphens/>
              <w:spacing w:before="80" w:after="80" w:line="160" w:lineRule="exact"/>
              <w:ind w:right="43"/>
              <w:jc w:val="center"/>
              <w:rPr>
                <w:i/>
                <w:sz w:val="14"/>
                <w:szCs w:val="24"/>
                <w:lang w:val="fr-FR"/>
              </w:rPr>
            </w:pPr>
            <w:r>
              <w:rPr>
                <w:i/>
                <w:sz w:val="14"/>
                <w:szCs w:val="24"/>
                <w:lang w:val="fr-FR"/>
              </w:rPr>
              <w:t>2006</w:t>
            </w:r>
          </w:p>
        </w:tc>
      </w:tr>
      <w:tr w:rsidR="00BC2C76" w:rsidRPr="00BC2C76">
        <w:tblPrEx>
          <w:tblCellMar>
            <w:top w:w="0" w:type="dxa"/>
            <w:bottom w:w="0" w:type="dxa"/>
          </w:tblCellMar>
        </w:tblPrEx>
        <w:trPr>
          <w:tblHeader/>
        </w:trPr>
        <w:tc>
          <w:tcPr>
            <w:tcW w:w="2610" w:type="dxa"/>
            <w:vMerge/>
            <w:shd w:val="clear" w:color="auto" w:fill="auto"/>
            <w:vAlign w:val="bottom"/>
          </w:tcPr>
          <w:p w:rsidR="00BC2C76" w:rsidRPr="00BC2C76" w:rsidRDefault="00BC2C76" w:rsidP="00BC2C76">
            <w:pPr>
              <w:suppressAutoHyphens/>
              <w:spacing w:before="80" w:after="80" w:line="160" w:lineRule="exact"/>
              <w:ind w:right="43"/>
              <w:rPr>
                <w:i/>
                <w:sz w:val="14"/>
                <w:szCs w:val="24"/>
                <w:lang w:val="fr-FR"/>
              </w:rPr>
            </w:pPr>
          </w:p>
        </w:tc>
        <w:tc>
          <w:tcPr>
            <w:tcW w:w="1620" w:type="dxa"/>
            <w:gridSpan w:val="2"/>
            <w:tcBorders>
              <w:top w:val="single" w:sz="4" w:space="0" w:color="auto"/>
              <w:bottom w:val="single" w:sz="4" w:space="0" w:color="auto"/>
            </w:tcBorders>
            <w:shd w:val="clear" w:color="auto" w:fill="auto"/>
            <w:vAlign w:val="bottom"/>
          </w:tcPr>
          <w:p w:rsidR="00BC2C76" w:rsidRPr="00BC2C76" w:rsidRDefault="00BC2C76" w:rsidP="005D71E6">
            <w:pPr>
              <w:suppressAutoHyphens/>
              <w:spacing w:before="80" w:after="80" w:line="160" w:lineRule="exact"/>
              <w:ind w:right="43"/>
              <w:jc w:val="center"/>
              <w:rPr>
                <w:i/>
                <w:sz w:val="14"/>
                <w:szCs w:val="24"/>
                <w:lang w:val="fr-FR"/>
              </w:rPr>
            </w:pPr>
            <w:r>
              <w:rPr>
                <w:i/>
                <w:sz w:val="14"/>
                <w:szCs w:val="24"/>
                <w:lang w:val="fr-FR"/>
              </w:rPr>
              <w:t>Hommes</w:t>
            </w:r>
          </w:p>
        </w:tc>
        <w:tc>
          <w:tcPr>
            <w:tcW w:w="1800" w:type="dxa"/>
            <w:gridSpan w:val="2"/>
            <w:tcBorders>
              <w:top w:val="single" w:sz="4" w:space="0" w:color="auto"/>
              <w:bottom w:val="single" w:sz="4" w:space="0" w:color="auto"/>
            </w:tcBorders>
            <w:shd w:val="clear" w:color="auto" w:fill="auto"/>
            <w:vAlign w:val="bottom"/>
          </w:tcPr>
          <w:p w:rsidR="00BC2C76" w:rsidRPr="00BC2C76" w:rsidRDefault="00BC2C76" w:rsidP="005D71E6">
            <w:pPr>
              <w:suppressAutoHyphens/>
              <w:spacing w:before="80" w:after="80" w:line="160" w:lineRule="exact"/>
              <w:ind w:right="43"/>
              <w:jc w:val="center"/>
              <w:rPr>
                <w:i/>
                <w:sz w:val="14"/>
                <w:szCs w:val="24"/>
                <w:lang w:val="fr-FR"/>
              </w:rPr>
            </w:pPr>
            <w:r>
              <w:rPr>
                <w:i/>
                <w:sz w:val="14"/>
                <w:szCs w:val="24"/>
                <w:lang w:val="fr-FR"/>
              </w:rPr>
              <w:t>Femmes</w:t>
            </w:r>
          </w:p>
        </w:tc>
        <w:tc>
          <w:tcPr>
            <w:tcW w:w="1890" w:type="dxa"/>
            <w:gridSpan w:val="2"/>
            <w:tcBorders>
              <w:top w:val="single" w:sz="4" w:space="0" w:color="auto"/>
              <w:bottom w:val="single" w:sz="4" w:space="0" w:color="auto"/>
            </w:tcBorders>
            <w:shd w:val="clear" w:color="auto" w:fill="auto"/>
            <w:vAlign w:val="bottom"/>
          </w:tcPr>
          <w:p w:rsidR="00BC2C76" w:rsidRPr="00BC2C76" w:rsidRDefault="00BC2C76" w:rsidP="005D71E6">
            <w:pPr>
              <w:suppressAutoHyphens/>
              <w:spacing w:before="80" w:after="80" w:line="160" w:lineRule="exact"/>
              <w:ind w:right="43"/>
              <w:jc w:val="center"/>
              <w:rPr>
                <w:i/>
                <w:sz w:val="14"/>
                <w:szCs w:val="24"/>
                <w:lang w:val="fr-FR"/>
              </w:rPr>
            </w:pPr>
            <w:r>
              <w:rPr>
                <w:i/>
                <w:sz w:val="14"/>
                <w:szCs w:val="24"/>
                <w:lang w:val="fr-FR"/>
              </w:rPr>
              <w:t>Hommes</w:t>
            </w:r>
          </w:p>
        </w:tc>
        <w:tc>
          <w:tcPr>
            <w:tcW w:w="1800" w:type="dxa"/>
            <w:gridSpan w:val="2"/>
            <w:tcBorders>
              <w:top w:val="single" w:sz="4" w:space="0" w:color="auto"/>
              <w:bottom w:val="single" w:sz="4" w:space="0" w:color="auto"/>
            </w:tcBorders>
            <w:shd w:val="clear" w:color="auto" w:fill="auto"/>
            <w:vAlign w:val="bottom"/>
          </w:tcPr>
          <w:p w:rsidR="00BC2C76" w:rsidRPr="00BC2C76" w:rsidRDefault="00BC2C76" w:rsidP="005D71E6">
            <w:pPr>
              <w:suppressAutoHyphens/>
              <w:spacing w:before="80" w:after="80" w:line="160" w:lineRule="exact"/>
              <w:ind w:right="43"/>
              <w:jc w:val="center"/>
              <w:rPr>
                <w:i/>
                <w:sz w:val="14"/>
                <w:szCs w:val="24"/>
                <w:lang w:val="fr-FR"/>
              </w:rPr>
            </w:pPr>
            <w:r>
              <w:rPr>
                <w:i/>
                <w:sz w:val="14"/>
                <w:szCs w:val="24"/>
                <w:lang w:val="fr-FR"/>
              </w:rPr>
              <w:t>Femmes</w:t>
            </w:r>
          </w:p>
        </w:tc>
      </w:tr>
      <w:tr w:rsidR="005D71E6" w:rsidRPr="00BC2C76">
        <w:tblPrEx>
          <w:tblCellMar>
            <w:top w:w="0" w:type="dxa"/>
            <w:bottom w:w="0" w:type="dxa"/>
          </w:tblCellMar>
        </w:tblPrEx>
        <w:trPr>
          <w:tblHeader/>
        </w:trPr>
        <w:tc>
          <w:tcPr>
            <w:tcW w:w="2610" w:type="dxa"/>
            <w:vMerge/>
            <w:tcBorders>
              <w:bottom w:val="single" w:sz="12" w:space="0" w:color="auto"/>
            </w:tcBorders>
            <w:shd w:val="clear" w:color="auto" w:fill="auto"/>
            <w:vAlign w:val="bottom"/>
          </w:tcPr>
          <w:p w:rsidR="00BC2C76" w:rsidRPr="00BC2C76" w:rsidRDefault="00BC2C76" w:rsidP="00BC2C76">
            <w:pPr>
              <w:suppressAutoHyphens/>
              <w:spacing w:before="80" w:after="80" w:line="160" w:lineRule="exact"/>
              <w:ind w:right="43"/>
              <w:rPr>
                <w:i/>
                <w:sz w:val="14"/>
                <w:szCs w:val="24"/>
                <w:lang w:val="fr-FR"/>
              </w:rPr>
            </w:pPr>
          </w:p>
        </w:tc>
        <w:tc>
          <w:tcPr>
            <w:tcW w:w="810" w:type="dxa"/>
            <w:tcBorders>
              <w:top w:val="single" w:sz="4" w:space="0" w:color="auto"/>
              <w:bottom w:val="single" w:sz="12" w:space="0" w:color="auto"/>
            </w:tcBorders>
            <w:shd w:val="clear" w:color="auto" w:fill="auto"/>
            <w:vAlign w:val="bottom"/>
          </w:tcPr>
          <w:p w:rsidR="00BC2C76" w:rsidRPr="00BC2C76" w:rsidRDefault="00BC2C76" w:rsidP="00C11BEA">
            <w:pPr>
              <w:suppressAutoHyphens/>
              <w:spacing w:before="80" w:after="80" w:line="160" w:lineRule="exact"/>
              <w:ind w:right="43"/>
              <w:jc w:val="right"/>
              <w:rPr>
                <w:i/>
                <w:sz w:val="14"/>
                <w:szCs w:val="24"/>
                <w:lang w:val="fr-FR"/>
              </w:rPr>
            </w:pPr>
            <w:r>
              <w:rPr>
                <w:i/>
                <w:sz w:val="14"/>
                <w:szCs w:val="24"/>
                <w:lang w:val="fr-FR"/>
              </w:rPr>
              <w:t>Nombre</w:t>
            </w:r>
          </w:p>
        </w:tc>
        <w:tc>
          <w:tcPr>
            <w:tcW w:w="810" w:type="dxa"/>
            <w:tcBorders>
              <w:top w:val="single" w:sz="4" w:space="0" w:color="auto"/>
              <w:bottom w:val="single" w:sz="12" w:space="0" w:color="auto"/>
            </w:tcBorders>
            <w:shd w:val="clear" w:color="auto" w:fill="auto"/>
            <w:vAlign w:val="bottom"/>
          </w:tcPr>
          <w:p w:rsidR="00BC2C76" w:rsidRPr="00BC2C76" w:rsidRDefault="005D71E6" w:rsidP="00C11BEA">
            <w:pPr>
              <w:suppressAutoHyphens/>
              <w:spacing w:before="80" w:after="80" w:line="160" w:lineRule="exact"/>
              <w:ind w:right="43"/>
              <w:jc w:val="right"/>
              <w:rPr>
                <w:i/>
                <w:sz w:val="14"/>
                <w:szCs w:val="24"/>
                <w:lang w:val="fr-FR"/>
              </w:rPr>
            </w:pPr>
            <w:r>
              <w:rPr>
                <w:i/>
                <w:sz w:val="14"/>
                <w:szCs w:val="24"/>
                <w:lang w:val="fr-FR"/>
              </w:rPr>
              <w:t>%</w:t>
            </w:r>
          </w:p>
        </w:tc>
        <w:tc>
          <w:tcPr>
            <w:tcW w:w="900" w:type="dxa"/>
            <w:tcBorders>
              <w:top w:val="single" w:sz="4" w:space="0" w:color="auto"/>
              <w:bottom w:val="single" w:sz="12" w:space="0" w:color="auto"/>
            </w:tcBorders>
            <w:shd w:val="clear" w:color="auto" w:fill="auto"/>
            <w:vAlign w:val="bottom"/>
          </w:tcPr>
          <w:p w:rsidR="00BC2C76" w:rsidRPr="00BC2C76" w:rsidRDefault="00BC2C76" w:rsidP="00C11BEA">
            <w:pPr>
              <w:suppressAutoHyphens/>
              <w:spacing w:before="80" w:after="80" w:line="160" w:lineRule="exact"/>
              <w:ind w:right="43"/>
              <w:jc w:val="right"/>
              <w:rPr>
                <w:i/>
                <w:sz w:val="14"/>
                <w:szCs w:val="24"/>
                <w:lang w:val="fr-FR"/>
              </w:rPr>
            </w:pPr>
            <w:r>
              <w:rPr>
                <w:i/>
                <w:sz w:val="14"/>
                <w:szCs w:val="24"/>
                <w:lang w:val="fr-FR"/>
              </w:rPr>
              <w:t>Nombre</w:t>
            </w:r>
          </w:p>
        </w:tc>
        <w:tc>
          <w:tcPr>
            <w:tcW w:w="900" w:type="dxa"/>
            <w:tcBorders>
              <w:top w:val="single" w:sz="4" w:space="0" w:color="auto"/>
              <w:bottom w:val="single" w:sz="12" w:space="0" w:color="auto"/>
            </w:tcBorders>
            <w:shd w:val="clear" w:color="auto" w:fill="auto"/>
            <w:vAlign w:val="bottom"/>
          </w:tcPr>
          <w:p w:rsidR="00BC2C76" w:rsidRPr="00BC2C76" w:rsidRDefault="005D71E6" w:rsidP="00C11BEA">
            <w:pPr>
              <w:suppressAutoHyphens/>
              <w:spacing w:before="80" w:after="80" w:line="160" w:lineRule="exact"/>
              <w:ind w:right="43"/>
              <w:jc w:val="right"/>
              <w:rPr>
                <w:i/>
                <w:sz w:val="14"/>
                <w:szCs w:val="24"/>
                <w:lang w:val="fr-FR"/>
              </w:rPr>
            </w:pPr>
            <w:r>
              <w:rPr>
                <w:i/>
                <w:sz w:val="14"/>
                <w:szCs w:val="24"/>
                <w:lang w:val="fr-FR"/>
              </w:rPr>
              <w:t>%</w:t>
            </w:r>
          </w:p>
        </w:tc>
        <w:tc>
          <w:tcPr>
            <w:tcW w:w="990" w:type="dxa"/>
            <w:tcBorders>
              <w:top w:val="single" w:sz="4" w:space="0" w:color="auto"/>
              <w:bottom w:val="single" w:sz="12" w:space="0" w:color="auto"/>
            </w:tcBorders>
            <w:shd w:val="clear" w:color="auto" w:fill="auto"/>
            <w:vAlign w:val="bottom"/>
          </w:tcPr>
          <w:p w:rsidR="00BC2C76" w:rsidRPr="00BC2C76" w:rsidRDefault="00BC2C76" w:rsidP="00C11BEA">
            <w:pPr>
              <w:suppressAutoHyphens/>
              <w:spacing w:before="80" w:after="80" w:line="160" w:lineRule="exact"/>
              <w:ind w:right="43"/>
              <w:jc w:val="right"/>
              <w:rPr>
                <w:i/>
                <w:sz w:val="14"/>
                <w:szCs w:val="24"/>
                <w:lang w:val="fr-FR"/>
              </w:rPr>
            </w:pPr>
            <w:r>
              <w:rPr>
                <w:i/>
                <w:sz w:val="14"/>
                <w:szCs w:val="24"/>
                <w:lang w:val="fr-FR"/>
              </w:rPr>
              <w:t>Nombre</w:t>
            </w:r>
          </w:p>
        </w:tc>
        <w:tc>
          <w:tcPr>
            <w:tcW w:w="900" w:type="dxa"/>
            <w:tcBorders>
              <w:top w:val="single" w:sz="4" w:space="0" w:color="auto"/>
              <w:bottom w:val="single" w:sz="12" w:space="0" w:color="auto"/>
            </w:tcBorders>
            <w:shd w:val="clear" w:color="auto" w:fill="auto"/>
            <w:vAlign w:val="bottom"/>
          </w:tcPr>
          <w:p w:rsidR="00BC2C76" w:rsidRPr="00BC2C76" w:rsidRDefault="005D71E6" w:rsidP="00C11BEA">
            <w:pPr>
              <w:suppressAutoHyphens/>
              <w:spacing w:before="80" w:after="80" w:line="160" w:lineRule="exact"/>
              <w:ind w:right="43"/>
              <w:jc w:val="right"/>
              <w:rPr>
                <w:i/>
                <w:sz w:val="14"/>
                <w:szCs w:val="24"/>
                <w:lang w:val="fr-FR"/>
              </w:rPr>
            </w:pPr>
            <w:r>
              <w:rPr>
                <w:i/>
                <w:sz w:val="14"/>
                <w:szCs w:val="24"/>
                <w:lang w:val="fr-FR"/>
              </w:rPr>
              <w:t>%</w:t>
            </w:r>
          </w:p>
        </w:tc>
        <w:tc>
          <w:tcPr>
            <w:tcW w:w="810" w:type="dxa"/>
            <w:tcBorders>
              <w:bottom w:val="single" w:sz="12" w:space="0" w:color="auto"/>
            </w:tcBorders>
            <w:shd w:val="clear" w:color="auto" w:fill="auto"/>
            <w:vAlign w:val="bottom"/>
          </w:tcPr>
          <w:p w:rsidR="00BC2C76" w:rsidRPr="00BC2C76" w:rsidRDefault="00BC2C76" w:rsidP="00C11BEA">
            <w:pPr>
              <w:suppressAutoHyphens/>
              <w:spacing w:before="80" w:after="80" w:line="160" w:lineRule="exact"/>
              <w:ind w:right="43"/>
              <w:jc w:val="right"/>
              <w:rPr>
                <w:i/>
                <w:sz w:val="14"/>
                <w:szCs w:val="24"/>
                <w:lang w:val="fr-FR"/>
              </w:rPr>
            </w:pPr>
            <w:r>
              <w:rPr>
                <w:i/>
                <w:sz w:val="14"/>
                <w:szCs w:val="24"/>
                <w:lang w:val="fr-FR"/>
              </w:rPr>
              <w:t>Nombre</w:t>
            </w:r>
          </w:p>
        </w:tc>
        <w:tc>
          <w:tcPr>
            <w:tcW w:w="990" w:type="dxa"/>
            <w:tcBorders>
              <w:bottom w:val="single" w:sz="12" w:space="0" w:color="auto"/>
            </w:tcBorders>
            <w:shd w:val="clear" w:color="auto" w:fill="auto"/>
            <w:vAlign w:val="bottom"/>
          </w:tcPr>
          <w:p w:rsidR="00BC2C76" w:rsidRPr="00BC2C76" w:rsidRDefault="005D71E6" w:rsidP="00C11BEA">
            <w:pPr>
              <w:suppressAutoHyphens/>
              <w:spacing w:before="80" w:after="80" w:line="160" w:lineRule="exact"/>
              <w:ind w:right="43"/>
              <w:jc w:val="right"/>
              <w:rPr>
                <w:i/>
                <w:sz w:val="14"/>
                <w:szCs w:val="24"/>
                <w:lang w:val="fr-FR"/>
              </w:rPr>
            </w:pPr>
            <w:r>
              <w:rPr>
                <w:i/>
                <w:sz w:val="14"/>
                <w:szCs w:val="24"/>
                <w:lang w:val="fr-FR"/>
              </w:rPr>
              <w:t>%</w:t>
            </w:r>
          </w:p>
        </w:tc>
      </w:tr>
      <w:tr w:rsidR="005D71E6" w:rsidRPr="00BC2C76">
        <w:tblPrEx>
          <w:tblCellMar>
            <w:top w:w="0" w:type="dxa"/>
            <w:bottom w:w="0" w:type="dxa"/>
          </w:tblCellMar>
        </w:tblPrEx>
        <w:trPr>
          <w:trHeight w:hRule="exact" w:val="115"/>
          <w:tblHeader/>
        </w:trPr>
        <w:tc>
          <w:tcPr>
            <w:tcW w:w="2610" w:type="dxa"/>
            <w:tcBorders>
              <w:top w:val="single" w:sz="12" w:space="0" w:color="auto"/>
            </w:tcBorders>
            <w:shd w:val="clear" w:color="auto" w:fill="auto"/>
            <w:vAlign w:val="bottom"/>
          </w:tcPr>
          <w:p w:rsidR="00BC2C76" w:rsidRPr="00BC2C76" w:rsidRDefault="00BC2C76" w:rsidP="00BC2C76">
            <w:pPr>
              <w:suppressAutoHyphens/>
              <w:spacing w:before="40" w:after="40" w:line="210" w:lineRule="exact"/>
              <w:ind w:right="43"/>
              <w:rPr>
                <w:sz w:val="17"/>
                <w:szCs w:val="24"/>
                <w:lang w:val="fr-FR"/>
              </w:rPr>
            </w:pPr>
          </w:p>
        </w:tc>
        <w:tc>
          <w:tcPr>
            <w:tcW w:w="810" w:type="dxa"/>
            <w:tcBorders>
              <w:top w:val="single" w:sz="12" w:space="0" w:color="auto"/>
            </w:tcBorders>
            <w:shd w:val="clear" w:color="auto" w:fill="auto"/>
            <w:vAlign w:val="bottom"/>
          </w:tcPr>
          <w:p w:rsidR="00BC2C76" w:rsidRPr="00BC2C76" w:rsidRDefault="00BC2C76" w:rsidP="00BC2C76">
            <w:pPr>
              <w:suppressAutoHyphens/>
              <w:spacing w:before="40" w:after="40" w:line="210" w:lineRule="exact"/>
              <w:ind w:right="43"/>
              <w:rPr>
                <w:sz w:val="17"/>
                <w:szCs w:val="24"/>
                <w:lang w:val="fr-FR"/>
              </w:rPr>
            </w:pPr>
          </w:p>
        </w:tc>
        <w:tc>
          <w:tcPr>
            <w:tcW w:w="810" w:type="dxa"/>
            <w:tcBorders>
              <w:top w:val="single" w:sz="12" w:space="0" w:color="auto"/>
            </w:tcBorders>
            <w:shd w:val="clear" w:color="auto" w:fill="auto"/>
            <w:vAlign w:val="bottom"/>
          </w:tcPr>
          <w:p w:rsidR="00BC2C76" w:rsidRPr="00BC2C76" w:rsidRDefault="00BC2C76" w:rsidP="00BC2C76">
            <w:pPr>
              <w:suppressAutoHyphens/>
              <w:spacing w:before="40" w:after="40" w:line="210" w:lineRule="exact"/>
              <w:ind w:right="43"/>
              <w:rPr>
                <w:sz w:val="17"/>
                <w:szCs w:val="24"/>
                <w:lang w:val="fr-FR"/>
              </w:rPr>
            </w:pPr>
          </w:p>
        </w:tc>
        <w:tc>
          <w:tcPr>
            <w:tcW w:w="900" w:type="dxa"/>
            <w:tcBorders>
              <w:top w:val="single" w:sz="12" w:space="0" w:color="auto"/>
            </w:tcBorders>
            <w:shd w:val="clear" w:color="auto" w:fill="auto"/>
            <w:vAlign w:val="bottom"/>
          </w:tcPr>
          <w:p w:rsidR="00BC2C76" w:rsidRPr="00BC2C76" w:rsidRDefault="00BC2C76" w:rsidP="00BC2C76">
            <w:pPr>
              <w:suppressAutoHyphens/>
              <w:spacing w:before="40" w:after="40" w:line="210" w:lineRule="exact"/>
              <w:ind w:right="43"/>
              <w:rPr>
                <w:sz w:val="17"/>
                <w:szCs w:val="24"/>
                <w:lang w:val="fr-FR"/>
              </w:rPr>
            </w:pPr>
          </w:p>
        </w:tc>
        <w:tc>
          <w:tcPr>
            <w:tcW w:w="900" w:type="dxa"/>
            <w:tcBorders>
              <w:top w:val="single" w:sz="12" w:space="0" w:color="auto"/>
            </w:tcBorders>
            <w:shd w:val="clear" w:color="auto" w:fill="auto"/>
            <w:vAlign w:val="bottom"/>
          </w:tcPr>
          <w:p w:rsidR="00BC2C76" w:rsidRPr="00BC2C76" w:rsidRDefault="00BC2C76" w:rsidP="00BC2C76">
            <w:pPr>
              <w:suppressAutoHyphens/>
              <w:spacing w:before="40" w:after="40" w:line="210" w:lineRule="exact"/>
              <w:ind w:right="43"/>
              <w:rPr>
                <w:sz w:val="17"/>
                <w:szCs w:val="24"/>
                <w:lang w:val="fr-FR"/>
              </w:rPr>
            </w:pPr>
          </w:p>
        </w:tc>
        <w:tc>
          <w:tcPr>
            <w:tcW w:w="990" w:type="dxa"/>
            <w:tcBorders>
              <w:top w:val="single" w:sz="12" w:space="0" w:color="auto"/>
            </w:tcBorders>
            <w:shd w:val="clear" w:color="auto" w:fill="auto"/>
            <w:vAlign w:val="bottom"/>
          </w:tcPr>
          <w:p w:rsidR="00BC2C76" w:rsidRPr="00BC2C76" w:rsidRDefault="00BC2C76" w:rsidP="00BC2C76">
            <w:pPr>
              <w:suppressAutoHyphens/>
              <w:spacing w:before="40" w:after="40" w:line="210" w:lineRule="exact"/>
              <w:ind w:right="43"/>
              <w:rPr>
                <w:sz w:val="17"/>
                <w:szCs w:val="24"/>
                <w:lang w:val="fr-FR"/>
              </w:rPr>
            </w:pPr>
          </w:p>
        </w:tc>
        <w:tc>
          <w:tcPr>
            <w:tcW w:w="900" w:type="dxa"/>
            <w:tcBorders>
              <w:top w:val="single" w:sz="12" w:space="0" w:color="auto"/>
            </w:tcBorders>
            <w:shd w:val="clear" w:color="auto" w:fill="auto"/>
            <w:vAlign w:val="bottom"/>
          </w:tcPr>
          <w:p w:rsidR="00BC2C76" w:rsidRPr="00BC2C76" w:rsidRDefault="00BC2C76" w:rsidP="00BC2C76">
            <w:pPr>
              <w:suppressAutoHyphens/>
              <w:spacing w:before="40" w:after="40" w:line="210" w:lineRule="exact"/>
              <w:ind w:right="43"/>
              <w:rPr>
                <w:sz w:val="17"/>
                <w:szCs w:val="24"/>
                <w:lang w:val="fr-FR"/>
              </w:rPr>
            </w:pPr>
          </w:p>
        </w:tc>
        <w:tc>
          <w:tcPr>
            <w:tcW w:w="810" w:type="dxa"/>
            <w:tcBorders>
              <w:top w:val="single" w:sz="12" w:space="0" w:color="auto"/>
            </w:tcBorders>
            <w:shd w:val="clear" w:color="auto" w:fill="auto"/>
            <w:vAlign w:val="bottom"/>
          </w:tcPr>
          <w:p w:rsidR="00BC2C76" w:rsidRPr="00BC2C76" w:rsidRDefault="00BC2C76" w:rsidP="00BC2C76">
            <w:pPr>
              <w:suppressAutoHyphens/>
              <w:spacing w:before="40" w:after="40" w:line="210" w:lineRule="exact"/>
              <w:ind w:right="43"/>
              <w:rPr>
                <w:sz w:val="17"/>
                <w:szCs w:val="24"/>
                <w:lang w:val="fr-FR"/>
              </w:rPr>
            </w:pPr>
          </w:p>
        </w:tc>
        <w:tc>
          <w:tcPr>
            <w:tcW w:w="990" w:type="dxa"/>
            <w:tcBorders>
              <w:top w:val="single" w:sz="12" w:space="0" w:color="auto"/>
            </w:tcBorders>
            <w:shd w:val="clear" w:color="auto" w:fill="auto"/>
            <w:vAlign w:val="bottom"/>
          </w:tcPr>
          <w:p w:rsidR="00BC2C76" w:rsidRPr="00BC2C76" w:rsidRDefault="00BC2C76" w:rsidP="00BC2C76">
            <w:pPr>
              <w:suppressAutoHyphens/>
              <w:spacing w:before="40" w:after="40" w:line="210" w:lineRule="exact"/>
              <w:ind w:right="43"/>
              <w:rPr>
                <w:sz w:val="17"/>
                <w:szCs w:val="24"/>
                <w:lang w:val="fr-FR"/>
              </w:rPr>
            </w:pPr>
          </w:p>
        </w:tc>
      </w:tr>
      <w:tr w:rsidR="005D71E6" w:rsidRPr="00BC2C76">
        <w:tblPrEx>
          <w:tblCellMar>
            <w:top w:w="0" w:type="dxa"/>
            <w:bottom w:w="0" w:type="dxa"/>
          </w:tblCellMar>
        </w:tblPrEx>
        <w:tc>
          <w:tcPr>
            <w:tcW w:w="2610" w:type="dxa"/>
            <w:shd w:val="clear" w:color="auto" w:fill="auto"/>
            <w:vAlign w:val="bottom"/>
          </w:tcPr>
          <w:p w:rsidR="00E15507" w:rsidRPr="00BC2C76" w:rsidRDefault="00E15507" w:rsidP="00BC2C76">
            <w:pPr>
              <w:tabs>
                <w:tab w:val="left" w:pos="288"/>
                <w:tab w:val="left" w:pos="576"/>
                <w:tab w:val="left" w:pos="864"/>
                <w:tab w:val="left" w:pos="1152"/>
              </w:tabs>
              <w:suppressAutoHyphens/>
              <w:spacing w:before="40" w:after="40" w:line="210" w:lineRule="exact"/>
              <w:ind w:right="43"/>
              <w:rPr>
                <w:sz w:val="17"/>
                <w:szCs w:val="24"/>
                <w:lang w:val="fr-FR"/>
              </w:rPr>
            </w:pPr>
            <w:r w:rsidRPr="00BC2C76">
              <w:rPr>
                <w:sz w:val="17"/>
                <w:szCs w:val="24"/>
                <w:lang w:val="fr-FR"/>
              </w:rPr>
              <w:t>Ambassadeurs</w:t>
            </w:r>
          </w:p>
        </w:tc>
        <w:tc>
          <w:tcPr>
            <w:tcW w:w="810" w:type="dxa"/>
            <w:shd w:val="clear" w:color="auto" w:fill="auto"/>
            <w:vAlign w:val="bottom"/>
          </w:tcPr>
          <w:p w:rsidR="00E15507" w:rsidRPr="00BC2C76" w:rsidRDefault="00E15507" w:rsidP="00C11BEA">
            <w:pPr>
              <w:tabs>
                <w:tab w:val="left" w:pos="288"/>
                <w:tab w:val="left" w:pos="576"/>
                <w:tab w:val="left" w:pos="864"/>
                <w:tab w:val="left" w:pos="1152"/>
              </w:tabs>
              <w:suppressAutoHyphens/>
              <w:spacing w:before="40" w:after="40" w:line="210" w:lineRule="exact"/>
              <w:ind w:right="43"/>
              <w:jc w:val="right"/>
              <w:rPr>
                <w:sz w:val="17"/>
                <w:szCs w:val="24"/>
                <w:lang w:val="fr-FR"/>
              </w:rPr>
            </w:pPr>
            <w:r w:rsidRPr="00BC2C76">
              <w:rPr>
                <w:sz w:val="17"/>
                <w:szCs w:val="24"/>
                <w:lang w:val="fr-FR"/>
              </w:rPr>
              <w:t>89</w:t>
            </w:r>
          </w:p>
        </w:tc>
        <w:tc>
          <w:tcPr>
            <w:tcW w:w="810" w:type="dxa"/>
            <w:shd w:val="clear" w:color="auto" w:fill="auto"/>
            <w:vAlign w:val="bottom"/>
          </w:tcPr>
          <w:p w:rsidR="00E15507" w:rsidRPr="00BC2C76" w:rsidRDefault="00E15507" w:rsidP="00C11BEA">
            <w:pPr>
              <w:tabs>
                <w:tab w:val="left" w:pos="288"/>
                <w:tab w:val="left" w:pos="576"/>
                <w:tab w:val="left" w:pos="864"/>
                <w:tab w:val="left" w:pos="1152"/>
              </w:tabs>
              <w:suppressAutoHyphens/>
              <w:spacing w:before="40" w:after="40" w:line="210" w:lineRule="exact"/>
              <w:ind w:right="43"/>
              <w:jc w:val="right"/>
              <w:rPr>
                <w:sz w:val="17"/>
                <w:szCs w:val="24"/>
                <w:lang w:val="fr-FR"/>
              </w:rPr>
            </w:pPr>
            <w:r w:rsidRPr="00BC2C76">
              <w:rPr>
                <w:sz w:val="17"/>
                <w:szCs w:val="24"/>
                <w:lang w:val="fr-FR"/>
              </w:rPr>
              <w:t>91,75</w:t>
            </w:r>
          </w:p>
        </w:tc>
        <w:tc>
          <w:tcPr>
            <w:tcW w:w="900" w:type="dxa"/>
            <w:shd w:val="clear" w:color="auto" w:fill="auto"/>
            <w:vAlign w:val="bottom"/>
          </w:tcPr>
          <w:p w:rsidR="00E15507" w:rsidRPr="00BC2C76" w:rsidRDefault="00E15507" w:rsidP="00C11BEA">
            <w:pPr>
              <w:tabs>
                <w:tab w:val="left" w:pos="288"/>
                <w:tab w:val="left" w:pos="576"/>
                <w:tab w:val="left" w:pos="864"/>
                <w:tab w:val="left" w:pos="1152"/>
              </w:tabs>
              <w:suppressAutoHyphens/>
              <w:spacing w:before="40" w:after="40" w:line="210" w:lineRule="exact"/>
              <w:ind w:right="43"/>
              <w:jc w:val="right"/>
              <w:rPr>
                <w:sz w:val="17"/>
                <w:szCs w:val="24"/>
                <w:lang w:val="fr-FR"/>
              </w:rPr>
            </w:pPr>
            <w:r w:rsidRPr="00BC2C76">
              <w:rPr>
                <w:sz w:val="17"/>
                <w:szCs w:val="24"/>
                <w:lang w:val="fr-FR"/>
              </w:rPr>
              <w:t>8</w:t>
            </w:r>
          </w:p>
        </w:tc>
        <w:tc>
          <w:tcPr>
            <w:tcW w:w="900" w:type="dxa"/>
            <w:shd w:val="clear" w:color="auto" w:fill="auto"/>
            <w:vAlign w:val="bottom"/>
          </w:tcPr>
          <w:p w:rsidR="00E15507" w:rsidRPr="00BC2C76" w:rsidRDefault="00E15507" w:rsidP="00C11BEA">
            <w:pPr>
              <w:tabs>
                <w:tab w:val="left" w:pos="288"/>
                <w:tab w:val="left" w:pos="576"/>
                <w:tab w:val="left" w:pos="864"/>
                <w:tab w:val="left" w:pos="1152"/>
              </w:tabs>
              <w:suppressAutoHyphens/>
              <w:spacing w:before="40" w:after="40" w:line="210" w:lineRule="exact"/>
              <w:ind w:right="43"/>
              <w:jc w:val="right"/>
              <w:rPr>
                <w:sz w:val="17"/>
                <w:szCs w:val="24"/>
                <w:lang w:val="fr-FR"/>
              </w:rPr>
            </w:pPr>
            <w:r w:rsidRPr="00BC2C76">
              <w:rPr>
                <w:sz w:val="17"/>
                <w:szCs w:val="24"/>
                <w:lang w:val="fr-FR"/>
              </w:rPr>
              <w:t>8,25</w:t>
            </w:r>
          </w:p>
        </w:tc>
        <w:tc>
          <w:tcPr>
            <w:tcW w:w="990" w:type="dxa"/>
            <w:shd w:val="clear" w:color="auto" w:fill="auto"/>
            <w:vAlign w:val="bottom"/>
          </w:tcPr>
          <w:p w:rsidR="00E15507" w:rsidRPr="00BC2C76" w:rsidRDefault="00E15507" w:rsidP="00C11BEA">
            <w:pPr>
              <w:tabs>
                <w:tab w:val="left" w:pos="288"/>
                <w:tab w:val="left" w:pos="576"/>
                <w:tab w:val="left" w:pos="864"/>
                <w:tab w:val="left" w:pos="1152"/>
              </w:tabs>
              <w:suppressAutoHyphens/>
              <w:spacing w:before="40" w:after="40" w:line="210" w:lineRule="exact"/>
              <w:ind w:right="43"/>
              <w:jc w:val="right"/>
              <w:rPr>
                <w:sz w:val="17"/>
                <w:szCs w:val="24"/>
                <w:lang w:val="fr-FR"/>
              </w:rPr>
            </w:pPr>
            <w:r w:rsidRPr="00BC2C76">
              <w:rPr>
                <w:sz w:val="17"/>
                <w:szCs w:val="24"/>
                <w:lang w:val="fr-FR"/>
              </w:rPr>
              <w:t>80</w:t>
            </w:r>
          </w:p>
        </w:tc>
        <w:tc>
          <w:tcPr>
            <w:tcW w:w="900" w:type="dxa"/>
            <w:shd w:val="clear" w:color="auto" w:fill="auto"/>
            <w:vAlign w:val="bottom"/>
          </w:tcPr>
          <w:p w:rsidR="00E15507" w:rsidRPr="00BC2C76" w:rsidRDefault="00E15507" w:rsidP="00C11BEA">
            <w:pPr>
              <w:tabs>
                <w:tab w:val="left" w:pos="288"/>
                <w:tab w:val="left" w:pos="576"/>
                <w:tab w:val="left" w:pos="864"/>
                <w:tab w:val="left" w:pos="1152"/>
              </w:tabs>
              <w:suppressAutoHyphens/>
              <w:spacing w:before="40" w:after="40" w:line="210" w:lineRule="exact"/>
              <w:ind w:right="43"/>
              <w:jc w:val="right"/>
              <w:rPr>
                <w:sz w:val="17"/>
                <w:szCs w:val="24"/>
                <w:lang w:val="fr-FR"/>
              </w:rPr>
            </w:pPr>
            <w:r w:rsidRPr="00BC2C76">
              <w:rPr>
                <w:sz w:val="17"/>
                <w:szCs w:val="24"/>
                <w:lang w:val="fr-FR"/>
              </w:rPr>
              <w:t>91,96</w:t>
            </w:r>
          </w:p>
        </w:tc>
        <w:tc>
          <w:tcPr>
            <w:tcW w:w="810" w:type="dxa"/>
            <w:shd w:val="clear" w:color="auto" w:fill="auto"/>
            <w:vAlign w:val="bottom"/>
          </w:tcPr>
          <w:p w:rsidR="00E15507" w:rsidRPr="00BC2C76" w:rsidRDefault="00E15507" w:rsidP="00C11BEA">
            <w:pPr>
              <w:tabs>
                <w:tab w:val="left" w:pos="288"/>
                <w:tab w:val="left" w:pos="576"/>
                <w:tab w:val="left" w:pos="864"/>
                <w:tab w:val="left" w:pos="1152"/>
              </w:tabs>
              <w:suppressAutoHyphens/>
              <w:spacing w:before="40" w:after="40" w:line="210" w:lineRule="exact"/>
              <w:ind w:right="43"/>
              <w:jc w:val="right"/>
              <w:rPr>
                <w:sz w:val="17"/>
                <w:szCs w:val="24"/>
                <w:lang w:val="fr-FR"/>
              </w:rPr>
            </w:pPr>
            <w:r w:rsidRPr="00BC2C76">
              <w:rPr>
                <w:sz w:val="17"/>
                <w:szCs w:val="24"/>
                <w:lang w:val="fr-FR"/>
              </w:rPr>
              <w:t>7</w:t>
            </w:r>
          </w:p>
        </w:tc>
        <w:tc>
          <w:tcPr>
            <w:tcW w:w="990" w:type="dxa"/>
            <w:shd w:val="clear" w:color="auto" w:fill="auto"/>
            <w:vAlign w:val="bottom"/>
          </w:tcPr>
          <w:p w:rsidR="00E15507" w:rsidRPr="00BC2C76" w:rsidRDefault="00E15507" w:rsidP="00C11BEA">
            <w:pPr>
              <w:tabs>
                <w:tab w:val="left" w:pos="288"/>
                <w:tab w:val="left" w:pos="576"/>
                <w:tab w:val="left" w:pos="864"/>
                <w:tab w:val="left" w:pos="1152"/>
              </w:tabs>
              <w:suppressAutoHyphens/>
              <w:spacing w:before="40" w:after="40" w:line="210" w:lineRule="exact"/>
              <w:ind w:right="43"/>
              <w:jc w:val="right"/>
              <w:rPr>
                <w:sz w:val="17"/>
                <w:szCs w:val="24"/>
                <w:lang w:val="fr-FR"/>
              </w:rPr>
            </w:pPr>
            <w:r w:rsidRPr="00BC2C76">
              <w:rPr>
                <w:sz w:val="17"/>
                <w:szCs w:val="24"/>
                <w:lang w:val="fr-FR"/>
              </w:rPr>
              <w:t>8,04</w:t>
            </w:r>
          </w:p>
        </w:tc>
      </w:tr>
      <w:tr w:rsidR="005D71E6" w:rsidRPr="00BC2C76">
        <w:tblPrEx>
          <w:tblCellMar>
            <w:top w:w="0" w:type="dxa"/>
            <w:bottom w:w="0" w:type="dxa"/>
          </w:tblCellMar>
        </w:tblPrEx>
        <w:tc>
          <w:tcPr>
            <w:tcW w:w="2610" w:type="dxa"/>
            <w:shd w:val="clear" w:color="auto" w:fill="auto"/>
            <w:vAlign w:val="bottom"/>
          </w:tcPr>
          <w:p w:rsidR="00E15507" w:rsidRPr="00BC2C76" w:rsidRDefault="00E15507" w:rsidP="00BC2C76">
            <w:pPr>
              <w:tabs>
                <w:tab w:val="left" w:pos="288"/>
                <w:tab w:val="left" w:pos="576"/>
                <w:tab w:val="left" w:pos="864"/>
                <w:tab w:val="left" w:pos="1152"/>
              </w:tabs>
              <w:suppressAutoHyphens/>
              <w:spacing w:before="40" w:after="40" w:line="210" w:lineRule="exact"/>
              <w:ind w:right="43"/>
              <w:rPr>
                <w:sz w:val="17"/>
                <w:szCs w:val="24"/>
                <w:lang w:val="fr-FR"/>
              </w:rPr>
            </w:pPr>
            <w:r w:rsidRPr="00BC2C76">
              <w:rPr>
                <w:sz w:val="17"/>
                <w:szCs w:val="24"/>
                <w:lang w:val="fr-FR"/>
              </w:rPr>
              <w:t>Ambassadeurs de carrière</w:t>
            </w:r>
          </w:p>
        </w:tc>
        <w:tc>
          <w:tcPr>
            <w:tcW w:w="810" w:type="dxa"/>
            <w:shd w:val="clear" w:color="auto" w:fill="auto"/>
            <w:vAlign w:val="bottom"/>
          </w:tcPr>
          <w:p w:rsidR="00E15507" w:rsidRPr="00BC2C76" w:rsidRDefault="00E15507" w:rsidP="00C11BEA">
            <w:pPr>
              <w:tabs>
                <w:tab w:val="left" w:pos="288"/>
                <w:tab w:val="left" w:pos="576"/>
                <w:tab w:val="left" w:pos="864"/>
                <w:tab w:val="left" w:pos="1152"/>
              </w:tabs>
              <w:suppressAutoHyphens/>
              <w:spacing w:before="40" w:after="40" w:line="210" w:lineRule="exact"/>
              <w:ind w:right="43"/>
              <w:jc w:val="right"/>
              <w:rPr>
                <w:sz w:val="17"/>
                <w:szCs w:val="24"/>
                <w:lang w:val="fr-FR"/>
              </w:rPr>
            </w:pPr>
            <w:r w:rsidRPr="00BC2C76">
              <w:rPr>
                <w:sz w:val="17"/>
                <w:szCs w:val="24"/>
                <w:lang w:val="fr-FR"/>
              </w:rPr>
              <w:t>22</w:t>
            </w:r>
          </w:p>
        </w:tc>
        <w:tc>
          <w:tcPr>
            <w:tcW w:w="810" w:type="dxa"/>
            <w:shd w:val="clear" w:color="auto" w:fill="auto"/>
            <w:vAlign w:val="bottom"/>
          </w:tcPr>
          <w:p w:rsidR="00E15507" w:rsidRPr="00BC2C76" w:rsidRDefault="00E15507" w:rsidP="00C11BEA">
            <w:pPr>
              <w:tabs>
                <w:tab w:val="left" w:pos="288"/>
                <w:tab w:val="left" w:pos="576"/>
                <w:tab w:val="left" w:pos="864"/>
                <w:tab w:val="left" w:pos="1152"/>
              </w:tabs>
              <w:suppressAutoHyphens/>
              <w:spacing w:before="40" w:after="40" w:line="210" w:lineRule="exact"/>
              <w:ind w:right="43"/>
              <w:jc w:val="right"/>
              <w:rPr>
                <w:sz w:val="17"/>
                <w:szCs w:val="24"/>
                <w:lang w:val="fr-FR"/>
              </w:rPr>
            </w:pPr>
            <w:r w:rsidRPr="00BC2C76">
              <w:rPr>
                <w:sz w:val="17"/>
                <w:szCs w:val="24"/>
                <w:lang w:val="fr-FR"/>
              </w:rPr>
              <w:t>84,62</w:t>
            </w:r>
          </w:p>
        </w:tc>
        <w:tc>
          <w:tcPr>
            <w:tcW w:w="900" w:type="dxa"/>
            <w:shd w:val="clear" w:color="auto" w:fill="auto"/>
            <w:vAlign w:val="bottom"/>
          </w:tcPr>
          <w:p w:rsidR="00E15507" w:rsidRPr="00BC2C76" w:rsidRDefault="00E15507" w:rsidP="00C11BEA">
            <w:pPr>
              <w:tabs>
                <w:tab w:val="left" w:pos="288"/>
                <w:tab w:val="left" w:pos="576"/>
                <w:tab w:val="left" w:pos="864"/>
                <w:tab w:val="left" w:pos="1152"/>
              </w:tabs>
              <w:suppressAutoHyphens/>
              <w:spacing w:before="40" w:after="40" w:line="210" w:lineRule="exact"/>
              <w:ind w:right="43"/>
              <w:jc w:val="right"/>
              <w:rPr>
                <w:sz w:val="17"/>
                <w:szCs w:val="24"/>
                <w:lang w:val="fr-FR"/>
              </w:rPr>
            </w:pPr>
            <w:r w:rsidRPr="00BC2C76">
              <w:rPr>
                <w:sz w:val="17"/>
                <w:szCs w:val="24"/>
                <w:lang w:val="fr-FR"/>
              </w:rPr>
              <w:t>4</w:t>
            </w:r>
          </w:p>
        </w:tc>
        <w:tc>
          <w:tcPr>
            <w:tcW w:w="900" w:type="dxa"/>
            <w:shd w:val="clear" w:color="auto" w:fill="auto"/>
            <w:vAlign w:val="bottom"/>
          </w:tcPr>
          <w:p w:rsidR="00E15507" w:rsidRPr="00BC2C76" w:rsidRDefault="00E15507" w:rsidP="00C11BEA">
            <w:pPr>
              <w:tabs>
                <w:tab w:val="left" w:pos="288"/>
                <w:tab w:val="left" w:pos="576"/>
                <w:tab w:val="left" w:pos="864"/>
                <w:tab w:val="left" w:pos="1152"/>
              </w:tabs>
              <w:suppressAutoHyphens/>
              <w:spacing w:before="40" w:after="40" w:line="210" w:lineRule="exact"/>
              <w:ind w:right="43"/>
              <w:jc w:val="right"/>
              <w:rPr>
                <w:sz w:val="17"/>
                <w:szCs w:val="24"/>
                <w:lang w:val="fr-FR"/>
              </w:rPr>
            </w:pPr>
            <w:r w:rsidRPr="00BC2C76">
              <w:rPr>
                <w:sz w:val="17"/>
                <w:szCs w:val="24"/>
                <w:lang w:val="fr-FR"/>
              </w:rPr>
              <w:t>15,38</w:t>
            </w:r>
          </w:p>
        </w:tc>
        <w:tc>
          <w:tcPr>
            <w:tcW w:w="990" w:type="dxa"/>
            <w:shd w:val="clear" w:color="auto" w:fill="auto"/>
            <w:vAlign w:val="bottom"/>
          </w:tcPr>
          <w:p w:rsidR="00E15507" w:rsidRPr="00BC2C76" w:rsidRDefault="00E15507" w:rsidP="00C11BEA">
            <w:pPr>
              <w:tabs>
                <w:tab w:val="left" w:pos="288"/>
                <w:tab w:val="left" w:pos="576"/>
                <w:tab w:val="left" w:pos="864"/>
                <w:tab w:val="left" w:pos="1152"/>
              </w:tabs>
              <w:suppressAutoHyphens/>
              <w:spacing w:before="40" w:after="40" w:line="210" w:lineRule="exact"/>
              <w:ind w:right="43"/>
              <w:jc w:val="right"/>
              <w:rPr>
                <w:sz w:val="17"/>
                <w:szCs w:val="24"/>
                <w:lang w:val="fr-FR"/>
              </w:rPr>
            </w:pPr>
            <w:r w:rsidRPr="00BC2C76">
              <w:rPr>
                <w:sz w:val="17"/>
                <w:szCs w:val="24"/>
                <w:lang w:val="fr-FR"/>
              </w:rPr>
              <w:t>35</w:t>
            </w:r>
          </w:p>
        </w:tc>
        <w:tc>
          <w:tcPr>
            <w:tcW w:w="900" w:type="dxa"/>
            <w:shd w:val="clear" w:color="auto" w:fill="auto"/>
            <w:vAlign w:val="bottom"/>
          </w:tcPr>
          <w:p w:rsidR="00E15507" w:rsidRPr="00BC2C76" w:rsidRDefault="00E15507" w:rsidP="00C11BEA">
            <w:pPr>
              <w:tabs>
                <w:tab w:val="left" w:pos="288"/>
                <w:tab w:val="left" w:pos="576"/>
                <w:tab w:val="left" w:pos="864"/>
                <w:tab w:val="left" w:pos="1152"/>
              </w:tabs>
              <w:suppressAutoHyphens/>
              <w:spacing w:before="40" w:after="40" w:line="210" w:lineRule="exact"/>
              <w:ind w:right="43"/>
              <w:jc w:val="right"/>
              <w:rPr>
                <w:sz w:val="17"/>
                <w:szCs w:val="24"/>
                <w:lang w:val="fr-FR"/>
              </w:rPr>
            </w:pPr>
            <w:r w:rsidRPr="00BC2C76">
              <w:rPr>
                <w:sz w:val="17"/>
                <w:szCs w:val="24"/>
                <w:lang w:val="fr-FR"/>
              </w:rPr>
              <w:t>94,6</w:t>
            </w:r>
          </w:p>
        </w:tc>
        <w:tc>
          <w:tcPr>
            <w:tcW w:w="810" w:type="dxa"/>
            <w:shd w:val="clear" w:color="auto" w:fill="auto"/>
            <w:vAlign w:val="bottom"/>
          </w:tcPr>
          <w:p w:rsidR="00E15507" w:rsidRPr="00BC2C76" w:rsidRDefault="00E15507" w:rsidP="00C11BEA">
            <w:pPr>
              <w:tabs>
                <w:tab w:val="left" w:pos="288"/>
                <w:tab w:val="left" w:pos="576"/>
                <w:tab w:val="left" w:pos="864"/>
                <w:tab w:val="left" w:pos="1152"/>
              </w:tabs>
              <w:suppressAutoHyphens/>
              <w:spacing w:before="40" w:after="40" w:line="210" w:lineRule="exact"/>
              <w:ind w:right="43"/>
              <w:jc w:val="right"/>
              <w:rPr>
                <w:sz w:val="17"/>
                <w:szCs w:val="24"/>
                <w:lang w:val="fr-FR"/>
              </w:rPr>
            </w:pPr>
            <w:r w:rsidRPr="00BC2C76">
              <w:rPr>
                <w:sz w:val="17"/>
                <w:szCs w:val="24"/>
                <w:lang w:val="fr-FR"/>
              </w:rPr>
              <w:t>2</w:t>
            </w:r>
          </w:p>
        </w:tc>
        <w:tc>
          <w:tcPr>
            <w:tcW w:w="990" w:type="dxa"/>
            <w:shd w:val="clear" w:color="auto" w:fill="auto"/>
            <w:vAlign w:val="bottom"/>
          </w:tcPr>
          <w:p w:rsidR="00E15507" w:rsidRPr="00BC2C76" w:rsidRDefault="00E15507" w:rsidP="00C11BEA">
            <w:pPr>
              <w:tabs>
                <w:tab w:val="left" w:pos="288"/>
                <w:tab w:val="left" w:pos="576"/>
                <w:tab w:val="left" w:pos="864"/>
                <w:tab w:val="left" w:pos="1152"/>
              </w:tabs>
              <w:suppressAutoHyphens/>
              <w:spacing w:before="40" w:after="40" w:line="210" w:lineRule="exact"/>
              <w:ind w:right="43"/>
              <w:jc w:val="right"/>
              <w:rPr>
                <w:sz w:val="17"/>
                <w:szCs w:val="24"/>
                <w:lang w:val="fr-FR"/>
              </w:rPr>
            </w:pPr>
            <w:r w:rsidRPr="00BC2C76">
              <w:rPr>
                <w:sz w:val="17"/>
                <w:szCs w:val="24"/>
                <w:lang w:val="fr-FR"/>
              </w:rPr>
              <w:t>5,4</w:t>
            </w:r>
          </w:p>
        </w:tc>
      </w:tr>
      <w:tr w:rsidR="005D71E6" w:rsidRPr="00BC2C76">
        <w:tblPrEx>
          <w:tblCellMar>
            <w:top w:w="0" w:type="dxa"/>
            <w:bottom w:w="0" w:type="dxa"/>
          </w:tblCellMar>
        </w:tblPrEx>
        <w:tc>
          <w:tcPr>
            <w:tcW w:w="2610" w:type="dxa"/>
            <w:shd w:val="clear" w:color="auto" w:fill="auto"/>
            <w:vAlign w:val="bottom"/>
          </w:tcPr>
          <w:p w:rsidR="00E15507" w:rsidRPr="00BC2C76" w:rsidRDefault="00E15507" w:rsidP="00BC2C76">
            <w:pPr>
              <w:tabs>
                <w:tab w:val="left" w:pos="288"/>
                <w:tab w:val="left" w:pos="576"/>
                <w:tab w:val="left" w:pos="864"/>
                <w:tab w:val="left" w:pos="1152"/>
              </w:tabs>
              <w:suppressAutoHyphens/>
              <w:spacing w:before="40" w:after="40" w:line="210" w:lineRule="exact"/>
              <w:ind w:right="43"/>
              <w:rPr>
                <w:sz w:val="17"/>
                <w:szCs w:val="24"/>
                <w:lang w:val="fr-FR"/>
              </w:rPr>
            </w:pPr>
            <w:r w:rsidRPr="00BC2C76">
              <w:rPr>
                <w:sz w:val="17"/>
                <w:szCs w:val="24"/>
                <w:lang w:val="fr-FR"/>
              </w:rPr>
              <w:t>Ambassadeurs hors carrière</w:t>
            </w:r>
          </w:p>
        </w:tc>
        <w:tc>
          <w:tcPr>
            <w:tcW w:w="810" w:type="dxa"/>
            <w:shd w:val="clear" w:color="auto" w:fill="auto"/>
            <w:vAlign w:val="bottom"/>
          </w:tcPr>
          <w:p w:rsidR="00E15507" w:rsidRPr="00BC2C76" w:rsidRDefault="00E15507" w:rsidP="00C11BEA">
            <w:pPr>
              <w:tabs>
                <w:tab w:val="left" w:pos="288"/>
                <w:tab w:val="left" w:pos="576"/>
                <w:tab w:val="left" w:pos="864"/>
                <w:tab w:val="left" w:pos="1152"/>
              </w:tabs>
              <w:suppressAutoHyphens/>
              <w:spacing w:before="40" w:after="40" w:line="210" w:lineRule="exact"/>
              <w:ind w:right="43"/>
              <w:jc w:val="right"/>
              <w:rPr>
                <w:sz w:val="17"/>
                <w:szCs w:val="24"/>
                <w:lang w:val="fr-FR"/>
              </w:rPr>
            </w:pPr>
            <w:r w:rsidRPr="00BC2C76">
              <w:rPr>
                <w:sz w:val="17"/>
                <w:szCs w:val="24"/>
                <w:lang w:val="fr-FR"/>
              </w:rPr>
              <w:t>67</w:t>
            </w:r>
          </w:p>
        </w:tc>
        <w:tc>
          <w:tcPr>
            <w:tcW w:w="810" w:type="dxa"/>
            <w:shd w:val="clear" w:color="auto" w:fill="auto"/>
            <w:vAlign w:val="bottom"/>
          </w:tcPr>
          <w:p w:rsidR="00E15507" w:rsidRPr="00BC2C76" w:rsidRDefault="00E15507" w:rsidP="00C11BEA">
            <w:pPr>
              <w:tabs>
                <w:tab w:val="left" w:pos="288"/>
                <w:tab w:val="left" w:pos="576"/>
                <w:tab w:val="left" w:pos="864"/>
                <w:tab w:val="left" w:pos="1152"/>
              </w:tabs>
              <w:suppressAutoHyphens/>
              <w:spacing w:before="40" w:after="40" w:line="210" w:lineRule="exact"/>
              <w:ind w:right="43"/>
              <w:jc w:val="right"/>
              <w:rPr>
                <w:sz w:val="17"/>
                <w:szCs w:val="24"/>
                <w:lang w:val="fr-FR"/>
              </w:rPr>
            </w:pPr>
            <w:r w:rsidRPr="00BC2C76">
              <w:rPr>
                <w:sz w:val="17"/>
                <w:szCs w:val="24"/>
                <w:lang w:val="fr-FR"/>
              </w:rPr>
              <w:t>94,37</w:t>
            </w:r>
          </w:p>
        </w:tc>
        <w:tc>
          <w:tcPr>
            <w:tcW w:w="900" w:type="dxa"/>
            <w:shd w:val="clear" w:color="auto" w:fill="auto"/>
            <w:vAlign w:val="bottom"/>
          </w:tcPr>
          <w:p w:rsidR="00E15507" w:rsidRPr="00BC2C76" w:rsidRDefault="00E15507" w:rsidP="00C11BEA">
            <w:pPr>
              <w:tabs>
                <w:tab w:val="left" w:pos="288"/>
                <w:tab w:val="left" w:pos="576"/>
                <w:tab w:val="left" w:pos="864"/>
                <w:tab w:val="left" w:pos="1152"/>
              </w:tabs>
              <w:suppressAutoHyphens/>
              <w:spacing w:before="40" w:after="40" w:line="210" w:lineRule="exact"/>
              <w:ind w:right="43"/>
              <w:jc w:val="right"/>
              <w:rPr>
                <w:sz w:val="17"/>
                <w:szCs w:val="24"/>
                <w:lang w:val="fr-FR"/>
              </w:rPr>
            </w:pPr>
            <w:r w:rsidRPr="00BC2C76">
              <w:rPr>
                <w:sz w:val="17"/>
                <w:szCs w:val="24"/>
                <w:lang w:val="fr-FR"/>
              </w:rPr>
              <w:t>4</w:t>
            </w:r>
          </w:p>
        </w:tc>
        <w:tc>
          <w:tcPr>
            <w:tcW w:w="900" w:type="dxa"/>
            <w:shd w:val="clear" w:color="auto" w:fill="auto"/>
            <w:vAlign w:val="bottom"/>
          </w:tcPr>
          <w:p w:rsidR="00E15507" w:rsidRPr="00BC2C76" w:rsidRDefault="00E15507" w:rsidP="00C11BEA">
            <w:pPr>
              <w:tabs>
                <w:tab w:val="left" w:pos="288"/>
                <w:tab w:val="left" w:pos="576"/>
                <w:tab w:val="left" w:pos="864"/>
                <w:tab w:val="left" w:pos="1152"/>
              </w:tabs>
              <w:suppressAutoHyphens/>
              <w:spacing w:before="40" w:after="40" w:line="210" w:lineRule="exact"/>
              <w:ind w:right="43"/>
              <w:jc w:val="right"/>
              <w:rPr>
                <w:sz w:val="17"/>
                <w:szCs w:val="24"/>
                <w:lang w:val="fr-FR"/>
              </w:rPr>
            </w:pPr>
            <w:r w:rsidRPr="00BC2C76">
              <w:rPr>
                <w:sz w:val="17"/>
                <w:szCs w:val="24"/>
                <w:lang w:val="fr-FR"/>
              </w:rPr>
              <w:t>5,63</w:t>
            </w:r>
          </w:p>
        </w:tc>
        <w:tc>
          <w:tcPr>
            <w:tcW w:w="990" w:type="dxa"/>
            <w:shd w:val="clear" w:color="auto" w:fill="auto"/>
            <w:vAlign w:val="bottom"/>
          </w:tcPr>
          <w:p w:rsidR="00E15507" w:rsidRPr="00BC2C76" w:rsidRDefault="00E15507" w:rsidP="00C11BEA">
            <w:pPr>
              <w:tabs>
                <w:tab w:val="left" w:pos="288"/>
                <w:tab w:val="left" w:pos="576"/>
                <w:tab w:val="left" w:pos="864"/>
                <w:tab w:val="left" w:pos="1152"/>
              </w:tabs>
              <w:suppressAutoHyphens/>
              <w:spacing w:before="40" w:after="40" w:line="210" w:lineRule="exact"/>
              <w:ind w:right="43"/>
              <w:jc w:val="right"/>
              <w:rPr>
                <w:sz w:val="17"/>
                <w:szCs w:val="24"/>
                <w:lang w:val="fr-FR"/>
              </w:rPr>
            </w:pPr>
            <w:r w:rsidRPr="00BC2C76">
              <w:rPr>
                <w:sz w:val="17"/>
                <w:szCs w:val="24"/>
                <w:lang w:val="fr-FR"/>
              </w:rPr>
              <w:t>45</w:t>
            </w:r>
          </w:p>
        </w:tc>
        <w:tc>
          <w:tcPr>
            <w:tcW w:w="900" w:type="dxa"/>
            <w:shd w:val="clear" w:color="auto" w:fill="auto"/>
            <w:vAlign w:val="bottom"/>
          </w:tcPr>
          <w:p w:rsidR="00E15507" w:rsidRPr="00BC2C76" w:rsidRDefault="00E15507" w:rsidP="00C11BEA">
            <w:pPr>
              <w:tabs>
                <w:tab w:val="left" w:pos="288"/>
                <w:tab w:val="left" w:pos="576"/>
                <w:tab w:val="left" w:pos="864"/>
                <w:tab w:val="left" w:pos="1152"/>
              </w:tabs>
              <w:suppressAutoHyphens/>
              <w:spacing w:before="40" w:after="40" w:line="210" w:lineRule="exact"/>
              <w:ind w:right="43"/>
              <w:jc w:val="right"/>
              <w:rPr>
                <w:sz w:val="17"/>
                <w:szCs w:val="24"/>
                <w:lang w:val="fr-FR"/>
              </w:rPr>
            </w:pPr>
            <w:r w:rsidRPr="00BC2C76">
              <w:rPr>
                <w:sz w:val="17"/>
                <w:szCs w:val="24"/>
                <w:lang w:val="fr-FR"/>
              </w:rPr>
              <w:t>90</w:t>
            </w:r>
          </w:p>
        </w:tc>
        <w:tc>
          <w:tcPr>
            <w:tcW w:w="810" w:type="dxa"/>
            <w:shd w:val="clear" w:color="auto" w:fill="auto"/>
            <w:vAlign w:val="bottom"/>
          </w:tcPr>
          <w:p w:rsidR="00E15507" w:rsidRPr="00BC2C76" w:rsidRDefault="00E15507" w:rsidP="00C11BEA">
            <w:pPr>
              <w:tabs>
                <w:tab w:val="left" w:pos="288"/>
                <w:tab w:val="left" w:pos="576"/>
                <w:tab w:val="left" w:pos="864"/>
                <w:tab w:val="left" w:pos="1152"/>
              </w:tabs>
              <w:suppressAutoHyphens/>
              <w:spacing w:before="40" w:after="40" w:line="210" w:lineRule="exact"/>
              <w:ind w:right="43"/>
              <w:jc w:val="right"/>
              <w:rPr>
                <w:sz w:val="17"/>
                <w:szCs w:val="24"/>
                <w:lang w:val="fr-FR"/>
              </w:rPr>
            </w:pPr>
            <w:r w:rsidRPr="00BC2C76">
              <w:rPr>
                <w:sz w:val="17"/>
                <w:szCs w:val="24"/>
                <w:lang w:val="fr-FR"/>
              </w:rPr>
              <w:t>5</w:t>
            </w:r>
          </w:p>
        </w:tc>
        <w:tc>
          <w:tcPr>
            <w:tcW w:w="990" w:type="dxa"/>
            <w:shd w:val="clear" w:color="auto" w:fill="auto"/>
            <w:vAlign w:val="bottom"/>
          </w:tcPr>
          <w:p w:rsidR="00E15507" w:rsidRPr="00BC2C76" w:rsidRDefault="00E15507" w:rsidP="00C11BEA">
            <w:pPr>
              <w:tabs>
                <w:tab w:val="left" w:pos="288"/>
                <w:tab w:val="left" w:pos="576"/>
                <w:tab w:val="left" w:pos="864"/>
                <w:tab w:val="left" w:pos="1152"/>
              </w:tabs>
              <w:suppressAutoHyphens/>
              <w:spacing w:before="40" w:after="40" w:line="210" w:lineRule="exact"/>
              <w:ind w:right="43"/>
              <w:jc w:val="right"/>
              <w:rPr>
                <w:sz w:val="17"/>
                <w:szCs w:val="24"/>
                <w:lang w:val="fr-FR"/>
              </w:rPr>
            </w:pPr>
            <w:r w:rsidRPr="00BC2C76">
              <w:rPr>
                <w:sz w:val="17"/>
                <w:szCs w:val="24"/>
                <w:lang w:val="fr-FR"/>
              </w:rPr>
              <w:t>10</w:t>
            </w:r>
          </w:p>
        </w:tc>
      </w:tr>
      <w:tr w:rsidR="005D71E6" w:rsidRPr="00BC2C76">
        <w:tblPrEx>
          <w:tblCellMar>
            <w:top w:w="0" w:type="dxa"/>
            <w:bottom w:w="0" w:type="dxa"/>
          </w:tblCellMar>
        </w:tblPrEx>
        <w:tc>
          <w:tcPr>
            <w:tcW w:w="2610" w:type="dxa"/>
            <w:shd w:val="clear" w:color="auto" w:fill="auto"/>
            <w:vAlign w:val="bottom"/>
          </w:tcPr>
          <w:p w:rsidR="00E15507" w:rsidRPr="00BC2C76" w:rsidRDefault="00E15507" w:rsidP="00BC2C76">
            <w:pPr>
              <w:tabs>
                <w:tab w:val="left" w:pos="288"/>
                <w:tab w:val="left" w:pos="576"/>
                <w:tab w:val="left" w:pos="864"/>
                <w:tab w:val="left" w:pos="1152"/>
              </w:tabs>
              <w:suppressAutoHyphens/>
              <w:spacing w:before="40" w:after="40" w:line="210" w:lineRule="exact"/>
              <w:ind w:right="43"/>
              <w:rPr>
                <w:sz w:val="17"/>
                <w:szCs w:val="24"/>
                <w:lang w:val="fr-FR"/>
              </w:rPr>
            </w:pPr>
            <w:r w:rsidRPr="00BC2C76">
              <w:rPr>
                <w:sz w:val="17"/>
                <w:szCs w:val="24"/>
                <w:lang w:val="fr-FR"/>
              </w:rPr>
              <w:t>Personnel diplomatique de carrière</w:t>
            </w:r>
          </w:p>
        </w:tc>
        <w:tc>
          <w:tcPr>
            <w:tcW w:w="810" w:type="dxa"/>
            <w:shd w:val="clear" w:color="auto" w:fill="auto"/>
            <w:vAlign w:val="bottom"/>
          </w:tcPr>
          <w:p w:rsidR="00E15507" w:rsidRPr="00BC2C76" w:rsidRDefault="00E15507" w:rsidP="00C11BEA">
            <w:pPr>
              <w:tabs>
                <w:tab w:val="left" w:pos="288"/>
                <w:tab w:val="left" w:pos="576"/>
                <w:tab w:val="left" w:pos="864"/>
                <w:tab w:val="left" w:pos="1152"/>
              </w:tabs>
              <w:suppressAutoHyphens/>
              <w:spacing w:before="40" w:after="40" w:line="210" w:lineRule="exact"/>
              <w:ind w:right="43"/>
              <w:jc w:val="right"/>
              <w:rPr>
                <w:sz w:val="17"/>
                <w:szCs w:val="24"/>
                <w:lang w:val="fr-FR"/>
              </w:rPr>
            </w:pPr>
            <w:r w:rsidRPr="00BC2C76">
              <w:rPr>
                <w:sz w:val="17"/>
                <w:szCs w:val="24"/>
                <w:lang w:val="fr-FR"/>
              </w:rPr>
              <w:t>541</w:t>
            </w:r>
          </w:p>
        </w:tc>
        <w:tc>
          <w:tcPr>
            <w:tcW w:w="810" w:type="dxa"/>
            <w:shd w:val="clear" w:color="auto" w:fill="auto"/>
            <w:vAlign w:val="bottom"/>
          </w:tcPr>
          <w:p w:rsidR="00E15507" w:rsidRPr="00BC2C76" w:rsidRDefault="00E15507" w:rsidP="00C11BEA">
            <w:pPr>
              <w:tabs>
                <w:tab w:val="left" w:pos="288"/>
                <w:tab w:val="left" w:pos="576"/>
                <w:tab w:val="left" w:pos="864"/>
                <w:tab w:val="left" w:pos="1152"/>
              </w:tabs>
              <w:suppressAutoHyphens/>
              <w:spacing w:before="40" w:after="40" w:line="210" w:lineRule="exact"/>
              <w:ind w:right="43"/>
              <w:jc w:val="right"/>
              <w:rPr>
                <w:sz w:val="17"/>
                <w:szCs w:val="24"/>
                <w:lang w:val="fr-FR"/>
              </w:rPr>
            </w:pPr>
            <w:r w:rsidRPr="00BC2C76">
              <w:rPr>
                <w:sz w:val="17"/>
                <w:szCs w:val="24"/>
                <w:lang w:val="fr-FR"/>
              </w:rPr>
              <w:t>89,57</w:t>
            </w:r>
          </w:p>
        </w:tc>
        <w:tc>
          <w:tcPr>
            <w:tcW w:w="900" w:type="dxa"/>
            <w:shd w:val="clear" w:color="auto" w:fill="auto"/>
            <w:vAlign w:val="bottom"/>
          </w:tcPr>
          <w:p w:rsidR="00E15507" w:rsidRPr="00BC2C76" w:rsidRDefault="00E15507" w:rsidP="00C11BEA">
            <w:pPr>
              <w:tabs>
                <w:tab w:val="left" w:pos="288"/>
                <w:tab w:val="left" w:pos="576"/>
                <w:tab w:val="left" w:pos="864"/>
                <w:tab w:val="left" w:pos="1152"/>
              </w:tabs>
              <w:suppressAutoHyphens/>
              <w:spacing w:before="40" w:after="40" w:line="210" w:lineRule="exact"/>
              <w:ind w:right="43"/>
              <w:jc w:val="right"/>
              <w:rPr>
                <w:sz w:val="17"/>
                <w:szCs w:val="24"/>
                <w:lang w:val="fr-FR"/>
              </w:rPr>
            </w:pPr>
            <w:r w:rsidRPr="00BC2C76">
              <w:rPr>
                <w:sz w:val="17"/>
                <w:szCs w:val="24"/>
                <w:lang w:val="fr-FR"/>
              </w:rPr>
              <w:t>63</w:t>
            </w:r>
          </w:p>
        </w:tc>
        <w:tc>
          <w:tcPr>
            <w:tcW w:w="900" w:type="dxa"/>
            <w:shd w:val="clear" w:color="auto" w:fill="auto"/>
            <w:vAlign w:val="bottom"/>
          </w:tcPr>
          <w:p w:rsidR="00E15507" w:rsidRPr="00BC2C76" w:rsidRDefault="00E15507" w:rsidP="00C11BEA">
            <w:pPr>
              <w:tabs>
                <w:tab w:val="left" w:pos="288"/>
                <w:tab w:val="left" w:pos="576"/>
                <w:tab w:val="left" w:pos="864"/>
                <w:tab w:val="left" w:pos="1152"/>
              </w:tabs>
              <w:suppressAutoHyphens/>
              <w:spacing w:before="40" w:after="40" w:line="210" w:lineRule="exact"/>
              <w:ind w:right="43"/>
              <w:jc w:val="right"/>
              <w:rPr>
                <w:sz w:val="17"/>
                <w:szCs w:val="24"/>
                <w:lang w:val="fr-FR"/>
              </w:rPr>
            </w:pPr>
            <w:r w:rsidRPr="00BC2C76">
              <w:rPr>
                <w:sz w:val="17"/>
                <w:szCs w:val="24"/>
                <w:lang w:val="fr-FR"/>
              </w:rPr>
              <w:t>10,43</w:t>
            </w:r>
          </w:p>
        </w:tc>
        <w:tc>
          <w:tcPr>
            <w:tcW w:w="990" w:type="dxa"/>
            <w:shd w:val="clear" w:color="auto" w:fill="auto"/>
            <w:vAlign w:val="bottom"/>
          </w:tcPr>
          <w:p w:rsidR="00E15507" w:rsidRPr="00BC2C76" w:rsidRDefault="00E15507" w:rsidP="00C11BEA">
            <w:pPr>
              <w:tabs>
                <w:tab w:val="left" w:pos="288"/>
                <w:tab w:val="left" w:pos="576"/>
                <w:tab w:val="left" w:pos="864"/>
                <w:tab w:val="left" w:pos="1152"/>
              </w:tabs>
              <w:suppressAutoHyphens/>
              <w:spacing w:before="40" w:after="40" w:line="210" w:lineRule="exact"/>
              <w:ind w:right="43"/>
              <w:jc w:val="right"/>
              <w:rPr>
                <w:sz w:val="17"/>
                <w:szCs w:val="24"/>
                <w:lang w:val="fr-FR"/>
              </w:rPr>
            </w:pPr>
            <w:r w:rsidRPr="00BC2C76">
              <w:rPr>
                <w:sz w:val="17"/>
                <w:szCs w:val="24"/>
                <w:lang w:val="fr-FR"/>
              </w:rPr>
              <w:t>530</w:t>
            </w:r>
          </w:p>
        </w:tc>
        <w:tc>
          <w:tcPr>
            <w:tcW w:w="900" w:type="dxa"/>
            <w:shd w:val="clear" w:color="auto" w:fill="auto"/>
            <w:vAlign w:val="bottom"/>
          </w:tcPr>
          <w:p w:rsidR="00E15507" w:rsidRPr="00BC2C76" w:rsidRDefault="00E15507" w:rsidP="00C11BEA">
            <w:pPr>
              <w:tabs>
                <w:tab w:val="left" w:pos="288"/>
                <w:tab w:val="left" w:pos="576"/>
                <w:tab w:val="left" w:pos="864"/>
                <w:tab w:val="left" w:pos="1152"/>
              </w:tabs>
              <w:suppressAutoHyphens/>
              <w:spacing w:before="40" w:after="40" w:line="210" w:lineRule="exact"/>
              <w:ind w:right="43"/>
              <w:jc w:val="right"/>
              <w:rPr>
                <w:sz w:val="17"/>
                <w:szCs w:val="24"/>
                <w:lang w:val="fr-FR"/>
              </w:rPr>
            </w:pPr>
            <w:r w:rsidRPr="00BC2C76">
              <w:rPr>
                <w:sz w:val="17"/>
                <w:szCs w:val="24"/>
                <w:lang w:val="fr-FR"/>
              </w:rPr>
              <w:t>89,4</w:t>
            </w:r>
          </w:p>
        </w:tc>
        <w:tc>
          <w:tcPr>
            <w:tcW w:w="810" w:type="dxa"/>
            <w:shd w:val="clear" w:color="auto" w:fill="auto"/>
            <w:vAlign w:val="bottom"/>
          </w:tcPr>
          <w:p w:rsidR="00E15507" w:rsidRPr="00BC2C76" w:rsidRDefault="00E15507" w:rsidP="00C11BEA">
            <w:pPr>
              <w:tabs>
                <w:tab w:val="left" w:pos="288"/>
                <w:tab w:val="left" w:pos="576"/>
                <w:tab w:val="left" w:pos="864"/>
                <w:tab w:val="left" w:pos="1152"/>
              </w:tabs>
              <w:suppressAutoHyphens/>
              <w:spacing w:before="40" w:after="40" w:line="210" w:lineRule="exact"/>
              <w:ind w:right="43"/>
              <w:jc w:val="right"/>
              <w:rPr>
                <w:sz w:val="17"/>
                <w:szCs w:val="24"/>
                <w:lang w:val="fr-FR"/>
              </w:rPr>
            </w:pPr>
            <w:r w:rsidRPr="00BC2C76">
              <w:rPr>
                <w:sz w:val="17"/>
                <w:szCs w:val="24"/>
                <w:lang w:val="fr-FR"/>
              </w:rPr>
              <w:t>63</w:t>
            </w:r>
          </w:p>
        </w:tc>
        <w:tc>
          <w:tcPr>
            <w:tcW w:w="990" w:type="dxa"/>
            <w:shd w:val="clear" w:color="auto" w:fill="auto"/>
            <w:vAlign w:val="bottom"/>
          </w:tcPr>
          <w:p w:rsidR="00E15507" w:rsidRPr="00BC2C76" w:rsidRDefault="00E15507" w:rsidP="00C11BEA">
            <w:pPr>
              <w:tabs>
                <w:tab w:val="left" w:pos="288"/>
                <w:tab w:val="left" w:pos="576"/>
                <w:tab w:val="left" w:pos="864"/>
                <w:tab w:val="left" w:pos="1152"/>
              </w:tabs>
              <w:suppressAutoHyphens/>
              <w:spacing w:before="40" w:after="40" w:line="210" w:lineRule="exact"/>
              <w:ind w:right="43"/>
              <w:jc w:val="right"/>
              <w:rPr>
                <w:sz w:val="17"/>
                <w:szCs w:val="24"/>
                <w:lang w:val="fr-FR"/>
              </w:rPr>
            </w:pPr>
            <w:r w:rsidRPr="00BC2C76">
              <w:rPr>
                <w:sz w:val="17"/>
                <w:szCs w:val="24"/>
                <w:lang w:val="fr-FR"/>
              </w:rPr>
              <w:t>10,6</w:t>
            </w:r>
          </w:p>
        </w:tc>
      </w:tr>
      <w:tr w:rsidR="00E15507" w:rsidRPr="00BC2C76">
        <w:tblPrEx>
          <w:tblCellMar>
            <w:top w:w="0" w:type="dxa"/>
            <w:bottom w:w="0" w:type="dxa"/>
          </w:tblCellMar>
        </w:tblPrEx>
        <w:tc>
          <w:tcPr>
            <w:tcW w:w="9720" w:type="dxa"/>
            <w:gridSpan w:val="9"/>
            <w:tcBorders>
              <w:bottom w:val="single" w:sz="12" w:space="0" w:color="auto"/>
            </w:tcBorders>
            <w:shd w:val="clear" w:color="auto" w:fill="auto"/>
            <w:vAlign w:val="bottom"/>
          </w:tcPr>
          <w:p w:rsidR="00E15507" w:rsidRPr="00BC2C76" w:rsidRDefault="00E15507" w:rsidP="00BC2C76">
            <w:pPr>
              <w:tabs>
                <w:tab w:val="left" w:pos="288"/>
                <w:tab w:val="left" w:pos="576"/>
                <w:tab w:val="left" w:pos="864"/>
                <w:tab w:val="left" w:pos="1152"/>
              </w:tabs>
              <w:suppressAutoHyphens/>
              <w:spacing w:before="40" w:after="40" w:line="210" w:lineRule="exact"/>
              <w:ind w:right="43"/>
              <w:rPr>
                <w:sz w:val="17"/>
                <w:szCs w:val="24"/>
                <w:lang w:val="fr-FR"/>
              </w:rPr>
            </w:pPr>
          </w:p>
        </w:tc>
      </w:tr>
    </w:tbl>
    <w:p w:rsidR="005D71E6" w:rsidRPr="005D71E6" w:rsidRDefault="005D71E6" w:rsidP="005D71E6">
      <w:pPr>
        <w:spacing w:line="120" w:lineRule="exact"/>
        <w:ind w:left="720"/>
        <w:rPr>
          <w:bCs/>
          <w:iCs/>
          <w:sz w:val="10"/>
          <w:szCs w:val="24"/>
          <w:highlight w:val="green"/>
          <w:lang w:val="fr-FR"/>
        </w:rPr>
      </w:pPr>
    </w:p>
    <w:p w:rsidR="00E15507" w:rsidRPr="005D71E6" w:rsidRDefault="005D71E6" w:rsidP="005D71E6">
      <w:pPr>
        <w:spacing w:line="480" w:lineRule="auto"/>
        <w:ind w:left="720" w:hanging="540"/>
        <w:rPr>
          <w:bCs/>
          <w:iCs/>
          <w:sz w:val="24"/>
          <w:szCs w:val="24"/>
          <w:highlight w:val="green"/>
          <w:lang w:val="fr-FR"/>
        </w:rPr>
      </w:pPr>
      <w:r w:rsidRPr="005D71E6">
        <w:rPr>
          <w:bCs/>
          <w:i/>
          <w:sz w:val="17"/>
          <w:szCs w:val="24"/>
          <w:lang w:val="fr-FR"/>
        </w:rPr>
        <w:t>Source </w:t>
      </w:r>
      <w:r w:rsidRPr="005D71E6">
        <w:rPr>
          <w:bCs/>
          <w:sz w:val="17"/>
          <w:szCs w:val="24"/>
          <w:lang w:val="fr-FR"/>
        </w:rPr>
        <w:t>: Ministère des Affaires étrangères, Abuja 2006</w:t>
      </w:r>
    </w:p>
    <w:p w:rsidR="00E15507" w:rsidRDefault="005D71E6" w:rsidP="005D71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E15507" w:rsidRPr="005D6CD4">
        <w:rPr>
          <w:lang w:val="fr-FR"/>
        </w:rPr>
        <w:t>8.3</w:t>
      </w:r>
      <w:r>
        <w:rPr>
          <w:lang w:val="fr-FR"/>
        </w:rPr>
        <w:tab/>
      </w:r>
      <w:r w:rsidR="00E15507" w:rsidRPr="005D6CD4">
        <w:rPr>
          <w:lang w:val="fr-FR"/>
        </w:rPr>
        <w:t>Les femmes dans les organisations internationales</w:t>
      </w:r>
    </w:p>
    <w:p w:rsidR="005D71E6" w:rsidRPr="005D71E6" w:rsidRDefault="005D71E6" w:rsidP="005D71E6">
      <w:pPr>
        <w:pStyle w:val="SingleTxt"/>
        <w:spacing w:after="0" w:line="120" w:lineRule="exact"/>
        <w:rPr>
          <w:sz w:val="10"/>
          <w:lang w:val="fr-FR"/>
        </w:rPr>
      </w:pPr>
    </w:p>
    <w:p w:rsidR="00E15507" w:rsidRPr="005D6CD4" w:rsidRDefault="005D71E6" w:rsidP="00740CA4">
      <w:pPr>
        <w:pStyle w:val="SingleTxt"/>
        <w:rPr>
          <w:i/>
          <w:lang w:val="fr-FR"/>
        </w:rPr>
      </w:pPr>
      <w:r>
        <w:rPr>
          <w:i/>
          <w:lang w:val="fr-FR"/>
        </w:rPr>
        <w:tab/>
      </w:r>
      <w:r w:rsidR="00E15507" w:rsidRPr="005D6CD4">
        <w:rPr>
          <w:i/>
          <w:lang w:val="fr-FR"/>
        </w:rPr>
        <w:t>Entre l</w:t>
      </w:r>
      <w:r w:rsidR="000A3D87">
        <w:rPr>
          <w:i/>
          <w:lang w:val="fr-FR"/>
        </w:rPr>
        <w:t>’</w:t>
      </w:r>
      <w:r w:rsidR="00E15507" w:rsidRPr="005D6CD4">
        <w:rPr>
          <w:i/>
          <w:lang w:val="fr-FR"/>
        </w:rPr>
        <w:t>an 2000 et aujourd</w:t>
      </w:r>
      <w:r w:rsidR="000A3D87">
        <w:rPr>
          <w:i/>
          <w:lang w:val="fr-FR"/>
        </w:rPr>
        <w:t>’</w:t>
      </w:r>
      <w:r w:rsidR="00E15507" w:rsidRPr="005D6CD4">
        <w:rPr>
          <w:i/>
          <w:lang w:val="fr-FR"/>
        </w:rPr>
        <w:t>hui, les femmes nigérianes ont servi en diverses qualités dans les organisations internationales. Les statistiques actuelles montrent que seulement deux femmes nigérianes font partie du quota du Nigéria dans les organis</w:t>
      </w:r>
      <w:r w:rsidR="00E15507">
        <w:rPr>
          <w:i/>
          <w:lang w:val="fr-FR"/>
        </w:rPr>
        <w:t xml:space="preserve">ations </w:t>
      </w:r>
      <w:r w:rsidR="00E15507" w:rsidRPr="005D6CD4">
        <w:rPr>
          <w:i/>
          <w:lang w:val="fr-FR"/>
        </w:rPr>
        <w:t>internationa</w:t>
      </w:r>
      <w:r w:rsidR="00E15507">
        <w:rPr>
          <w:i/>
          <w:lang w:val="fr-FR"/>
        </w:rPr>
        <w:t>les</w:t>
      </w:r>
      <w:r w:rsidR="00E15507" w:rsidRPr="005D6CD4">
        <w:rPr>
          <w:i/>
          <w:lang w:val="fr-FR"/>
        </w:rPr>
        <w:t xml:space="preserve">, à savoir, </w:t>
      </w:r>
      <w:r w:rsidR="00E15507">
        <w:rPr>
          <w:i/>
          <w:lang w:val="fr-FR"/>
        </w:rPr>
        <w:t xml:space="preserve">la </w:t>
      </w:r>
      <w:r w:rsidR="00E15507" w:rsidRPr="005D6CD4">
        <w:rPr>
          <w:i/>
          <w:lang w:val="fr-FR"/>
        </w:rPr>
        <w:t xml:space="preserve">Présidente de la Cour de justice de la Communauté économique des </w:t>
      </w:r>
      <w:r w:rsidR="00E15507">
        <w:rPr>
          <w:i/>
          <w:lang w:val="fr-FR"/>
        </w:rPr>
        <w:t>É</w:t>
      </w:r>
      <w:r w:rsidR="00E15507" w:rsidRPr="005D6CD4">
        <w:rPr>
          <w:i/>
          <w:lang w:val="fr-FR"/>
        </w:rPr>
        <w:t>tats de l</w:t>
      </w:r>
      <w:r w:rsidR="000A3D87">
        <w:rPr>
          <w:i/>
          <w:lang w:val="fr-FR"/>
        </w:rPr>
        <w:t>’</w:t>
      </w:r>
      <w:r w:rsidR="00E15507" w:rsidRPr="005D6CD4">
        <w:rPr>
          <w:i/>
          <w:lang w:val="fr-FR"/>
        </w:rPr>
        <w:t>Afrique de l</w:t>
      </w:r>
      <w:r w:rsidR="000A3D87">
        <w:rPr>
          <w:i/>
          <w:lang w:val="fr-FR"/>
        </w:rPr>
        <w:t>’</w:t>
      </w:r>
      <w:r w:rsidR="00E15507" w:rsidRPr="005D6CD4">
        <w:rPr>
          <w:i/>
          <w:lang w:val="fr-FR"/>
        </w:rPr>
        <w:t xml:space="preserve">Ouest (CEDEAO) et </w:t>
      </w:r>
      <w:r w:rsidR="00E15507">
        <w:rPr>
          <w:i/>
          <w:lang w:val="fr-FR"/>
        </w:rPr>
        <w:t xml:space="preserve">la </w:t>
      </w:r>
      <w:r w:rsidR="00E15507" w:rsidRPr="005D6CD4">
        <w:rPr>
          <w:i/>
          <w:lang w:val="fr-FR"/>
        </w:rPr>
        <w:t>Secrétaire générale du Parlement de la CEDEAO. D</w:t>
      </w:r>
      <w:r w:rsidR="000A3D87">
        <w:rPr>
          <w:i/>
          <w:lang w:val="fr-FR"/>
        </w:rPr>
        <w:t>’</w:t>
      </w:r>
      <w:r w:rsidR="00E15507" w:rsidRPr="005D6CD4">
        <w:rPr>
          <w:i/>
          <w:lang w:val="fr-FR"/>
        </w:rPr>
        <w:t>autres femmes nigérianes peuvent être retrouvées dans ces organisations internationales mais à titre personnel.</w:t>
      </w:r>
    </w:p>
    <w:p w:rsidR="00E15507" w:rsidRPr="005D6CD4" w:rsidRDefault="005D71E6" w:rsidP="00740CA4">
      <w:pPr>
        <w:pStyle w:val="SingleTxt"/>
        <w:rPr>
          <w:bCs/>
          <w:lang w:val="fr-FR"/>
        </w:rPr>
      </w:pPr>
      <w:r>
        <w:rPr>
          <w:i/>
          <w:lang w:val="fr-FR"/>
        </w:rPr>
        <w:tab/>
      </w:r>
      <w:r w:rsidR="00E15507" w:rsidRPr="005D6CD4">
        <w:rPr>
          <w:i/>
          <w:lang w:val="fr-FR"/>
        </w:rPr>
        <w:t>Bien que des femmes nigérianes soient recrutées sur place par les organisations internationales représentées au Nigéria, les statistiques disponibles montrent que la plupart de ces organis</w:t>
      </w:r>
      <w:r w:rsidR="00E15507">
        <w:rPr>
          <w:i/>
          <w:lang w:val="fr-FR"/>
        </w:rPr>
        <w:t xml:space="preserve">ations </w:t>
      </w:r>
      <w:r w:rsidR="00E15507" w:rsidRPr="005D6CD4">
        <w:rPr>
          <w:i/>
          <w:lang w:val="fr-FR"/>
        </w:rPr>
        <w:t>n</w:t>
      </w:r>
      <w:r w:rsidR="000A3D87">
        <w:rPr>
          <w:i/>
          <w:lang w:val="fr-FR"/>
        </w:rPr>
        <w:t>’</w:t>
      </w:r>
      <w:r w:rsidR="00E15507" w:rsidRPr="005D6CD4">
        <w:rPr>
          <w:i/>
          <w:lang w:val="fr-FR"/>
        </w:rPr>
        <w:t>ont pas pu réaliser la parité entre les sexes dans le recrutement du personnel de nationalité nigériane. Au moment de la préparation du présent rapport, il n</w:t>
      </w:r>
      <w:r w:rsidR="000A3D87">
        <w:rPr>
          <w:i/>
          <w:lang w:val="fr-FR"/>
        </w:rPr>
        <w:t>’</w:t>
      </w:r>
      <w:r w:rsidR="00E15507" w:rsidRPr="005D6CD4">
        <w:rPr>
          <w:i/>
          <w:lang w:val="fr-FR"/>
        </w:rPr>
        <w:t>exist</w:t>
      </w:r>
      <w:r w:rsidR="00E15507">
        <w:rPr>
          <w:i/>
          <w:lang w:val="fr-FR"/>
        </w:rPr>
        <w:t xml:space="preserve">ait </w:t>
      </w:r>
      <w:r w:rsidR="00E15507" w:rsidRPr="005D6CD4">
        <w:rPr>
          <w:i/>
          <w:lang w:val="fr-FR"/>
        </w:rPr>
        <w:t xml:space="preserve">pas de publication qui contienne les données à jour du </w:t>
      </w:r>
      <w:r w:rsidR="00E15507">
        <w:rPr>
          <w:i/>
          <w:lang w:val="fr-FR"/>
        </w:rPr>
        <w:t>Tableau</w:t>
      </w:r>
      <w:r w:rsidR="00E15507" w:rsidRPr="005D6CD4">
        <w:rPr>
          <w:i/>
          <w:lang w:val="fr-FR"/>
        </w:rPr>
        <w:t xml:space="preserve"> 8.2 ci-après.</w:t>
      </w:r>
      <w:r w:rsidR="00E15507">
        <w:rPr>
          <w:i/>
          <w:lang w:val="fr-FR"/>
        </w:rPr>
        <w:t xml:space="preserve"> </w:t>
      </w:r>
    </w:p>
    <w:p w:rsidR="00E15507" w:rsidRDefault="00E15507" w:rsidP="005D71E6">
      <w:pPr>
        <w:pStyle w:val="SingleTxt"/>
        <w:jc w:val="left"/>
        <w:rPr>
          <w:b/>
          <w:lang w:val="fr-FR"/>
        </w:rPr>
      </w:pPr>
      <w:r w:rsidRPr="005D71E6">
        <w:rPr>
          <w:lang w:val="fr-FR"/>
        </w:rPr>
        <w:t>Tableau 8.2</w:t>
      </w:r>
      <w:r w:rsidR="005D71E6">
        <w:rPr>
          <w:lang w:val="fr-FR"/>
        </w:rPr>
        <w:br/>
      </w:r>
      <w:r w:rsidRPr="005D71E6">
        <w:rPr>
          <w:b/>
          <w:lang w:val="fr-FR"/>
        </w:rPr>
        <w:t>Personnel des organisations internationales de développement</w:t>
      </w:r>
    </w:p>
    <w:p w:rsidR="005D71E6" w:rsidRPr="005D71E6" w:rsidRDefault="005D71E6" w:rsidP="005D71E6">
      <w:pPr>
        <w:pStyle w:val="SingleTxt"/>
        <w:spacing w:after="0" w:line="120" w:lineRule="exact"/>
        <w:jc w:val="left"/>
        <w:rPr>
          <w:b/>
          <w:sz w:val="10"/>
          <w:lang w:val="fr-FR"/>
        </w:rPr>
      </w:pPr>
    </w:p>
    <w:tbl>
      <w:tblPr>
        <w:tblW w:w="0" w:type="auto"/>
        <w:jc w:val="center"/>
        <w:tblInd w:w="-562" w:type="dxa"/>
        <w:tblLook w:val="0000"/>
      </w:tblPr>
      <w:tblGrid>
        <w:gridCol w:w="799"/>
        <w:gridCol w:w="3432"/>
        <w:gridCol w:w="1288"/>
        <w:gridCol w:w="1248"/>
      </w:tblGrid>
      <w:tr w:rsidR="00E15507" w:rsidRPr="005D71E6">
        <w:tblPrEx>
          <w:tblCellMar>
            <w:top w:w="0" w:type="dxa"/>
            <w:bottom w:w="0" w:type="dxa"/>
          </w:tblCellMar>
        </w:tblPrEx>
        <w:trPr>
          <w:tblHeader/>
          <w:jc w:val="center"/>
        </w:trPr>
        <w:tc>
          <w:tcPr>
            <w:tcW w:w="799" w:type="dxa"/>
            <w:tcBorders>
              <w:top w:val="single" w:sz="4" w:space="0" w:color="auto"/>
              <w:bottom w:val="single" w:sz="12" w:space="0" w:color="auto"/>
            </w:tcBorders>
            <w:shd w:val="clear" w:color="auto" w:fill="auto"/>
            <w:vAlign w:val="bottom"/>
          </w:tcPr>
          <w:p w:rsidR="00E15507" w:rsidRPr="005D71E6" w:rsidRDefault="00E15507" w:rsidP="005D71E6">
            <w:pPr>
              <w:suppressAutoHyphens/>
              <w:spacing w:before="80" w:after="80" w:line="160" w:lineRule="exact"/>
              <w:ind w:right="43"/>
              <w:rPr>
                <w:b/>
                <w:bCs/>
                <w:i/>
                <w:sz w:val="14"/>
                <w:szCs w:val="24"/>
                <w:lang w:val="fr-FR"/>
              </w:rPr>
            </w:pPr>
            <w:r w:rsidRPr="005D71E6">
              <w:rPr>
                <w:b/>
                <w:bCs/>
                <w:i/>
                <w:sz w:val="14"/>
                <w:szCs w:val="24"/>
                <w:lang w:val="fr-FR"/>
              </w:rPr>
              <w:t>N</w:t>
            </w:r>
            <w:r w:rsidRPr="005D71E6">
              <w:rPr>
                <w:b/>
                <w:bCs/>
                <w:i/>
                <w:sz w:val="14"/>
                <w:szCs w:val="24"/>
                <w:vertAlign w:val="superscript"/>
                <w:lang w:val="fr-FR"/>
              </w:rPr>
              <w:t>o</w:t>
            </w:r>
            <w:r w:rsidR="000A3D87">
              <w:rPr>
                <w:b/>
                <w:bCs/>
                <w:i/>
                <w:sz w:val="14"/>
                <w:szCs w:val="24"/>
                <w:vertAlign w:val="superscript"/>
                <w:lang w:val="fr-FR"/>
              </w:rPr>
              <w:t> </w:t>
            </w:r>
          </w:p>
        </w:tc>
        <w:tc>
          <w:tcPr>
            <w:tcW w:w="3432" w:type="dxa"/>
            <w:tcBorders>
              <w:top w:val="single" w:sz="4" w:space="0" w:color="auto"/>
              <w:bottom w:val="single" w:sz="12" w:space="0" w:color="auto"/>
            </w:tcBorders>
            <w:shd w:val="clear" w:color="auto" w:fill="auto"/>
            <w:vAlign w:val="bottom"/>
          </w:tcPr>
          <w:p w:rsidR="00E15507" w:rsidRPr="005D71E6" w:rsidRDefault="00E15507" w:rsidP="005D71E6">
            <w:pPr>
              <w:suppressAutoHyphens/>
              <w:spacing w:before="80" w:after="80" w:line="160" w:lineRule="exact"/>
              <w:ind w:right="43"/>
              <w:rPr>
                <w:b/>
                <w:bCs/>
                <w:i/>
                <w:sz w:val="14"/>
                <w:szCs w:val="24"/>
                <w:lang w:val="fr-FR"/>
              </w:rPr>
            </w:pPr>
            <w:r w:rsidRPr="005D71E6">
              <w:rPr>
                <w:b/>
                <w:bCs/>
                <w:i/>
                <w:sz w:val="14"/>
                <w:szCs w:val="24"/>
                <w:lang w:val="fr-FR"/>
              </w:rPr>
              <w:t>ORGANISATION</w:t>
            </w:r>
          </w:p>
        </w:tc>
        <w:tc>
          <w:tcPr>
            <w:tcW w:w="0" w:type="auto"/>
            <w:tcBorders>
              <w:top w:val="single" w:sz="4" w:space="0" w:color="auto"/>
              <w:bottom w:val="single" w:sz="12" w:space="0" w:color="auto"/>
            </w:tcBorders>
            <w:shd w:val="clear" w:color="auto" w:fill="auto"/>
            <w:vAlign w:val="bottom"/>
          </w:tcPr>
          <w:p w:rsidR="00E15507" w:rsidRPr="005D71E6" w:rsidRDefault="00E15507" w:rsidP="005D71E6">
            <w:pPr>
              <w:suppressAutoHyphens/>
              <w:spacing w:before="80" w:after="80" w:line="160" w:lineRule="exact"/>
              <w:ind w:right="43"/>
              <w:jc w:val="right"/>
              <w:rPr>
                <w:b/>
                <w:bCs/>
                <w:i/>
                <w:sz w:val="14"/>
                <w:szCs w:val="24"/>
                <w:lang w:val="fr-FR"/>
              </w:rPr>
            </w:pPr>
            <w:r w:rsidRPr="005D71E6">
              <w:rPr>
                <w:b/>
                <w:bCs/>
                <w:i/>
                <w:sz w:val="14"/>
                <w:szCs w:val="24"/>
                <w:lang w:val="fr-FR"/>
              </w:rPr>
              <w:t>% hommes 2001</w:t>
            </w:r>
          </w:p>
        </w:tc>
        <w:tc>
          <w:tcPr>
            <w:tcW w:w="0" w:type="auto"/>
            <w:tcBorders>
              <w:top w:val="single" w:sz="4" w:space="0" w:color="auto"/>
              <w:bottom w:val="single" w:sz="12" w:space="0" w:color="auto"/>
            </w:tcBorders>
            <w:shd w:val="clear" w:color="auto" w:fill="auto"/>
            <w:vAlign w:val="bottom"/>
          </w:tcPr>
          <w:p w:rsidR="00E15507" w:rsidRPr="005D71E6" w:rsidRDefault="00E15507" w:rsidP="005D71E6">
            <w:pPr>
              <w:suppressAutoHyphens/>
              <w:spacing w:before="80" w:after="80" w:line="160" w:lineRule="exact"/>
              <w:ind w:right="43"/>
              <w:jc w:val="right"/>
              <w:rPr>
                <w:b/>
                <w:bCs/>
                <w:i/>
                <w:sz w:val="14"/>
                <w:szCs w:val="24"/>
                <w:lang w:val="fr-FR"/>
              </w:rPr>
            </w:pPr>
            <w:r w:rsidRPr="005D71E6">
              <w:rPr>
                <w:b/>
                <w:bCs/>
                <w:i/>
                <w:sz w:val="14"/>
                <w:szCs w:val="24"/>
                <w:lang w:val="fr-FR"/>
              </w:rPr>
              <w:t>% femmes 2001</w:t>
            </w:r>
          </w:p>
        </w:tc>
      </w:tr>
      <w:tr w:rsidR="005D71E6" w:rsidRPr="005D71E6">
        <w:tblPrEx>
          <w:tblCellMar>
            <w:top w:w="0" w:type="dxa"/>
            <w:bottom w:w="0" w:type="dxa"/>
          </w:tblCellMar>
        </w:tblPrEx>
        <w:trPr>
          <w:trHeight w:hRule="exact" w:val="115"/>
          <w:tblHeader/>
          <w:jc w:val="center"/>
        </w:trPr>
        <w:tc>
          <w:tcPr>
            <w:tcW w:w="799" w:type="dxa"/>
            <w:tcBorders>
              <w:top w:val="single" w:sz="12" w:space="0" w:color="auto"/>
            </w:tcBorders>
            <w:shd w:val="clear" w:color="auto" w:fill="auto"/>
            <w:vAlign w:val="bottom"/>
          </w:tcPr>
          <w:p w:rsidR="005D71E6" w:rsidRPr="005D71E6" w:rsidRDefault="005D71E6" w:rsidP="005D71E6">
            <w:pPr>
              <w:suppressAutoHyphens/>
              <w:spacing w:before="40" w:after="40" w:line="210" w:lineRule="exact"/>
              <w:ind w:right="43"/>
              <w:rPr>
                <w:b/>
                <w:bCs/>
                <w:sz w:val="17"/>
                <w:szCs w:val="24"/>
                <w:lang w:val="fr-FR"/>
              </w:rPr>
            </w:pPr>
          </w:p>
        </w:tc>
        <w:tc>
          <w:tcPr>
            <w:tcW w:w="3432" w:type="dxa"/>
            <w:tcBorders>
              <w:top w:val="single" w:sz="12" w:space="0" w:color="auto"/>
            </w:tcBorders>
            <w:shd w:val="clear" w:color="auto" w:fill="auto"/>
            <w:vAlign w:val="bottom"/>
          </w:tcPr>
          <w:p w:rsidR="005D71E6" w:rsidRPr="005D71E6" w:rsidRDefault="005D71E6" w:rsidP="005D71E6">
            <w:pPr>
              <w:suppressAutoHyphens/>
              <w:spacing w:before="40" w:after="40" w:line="210" w:lineRule="exact"/>
              <w:ind w:right="43"/>
              <w:jc w:val="right"/>
              <w:rPr>
                <w:b/>
                <w:bCs/>
                <w:sz w:val="17"/>
                <w:szCs w:val="24"/>
                <w:lang w:val="fr-FR"/>
              </w:rPr>
            </w:pPr>
          </w:p>
        </w:tc>
        <w:tc>
          <w:tcPr>
            <w:tcW w:w="0" w:type="auto"/>
            <w:tcBorders>
              <w:top w:val="single" w:sz="12" w:space="0" w:color="auto"/>
            </w:tcBorders>
            <w:shd w:val="clear" w:color="auto" w:fill="auto"/>
            <w:vAlign w:val="bottom"/>
          </w:tcPr>
          <w:p w:rsidR="005D71E6" w:rsidRPr="005D71E6" w:rsidRDefault="005D71E6" w:rsidP="005D71E6">
            <w:pPr>
              <w:suppressAutoHyphens/>
              <w:spacing w:before="40" w:after="40" w:line="210" w:lineRule="exact"/>
              <w:ind w:right="43"/>
              <w:jc w:val="right"/>
              <w:rPr>
                <w:b/>
                <w:bCs/>
                <w:sz w:val="17"/>
                <w:szCs w:val="24"/>
                <w:lang w:val="fr-FR"/>
              </w:rPr>
            </w:pPr>
          </w:p>
        </w:tc>
        <w:tc>
          <w:tcPr>
            <w:tcW w:w="0" w:type="auto"/>
            <w:tcBorders>
              <w:top w:val="single" w:sz="12" w:space="0" w:color="auto"/>
            </w:tcBorders>
            <w:shd w:val="clear" w:color="auto" w:fill="auto"/>
            <w:vAlign w:val="bottom"/>
          </w:tcPr>
          <w:p w:rsidR="005D71E6" w:rsidRPr="005D71E6" w:rsidRDefault="005D71E6" w:rsidP="005D71E6">
            <w:pPr>
              <w:suppressAutoHyphens/>
              <w:spacing w:before="40" w:after="40" w:line="210" w:lineRule="exact"/>
              <w:ind w:right="43"/>
              <w:jc w:val="right"/>
              <w:rPr>
                <w:b/>
                <w:bCs/>
                <w:sz w:val="17"/>
                <w:szCs w:val="24"/>
                <w:lang w:val="fr-FR"/>
              </w:rPr>
            </w:pPr>
          </w:p>
        </w:tc>
      </w:tr>
      <w:tr w:rsidR="00E15507" w:rsidRPr="005D71E6">
        <w:tblPrEx>
          <w:tblCellMar>
            <w:top w:w="0" w:type="dxa"/>
            <w:bottom w:w="0" w:type="dxa"/>
          </w:tblCellMar>
        </w:tblPrEx>
        <w:trPr>
          <w:jc w:val="center"/>
        </w:trPr>
        <w:tc>
          <w:tcPr>
            <w:tcW w:w="799" w:type="dxa"/>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rPr>
                <w:b/>
                <w:bCs/>
                <w:sz w:val="17"/>
                <w:szCs w:val="24"/>
                <w:lang w:val="fr-FR"/>
              </w:rPr>
            </w:pPr>
            <w:r w:rsidRPr="005D71E6">
              <w:rPr>
                <w:b/>
                <w:bCs/>
                <w:sz w:val="17"/>
                <w:szCs w:val="24"/>
                <w:lang w:val="fr-FR"/>
              </w:rPr>
              <w:t>1</w:t>
            </w:r>
          </w:p>
        </w:tc>
        <w:tc>
          <w:tcPr>
            <w:tcW w:w="3432" w:type="dxa"/>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rPr>
                <w:b/>
                <w:bCs/>
                <w:sz w:val="17"/>
                <w:szCs w:val="24"/>
                <w:lang w:val="fr-FR"/>
              </w:rPr>
            </w:pPr>
            <w:r w:rsidRPr="005D71E6">
              <w:rPr>
                <w:b/>
                <w:bCs/>
                <w:sz w:val="17"/>
                <w:szCs w:val="24"/>
                <w:lang w:val="fr-FR"/>
              </w:rPr>
              <w:t>PNUD Lagos</w:t>
            </w:r>
          </w:p>
        </w:tc>
        <w:tc>
          <w:tcPr>
            <w:tcW w:w="0" w:type="auto"/>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jc w:val="right"/>
              <w:rPr>
                <w:b/>
                <w:bCs/>
                <w:sz w:val="17"/>
                <w:szCs w:val="24"/>
                <w:lang w:val="fr-FR"/>
              </w:rPr>
            </w:pPr>
            <w:r w:rsidRPr="005D71E6">
              <w:rPr>
                <w:b/>
                <w:bCs/>
                <w:sz w:val="17"/>
                <w:szCs w:val="24"/>
                <w:lang w:val="fr-FR"/>
              </w:rPr>
              <w:t>61,02</w:t>
            </w:r>
          </w:p>
        </w:tc>
        <w:tc>
          <w:tcPr>
            <w:tcW w:w="0" w:type="auto"/>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jc w:val="right"/>
              <w:rPr>
                <w:b/>
                <w:bCs/>
                <w:sz w:val="17"/>
                <w:szCs w:val="24"/>
                <w:lang w:val="fr-FR"/>
              </w:rPr>
            </w:pPr>
            <w:r w:rsidRPr="005D71E6">
              <w:rPr>
                <w:b/>
                <w:bCs/>
                <w:sz w:val="17"/>
                <w:szCs w:val="24"/>
                <w:lang w:val="fr-FR"/>
              </w:rPr>
              <w:t>38.98</w:t>
            </w:r>
          </w:p>
        </w:tc>
      </w:tr>
      <w:tr w:rsidR="00E15507" w:rsidRPr="005D71E6">
        <w:tblPrEx>
          <w:tblCellMar>
            <w:top w:w="0" w:type="dxa"/>
            <w:bottom w:w="0" w:type="dxa"/>
          </w:tblCellMar>
        </w:tblPrEx>
        <w:trPr>
          <w:jc w:val="center"/>
        </w:trPr>
        <w:tc>
          <w:tcPr>
            <w:tcW w:w="799" w:type="dxa"/>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rPr>
                <w:b/>
                <w:bCs/>
                <w:sz w:val="17"/>
                <w:szCs w:val="24"/>
                <w:lang w:val="fr-FR"/>
              </w:rPr>
            </w:pPr>
            <w:r w:rsidRPr="005D71E6">
              <w:rPr>
                <w:b/>
                <w:bCs/>
                <w:sz w:val="17"/>
                <w:szCs w:val="24"/>
                <w:lang w:val="fr-FR"/>
              </w:rPr>
              <w:t>2</w:t>
            </w:r>
          </w:p>
        </w:tc>
        <w:tc>
          <w:tcPr>
            <w:tcW w:w="3432" w:type="dxa"/>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rPr>
                <w:b/>
                <w:bCs/>
                <w:sz w:val="17"/>
                <w:szCs w:val="24"/>
                <w:lang w:val="fr-FR"/>
              </w:rPr>
            </w:pPr>
            <w:r w:rsidRPr="005D71E6">
              <w:rPr>
                <w:b/>
                <w:bCs/>
                <w:sz w:val="17"/>
                <w:szCs w:val="24"/>
                <w:lang w:val="fr-FR"/>
              </w:rPr>
              <w:t>PNUD Abuja</w:t>
            </w:r>
          </w:p>
        </w:tc>
        <w:tc>
          <w:tcPr>
            <w:tcW w:w="0" w:type="auto"/>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jc w:val="right"/>
              <w:rPr>
                <w:b/>
                <w:bCs/>
                <w:sz w:val="17"/>
                <w:szCs w:val="24"/>
                <w:lang w:val="fr-FR"/>
              </w:rPr>
            </w:pPr>
            <w:r w:rsidRPr="005D71E6">
              <w:rPr>
                <w:b/>
                <w:bCs/>
                <w:sz w:val="17"/>
                <w:szCs w:val="24"/>
                <w:lang w:val="fr-FR"/>
              </w:rPr>
              <w:t>85,77</w:t>
            </w:r>
          </w:p>
        </w:tc>
        <w:tc>
          <w:tcPr>
            <w:tcW w:w="0" w:type="auto"/>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jc w:val="right"/>
              <w:rPr>
                <w:b/>
                <w:bCs/>
                <w:sz w:val="17"/>
                <w:szCs w:val="24"/>
                <w:lang w:val="fr-FR"/>
              </w:rPr>
            </w:pPr>
            <w:r w:rsidRPr="005D71E6">
              <w:rPr>
                <w:b/>
                <w:bCs/>
                <w:sz w:val="17"/>
                <w:szCs w:val="24"/>
                <w:lang w:val="fr-FR"/>
              </w:rPr>
              <w:t>14.28</w:t>
            </w:r>
          </w:p>
        </w:tc>
      </w:tr>
      <w:tr w:rsidR="00E15507" w:rsidRPr="005D71E6">
        <w:tblPrEx>
          <w:tblCellMar>
            <w:top w:w="0" w:type="dxa"/>
            <w:bottom w:w="0" w:type="dxa"/>
          </w:tblCellMar>
        </w:tblPrEx>
        <w:trPr>
          <w:jc w:val="center"/>
        </w:trPr>
        <w:tc>
          <w:tcPr>
            <w:tcW w:w="799" w:type="dxa"/>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rPr>
                <w:b/>
                <w:bCs/>
                <w:sz w:val="17"/>
                <w:szCs w:val="24"/>
                <w:lang w:val="fr-FR"/>
              </w:rPr>
            </w:pPr>
            <w:r w:rsidRPr="005D71E6">
              <w:rPr>
                <w:b/>
                <w:bCs/>
                <w:sz w:val="17"/>
                <w:szCs w:val="24"/>
                <w:lang w:val="fr-FR"/>
              </w:rPr>
              <w:t>3</w:t>
            </w:r>
          </w:p>
        </w:tc>
        <w:tc>
          <w:tcPr>
            <w:tcW w:w="3432" w:type="dxa"/>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rPr>
                <w:b/>
                <w:bCs/>
                <w:sz w:val="17"/>
                <w:szCs w:val="24"/>
                <w:lang w:val="fr-FR"/>
              </w:rPr>
            </w:pPr>
            <w:r w:rsidRPr="005D71E6">
              <w:rPr>
                <w:b/>
                <w:bCs/>
                <w:sz w:val="17"/>
                <w:szCs w:val="24"/>
                <w:lang w:val="fr-FR"/>
              </w:rPr>
              <w:t>Programme d</w:t>
            </w:r>
            <w:r w:rsidR="000A3D87">
              <w:rPr>
                <w:b/>
                <w:bCs/>
                <w:sz w:val="17"/>
                <w:szCs w:val="24"/>
                <w:lang w:val="fr-FR"/>
              </w:rPr>
              <w:t>’</w:t>
            </w:r>
            <w:r w:rsidRPr="005D71E6">
              <w:rPr>
                <w:b/>
                <w:bCs/>
                <w:sz w:val="17"/>
                <w:szCs w:val="24"/>
                <w:lang w:val="fr-FR"/>
              </w:rPr>
              <w:t>État du PNUD</w:t>
            </w:r>
          </w:p>
        </w:tc>
        <w:tc>
          <w:tcPr>
            <w:tcW w:w="0" w:type="auto"/>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jc w:val="right"/>
              <w:rPr>
                <w:b/>
                <w:bCs/>
                <w:sz w:val="17"/>
                <w:szCs w:val="24"/>
                <w:lang w:val="fr-FR"/>
              </w:rPr>
            </w:pPr>
            <w:r w:rsidRPr="005D71E6">
              <w:rPr>
                <w:b/>
                <w:bCs/>
                <w:sz w:val="17"/>
                <w:szCs w:val="24"/>
                <w:lang w:val="fr-FR"/>
              </w:rPr>
              <w:t>85,08</w:t>
            </w:r>
          </w:p>
        </w:tc>
        <w:tc>
          <w:tcPr>
            <w:tcW w:w="0" w:type="auto"/>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jc w:val="right"/>
              <w:rPr>
                <w:b/>
                <w:bCs/>
                <w:sz w:val="17"/>
                <w:szCs w:val="24"/>
                <w:lang w:val="fr-FR"/>
              </w:rPr>
            </w:pPr>
            <w:r w:rsidRPr="005D71E6">
              <w:rPr>
                <w:b/>
                <w:bCs/>
                <w:sz w:val="17"/>
                <w:szCs w:val="24"/>
                <w:lang w:val="fr-FR"/>
              </w:rPr>
              <w:t>14.92</w:t>
            </w:r>
          </w:p>
        </w:tc>
      </w:tr>
      <w:tr w:rsidR="00E15507" w:rsidRPr="005D71E6">
        <w:tblPrEx>
          <w:tblCellMar>
            <w:top w:w="0" w:type="dxa"/>
            <w:bottom w:w="0" w:type="dxa"/>
          </w:tblCellMar>
        </w:tblPrEx>
        <w:trPr>
          <w:jc w:val="center"/>
        </w:trPr>
        <w:tc>
          <w:tcPr>
            <w:tcW w:w="799" w:type="dxa"/>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rPr>
                <w:b/>
                <w:bCs/>
                <w:sz w:val="17"/>
                <w:szCs w:val="24"/>
                <w:lang w:val="fr-FR"/>
              </w:rPr>
            </w:pPr>
            <w:r w:rsidRPr="005D71E6">
              <w:rPr>
                <w:b/>
                <w:bCs/>
                <w:sz w:val="17"/>
                <w:szCs w:val="24"/>
                <w:lang w:val="fr-FR"/>
              </w:rPr>
              <w:t>4</w:t>
            </w:r>
          </w:p>
        </w:tc>
        <w:tc>
          <w:tcPr>
            <w:tcW w:w="3432" w:type="dxa"/>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rPr>
                <w:b/>
                <w:bCs/>
                <w:sz w:val="17"/>
                <w:szCs w:val="24"/>
                <w:lang w:val="fr-FR"/>
              </w:rPr>
            </w:pPr>
            <w:r w:rsidRPr="005D71E6">
              <w:rPr>
                <w:b/>
                <w:bCs/>
                <w:sz w:val="17"/>
                <w:szCs w:val="24"/>
                <w:lang w:val="fr-FR"/>
              </w:rPr>
              <w:t>UNIFEM</w:t>
            </w:r>
          </w:p>
        </w:tc>
        <w:tc>
          <w:tcPr>
            <w:tcW w:w="0" w:type="auto"/>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jc w:val="right"/>
              <w:rPr>
                <w:b/>
                <w:bCs/>
                <w:sz w:val="17"/>
                <w:szCs w:val="24"/>
                <w:lang w:val="fr-FR"/>
              </w:rPr>
            </w:pPr>
            <w:r w:rsidRPr="005D71E6">
              <w:rPr>
                <w:b/>
                <w:bCs/>
                <w:sz w:val="17"/>
                <w:szCs w:val="24"/>
                <w:lang w:val="fr-FR"/>
              </w:rPr>
              <w:t>42,86</w:t>
            </w:r>
          </w:p>
        </w:tc>
        <w:tc>
          <w:tcPr>
            <w:tcW w:w="0" w:type="auto"/>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jc w:val="right"/>
              <w:rPr>
                <w:b/>
                <w:bCs/>
                <w:sz w:val="17"/>
                <w:szCs w:val="24"/>
                <w:lang w:val="fr-FR"/>
              </w:rPr>
            </w:pPr>
            <w:r w:rsidRPr="005D71E6">
              <w:rPr>
                <w:b/>
                <w:bCs/>
                <w:sz w:val="17"/>
                <w:szCs w:val="24"/>
                <w:lang w:val="fr-FR"/>
              </w:rPr>
              <w:t>57,14</w:t>
            </w:r>
          </w:p>
        </w:tc>
      </w:tr>
      <w:tr w:rsidR="00E15507" w:rsidRPr="005D71E6">
        <w:tblPrEx>
          <w:tblCellMar>
            <w:top w:w="0" w:type="dxa"/>
            <w:bottom w:w="0" w:type="dxa"/>
          </w:tblCellMar>
        </w:tblPrEx>
        <w:trPr>
          <w:jc w:val="center"/>
        </w:trPr>
        <w:tc>
          <w:tcPr>
            <w:tcW w:w="799" w:type="dxa"/>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rPr>
                <w:b/>
                <w:bCs/>
                <w:sz w:val="17"/>
                <w:szCs w:val="24"/>
                <w:lang w:val="fr-FR"/>
              </w:rPr>
            </w:pPr>
            <w:r w:rsidRPr="005D71E6">
              <w:rPr>
                <w:b/>
                <w:bCs/>
                <w:sz w:val="17"/>
                <w:szCs w:val="24"/>
                <w:lang w:val="fr-FR"/>
              </w:rPr>
              <w:t>5</w:t>
            </w:r>
          </w:p>
        </w:tc>
        <w:tc>
          <w:tcPr>
            <w:tcW w:w="3432" w:type="dxa"/>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rPr>
                <w:b/>
                <w:bCs/>
                <w:sz w:val="17"/>
                <w:szCs w:val="24"/>
                <w:lang w:val="fr-FR"/>
              </w:rPr>
            </w:pPr>
            <w:r w:rsidRPr="005D71E6">
              <w:rPr>
                <w:b/>
                <w:bCs/>
                <w:sz w:val="17"/>
                <w:szCs w:val="24"/>
                <w:lang w:val="fr-FR"/>
              </w:rPr>
              <w:t>FNUAP Lagos</w:t>
            </w:r>
          </w:p>
        </w:tc>
        <w:tc>
          <w:tcPr>
            <w:tcW w:w="0" w:type="auto"/>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jc w:val="right"/>
              <w:rPr>
                <w:b/>
                <w:bCs/>
                <w:sz w:val="17"/>
                <w:szCs w:val="24"/>
                <w:lang w:val="fr-FR"/>
              </w:rPr>
            </w:pPr>
            <w:r w:rsidRPr="005D71E6">
              <w:rPr>
                <w:b/>
                <w:bCs/>
                <w:sz w:val="17"/>
                <w:szCs w:val="24"/>
                <w:lang w:val="fr-FR"/>
              </w:rPr>
              <w:t>61,12</w:t>
            </w:r>
          </w:p>
        </w:tc>
        <w:tc>
          <w:tcPr>
            <w:tcW w:w="0" w:type="auto"/>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jc w:val="right"/>
              <w:rPr>
                <w:b/>
                <w:bCs/>
                <w:sz w:val="17"/>
                <w:szCs w:val="24"/>
                <w:lang w:val="fr-FR"/>
              </w:rPr>
            </w:pPr>
            <w:r w:rsidRPr="005D71E6">
              <w:rPr>
                <w:b/>
                <w:bCs/>
                <w:sz w:val="17"/>
                <w:szCs w:val="24"/>
                <w:lang w:val="fr-FR"/>
              </w:rPr>
              <w:t>38,88</w:t>
            </w:r>
          </w:p>
        </w:tc>
      </w:tr>
      <w:tr w:rsidR="00E15507" w:rsidRPr="005D71E6">
        <w:tblPrEx>
          <w:tblCellMar>
            <w:top w:w="0" w:type="dxa"/>
            <w:bottom w:w="0" w:type="dxa"/>
          </w:tblCellMar>
        </w:tblPrEx>
        <w:trPr>
          <w:jc w:val="center"/>
        </w:trPr>
        <w:tc>
          <w:tcPr>
            <w:tcW w:w="799" w:type="dxa"/>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rPr>
                <w:b/>
                <w:bCs/>
                <w:sz w:val="17"/>
                <w:szCs w:val="24"/>
                <w:lang w:val="fr-FR"/>
              </w:rPr>
            </w:pPr>
            <w:r w:rsidRPr="005D71E6">
              <w:rPr>
                <w:b/>
                <w:bCs/>
                <w:sz w:val="17"/>
                <w:szCs w:val="24"/>
                <w:lang w:val="fr-FR"/>
              </w:rPr>
              <w:t>6</w:t>
            </w:r>
          </w:p>
        </w:tc>
        <w:tc>
          <w:tcPr>
            <w:tcW w:w="3432" w:type="dxa"/>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rPr>
                <w:b/>
                <w:bCs/>
                <w:sz w:val="17"/>
                <w:szCs w:val="24"/>
                <w:lang w:val="fr-FR"/>
              </w:rPr>
            </w:pPr>
            <w:r w:rsidRPr="005D71E6">
              <w:rPr>
                <w:b/>
                <w:bCs/>
                <w:sz w:val="17"/>
                <w:szCs w:val="24"/>
                <w:lang w:val="fr-FR"/>
              </w:rPr>
              <w:t>Programme d</w:t>
            </w:r>
            <w:r w:rsidR="000A3D87">
              <w:rPr>
                <w:b/>
                <w:bCs/>
                <w:sz w:val="17"/>
                <w:szCs w:val="24"/>
                <w:lang w:val="fr-FR"/>
              </w:rPr>
              <w:t>’</w:t>
            </w:r>
            <w:r w:rsidRPr="005D71E6">
              <w:rPr>
                <w:b/>
                <w:bCs/>
                <w:sz w:val="17"/>
                <w:szCs w:val="24"/>
                <w:lang w:val="fr-FR"/>
              </w:rPr>
              <w:t>assistance du FNUAP</w:t>
            </w:r>
          </w:p>
        </w:tc>
        <w:tc>
          <w:tcPr>
            <w:tcW w:w="0" w:type="auto"/>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jc w:val="right"/>
              <w:rPr>
                <w:b/>
                <w:bCs/>
                <w:sz w:val="17"/>
                <w:szCs w:val="24"/>
                <w:lang w:val="fr-FR"/>
              </w:rPr>
            </w:pPr>
            <w:r w:rsidRPr="005D71E6">
              <w:rPr>
                <w:b/>
                <w:bCs/>
                <w:sz w:val="17"/>
                <w:szCs w:val="24"/>
                <w:lang w:val="fr-FR"/>
              </w:rPr>
              <w:t>72,5</w:t>
            </w:r>
          </w:p>
        </w:tc>
        <w:tc>
          <w:tcPr>
            <w:tcW w:w="0" w:type="auto"/>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jc w:val="right"/>
              <w:rPr>
                <w:b/>
                <w:bCs/>
                <w:sz w:val="17"/>
                <w:szCs w:val="24"/>
                <w:lang w:val="fr-FR"/>
              </w:rPr>
            </w:pPr>
            <w:r w:rsidRPr="005D71E6">
              <w:rPr>
                <w:b/>
                <w:bCs/>
                <w:sz w:val="17"/>
                <w:szCs w:val="24"/>
                <w:lang w:val="fr-FR"/>
              </w:rPr>
              <w:t>27,5</w:t>
            </w:r>
          </w:p>
        </w:tc>
      </w:tr>
      <w:tr w:rsidR="00E15507" w:rsidRPr="005D71E6">
        <w:tblPrEx>
          <w:tblCellMar>
            <w:top w:w="0" w:type="dxa"/>
            <w:bottom w:w="0" w:type="dxa"/>
          </w:tblCellMar>
        </w:tblPrEx>
        <w:trPr>
          <w:jc w:val="center"/>
        </w:trPr>
        <w:tc>
          <w:tcPr>
            <w:tcW w:w="799" w:type="dxa"/>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rPr>
                <w:b/>
                <w:bCs/>
                <w:sz w:val="17"/>
                <w:szCs w:val="24"/>
                <w:lang w:val="fr-FR"/>
              </w:rPr>
            </w:pPr>
            <w:r w:rsidRPr="005D71E6">
              <w:rPr>
                <w:b/>
                <w:bCs/>
                <w:sz w:val="17"/>
                <w:szCs w:val="24"/>
                <w:lang w:val="fr-FR"/>
              </w:rPr>
              <w:t>7</w:t>
            </w:r>
          </w:p>
        </w:tc>
        <w:tc>
          <w:tcPr>
            <w:tcW w:w="3432" w:type="dxa"/>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rPr>
                <w:b/>
                <w:bCs/>
                <w:sz w:val="17"/>
                <w:szCs w:val="24"/>
                <w:lang w:val="fr-FR"/>
              </w:rPr>
            </w:pPr>
            <w:r w:rsidRPr="005D71E6">
              <w:rPr>
                <w:b/>
                <w:bCs/>
                <w:sz w:val="17"/>
                <w:szCs w:val="24"/>
                <w:lang w:val="fr-FR"/>
              </w:rPr>
              <w:t>Programme de population du FNUAP</w:t>
            </w:r>
          </w:p>
        </w:tc>
        <w:tc>
          <w:tcPr>
            <w:tcW w:w="0" w:type="auto"/>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jc w:val="right"/>
              <w:rPr>
                <w:b/>
                <w:bCs/>
                <w:sz w:val="17"/>
                <w:szCs w:val="24"/>
                <w:lang w:val="fr-FR"/>
              </w:rPr>
            </w:pPr>
            <w:r w:rsidRPr="005D71E6">
              <w:rPr>
                <w:b/>
                <w:bCs/>
                <w:sz w:val="17"/>
                <w:szCs w:val="24"/>
                <w:lang w:val="fr-FR"/>
              </w:rPr>
              <w:t>75</w:t>
            </w:r>
          </w:p>
        </w:tc>
        <w:tc>
          <w:tcPr>
            <w:tcW w:w="0" w:type="auto"/>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jc w:val="right"/>
              <w:rPr>
                <w:b/>
                <w:bCs/>
                <w:sz w:val="17"/>
                <w:szCs w:val="24"/>
                <w:lang w:val="fr-FR"/>
              </w:rPr>
            </w:pPr>
            <w:r w:rsidRPr="005D71E6">
              <w:rPr>
                <w:b/>
                <w:bCs/>
                <w:sz w:val="17"/>
                <w:szCs w:val="24"/>
                <w:lang w:val="fr-FR"/>
              </w:rPr>
              <w:t>25</w:t>
            </w:r>
          </w:p>
        </w:tc>
      </w:tr>
      <w:tr w:rsidR="00E15507" w:rsidRPr="005D71E6">
        <w:tblPrEx>
          <w:tblCellMar>
            <w:top w:w="0" w:type="dxa"/>
            <w:bottom w:w="0" w:type="dxa"/>
          </w:tblCellMar>
        </w:tblPrEx>
        <w:trPr>
          <w:jc w:val="center"/>
        </w:trPr>
        <w:tc>
          <w:tcPr>
            <w:tcW w:w="799" w:type="dxa"/>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rPr>
                <w:b/>
                <w:bCs/>
                <w:sz w:val="17"/>
                <w:szCs w:val="24"/>
                <w:lang w:val="fr-FR"/>
              </w:rPr>
            </w:pPr>
            <w:r w:rsidRPr="005D71E6">
              <w:rPr>
                <w:b/>
                <w:bCs/>
                <w:sz w:val="17"/>
                <w:szCs w:val="24"/>
                <w:lang w:val="fr-FR"/>
              </w:rPr>
              <w:t>8</w:t>
            </w:r>
          </w:p>
        </w:tc>
        <w:tc>
          <w:tcPr>
            <w:tcW w:w="3432" w:type="dxa"/>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rPr>
                <w:b/>
                <w:bCs/>
                <w:sz w:val="17"/>
                <w:szCs w:val="24"/>
                <w:lang w:val="fr-FR"/>
              </w:rPr>
            </w:pPr>
            <w:r w:rsidRPr="005D71E6">
              <w:rPr>
                <w:b/>
                <w:bCs/>
                <w:sz w:val="17"/>
                <w:szCs w:val="24"/>
                <w:lang w:val="fr-FR"/>
              </w:rPr>
              <w:t>PNUCID Lagos</w:t>
            </w:r>
          </w:p>
        </w:tc>
        <w:tc>
          <w:tcPr>
            <w:tcW w:w="0" w:type="auto"/>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jc w:val="right"/>
              <w:rPr>
                <w:b/>
                <w:bCs/>
                <w:sz w:val="17"/>
                <w:szCs w:val="24"/>
                <w:lang w:val="fr-FR"/>
              </w:rPr>
            </w:pPr>
            <w:r w:rsidRPr="005D71E6">
              <w:rPr>
                <w:b/>
                <w:bCs/>
                <w:sz w:val="17"/>
                <w:szCs w:val="24"/>
                <w:lang w:val="fr-FR"/>
              </w:rPr>
              <w:t>71,43</w:t>
            </w:r>
          </w:p>
        </w:tc>
        <w:tc>
          <w:tcPr>
            <w:tcW w:w="0" w:type="auto"/>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jc w:val="right"/>
              <w:rPr>
                <w:b/>
                <w:bCs/>
                <w:sz w:val="17"/>
                <w:szCs w:val="24"/>
                <w:lang w:val="fr-FR"/>
              </w:rPr>
            </w:pPr>
            <w:r w:rsidRPr="005D71E6">
              <w:rPr>
                <w:b/>
                <w:bCs/>
                <w:sz w:val="17"/>
                <w:szCs w:val="24"/>
                <w:lang w:val="fr-FR"/>
              </w:rPr>
              <w:t>28.57</w:t>
            </w:r>
          </w:p>
        </w:tc>
      </w:tr>
      <w:tr w:rsidR="00E15507" w:rsidRPr="005D71E6">
        <w:tblPrEx>
          <w:tblCellMar>
            <w:top w:w="0" w:type="dxa"/>
            <w:bottom w:w="0" w:type="dxa"/>
          </w:tblCellMar>
        </w:tblPrEx>
        <w:trPr>
          <w:jc w:val="center"/>
        </w:trPr>
        <w:tc>
          <w:tcPr>
            <w:tcW w:w="799" w:type="dxa"/>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rPr>
                <w:b/>
                <w:bCs/>
                <w:sz w:val="17"/>
                <w:szCs w:val="24"/>
                <w:lang w:val="fr-FR"/>
              </w:rPr>
            </w:pPr>
            <w:r w:rsidRPr="005D71E6">
              <w:rPr>
                <w:b/>
                <w:bCs/>
                <w:sz w:val="17"/>
                <w:szCs w:val="24"/>
                <w:lang w:val="fr-FR"/>
              </w:rPr>
              <w:t>9</w:t>
            </w:r>
          </w:p>
        </w:tc>
        <w:tc>
          <w:tcPr>
            <w:tcW w:w="3432" w:type="dxa"/>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rPr>
                <w:b/>
                <w:bCs/>
                <w:sz w:val="17"/>
                <w:szCs w:val="24"/>
                <w:lang w:val="fr-FR"/>
              </w:rPr>
            </w:pPr>
            <w:r w:rsidRPr="005D71E6">
              <w:rPr>
                <w:b/>
                <w:bCs/>
                <w:sz w:val="17"/>
                <w:szCs w:val="24"/>
                <w:lang w:val="fr-FR"/>
              </w:rPr>
              <w:t>UNDC/RDC (Lagos)</w:t>
            </w:r>
          </w:p>
        </w:tc>
        <w:tc>
          <w:tcPr>
            <w:tcW w:w="0" w:type="auto"/>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jc w:val="right"/>
              <w:rPr>
                <w:b/>
                <w:bCs/>
                <w:sz w:val="17"/>
                <w:szCs w:val="24"/>
                <w:lang w:val="fr-FR"/>
              </w:rPr>
            </w:pPr>
            <w:r w:rsidRPr="005D71E6">
              <w:rPr>
                <w:b/>
                <w:bCs/>
                <w:sz w:val="17"/>
                <w:szCs w:val="24"/>
                <w:lang w:val="fr-FR"/>
              </w:rPr>
              <w:t>76,5</w:t>
            </w:r>
          </w:p>
        </w:tc>
        <w:tc>
          <w:tcPr>
            <w:tcW w:w="0" w:type="auto"/>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jc w:val="right"/>
              <w:rPr>
                <w:b/>
                <w:bCs/>
                <w:sz w:val="17"/>
                <w:szCs w:val="24"/>
                <w:lang w:val="fr-FR"/>
              </w:rPr>
            </w:pPr>
            <w:r w:rsidRPr="005D71E6">
              <w:rPr>
                <w:b/>
                <w:bCs/>
                <w:sz w:val="17"/>
                <w:szCs w:val="24"/>
                <w:lang w:val="fr-FR"/>
              </w:rPr>
              <w:t>23,5</w:t>
            </w:r>
          </w:p>
        </w:tc>
      </w:tr>
      <w:tr w:rsidR="00E15507" w:rsidRPr="005D71E6">
        <w:tblPrEx>
          <w:tblCellMar>
            <w:top w:w="0" w:type="dxa"/>
            <w:bottom w:w="0" w:type="dxa"/>
          </w:tblCellMar>
        </w:tblPrEx>
        <w:trPr>
          <w:jc w:val="center"/>
        </w:trPr>
        <w:tc>
          <w:tcPr>
            <w:tcW w:w="799" w:type="dxa"/>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rPr>
                <w:b/>
                <w:bCs/>
                <w:sz w:val="17"/>
                <w:szCs w:val="24"/>
                <w:lang w:val="fr-FR"/>
              </w:rPr>
            </w:pPr>
            <w:r w:rsidRPr="005D71E6">
              <w:rPr>
                <w:b/>
                <w:bCs/>
                <w:sz w:val="17"/>
                <w:szCs w:val="24"/>
                <w:lang w:val="fr-FR"/>
              </w:rPr>
              <w:t>10</w:t>
            </w:r>
          </w:p>
        </w:tc>
        <w:tc>
          <w:tcPr>
            <w:tcW w:w="3432" w:type="dxa"/>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rPr>
                <w:b/>
                <w:bCs/>
                <w:sz w:val="17"/>
                <w:szCs w:val="24"/>
                <w:lang w:val="fr-FR"/>
              </w:rPr>
            </w:pPr>
            <w:r w:rsidRPr="005D71E6">
              <w:rPr>
                <w:b/>
                <w:bCs/>
                <w:sz w:val="17"/>
                <w:szCs w:val="24"/>
                <w:lang w:val="fr-FR"/>
              </w:rPr>
              <w:t>FAO (Abuja)</w:t>
            </w:r>
          </w:p>
        </w:tc>
        <w:tc>
          <w:tcPr>
            <w:tcW w:w="0" w:type="auto"/>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jc w:val="right"/>
              <w:rPr>
                <w:b/>
                <w:bCs/>
                <w:sz w:val="17"/>
                <w:szCs w:val="24"/>
                <w:lang w:val="fr-FR"/>
              </w:rPr>
            </w:pPr>
            <w:r w:rsidRPr="005D71E6">
              <w:rPr>
                <w:b/>
                <w:bCs/>
                <w:sz w:val="17"/>
                <w:szCs w:val="24"/>
                <w:lang w:val="fr-FR"/>
              </w:rPr>
              <w:t>61,3</w:t>
            </w:r>
          </w:p>
        </w:tc>
        <w:tc>
          <w:tcPr>
            <w:tcW w:w="0" w:type="auto"/>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jc w:val="right"/>
              <w:rPr>
                <w:b/>
                <w:bCs/>
                <w:sz w:val="17"/>
                <w:szCs w:val="24"/>
                <w:lang w:val="fr-FR"/>
              </w:rPr>
            </w:pPr>
            <w:r w:rsidRPr="005D71E6">
              <w:rPr>
                <w:b/>
                <w:bCs/>
                <w:sz w:val="17"/>
                <w:szCs w:val="24"/>
                <w:lang w:val="fr-FR"/>
              </w:rPr>
              <w:t>38,7</w:t>
            </w:r>
          </w:p>
        </w:tc>
      </w:tr>
      <w:tr w:rsidR="00E15507" w:rsidRPr="005D71E6">
        <w:tblPrEx>
          <w:tblCellMar>
            <w:top w:w="0" w:type="dxa"/>
            <w:bottom w:w="0" w:type="dxa"/>
          </w:tblCellMar>
        </w:tblPrEx>
        <w:trPr>
          <w:jc w:val="center"/>
        </w:trPr>
        <w:tc>
          <w:tcPr>
            <w:tcW w:w="799" w:type="dxa"/>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rPr>
                <w:b/>
                <w:bCs/>
                <w:sz w:val="17"/>
                <w:szCs w:val="24"/>
                <w:lang w:val="fr-FR"/>
              </w:rPr>
            </w:pPr>
            <w:r w:rsidRPr="005D71E6">
              <w:rPr>
                <w:b/>
                <w:bCs/>
                <w:sz w:val="17"/>
                <w:szCs w:val="24"/>
                <w:lang w:val="fr-FR"/>
              </w:rPr>
              <w:t>11</w:t>
            </w:r>
          </w:p>
        </w:tc>
        <w:tc>
          <w:tcPr>
            <w:tcW w:w="3432" w:type="dxa"/>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rPr>
                <w:b/>
                <w:bCs/>
                <w:sz w:val="17"/>
                <w:szCs w:val="24"/>
                <w:lang w:val="fr-FR"/>
              </w:rPr>
            </w:pPr>
            <w:r w:rsidRPr="005D71E6">
              <w:rPr>
                <w:b/>
                <w:bCs/>
                <w:sz w:val="17"/>
                <w:szCs w:val="24"/>
                <w:lang w:val="fr-FR"/>
              </w:rPr>
              <w:t>BIRD (Abuja)</w:t>
            </w:r>
          </w:p>
        </w:tc>
        <w:tc>
          <w:tcPr>
            <w:tcW w:w="0" w:type="auto"/>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jc w:val="right"/>
              <w:rPr>
                <w:b/>
                <w:bCs/>
                <w:sz w:val="17"/>
                <w:szCs w:val="24"/>
                <w:lang w:val="fr-FR"/>
              </w:rPr>
            </w:pPr>
            <w:r w:rsidRPr="005D71E6">
              <w:rPr>
                <w:b/>
                <w:bCs/>
                <w:sz w:val="17"/>
                <w:szCs w:val="24"/>
                <w:lang w:val="fr-FR"/>
              </w:rPr>
              <w:t>50</w:t>
            </w:r>
          </w:p>
        </w:tc>
        <w:tc>
          <w:tcPr>
            <w:tcW w:w="0" w:type="auto"/>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jc w:val="right"/>
              <w:rPr>
                <w:b/>
                <w:bCs/>
                <w:sz w:val="17"/>
                <w:szCs w:val="24"/>
                <w:lang w:val="fr-FR"/>
              </w:rPr>
            </w:pPr>
            <w:r w:rsidRPr="005D71E6">
              <w:rPr>
                <w:b/>
                <w:bCs/>
                <w:sz w:val="17"/>
                <w:szCs w:val="24"/>
                <w:lang w:val="fr-FR"/>
              </w:rPr>
              <w:t>50</w:t>
            </w:r>
          </w:p>
        </w:tc>
      </w:tr>
      <w:tr w:rsidR="00E15507" w:rsidRPr="005D71E6">
        <w:tblPrEx>
          <w:tblCellMar>
            <w:top w:w="0" w:type="dxa"/>
            <w:bottom w:w="0" w:type="dxa"/>
          </w:tblCellMar>
        </w:tblPrEx>
        <w:trPr>
          <w:jc w:val="center"/>
        </w:trPr>
        <w:tc>
          <w:tcPr>
            <w:tcW w:w="799" w:type="dxa"/>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rPr>
                <w:b/>
                <w:bCs/>
                <w:sz w:val="17"/>
                <w:szCs w:val="24"/>
                <w:lang w:val="fr-FR"/>
              </w:rPr>
            </w:pPr>
            <w:r w:rsidRPr="005D71E6">
              <w:rPr>
                <w:b/>
                <w:bCs/>
                <w:sz w:val="17"/>
                <w:szCs w:val="24"/>
                <w:lang w:val="fr-FR"/>
              </w:rPr>
              <w:t>12</w:t>
            </w:r>
          </w:p>
        </w:tc>
        <w:tc>
          <w:tcPr>
            <w:tcW w:w="3432" w:type="dxa"/>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rPr>
                <w:b/>
                <w:bCs/>
                <w:sz w:val="17"/>
                <w:szCs w:val="24"/>
                <w:lang w:val="fr-FR"/>
              </w:rPr>
            </w:pPr>
            <w:r w:rsidRPr="005D71E6">
              <w:rPr>
                <w:b/>
                <w:bCs/>
                <w:sz w:val="17"/>
                <w:szCs w:val="24"/>
                <w:lang w:val="fr-FR"/>
              </w:rPr>
              <w:t>SFI (Lagos)</w:t>
            </w:r>
          </w:p>
        </w:tc>
        <w:tc>
          <w:tcPr>
            <w:tcW w:w="0" w:type="auto"/>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jc w:val="right"/>
              <w:rPr>
                <w:b/>
                <w:bCs/>
                <w:sz w:val="17"/>
                <w:szCs w:val="24"/>
                <w:lang w:val="fr-FR"/>
              </w:rPr>
            </w:pPr>
            <w:r w:rsidRPr="005D71E6">
              <w:rPr>
                <w:b/>
                <w:bCs/>
                <w:sz w:val="17"/>
                <w:szCs w:val="24"/>
                <w:lang w:val="fr-FR"/>
              </w:rPr>
              <w:t>55,6</w:t>
            </w:r>
          </w:p>
        </w:tc>
        <w:tc>
          <w:tcPr>
            <w:tcW w:w="0" w:type="auto"/>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jc w:val="right"/>
              <w:rPr>
                <w:b/>
                <w:bCs/>
                <w:sz w:val="17"/>
                <w:szCs w:val="24"/>
                <w:lang w:val="fr-FR"/>
              </w:rPr>
            </w:pPr>
            <w:r w:rsidRPr="005D71E6">
              <w:rPr>
                <w:b/>
                <w:bCs/>
                <w:sz w:val="17"/>
                <w:szCs w:val="24"/>
                <w:lang w:val="fr-FR"/>
              </w:rPr>
              <w:t>44,4</w:t>
            </w:r>
          </w:p>
        </w:tc>
      </w:tr>
      <w:tr w:rsidR="00E15507" w:rsidRPr="005D71E6">
        <w:tblPrEx>
          <w:tblCellMar>
            <w:top w:w="0" w:type="dxa"/>
            <w:bottom w:w="0" w:type="dxa"/>
          </w:tblCellMar>
        </w:tblPrEx>
        <w:trPr>
          <w:jc w:val="center"/>
        </w:trPr>
        <w:tc>
          <w:tcPr>
            <w:tcW w:w="799" w:type="dxa"/>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rPr>
                <w:b/>
                <w:bCs/>
                <w:sz w:val="17"/>
                <w:szCs w:val="24"/>
                <w:lang w:val="fr-FR"/>
              </w:rPr>
            </w:pPr>
            <w:r w:rsidRPr="005D71E6">
              <w:rPr>
                <w:b/>
                <w:bCs/>
                <w:sz w:val="17"/>
                <w:szCs w:val="24"/>
                <w:lang w:val="fr-FR"/>
              </w:rPr>
              <w:t>13</w:t>
            </w:r>
          </w:p>
        </w:tc>
        <w:tc>
          <w:tcPr>
            <w:tcW w:w="3432" w:type="dxa"/>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rPr>
                <w:b/>
                <w:bCs/>
                <w:sz w:val="17"/>
                <w:szCs w:val="24"/>
                <w:lang w:val="fr-FR"/>
              </w:rPr>
            </w:pPr>
            <w:r w:rsidRPr="005D71E6">
              <w:rPr>
                <w:b/>
                <w:bCs/>
                <w:sz w:val="17"/>
                <w:szCs w:val="24"/>
                <w:lang w:val="fr-FR"/>
              </w:rPr>
              <w:t>OIT (Lagos)</w:t>
            </w:r>
          </w:p>
        </w:tc>
        <w:tc>
          <w:tcPr>
            <w:tcW w:w="0" w:type="auto"/>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jc w:val="right"/>
              <w:rPr>
                <w:b/>
                <w:bCs/>
                <w:sz w:val="17"/>
                <w:szCs w:val="24"/>
                <w:lang w:val="fr-FR"/>
              </w:rPr>
            </w:pPr>
            <w:r w:rsidRPr="005D71E6">
              <w:rPr>
                <w:b/>
                <w:bCs/>
                <w:sz w:val="17"/>
                <w:szCs w:val="24"/>
                <w:lang w:val="fr-FR"/>
              </w:rPr>
              <w:t>50</w:t>
            </w:r>
          </w:p>
        </w:tc>
        <w:tc>
          <w:tcPr>
            <w:tcW w:w="0" w:type="auto"/>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jc w:val="right"/>
              <w:rPr>
                <w:b/>
                <w:bCs/>
                <w:sz w:val="17"/>
                <w:szCs w:val="24"/>
                <w:lang w:val="fr-FR"/>
              </w:rPr>
            </w:pPr>
            <w:r w:rsidRPr="005D71E6">
              <w:rPr>
                <w:b/>
                <w:bCs/>
                <w:sz w:val="17"/>
                <w:szCs w:val="24"/>
                <w:lang w:val="fr-FR"/>
              </w:rPr>
              <w:t>50</w:t>
            </w:r>
          </w:p>
        </w:tc>
      </w:tr>
      <w:tr w:rsidR="00E15507" w:rsidRPr="005D71E6">
        <w:tblPrEx>
          <w:tblCellMar>
            <w:top w:w="0" w:type="dxa"/>
            <w:bottom w:w="0" w:type="dxa"/>
          </w:tblCellMar>
        </w:tblPrEx>
        <w:trPr>
          <w:jc w:val="center"/>
        </w:trPr>
        <w:tc>
          <w:tcPr>
            <w:tcW w:w="799" w:type="dxa"/>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rPr>
                <w:b/>
                <w:bCs/>
                <w:sz w:val="17"/>
                <w:szCs w:val="24"/>
                <w:lang w:val="fr-FR"/>
              </w:rPr>
            </w:pPr>
            <w:r w:rsidRPr="005D71E6">
              <w:rPr>
                <w:b/>
                <w:bCs/>
                <w:sz w:val="17"/>
                <w:szCs w:val="24"/>
                <w:lang w:val="fr-FR"/>
              </w:rPr>
              <w:t>14</w:t>
            </w:r>
          </w:p>
        </w:tc>
        <w:tc>
          <w:tcPr>
            <w:tcW w:w="3432" w:type="dxa"/>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rPr>
                <w:b/>
                <w:bCs/>
                <w:sz w:val="17"/>
                <w:szCs w:val="24"/>
                <w:lang w:val="fr-FR"/>
              </w:rPr>
            </w:pPr>
            <w:r w:rsidRPr="005D71E6">
              <w:rPr>
                <w:b/>
                <w:bCs/>
                <w:sz w:val="17"/>
                <w:szCs w:val="24"/>
                <w:lang w:val="fr-FR"/>
              </w:rPr>
              <w:t>UNESCO (Abuja)</w:t>
            </w:r>
          </w:p>
        </w:tc>
        <w:tc>
          <w:tcPr>
            <w:tcW w:w="0" w:type="auto"/>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jc w:val="right"/>
              <w:rPr>
                <w:b/>
                <w:bCs/>
                <w:sz w:val="17"/>
                <w:szCs w:val="24"/>
                <w:lang w:val="fr-FR"/>
              </w:rPr>
            </w:pPr>
            <w:r w:rsidRPr="005D71E6">
              <w:rPr>
                <w:b/>
                <w:bCs/>
                <w:sz w:val="17"/>
                <w:szCs w:val="24"/>
                <w:lang w:val="fr-FR"/>
              </w:rPr>
              <w:t>50</w:t>
            </w:r>
          </w:p>
        </w:tc>
        <w:tc>
          <w:tcPr>
            <w:tcW w:w="0" w:type="auto"/>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jc w:val="right"/>
              <w:rPr>
                <w:b/>
                <w:bCs/>
                <w:sz w:val="17"/>
                <w:szCs w:val="24"/>
                <w:lang w:val="fr-FR"/>
              </w:rPr>
            </w:pPr>
            <w:r w:rsidRPr="005D71E6">
              <w:rPr>
                <w:b/>
                <w:bCs/>
                <w:sz w:val="17"/>
                <w:szCs w:val="24"/>
                <w:lang w:val="fr-FR"/>
              </w:rPr>
              <w:t>50</w:t>
            </w:r>
          </w:p>
        </w:tc>
      </w:tr>
      <w:tr w:rsidR="00E15507" w:rsidRPr="005D71E6">
        <w:tblPrEx>
          <w:tblCellMar>
            <w:top w:w="0" w:type="dxa"/>
            <w:bottom w:w="0" w:type="dxa"/>
          </w:tblCellMar>
        </w:tblPrEx>
        <w:trPr>
          <w:jc w:val="center"/>
        </w:trPr>
        <w:tc>
          <w:tcPr>
            <w:tcW w:w="799" w:type="dxa"/>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rPr>
                <w:b/>
                <w:bCs/>
                <w:sz w:val="17"/>
                <w:szCs w:val="24"/>
                <w:lang w:val="fr-FR"/>
              </w:rPr>
            </w:pPr>
            <w:r w:rsidRPr="005D71E6">
              <w:rPr>
                <w:b/>
                <w:bCs/>
                <w:sz w:val="17"/>
                <w:szCs w:val="24"/>
                <w:lang w:val="fr-FR"/>
              </w:rPr>
              <w:t>15</w:t>
            </w:r>
          </w:p>
        </w:tc>
        <w:tc>
          <w:tcPr>
            <w:tcW w:w="3432" w:type="dxa"/>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rPr>
                <w:b/>
                <w:bCs/>
                <w:sz w:val="17"/>
                <w:szCs w:val="24"/>
                <w:lang w:val="fr-FR"/>
              </w:rPr>
            </w:pPr>
            <w:r w:rsidRPr="005D71E6">
              <w:rPr>
                <w:b/>
                <w:bCs/>
                <w:sz w:val="17"/>
                <w:szCs w:val="24"/>
                <w:lang w:val="fr-FR"/>
              </w:rPr>
              <w:t>HCR (Lagos)</w:t>
            </w:r>
          </w:p>
        </w:tc>
        <w:tc>
          <w:tcPr>
            <w:tcW w:w="0" w:type="auto"/>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jc w:val="right"/>
              <w:rPr>
                <w:b/>
                <w:bCs/>
                <w:sz w:val="17"/>
                <w:szCs w:val="24"/>
                <w:lang w:val="fr-FR"/>
              </w:rPr>
            </w:pPr>
            <w:r w:rsidRPr="005D71E6">
              <w:rPr>
                <w:b/>
                <w:bCs/>
                <w:sz w:val="17"/>
                <w:szCs w:val="24"/>
                <w:lang w:val="fr-FR"/>
              </w:rPr>
              <w:t>66,67</w:t>
            </w:r>
          </w:p>
        </w:tc>
        <w:tc>
          <w:tcPr>
            <w:tcW w:w="0" w:type="auto"/>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jc w:val="right"/>
              <w:rPr>
                <w:b/>
                <w:bCs/>
                <w:sz w:val="17"/>
                <w:szCs w:val="24"/>
                <w:lang w:val="fr-FR"/>
              </w:rPr>
            </w:pPr>
            <w:r w:rsidRPr="005D71E6">
              <w:rPr>
                <w:b/>
                <w:bCs/>
                <w:sz w:val="17"/>
                <w:szCs w:val="24"/>
                <w:lang w:val="fr-FR"/>
              </w:rPr>
              <w:t>33,33</w:t>
            </w:r>
          </w:p>
        </w:tc>
      </w:tr>
      <w:tr w:rsidR="00E15507" w:rsidRPr="005D71E6">
        <w:tblPrEx>
          <w:tblCellMar>
            <w:top w:w="0" w:type="dxa"/>
            <w:bottom w:w="0" w:type="dxa"/>
          </w:tblCellMar>
        </w:tblPrEx>
        <w:trPr>
          <w:jc w:val="center"/>
        </w:trPr>
        <w:tc>
          <w:tcPr>
            <w:tcW w:w="799" w:type="dxa"/>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rPr>
                <w:b/>
                <w:bCs/>
                <w:sz w:val="17"/>
                <w:szCs w:val="24"/>
                <w:lang w:val="fr-FR"/>
              </w:rPr>
            </w:pPr>
            <w:r w:rsidRPr="005D71E6">
              <w:rPr>
                <w:b/>
                <w:bCs/>
                <w:sz w:val="17"/>
                <w:szCs w:val="24"/>
                <w:lang w:val="fr-FR"/>
              </w:rPr>
              <w:t>16</w:t>
            </w:r>
          </w:p>
        </w:tc>
        <w:tc>
          <w:tcPr>
            <w:tcW w:w="3432" w:type="dxa"/>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rPr>
                <w:b/>
                <w:bCs/>
                <w:sz w:val="17"/>
                <w:szCs w:val="24"/>
                <w:lang w:val="fr-FR"/>
              </w:rPr>
            </w:pPr>
            <w:r w:rsidRPr="005D71E6">
              <w:rPr>
                <w:b/>
                <w:bCs/>
                <w:sz w:val="17"/>
                <w:szCs w:val="24"/>
                <w:lang w:val="fr-FR"/>
              </w:rPr>
              <w:t>CINU (Lagos)</w:t>
            </w:r>
          </w:p>
        </w:tc>
        <w:tc>
          <w:tcPr>
            <w:tcW w:w="0" w:type="auto"/>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jc w:val="right"/>
              <w:rPr>
                <w:b/>
                <w:bCs/>
                <w:sz w:val="17"/>
                <w:szCs w:val="24"/>
                <w:lang w:val="fr-FR"/>
              </w:rPr>
            </w:pPr>
            <w:r w:rsidRPr="005D71E6">
              <w:rPr>
                <w:b/>
                <w:bCs/>
                <w:sz w:val="17"/>
                <w:szCs w:val="24"/>
                <w:lang w:val="fr-FR"/>
              </w:rPr>
              <w:t>56,92</w:t>
            </w:r>
          </w:p>
        </w:tc>
        <w:tc>
          <w:tcPr>
            <w:tcW w:w="0" w:type="auto"/>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jc w:val="right"/>
              <w:rPr>
                <w:b/>
                <w:bCs/>
                <w:sz w:val="17"/>
                <w:szCs w:val="24"/>
                <w:lang w:val="fr-FR"/>
              </w:rPr>
            </w:pPr>
            <w:r w:rsidRPr="005D71E6">
              <w:rPr>
                <w:b/>
                <w:bCs/>
                <w:sz w:val="17"/>
                <w:szCs w:val="24"/>
                <w:lang w:val="fr-FR"/>
              </w:rPr>
              <w:t>43,08</w:t>
            </w:r>
          </w:p>
        </w:tc>
      </w:tr>
      <w:tr w:rsidR="00E15507" w:rsidRPr="005D71E6">
        <w:tblPrEx>
          <w:tblCellMar>
            <w:top w:w="0" w:type="dxa"/>
            <w:bottom w:w="0" w:type="dxa"/>
          </w:tblCellMar>
        </w:tblPrEx>
        <w:trPr>
          <w:jc w:val="center"/>
        </w:trPr>
        <w:tc>
          <w:tcPr>
            <w:tcW w:w="799" w:type="dxa"/>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rPr>
                <w:b/>
                <w:bCs/>
                <w:sz w:val="17"/>
                <w:szCs w:val="24"/>
                <w:lang w:val="fr-FR"/>
              </w:rPr>
            </w:pPr>
            <w:r w:rsidRPr="005D71E6">
              <w:rPr>
                <w:b/>
                <w:bCs/>
                <w:sz w:val="17"/>
                <w:szCs w:val="24"/>
                <w:lang w:val="fr-FR"/>
              </w:rPr>
              <w:t>17</w:t>
            </w:r>
          </w:p>
        </w:tc>
        <w:tc>
          <w:tcPr>
            <w:tcW w:w="3432" w:type="dxa"/>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rPr>
                <w:b/>
                <w:bCs/>
                <w:sz w:val="17"/>
                <w:szCs w:val="24"/>
                <w:lang w:val="fr-FR"/>
              </w:rPr>
            </w:pPr>
            <w:r w:rsidRPr="005D71E6">
              <w:rPr>
                <w:b/>
                <w:bCs/>
                <w:sz w:val="17"/>
                <w:szCs w:val="24"/>
                <w:lang w:val="fr-FR"/>
              </w:rPr>
              <w:t>UNICEF (Lagos)</w:t>
            </w:r>
          </w:p>
        </w:tc>
        <w:tc>
          <w:tcPr>
            <w:tcW w:w="0" w:type="auto"/>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jc w:val="right"/>
              <w:rPr>
                <w:b/>
                <w:bCs/>
                <w:sz w:val="17"/>
                <w:szCs w:val="24"/>
                <w:lang w:val="fr-FR"/>
              </w:rPr>
            </w:pPr>
            <w:r w:rsidRPr="005D71E6">
              <w:rPr>
                <w:b/>
                <w:bCs/>
                <w:sz w:val="17"/>
                <w:szCs w:val="24"/>
                <w:lang w:val="fr-FR"/>
              </w:rPr>
              <w:t>60,87</w:t>
            </w:r>
          </w:p>
        </w:tc>
        <w:tc>
          <w:tcPr>
            <w:tcW w:w="0" w:type="auto"/>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jc w:val="right"/>
              <w:rPr>
                <w:b/>
                <w:bCs/>
                <w:sz w:val="17"/>
                <w:szCs w:val="24"/>
                <w:lang w:val="fr-FR"/>
              </w:rPr>
            </w:pPr>
            <w:r w:rsidRPr="005D71E6">
              <w:rPr>
                <w:b/>
                <w:bCs/>
                <w:sz w:val="17"/>
                <w:szCs w:val="24"/>
                <w:lang w:val="fr-FR"/>
              </w:rPr>
              <w:t>39,13</w:t>
            </w:r>
          </w:p>
        </w:tc>
      </w:tr>
      <w:tr w:rsidR="00E15507" w:rsidRPr="005D71E6">
        <w:tblPrEx>
          <w:tblCellMar>
            <w:top w:w="0" w:type="dxa"/>
            <w:bottom w:w="0" w:type="dxa"/>
          </w:tblCellMar>
        </w:tblPrEx>
        <w:trPr>
          <w:jc w:val="center"/>
        </w:trPr>
        <w:tc>
          <w:tcPr>
            <w:tcW w:w="799" w:type="dxa"/>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rPr>
                <w:b/>
                <w:bCs/>
                <w:sz w:val="17"/>
                <w:szCs w:val="24"/>
                <w:lang w:val="fr-FR"/>
              </w:rPr>
            </w:pPr>
            <w:r w:rsidRPr="005D71E6">
              <w:rPr>
                <w:b/>
                <w:bCs/>
                <w:sz w:val="17"/>
                <w:szCs w:val="24"/>
                <w:lang w:val="fr-FR"/>
              </w:rPr>
              <w:t>18</w:t>
            </w:r>
          </w:p>
        </w:tc>
        <w:tc>
          <w:tcPr>
            <w:tcW w:w="3432" w:type="dxa"/>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rPr>
                <w:b/>
                <w:bCs/>
                <w:sz w:val="17"/>
                <w:szCs w:val="24"/>
                <w:lang w:val="fr-FR"/>
              </w:rPr>
            </w:pPr>
            <w:r w:rsidRPr="005D71E6">
              <w:rPr>
                <w:b/>
                <w:bCs/>
                <w:sz w:val="17"/>
                <w:szCs w:val="24"/>
                <w:lang w:val="fr-FR"/>
              </w:rPr>
              <w:t>UNICEF(Abuja)</w:t>
            </w:r>
          </w:p>
        </w:tc>
        <w:tc>
          <w:tcPr>
            <w:tcW w:w="0" w:type="auto"/>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jc w:val="right"/>
              <w:rPr>
                <w:b/>
                <w:bCs/>
                <w:sz w:val="17"/>
                <w:szCs w:val="24"/>
                <w:lang w:val="fr-FR"/>
              </w:rPr>
            </w:pPr>
            <w:r w:rsidRPr="005D71E6">
              <w:rPr>
                <w:b/>
                <w:bCs/>
                <w:sz w:val="17"/>
                <w:szCs w:val="24"/>
                <w:lang w:val="fr-FR"/>
              </w:rPr>
              <w:t>64</w:t>
            </w:r>
          </w:p>
        </w:tc>
        <w:tc>
          <w:tcPr>
            <w:tcW w:w="0" w:type="auto"/>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jc w:val="right"/>
              <w:rPr>
                <w:b/>
                <w:bCs/>
                <w:sz w:val="17"/>
                <w:szCs w:val="24"/>
                <w:lang w:val="fr-FR"/>
              </w:rPr>
            </w:pPr>
            <w:r w:rsidRPr="005D71E6">
              <w:rPr>
                <w:b/>
                <w:bCs/>
                <w:sz w:val="17"/>
                <w:szCs w:val="24"/>
                <w:lang w:val="fr-FR"/>
              </w:rPr>
              <w:t>36</w:t>
            </w:r>
          </w:p>
        </w:tc>
      </w:tr>
      <w:tr w:rsidR="00E15507" w:rsidRPr="005D71E6">
        <w:tblPrEx>
          <w:tblCellMar>
            <w:top w:w="0" w:type="dxa"/>
            <w:bottom w:w="0" w:type="dxa"/>
          </w:tblCellMar>
        </w:tblPrEx>
        <w:trPr>
          <w:jc w:val="center"/>
        </w:trPr>
        <w:tc>
          <w:tcPr>
            <w:tcW w:w="799" w:type="dxa"/>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rPr>
                <w:b/>
                <w:bCs/>
                <w:sz w:val="17"/>
                <w:szCs w:val="24"/>
                <w:lang w:val="fr-FR"/>
              </w:rPr>
            </w:pPr>
            <w:r w:rsidRPr="005D71E6">
              <w:rPr>
                <w:b/>
                <w:bCs/>
                <w:sz w:val="17"/>
                <w:szCs w:val="24"/>
                <w:lang w:val="fr-FR"/>
              </w:rPr>
              <w:t>19</w:t>
            </w:r>
          </w:p>
        </w:tc>
        <w:tc>
          <w:tcPr>
            <w:tcW w:w="3432" w:type="dxa"/>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rPr>
                <w:b/>
                <w:bCs/>
                <w:sz w:val="17"/>
                <w:szCs w:val="24"/>
                <w:lang w:val="fr-FR"/>
              </w:rPr>
            </w:pPr>
            <w:r w:rsidRPr="005D71E6">
              <w:rPr>
                <w:b/>
                <w:bCs/>
                <w:sz w:val="17"/>
                <w:szCs w:val="24"/>
                <w:lang w:val="fr-FR"/>
              </w:rPr>
              <w:t>UNICEF (Zone D)</w:t>
            </w:r>
          </w:p>
        </w:tc>
        <w:tc>
          <w:tcPr>
            <w:tcW w:w="0" w:type="auto"/>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jc w:val="right"/>
              <w:rPr>
                <w:b/>
                <w:bCs/>
                <w:sz w:val="17"/>
                <w:szCs w:val="24"/>
                <w:lang w:val="fr-FR"/>
              </w:rPr>
            </w:pPr>
            <w:r w:rsidRPr="005D71E6">
              <w:rPr>
                <w:b/>
                <w:bCs/>
                <w:sz w:val="17"/>
                <w:szCs w:val="24"/>
                <w:lang w:val="fr-FR"/>
              </w:rPr>
              <w:t>81,2</w:t>
            </w:r>
          </w:p>
        </w:tc>
        <w:tc>
          <w:tcPr>
            <w:tcW w:w="0" w:type="auto"/>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jc w:val="right"/>
              <w:rPr>
                <w:b/>
                <w:bCs/>
                <w:sz w:val="17"/>
                <w:szCs w:val="24"/>
                <w:lang w:val="fr-FR"/>
              </w:rPr>
            </w:pPr>
            <w:r w:rsidRPr="005D71E6">
              <w:rPr>
                <w:b/>
                <w:bCs/>
                <w:sz w:val="17"/>
                <w:szCs w:val="24"/>
                <w:lang w:val="fr-FR"/>
              </w:rPr>
              <w:t>18,8</w:t>
            </w:r>
          </w:p>
        </w:tc>
      </w:tr>
      <w:tr w:rsidR="00E15507" w:rsidRPr="005D71E6">
        <w:tblPrEx>
          <w:tblCellMar>
            <w:top w:w="0" w:type="dxa"/>
            <w:bottom w:w="0" w:type="dxa"/>
          </w:tblCellMar>
        </w:tblPrEx>
        <w:trPr>
          <w:jc w:val="center"/>
        </w:trPr>
        <w:tc>
          <w:tcPr>
            <w:tcW w:w="799" w:type="dxa"/>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rPr>
                <w:b/>
                <w:bCs/>
                <w:sz w:val="17"/>
                <w:szCs w:val="24"/>
                <w:lang w:val="fr-FR"/>
              </w:rPr>
            </w:pPr>
            <w:r w:rsidRPr="005D71E6">
              <w:rPr>
                <w:b/>
                <w:bCs/>
                <w:sz w:val="17"/>
                <w:szCs w:val="24"/>
                <w:lang w:val="fr-FR"/>
              </w:rPr>
              <w:t>20</w:t>
            </w:r>
          </w:p>
        </w:tc>
        <w:tc>
          <w:tcPr>
            <w:tcW w:w="3432" w:type="dxa"/>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rPr>
                <w:b/>
                <w:bCs/>
                <w:sz w:val="17"/>
                <w:szCs w:val="24"/>
                <w:lang w:val="fr-FR"/>
              </w:rPr>
            </w:pPr>
            <w:r w:rsidRPr="005D71E6">
              <w:rPr>
                <w:b/>
                <w:bCs/>
                <w:sz w:val="17"/>
                <w:szCs w:val="24"/>
                <w:lang w:val="fr-FR"/>
              </w:rPr>
              <w:t>UNICEF (Zone D)</w:t>
            </w:r>
          </w:p>
        </w:tc>
        <w:tc>
          <w:tcPr>
            <w:tcW w:w="0" w:type="auto"/>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jc w:val="right"/>
              <w:rPr>
                <w:b/>
                <w:bCs/>
                <w:sz w:val="17"/>
                <w:szCs w:val="24"/>
                <w:lang w:val="fr-FR"/>
              </w:rPr>
            </w:pPr>
            <w:r w:rsidRPr="005D71E6">
              <w:rPr>
                <w:b/>
                <w:bCs/>
                <w:sz w:val="17"/>
                <w:szCs w:val="24"/>
                <w:lang w:val="fr-FR"/>
              </w:rPr>
              <w:t>65,72</w:t>
            </w:r>
          </w:p>
        </w:tc>
        <w:tc>
          <w:tcPr>
            <w:tcW w:w="0" w:type="auto"/>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jc w:val="right"/>
              <w:rPr>
                <w:b/>
                <w:bCs/>
                <w:sz w:val="17"/>
                <w:szCs w:val="24"/>
                <w:lang w:val="fr-FR"/>
              </w:rPr>
            </w:pPr>
            <w:r w:rsidRPr="005D71E6">
              <w:rPr>
                <w:b/>
                <w:bCs/>
                <w:sz w:val="17"/>
                <w:szCs w:val="24"/>
                <w:lang w:val="fr-FR"/>
              </w:rPr>
              <w:t>34,28</w:t>
            </w:r>
          </w:p>
        </w:tc>
      </w:tr>
      <w:tr w:rsidR="00E15507" w:rsidRPr="005D71E6">
        <w:tblPrEx>
          <w:tblCellMar>
            <w:top w:w="0" w:type="dxa"/>
            <w:bottom w:w="0" w:type="dxa"/>
          </w:tblCellMar>
        </w:tblPrEx>
        <w:trPr>
          <w:jc w:val="center"/>
        </w:trPr>
        <w:tc>
          <w:tcPr>
            <w:tcW w:w="799" w:type="dxa"/>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rPr>
                <w:b/>
                <w:bCs/>
                <w:sz w:val="17"/>
                <w:szCs w:val="24"/>
                <w:lang w:val="fr-FR"/>
              </w:rPr>
            </w:pPr>
            <w:r w:rsidRPr="005D71E6">
              <w:rPr>
                <w:b/>
                <w:bCs/>
                <w:sz w:val="17"/>
                <w:szCs w:val="24"/>
                <w:lang w:val="fr-FR"/>
              </w:rPr>
              <w:t>21</w:t>
            </w:r>
          </w:p>
        </w:tc>
        <w:tc>
          <w:tcPr>
            <w:tcW w:w="3432" w:type="dxa"/>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rPr>
                <w:b/>
                <w:bCs/>
                <w:sz w:val="17"/>
                <w:szCs w:val="24"/>
                <w:lang w:val="fr-FR"/>
              </w:rPr>
            </w:pPr>
            <w:r w:rsidRPr="005D71E6">
              <w:rPr>
                <w:b/>
                <w:bCs/>
                <w:sz w:val="17"/>
                <w:szCs w:val="24"/>
                <w:lang w:val="fr-FR"/>
              </w:rPr>
              <w:t>OMS (Lagos)</w:t>
            </w:r>
          </w:p>
        </w:tc>
        <w:tc>
          <w:tcPr>
            <w:tcW w:w="0" w:type="auto"/>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jc w:val="right"/>
              <w:rPr>
                <w:b/>
                <w:bCs/>
                <w:sz w:val="17"/>
                <w:szCs w:val="24"/>
                <w:lang w:val="fr-FR"/>
              </w:rPr>
            </w:pPr>
            <w:r w:rsidRPr="005D71E6">
              <w:rPr>
                <w:b/>
                <w:bCs/>
                <w:sz w:val="17"/>
                <w:szCs w:val="24"/>
                <w:lang w:val="fr-FR"/>
              </w:rPr>
              <w:t>100</w:t>
            </w:r>
          </w:p>
        </w:tc>
        <w:tc>
          <w:tcPr>
            <w:tcW w:w="0" w:type="auto"/>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jc w:val="right"/>
              <w:rPr>
                <w:b/>
                <w:bCs/>
                <w:sz w:val="17"/>
                <w:szCs w:val="24"/>
                <w:lang w:val="fr-FR"/>
              </w:rPr>
            </w:pPr>
            <w:r w:rsidRPr="005D71E6">
              <w:rPr>
                <w:b/>
                <w:bCs/>
                <w:sz w:val="17"/>
                <w:szCs w:val="24"/>
                <w:lang w:val="fr-FR"/>
              </w:rPr>
              <w:t>0</w:t>
            </w:r>
          </w:p>
        </w:tc>
      </w:tr>
      <w:tr w:rsidR="00E15507" w:rsidRPr="005D71E6">
        <w:tblPrEx>
          <w:tblCellMar>
            <w:top w:w="0" w:type="dxa"/>
            <w:bottom w:w="0" w:type="dxa"/>
          </w:tblCellMar>
        </w:tblPrEx>
        <w:trPr>
          <w:jc w:val="center"/>
        </w:trPr>
        <w:tc>
          <w:tcPr>
            <w:tcW w:w="799" w:type="dxa"/>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rPr>
                <w:b/>
                <w:bCs/>
                <w:sz w:val="17"/>
                <w:szCs w:val="24"/>
                <w:lang w:val="fr-FR"/>
              </w:rPr>
            </w:pPr>
            <w:r w:rsidRPr="005D71E6">
              <w:rPr>
                <w:b/>
                <w:bCs/>
                <w:sz w:val="17"/>
                <w:szCs w:val="24"/>
                <w:lang w:val="fr-FR"/>
              </w:rPr>
              <w:t>22</w:t>
            </w:r>
          </w:p>
        </w:tc>
        <w:tc>
          <w:tcPr>
            <w:tcW w:w="3432" w:type="dxa"/>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rPr>
                <w:b/>
                <w:bCs/>
                <w:sz w:val="17"/>
                <w:szCs w:val="24"/>
                <w:lang w:val="fr-FR"/>
              </w:rPr>
            </w:pPr>
            <w:r w:rsidRPr="005D71E6">
              <w:rPr>
                <w:b/>
                <w:bCs/>
                <w:sz w:val="17"/>
                <w:szCs w:val="24"/>
                <w:lang w:val="fr-FR"/>
              </w:rPr>
              <w:t>OMS (Abuja)</w:t>
            </w:r>
          </w:p>
        </w:tc>
        <w:tc>
          <w:tcPr>
            <w:tcW w:w="0" w:type="auto"/>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jc w:val="right"/>
              <w:rPr>
                <w:b/>
                <w:bCs/>
                <w:sz w:val="17"/>
                <w:szCs w:val="24"/>
                <w:lang w:val="fr-FR"/>
              </w:rPr>
            </w:pPr>
            <w:r w:rsidRPr="005D71E6">
              <w:rPr>
                <w:b/>
                <w:bCs/>
                <w:sz w:val="17"/>
                <w:szCs w:val="24"/>
                <w:lang w:val="fr-FR"/>
              </w:rPr>
              <w:t>88,89</w:t>
            </w:r>
          </w:p>
        </w:tc>
        <w:tc>
          <w:tcPr>
            <w:tcW w:w="0" w:type="auto"/>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jc w:val="right"/>
              <w:rPr>
                <w:b/>
                <w:bCs/>
                <w:sz w:val="17"/>
                <w:szCs w:val="24"/>
                <w:lang w:val="fr-FR"/>
              </w:rPr>
            </w:pPr>
            <w:r w:rsidRPr="005D71E6">
              <w:rPr>
                <w:b/>
                <w:bCs/>
                <w:sz w:val="17"/>
                <w:szCs w:val="24"/>
                <w:lang w:val="fr-FR"/>
              </w:rPr>
              <w:t>11,11</w:t>
            </w:r>
          </w:p>
        </w:tc>
      </w:tr>
      <w:tr w:rsidR="00E15507" w:rsidRPr="005D71E6">
        <w:tblPrEx>
          <w:tblCellMar>
            <w:top w:w="0" w:type="dxa"/>
            <w:bottom w:w="0" w:type="dxa"/>
          </w:tblCellMar>
        </w:tblPrEx>
        <w:trPr>
          <w:jc w:val="center"/>
        </w:trPr>
        <w:tc>
          <w:tcPr>
            <w:tcW w:w="799" w:type="dxa"/>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rPr>
                <w:b/>
                <w:bCs/>
                <w:sz w:val="17"/>
                <w:szCs w:val="24"/>
                <w:lang w:val="fr-FR"/>
              </w:rPr>
            </w:pPr>
            <w:r w:rsidRPr="005D71E6">
              <w:rPr>
                <w:b/>
                <w:bCs/>
                <w:sz w:val="17"/>
                <w:szCs w:val="24"/>
                <w:lang w:val="fr-FR"/>
              </w:rPr>
              <w:t>23</w:t>
            </w:r>
          </w:p>
        </w:tc>
        <w:tc>
          <w:tcPr>
            <w:tcW w:w="3432" w:type="dxa"/>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rPr>
                <w:b/>
                <w:bCs/>
                <w:sz w:val="17"/>
                <w:szCs w:val="24"/>
                <w:lang w:val="fr-FR"/>
              </w:rPr>
            </w:pPr>
            <w:r w:rsidRPr="005D71E6">
              <w:rPr>
                <w:b/>
                <w:bCs/>
                <w:sz w:val="17"/>
                <w:szCs w:val="24"/>
                <w:lang w:val="fr-FR"/>
              </w:rPr>
              <w:t>OMS (Projets)</w:t>
            </w:r>
          </w:p>
        </w:tc>
        <w:tc>
          <w:tcPr>
            <w:tcW w:w="0" w:type="auto"/>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jc w:val="right"/>
              <w:rPr>
                <w:b/>
                <w:bCs/>
                <w:sz w:val="17"/>
                <w:szCs w:val="24"/>
                <w:lang w:val="fr-FR"/>
              </w:rPr>
            </w:pPr>
            <w:r w:rsidRPr="005D71E6">
              <w:rPr>
                <w:b/>
                <w:bCs/>
                <w:sz w:val="17"/>
                <w:szCs w:val="24"/>
                <w:lang w:val="fr-FR"/>
              </w:rPr>
              <w:t>28,57</w:t>
            </w:r>
          </w:p>
        </w:tc>
        <w:tc>
          <w:tcPr>
            <w:tcW w:w="0" w:type="auto"/>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40" w:line="210" w:lineRule="exact"/>
              <w:ind w:right="43"/>
              <w:jc w:val="right"/>
              <w:rPr>
                <w:b/>
                <w:bCs/>
                <w:sz w:val="17"/>
                <w:szCs w:val="24"/>
                <w:lang w:val="fr-FR"/>
              </w:rPr>
            </w:pPr>
            <w:r w:rsidRPr="005D71E6">
              <w:rPr>
                <w:b/>
                <w:bCs/>
                <w:sz w:val="17"/>
                <w:szCs w:val="24"/>
                <w:lang w:val="fr-FR"/>
              </w:rPr>
              <w:t>71,43</w:t>
            </w:r>
          </w:p>
        </w:tc>
      </w:tr>
      <w:tr w:rsidR="00E15507" w:rsidRPr="005D71E6">
        <w:tblPrEx>
          <w:tblCellMar>
            <w:top w:w="0" w:type="dxa"/>
            <w:bottom w:w="0" w:type="dxa"/>
          </w:tblCellMar>
        </w:tblPrEx>
        <w:trPr>
          <w:jc w:val="center"/>
        </w:trPr>
        <w:tc>
          <w:tcPr>
            <w:tcW w:w="799" w:type="dxa"/>
            <w:tcBorders>
              <w:bottom w:val="single" w:sz="4" w:space="0" w:color="auto"/>
            </w:tcBorders>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81" w:line="210" w:lineRule="exact"/>
              <w:ind w:right="43"/>
              <w:rPr>
                <w:b/>
                <w:bCs/>
                <w:sz w:val="17"/>
                <w:szCs w:val="24"/>
                <w:lang w:val="fr-FR"/>
              </w:rPr>
            </w:pPr>
            <w:r w:rsidRPr="005D71E6">
              <w:rPr>
                <w:b/>
                <w:bCs/>
                <w:sz w:val="17"/>
                <w:szCs w:val="24"/>
                <w:lang w:val="fr-FR"/>
              </w:rPr>
              <w:t>24</w:t>
            </w:r>
          </w:p>
        </w:tc>
        <w:tc>
          <w:tcPr>
            <w:tcW w:w="3432" w:type="dxa"/>
            <w:tcBorders>
              <w:bottom w:val="single" w:sz="4" w:space="0" w:color="auto"/>
            </w:tcBorders>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81" w:line="210" w:lineRule="exact"/>
              <w:ind w:right="43"/>
              <w:rPr>
                <w:b/>
                <w:bCs/>
                <w:sz w:val="17"/>
                <w:szCs w:val="24"/>
                <w:lang w:val="fr-FR"/>
              </w:rPr>
            </w:pPr>
            <w:r w:rsidRPr="005D71E6">
              <w:rPr>
                <w:b/>
                <w:bCs/>
                <w:sz w:val="17"/>
                <w:szCs w:val="24"/>
                <w:lang w:val="fr-FR"/>
              </w:rPr>
              <w:t>OMM (Lagos)</w:t>
            </w:r>
          </w:p>
        </w:tc>
        <w:tc>
          <w:tcPr>
            <w:tcW w:w="0" w:type="auto"/>
            <w:tcBorders>
              <w:bottom w:val="single" w:sz="4" w:space="0" w:color="auto"/>
            </w:tcBorders>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81" w:line="210" w:lineRule="exact"/>
              <w:ind w:right="43"/>
              <w:jc w:val="right"/>
              <w:rPr>
                <w:b/>
                <w:bCs/>
                <w:sz w:val="17"/>
                <w:szCs w:val="24"/>
                <w:lang w:val="fr-FR"/>
              </w:rPr>
            </w:pPr>
            <w:r w:rsidRPr="005D71E6">
              <w:rPr>
                <w:b/>
                <w:bCs/>
                <w:sz w:val="17"/>
                <w:szCs w:val="24"/>
                <w:lang w:val="fr-FR"/>
              </w:rPr>
              <w:t>100</w:t>
            </w:r>
          </w:p>
        </w:tc>
        <w:tc>
          <w:tcPr>
            <w:tcW w:w="0" w:type="auto"/>
            <w:tcBorders>
              <w:bottom w:val="single" w:sz="4" w:space="0" w:color="auto"/>
            </w:tcBorders>
            <w:shd w:val="clear" w:color="auto" w:fill="auto"/>
            <w:vAlign w:val="bottom"/>
          </w:tcPr>
          <w:p w:rsidR="00E15507" w:rsidRPr="005D71E6" w:rsidRDefault="00E15507" w:rsidP="005D71E6">
            <w:pPr>
              <w:tabs>
                <w:tab w:val="left" w:pos="288"/>
                <w:tab w:val="left" w:pos="576"/>
                <w:tab w:val="left" w:pos="864"/>
                <w:tab w:val="left" w:pos="1152"/>
              </w:tabs>
              <w:suppressAutoHyphens/>
              <w:spacing w:before="40" w:after="81" w:line="210" w:lineRule="exact"/>
              <w:ind w:right="43"/>
              <w:jc w:val="right"/>
              <w:rPr>
                <w:b/>
                <w:bCs/>
                <w:sz w:val="17"/>
                <w:szCs w:val="24"/>
                <w:lang w:val="fr-FR"/>
              </w:rPr>
            </w:pPr>
            <w:r w:rsidRPr="005D71E6">
              <w:rPr>
                <w:b/>
                <w:bCs/>
                <w:sz w:val="17"/>
                <w:szCs w:val="24"/>
                <w:lang w:val="fr-FR"/>
              </w:rPr>
              <w:t>0</w:t>
            </w:r>
          </w:p>
        </w:tc>
      </w:tr>
      <w:tr w:rsidR="00E15507" w:rsidRPr="005D71E6">
        <w:tblPrEx>
          <w:tblCellMar>
            <w:top w:w="0" w:type="dxa"/>
            <w:bottom w:w="0" w:type="dxa"/>
          </w:tblCellMar>
        </w:tblPrEx>
        <w:trPr>
          <w:jc w:val="center"/>
        </w:trPr>
        <w:tc>
          <w:tcPr>
            <w:tcW w:w="799" w:type="dxa"/>
            <w:tcBorders>
              <w:top w:val="single" w:sz="4" w:space="0" w:color="auto"/>
              <w:bottom w:val="single" w:sz="12" w:space="0" w:color="auto"/>
            </w:tcBorders>
            <w:shd w:val="clear" w:color="auto" w:fill="auto"/>
            <w:vAlign w:val="bottom"/>
          </w:tcPr>
          <w:p w:rsidR="00E15507" w:rsidRPr="005D71E6" w:rsidRDefault="00E15507" w:rsidP="005D71E6">
            <w:pPr>
              <w:tabs>
                <w:tab w:val="left" w:pos="288"/>
                <w:tab w:val="left" w:pos="576"/>
                <w:tab w:val="left" w:pos="864"/>
                <w:tab w:val="left" w:pos="1152"/>
              </w:tabs>
              <w:suppressAutoHyphens/>
              <w:spacing w:before="81" w:after="81" w:line="210" w:lineRule="exact"/>
              <w:ind w:right="43"/>
              <w:rPr>
                <w:b/>
                <w:bCs/>
                <w:sz w:val="17"/>
                <w:szCs w:val="24"/>
                <w:lang w:val="fr-FR"/>
              </w:rPr>
            </w:pPr>
            <w:r w:rsidRPr="005D71E6">
              <w:rPr>
                <w:b/>
                <w:bCs/>
                <w:sz w:val="17"/>
                <w:szCs w:val="24"/>
                <w:lang w:val="fr-FR"/>
              </w:rPr>
              <w:t>25</w:t>
            </w:r>
          </w:p>
        </w:tc>
        <w:tc>
          <w:tcPr>
            <w:tcW w:w="3432" w:type="dxa"/>
            <w:tcBorders>
              <w:top w:val="single" w:sz="4" w:space="0" w:color="auto"/>
              <w:bottom w:val="single" w:sz="12" w:space="0" w:color="auto"/>
            </w:tcBorders>
            <w:shd w:val="clear" w:color="auto" w:fill="auto"/>
            <w:vAlign w:val="bottom"/>
          </w:tcPr>
          <w:p w:rsidR="00E15507" w:rsidRPr="005D71E6" w:rsidRDefault="00E15507" w:rsidP="005D71E6">
            <w:pPr>
              <w:tabs>
                <w:tab w:val="left" w:pos="288"/>
                <w:tab w:val="left" w:pos="576"/>
                <w:tab w:val="left" w:pos="864"/>
                <w:tab w:val="left" w:pos="1152"/>
              </w:tabs>
              <w:suppressAutoHyphens/>
              <w:spacing w:before="81" w:after="81" w:line="210" w:lineRule="exact"/>
              <w:ind w:right="43"/>
              <w:rPr>
                <w:b/>
                <w:bCs/>
                <w:sz w:val="17"/>
                <w:szCs w:val="24"/>
                <w:lang w:val="fr-FR"/>
              </w:rPr>
            </w:pPr>
            <w:r w:rsidRPr="005D71E6">
              <w:rPr>
                <w:b/>
                <w:bCs/>
                <w:sz w:val="17"/>
                <w:szCs w:val="24"/>
                <w:lang w:val="fr-FR"/>
              </w:rPr>
              <w:t>Total</w:t>
            </w:r>
          </w:p>
        </w:tc>
        <w:tc>
          <w:tcPr>
            <w:tcW w:w="0" w:type="auto"/>
            <w:tcBorders>
              <w:top w:val="single" w:sz="4" w:space="0" w:color="auto"/>
              <w:bottom w:val="single" w:sz="12" w:space="0" w:color="auto"/>
            </w:tcBorders>
            <w:shd w:val="clear" w:color="auto" w:fill="auto"/>
            <w:vAlign w:val="bottom"/>
          </w:tcPr>
          <w:p w:rsidR="00E15507" w:rsidRPr="005D71E6" w:rsidRDefault="00E15507" w:rsidP="005D71E6">
            <w:pPr>
              <w:tabs>
                <w:tab w:val="left" w:pos="288"/>
                <w:tab w:val="left" w:pos="576"/>
                <w:tab w:val="left" w:pos="864"/>
                <w:tab w:val="left" w:pos="1152"/>
              </w:tabs>
              <w:suppressAutoHyphens/>
              <w:spacing w:before="81" w:after="81" w:line="210" w:lineRule="exact"/>
              <w:ind w:right="43"/>
              <w:jc w:val="right"/>
              <w:rPr>
                <w:b/>
                <w:bCs/>
                <w:sz w:val="17"/>
                <w:szCs w:val="24"/>
                <w:lang w:val="fr-FR"/>
              </w:rPr>
            </w:pPr>
            <w:r w:rsidRPr="005D71E6">
              <w:rPr>
                <w:b/>
                <w:bCs/>
                <w:sz w:val="17"/>
                <w:szCs w:val="24"/>
                <w:lang w:val="fr-FR"/>
              </w:rPr>
              <w:t>67,13</w:t>
            </w:r>
          </w:p>
        </w:tc>
        <w:tc>
          <w:tcPr>
            <w:tcW w:w="0" w:type="auto"/>
            <w:tcBorders>
              <w:top w:val="single" w:sz="4" w:space="0" w:color="auto"/>
              <w:bottom w:val="single" w:sz="12" w:space="0" w:color="auto"/>
            </w:tcBorders>
            <w:shd w:val="clear" w:color="auto" w:fill="auto"/>
            <w:vAlign w:val="bottom"/>
          </w:tcPr>
          <w:p w:rsidR="00E15507" w:rsidRPr="005D71E6" w:rsidRDefault="00E15507" w:rsidP="005D71E6">
            <w:pPr>
              <w:tabs>
                <w:tab w:val="left" w:pos="288"/>
                <w:tab w:val="left" w:pos="576"/>
                <w:tab w:val="left" w:pos="864"/>
                <w:tab w:val="left" w:pos="1152"/>
              </w:tabs>
              <w:suppressAutoHyphens/>
              <w:spacing w:before="81" w:after="81" w:line="210" w:lineRule="exact"/>
              <w:ind w:right="43"/>
              <w:jc w:val="right"/>
              <w:rPr>
                <w:b/>
                <w:bCs/>
                <w:sz w:val="17"/>
                <w:szCs w:val="24"/>
                <w:lang w:val="fr-FR"/>
              </w:rPr>
            </w:pPr>
            <w:r w:rsidRPr="005D71E6">
              <w:rPr>
                <w:b/>
                <w:bCs/>
                <w:sz w:val="17"/>
                <w:szCs w:val="24"/>
                <w:lang w:val="fr-FR"/>
              </w:rPr>
              <w:t>32,87</w:t>
            </w:r>
          </w:p>
        </w:tc>
      </w:tr>
    </w:tbl>
    <w:p w:rsidR="005D71E6" w:rsidRPr="005D71E6" w:rsidRDefault="005D71E6" w:rsidP="005D71E6">
      <w:pPr>
        <w:pStyle w:val="SingleTxt"/>
        <w:spacing w:after="0" w:line="120" w:lineRule="exact"/>
        <w:rPr>
          <w:sz w:val="10"/>
          <w:szCs w:val="17"/>
          <w:lang w:val="fr-FR"/>
        </w:rPr>
      </w:pPr>
    </w:p>
    <w:p w:rsidR="00E15507" w:rsidRPr="005D71E6" w:rsidRDefault="00E15507" w:rsidP="005D71E6">
      <w:pPr>
        <w:pStyle w:val="SingleTxt"/>
        <w:spacing w:line="240" w:lineRule="auto"/>
        <w:rPr>
          <w:sz w:val="17"/>
          <w:szCs w:val="17"/>
          <w:lang w:val="fr-FR"/>
        </w:rPr>
      </w:pPr>
      <w:r w:rsidRPr="005D71E6">
        <w:rPr>
          <w:i/>
          <w:sz w:val="17"/>
          <w:szCs w:val="17"/>
          <w:lang w:val="fr-FR"/>
        </w:rPr>
        <w:t>Source des données 2001</w:t>
      </w:r>
      <w:r w:rsidRPr="005D71E6">
        <w:rPr>
          <w:sz w:val="17"/>
          <w:szCs w:val="17"/>
          <w:lang w:val="fr-FR"/>
        </w:rPr>
        <w:t> : Annuaire des Nations Unies, Nigéria, tableau établi par le PNUD Nigéria en mars 2001</w:t>
      </w:r>
    </w:p>
    <w:p w:rsidR="00740CA4" w:rsidRDefault="00E15507" w:rsidP="00740CA4">
      <w:pPr>
        <w:pStyle w:val="SingleTxt"/>
      </w:pPr>
      <w:r w:rsidRPr="00740CA4">
        <w:t>Bien que les postes de chefs de missions des organismes ne soient pas réservés aux Nigérians, il faut noter qu</w:t>
      </w:r>
      <w:r w:rsidR="000A3D87">
        <w:t>’</w:t>
      </w:r>
      <w:r w:rsidRPr="00740CA4">
        <w:t xml:space="preserve">en 2006, des </w:t>
      </w:r>
      <w:r w:rsidR="00740CA4">
        <w:t>16</w:t>
      </w:r>
      <w:r w:rsidRPr="00740CA4">
        <w:t xml:space="preserve"> représentants des institutions des Nations Unies au Nigéria, un seul (Directrice du programme régional de l</w:t>
      </w:r>
      <w:r w:rsidR="000A3D87">
        <w:t>’</w:t>
      </w:r>
      <w:r w:rsidRPr="00740CA4">
        <w:t>UNIFEM) est une femme.</w:t>
      </w:r>
    </w:p>
    <w:p w:rsidR="007651C9" w:rsidRPr="007651C9" w:rsidRDefault="007651C9" w:rsidP="007651C9">
      <w:pPr>
        <w:pStyle w:val="SingleTxt"/>
        <w:spacing w:after="0" w:line="120" w:lineRule="exact"/>
        <w:rPr>
          <w:sz w:val="10"/>
        </w:rPr>
      </w:pPr>
    </w:p>
    <w:p w:rsidR="007651C9" w:rsidRPr="007651C9" w:rsidRDefault="007651C9" w:rsidP="007651C9">
      <w:pPr>
        <w:pStyle w:val="SingleTxt"/>
        <w:spacing w:after="0" w:line="120" w:lineRule="exact"/>
        <w:rPr>
          <w:sz w:val="10"/>
        </w:rPr>
      </w:pPr>
    </w:p>
    <w:p w:rsidR="00E15507" w:rsidRDefault="00C11BEA" w:rsidP="007651C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br w:type="page"/>
      </w:r>
      <w:r w:rsidR="007651C9">
        <w:rPr>
          <w:lang w:val="fr-FR"/>
        </w:rPr>
        <w:tab/>
      </w:r>
      <w:r w:rsidR="007651C9">
        <w:rPr>
          <w:lang w:val="fr-FR"/>
        </w:rPr>
        <w:tab/>
      </w:r>
      <w:r w:rsidR="00E15507" w:rsidRPr="0012256D">
        <w:rPr>
          <w:lang w:val="fr-FR"/>
        </w:rPr>
        <w:t>Article 9</w:t>
      </w:r>
      <w:r w:rsidR="007651C9">
        <w:rPr>
          <w:lang w:val="fr-FR"/>
        </w:rPr>
        <w:br/>
      </w:r>
      <w:r w:rsidR="00E15507" w:rsidRPr="0012256D">
        <w:rPr>
          <w:lang w:val="fr-FR"/>
        </w:rPr>
        <w:t xml:space="preserve">Nationalité </w:t>
      </w:r>
    </w:p>
    <w:p w:rsidR="007651C9" w:rsidRPr="007651C9" w:rsidRDefault="007651C9" w:rsidP="007651C9">
      <w:pPr>
        <w:pStyle w:val="SingleTxt"/>
        <w:spacing w:after="0" w:line="120" w:lineRule="exact"/>
        <w:rPr>
          <w:sz w:val="10"/>
          <w:lang w:val="fr-FR"/>
        </w:rPr>
      </w:pPr>
    </w:p>
    <w:p w:rsidR="007651C9" w:rsidRPr="007651C9" w:rsidRDefault="007651C9" w:rsidP="007651C9">
      <w:pPr>
        <w:pStyle w:val="SingleTxt"/>
        <w:spacing w:after="0" w:line="120" w:lineRule="exact"/>
        <w:rPr>
          <w:sz w:val="10"/>
          <w:lang w:val="fr-FR"/>
        </w:rPr>
      </w:pPr>
    </w:p>
    <w:p w:rsidR="00E15507" w:rsidRDefault="007651C9" w:rsidP="007651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E15507" w:rsidRPr="0012256D">
        <w:rPr>
          <w:lang w:val="fr-FR"/>
        </w:rPr>
        <w:t>9.0</w:t>
      </w:r>
      <w:r>
        <w:rPr>
          <w:lang w:val="fr-FR"/>
        </w:rPr>
        <w:tab/>
      </w:r>
      <w:r w:rsidR="00E15507" w:rsidRPr="0012256D">
        <w:rPr>
          <w:lang w:val="fr-FR"/>
        </w:rPr>
        <w:t>La Constitution et la nationalité</w:t>
      </w:r>
    </w:p>
    <w:p w:rsidR="007651C9" w:rsidRPr="007651C9" w:rsidRDefault="007651C9" w:rsidP="007651C9">
      <w:pPr>
        <w:pStyle w:val="SingleTxt"/>
        <w:spacing w:after="0" w:line="120" w:lineRule="exact"/>
        <w:rPr>
          <w:sz w:val="10"/>
          <w:lang w:val="fr-FR"/>
        </w:rPr>
      </w:pPr>
    </w:p>
    <w:p w:rsidR="00E15507" w:rsidRDefault="007651C9" w:rsidP="007651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rPr>
          <w:lang w:val="fr-FR"/>
        </w:rPr>
      </w:pPr>
      <w:r>
        <w:rPr>
          <w:bCs/>
          <w:lang w:val="fr-FR"/>
        </w:rPr>
        <w:tab/>
      </w:r>
      <w:r w:rsidR="00E15507" w:rsidRPr="0012256D">
        <w:rPr>
          <w:bCs/>
          <w:lang w:val="fr-FR"/>
        </w:rPr>
        <w:t>9.1</w:t>
      </w:r>
      <w:r>
        <w:rPr>
          <w:lang w:val="fr-FR"/>
        </w:rPr>
        <w:tab/>
      </w:r>
      <w:r w:rsidRPr="007651C9">
        <w:rPr>
          <w:b w:val="0"/>
          <w:lang w:val="fr-FR"/>
        </w:rPr>
        <w:t>L</w:t>
      </w:r>
      <w:r w:rsidR="00E15507" w:rsidRPr="007651C9">
        <w:rPr>
          <w:b w:val="0"/>
          <w:lang w:val="fr-FR"/>
        </w:rPr>
        <w:t>es femmes nigérianes se sont mobilisées de manière stratégique pour faire entendre leurs préoccupations quant aux questions constitutionnelles ayant des implications sur la nationalité et l</w:t>
      </w:r>
      <w:r w:rsidR="000A3D87">
        <w:rPr>
          <w:b w:val="0"/>
          <w:lang w:val="fr-FR"/>
        </w:rPr>
        <w:t>’</w:t>
      </w:r>
      <w:r w:rsidR="00E15507" w:rsidRPr="007651C9">
        <w:rPr>
          <w:b w:val="0"/>
          <w:lang w:val="fr-FR"/>
        </w:rPr>
        <w:t>autochtonie. La conférence nationale sur la réforme politique organisée par le Gouvernement fédéral en 2005 a été le point d</w:t>
      </w:r>
      <w:r w:rsidR="000A3D87">
        <w:rPr>
          <w:b w:val="0"/>
          <w:lang w:val="fr-FR"/>
        </w:rPr>
        <w:t>’</w:t>
      </w:r>
      <w:r w:rsidR="00E15507" w:rsidRPr="007651C9">
        <w:rPr>
          <w:b w:val="0"/>
          <w:lang w:val="fr-FR"/>
        </w:rPr>
        <w:t>orgue de cette mobilisation. Les questions féminines ont été intégrées à l</w:t>
      </w:r>
      <w:r w:rsidR="000A3D87">
        <w:rPr>
          <w:b w:val="0"/>
          <w:lang w:val="fr-FR"/>
        </w:rPr>
        <w:t>’</w:t>
      </w:r>
      <w:r w:rsidR="00E15507" w:rsidRPr="007651C9">
        <w:rPr>
          <w:b w:val="0"/>
          <w:lang w:val="fr-FR"/>
        </w:rPr>
        <w:t>ordre du jour de cette conférence grâce à l</w:t>
      </w:r>
      <w:r w:rsidR="000A3D87">
        <w:rPr>
          <w:b w:val="0"/>
          <w:lang w:val="fr-FR"/>
        </w:rPr>
        <w:t>’</w:t>
      </w:r>
      <w:r w:rsidR="00E15507" w:rsidRPr="007651C9">
        <w:rPr>
          <w:b w:val="0"/>
          <w:lang w:val="fr-FR"/>
        </w:rPr>
        <w:t>appui du ministère fédéral de la Condition de la femme et des partenaires de développement tels que l</w:t>
      </w:r>
      <w:r w:rsidR="000A3D87">
        <w:rPr>
          <w:b w:val="0"/>
          <w:lang w:val="fr-FR"/>
        </w:rPr>
        <w:t>’</w:t>
      </w:r>
      <w:r w:rsidR="00E15507" w:rsidRPr="007651C9">
        <w:rPr>
          <w:b w:val="0"/>
          <w:lang w:val="fr-FR"/>
        </w:rPr>
        <w:t>UNIFEM, l</w:t>
      </w:r>
      <w:r w:rsidR="000A3D87">
        <w:rPr>
          <w:b w:val="0"/>
          <w:lang w:val="fr-FR"/>
        </w:rPr>
        <w:t>’</w:t>
      </w:r>
      <w:r w:rsidR="00E15507" w:rsidRPr="007651C9">
        <w:rPr>
          <w:b w:val="0"/>
          <w:lang w:val="fr-FR"/>
        </w:rPr>
        <w:t>ACDI et ACTIONAID. Cette remarquable réalisation pour les femmes mise en évidence  dans les paragraphes précédents a amélioré la visibilité des questions féminines. Cette conférence a été l</w:t>
      </w:r>
      <w:r w:rsidR="000A3D87">
        <w:rPr>
          <w:b w:val="0"/>
          <w:lang w:val="fr-FR"/>
        </w:rPr>
        <w:t>’</w:t>
      </w:r>
      <w:r w:rsidR="00E15507" w:rsidRPr="007651C9">
        <w:rPr>
          <w:b w:val="0"/>
          <w:lang w:val="fr-FR"/>
        </w:rPr>
        <w:t>occasion unique de sensibiliser les hautes personnalités qui n</w:t>
      </w:r>
      <w:r w:rsidR="000A3D87">
        <w:rPr>
          <w:b w:val="0"/>
          <w:lang w:val="fr-FR"/>
        </w:rPr>
        <w:t>’</w:t>
      </w:r>
      <w:r w:rsidR="00E15507" w:rsidRPr="007651C9">
        <w:rPr>
          <w:b w:val="0"/>
          <w:lang w:val="fr-FR"/>
        </w:rPr>
        <w:t>étaient pas du tout au fait des questions féminines. Les modifications proposées lors de la conférence nationale sur la réforme politique par les femmes à la Constitution nigériane de 1999 en vue de remédier à la participation inégale des femmes à la vie publique en raison des questions de nationalité, de l</w:t>
      </w:r>
      <w:r w:rsidR="000A3D87">
        <w:rPr>
          <w:b w:val="0"/>
          <w:lang w:val="fr-FR"/>
        </w:rPr>
        <w:t>’</w:t>
      </w:r>
      <w:r w:rsidR="00E15507" w:rsidRPr="007651C9">
        <w:rPr>
          <w:b w:val="0"/>
          <w:lang w:val="fr-FR"/>
        </w:rPr>
        <w:t>autochtonie et de nombreux autres obstacles sont présentées au paragraphe 7.2 du présent rapport. De plus, il a été spécifiquement demandé de </w:t>
      </w:r>
      <w:r w:rsidR="00E15507" w:rsidRPr="0012256D">
        <w:rPr>
          <w:lang w:val="fr-FR"/>
        </w:rPr>
        <w:t xml:space="preserve">: </w:t>
      </w:r>
    </w:p>
    <w:p w:rsidR="00C11BEA" w:rsidRPr="00C11BEA" w:rsidRDefault="00C11BEA" w:rsidP="00C11BEA">
      <w:pPr>
        <w:pStyle w:val="SingleTxt"/>
        <w:spacing w:after="0" w:line="120" w:lineRule="exact"/>
        <w:rPr>
          <w:sz w:val="10"/>
          <w:lang w:val="fr-FR"/>
        </w:rPr>
      </w:pPr>
    </w:p>
    <w:p w:rsidR="00E15507" w:rsidRPr="0012256D" w:rsidRDefault="007651C9" w:rsidP="009546E1">
      <w:pPr>
        <w:pStyle w:val="SingleTxt"/>
        <w:numPr>
          <w:ilvl w:val="0"/>
          <w:numId w:val="23"/>
        </w:numPr>
        <w:tabs>
          <w:tab w:val="clear" w:pos="1987"/>
        </w:tabs>
        <w:ind w:left="1800" w:hanging="540"/>
        <w:rPr>
          <w:lang w:val="fr-FR"/>
        </w:rPr>
      </w:pPr>
      <w:r>
        <w:rPr>
          <w:lang w:val="fr-FR"/>
        </w:rPr>
        <w:tab/>
      </w:r>
      <w:r w:rsidR="00E15507" w:rsidRPr="0012256D">
        <w:rPr>
          <w:lang w:val="fr-FR"/>
        </w:rPr>
        <w:t xml:space="preserve">Remplacer le terme </w:t>
      </w:r>
      <w:r w:rsidR="00C11BEA">
        <w:rPr>
          <w:lang w:val="fr-FR"/>
        </w:rPr>
        <w:t>« </w:t>
      </w:r>
      <w:r w:rsidR="00E15507" w:rsidRPr="0012256D">
        <w:rPr>
          <w:lang w:val="fr-FR"/>
        </w:rPr>
        <w:t>femme</w:t>
      </w:r>
      <w:r w:rsidR="000A3D87">
        <w:rPr>
          <w:lang w:val="fr-FR"/>
        </w:rPr>
        <w:t> »</w:t>
      </w:r>
      <w:r w:rsidR="00E15507" w:rsidRPr="0012256D">
        <w:rPr>
          <w:lang w:val="fr-FR"/>
        </w:rPr>
        <w:t xml:space="preserve">  à l</w:t>
      </w:r>
      <w:r w:rsidR="000A3D87">
        <w:rPr>
          <w:lang w:val="fr-FR"/>
        </w:rPr>
        <w:t>’</w:t>
      </w:r>
      <w:r w:rsidR="00E15507" w:rsidRPr="0012256D">
        <w:rPr>
          <w:lang w:val="fr-FR"/>
        </w:rPr>
        <w:t xml:space="preserve">article 26, alinéa 2 (a) par </w:t>
      </w:r>
      <w:r w:rsidR="00C11BEA">
        <w:rPr>
          <w:lang w:val="fr-FR"/>
        </w:rPr>
        <w:t>« </w:t>
      </w:r>
      <w:r w:rsidR="00E15507" w:rsidRPr="0012256D">
        <w:rPr>
          <w:lang w:val="fr-FR"/>
        </w:rPr>
        <w:t>personne</w:t>
      </w:r>
      <w:r w:rsidR="000A3D87">
        <w:rPr>
          <w:lang w:val="fr-FR"/>
        </w:rPr>
        <w:t> »</w:t>
      </w:r>
      <w:r w:rsidR="00E15507" w:rsidRPr="0012256D">
        <w:rPr>
          <w:lang w:val="fr-FR"/>
        </w:rPr>
        <w:t>. Cet article refuse aux femmes nigérianes le droit de faire acquérir la nationalité nigériane à leur mari par simple déclaration comme c</w:t>
      </w:r>
      <w:r w:rsidR="000A3D87">
        <w:rPr>
          <w:lang w:val="fr-FR"/>
        </w:rPr>
        <w:t>’</w:t>
      </w:r>
      <w:r w:rsidR="00E15507" w:rsidRPr="0012256D">
        <w:rPr>
          <w:lang w:val="fr-FR"/>
        </w:rPr>
        <w:t xml:space="preserve">est le cas avec leurs compatriotes hommes qui ont épousé des femmes de nationalité étrangère. </w:t>
      </w:r>
    </w:p>
    <w:p w:rsidR="00E15507" w:rsidRDefault="007651C9" w:rsidP="007651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rPr>
          <w:b w:val="0"/>
          <w:lang w:val="fr-FR"/>
        </w:rPr>
      </w:pPr>
      <w:r>
        <w:rPr>
          <w:lang w:val="fr-FR"/>
        </w:rPr>
        <w:tab/>
      </w:r>
      <w:r w:rsidR="00E15507" w:rsidRPr="0012256D">
        <w:rPr>
          <w:lang w:val="fr-FR"/>
        </w:rPr>
        <w:t xml:space="preserve">9.2 </w:t>
      </w:r>
      <w:r>
        <w:rPr>
          <w:lang w:val="fr-FR"/>
        </w:rPr>
        <w:tab/>
      </w:r>
      <w:r w:rsidR="00E15507" w:rsidRPr="007651C9">
        <w:rPr>
          <w:b w:val="0"/>
          <w:lang w:val="fr-FR"/>
        </w:rPr>
        <w:t>Les femmes nigérianes ont également recommandé que la Commission sur la réforme de la législation révise le droit positif et le droit coutumier qui empêchent les femmes qui ne sont mariées à des hommes originaires du même État de jouir de l</w:t>
      </w:r>
      <w:r w:rsidR="000A3D87">
        <w:rPr>
          <w:b w:val="0"/>
          <w:lang w:val="fr-FR"/>
        </w:rPr>
        <w:t>’</w:t>
      </w:r>
      <w:r w:rsidR="00E15507" w:rsidRPr="007651C9">
        <w:rPr>
          <w:b w:val="0"/>
          <w:lang w:val="fr-FR"/>
        </w:rPr>
        <w:t>égalité de droits et privilèges au sein du couple et dans la vie politique et publique. Des efforts concertés sont également faits par les femmes pour garantir que ces questions soient traitées lors de toute révision constitutionnelle ultérieure (Rapport de la Cellule d</w:t>
      </w:r>
      <w:r w:rsidR="000A3D87">
        <w:rPr>
          <w:b w:val="0"/>
          <w:lang w:val="fr-FR"/>
        </w:rPr>
        <w:t>’</w:t>
      </w:r>
      <w:r w:rsidR="00E15507" w:rsidRPr="007651C9">
        <w:rPr>
          <w:b w:val="0"/>
          <w:lang w:val="fr-FR"/>
        </w:rPr>
        <w:t>appui aux initiatives en faveur de l</w:t>
      </w:r>
      <w:r w:rsidR="000A3D87">
        <w:rPr>
          <w:b w:val="0"/>
          <w:lang w:val="fr-FR"/>
        </w:rPr>
        <w:t>’</w:t>
      </w:r>
      <w:r w:rsidR="00E15507" w:rsidRPr="007651C9">
        <w:rPr>
          <w:b w:val="0"/>
          <w:lang w:val="fr-FR"/>
        </w:rPr>
        <w:t xml:space="preserve">égalité des sexes pour les femmes déléguées à la conférence nationale sur la réforme politique, août 2005). </w:t>
      </w:r>
    </w:p>
    <w:p w:rsidR="007651C9" w:rsidRPr="007651C9" w:rsidRDefault="007651C9" w:rsidP="007651C9">
      <w:pPr>
        <w:pStyle w:val="SingleTxt"/>
        <w:spacing w:after="0" w:line="120" w:lineRule="exact"/>
        <w:rPr>
          <w:sz w:val="10"/>
          <w:lang w:val="fr-FR"/>
        </w:rPr>
      </w:pPr>
    </w:p>
    <w:p w:rsidR="007651C9" w:rsidRDefault="007651C9" w:rsidP="0012256D">
      <w:pPr>
        <w:pStyle w:val="SingleTxt"/>
        <w:rPr>
          <w:lang w:val="fr-FR"/>
        </w:rPr>
      </w:pPr>
      <w:r>
        <w:rPr>
          <w:lang w:val="fr-FR"/>
        </w:rPr>
        <w:tab/>
      </w:r>
      <w:r w:rsidR="00E15507" w:rsidRPr="0012256D">
        <w:rPr>
          <w:lang w:val="fr-FR"/>
        </w:rPr>
        <w:t>Lors d</w:t>
      </w:r>
      <w:r w:rsidR="000A3D87">
        <w:rPr>
          <w:lang w:val="fr-FR"/>
        </w:rPr>
        <w:t>’</w:t>
      </w:r>
      <w:r w:rsidR="00E15507" w:rsidRPr="0012256D">
        <w:rPr>
          <w:lang w:val="fr-FR"/>
        </w:rPr>
        <w:t>une récente tentative de modification de la Constitution de 1999, l</w:t>
      </w:r>
      <w:r w:rsidR="000A3D87">
        <w:rPr>
          <w:lang w:val="fr-FR"/>
        </w:rPr>
        <w:t>’</w:t>
      </w:r>
      <w:r w:rsidR="00E15507" w:rsidRPr="0012256D">
        <w:rPr>
          <w:lang w:val="fr-FR"/>
        </w:rPr>
        <w:t>Assemblée nationale a adopté la proposition des femmes relative à l</w:t>
      </w:r>
      <w:r w:rsidR="000A3D87">
        <w:rPr>
          <w:lang w:val="fr-FR"/>
        </w:rPr>
        <w:t>’</w:t>
      </w:r>
      <w:r w:rsidR="00E15507" w:rsidRPr="0012256D">
        <w:rPr>
          <w:lang w:val="fr-FR"/>
        </w:rPr>
        <w:t xml:space="preserve">article 26 (2) (a) dans son projet de loi de révision constitutionnelle. Cette adoption est considérée comme un progrès majeur sur les questions féminines au Nigéria et une solution aux questions féminines liées à la nationalité et à la citoyenneté. </w:t>
      </w:r>
    </w:p>
    <w:p w:rsidR="00E15507" w:rsidRDefault="007651C9" w:rsidP="007651C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br w:type="page"/>
      </w:r>
      <w:r>
        <w:rPr>
          <w:lang w:val="fr-FR"/>
        </w:rPr>
        <w:tab/>
      </w:r>
      <w:r>
        <w:rPr>
          <w:lang w:val="fr-FR"/>
        </w:rPr>
        <w:tab/>
      </w:r>
      <w:r w:rsidR="00E15507" w:rsidRPr="0012256D">
        <w:rPr>
          <w:lang w:val="fr-FR"/>
        </w:rPr>
        <w:t>Article 10</w:t>
      </w:r>
      <w:r>
        <w:rPr>
          <w:lang w:val="fr-FR"/>
        </w:rPr>
        <w:br/>
      </w:r>
      <w:r w:rsidR="00E15507" w:rsidRPr="0012256D">
        <w:rPr>
          <w:lang w:val="fr-FR"/>
        </w:rPr>
        <w:t>Éducation</w:t>
      </w:r>
    </w:p>
    <w:p w:rsidR="007651C9" w:rsidRPr="007651C9" w:rsidRDefault="007651C9" w:rsidP="007651C9">
      <w:pPr>
        <w:pStyle w:val="SingleTxt"/>
        <w:spacing w:after="0" w:line="120" w:lineRule="exact"/>
        <w:rPr>
          <w:sz w:val="10"/>
          <w:lang w:val="fr-FR"/>
        </w:rPr>
      </w:pPr>
    </w:p>
    <w:p w:rsidR="007651C9" w:rsidRPr="007651C9" w:rsidRDefault="007651C9" w:rsidP="007651C9">
      <w:pPr>
        <w:pStyle w:val="SingleTxt"/>
        <w:spacing w:after="0" w:line="120" w:lineRule="exact"/>
        <w:rPr>
          <w:sz w:val="10"/>
          <w:lang w:val="fr-FR"/>
        </w:rPr>
      </w:pPr>
    </w:p>
    <w:p w:rsidR="00E15507" w:rsidRDefault="007651C9" w:rsidP="007651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E15507" w:rsidRPr="0012256D">
        <w:rPr>
          <w:lang w:val="fr-FR"/>
        </w:rPr>
        <w:t>10.0</w:t>
      </w:r>
      <w:r w:rsidR="00E15507" w:rsidRPr="0012256D">
        <w:rPr>
          <w:lang w:val="fr-FR"/>
        </w:rPr>
        <w:tab/>
        <w:t>Mesures d</w:t>
      </w:r>
      <w:r w:rsidR="000A3D87">
        <w:rPr>
          <w:lang w:val="fr-FR"/>
        </w:rPr>
        <w:t>’</w:t>
      </w:r>
      <w:r w:rsidR="00E15507" w:rsidRPr="0012256D">
        <w:rPr>
          <w:lang w:val="fr-FR"/>
        </w:rPr>
        <w:t>ordre juridique</w:t>
      </w:r>
    </w:p>
    <w:p w:rsidR="007651C9" w:rsidRPr="007651C9" w:rsidRDefault="007651C9" w:rsidP="007651C9">
      <w:pPr>
        <w:pStyle w:val="SingleTxt"/>
        <w:spacing w:after="0" w:line="120" w:lineRule="exact"/>
        <w:rPr>
          <w:sz w:val="10"/>
          <w:lang w:val="fr-FR"/>
        </w:rPr>
      </w:pPr>
    </w:p>
    <w:p w:rsidR="00E15507" w:rsidRDefault="007651C9" w:rsidP="007651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rPr>
          <w:b w:val="0"/>
          <w:lang w:val="fr-FR"/>
        </w:rPr>
      </w:pPr>
      <w:r>
        <w:rPr>
          <w:bCs/>
          <w:lang w:val="fr-FR"/>
        </w:rPr>
        <w:tab/>
      </w:r>
      <w:r w:rsidR="00E15507" w:rsidRPr="0012256D">
        <w:rPr>
          <w:bCs/>
          <w:lang w:val="fr-FR"/>
        </w:rPr>
        <w:t>10.1</w:t>
      </w:r>
      <w:r w:rsidR="00E15507" w:rsidRPr="0012256D">
        <w:rPr>
          <w:lang w:val="fr-FR"/>
        </w:rPr>
        <w:t xml:space="preserve"> </w:t>
      </w:r>
      <w:r w:rsidRPr="007651C9">
        <w:rPr>
          <w:b w:val="0"/>
          <w:lang w:val="fr-FR"/>
        </w:rPr>
        <w:tab/>
      </w:r>
      <w:r w:rsidR="00E15507" w:rsidRPr="007651C9">
        <w:rPr>
          <w:b w:val="0"/>
          <w:lang w:val="fr-FR"/>
        </w:rPr>
        <w:t>L</w:t>
      </w:r>
      <w:r w:rsidR="000A3D87">
        <w:rPr>
          <w:b w:val="0"/>
          <w:lang w:val="fr-FR"/>
        </w:rPr>
        <w:t>’</w:t>
      </w:r>
      <w:r w:rsidR="00E15507" w:rsidRPr="007651C9">
        <w:rPr>
          <w:b w:val="0"/>
          <w:lang w:val="fr-FR"/>
        </w:rPr>
        <w:t>environnement juridique et politique de la promotion d</w:t>
      </w:r>
      <w:r w:rsidR="000A3D87">
        <w:rPr>
          <w:b w:val="0"/>
          <w:lang w:val="fr-FR"/>
        </w:rPr>
        <w:t>’</w:t>
      </w:r>
      <w:r w:rsidR="00E15507" w:rsidRPr="007651C9">
        <w:rPr>
          <w:b w:val="0"/>
          <w:lang w:val="fr-FR"/>
        </w:rPr>
        <w:t>un meilleur accès des citoyennes nigérianes à l</w:t>
      </w:r>
      <w:r w:rsidR="000A3D87">
        <w:rPr>
          <w:b w:val="0"/>
          <w:lang w:val="fr-FR"/>
        </w:rPr>
        <w:t>’</w:t>
      </w:r>
      <w:r w:rsidR="00E15507" w:rsidRPr="007651C9">
        <w:rPr>
          <w:b w:val="0"/>
          <w:lang w:val="fr-FR"/>
        </w:rPr>
        <w:t>éducation a été encourageant et marqué par des progrès au cours des quatre dernières années. Des lois ont été adoptées aux niveaux de la Fédération et des États à cette fin. Au niveau de la Fédération, la Loi sur les droits de l</w:t>
      </w:r>
      <w:r w:rsidR="000A3D87">
        <w:rPr>
          <w:b w:val="0"/>
          <w:lang w:val="fr-FR"/>
        </w:rPr>
        <w:t>’</w:t>
      </w:r>
      <w:r w:rsidR="00E15507" w:rsidRPr="007651C9">
        <w:rPr>
          <w:b w:val="0"/>
          <w:lang w:val="fr-FR"/>
        </w:rPr>
        <w:t>enfant a été adoptée en 2003.</w:t>
      </w:r>
    </w:p>
    <w:p w:rsidR="007651C9" w:rsidRPr="007651C9" w:rsidRDefault="007651C9" w:rsidP="007651C9">
      <w:pPr>
        <w:pStyle w:val="SingleTxt"/>
        <w:spacing w:after="0" w:line="120" w:lineRule="exact"/>
        <w:rPr>
          <w:sz w:val="10"/>
          <w:lang w:val="fr-FR"/>
        </w:rPr>
      </w:pPr>
    </w:p>
    <w:p w:rsidR="00E15507" w:rsidRPr="0012256D" w:rsidRDefault="007651C9" w:rsidP="0012256D">
      <w:pPr>
        <w:pStyle w:val="SingleTxt"/>
        <w:rPr>
          <w:lang w:val="fr-FR"/>
        </w:rPr>
      </w:pPr>
      <w:r>
        <w:rPr>
          <w:lang w:val="fr-FR"/>
        </w:rPr>
        <w:tab/>
      </w:r>
      <w:r w:rsidR="00E15507" w:rsidRPr="0012256D">
        <w:rPr>
          <w:lang w:val="fr-FR"/>
        </w:rPr>
        <w:t>Aux termes de l</w:t>
      </w:r>
      <w:r w:rsidR="000A3D87">
        <w:rPr>
          <w:lang w:val="fr-FR"/>
        </w:rPr>
        <w:t>’</w:t>
      </w:r>
      <w:r w:rsidR="00E15507" w:rsidRPr="0012256D">
        <w:rPr>
          <w:lang w:val="fr-FR"/>
        </w:rPr>
        <w:t>article 15(1) la Loi :</w:t>
      </w:r>
    </w:p>
    <w:p w:rsidR="00E15507" w:rsidRPr="0012256D" w:rsidRDefault="007651C9" w:rsidP="003221F3">
      <w:pPr>
        <w:pStyle w:val="SingleTxt"/>
        <w:tabs>
          <w:tab w:val="clear" w:pos="1267"/>
        </w:tabs>
        <w:ind w:left="1800" w:hanging="533"/>
        <w:rPr>
          <w:i/>
          <w:lang w:val="fr-FR"/>
        </w:rPr>
      </w:pPr>
      <w:r>
        <w:rPr>
          <w:lang w:val="fr-FR"/>
        </w:rPr>
        <w:tab/>
      </w:r>
      <w:r w:rsidR="00C11BEA">
        <w:rPr>
          <w:lang w:val="fr-FR"/>
        </w:rPr>
        <w:t>« </w:t>
      </w:r>
      <w:r w:rsidR="00E15507" w:rsidRPr="0012256D">
        <w:rPr>
          <w:i/>
          <w:lang w:val="fr-FR"/>
        </w:rPr>
        <w:t>Chaque enfant a le droit à l</w:t>
      </w:r>
      <w:r w:rsidR="000A3D87">
        <w:rPr>
          <w:i/>
          <w:lang w:val="fr-FR"/>
        </w:rPr>
        <w:t>’</w:t>
      </w:r>
      <w:r w:rsidR="00E15507" w:rsidRPr="0012256D">
        <w:rPr>
          <w:i/>
          <w:lang w:val="fr-FR"/>
        </w:rPr>
        <w:t>éducation de base gratuite, obligatoire et destinées à tous et le Gouvernement a le devoir de lui fournir cette éducation.</w:t>
      </w:r>
    </w:p>
    <w:p w:rsidR="00E15507" w:rsidRPr="0012256D" w:rsidRDefault="007651C9" w:rsidP="003221F3">
      <w:pPr>
        <w:pStyle w:val="SingleTxt"/>
        <w:ind w:left="1800" w:hanging="533"/>
        <w:rPr>
          <w:i/>
          <w:lang w:val="fr-FR"/>
        </w:rPr>
      </w:pPr>
      <w:r>
        <w:rPr>
          <w:i/>
          <w:lang w:val="fr-FR"/>
        </w:rPr>
        <w:tab/>
      </w:r>
      <w:r w:rsidR="00E15507" w:rsidRPr="0012256D">
        <w:rPr>
          <w:i/>
          <w:lang w:val="fr-FR"/>
        </w:rPr>
        <w:t>(2) Chaque parent ou tuteur s</w:t>
      </w:r>
      <w:r w:rsidR="000A3D87">
        <w:rPr>
          <w:i/>
          <w:lang w:val="fr-FR"/>
        </w:rPr>
        <w:t>’</w:t>
      </w:r>
      <w:r w:rsidR="00E15507" w:rsidRPr="0012256D">
        <w:rPr>
          <w:i/>
          <w:lang w:val="fr-FR"/>
        </w:rPr>
        <w:t xml:space="preserve">assure que son enfant ou enfant placé sous sa tutelle suive et achève son – </w:t>
      </w:r>
    </w:p>
    <w:p w:rsidR="00E15507" w:rsidRPr="0012256D" w:rsidRDefault="007651C9" w:rsidP="0012256D">
      <w:pPr>
        <w:pStyle w:val="SingleTxt"/>
        <w:rPr>
          <w:i/>
          <w:lang w:val="fr-FR"/>
        </w:rPr>
      </w:pPr>
      <w:r>
        <w:rPr>
          <w:i/>
          <w:lang w:val="fr-FR"/>
        </w:rPr>
        <w:tab/>
      </w:r>
      <w:r w:rsidR="00E15507" w:rsidRPr="0012256D">
        <w:rPr>
          <w:i/>
          <w:lang w:val="fr-FR"/>
        </w:rPr>
        <w:t xml:space="preserve">a) cycle primaire; et </w:t>
      </w:r>
    </w:p>
    <w:p w:rsidR="00E15507" w:rsidRPr="0012256D" w:rsidRDefault="007651C9" w:rsidP="0012256D">
      <w:pPr>
        <w:pStyle w:val="SingleTxt"/>
        <w:rPr>
          <w:lang w:val="fr-FR"/>
        </w:rPr>
      </w:pPr>
      <w:r>
        <w:rPr>
          <w:i/>
          <w:lang w:val="fr-FR"/>
        </w:rPr>
        <w:tab/>
      </w:r>
      <w:r w:rsidR="00E15507" w:rsidRPr="0012256D">
        <w:rPr>
          <w:i/>
          <w:lang w:val="fr-FR"/>
        </w:rPr>
        <w:t>b) premier cycle du secondaire…»</w:t>
      </w:r>
    </w:p>
    <w:p w:rsidR="00E15507" w:rsidRPr="0012256D" w:rsidRDefault="003221F3" w:rsidP="0012256D">
      <w:pPr>
        <w:pStyle w:val="SingleTxt"/>
        <w:rPr>
          <w:lang w:val="fr-FR"/>
        </w:rPr>
      </w:pPr>
      <w:r>
        <w:rPr>
          <w:lang w:val="fr-FR"/>
        </w:rPr>
        <w:tab/>
      </w:r>
      <w:r w:rsidR="00E15507" w:rsidRPr="0012256D">
        <w:rPr>
          <w:lang w:val="fr-FR"/>
        </w:rPr>
        <w:t>Cet article de la Loi renforce l</w:t>
      </w:r>
      <w:r w:rsidR="000A3D87">
        <w:rPr>
          <w:lang w:val="fr-FR"/>
        </w:rPr>
        <w:t>’</w:t>
      </w:r>
      <w:r w:rsidR="00E15507" w:rsidRPr="0012256D">
        <w:rPr>
          <w:lang w:val="fr-FR"/>
        </w:rPr>
        <w:t>engagement du Gouvernement à fournir une éducation de base gratuite et obligatoire à tout enfant nigérian. Étant une loi de la Fédération, elle n</w:t>
      </w:r>
      <w:r w:rsidR="000A3D87">
        <w:rPr>
          <w:lang w:val="fr-FR"/>
        </w:rPr>
        <w:t>’</w:t>
      </w:r>
      <w:r w:rsidR="00E15507" w:rsidRPr="0012256D">
        <w:rPr>
          <w:lang w:val="fr-FR"/>
        </w:rPr>
        <w:t>est applicable que sur le Territoire de la capitale fédérale. Toutefois, dix (10) États, à savoir, Anambra, Ebonyi, Ekiti, Imo, Nasarawa, Ogun, Plateau, Rivers, Abia et Taraba l</w:t>
      </w:r>
      <w:r w:rsidR="000A3D87">
        <w:rPr>
          <w:lang w:val="fr-FR"/>
        </w:rPr>
        <w:t>’</w:t>
      </w:r>
      <w:r w:rsidR="00E15507" w:rsidRPr="0012256D">
        <w:rPr>
          <w:lang w:val="fr-FR"/>
        </w:rPr>
        <w:t>ont adoptée. Certains des États qui n</w:t>
      </w:r>
      <w:r w:rsidR="000A3D87">
        <w:rPr>
          <w:lang w:val="fr-FR"/>
        </w:rPr>
        <w:t>’</w:t>
      </w:r>
      <w:r w:rsidR="00E15507" w:rsidRPr="0012256D">
        <w:rPr>
          <w:lang w:val="fr-FR"/>
        </w:rPr>
        <w:t>ont pas encore adopté la Loi sur les droits de l</w:t>
      </w:r>
      <w:r w:rsidR="000A3D87">
        <w:rPr>
          <w:lang w:val="fr-FR"/>
        </w:rPr>
        <w:t>’</w:t>
      </w:r>
      <w:r w:rsidR="00E15507" w:rsidRPr="0012256D">
        <w:rPr>
          <w:lang w:val="fr-FR"/>
        </w:rPr>
        <w:t>enfant ont voté des lois de promotion de l</w:t>
      </w:r>
      <w:r w:rsidR="000A3D87">
        <w:rPr>
          <w:lang w:val="fr-FR"/>
        </w:rPr>
        <w:t>’</w:t>
      </w:r>
      <w:r w:rsidR="00E15507" w:rsidRPr="0012256D">
        <w:rPr>
          <w:lang w:val="fr-FR"/>
        </w:rPr>
        <w:t xml:space="preserve">éducation de la fillette sur leur territoire. </w:t>
      </w:r>
    </w:p>
    <w:p w:rsidR="00E15507" w:rsidRDefault="003221F3" w:rsidP="0012256D">
      <w:pPr>
        <w:pStyle w:val="SingleTxt"/>
        <w:rPr>
          <w:lang w:val="fr-FR"/>
        </w:rPr>
      </w:pPr>
      <w:r>
        <w:rPr>
          <w:lang w:val="fr-FR"/>
        </w:rPr>
        <w:tab/>
      </w:r>
      <w:r w:rsidR="00E15507" w:rsidRPr="0012256D">
        <w:rPr>
          <w:lang w:val="fr-FR"/>
        </w:rPr>
        <w:t>L</w:t>
      </w:r>
      <w:r w:rsidR="000A3D87">
        <w:rPr>
          <w:lang w:val="fr-FR"/>
        </w:rPr>
        <w:t>’</w:t>
      </w:r>
      <w:r w:rsidR="00E15507" w:rsidRPr="0012256D">
        <w:rPr>
          <w:lang w:val="fr-FR"/>
        </w:rPr>
        <w:t>article 15(5) de la même loi garantit aux filles la possibilité d</w:t>
      </w:r>
      <w:r w:rsidR="000A3D87">
        <w:rPr>
          <w:lang w:val="fr-FR"/>
        </w:rPr>
        <w:t>’</w:t>
      </w:r>
      <w:r w:rsidR="00E15507" w:rsidRPr="0012256D">
        <w:rPr>
          <w:lang w:val="fr-FR"/>
        </w:rPr>
        <w:t xml:space="preserve">achever leurs études en cas de grossesse intervenue pendant le cycle scolaire. De plus, </w:t>
      </w:r>
      <w:r w:rsidR="00E15507" w:rsidRPr="00C11BEA">
        <w:rPr>
          <w:b/>
          <w:lang w:val="fr-FR"/>
        </w:rPr>
        <w:t>l</w:t>
      </w:r>
      <w:r w:rsidR="000A3D87" w:rsidRPr="00C11BEA">
        <w:rPr>
          <w:b/>
          <w:lang w:val="fr-FR"/>
        </w:rPr>
        <w:t>’</w:t>
      </w:r>
      <w:r w:rsidR="00E15507" w:rsidRPr="00C11BEA">
        <w:rPr>
          <w:b/>
          <w:lang w:val="fr-FR"/>
        </w:rPr>
        <w:t>article 15</w:t>
      </w:r>
      <w:r w:rsidR="00E15507" w:rsidRPr="0012256D">
        <w:rPr>
          <w:lang w:val="fr-FR"/>
        </w:rPr>
        <w:t xml:space="preserve"> (6) de cette loi recommande que les parents ou tuteurs qui empêchent un enfant de suivre ou d</w:t>
      </w:r>
      <w:r w:rsidR="000A3D87">
        <w:rPr>
          <w:lang w:val="fr-FR"/>
        </w:rPr>
        <w:t>’</w:t>
      </w:r>
      <w:r w:rsidR="00E15507" w:rsidRPr="0012256D">
        <w:rPr>
          <w:lang w:val="fr-FR"/>
        </w:rPr>
        <w:t xml:space="preserve">achever ses études soient punis.  </w:t>
      </w:r>
    </w:p>
    <w:p w:rsidR="003221F3" w:rsidRPr="003221F3" w:rsidRDefault="003221F3" w:rsidP="003221F3">
      <w:pPr>
        <w:pStyle w:val="SingleTxt"/>
        <w:spacing w:after="0" w:line="120" w:lineRule="exact"/>
        <w:rPr>
          <w:sz w:val="10"/>
          <w:lang w:val="fr-FR"/>
        </w:rPr>
      </w:pPr>
    </w:p>
    <w:p w:rsidR="00E15507" w:rsidRDefault="003221F3" w:rsidP="003221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E15507" w:rsidRPr="0012256D">
        <w:rPr>
          <w:lang w:val="fr-FR"/>
        </w:rPr>
        <w:t>10.2</w:t>
      </w:r>
      <w:r w:rsidR="00E15507" w:rsidRPr="0012256D">
        <w:rPr>
          <w:lang w:val="fr-FR"/>
        </w:rPr>
        <w:tab/>
        <w:t>Les réalisations de la Loi sur l</w:t>
      </w:r>
      <w:r w:rsidR="000A3D87">
        <w:rPr>
          <w:lang w:val="fr-FR"/>
        </w:rPr>
        <w:t>’</w:t>
      </w:r>
      <w:r w:rsidR="00E15507" w:rsidRPr="0012256D">
        <w:rPr>
          <w:lang w:val="fr-FR"/>
        </w:rPr>
        <w:t>éducation de base pour tous (EBT)</w:t>
      </w:r>
    </w:p>
    <w:p w:rsidR="003221F3" w:rsidRPr="003221F3" w:rsidRDefault="003221F3" w:rsidP="003221F3">
      <w:pPr>
        <w:pStyle w:val="SingleTxt"/>
        <w:spacing w:after="0" w:line="120" w:lineRule="exact"/>
        <w:rPr>
          <w:sz w:val="10"/>
          <w:lang w:val="fr-FR"/>
        </w:rPr>
      </w:pPr>
    </w:p>
    <w:p w:rsidR="003221F3" w:rsidRDefault="003221F3" w:rsidP="003221F3">
      <w:pPr>
        <w:pStyle w:val="SingleTxt"/>
        <w:rPr>
          <w:lang w:val="fr-FR"/>
        </w:rPr>
      </w:pPr>
      <w:r w:rsidRPr="003221F3">
        <w:rPr>
          <w:bCs/>
          <w:lang w:val="fr-FR"/>
        </w:rPr>
        <w:t>10.2.1</w:t>
      </w:r>
      <w:r w:rsidRPr="003221F3">
        <w:rPr>
          <w:lang w:val="fr-FR"/>
        </w:rPr>
        <w:t xml:space="preserve"> En outre, le Gouvernement nigérian a adopté la Loi sur l</w:t>
      </w:r>
      <w:r w:rsidR="000A3D87">
        <w:rPr>
          <w:lang w:val="fr-FR"/>
        </w:rPr>
        <w:t>’</w:t>
      </w:r>
      <w:r w:rsidRPr="003221F3">
        <w:rPr>
          <w:lang w:val="fr-FR"/>
        </w:rPr>
        <w:t>éducation de base pour tous (EBT) gratuite et obligatoire et les questions assimilées en 2004 (Loi sur l</w:t>
      </w:r>
      <w:r w:rsidR="000A3D87">
        <w:rPr>
          <w:lang w:val="fr-FR"/>
        </w:rPr>
        <w:t>’</w:t>
      </w:r>
      <w:r w:rsidRPr="003221F3">
        <w:rPr>
          <w:lang w:val="fr-FR"/>
        </w:rPr>
        <w:t>EBT) qui vise la suppression des obstacles à la jouissance du droit à l</w:t>
      </w:r>
      <w:r w:rsidR="000A3D87">
        <w:rPr>
          <w:lang w:val="fr-FR"/>
        </w:rPr>
        <w:t>’</w:t>
      </w:r>
      <w:r w:rsidRPr="003221F3">
        <w:rPr>
          <w:lang w:val="fr-FR"/>
        </w:rPr>
        <w:t xml:space="preserve">éducation par tout enfant </w:t>
      </w:r>
      <w:r w:rsidRPr="0012256D">
        <w:rPr>
          <w:lang w:val="fr-FR"/>
        </w:rPr>
        <w:t>nigérian dans les zones urbaines et rurales. Cette loi réaffirme le droit de tout enfant nigérian à l</w:t>
      </w:r>
      <w:r w:rsidR="000A3D87">
        <w:rPr>
          <w:lang w:val="fr-FR"/>
        </w:rPr>
        <w:t>’</w:t>
      </w:r>
      <w:r w:rsidRPr="0012256D">
        <w:rPr>
          <w:lang w:val="fr-FR"/>
        </w:rPr>
        <w:t>éducation de base gratuite, obligatoire et destinée à tous. Dans le but de garantir la remise à l</w:t>
      </w:r>
      <w:r w:rsidR="000A3D87">
        <w:rPr>
          <w:lang w:val="fr-FR"/>
        </w:rPr>
        <w:t>’</w:t>
      </w:r>
      <w:r w:rsidRPr="0012256D">
        <w:rPr>
          <w:lang w:val="fr-FR"/>
        </w:rPr>
        <w:t>ordre du jour de ce droit, cette loi a prévu la création de la Commission de l</w:t>
      </w:r>
      <w:r w:rsidR="000A3D87">
        <w:rPr>
          <w:lang w:val="fr-FR"/>
        </w:rPr>
        <w:t>’</w:t>
      </w:r>
      <w:r w:rsidRPr="0012256D">
        <w:rPr>
          <w:lang w:val="fr-FR"/>
        </w:rPr>
        <w:t>éducation de base pour tous chargée de la mise en œuvre de ce</w:t>
      </w:r>
      <w:r>
        <w:rPr>
          <w:lang w:val="fr-FR"/>
        </w:rPr>
        <w:t xml:space="preserve"> </w:t>
      </w:r>
      <w:r w:rsidRPr="0012256D">
        <w:rPr>
          <w:lang w:val="fr-FR"/>
        </w:rPr>
        <w:t>programme. L</w:t>
      </w:r>
      <w:r w:rsidR="000A3D87">
        <w:rPr>
          <w:lang w:val="fr-FR"/>
        </w:rPr>
        <w:t>’</w:t>
      </w:r>
      <w:r w:rsidRPr="0012256D">
        <w:rPr>
          <w:lang w:val="fr-FR"/>
        </w:rPr>
        <w:t>EBT, tout comme la Loi sur les droits de l</w:t>
      </w:r>
      <w:r w:rsidR="000A3D87">
        <w:rPr>
          <w:lang w:val="fr-FR"/>
        </w:rPr>
        <w:t>’</w:t>
      </w:r>
      <w:r w:rsidRPr="0012256D">
        <w:rPr>
          <w:lang w:val="fr-FR"/>
        </w:rPr>
        <w:t>enfant considère le fait d</w:t>
      </w:r>
      <w:r w:rsidR="000A3D87">
        <w:rPr>
          <w:lang w:val="fr-FR"/>
        </w:rPr>
        <w:t>’</w:t>
      </w:r>
      <w:r w:rsidRPr="0012256D">
        <w:rPr>
          <w:lang w:val="fr-FR"/>
        </w:rPr>
        <w:t>empêcher un enfant d</w:t>
      </w:r>
      <w:r w:rsidR="000A3D87">
        <w:rPr>
          <w:lang w:val="fr-FR"/>
        </w:rPr>
        <w:t>’</w:t>
      </w:r>
      <w:r w:rsidRPr="0012256D">
        <w:rPr>
          <w:lang w:val="fr-FR"/>
        </w:rPr>
        <w:t>avoir accès à l</w:t>
      </w:r>
      <w:r w:rsidR="000A3D87">
        <w:rPr>
          <w:lang w:val="fr-FR"/>
        </w:rPr>
        <w:t>’</w:t>
      </w:r>
      <w:r w:rsidRPr="0012256D">
        <w:rPr>
          <w:lang w:val="fr-FR"/>
        </w:rPr>
        <w:t>éducation par l</w:t>
      </w:r>
      <w:r w:rsidR="000A3D87">
        <w:rPr>
          <w:lang w:val="fr-FR"/>
        </w:rPr>
        <w:t>’</w:t>
      </w:r>
      <w:r w:rsidRPr="0012256D">
        <w:rPr>
          <w:lang w:val="fr-FR"/>
        </w:rPr>
        <w:t>exigence de frais de scolarité ou tout autre moyen comme une infraction punissable.</w:t>
      </w:r>
    </w:p>
    <w:p w:rsidR="00FA45D6" w:rsidRDefault="00FA45D6" w:rsidP="003221F3">
      <w:pPr>
        <w:pStyle w:val="SingleTxt"/>
        <w:rPr>
          <w:lang w:val="fr-FR"/>
        </w:rPr>
      </w:pPr>
      <w:r>
        <w:rPr>
          <w:lang w:val="fr-FR"/>
        </w:rPr>
        <w:tab/>
      </w:r>
      <w:r w:rsidRPr="00FA45D6">
        <w:rPr>
          <w:lang w:val="fr-FR"/>
        </w:rPr>
        <w:t>Il faut relever que certains obstacles compliquent l</w:t>
      </w:r>
      <w:r w:rsidR="000A3D87">
        <w:rPr>
          <w:lang w:val="fr-FR"/>
        </w:rPr>
        <w:t>’</w:t>
      </w:r>
      <w:r w:rsidRPr="00FA45D6">
        <w:rPr>
          <w:lang w:val="fr-FR"/>
        </w:rPr>
        <w:t>application des aspects pénaux de la loi. Toutefois, les progrès figurant aux Tableaux 10.1 et 10.2 ont été accomplis.</w:t>
      </w:r>
    </w:p>
    <w:p w:rsidR="003221F3" w:rsidRDefault="003221F3" w:rsidP="003221F3">
      <w:pPr>
        <w:pStyle w:val="SingleTxt"/>
        <w:jc w:val="left"/>
        <w:rPr>
          <w:b/>
          <w:lang w:val="fr-FR"/>
        </w:rPr>
      </w:pPr>
      <w:r>
        <w:rPr>
          <w:lang w:val="fr-FR"/>
        </w:rPr>
        <w:br w:type="page"/>
      </w:r>
      <w:r w:rsidRPr="003221F3">
        <w:rPr>
          <w:lang w:val="fr-FR"/>
        </w:rPr>
        <w:t>Tableau 10.1</w:t>
      </w:r>
      <w:r>
        <w:rPr>
          <w:lang w:val="fr-FR"/>
        </w:rPr>
        <w:br/>
      </w:r>
      <w:r w:rsidRPr="003221F3">
        <w:rPr>
          <w:b/>
          <w:lang w:val="fr-FR"/>
        </w:rPr>
        <w:t>Réalisations enregistrées dans le cadre des programmes de l</w:t>
      </w:r>
      <w:r w:rsidR="000A3D87">
        <w:rPr>
          <w:b/>
          <w:lang w:val="fr-FR"/>
        </w:rPr>
        <w:t>’</w:t>
      </w:r>
      <w:r w:rsidRPr="003221F3">
        <w:rPr>
          <w:b/>
          <w:lang w:val="fr-FR"/>
        </w:rPr>
        <w:t>EBT</w:t>
      </w:r>
    </w:p>
    <w:p w:rsidR="003221F3" w:rsidRPr="003221F3" w:rsidRDefault="003221F3" w:rsidP="003221F3">
      <w:pPr>
        <w:pStyle w:val="SingleTxt"/>
        <w:spacing w:after="0" w:line="120" w:lineRule="exact"/>
        <w:jc w:val="left"/>
        <w:rPr>
          <w:b/>
          <w:sz w:val="10"/>
          <w:lang w:val="fr-FR"/>
        </w:rPr>
      </w:pPr>
    </w:p>
    <w:tbl>
      <w:tblPr>
        <w:tblW w:w="0" w:type="auto"/>
        <w:tblInd w:w="1260" w:type="dxa"/>
        <w:tblLayout w:type="fixed"/>
        <w:tblCellMar>
          <w:left w:w="0" w:type="dxa"/>
          <w:right w:w="0" w:type="dxa"/>
        </w:tblCellMar>
        <w:tblLook w:val="0000"/>
      </w:tblPr>
      <w:tblGrid>
        <w:gridCol w:w="2250"/>
        <w:gridCol w:w="1890"/>
        <w:gridCol w:w="1710"/>
        <w:gridCol w:w="1470"/>
      </w:tblGrid>
      <w:tr w:rsidR="00FA45D6" w:rsidRPr="003221F3">
        <w:tblPrEx>
          <w:tblCellMar>
            <w:top w:w="0" w:type="dxa"/>
            <w:bottom w:w="0" w:type="dxa"/>
          </w:tblCellMar>
        </w:tblPrEx>
        <w:trPr>
          <w:tblHeader/>
        </w:trPr>
        <w:tc>
          <w:tcPr>
            <w:tcW w:w="2250" w:type="dxa"/>
            <w:tcBorders>
              <w:top w:val="single" w:sz="4" w:space="0" w:color="auto"/>
              <w:bottom w:val="single" w:sz="12" w:space="0" w:color="auto"/>
            </w:tcBorders>
            <w:shd w:val="clear" w:color="auto" w:fill="auto"/>
            <w:vAlign w:val="bottom"/>
          </w:tcPr>
          <w:p w:rsidR="003221F3" w:rsidRPr="003221F3" w:rsidRDefault="003221F3" w:rsidP="00C11BEA">
            <w:pPr>
              <w:spacing w:before="80" w:after="80" w:line="160" w:lineRule="exact"/>
              <w:ind w:right="43"/>
              <w:rPr>
                <w:i/>
                <w:sz w:val="14"/>
                <w:szCs w:val="14"/>
              </w:rPr>
            </w:pPr>
            <w:r w:rsidRPr="003221F3">
              <w:rPr>
                <w:i/>
                <w:sz w:val="14"/>
                <w:szCs w:val="14"/>
              </w:rPr>
              <w:t>Établissement</w:t>
            </w:r>
          </w:p>
        </w:tc>
        <w:tc>
          <w:tcPr>
            <w:tcW w:w="1890" w:type="dxa"/>
            <w:tcBorders>
              <w:top w:val="single" w:sz="4" w:space="0" w:color="auto"/>
              <w:bottom w:val="single" w:sz="12" w:space="0" w:color="auto"/>
            </w:tcBorders>
            <w:shd w:val="clear" w:color="auto" w:fill="auto"/>
            <w:vAlign w:val="bottom"/>
          </w:tcPr>
          <w:p w:rsidR="003221F3" w:rsidRPr="003221F3" w:rsidRDefault="003221F3" w:rsidP="00C11BEA">
            <w:pPr>
              <w:spacing w:before="80" w:after="80" w:line="160" w:lineRule="exact"/>
              <w:ind w:right="43"/>
              <w:jc w:val="right"/>
              <w:rPr>
                <w:i/>
                <w:sz w:val="14"/>
                <w:szCs w:val="14"/>
              </w:rPr>
            </w:pPr>
            <w:r w:rsidRPr="003221F3">
              <w:rPr>
                <w:i/>
                <w:sz w:val="14"/>
                <w:szCs w:val="14"/>
              </w:rPr>
              <w:t>Salles de classe rénovées</w:t>
            </w:r>
          </w:p>
        </w:tc>
        <w:tc>
          <w:tcPr>
            <w:tcW w:w="1710" w:type="dxa"/>
            <w:tcBorders>
              <w:top w:val="single" w:sz="4" w:space="0" w:color="auto"/>
              <w:bottom w:val="single" w:sz="12" w:space="0" w:color="auto"/>
            </w:tcBorders>
            <w:shd w:val="clear" w:color="auto" w:fill="auto"/>
            <w:vAlign w:val="bottom"/>
          </w:tcPr>
          <w:p w:rsidR="003221F3" w:rsidRPr="003221F3" w:rsidRDefault="003221F3" w:rsidP="00C11BEA">
            <w:pPr>
              <w:spacing w:before="80" w:after="80" w:line="160" w:lineRule="exact"/>
              <w:ind w:right="43"/>
              <w:jc w:val="right"/>
              <w:rPr>
                <w:i/>
                <w:sz w:val="14"/>
                <w:szCs w:val="14"/>
              </w:rPr>
            </w:pPr>
            <w:r w:rsidRPr="003221F3">
              <w:rPr>
                <w:i/>
                <w:sz w:val="14"/>
                <w:szCs w:val="14"/>
              </w:rPr>
              <w:t>Salles de classe construites</w:t>
            </w:r>
          </w:p>
        </w:tc>
        <w:tc>
          <w:tcPr>
            <w:tcW w:w="1470" w:type="dxa"/>
            <w:tcBorders>
              <w:top w:val="single" w:sz="4" w:space="0" w:color="auto"/>
              <w:bottom w:val="single" w:sz="12" w:space="0" w:color="auto"/>
            </w:tcBorders>
            <w:shd w:val="clear" w:color="auto" w:fill="auto"/>
            <w:vAlign w:val="bottom"/>
          </w:tcPr>
          <w:p w:rsidR="003221F3" w:rsidRPr="003221F3" w:rsidRDefault="003221F3" w:rsidP="00C11BEA">
            <w:pPr>
              <w:spacing w:before="80" w:after="80" w:line="160" w:lineRule="exact"/>
              <w:ind w:right="43"/>
              <w:jc w:val="right"/>
              <w:rPr>
                <w:i/>
                <w:sz w:val="14"/>
                <w:szCs w:val="14"/>
              </w:rPr>
            </w:pPr>
            <w:r w:rsidRPr="003221F3">
              <w:rPr>
                <w:i/>
                <w:sz w:val="14"/>
                <w:szCs w:val="14"/>
              </w:rPr>
              <w:t>Toilettes construites</w:t>
            </w:r>
          </w:p>
        </w:tc>
      </w:tr>
      <w:tr w:rsidR="003221F3" w:rsidRPr="003221F3">
        <w:tblPrEx>
          <w:tblCellMar>
            <w:top w:w="0" w:type="dxa"/>
            <w:bottom w:w="0" w:type="dxa"/>
          </w:tblCellMar>
        </w:tblPrEx>
        <w:trPr>
          <w:trHeight w:hRule="exact" w:val="115"/>
          <w:tblHeader/>
        </w:trPr>
        <w:tc>
          <w:tcPr>
            <w:tcW w:w="2250" w:type="dxa"/>
            <w:tcBorders>
              <w:top w:val="single" w:sz="12" w:space="0" w:color="auto"/>
            </w:tcBorders>
            <w:shd w:val="clear" w:color="auto" w:fill="auto"/>
            <w:vAlign w:val="bottom"/>
          </w:tcPr>
          <w:p w:rsidR="003221F3" w:rsidRPr="003221F3" w:rsidRDefault="003221F3" w:rsidP="003221F3">
            <w:pPr>
              <w:tabs>
                <w:tab w:val="left" w:pos="288"/>
                <w:tab w:val="left" w:pos="576"/>
                <w:tab w:val="left" w:pos="864"/>
                <w:tab w:val="left" w:pos="1152"/>
              </w:tabs>
              <w:suppressAutoHyphens/>
              <w:spacing w:before="40" w:after="40" w:line="210" w:lineRule="exact"/>
              <w:ind w:right="43"/>
              <w:rPr>
                <w:sz w:val="17"/>
                <w:lang w:val="fr-FR"/>
              </w:rPr>
            </w:pPr>
          </w:p>
        </w:tc>
        <w:tc>
          <w:tcPr>
            <w:tcW w:w="1890" w:type="dxa"/>
            <w:tcBorders>
              <w:top w:val="single" w:sz="12" w:space="0" w:color="auto"/>
            </w:tcBorders>
            <w:shd w:val="clear" w:color="auto" w:fill="auto"/>
            <w:vAlign w:val="bottom"/>
          </w:tcPr>
          <w:p w:rsidR="003221F3" w:rsidRPr="003221F3" w:rsidRDefault="003221F3" w:rsidP="003221F3">
            <w:pPr>
              <w:tabs>
                <w:tab w:val="left" w:pos="288"/>
                <w:tab w:val="left" w:pos="576"/>
                <w:tab w:val="left" w:pos="864"/>
                <w:tab w:val="left" w:pos="1152"/>
              </w:tabs>
              <w:suppressAutoHyphens/>
              <w:spacing w:before="40" w:after="40" w:line="210" w:lineRule="exact"/>
              <w:ind w:right="43"/>
              <w:jc w:val="right"/>
              <w:rPr>
                <w:sz w:val="17"/>
                <w:lang w:val="fr-FR"/>
              </w:rPr>
            </w:pPr>
          </w:p>
        </w:tc>
        <w:tc>
          <w:tcPr>
            <w:tcW w:w="1710" w:type="dxa"/>
            <w:tcBorders>
              <w:top w:val="single" w:sz="12" w:space="0" w:color="auto"/>
            </w:tcBorders>
            <w:shd w:val="clear" w:color="auto" w:fill="auto"/>
            <w:vAlign w:val="bottom"/>
          </w:tcPr>
          <w:p w:rsidR="003221F3" w:rsidRPr="003221F3" w:rsidRDefault="003221F3" w:rsidP="003221F3">
            <w:pPr>
              <w:tabs>
                <w:tab w:val="left" w:pos="288"/>
                <w:tab w:val="left" w:pos="576"/>
                <w:tab w:val="left" w:pos="864"/>
                <w:tab w:val="left" w:pos="1152"/>
              </w:tabs>
              <w:suppressAutoHyphens/>
              <w:spacing w:before="40" w:after="40" w:line="210" w:lineRule="exact"/>
              <w:ind w:right="43"/>
              <w:jc w:val="right"/>
              <w:rPr>
                <w:sz w:val="17"/>
                <w:lang w:val="fr-FR"/>
              </w:rPr>
            </w:pPr>
          </w:p>
        </w:tc>
        <w:tc>
          <w:tcPr>
            <w:tcW w:w="1470" w:type="dxa"/>
            <w:tcBorders>
              <w:top w:val="single" w:sz="12" w:space="0" w:color="auto"/>
            </w:tcBorders>
            <w:shd w:val="clear" w:color="auto" w:fill="auto"/>
            <w:vAlign w:val="bottom"/>
          </w:tcPr>
          <w:p w:rsidR="003221F3" w:rsidRPr="003221F3" w:rsidRDefault="003221F3" w:rsidP="003221F3">
            <w:pPr>
              <w:tabs>
                <w:tab w:val="left" w:pos="288"/>
                <w:tab w:val="left" w:pos="576"/>
                <w:tab w:val="left" w:pos="864"/>
                <w:tab w:val="left" w:pos="1152"/>
              </w:tabs>
              <w:suppressAutoHyphens/>
              <w:spacing w:before="40" w:after="40" w:line="210" w:lineRule="exact"/>
              <w:ind w:right="43"/>
              <w:jc w:val="right"/>
              <w:rPr>
                <w:sz w:val="17"/>
                <w:lang w:val="fr-FR"/>
              </w:rPr>
            </w:pPr>
          </w:p>
        </w:tc>
      </w:tr>
      <w:tr w:rsidR="00FA45D6" w:rsidRPr="003221F3">
        <w:tblPrEx>
          <w:tblCellMar>
            <w:top w:w="0" w:type="dxa"/>
            <w:bottom w:w="0" w:type="dxa"/>
          </w:tblCellMar>
        </w:tblPrEx>
        <w:tc>
          <w:tcPr>
            <w:tcW w:w="2250" w:type="dxa"/>
            <w:shd w:val="clear" w:color="auto" w:fill="auto"/>
          </w:tcPr>
          <w:p w:rsidR="00FA45D6" w:rsidRPr="00FA45D6" w:rsidRDefault="00FA45D6" w:rsidP="00FA45D6">
            <w:pPr>
              <w:spacing w:before="80" w:after="80" w:line="210" w:lineRule="exact"/>
              <w:ind w:right="43"/>
              <w:rPr>
                <w:bCs/>
                <w:iCs/>
                <w:sz w:val="17"/>
                <w:szCs w:val="17"/>
                <w:lang w:val="fr-FR"/>
              </w:rPr>
            </w:pPr>
            <w:r w:rsidRPr="00FA45D6">
              <w:rPr>
                <w:bCs/>
                <w:iCs/>
                <w:sz w:val="17"/>
                <w:szCs w:val="17"/>
                <w:lang w:val="fr-FR"/>
              </w:rPr>
              <w:t>Maternelles</w:t>
            </w:r>
          </w:p>
        </w:tc>
        <w:tc>
          <w:tcPr>
            <w:tcW w:w="1890" w:type="dxa"/>
            <w:shd w:val="clear" w:color="auto" w:fill="auto"/>
          </w:tcPr>
          <w:p w:rsidR="00FA45D6" w:rsidRPr="00FA45D6" w:rsidRDefault="00FA45D6" w:rsidP="00FA45D6">
            <w:pPr>
              <w:spacing w:before="80" w:after="80" w:line="210" w:lineRule="exact"/>
              <w:ind w:right="43"/>
              <w:jc w:val="right"/>
              <w:rPr>
                <w:bCs/>
                <w:iCs/>
                <w:sz w:val="17"/>
                <w:szCs w:val="17"/>
                <w:lang w:val="fr-FR"/>
              </w:rPr>
            </w:pPr>
            <w:r w:rsidRPr="00FA45D6">
              <w:rPr>
                <w:bCs/>
                <w:iCs/>
                <w:sz w:val="17"/>
                <w:szCs w:val="17"/>
                <w:lang w:val="fr-FR"/>
              </w:rPr>
              <w:t>237</w:t>
            </w:r>
          </w:p>
        </w:tc>
        <w:tc>
          <w:tcPr>
            <w:tcW w:w="1710" w:type="dxa"/>
            <w:shd w:val="clear" w:color="auto" w:fill="auto"/>
          </w:tcPr>
          <w:p w:rsidR="00FA45D6" w:rsidRPr="00FA45D6" w:rsidRDefault="00FA45D6" w:rsidP="00FA45D6">
            <w:pPr>
              <w:spacing w:before="80" w:after="80" w:line="210" w:lineRule="exact"/>
              <w:ind w:right="43"/>
              <w:jc w:val="right"/>
              <w:rPr>
                <w:bCs/>
                <w:iCs/>
                <w:sz w:val="17"/>
                <w:szCs w:val="17"/>
                <w:lang w:val="fr-FR"/>
              </w:rPr>
            </w:pPr>
            <w:r w:rsidRPr="00FA45D6">
              <w:rPr>
                <w:bCs/>
                <w:iCs/>
                <w:sz w:val="17"/>
                <w:szCs w:val="17"/>
                <w:lang w:val="fr-FR"/>
              </w:rPr>
              <w:t>131</w:t>
            </w:r>
          </w:p>
        </w:tc>
        <w:tc>
          <w:tcPr>
            <w:tcW w:w="1470" w:type="dxa"/>
            <w:shd w:val="clear" w:color="auto" w:fill="auto"/>
            <w:vAlign w:val="bottom"/>
          </w:tcPr>
          <w:p w:rsidR="00FA45D6" w:rsidRPr="00FA45D6" w:rsidRDefault="00FA45D6" w:rsidP="00FA45D6">
            <w:pPr>
              <w:tabs>
                <w:tab w:val="left" w:pos="288"/>
                <w:tab w:val="left" w:pos="576"/>
                <w:tab w:val="left" w:pos="864"/>
                <w:tab w:val="left" w:pos="1152"/>
              </w:tabs>
              <w:suppressAutoHyphens/>
              <w:spacing w:before="80" w:after="80" w:line="210" w:lineRule="exact"/>
              <w:ind w:right="43"/>
              <w:jc w:val="right"/>
              <w:rPr>
                <w:sz w:val="17"/>
                <w:szCs w:val="17"/>
                <w:lang w:val="fr-FR"/>
              </w:rPr>
            </w:pPr>
          </w:p>
        </w:tc>
      </w:tr>
      <w:tr w:rsidR="00FA45D6" w:rsidRPr="003221F3">
        <w:tblPrEx>
          <w:tblCellMar>
            <w:top w:w="0" w:type="dxa"/>
            <w:bottom w:w="0" w:type="dxa"/>
          </w:tblCellMar>
        </w:tblPrEx>
        <w:tc>
          <w:tcPr>
            <w:tcW w:w="2250" w:type="dxa"/>
            <w:shd w:val="clear" w:color="auto" w:fill="auto"/>
          </w:tcPr>
          <w:p w:rsidR="00FA45D6" w:rsidRPr="00FA45D6" w:rsidRDefault="00FA45D6" w:rsidP="00FA45D6">
            <w:pPr>
              <w:spacing w:before="80" w:after="80" w:line="210" w:lineRule="exact"/>
              <w:ind w:right="43"/>
              <w:rPr>
                <w:bCs/>
                <w:iCs/>
                <w:sz w:val="17"/>
                <w:szCs w:val="17"/>
                <w:lang w:val="fr-FR"/>
              </w:rPr>
            </w:pPr>
            <w:r w:rsidRPr="00FA45D6">
              <w:rPr>
                <w:bCs/>
                <w:iCs/>
                <w:sz w:val="17"/>
                <w:szCs w:val="17"/>
                <w:lang w:val="fr-FR"/>
              </w:rPr>
              <w:t>Écoles primaires</w:t>
            </w:r>
          </w:p>
        </w:tc>
        <w:tc>
          <w:tcPr>
            <w:tcW w:w="1890" w:type="dxa"/>
            <w:shd w:val="clear" w:color="auto" w:fill="auto"/>
          </w:tcPr>
          <w:p w:rsidR="00FA45D6" w:rsidRPr="00FA45D6" w:rsidRDefault="00FA45D6" w:rsidP="00FA45D6">
            <w:pPr>
              <w:spacing w:before="80" w:after="80" w:line="210" w:lineRule="exact"/>
              <w:ind w:right="43"/>
              <w:jc w:val="right"/>
              <w:rPr>
                <w:bCs/>
                <w:iCs/>
                <w:sz w:val="17"/>
                <w:szCs w:val="17"/>
                <w:lang w:val="fr-FR"/>
              </w:rPr>
            </w:pPr>
            <w:r w:rsidRPr="00FA45D6">
              <w:rPr>
                <w:bCs/>
                <w:iCs/>
                <w:sz w:val="17"/>
                <w:szCs w:val="17"/>
                <w:lang w:val="fr-FR"/>
              </w:rPr>
              <w:t>1 568</w:t>
            </w:r>
          </w:p>
        </w:tc>
        <w:tc>
          <w:tcPr>
            <w:tcW w:w="1710" w:type="dxa"/>
            <w:shd w:val="clear" w:color="auto" w:fill="auto"/>
          </w:tcPr>
          <w:p w:rsidR="00FA45D6" w:rsidRPr="00FA45D6" w:rsidRDefault="00FA45D6" w:rsidP="00FA45D6">
            <w:pPr>
              <w:spacing w:before="80" w:after="80" w:line="210" w:lineRule="exact"/>
              <w:ind w:right="43"/>
              <w:jc w:val="right"/>
              <w:rPr>
                <w:bCs/>
                <w:iCs/>
                <w:sz w:val="17"/>
                <w:szCs w:val="17"/>
                <w:lang w:val="fr-FR"/>
              </w:rPr>
            </w:pPr>
            <w:r w:rsidRPr="00FA45D6">
              <w:rPr>
                <w:bCs/>
                <w:iCs/>
                <w:sz w:val="17"/>
                <w:szCs w:val="17"/>
                <w:lang w:val="fr-FR"/>
              </w:rPr>
              <w:t>1 426</w:t>
            </w:r>
          </w:p>
        </w:tc>
        <w:tc>
          <w:tcPr>
            <w:tcW w:w="1470" w:type="dxa"/>
            <w:vMerge w:val="restart"/>
            <w:shd w:val="clear" w:color="auto" w:fill="auto"/>
            <w:vAlign w:val="center"/>
          </w:tcPr>
          <w:p w:rsidR="00FA45D6" w:rsidRPr="00FA45D6" w:rsidRDefault="00FA45D6" w:rsidP="00FA45D6">
            <w:pPr>
              <w:tabs>
                <w:tab w:val="left" w:pos="288"/>
                <w:tab w:val="left" w:pos="576"/>
                <w:tab w:val="left" w:pos="864"/>
                <w:tab w:val="left" w:pos="1152"/>
              </w:tabs>
              <w:suppressAutoHyphens/>
              <w:spacing w:before="80" w:after="80" w:line="210" w:lineRule="exact"/>
              <w:ind w:right="43"/>
              <w:jc w:val="right"/>
              <w:rPr>
                <w:sz w:val="17"/>
                <w:szCs w:val="17"/>
                <w:lang w:val="fr-FR"/>
              </w:rPr>
            </w:pPr>
            <w:r w:rsidRPr="00FA45D6">
              <w:rPr>
                <w:sz w:val="17"/>
                <w:szCs w:val="17"/>
                <w:lang w:val="fr-FR"/>
              </w:rPr>
              <w:t>952</w:t>
            </w:r>
          </w:p>
        </w:tc>
      </w:tr>
      <w:tr w:rsidR="00FA45D6" w:rsidRPr="003221F3">
        <w:tblPrEx>
          <w:tblCellMar>
            <w:top w:w="0" w:type="dxa"/>
            <w:bottom w:w="0" w:type="dxa"/>
          </w:tblCellMar>
        </w:tblPrEx>
        <w:tc>
          <w:tcPr>
            <w:tcW w:w="2250" w:type="dxa"/>
            <w:tcBorders>
              <w:bottom w:val="single" w:sz="12" w:space="0" w:color="auto"/>
            </w:tcBorders>
            <w:shd w:val="clear" w:color="auto" w:fill="auto"/>
          </w:tcPr>
          <w:p w:rsidR="00FA45D6" w:rsidRPr="00FA45D6" w:rsidRDefault="00FA45D6" w:rsidP="00FA45D6">
            <w:pPr>
              <w:spacing w:before="80" w:after="80" w:line="210" w:lineRule="exact"/>
              <w:ind w:right="43"/>
              <w:rPr>
                <w:bCs/>
                <w:iCs/>
                <w:sz w:val="17"/>
                <w:szCs w:val="17"/>
                <w:lang w:val="fr-FR"/>
              </w:rPr>
            </w:pPr>
            <w:r w:rsidRPr="00FA45D6">
              <w:rPr>
                <w:bCs/>
                <w:iCs/>
                <w:sz w:val="17"/>
                <w:szCs w:val="17"/>
                <w:lang w:val="fr-FR"/>
              </w:rPr>
              <w:t>Premier cycle du secondaire</w:t>
            </w:r>
          </w:p>
        </w:tc>
        <w:tc>
          <w:tcPr>
            <w:tcW w:w="1890" w:type="dxa"/>
            <w:tcBorders>
              <w:bottom w:val="single" w:sz="12" w:space="0" w:color="auto"/>
            </w:tcBorders>
            <w:shd w:val="clear" w:color="auto" w:fill="auto"/>
          </w:tcPr>
          <w:p w:rsidR="00FA45D6" w:rsidRPr="00FA45D6" w:rsidRDefault="00FA45D6" w:rsidP="00FA45D6">
            <w:pPr>
              <w:spacing w:before="80" w:after="80" w:line="210" w:lineRule="exact"/>
              <w:ind w:right="43"/>
              <w:jc w:val="right"/>
              <w:rPr>
                <w:bCs/>
                <w:iCs/>
                <w:sz w:val="17"/>
                <w:szCs w:val="17"/>
                <w:lang w:val="fr-FR"/>
              </w:rPr>
            </w:pPr>
            <w:r w:rsidRPr="00FA45D6">
              <w:rPr>
                <w:bCs/>
                <w:iCs/>
                <w:sz w:val="17"/>
                <w:szCs w:val="17"/>
                <w:lang w:val="fr-FR"/>
              </w:rPr>
              <w:t>952</w:t>
            </w:r>
          </w:p>
        </w:tc>
        <w:tc>
          <w:tcPr>
            <w:tcW w:w="1710" w:type="dxa"/>
            <w:tcBorders>
              <w:bottom w:val="single" w:sz="12" w:space="0" w:color="auto"/>
            </w:tcBorders>
            <w:shd w:val="clear" w:color="auto" w:fill="auto"/>
          </w:tcPr>
          <w:p w:rsidR="00FA45D6" w:rsidRPr="00FA45D6" w:rsidRDefault="00FA45D6" w:rsidP="00FA45D6">
            <w:pPr>
              <w:spacing w:before="80" w:after="80" w:line="210" w:lineRule="exact"/>
              <w:ind w:right="43"/>
              <w:jc w:val="right"/>
              <w:rPr>
                <w:bCs/>
                <w:iCs/>
                <w:sz w:val="17"/>
                <w:szCs w:val="17"/>
                <w:lang w:val="fr-FR"/>
              </w:rPr>
            </w:pPr>
            <w:r w:rsidRPr="00FA45D6">
              <w:rPr>
                <w:bCs/>
                <w:iCs/>
                <w:sz w:val="17"/>
                <w:szCs w:val="17"/>
                <w:lang w:val="fr-FR"/>
              </w:rPr>
              <w:t>849</w:t>
            </w:r>
          </w:p>
        </w:tc>
        <w:tc>
          <w:tcPr>
            <w:tcW w:w="1470" w:type="dxa"/>
            <w:vMerge/>
            <w:tcBorders>
              <w:bottom w:val="single" w:sz="12" w:space="0" w:color="auto"/>
            </w:tcBorders>
            <w:shd w:val="clear" w:color="auto" w:fill="auto"/>
            <w:vAlign w:val="bottom"/>
          </w:tcPr>
          <w:p w:rsidR="00FA45D6" w:rsidRPr="00FA45D6" w:rsidRDefault="00FA45D6" w:rsidP="00FA45D6">
            <w:pPr>
              <w:tabs>
                <w:tab w:val="left" w:pos="288"/>
                <w:tab w:val="left" w:pos="576"/>
                <w:tab w:val="left" w:pos="864"/>
                <w:tab w:val="left" w:pos="1152"/>
              </w:tabs>
              <w:suppressAutoHyphens/>
              <w:spacing w:before="80" w:after="80" w:line="210" w:lineRule="exact"/>
              <w:ind w:right="43"/>
              <w:jc w:val="right"/>
              <w:rPr>
                <w:sz w:val="17"/>
                <w:szCs w:val="17"/>
                <w:lang w:val="fr-FR"/>
              </w:rPr>
            </w:pPr>
          </w:p>
        </w:tc>
      </w:tr>
    </w:tbl>
    <w:p w:rsidR="009704E7" w:rsidRPr="009704E7" w:rsidRDefault="009704E7" w:rsidP="009704E7">
      <w:pPr>
        <w:pStyle w:val="SingleTxt"/>
        <w:spacing w:after="0" w:line="120" w:lineRule="exact"/>
        <w:rPr>
          <w:sz w:val="10"/>
          <w:lang w:val="fr-FR"/>
        </w:rPr>
      </w:pPr>
    </w:p>
    <w:p w:rsidR="00C11BEA" w:rsidRPr="00C11BEA" w:rsidRDefault="00C11BEA" w:rsidP="00FA45D6">
      <w:pPr>
        <w:pStyle w:val="SingleTxt"/>
        <w:jc w:val="left"/>
        <w:rPr>
          <w:sz w:val="17"/>
          <w:szCs w:val="17"/>
          <w:lang w:val="fr-FR"/>
        </w:rPr>
      </w:pPr>
      <w:r w:rsidRPr="00C11BEA">
        <w:rPr>
          <w:i/>
          <w:sz w:val="17"/>
          <w:szCs w:val="17"/>
          <w:lang w:val="fr-FR"/>
        </w:rPr>
        <w:t>Source</w:t>
      </w:r>
      <w:r w:rsidRPr="00C11BEA">
        <w:rPr>
          <w:sz w:val="17"/>
          <w:szCs w:val="17"/>
          <w:lang w:val="fr-FR"/>
        </w:rPr>
        <w:t xml:space="preserve"> : Rapport 2006 du ministère fédéral de l'Éducation</w:t>
      </w:r>
    </w:p>
    <w:p w:rsidR="00FA45D6" w:rsidRPr="00FA45D6" w:rsidRDefault="00FA45D6" w:rsidP="00FA45D6">
      <w:pPr>
        <w:pStyle w:val="SingleTxt"/>
        <w:jc w:val="left"/>
        <w:rPr>
          <w:lang w:val="fr-FR"/>
        </w:rPr>
      </w:pPr>
      <w:r w:rsidRPr="00FA45D6">
        <w:rPr>
          <w:lang w:val="fr-FR"/>
        </w:rPr>
        <w:t>Tableau 10.2</w:t>
      </w:r>
      <w:r>
        <w:rPr>
          <w:lang w:val="fr-FR"/>
        </w:rPr>
        <w:br/>
      </w:r>
      <w:r w:rsidRPr="00FA45D6">
        <w:rPr>
          <w:b/>
          <w:lang w:val="fr-FR"/>
        </w:rPr>
        <w:t>Nombre d</w:t>
      </w:r>
      <w:r w:rsidR="000A3D87">
        <w:rPr>
          <w:b/>
          <w:lang w:val="fr-FR"/>
        </w:rPr>
        <w:t>’</w:t>
      </w:r>
      <w:r w:rsidRPr="00FA45D6">
        <w:rPr>
          <w:b/>
          <w:lang w:val="fr-FR"/>
        </w:rPr>
        <w:t>enseignants formés dans différentes matières</w:t>
      </w:r>
    </w:p>
    <w:p w:rsidR="00587198" w:rsidRPr="00587198" w:rsidRDefault="00587198" w:rsidP="00587198">
      <w:pPr>
        <w:pStyle w:val="SingleTxt"/>
        <w:spacing w:after="0" w:line="120" w:lineRule="exact"/>
        <w:rPr>
          <w:sz w:val="10"/>
          <w:lang w:val="fr-FR"/>
        </w:rPr>
      </w:pPr>
    </w:p>
    <w:tbl>
      <w:tblPr>
        <w:tblW w:w="5400" w:type="dxa"/>
        <w:tblInd w:w="1260" w:type="dxa"/>
        <w:tblLayout w:type="fixed"/>
        <w:tblCellMar>
          <w:left w:w="0" w:type="dxa"/>
          <w:right w:w="0" w:type="dxa"/>
        </w:tblCellMar>
        <w:tblLook w:val="0000"/>
      </w:tblPr>
      <w:tblGrid>
        <w:gridCol w:w="3690"/>
        <w:gridCol w:w="1710"/>
      </w:tblGrid>
      <w:tr w:rsidR="00FA45D6" w:rsidRPr="00FA45D6">
        <w:tblPrEx>
          <w:tblCellMar>
            <w:top w:w="0" w:type="dxa"/>
            <w:bottom w:w="0" w:type="dxa"/>
          </w:tblCellMar>
        </w:tblPrEx>
        <w:trPr>
          <w:tblHeader/>
        </w:trPr>
        <w:tc>
          <w:tcPr>
            <w:tcW w:w="3690" w:type="dxa"/>
            <w:tcBorders>
              <w:top w:val="single" w:sz="4" w:space="0" w:color="auto"/>
              <w:bottom w:val="single" w:sz="12" w:space="0" w:color="auto"/>
            </w:tcBorders>
            <w:shd w:val="clear" w:color="auto" w:fill="auto"/>
            <w:vAlign w:val="bottom"/>
          </w:tcPr>
          <w:p w:rsidR="00FA45D6" w:rsidRPr="00FA45D6" w:rsidRDefault="00FA45D6" w:rsidP="00FA45D6">
            <w:pPr>
              <w:suppressAutoHyphens/>
              <w:spacing w:before="80" w:after="80" w:line="160" w:lineRule="exact"/>
              <w:ind w:right="43"/>
              <w:rPr>
                <w:i/>
                <w:iCs/>
                <w:sz w:val="14"/>
                <w:szCs w:val="14"/>
                <w:lang w:val="fr-FR"/>
              </w:rPr>
            </w:pPr>
            <w:r w:rsidRPr="00FA45D6">
              <w:rPr>
                <w:i/>
                <w:iCs/>
                <w:sz w:val="14"/>
                <w:szCs w:val="14"/>
                <w:lang w:val="fr-FR"/>
              </w:rPr>
              <w:t>Établissement</w:t>
            </w:r>
          </w:p>
        </w:tc>
        <w:tc>
          <w:tcPr>
            <w:tcW w:w="1710" w:type="dxa"/>
            <w:tcBorders>
              <w:top w:val="single" w:sz="4" w:space="0" w:color="auto"/>
              <w:bottom w:val="single" w:sz="12" w:space="0" w:color="auto"/>
            </w:tcBorders>
            <w:shd w:val="clear" w:color="auto" w:fill="auto"/>
            <w:vAlign w:val="bottom"/>
          </w:tcPr>
          <w:p w:rsidR="00FA45D6" w:rsidRPr="00FA45D6" w:rsidRDefault="00FA45D6" w:rsidP="00587198">
            <w:pPr>
              <w:tabs>
                <w:tab w:val="left" w:pos="1570"/>
              </w:tabs>
              <w:suppressAutoHyphens/>
              <w:spacing w:before="80" w:after="80" w:line="160" w:lineRule="exact"/>
              <w:ind w:right="43"/>
              <w:jc w:val="right"/>
              <w:rPr>
                <w:i/>
                <w:iCs/>
                <w:sz w:val="14"/>
                <w:szCs w:val="14"/>
                <w:lang w:val="fr-FR"/>
              </w:rPr>
            </w:pPr>
            <w:r w:rsidRPr="00FA45D6">
              <w:rPr>
                <w:i/>
                <w:iCs/>
                <w:sz w:val="14"/>
                <w:szCs w:val="14"/>
                <w:lang w:val="fr-FR"/>
              </w:rPr>
              <w:t xml:space="preserve">Enseignants formés </w:t>
            </w:r>
          </w:p>
        </w:tc>
      </w:tr>
      <w:tr w:rsidR="00FA45D6" w:rsidRPr="00FA45D6">
        <w:tblPrEx>
          <w:tblCellMar>
            <w:top w:w="0" w:type="dxa"/>
            <w:bottom w:w="0" w:type="dxa"/>
          </w:tblCellMar>
        </w:tblPrEx>
        <w:trPr>
          <w:trHeight w:hRule="exact" w:val="115"/>
          <w:tblHeader/>
        </w:trPr>
        <w:tc>
          <w:tcPr>
            <w:tcW w:w="3690" w:type="dxa"/>
            <w:tcBorders>
              <w:top w:val="single" w:sz="12" w:space="0" w:color="auto"/>
            </w:tcBorders>
            <w:shd w:val="clear" w:color="auto" w:fill="auto"/>
            <w:vAlign w:val="bottom"/>
          </w:tcPr>
          <w:p w:rsidR="00FA45D6" w:rsidRPr="00FA45D6" w:rsidRDefault="00FA45D6" w:rsidP="00FA45D6">
            <w:pPr>
              <w:tabs>
                <w:tab w:val="left" w:pos="288"/>
                <w:tab w:val="left" w:pos="576"/>
                <w:tab w:val="left" w:pos="864"/>
                <w:tab w:val="left" w:pos="1152"/>
              </w:tabs>
              <w:suppressAutoHyphens/>
              <w:spacing w:before="40" w:after="40" w:line="210" w:lineRule="exact"/>
              <w:ind w:right="43"/>
              <w:rPr>
                <w:sz w:val="17"/>
                <w:lang w:val="fr-FR"/>
              </w:rPr>
            </w:pPr>
          </w:p>
        </w:tc>
        <w:tc>
          <w:tcPr>
            <w:tcW w:w="1710" w:type="dxa"/>
            <w:tcBorders>
              <w:top w:val="single" w:sz="12" w:space="0" w:color="auto"/>
            </w:tcBorders>
            <w:shd w:val="clear" w:color="auto" w:fill="auto"/>
            <w:vAlign w:val="bottom"/>
          </w:tcPr>
          <w:p w:rsidR="00FA45D6" w:rsidRPr="00FA45D6" w:rsidRDefault="00FA45D6" w:rsidP="00587198">
            <w:pPr>
              <w:tabs>
                <w:tab w:val="left" w:pos="288"/>
                <w:tab w:val="left" w:pos="576"/>
                <w:tab w:val="left" w:pos="864"/>
                <w:tab w:val="left" w:pos="1152"/>
                <w:tab w:val="left" w:pos="1570"/>
              </w:tabs>
              <w:suppressAutoHyphens/>
              <w:spacing w:before="40" w:after="40" w:line="210" w:lineRule="exact"/>
              <w:ind w:right="43"/>
              <w:jc w:val="right"/>
              <w:rPr>
                <w:sz w:val="17"/>
                <w:lang w:val="fr-FR"/>
              </w:rPr>
            </w:pPr>
          </w:p>
        </w:tc>
      </w:tr>
      <w:tr w:rsidR="00FA45D6" w:rsidRPr="00FA45D6">
        <w:tblPrEx>
          <w:tblCellMar>
            <w:top w:w="0" w:type="dxa"/>
            <w:bottom w:w="0" w:type="dxa"/>
          </w:tblCellMar>
        </w:tblPrEx>
        <w:tc>
          <w:tcPr>
            <w:tcW w:w="3690" w:type="dxa"/>
            <w:shd w:val="clear" w:color="auto" w:fill="auto"/>
          </w:tcPr>
          <w:p w:rsidR="00FA45D6" w:rsidRPr="00FA45D6" w:rsidRDefault="00FA45D6" w:rsidP="00587198">
            <w:pPr>
              <w:spacing w:before="40" w:after="40" w:line="210" w:lineRule="exact"/>
              <w:ind w:right="43"/>
              <w:rPr>
                <w:bCs/>
                <w:iCs/>
                <w:sz w:val="17"/>
                <w:szCs w:val="17"/>
                <w:lang w:val="fr-FR"/>
              </w:rPr>
            </w:pPr>
            <w:r w:rsidRPr="00FA45D6">
              <w:rPr>
                <w:bCs/>
                <w:iCs/>
                <w:sz w:val="17"/>
                <w:szCs w:val="17"/>
                <w:lang w:val="fr-FR"/>
              </w:rPr>
              <w:t>Maternelles</w:t>
            </w:r>
          </w:p>
        </w:tc>
        <w:tc>
          <w:tcPr>
            <w:tcW w:w="1710" w:type="dxa"/>
            <w:shd w:val="clear" w:color="auto" w:fill="auto"/>
          </w:tcPr>
          <w:p w:rsidR="00FA45D6" w:rsidRPr="00FA45D6" w:rsidRDefault="00FA45D6" w:rsidP="00587198">
            <w:pPr>
              <w:tabs>
                <w:tab w:val="left" w:pos="1570"/>
              </w:tabs>
              <w:spacing w:before="40" w:after="40" w:line="210" w:lineRule="exact"/>
              <w:ind w:right="43"/>
              <w:jc w:val="right"/>
              <w:rPr>
                <w:bCs/>
                <w:iCs/>
                <w:sz w:val="17"/>
                <w:szCs w:val="17"/>
                <w:lang w:val="fr-FR"/>
              </w:rPr>
            </w:pPr>
            <w:r w:rsidRPr="00FA45D6">
              <w:rPr>
                <w:bCs/>
                <w:iCs/>
                <w:sz w:val="17"/>
                <w:szCs w:val="17"/>
                <w:lang w:val="fr-FR"/>
              </w:rPr>
              <w:t>42 080</w:t>
            </w:r>
          </w:p>
        </w:tc>
      </w:tr>
      <w:tr w:rsidR="00FA45D6" w:rsidRPr="00FA45D6">
        <w:tblPrEx>
          <w:tblCellMar>
            <w:top w:w="0" w:type="dxa"/>
            <w:bottom w:w="0" w:type="dxa"/>
          </w:tblCellMar>
        </w:tblPrEx>
        <w:tc>
          <w:tcPr>
            <w:tcW w:w="3690" w:type="dxa"/>
            <w:shd w:val="clear" w:color="auto" w:fill="auto"/>
          </w:tcPr>
          <w:p w:rsidR="00FA45D6" w:rsidRPr="00FA45D6" w:rsidRDefault="00FA45D6" w:rsidP="00587198">
            <w:pPr>
              <w:spacing w:before="40" w:after="40" w:line="210" w:lineRule="exact"/>
              <w:ind w:right="43"/>
              <w:rPr>
                <w:bCs/>
                <w:iCs/>
                <w:sz w:val="17"/>
                <w:szCs w:val="17"/>
                <w:lang w:val="fr-FR"/>
              </w:rPr>
            </w:pPr>
            <w:r w:rsidRPr="00FA45D6">
              <w:rPr>
                <w:bCs/>
                <w:iCs/>
                <w:sz w:val="17"/>
                <w:szCs w:val="17"/>
                <w:lang w:val="fr-FR"/>
              </w:rPr>
              <w:t>Écoles primaires</w:t>
            </w:r>
          </w:p>
        </w:tc>
        <w:tc>
          <w:tcPr>
            <w:tcW w:w="1710" w:type="dxa"/>
            <w:shd w:val="clear" w:color="auto" w:fill="auto"/>
          </w:tcPr>
          <w:p w:rsidR="00FA45D6" w:rsidRPr="00FA45D6" w:rsidRDefault="00FA45D6" w:rsidP="00587198">
            <w:pPr>
              <w:tabs>
                <w:tab w:val="left" w:pos="1570"/>
              </w:tabs>
              <w:spacing w:before="40" w:after="40" w:line="210" w:lineRule="exact"/>
              <w:ind w:right="43"/>
              <w:jc w:val="right"/>
              <w:rPr>
                <w:bCs/>
                <w:iCs/>
                <w:sz w:val="17"/>
                <w:szCs w:val="17"/>
                <w:lang w:val="fr-FR"/>
              </w:rPr>
            </w:pPr>
            <w:r w:rsidRPr="00FA45D6">
              <w:rPr>
                <w:bCs/>
                <w:iCs/>
                <w:sz w:val="17"/>
                <w:szCs w:val="17"/>
                <w:lang w:val="fr-FR"/>
              </w:rPr>
              <w:t>107 537</w:t>
            </w:r>
          </w:p>
        </w:tc>
      </w:tr>
      <w:tr w:rsidR="00FA45D6" w:rsidRPr="00FA45D6">
        <w:tblPrEx>
          <w:tblCellMar>
            <w:top w:w="0" w:type="dxa"/>
            <w:bottom w:w="0" w:type="dxa"/>
          </w:tblCellMar>
        </w:tblPrEx>
        <w:tc>
          <w:tcPr>
            <w:tcW w:w="3690" w:type="dxa"/>
            <w:tcBorders>
              <w:bottom w:val="single" w:sz="12" w:space="0" w:color="auto"/>
            </w:tcBorders>
            <w:shd w:val="clear" w:color="auto" w:fill="auto"/>
          </w:tcPr>
          <w:p w:rsidR="00FA45D6" w:rsidRPr="00FA45D6" w:rsidRDefault="00FA45D6" w:rsidP="00587198">
            <w:pPr>
              <w:spacing w:before="40" w:after="40" w:line="210" w:lineRule="exact"/>
              <w:ind w:right="43"/>
              <w:rPr>
                <w:bCs/>
                <w:iCs/>
                <w:sz w:val="17"/>
                <w:szCs w:val="17"/>
                <w:lang w:val="fr-FR"/>
              </w:rPr>
            </w:pPr>
            <w:r w:rsidRPr="00FA45D6">
              <w:rPr>
                <w:bCs/>
                <w:iCs/>
                <w:sz w:val="17"/>
                <w:szCs w:val="17"/>
                <w:lang w:val="fr-FR"/>
              </w:rPr>
              <w:t>Établissements du premier cycle du secondaire</w:t>
            </w:r>
          </w:p>
        </w:tc>
        <w:tc>
          <w:tcPr>
            <w:tcW w:w="1710" w:type="dxa"/>
            <w:tcBorders>
              <w:bottom w:val="single" w:sz="12" w:space="0" w:color="auto"/>
            </w:tcBorders>
            <w:shd w:val="clear" w:color="auto" w:fill="auto"/>
          </w:tcPr>
          <w:p w:rsidR="00FA45D6" w:rsidRPr="00FA45D6" w:rsidRDefault="00FA45D6" w:rsidP="00587198">
            <w:pPr>
              <w:tabs>
                <w:tab w:val="left" w:pos="1570"/>
              </w:tabs>
              <w:spacing w:before="40" w:after="40" w:line="210" w:lineRule="exact"/>
              <w:ind w:right="43"/>
              <w:jc w:val="right"/>
              <w:rPr>
                <w:bCs/>
                <w:iCs/>
                <w:sz w:val="17"/>
                <w:szCs w:val="17"/>
                <w:lang w:val="fr-FR"/>
              </w:rPr>
            </w:pPr>
            <w:r w:rsidRPr="00FA45D6">
              <w:rPr>
                <w:bCs/>
                <w:iCs/>
                <w:sz w:val="17"/>
                <w:szCs w:val="17"/>
                <w:lang w:val="fr-FR"/>
              </w:rPr>
              <w:t>56 790</w:t>
            </w:r>
          </w:p>
        </w:tc>
      </w:tr>
    </w:tbl>
    <w:p w:rsidR="00587198" w:rsidRPr="00587198" w:rsidRDefault="00587198" w:rsidP="00587198">
      <w:pPr>
        <w:pStyle w:val="SingleTxt"/>
        <w:spacing w:after="0" w:line="120" w:lineRule="exact"/>
        <w:rPr>
          <w:sz w:val="10"/>
          <w:lang w:val="fr-FR"/>
        </w:rPr>
      </w:pPr>
    </w:p>
    <w:p w:rsidR="00E15507" w:rsidRDefault="00587198" w:rsidP="0012256D">
      <w:pPr>
        <w:pStyle w:val="SingleTxt"/>
        <w:rPr>
          <w:sz w:val="17"/>
          <w:szCs w:val="17"/>
          <w:lang w:val="fr-FR"/>
        </w:rPr>
      </w:pPr>
      <w:r w:rsidRPr="00587198">
        <w:rPr>
          <w:i/>
          <w:sz w:val="17"/>
          <w:szCs w:val="17"/>
          <w:lang w:val="fr-FR"/>
        </w:rPr>
        <w:t xml:space="preserve">Source : </w:t>
      </w:r>
      <w:r w:rsidRPr="00587198">
        <w:rPr>
          <w:sz w:val="17"/>
          <w:szCs w:val="17"/>
          <w:lang w:val="fr-FR"/>
        </w:rPr>
        <w:t>Rapport 2006 du ministère fédéral de l</w:t>
      </w:r>
      <w:r w:rsidR="000A3D87">
        <w:rPr>
          <w:sz w:val="17"/>
          <w:szCs w:val="17"/>
          <w:lang w:val="fr-FR"/>
        </w:rPr>
        <w:t>’</w:t>
      </w:r>
      <w:r w:rsidRPr="00587198">
        <w:rPr>
          <w:sz w:val="17"/>
          <w:szCs w:val="17"/>
          <w:lang w:val="fr-FR"/>
        </w:rPr>
        <w:t>Éducation</w:t>
      </w:r>
    </w:p>
    <w:p w:rsidR="00587198" w:rsidRDefault="00587198" w:rsidP="00587198">
      <w:pPr>
        <w:pStyle w:val="SingleTxt"/>
        <w:rPr>
          <w:lang w:val="fr-FR"/>
        </w:rPr>
      </w:pPr>
      <w:r w:rsidRPr="00FA45D6">
        <w:rPr>
          <w:lang w:val="fr-FR"/>
        </w:rPr>
        <w:t>10.2.2 En dehors de la construction des infrastructures et des activités de renforcement des capacités, 983 537 outils didactiques sur des sujets tels que les mathématiques, la science intégrée, les études sociales, la langue anglaise, les études de gestion et les technologies de l</w:t>
      </w:r>
      <w:r w:rsidR="000A3D87">
        <w:rPr>
          <w:lang w:val="fr-FR"/>
        </w:rPr>
        <w:t>’</w:t>
      </w:r>
      <w:r w:rsidRPr="00FA45D6">
        <w:rPr>
          <w:lang w:val="fr-FR"/>
        </w:rPr>
        <w:t>information, ont été achetés et distribués aux différents établissements scolaires à travers le pays. Par ailleurs, 4</w:t>
      </w:r>
      <w:r w:rsidR="00234E8F">
        <w:rPr>
          <w:lang w:val="fr-FR"/>
        </w:rPr>
        <w:t> </w:t>
      </w:r>
      <w:r w:rsidRPr="00FA45D6">
        <w:rPr>
          <w:lang w:val="fr-FR"/>
        </w:rPr>
        <w:t>407</w:t>
      </w:r>
      <w:r w:rsidR="00234E8F">
        <w:rPr>
          <w:lang w:val="fr-FR"/>
        </w:rPr>
        <w:t> </w:t>
      </w:r>
      <w:r w:rsidRPr="00FA45D6">
        <w:rPr>
          <w:lang w:val="fr-FR"/>
        </w:rPr>
        <w:t>établissements communautaires ont reçu chacune la somme de quatre cents cinquante mille nairas (450 000 nairas) à titre de don d</w:t>
      </w:r>
      <w:r w:rsidR="000A3D87">
        <w:rPr>
          <w:lang w:val="fr-FR"/>
        </w:rPr>
        <w:t>’</w:t>
      </w:r>
      <w:r w:rsidRPr="00FA45D6">
        <w:rPr>
          <w:lang w:val="fr-FR"/>
        </w:rPr>
        <w:t>appui institutionnel.</w:t>
      </w:r>
    </w:p>
    <w:p w:rsidR="00E15507" w:rsidRPr="005D6CD4" w:rsidRDefault="00E15507" w:rsidP="0012256D">
      <w:pPr>
        <w:pStyle w:val="SingleTxt"/>
        <w:rPr>
          <w:b/>
          <w:lang w:val="fr-FR"/>
        </w:rPr>
      </w:pPr>
      <w:r w:rsidRPr="00C11BEA">
        <w:rPr>
          <w:lang w:val="fr-FR"/>
        </w:rPr>
        <w:t>10.2.3</w:t>
      </w:r>
      <w:r w:rsidRPr="005D6CD4">
        <w:rPr>
          <w:b/>
          <w:lang w:val="fr-FR"/>
        </w:rPr>
        <w:t xml:space="preserve"> </w:t>
      </w:r>
      <w:r w:rsidR="00587198">
        <w:rPr>
          <w:b/>
          <w:lang w:val="fr-FR"/>
        </w:rPr>
        <w:t xml:space="preserve"> </w:t>
      </w:r>
      <w:r w:rsidRPr="005D6CD4">
        <w:rPr>
          <w:b/>
          <w:lang w:val="fr-FR"/>
        </w:rPr>
        <w:t>Le soutien de la communauté internationale</w:t>
      </w:r>
    </w:p>
    <w:p w:rsidR="00E15507" w:rsidRPr="005D6CD4" w:rsidRDefault="00587198" w:rsidP="0012256D">
      <w:pPr>
        <w:pStyle w:val="SingleTxt"/>
        <w:rPr>
          <w:lang w:val="fr-FR"/>
        </w:rPr>
      </w:pPr>
      <w:r>
        <w:rPr>
          <w:noProof/>
          <w:w w:val="100"/>
          <w:lang w:val="en-US"/>
        </w:rPr>
        <w:pict>
          <v:shape id="_x0000_s2127" type="#_x0000_t202" style="position:absolute;left:0;text-align:left;margin-left:286.3pt;margin-top:58.6pt;width:146.05pt;height:162pt;z-index:13">
            <v:textbox>
              <w:txbxContent>
                <w:p w:rsidR="00D32F3D" w:rsidRPr="00C11BEA" w:rsidRDefault="00D32F3D" w:rsidP="00587198">
                  <w:pPr>
                    <w:rPr>
                      <w:b/>
                    </w:rPr>
                  </w:pPr>
                  <w:r w:rsidRPr="00C11BEA">
                    <w:rPr>
                      <w:b/>
                    </w:rPr>
                    <w:t>Encadré 10.1</w:t>
                  </w:r>
                </w:p>
                <w:p w:rsidR="00D32F3D" w:rsidRPr="00587198" w:rsidRDefault="00D32F3D" w:rsidP="00587198">
                  <w:pPr>
                    <w:spacing w:line="120" w:lineRule="exact"/>
                    <w:rPr>
                      <w:sz w:val="10"/>
                    </w:rPr>
                  </w:pPr>
                </w:p>
                <w:p w:rsidR="00D32F3D" w:rsidRDefault="00D32F3D" w:rsidP="009546E1">
                  <w:pPr>
                    <w:numPr>
                      <w:ilvl w:val="0"/>
                      <w:numId w:val="24"/>
                    </w:numPr>
                    <w:tabs>
                      <w:tab w:val="clear" w:pos="720"/>
                    </w:tabs>
                    <w:ind w:left="360" w:hanging="270"/>
                  </w:pPr>
                  <w:r>
                    <w:t>78 salles de classe dans 12 écoles dans 12 collectivités territoriales</w:t>
                  </w:r>
                </w:p>
                <w:p w:rsidR="00D32F3D" w:rsidRDefault="00D32F3D" w:rsidP="009546E1">
                  <w:pPr>
                    <w:numPr>
                      <w:ilvl w:val="0"/>
                      <w:numId w:val="24"/>
                    </w:numPr>
                    <w:tabs>
                      <w:tab w:val="clear" w:pos="720"/>
                    </w:tabs>
                    <w:ind w:left="360" w:hanging="270"/>
                  </w:pPr>
                  <w:r>
                    <w:t>5 bureaux de directeur</w:t>
                  </w:r>
                </w:p>
                <w:p w:rsidR="00D32F3D" w:rsidRDefault="00D32F3D" w:rsidP="009546E1">
                  <w:pPr>
                    <w:numPr>
                      <w:ilvl w:val="0"/>
                      <w:numId w:val="24"/>
                    </w:numPr>
                    <w:tabs>
                      <w:tab w:val="clear" w:pos="720"/>
                    </w:tabs>
                    <w:ind w:left="360" w:hanging="270"/>
                  </w:pPr>
                  <w:r>
                    <w:t>68 toilettes pour garçons et filles en proportions égales</w:t>
                  </w:r>
                </w:p>
                <w:p w:rsidR="00D32F3D" w:rsidRDefault="00D32F3D" w:rsidP="009546E1">
                  <w:pPr>
                    <w:numPr>
                      <w:ilvl w:val="0"/>
                      <w:numId w:val="24"/>
                    </w:numPr>
                    <w:tabs>
                      <w:tab w:val="clear" w:pos="720"/>
                    </w:tabs>
                    <w:ind w:left="360" w:hanging="270"/>
                  </w:pPr>
                  <w:r>
                    <w:t>forage de 4 puits d'eau</w:t>
                  </w:r>
                </w:p>
                <w:p w:rsidR="00D32F3D" w:rsidRDefault="00D32F3D" w:rsidP="009546E1">
                  <w:pPr>
                    <w:numPr>
                      <w:ilvl w:val="0"/>
                      <w:numId w:val="24"/>
                    </w:numPr>
                    <w:tabs>
                      <w:tab w:val="clear" w:pos="720"/>
                    </w:tabs>
                    <w:ind w:left="360" w:hanging="270"/>
                  </w:pPr>
                  <w:r>
                    <w:t>1 794 tables-bancs à deux places</w:t>
                  </w:r>
                </w:p>
                <w:p w:rsidR="00D32F3D" w:rsidRDefault="00D32F3D" w:rsidP="009546E1">
                  <w:pPr>
                    <w:numPr>
                      <w:ilvl w:val="0"/>
                      <w:numId w:val="24"/>
                    </w:numPr>
                    <w:tabs>
                      <w:tab w:val="clear" w:pos="720"/>
                    </w:tabs>
                    <w:ind w:left="360" w:hanging="270"/>
                  </w:pPr>
                  <w:r>
                    <w:t>78 tableaux.</w:t>
                  </w:r>
                </w:p>
              </w:txbxContent>
            </v:textbox>
          </v:shape>
        </w:pict>
      </w:r>
      <w:r w:rsidR="009704E7">
        <w:rPr>
          <w:lang w:val="fr-FR"/>
        </w:rPr>
        <w:tab/>
      </w:r>
      <w:r w:rsidR="00E15507" w:rsidRPr="005D6CD4">
        <w:rPr>
          <w:lang w:val="fr-FR"/>
        </w:rPr>
        <w:t xml:space="preserve">Au cours de la période </w:t>
      </w:r>
      <w:r w:rsidR="00E15507">
        <w:rPr>
          <w:lang w:val="fr-FR"/>
        </w:rPr>
        <w:t xml:space="preserve">visée par </w:t>
      </w:r>
      <w:r w:rsidR="00E15507" w:rsidRPr="005D6CD4">
        <w:rPr>
          <w:lang w:val="fr-FR"/>
        </w:rPr>
        <w:t>le rapport, les organis</w:t>
      </w:r>
      <w:r w:rsidR="00E15507">
        <w:rPr>
          <w:lang w:val="fr-FR"/>
        </w:rPr>
        <w:t xml:space="preserve">ations </w:t>
      </w:r>
      <w:r w:rsidR="00E15507" w:rsidRPr="005D6CD4">
        <w:rPr>
          <w:lang w:val="fr-FR"/>
        </w:rPr>
        <w:t>internationa</w:t>
      </w:r>
      <w:r w:rsidR="00E15507">
        <w:rPr>
          <w:lang w:val="fr-FR"/>
        </w:rPr>
        <w:t>les</w:t>
      </w:r>
      <w:r w:rsidR="00E15507" w:rsidRPr="005D6CD4">
        <w:rPr>
          <w:lang w:val="fr-FR"/>
        </w:rPr>
        <w:t xml:space="preserve">, les ambassades et les autres partenaires </w:t>
      </w:r>
      <w:r w:rsidR="00E15507">
        <w:rPr>
          <w:lang w:val="fr-FR"/>
        </w:rPr>
        <w:t>de</w:t>
      </w:r>
      <w:r w:rsidR="00E15507" w:rsidRPr="005D6CD4">
        <w:rPr>
          <w:lang w:val="fr-FR"/>
        </w:rPr>
        <w:t xml:space="preserve"> développement ont apporté un appui considérable à l</w:t>
      </w:r>
      <w:r w:rsidR="000A3D87">
        <w:rPr>
          <w:lang w:val="fr-FR"/>
        </w:rPr>
        <w:t>’</w:t>
      </w:r>
      <w:r w:rsidR="00E15507" w:rsidRPr="005D6CD4">
        <w:rPr>
          <w:lang w:val="fr-FR"/>
        </w:rPr>
        <w:t>amélioration des effectifs et la conservation des enfants et des jeunes à l</w:t>
      </w:r>
      <w:r w:rsidR="000A3D87">
        <w:rPr>
          <w:lang w:val="fr-FR"/>
        </w:rPr>
        <w:t>’</w:t>
      </w:r>
      <w:r w:rsidR="00E15507" w:rsidRPr="005D6CD4">
        <w:rPr>
          <w:lang w:val="fr-FR"/>
        </w:rPr>
        <w:t xml:space="preserve">école, surtout la </w:t>
      </w:r>
      <w:r w:rsidR="00E15507">
        <w:rPr>
          <w:lang w:val="fr-FR"/>
        </w:rPr>
        <w:t xml:space="preserve">fillette </w:t>
      </w:r>
      <w:r w:rsidR="00E15507" w:rsidRPr="005D6CD4">
        <w:rPr>
          <w:lang w:val="fr-FR"/>
        </w:rPr>
        <w:t>dans les établissements primaires et secondaires. Par exemple,</w:t>
      </w:r>
    </w:p>
    <w:p w:rsidR="00E15507" w:rsidRPr="005D6CD4" w:rsidRDefault="00587198" w:rsidP="00587198">
      <w:pPr>
        <w:pStyle w:val="SingleTxt"/>
        <w:ind w:right="4360"/>
        <w:rPr>
          <w:lang w:val="fr-FR"/>
        </w:rPr>
      </w:pPr>
      <w:r>
        <w:rPr>
          <w:lang w:val="fr-FR"/>
        </w:rPr>
        <w:tab/>
      </w:r>
      <w:r w:rsidR="00E15507" w:rsidRPr="005D6CD4">
        <w:rPr>
          <w:lang w:val="fr-FR"/>
        </w:rPr>
        <w:t>i)</w:t>
      </w:r>
      <w:r w:rsidR="00E15507">
        <w:rPr>
          <w:lang w:val="fr-FR"/>
        </w:rPr>
        <w:t xml:space="preserve"> </w:t>
      </w:r>
      <w:r>
        <w:rPr>
          <w:lang w:val="fr-FR"/>
        </w:rPr>
        <w:tab/>
      </w:r>
      <w:r w:rsidR="00E15507" w:rsidRPr="005D6CD4">
        <w:rPr>
          <w:lang w:val="fr-FR"/>
        </w:rPr>
        <w:t>Le Projet d</w:t>
      </w:r>
      <w:r w:rsidR="00E15507">
        <w:rPr>
          <w:lang w:val="fr-FR"/>
        </w:rPr>
        <w:t>u</w:t>
      </w:r>
      <w:r w:rsidR="00E15507" w:rsidRPr="005D6CD4">
        <w:rPr>
          <w:lang w:val="fr-FR"/>
        </w:rPr>
        <w:t xml:space="preserve"> don japonais au Nigéria (JICA) a construit les infrastructures citées </w:t>
      </w:r>
      <w:r w:rsidR="00E15507">
        <w:rPr>
          <w:lang w:val="fr-FR"/>
        </w:rPr>
        <w:t>dans</w:t>
      </w:r>
      <w:r w:rsidR="00E15507" w:rsidRPr="005D6CD4">
        <w:rPr>
          <w:lang w:val="fr-FR"/>
        </w:rPr>
        <w:t xml:space="preserve"> l</w:t>
      </w:r>
      <w:r w:rsidR="000A3D87">
        <w:rPr>
          <w:lang w:val="fr-FR"/>
        </w:rPr>
        <w:t>’</w:t>
      </w:r>
      <w:r w:rsidR="00E15507" w:rsidRPr="005D6CD4">
        <w:rPr>
          <w:lang w:val="fr-FR"/>
        </w:rPr>
        <w:t>Encadré 10.1 dans l</w:t>
      </w:r>
      <w:r w:rsidR="000A3D87">
        <w:rPr>
          <w:lang w:val="fr-FR"/>
        </w:rPr>
        <w:t>’</w:t>
      </w:r>
      <w:r w:rsidR="00E15507">
        <w:rPr>
          <w:lang w:val="fr-FR"/>
        </w:rPr>
        <w:t>É</w:t>
      </w:r>
      <w:r w:rsidR="00E15507" w:rsidRPr="005D6CD4">
        <w:rPr>
          <w:lang w:val="fr-FR"/>
        </w:rPr>
        <w:t>tat du Niger</w:t>
      </w:r>
    </w:p>
    <w:p w:rsidR="00234E8F" w:rsidRDefault="00587198" w:rsidP="009704E7">
      <w:pPr>
        <w:pStyle w:val="SingleTxt"/>
        <w:tabs>
          <w:tab w:val="clear" w:pos="5573"/>
        </w:tabs>
        <w:ind w:right="4360"/>
        <w:rPr>
          <w:lang w:val="fr-FR"/>
        </w:rPr>
      </w:pPr>
      <w:r>
        <w:rPr>
          <w:lang w:val="fr-FR"/>
        </w:rPr>
        <w:tab/>
      </w:r>
      <w:r w:rsidR="00E15507" w:rsidRPr="005D6CD4">
        <w:rPr>
          <w:lang w:val="fr-FR"/>
        </w:rPr>
        <w:t>ii)</w:t>
      </w:r>
      <w:r w:rsidR="00E15507">
        <w:rPr>
          <w:lang w:val="fr-FR"/>
        </w:rPr>
        <w:t xml:space="preserve"> </w:t>
      </w:r>
      <w:r>
        <w:rPr>
          <w:lang w:val="fr-FR"/>
        </w:rPr>
        <w:tab/>
      </w:r>
      <w:r w:rsidR="00E15507" w:rsidRPr="005D6CD4">
        <w:rPr>
          <w:lang w:val="fr-FR"/>
        </w:rPr>
        <w:t>Le Département du développement international (DFID) britannique a aidé le Nigéria à hauteur de vingt six millions de livres sterling (26</w:t>
      </w:r>
      <w:r w:rsidR="00E15507">
        <w:rPr>
          <w:lang w:val="fr-FR"/>
        </w:rPr>
        <w:t> </w:t>
      </w:r>
      <w:r w:rsidR="00E15507" w:rsidRPr="005D6CD4">
        <w:rPr>
          <w:lang w:val="fr-FR"/>
        </w:rPr>
        <w:t>000</w:t>
      </w:r>
      <w:r w:rsidR="00E15507">
        <w:rPr>
          <w:lang w:val="fr-FR"/>
        </w:rPr>
        <w:t> </w:t>
      </w:r>
      <w:r w:rsidR="00E15507" w:rsidRPr="005D6CD4">
        <w:rPr>
          <w:lang w:val="fr-FR"/>
        </w:rPr>
        <w:t>000 de livres) dans la promotion de l</w:t>
      </w:r>
      <w:r w:rsidR="000A3D87">
        <w:rPr>
          <w:lang w:val="fr-FR"/>
        </w:rPr>
        <w:t>’</w:t>
      </w:r>
      <w:r w:rsidR="00E15507" w:rsidRPr="005D6CD4">
        <w:rPr>
          <w:lang w:val="fr-FR"/>
        </w:rPr>
        <w:t>accès des filles/femmes à l</w:t>
      </w:r>
      <w:r w:rsidR="000A3D87">
        <w:rPr>
          <w:lang w:val="fr-FR"/>
        </w:rPr>
        <w:t>’</w:t>
      </w:r>
      <w:r w:rsidR="00E15507" w:rsidRPr="005D6CD4">
        <w:rPr>
          <w:lang w:val="fr-FR"/>
        </w:rPr>
        <w:t xml:space="preserve">éducation. Ce don est destiné à 15 </w:t>
      </w:r>
      <w:r w:rsidR="00E15507">
        <w:rPr>
          <w:lang w:val="fr-FR"/>
        </w:rPr>
        <w:t>É</w:t>
      </w:r>
      <w:r w:rsidR="00E15507" w:rsidRPr="005D6CD4">
        <w:rPr>
          <w:lang w:val="fr-FR"/>
        </w:rPr>
        <w:t>tats (Borno, Sokoto, Jigawa, Katsina, Yobe, Gombe, Niger, Zamfara, Bauchi, Kebbi, Adamawa, Kaduna et Kano) du Nord du Nigéria où le problème de la faiblesse</w:t>
      </w:r>
    </w:p>
    <w:p w:rsidR="009704E7" w:rsidRDefault="00234E8F" w:rsidP="00234E8F">
      <w:pPr>
        <w:pStyle w:val="SingleTxt"/>
        <w:tabs>
          <w:tab w:val="clear" w:pos="5573"/>
        </w:tabs>
        <w:ind w:right="1210"/>
        <w:rPr>
          <w:lang w:val="fr-FR"/>
        </w:rPr>
      </w:pPr>
      <w:r>
        <w:rPr>
          <w:lang w:val="fr-FR"/>
        </w:rPr>
        <w:br w:type="page"/>
      </w:r>
      <w:r w:rsidR="00E15507" w:rsidRPr="005D6CD4">
        <w:rPr>
          <w:lang w:val="fr-FR"/>
        </w:rPr>
        <w:t>de l</w:t>
      </w:r>
      <w:r w:rsidR="000A3D87">
        <w:rPr>
          <w:lang w:val="fr-FR"/>
        </w:rPr>
        <w:t>’</w:t>
      </w:r>
      <w:r w:rsidR="00E15507" w:rsidRPr="005D6CD4">
        <w:rPr>
          <w:lang w:val="fr-FR"/>
        </w:rPr>
        <w:t>accès des filles/femmes à l</w:t>
      </w:r>
      <w:r w:rsidR="000A3D87">
        <w:rPr>
          <w:lang w:val="fr-FR"/>
        </w:rPr>
        <w:t>’</w:t>
      </w:r>
      <w:r w:rsidR="00E15507" w:rsidRPr="005D6CD4">
        <w:rPr>
          <w:lang w:val="fr-FR"/>
        </w:rPr>
        <w:t>éducation se</w:t>
      </w:r>
      <w:r w:rsidR="009704E7">
        <w:rPr>
          <w:lang w:val="fr-FR"/>
        </w:rPr>
        <w:t xml:space="preserve"> </w:t>
      </w:r>
      <w:r w:rsidR="00E15507" w:rsidRPr="005D6CD4">
        <w:rPr>
          <w:lang w:val="fr-FR"/>
        </w:rPr>
        <w:t xml:space="preserve">pose avec acuité. </w:t>
      </w:r>
    </w:p>
    <w:p w:rsidR="00E15507" w:rsidRPr="005D6CD4" w:rsidRDefault="009704E7" w:rsidP="009704E7">
      <w:pPr>
        <w:pStyle w:val="SingleTxt"/>
        <w:tabs>
          <w:tab w:val="clear" w:pos="5573"/>
        </w:tabs>
        <w:ind w:right="1210"/>
        <w:rPr>
          <w:lang w:val="fr-FR"/>
        </w:rPr>
      </w:pPr>
      <w:r>
        <w:rPr>
          <w:lang w:val="fr-FR"/>
        </w:rPr>
        <w:tab/>
      </w:r>
      <w:r w:rsidR="00E15507" w:rsidRPr="005D6CD4">
        <w:rPr>
          <w:lang w:val="fr-FR"/>
        </w:rPr>
        <w:t>Ce don met un accent sur les domaines d</w:t>
      </w:r>
      <w:r w:rsidR="000A3D87">
        <w:rPr>
          <w:lang w:val="fr-FR"/>
        </w:rPr>
        <w:t>’</w:t>
      </w:r>
      <w:r w:rsidR="00E15507" w:rsidRPr="005D6CD4">
        <w:rPr>
          <w:lang w:val="fr-FR"/>
        </w:rPr>
        <w:t>intervention suivants</w:t>
      </w:r>
      <w:r w:rsidR="00E15507">
        <w:rPr>
          <w:lang w:val="fr-FR"/>
        </w:rPr>
        <w:t> :</w:t>
      </w:r>
    </w:p>
    <w:p w:rsidR="00E15507" w:rsidRPr="005D6CD4" w:rsidRDefault="00E15507" w:rsidP="009546E1">
      <w:pPr>
        <w:pStyle w:val="SingleTxt"/>
        <w:numPr>
          <w:ilvl w:val="0"/>
          <w:numId w:val="23"/>
        </w:numPr>
        <w:ind w:hanging="727"/>
        <w:rPr>
          <w:b/>
          <w:lang w:val="fr-FR"/>
        </w:rPr>
      </w:pPr>
      <w:r w:rsidRPr="005D6CD4">
        <w:rPr>
          <w:b/>
          <w:lang w:val="fr-FR"/>
        </w:rPr>
        <w:t>Enseignement de type informel</w:t>
      </w:r>
    </w:p>
    <w:p w:rsidR="00E15507" w:rsidRPr="00644078" w:rsidRDefault="00E15507" w:rsidP="009546E1">
      <w:pPr>
        <w:pStyle w:val="SingleTxt"/>
        <w:numPr>
          <w:ilvl w:val="0"/>
          <w:numId w:val="23"/>
        </w:numPr>
        <w:ind w:hanging="727"/>
        <w:rPr>
          <w:b/>
          <w:lang w:val="fr-FR"/>
        </w:rPr>
      </w:pPr>
      <w:r w:rsidRPr="00644078">
        <w:rPr>
          <w:b/>
          <w:lang w:val="fr-FR"/>
        </w:rPr>
        <w:t>Développement des soins aux petits enfants</w:t>
      </w:r>
    </w:p>
    <w:p w:rsidR="00E15507" w:rsidRPr="005D6CD4" w:rsidRDefault="00E15507" w:rsidP="009546E1">
      <w:pPr>
        <w:pStyle w:val="SingleTxt"/>
        <w:numPr>
          <w:ilvl w:val="0"/>
          <w:numId w:val="23"/>
        </w:numPr>
        <w:ind w:hanging="727"/>
        <w:rPr>
          <w:b/>
          <w:lang w:val="fr-FR"/>
        </w:rPr>
      </w:pPr>
      <w:r w:rsidRPr="005D6CD4">
        <w:rPr>
          <w:b/>
          <w:lang w:val="fr-FR"/>
        </w:rPr>
        <w:t>Enseignement primaire</w:t>
      </w:r>
    </w:p>
    <w:p w:rsidR="00E15507" w:rsidRPr="005D6CD4" w:rsidRDefault="00E15507" w:rsidP="009546E1">
      <w:pPr>
        <w:pStyle w:val="SingleTxt"/>
        <w:numPr>
          <w:ilvl w:val="0"/>
          <w:numId w:val="23"/>
        </w:numPr>
        <w:ind w:hanging="727"/>
        <w:rPr>
          <w:b/>
          <w:lang w:val="fr-FR"/>
        </w:rPr>
      </w:pPr>
      <w:r w:rsidRPr="005D6CD4">
        <w:rPr>
          <w:b/>
          <w:lang w:val="fr-FR"/>
        </w:rPr>
        <w:t>Construction des infrastructures éducatives</w:t>
      </w:r>
    </w:p>
    <w:p w:rsidR="00E15507" w:rsidRPr="005D6CD4" w:rsidRDefault="00E15507" w:rsidP="009546E1">
      <w:pPr>
        <w:pStyle w:val="SingleTxt"/>
        <w:numPr>
          <w:ilvl w:val="0"/>
          <w:numId w:val="23"/>
        </w:numPr>
        <w:tabs>
          <w:tab w:val="clear" w:pos="1742"/>
          <w:tab w:val="clear" w:pos="1987"/>
          <w:tab w:val="left" w:pos="1710"/>
        </w:tabs>
        <w:ind w:left="1710" w:hanging="450"/>
        <w:rPr>
          <w:b/>
          <w:u w:val="single"/>
          <w:lang w:val="fr-FR"/>
        </w:rPr>
      </w:pPr>
      <w:r w:rsidRPr="005D6CD4">
        <w:rPr>
          <w:b/>
          <w:lang w:val="fr-FR"/>
        </w:rPr>
        <w:t xml:space="preserve">Renforcement des capacités des enseignants, des </w:t>
      </w:r>
      <w:r>
        <w:rPr>
          <w:b/>
          <w:lang w:val="fr-FR"/>
        </w:rPr>
        <w:t xml:space="preserve">dirigeants des collectivités </w:t>
      </w:r>
      <w:r w:rsidRPr="005D6CD4">
        <w:rPr>
          <w:b/>
          <w:lang w:val="fr-FR"/>
        </w:rPr>
        <w:t>et des comités de gestion des établissements scolaires</w:t>
      </w:r>
    </w:p>
    <w:p w:rsidR="00E15507" w:rsidRDefault="00E15507" w:rsidP="009546E1">
      <w:pPr>
        <w:pStyle w:val="SingleTxt"/>
        <w:numPr>
          <w:ilvl w:val="0"/>
          <w:numId w:val="23"/>
        </w:numPr>
        <w:ind w:hanging="727"/>
        <w:rPr>
          <w:b/>
          <w:lang w:val="fr-FR"/>
        </w:rPr>
      </w:pPr>
      <w:r w:rsidRPr="005D6CD4">
        <w:rPr>
          <w:b/>
          <w:lang w:val="fr-FR"/>
        </w:rPr>
        <w:t>Infrastructures sanitaires, éducatives et environnementales</w:t>
      </w:r>
    </w:p>
    <w:p w:rsidR="009704E7" w:rsidRPr="009704E7" w:rsidRDefault="009704E7" w:rsidP="009704E7">
      <w:pPr>
        <w:pStyle w:val="SingleTxt"/>
        <w:spacing w:after="0" w:line="120" w:lineRule="exact"/>
        <w:rPr>
          <w:sz w:val="10"/>
          <w:lang w:val="fr-FR"/>
        </w:rPr>
      </w:pPr>
    </w:p>
    <w:p w:rsidR="00E15507" w:rsidRDefault="009704E7" w:rsidP="009704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E15507" w:rsidRPr="005D6CD4">
        <w:rPr>
          <w:lang w:val="fr-FR"/>
        </w:rPr>
        <w:t xml:space="preserve">10.3 </w:t>
      </w:r>
      <w:r>
        <w:rPr>
          <w:lang w:val="fr-FR"/>
        </w:rPr>
        <w:tab/>
      </w:r>
      <w:r w:rsidR="00E15507" w:rsidRPr="005D6CD4">
        <w:rPr>
          <w:lang w:val="fr-FR"/>
        </w:rPr>
        <w:t xml:space="preserve">Progrès accomplis dans la protection </w:t>
      </w:r>
      <w:r w:rsidR="00E15507">
        <w:rPr>
          <w:lang w:val="fr-FR"/>
        </w:rPr>
        <w:t xml:space="preserve">des femmes </w:t>
      </w:r>
      <w:r w:rsidR="00E15507" w:rsidRPr="005D6CD4">
        <w:rPr>
          <w:lang w:val="fr-FR"/>
        </w:rPr>
        <w:t>et l</w:t>
      </w:r>
      <w:r w:rsidR="000A3D87">
        <w:rPr>
          <w:lang w:val="fr-FR"/>
        </w:rPr>
        <w:t>’</w:t>
      </w:r>
      <w:r w:rsidR="00E15507" w:rsidRPr="005D6CD4">
        <w:rPr>
          <w:lang w:val="fr-FR"/>
        </w:rPr>
        <w:t>élimination de la discrimination à l</w:t>
      </w:r>
      <w:r w:rsidR="00E15507">
        <w:rPr>
          <w:lang w:val="fr-FR"/>
        </w:rPr>
        <w:t xml:space="preserve">eur </w:t>
      </w:r>
      <w:r w:rsidR="00E15507" w:rsidRPr="005D6CD4">
        <w:rPr>
          <w:lang w:val="fr-FR"/>
        </w:rPr>
        <w:t>égard dans l</w:t>
      </w:r>
      <w:r w:rsidR="00E15507">
        <w:rPr>
          <w:lang w:val="fr-FR"/>
        </w:rPr>
        <w:t>e domaine de l</w:t>
      </w:r>
      <w:r w:rsidR="000A3D87">
        <w:rPr>
          <w:lang w:val="fr-FR"/>
        </w:rPr>
        <w:t>’</w:t>
      </w:r>
      <w:r w:rsidR="00E15507" w:rsidRPr="005D6CD4">
        <w:rPr>
          <w:lang w:val="fr-FR"/>
        </w:rPr>
        <w:t>éducation</w:t>
      </w:r>
    </w:p>
    <w:p w:rsidR="009704E7" w:rsidRPr="009704E7" w:rsidRDefault="009704E7" w:rsidP="009704E7">
      <w:pPr>
        <w:pStyle w:val="SingleTxt"/>
        <w:spacing w:after="0" w:line="120" w:lineRule="exact"/>
        <w:rPr>
          <w:sz w:val="10"/>
          <w:lang w:val="fr-FR"/>
        </w:rPr>
      </w:pPr>
    </w:p>
    <w:p w:rsidR="00E15507" w:rsidRPr="005D6CD4" w:rsidRDefault="00E15507" w:rsidP="0012256D">
      <w:pPr>
        <w:pStyle w:val="SingleTxt"/>
        <w:rPr>
          <w:b/>
          <w:color w:val="000000"/>
          <w:lang w:val="fr-FR"/>
        </w:rPr>
      </w:pPr>
      <w:r>
        <w:rPr>
          <w:b/>
          <w:color w:val="000000"/>
          <w:lang w:val="fr-FR"/>
        </w:rPr>
        <w:t>10.3.1</w:t>
      </w:r>
      <w:r w:rsidR="009704E7">
        <w:rPr>
          <w:b/>
          <w:color w:val="000000"/>
          <w:lang w:val="fr-FR"/>
        </w:rPr>
        <w:t xml:space="preserve"> </w:t>
      </w:r>
      <w:r w:rsidR="0027746F">
        <w:rPr>
          <w:b/>
          <w:color w:val="000000"/>
          <w:lang w:val="fr-FR"/>
        </w:rPr>
        <w:t xml:space="preserve"> </w:t>
      </w:r>
      <w:r>
        <w:rPr>
          <w:b/>
          <w:color w:val="000000"/>
          <w:lang w:val="fr-FR"/>
        </w:rPr>
        <w:t>Ta</w:t>
      </w:r>
      <w:r w:rsidRPr="005D6CD4">
        <w:rPr>
          <w:b/>
          <w:color w:val="000000"/>
          <w:lang w:val="fr-FR"/>
        </w:rPr>
        <w:t>ux nets de scolarisation</w:t>
      </w:r>
    </w:p>
    <w:p w:rsidR="00E15507" w:rsidRDefault="0027746F" w:rsidP="0012256D">
      <w:pPr>
        <w:pStyle w:val="SingleTxt"/>
        <w:rPr>
          <w:color w:val="000000"/>
          <w:lang w:val="fr-FR"/>
        </w:rPr>
      </w:pPr>
      <w:r>
        <w:rPr>
          <w:color w:val="000000"/>
          <w:lang w:val="fr-FR"/>
        </w:rPr>
        <w:tab/>
      </w:r>
      <w:r w:rsidR="00E15507" w:rsidRPr="005D6CD4">
        <w:rPr>
          <w:color w:val="000000"/>
          <w:lang w:val="fr-FR"/>
        </w:rPr>
        <w:t>Les tendances du nombre d</w:t>
      </w:r>
      <w:r w:rsidR="000A3D87">
        <w:rPr>
          <w:color w:val="000000"/>
          <w:lang w:val="fr-FR"/>
        </w:rPr>
        <w:t>’</w:t>
      </w:r>
      <w:r w:rsidR="00E15507" w:rsidRPr="005D6CD4">
        <w:rPr>
          <w:color w:val="000000"/>
          <w:lang w:val="fr-FR"/>
        </w:rPr>
        <w:t>inscrits dans le primaire entre 1999 et 2003 montrent qu</w:t>
      </w:r>
      <w:r w:rsidR="000A3D87">
        <w:rPr>
          <w:color w:val="000000"/>
          <w:lang w:val="fr-FR"/>
        </w:rPr>
        <w:t>’</w:t>
      </w:r>
      <w:r w:rsidR="00E15507" w:rsidRPr="005D6CD4">
        <w:rPr>
          <w:color w:val="000000"/>
          <w:lang w:val="fr-FR"/>
        </w:rPr>
        <w:t>en moyenne, l</w:t>
      </w:r>
      <w:r w:rsidR="00E15507">
        <w:rPr>
          <w:color w:val="000000"/>
          <w:lang w:val="fr-FR"/>
        </w:rPr>
        <w:t xml:space="preserve">es </w:t>
      </w:r>
      <w:r w:rsidR="00E15507" w:rsidRPr="005D6CD4">
        <w:rPr>
          <w:color w:val="000000"/>
          <w:lang w:val="fr-FR"/>
        </w:rPr>
        <w:t xml:space="preserve">inscriptions de garçons et de filles </w:t>
      </w:r>
      <w:r w:rsidR="00E15507">
        <w:rPr>
          <w:color w:val="000000"/>
          <w:lang w:val="fr-FR"/>
        </w:rPr>
        <w:t xml:space="preserve">ont augmenté de manière </w:t>
      </w:r>
      <w:r w:rsidR="00E15507" w:rsidRPr="005D6CD4">
        <w:rPr>
          <w:color w:val="000000"/>
          <w:lang w:val="fr-FR"/>
        </w:rPr>
        <w:t xml:space="preserve">constante </w:t>
      </w:r>
      <w:r w:rsidR="00E15507">
        <w:rPr>
          <w:color w:val="000000"/>
          <w:lang w:val="fr-FR"/>
        </w:rPr>
        <w:t>ces dernières années : 7 % en 2000 à 8 %, 11 %, et 44 % en 2001, 2002 et 2003 respectivement</w:t>
      </w:r>
      <w:r w:rsidR="00E15507" w:rsidRPr="005D6CD4">
        <w:rPr>
          <w:color w:val="000000"/>
          <w:lang w:val="fr-FR"/>
        </w:rPr>
        <w:t xml:space="preserve">. </w:t>
      </w:r>
      <w:r w:rsidR="00E15507">
        <w:rPr>
          <w:color w:val="000000"/>
          <w:lang w:val="fr-FR"/>
        </w:rPr>
        <w:t>Les taux d</w:t>
      </w:r>
      <w:r w:rsidR="000A3D87">
        <w:rPr>
          <w:color w:val="000000"/>
          <w:lang w:val="fr-FR"/>
        </w:rPr>
        <w:t>’</w:t>
      </w:r>
      <w:r w:rsidR="00E15507">
        <w:rPr>
          <w:color w:val="000000"/>
          <w:lang w:val="fr-FR"/>
        </w:rPr>
        <w:t xml:space="preserve">inscription dans le primaire ont cependant été constamment plus élevés chez les garçons que chez les filles. Cette tendance </w:t>
      </w:r>
      <w:r w:rsidR="00E15507" w:rsidRPr="005D6CD4">
        <w:rPr>
          <w:color w:val="000000"/>
          <w:lang w:val="fr-FR"/>
        </w:rPr>
        <w:t>correspond à la période d</w:t>
      </w:r>
      <w:r w:rsidR="000A3D87">
        <w:rPr>
          <w:color w:val="000000"/>
          <w:lang w:val="fr-FR"/>
        </w:rPr>
        <w:t>’</w:t>
      </w:r>
      <w:r w:rsidR="00E15507" w:rsidRPr="005D6CD4">
        <w:rPr>
          <w:color w:val="000000"/>
          <w:lang w:val="fr-FR"/>
        </w:rPr>
        <w:t>introduction de l</w:t>
      </w:r>
      <w:r w:rsidR="000A3D87">
        <w:rPr>
          <w:color w:val="000000"/>
          <w:lang w:val="fr-FR"/>
        </w:rPr>
        <w:t>’</w:t>
      </w:r>
      <w:r w:rsidR="00E15507" w:rsidRPr="005D6CD4">
        <w:rPr>
          <w:color w:val="000000"/>
          <w:lang w:val="fr-FR"/>
        </w:rPr>
        <w:t>éducation de base pour tous. L</w:t>
      </w:r>
      <w:r w:rsidR="000A3D87">
        <w:rPr>
          <w:color w:val="000000"/>
          <w:lang w:val="fr-FR"/>
        </w:rPr>
        <w:t>’</w:t>
      </w:r>
      <w:r w:rsidR="00E15507" w:rsidRPr="005D6CD4">
        <w:rPr>
          <w:color w:val="000000"/>
          <w:lang w:val="fr-FR"/>
        </w:rPr>
        <w:t>efficacité du système d</w:t>
      </w:r>
      <w:r w:rsidR="000A3D87">
        <w:rPr>
          <w:color w:val="000000"/>
          <w:lang w:val="fr-FR"/>
        </w:rPr>
        <w:t>’</w:t>
      </w:r>
      <w:r w:rsidR="00E15507" w:rsidRPr="005D6CD4">
        <w:rPr>
          <w:color w:val="000000"/>
          <w:lang w:val="fr-FR"/>
        </w:rPr>
        <w:t>enseignement primaire s</w:t>
      </w:r>
      <w:r w:rsidR="000A3D87">
        <w:rPr>
          <w:color w:val="000000"/>
          <w:lang w:val="fr-FR"/>
        </w:rPr>
        <w:t>’</w:t>
      </w:r>
      <w:r w:rsidR="00E15507" w:rsidRPr="005D6CD4">
        <w:rPr>
          <w:color w:val="000000"/>
          <w:lang w:val="fr-FR"/>
        </w:rPr>
        <w:t>est également améliorée au fil des ans</w:t>
      </w:r>
      <w:r w:rsidR="00E15507">
        <w:rPr>
          <w:color w:val="000000"/>
          <w:lang w:val="fr-FR"/>
        </w:rPr>
        <w:t>,</w:t>
      </w:r>
      <w:r w:rsidR="00E15507" w:rsidRPr="005D6CD4">
        <w:rPr>
          <w:color w:val="000000"/>
          <w:lang w:val="fr-FR"/>
        </w:rPr>
        <w:t xml:space="preserve"> passant de 65</w:t>
      </w:r>
      <w:r w:rsidR="00E15507">
        <w:rPr>
          <w:color w:val="000000"/>
          <w:lang w:val="fr-FR"/>
        </w:rPr>
        <w:t> </w:t>
      </w:r>
      <w:r w:rsidR="00E15507" w:rsidRPr="005D6CD4">
        <w:rPr>
          <w:color w:val="000000"/>
          <w:lang w:val="fr-FR"/>
        </w:rPr>
        <w:t>% en 1998 à 83</w:t>
      </w:r>
      <w:r w:rsidR="00E15507">
        <w:rPr>
          <w:color w:val="000000"/>
          <w:lang w:val="fr-FR"/>
        </w:rPr>
        <w:t> </w:t>
      </w:r>
      <w:r w:rsidR="00E15507" w:rsidRPr="005D6CD4">
        <w:rPr>
          <w:color w:val="000000"/>
          <w:lang w:val="fr-FR"/>
        </w:rPr>
        <w:t>% en 2001 comme le signale le précédent rapport. Toutefois, ce taux a reculé en 2002 avant de connaître une hausse brutale pour atteindre 94</w:t>
      </w:r>
      <w:r w:rsidR="00E15507">
        <w:rPr>
          <w:color w:val="000000"/>
          <w:lang w:val="fr-FR"/>
        </w:rPr>
        <w:t> </w:t>
      </w:r>
      <w:r w:rsidR="00E15507" w:rsidRPr="005D6CD4">
        <w:rPr>
          <w:color w:val="000000"/>
          <w:lang w:val="fr-FR"/>
        </w:rPr>
        <w:t>% en 2003. L</w:t>
      </w:r>
      <w:r w:rsidR="000A3D87">
        <w:rPr>
          <w:color w:val="000000"/>
          <w:lang w:val="fr-FR"/>
        </w:rPr>
        <w:t>’</w:t>
      </w:r>
      <w:r w:rsidR="00E15507" w:rsidRPr="005D6CD4">
        <w:rPr>
          <w:color w:val="000000"/>
          <w:lang w:val="fr-FR"/>
        </w:rPr>
        <w:t>amélioration phénoménale du ratio filles/garçons en 2003 est due à l</w:t>
      </w:r>
      <w:r w:rsidR="000A3D87">
        <w:rPr>
          <w:color w:val="000000"/>
          <w:lang w:val="fr-FR"/>
        </w:rPr>
        <w:t>’</w:t>
      </w:r>
      <w:r w:rsidR="00E15507" w:rsidRPr="005D6CD4">
        <w:rPr>
          <w:color w:val="000000"/>
          <w:lang w:val="fr-FR"/>
        </w:rPr>
        <w:t>inscription des enfants trop âgés et des enfants trop jeunes dans le primaire (</w:t>
      </w:r>
      <w:r w:rsidR="00E15507">
        <w:rPr>
          <w:color w:val="000000"/>
          <w:lang w:val="fr-FR"/>
        </w:rPr>
        <w:t>ministère fédéral de l</w:t>
      </w:r>
      <w:r w:rsidR="000A3D87">
        <w:rPr>
          <w:color w:val="000000"/>
          <w:lang w:val="fr-FR"/>
        </w:rPr>
        <w:t>’</w:t>
      </w:r>
      <w:r w:rsidR="00E15507">
        <w:rPr>
          <w:color w:val="000000"/>
          <w:lang w:val="fr-FR"/>
        </w:rPr>
        <w:t>Éducation,</w:t>
      </w:r>
      <w:r w:rsidR="00E15507" w:rsidRPr="005D6CD4">
        <w:rPr>
          <w:color w:val="000000"/>
          <w:lang w:val="fr-FR"/>
        </w:rPr>
        <w:t xml:space="preserve"> 2003).</w:t>
      </w:r>
    </w:p>
    <w:p w:rsidR="009704E7" w:rsidRDefault="009704E7" w:rsidP="009704E7">
      <w:pPr>
        <w:pStyle w:val="SingleTxt"/>
        <w:jc w:val="left"/>
        <w:rPr>
          <w:b/>
          <w:color w:val="000000"/>
          <w:lang w:val="fr-FR"/>
        </w:rPr>
      </w:pPr>
      <w:r w:rsidRPr="009704E7">
        <w:rPr>
          <w:color w:val="000000"/>
          <w:lang w:val="fr-FR"/>
        </w:rPr>
        <w:t>Tableau 10.3</w:t>
      </w:r>
      <w:r>
        <w:rPr>
          <w:color w:val="000000"/>
          <w:lang w:val="fr-FR"/>
        </w:rPr>
        <w:br/>
      </w:r>
      <w:r w:rsidRPr="009704E7">
        <w:rPr>
          <w:b/>
          <w:color w:val="000000"/>
          <w:lang w:val="fr-FR"/>
        </w:rPr>
        <w:t>Effectifs nets</w:t>
      </w:r>
    </w:p>
    <w:p w:rsidR="009704E7" w:rsidRPr="009704E7" w:rsidRDefault="009704E7" w:rsidP="009704E7">
      <w:pPr>
        <w:pStyle w:val="SingleTxt"/>
        <w:spacing w:after="0" w:line="120" w:lineRule="exact"/>
        <w:jc w:val="left"/>
        <w:rPr>
          <w:b/>
          <w:color w:val="000000"/>
          <w:sz w:val="10"/>
          <w:lang w:val="fr-FR"/>
        </w:rPr>
      </w:pPr>
    </w:p>
    <w:tbl>
      <w:tblPr>
        <w:tblW w:w="7380" w:type="dxa"/>
        <w:tblInd w:w="1260" w:type="dxa"/>
        <w:tblLayout w:type="fixed"/>
        <w:tblCellMar>
          <w:left w:w="0" w:type="dxa"/>
          <w:right w:w="0" w:type="dxa"/>
        </w:tblCellMar>
        <w:tblLook w:val="0000"/>
      </w:tblPr>
      <w:tblGrid>
        <w:gridCol w:w="1710"/>
        <w:gridCol w:w="90"/>
        <w:gridCol w:w="1170"/>
        <w:gridCol w:w="1350"/>
        <w:gridCol w:w="90"/>
        <w:gridCol w:w="1440"/>
        <w:gridCol w:w="1530"/>
      </w:tblGrid>
      <w:tr w:rsidR="009704E7" w:rsidRPr="009704E7">
        <w:tblPrEx>
          <w:tblCellMar>
            <w:top w:w="0" w:type="dxa"/>
            <w:bottom w:w="0" w:type="dxa"/>
          </w:tblCellMar>
        </w:tblPrEx>
        <w:trPr>
          <w:tblHeader/>
        </w:trPr>
        <w:tc>
          <w:tcPr>
            <w:tcW w:w="1710" w:type="dxa"/>
            <w:vMerge w:val="restart"/>
            <w:tcBorders>
              <w:top w:val="single" w:sz="4" w:space="0" w:color="auto"/>
            </w:tcBorders>
            <w:shd w:val="clear" w:color="auto" w:fill="auto"/>
            <w:vAlign w:val="bottom"/>
          </w:tcPr>
          <w:p w:rsidR="009704E7" w:rsidRPr="009704E7" w:rsidRDefault="00255149" w:rsidP="009704E7">
            <w:pPr>
              <w:tabs>
                <w:tab w:val="left" w:pos="288"/>
                <w:tab w:val="left" w:pos="576"/>
                <w:tab w:val="left" w:pos="864"/>
                <w:tab w:val="left" w:pos="1152"/>
              </w:tabs>
              <w:suppressAutoHyphens/>
              <w:spacing w:before="80" w:after="80" w:line="160" w:lineRule="exact"/>
              <w:ind w:right="43"/>
              <w:rPr>
                <w:i/>
                <w:sz w:val="14"/>
                <w:lang w:val="fr-FR"/>
              </w:rPr>
            </w:pPr>
            <w:r>
              <w:rPr>
                <w:i/>
                <w:sz w:val="14"/>
                <w:lang w:val="fr-FR"/>
              </w:rPr>
              <w:t>Pourcentage d</w:t>
            </w:r>
            <w:r w:rsidR="000A3D87">
              <w:rPr>
                <w:i/>
                <w:sz w:val="14"/>
                <w:lang w:val="fr-FR"/>
              </w:rPr>
              <w:t>’</w:t>
            </w:r>
            <w:r>
              <w:rPr>
                <w:i/>
                <w:sz w:val="14"/>
                <w:lang w:val="fr-FR"/>
              </w:rPr>
              <w:t>inascriptions par sexe</w:t>
            </w:r>
          </w:p>
        </w:tc>
        <w:tc>
          <w:tcPr>
            <w:tcW w:w="90" w:type="dxa"/>
            <w:tcBorders>
              <w:top w:val="single" w:sz="4" w:space="0" w:color="auto"/>
            </w:tcBorders>
            <w:shd w:val="clear" w:color="auto" w:fill="auto"/>
            <w:vAlign w:val="bottom"/>
          </w:tcPr>
          <w:p w:rsidR="009704E7" w:rsidRPr="009704E7" w:rsidRDefault="009704E7" w:rsidP="009704E7">
            <w:pPr>
              <w:tabs>
                <w:tab w:val="left" w:pos="288"/>
                <w:tab w:val="left" w:pos="576"/>
                <w:tab w:val="left" w:pos="864"/>
                <w:tab w:val="left" w:pos="1152"/>
              </w:tabs>
              <w:suppressAutoHyphens/>
              <w:spacing w:before="80" w:after="80" w:line="160" w:lineRule="exact"/>
              <w:ind w:right="43"/>
              <w:jc w:val="right"/>
              <w:rPr>
                <w:i/>
                <w:sz w:val="14"/>
                <w:lang w:val="fr-FR"/>
              </w:rPr>
            </w:pPr>
          </w:p>
        </w:tc>
        <w:tc>
          <w:tcPr>
            <w:tcW w:w="2520" w:type="dxa"/>
            <w:gridSpan w:val="2"/>
            <w:tcBorders>
              <w:top w:val="single" w:sz="4" w:space="0" w:color="auto"/>
              <w:bottom w:val="single" w:sz="4" w:space="0" w:color="auto"/>
            </w:tcBorders>
            <w:shd w:val="clear" w:color="auto" w:fill="auto"/>
            <w:vAlign w:val="bottom"/>
          </w:tcPr>
          <w:p w:rsidR="009704E7" w:rsidRPr="009704E7" w:rsidRDefault="00255149" w:rsidP="00255149">
            <w:pPr>
              <w:tabs>
                <w:tab w:val="left" w:pos="288"/>
                <w:tab w:val="left" w:pos="576"/>
                <w:tab w:val="left" w:pos="864"/>
                <w:tab w:val="left" w:pos="1152"/>
              </w:tabs>
              <w:suppressAutoHyphens/>
              <w:spacing w:before="80" w:after="80" w:line="160" w:lineRule="exact"/>
              <w:ind w:right="43"/>
              <w:jc w:val="center"/>
              <w:rPr>
                <w:i/>
                <w:sz w:val="14"/>
                <w:lang w:val="fr-FR"/>
              </w:rPr>
            </w:pPr>
            <w:r>
              <w:rPr>
                <w:i/>
                <w:sz w:val="14"/>
                <w:lang w:val="fr-FR"/>
              </w:rPr>
              <w:t>Taux nets 2004</w:t>
            </w:r>
          </w:p>
        </w:tc>
        <w:tc>
          <w:tcPr>
            <w:tcW w:w="90" w:type="dxa"/>
            <w:tcBorders>
              <w:top w:val="single" w:sz="4" w:space="0" w:color="auto"/>
            </w:tcBorders>
            <w:shd w:val="clear" w:color="auto" w:fill="auto"/>
            <w:vAlign w:val="bottom"/>
          </w:tcPr>
          <w:p w:rsidR="009704E7" w:rsidRPr="009704E7" w:rsidRDefault="009704E7" w:rsidP="009704E7">
            <w:pPr>
              <w:tabs>
                <w:tab w:val="left" w:pos="288"/>
                <w:tab w:val="left" w:pos="576"/>
                <w:tab w:val="left" w:pos="864"/>
                <w:tab w:val="left" w:pos="1152"/>
              </w:tabs>
              <w:suppressAutoHyphens/>
              <w:spacing w:before="80" w:after="80" w:line="160" w:lineRule="exact"/>
              <w:ind w:right="43"/>
              <w:jc w:val="right"/>
              <w:rPr>
                <w:i/>
                <w:sz w:val="14"/>
                <w:lang w:val="fr-FR"/>
              </w:rPr>
            </w:pPr>
          </w:p>
        </w:tc>
        <w:tc>
          <w:tcPr>
            <w:tcW w:w="2970" w:type="dxa"/>
            <w:gridSpan w:val="2"/>
            <w:tcBorders>
              <w:top w:val="single" w:sz="4" w:space="0" w:color="auto"/>
              <w:bottom w:val="single" w:sz="4" w:space="0" w:color="auto"/>
            </w:tcBorders>
            <w:shd w:val="clear" w:color="auto" w:fill="auto"/>
            <w:vAlign w:val="bottom"/>
          </w:tcPr>
          <w:p w:rsidR="009704E7" w:rsidRPr="009704E7" w:rsidRDefault="00255149" w:rsidP="00255149">
            <w:pPr>
              <w:tabs>
                <w:tab w:val="left" w:pos="288"/>
                <w:tab w:val="left" w:pos="576"/>
                <w:tab w:val="left" w:pos="864"/>
                <w:tab w:val="left" w:pos="1152"/>
              </w:tabs>
              <w:suppressAutoHyphens/>
              <w:spacing w:before="80" w:after="80" w:line="160" w:lineRule="exact"/>
              <w:ind w:right="43"/>
              <w:jc w:val="center"/>
              <w:rPr>
                <w:i/>
                <w:sz w:val="14"/>
                <w:lang w:val="fr-FR"/>
              </w:rPr>
            </w:pPr>
            <w:r>
              <w:rPr>
                <w:i/>
                <w:sz w:val="14"/>
                <w:lang w:val="fr-FR"/>
              </w:rPr>
              <w:t>Taux nets 2006</w:t>
            </w:r>
          </w:p>
        </w:tc>
      </w:tr>
      <w:tr w:rsidR="009704E7" w:rsidRPr="009704E7">
        <w:tblPrEx>
          <w:tblCellMar>
            <w:top w:w="0" w:type="dxa"/>
            <w:bottom w:w="0" w:type="dxa"/>
          </w:tblCellMar>
        </w:tblPrEx>
        <w:trPr>
          <w:tblHeader/>
        </w:trPr>
        <w:tc>
          <w:tcPr>
            <w:tcW w:w="1710" w:type="dxa"/>
            <w:vMerge/>
            <w:tcBorders>
              <w:bottom w:val="single" w:sz="12" w:space="0" w:color="auto"/>
            </w:tcBorders>
            <w:shd w:val="clear" w:color="auto" w:fill="auto"/>
            <w:vAlign w:val="bottom"/>
          </w:tcPr>
          <w:p w:rsidR="009704E7" w:rsidRPr="009704E7" w:rsidRDefault="009704E7" w:rsidP="009704E7">
            <w:pPr>
              <w:tabs>
                <w:tab w:val="left" w:pos="288"/>
                <w:tab w:val="left" w:pos="576"/>
                <w:tab w:val="left" w:pos="864"/>
                <w:tab w:val="left" w:pos="1152"/>
              </w:tabs>
              <w:suppressAutoHyphens/>
              <w:spacing w:before="80" w:after="80" w:line="160" w:lineRule="exact"/>
              <w:ind w:right="43"/>
              <w:rPr>
                <w:i/>
                <w:sz w:val="14"/>
                <w:lang w:val="fr-FR"/>
              </w:rPr>
            </w:pPr>
          </w:p>
        </w:tc>
        <w:tc>
          <w:tcPr>
            <w:tcW w:w="90" w:type="dxa"/>
            <w:tcBorders>
              <w:bottom w:val="single" w:sz="12" w:space="0" w:color="auto"/>
            </w:tcBorders>
            <w:shd w:val="clear" w:color="auto" w:fill="auto"/>
            <w:vAlign w:val="bottom"/>
          </w:tcPr>
          <w:p w:rsidR="009704E7" w:rsidRPr="009704E7" w:rsidRDefault="009704E7" w:rsidP="009704E7">
            <w:pPr>
              <w:tabs>
                <w:tab w:val="left" w:pos="288"/>
                <w:tab w:val="left" w:pos="576"/>
                <w:tab w:val="left" w:pos="864"/>
                <w:tab w:val="left" w:pos="1152"/>
              </w:tabs>
              <w:suppressAutoHyphens/>
              <w:spacing w:before="80" w:after="80" w:line="160" w:lineRule="exact"/>
              <w:ind w:right="43"/>
              <w:jc w:val="right"/>
              <w:rPr>
                <w:i/>
                <w:sz w:val="14"/>
                <w:lang w:val="fr-FR"/>
              </w:rPr>
            </w:pPr>
          </w:p>
        </w:tc>
        <w:tc>
          <w:tcPr>
            <w:tcW w:w="1170" w:type="dxa"/>
            <w:tcBorders>
              <w:top w:val="single" w:sz="4" w:space="0" w:color="auto"/>
              <w:bottom w:val="single" w:sz="12" w:space="0" w:color="auto"/>
            </w:tcBorders>
            <w:shd w:val="clear" w:color="auto" w:fill="auto"/>
            <w:vAlign w:val="bottom"/>
          </w:tcPr>
          <w:p w:rsidR="009704E7" w:rsidRPr="009704E7" w:rsidRDefault="00255149" w:rsidP="009704E7">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 xml:space="preserve">Primaire </w:t>
            </w:r>
          </w:p>
        </w:tc>
        <w:tc>
          <w:tcPr>
            <w:tcW w:w="1350" w:type="dxa"/>
            <w:tcBorders>
              <w:top w:val="single" w:sz="4" w:space="0" w:color="auto"/>
              <w:bottom w:val="single" w:sz="12" w:space="0" w:color="auto"/>
            </w:tcBorders>
            <w:shd w:val="clear" w:color="auto" w:fill="auto"/>
            <w:vAlign w:val="bottom"/>
          </w:tcPr>
          <w:p w:rsidR="009704E7" w:rsidRPr="009704E7" w:rsidRDefault="00255149" w:rsidP="009704E7">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Secondaire</w:t>
            </w:r>
          </w:p>
        </w:tc>
        <w:tc>
          <w:tcPr>
            <w:tcW w:w="90" w:type="dxa"/>
            <w:tcBorders>
              <w:bottom w:val="single" w:sz="12" w:space="0" w:color="auto"/>
            </w:tcBorders>
            <w:shd w:val="clear" w:color="auto" w:fill="auto"/>
            <w:vAlign w:val="bottom"/>
          </w:tcPr>
          <w:p w:rsidR="009704E7" w:rsidRPr="009704E7" w:rsidRDefault="009704E7" w:rsidP="009704E7">
            <w:pPr>
              <w:tabs>
                <w:tab w:val="left" w:pos="288"/>
                <w:tab w:val="left" w:pos="576"/>
                <w:tab w:val="left" w:pos="864"/>
                <w:tab w:val="left" w:pos="1152"/>
              </w:tabs>
              <w:suppressAutoHyphens/>
              <w:spacing w:before="80" w:after="80" w:line="160" w:lineRule="exact"/>
              <w:ind w:right="43"/>
              <w:jc w:val="right"/>
              <w:rPr>
                <w:i/>
                <w:sz w:val="14"/>
                <w:lang w:val="fr-FR"/>
              </w:rPr>
            </w:pPr>
          </w:p>
        </w:tc>
        <w:tc>
          <w:tcPr>
            <w:tcW w:w="1440" w:type="dxa"/>
            <w:tcBorders>
              <w:top w:val="single" w:sz="4" w:space="0" w:color="auto"/>
              <w:bottom w:val="single" w:sz="12" w:space="0" w:color="auto"/>
            </w:tcBorders>
            <w:shd w:val="clear" w:color="auto" w:fill="auto"/>
            <w:vAlign w:val="bottom"/>
          </w:tcPr>
          <w:p w:rsidR="009704E7" w:rsidRPr="009704E7" w:rsidRDefault="00255149" w:rsidP="009704E7">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Primaire</w:t>
            </w:r>
          </w:p>
        </w:tc>
        <w:tc>
          <w:tcPr>
            <w:tcW w:w="1530" w:type="dxa"/>
            <w:tcBorders>
              <w:top w:val="single" w:sz="4" w:space="0" w:color="auto"/>
              <w:bottom w:val="single" w:sz="12" w:space="0" w:color="auto"/>
            </w:tcBorders>
            <w:shd w:val="clear" w:color="auto" w:fill="auto"/>
            <w:vAlign w:val="bottom"/>
          </w:tcPr>
          <w:p w:rsidR="009704E7" w:rsidRPr="009704E7" w:rsidRDefault="00255149" w:rsidP="009704E7">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Secondaire</w:t>
            </w:r>
          </w:p>
        </w:tc>
      </w:tr>
      <w:tr w:rsidR="009704E7" w:rsidRPr="009704E7">
        <w:tblPrEx>
          <w:tblCellMar>
            <w:top w:w="0" w:type="dxa"/>
            <w:bottom w:w="0" w:type="dxa"/>
          </w:tblCellMar>
        </w:tblPrEx>
        <w:trPr>
          <w:trHeight w:hRule="exact" w:val="115"/>
          <w:tblHeader/>
        </w:trPr>
        <w:tc>
          <w:tcPr>
            <w:tcW w:w="1710" w:type="dxa"/>
            <w:tcBorders>
              <w:top w:val="single" w:sz="12" w:space="0" w:color="auto"/>
            </w:tcBorders>
            <w:shd w:val="clear" w:color="auto" w:fill="auto"/>
            <w:vAlign w:val="bottom"/>
          </w:tcPr>
          <w:p w:rsidR="009704E7" w:rsidRPr="009704E7" w:rsidRDefault="009704E7" w:rsidP="009704E7">
            <w:pPr>
              <w:tabs>
                <w:tab w:val="left" w:pos="288"/>
                <w:tab w:val="left" w:pos="576"/>
                <w:tab w:val="left" w:pos="864"/>
                <w:tab w:val="left" w:pos="1152"/>
              </w:tabs>
              <w:suppressAutoHyphens/>
              <w:spacing w:before="40" w:after="40" w:line="210" w:lineRule="exact"/>
              <w:ind w:right="43"/>
              <w:rPr>
                <w:sz w:val="17"/>
                <w:lang w:val="fr-FR"/>
              </w:rPr>
            </w:pPr>
          </w:p>
        </w:tc>
        <w:tc>
          <w:tcPr>
            <w:tcW w:w="90" w:type="dxa"/>
            <w:tcBorders>
              <w:top w:val="single" w:sz="12" w:space="0" w:color="auto"/>
            </w:tcBorders>
            <w:shd w:val="clear" w:color="auto" w:fill="auto"/>
            <w:vAlign w:val="bottom"/>
          </w:tcPr>
          <w:p w:rsidR="009704E7" w:rsidRPr="009704E7" w:rsidRDefault="009704E7" w:rsidP="009704E7">
            <w:pPr>
              <w:tabs>
                <w:tab w:val="left" w:pos="288"/>
                <w:tab w:val="left" w:pos="576"/>
                <w:tab w:val="left" w:pos="864"/>
                <w:tab w:val="left" w:pos="1152"/>
              </w:tabs>
              <w:suppressAutoHyphens/>
              <w:spacing w:before="40" w:after="40" w:line="210" w:lineRule="exact"/>
              <w:ind w:right="43"/>
              <w:jc w:val="right"/>
              <w:rPr>
                <w:sz w:val="17"/>
                <w:lang w:val="fr-FR"/>
              </w:rPr>
            </w:pPr>
          </w:p>
        </w:tc>
        <w:tc>
          <w:tcPr>
            <w:tcW w:w="1170" w:type="dxa"/>
            <w:tcBorders>
              <w:top w:val="single" w:sz="12" w:space="0" w:color="auto"/>
            </w:tcBorders>
            <w:shd w:val="clear" w:color="auto" w:fill="auto"/>
            <w:vAlign w:val="bottom"/>
          </w:tcPr>
          <w:p w:rsidR="009704E7" w:rsidRPr="009704E7" w:rsidRDefault="009704E7" w:rsidP="009704E7">
            <w:pPr>
              <w:tabs>
                <w:tab w:val="left" w:pos="288"/>
                <w:tab w:val="left" w:pos="576"/>
                <w:tab w:val="left" w:pos="864"/>
                <w:tab w:val="left" w:pos="1152"/>
              </w:tabs>
              <w:suppressAutoHyphens/>
              <w:spacing w:before="40" w:after="40" w:line="210" w:lineRule="exact"/>
              <w:ind w:right="43"/>
              <w:jc w:val="right"/>
              <w:rPr>
                <w:sz w:val="17"/>
                <w:lang w:val="fr-FR"/>
              </w:rPr>
            </w:pPr>
          </w:p>
        </w:tc>
        <w:tc>
          <w:tcPr>
            <w:tcW w:w="1350" w:type="dxa"/>
            <w:tcBorders>
              <w:top w:val="single" w:sz="12" w:space="0" w:color="auto"/>
            </w:tcBorders>
            <w:shd w:val="clear" w:color="auto" w:fill="auto"/>
            <w:vAlign w:val="bottom"/>
          </w:tcPr>
          <w:p w:rsidR="009704E7" w:rsidRPr="009704E7" w:rsidRDefault="009704E7" w:rsidP="009704E7">
            <w:pPr>
              <w:tabs>
                <w:tab w:val="left" w:pos="288"/>
                <w:tab w:val="left" w:pos="576"/>
                <w:tab w:val="left" w:pos="864"/>
                <w:tab w:val="left" w:pos="1152"/>
              </w:tabs>
              <w:suppressAutoHyphens/>
              <w:spacing w:before="40" w:after="40" w:line="210" w:lineRule="exact"/>
              <w:ind w:right="43"/>
              <w:jc w:val="right"/>
              <w:rPr>
                <w:sz w:val="17"/>
                <w:lang w:val="fr-FR"/>
              </w:rPr>
            </w:pPr>
          </w:p>
        </w:tc>
        <w:tc>
          <w:tcPr>
            <w:tcW w:w="90" w:type="dxa"/>
            <w:tcBorders>
              <w:top w:val="single" w:sz="12" w:space="0" w:color="auto"/>
            </w:tcBorders>
            <w:shd w:val="clear" w:color="auto" w:fill="auto"/>
            <w:vAlign w:val="bottom"/>
          </w:tcPr>
          <w:p w:rsidR="009704E7" w:rsidRPr="009704E7" w:rsidRDefault="009704E7" w:rsidP="009704E7">
            <w:pPr>
              <w:tabs>
                <w:tab w:val="left" w:pos="288"/>
                <w:tab w:val="left" w:pos="576"/>
                <w:tab w:val="left" w:pos="864"/>
                <w:tab w:val="left" w:pos="1152"/>
              </w:tabs>
              <w:suppressAutoHyphens/>
              <w:spacing w:before="40" w:after="40" w:line="210" w:lineRule="exact"/>
              <w:ind w:right="43"/>
              <w:jc w:val="right"/>
              <w:rPr>
                <w:sz w:val="17"/>
                <w:lang w:val="fr-FR"/>
              </w:rPr>
            </w:pPr>
          </w:p>
        </w:tc>
        <w:tc>
          <w:tcPr>
            <w:tcW w:w="1440" w:type="dxa"/>
            <w:tcBorders>
              <w:top w:val="single" w:sz="12" w:space="0" w:color="auto"/>
            </w:tcBorders>
            <w:shd w:val="clear" w:color="auto" w:fill="auto"/>
            <w:vAlign w:val="bottom"/>
          </w:tcPr>
          <w:p w:rsidR="009704E7" w:rsidRPr="009704E7" w:rsidRDefault="009704E7" w:rsidP="009704E7">
            <w:pPr>
              <w:tabs>
                <w:tab w:val="left" w:pos="288"/>
                <w:tab w:val="left" w:pos="576"/>
                <w:tab w:val="left" w:pos="864"/>
                <w:tab w:val="left" w:pos="1152"/>
              </w:tabs>
              <w:suppressAutoHyphens/>
              <w:spacing w:before="40" w:after="40" w:line="210" w:lineRule="exact"/>
              <w:ind w:right="43"/>
              <w:jc w:val="right"/>
              <w:rPr>
                <w:sz w:val="17"/>
                <w:lang w:val="fr-FR"/>
              </w:rPr>
            </w:pPr>
          </w:p>
        </w:tc>
        <w:tc>
          <w:tcPr>
            <w:tcW w:w="1530" w:type="dxa"/>
            <w:tcBorders>
              <w:top w:val="single" w:sz="12" w:space="0" w:color="auto"/>
            </w:tcBorders>
            <w:shd w:val="clear" w:color="auto" w:fill="auto"/>
            <w:vAlign w:val="bottom"/>
          </w:tcPr>
          <w:p w:rsidR="009704E7" w:rsidRPr="009704E7" w:rsidRDefault="009704E7" w:rsidP="009704E7">
            <w:pPr>
              <w:tabs>
                <w:tab w:val="left" w:pos="288"/>
                <w:tab w:val="left" w:pos="576"/>
                <w:tab w:val="left" w:pos="864"/>
                <w:tab w:val="left" w:pos="1152"/>
              </w:tabs>
              <w:suppressAutoHyphens/>
              <w:spacing w:before="40" w:after="40" w:line="210" w:lineRule="exact"/>
              <w:ind w:right="43"/>
              <w:jc w:val="right"/>
              <w:rPr>
                <w:sz w:val="17"/>
                <w:lang w:val="fr-FR"/>
              </w:rPr>
            </w:pPr>
          </w:p>
        </w:tc>
      </w:tr>
      <w:tr w:rsidR="00255149" w:rsidRPr="009704E7">
        <w:tblPrEx>
          <w:tblCellMar>
            <w:top w:w="0" w:type="dxa"/>
            <w:bottom w:w="0" w:type="dxa"/>
          </w:tblCellMar>
        </w:tblPrEx>
        <w:tc>
          <w:tcPr>
            <w:tcW w:w="1710" w:type="dxa"/>
            <w:shd w:val="clear" w:color="auto" w:fill="auto"/>
            <w:vAlign w:val="bottom"/>
          </w:tcPr>
          <w:p w:rsidR="009704E7" w:rsidRPr="009704E7" w:rsidRDefault="00255149" w:rsidP="009704E7">
            <w:pPr>
              <w:tabs>
                <w:tab w:val="left" w:pos="288"/>
                <w:tab w:val="left" w:pos="576"/>
                <w:tab w:val="left" w:pos="864"/>
                <w:tab w:val="left" w:pos="1152"/>
              </w:tabs>
              <w:suppressAutoHyphens/>
              <w:spacing w:before="40" w:after="40" w:line="210" w:lineRule="exact"/>
              <w:ind w:right="43"/>
              <w:rPr>
                <w:sz w:val="17"/>
                <w:lang w:val="fr-FR"/>
              </w:rPr>
            </w:pPr>
            <w:r>
              <w:rPr>
                <w:sz w:val="17"/>
                <w:lang w:val="fr-FR"/>
              </w:rPr>
              <w:t>% de garçons</w:t>
            </w:r>
          </w:p>
        </w:tc>
        <w:tc>
          <w:tcPr>
            <w:tcW w:w="90" w:type="dxa"/>
            <w:shd w:val="clear" w:color="auto" w:fill="auto"/>
            <w:vAlign w:val="bottom"/>
          </w:tcPr>
          <w:p w:rsidR="009704E7" w:rsidRPr="009704E7" w:rsidRDefault="009704E7" w:rsidP="009704E7">
            <w:pPr>
              <w:tabs>
                <w:tab w:val="left" w:pos="288"/>
                <w:tab w:val="left" w:pos="576"/>
                <w:tab w:val="left" w:pos="864"/>
                <w:tab w:val="left" w:pos="1152"/>
              </w:tabs>
              <w:suppressAutoHyphens/>
              <w:spacing w:before="40" w:after="40" w:line="210" w:lineRule="exact"/>
              <w:ind w:right="43"/>
              <w:jc w:val="right"/>
              <w:rPr>
                <w:sz w:val="17"/>
                <w:lang w:val="fr-FR"/>
              </w:rPr>
            </w:pPr>
          </w:p>
        </w:tc>
        <w:tc>
          <w:tcPr>
            <w:tcW w:w="1170" w:type="dxa"/>
            <w:shd w:val="clear" w:color="auto" w:fill="auto"/>
            <w:vAlign w:val="bottom"/>
          </w:tcPr>
          <w:p w:rsidR="009704E7" w:rsidRPr="009704E7" w:rsidRDefault="00255149" w:rsidP="009704E7">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82</w:t>
            </w:r>
          </w:p>
        </w:tc>
        <w:tc>
          <w:tcPr>
            <w:tcW w:w="1350" w:type="dxa"/>
            <w:shd w:val="clear" w:color="auto" w:fill="auto"/>
            <w:vAlign w:val="bottom"/>
          </w:tcPr>
          <w:p w:rsidR="009704E7" w:rsidRPr="009704E7" w:rsidRDefault="00255149" w:rsidP="009704E7">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88,5</w:t>
            </w:r>
          </w:p>
        </w:tc>
        <w:tc>
          <w:tcPr>
            <w:tcW w:w="90" w:type="dxa"/>
            <w:shd w:val="clear" w:color="auto" w:fill="auto"/>
            <w:vAlign w:val="bottom"/>
          </w:tcPr>
          <w:p w:rsidR="009704E7" w:rsidRPr="009704E7" w:rsidRDefault="009704E7" w:rsidP="009704E7">
            <w:pPr>
              <w:tabs>
                <w:tab w:val="left" w:pos="288"/>
                <w:tab w:val="left" w:pos="576"/>
                <w:tab w:val="left" w:pos="864"/>
                <w:tab w:val="left" w:pos="1152"/>
              </w:tabs>
              <w:suppressAutoHyphens/>
              <w:spacing w:before="40" w:after="40" w:line="210" w:lineRule="exact"/>
              <w:ind w:right="43"/>
              <w:jc w:val="right"/>
              <w:rPr>
                <w:sz w:val="17"/>
                <w:lang w:val="fr-FR"/>
              </w:rPr>
            </w:pPr>
          </w:p>
        </w:tc>
        <w:tc>
          <w:tcPr>
            <w:tcW w:w="1440" w:type="dxa"/>
            <w:shd w:val="clear" w:color="auto" w:fill="auto"/>
            <w:vAlign w:val="bottom"/>
          </w:tcPr>
          <w:p w:rsidR="009704E7" w:rsidRPr="009704E7" w:rsidRDefault="00255149" w:rsidP="009704E7">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64</w:t>
            </w:r>
          </w:p>
        </w:tc>
        <w:tc>
          <w:tcPr>
            <w:tcW w:w="1530" w:type="dxa"/>
            <w:shd w:val="clear" w:color="auto" w:fill="auto"/>
            <w:vAlign w:val="bottom"/>
          </w:tcPr>
          <w:p w:rsidR="009704E7" w:rsidRPr="009704E7" w:rsidRDefault="00255149" w:rsidP="009704E7">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45,9</w:t>
            </w:r>
          </w:p>
        </w:tc>
      </w:tr>
      <w:tr w:rsidR="00255149" w:rsidRPr="009704E7">
        <w:tblPrEx>
          <w:tblCellMar>
            <w:top w:w="0" w:type="dxa"/>
            <w:bottom w:w="0" w:type="dxa"/>
          </w:tblCellMar>
        </w:tblPrEx>
        <w:tc>
          <w:tcPr>
            <w:tcW w:w="1710" w:type="dxa"/>
            <w:tcBorders>
              <w:bottom w:val="single" w:sz="12" w:space="0" w:color="auto"/>
            </w:tcBorders>
            <w:shd w:val="clear" w:color="auto" w:fill="auto"/>
            <w:vAlign w:val="bottom"/>
          </w:tcPr>
          <w:p w:rsidR="009704E7" w:rsidRPr="009704E7" w:rsidRDefault="00255149" w:rsidP="009704E7">
            <w:pPr>
              <w:tabs>
                <w:tab w:val="left" w:pos="288"/>
                <w:tab w:val="left" w:pos="576"/>
                <w:tab w:val="left" w:pos="864"/>
                <w:tab w:val="left" w:pos="1152"/>
              </w:tabs>
              <w:suppressAutoHyphens/>
              <w:spacing w:before="40" w:after="40" w:line="210" w:lineRule="exact"/>
              <w:ind w:right="43"/>
              <w:rPr>
                <w:sz w:val="17"/>
                <w:lang w:val="fr-FR"/>
              </w:rPr>
            </w:pPr>
            <w:r>
              <w:rPr>
                <w:sz w:val="17"/>
                <w:lang w:val="fr-FR"/>
              </w:rPr>
              <w:t>% de filles</w:t>
            </w:r>
          </w:p>
        </w:tc>
        <w:tc>
          <w:tcPr>
            <w:tcW w:w="90" w:type="dxa"/>
            <w:tcBorders>
              <w:bottom w:val="single" w:sz="12" w:space="0" w:color="auto"/>
            </w:tcBorders>
            <w:shd w:val="clear" w:color="auto" w:fill="auto"/>
            <w:vAlign w:val="bottom"/>
          </w:tcPr>
          <w:p w:rsidR="009704E7" w:rsidRPr="009704E7" w:rsidRDefault="009704E7" w:rsidP="009704E7">
            <w:pPr>
              <w:tabs>
                <w:tab w:val="left" w:pos="288"/>
                <w:tab w:val="left" w:pos="576"/>
                <w:tab w:val="left" w:pos="864"/>
                <w:tab w:val="left" w:pos="1152"/>
              </w:tabs>
              <w:suppressAutoHyphens/>
              <w:spacing w:before="40" w:after="40" w:line="210" w:lineRule="exact"/>
              <w:ind w:right="43"/>
              <w:jc w:val="right"/>
              <w:rPr>
                <w:sz w:val="17"/>
                <w:lang w:val="fr-FR"/>
              </w:rPr>
            </w:pPr>
          </w:p>
        </w:tc>
        <w:tc>
          <w:tcPr>
            <w:tcW w:w="1170" w:type="dxa"/>
            <w:tcBorders>
              <w:bottom w:val="single" w:sz="12" w:space="0" w:color="auto"/>
            </w:tcBorders>
            <w:shd w:val="clear" w:color="auto" w:fill="auto"/>
            <w:vAlign w:val="bottom"/>
          </w:tcPr>
          <w:p w:rsidR="009704E7" w:rsidRPr="009704E7" w:rsidRDefault="00255149" w:rsidP="009704E7">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80</w:t>
            </w:r>
          </w:p>
        </w:tc>
        <w:tc>
          <w:tcPr>
            <w:tcW w:w="1350" w:type="dxa"/>
            <w:tcBorders>
              <w:bottom w:val="single" w:sz="12" w:space="0" w:color="auto"/>
            </w:tcBorders>
            <w:shd w:val="clear" w:color="auto" w:fill="auto"/>
            <w:vAlign w:val="bottom"/>
          </w:tcPr>
          <w:p w:rsidR="009704E7" w:rsidRPr="009704E7" w:rsidRDefault="00255149" w:rsidP="009704E7">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83,4</w:t>
            </w:r>
          </w:p>
        </w:tc>
        <w:tc>
          <w:tcPr>
            <w:tcW w:w="90" w:type="dxa"/>
            <w:tcBorders>
              <w:bottom w:val="single" w:sz="12" w:space="0" w:color="auto"/>
            </w:tcBorders>
            <w:shd w:val="clear" w:color="auto" w:fill="auto"/>
            <w:vAlign w:val="bottom"/>
          </w:tcPr>
          <w:p w:rsidR="009704E7" w:rsidRPr="009704E7" w:rsidRDefault="009704E7" w:rsidP="009704E7">
            <w:pPr>
              <w:tabs>
                <w:tab w:val="left" w:pos="288"/>
                <w:tab w:val="left" w:pos="576"/>
                <w:tab w:val="left" w:pos="864"/>
                <w:tab w:val="left" w:pos="1152"/>
              </w:tabs>
              <w:suppressAutoHyphens/>
              <w:spacing w:before="40" w:after="40" w:line="210" w:lineRule="exact"/>
              <w:ind w:right="43"/>
              <w:jc w:val="right"/>
              <w:rPr>
                <w:sz w:val="17"/>
                <w:lang w:val="fr-FR"/>
              </w:rPr>
            </w:pPr>
          </w:p>
        </w:tc>
        <w:tc>
          <w:tcPr>
            <w:tcW w:w="1440" w:type="dxa"/>
            <w:tcBorders>
              <w:bottom w:val="single" w:sz="12" w:space="0" w:color="auto"/>
            </w:tcBorders>
            <w:shd w:val="clear" w:color="auto" w:fill="auto"/>
            <w:vAlign w:val="bottom"/>
          </w:tcPr>
          <w:p w:rsidR="009704E7" w:rsidRPr="009704E7" w:rsidRDefault="00255149" w:rsidP="009704E7">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60,4</w:t>
            </w:r>
          </w:p>
        </w:tc>
        <w:tc>
          <w:tcPr>
            <w:tcW w:w="1530" w:type="dxa"/>
            <w:tcBorders>
              <w:bottom w:val="single" w:sz="12" w:space="0" w:color="auto"/>
            </w:tcBorders>
            <w:shd w:val="clear" w:color="auto" w:fill="auto"/>
            <w:vAlign w:val="bottom"/>
          </w:tcPr>
          <w:p w:rsidR="009704E7" w:rsidRPr="009704E7" w:rsidRDefault="00255149" w:rsidP="009704E7">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46</w:t>
            </w:r>
          </w:p>
        </w:tc>
      </w:tr>
    </w:tbl>
    <w:p w:rsidR="009704E7" w:rsidRPr="00255149" w:rsidRDefault="00255149" w:rsidP="0012256D">
      <w:pPr>
        <w:pStyle w:val="SingleTxt"/>
        <w:rPr>
          <w:color w:val="000000"/>
          <w:sz w:val="17"/>
          <w:szCs w:val="17"/>
          <w:lang w:val="fr-FR"/>
        </w:rPr>
      </w:pPr>
      <w:r w:rsidRPr="00255149">
        <w:rPr>
          <w:i/>
          <w:color w:val="000000"/>
          <w:sz w:val="17"/>
          <w:szCs w:val="17"/>
          <w:lang w:val="fr-FR"/>
        </w:rPr>
        <w:t>Source</w:t>
      </w:r>
      <w:r w:rsidRPr="00255149">
        <w:rPr>
          <w:color w:val="000000"/>
          <w:sz w:val="17"/>
          <w:szCs w:val="17"/>
          <w:lang w:val="fr-FR"/>
        </w:rPr>
        <w:t xml:space="preserve"> : NBS : NLSS 2004</w:t>
      </w:r>
      <w:r w:rsidR="000A3D87">
        <w:rPr>
          <w:color w:val="000000"/>
          <w:sz w:val="17"/>
          <w:szCs w:val="17"/>
          <w:lang w:val="fr-FR"/>
        </w:rPr>
        <w:t>;</w:t>
      </w:r>
      <w:r w:rsidRPr="00255149">
        <w:rPr>
          <w:color w:val="000000"/>
          <w:sz w:val="17"/>
          <w:szCs w:val="17"/>
          <w:lang w:val="fr-FR"/>
        </w:rPr>
        <w:t xml:space="preserve"> CWIQ. 2006</w:t>
      </w:r>
    </w:p>
    <w:p w:rsidR="00E15507" w:rsidRPr="005D6CD4" w:rsidRDefault="00E15507" w:rsidP="0012256D">
      <w:pPr>
        <w:pStyle w:val="SingleTxt"/>
        <w:rPr>
          <w:lang w:val="fr-FR"/>
        </w:rPr>
      </w:pPr>
      <w:r w:rsidRPr="005D6CD4">
        <w:rPr>
          <w:b/>
          <w:bCs/>
          <w:lang w:val="fr-FR"/>
        </w:rPr>
        <w:t>10.3.2</w:t>
      </w:r>
      <w:r w:rsidRPr="005D6CD4">
        <w:rPr>
          <w:lang w:val="fr-FR"/>
        </w:rPr>
        <w:t xml:space="preserve"> Comme le montre le </w:t>
      </w:r>
      <w:r>
        <w:rPr>
          <w:lang w:val="fr-FR"/>
        </w:rPr>
        <w:t>Tableau</w:t>
      </w:r>
      <w:r w:rsidRPr="005D6CD4">
        <w:rPr>
          <w:lang w:val="fr-FR"/>
        </w:rPr>
        <w:t xml:space="preserve"> 10.1, contrairement aux données des années précédentes, les effectifs du primaire entre 2004 et 2006 chez les fille</w:t>
      </w:r>
      <w:r>
        <w:rPr>
          <w:lang w:val="fr-FR"/>
        </w:rPr>
        <w:t>tte</w:t>
      </w:r>
      <w:r w:rsidRPr="005D6CD4">
        <w:rPr>
          <w:lang w:val="fr-FR"/>
        </w:rPr>
        <w:t xml:space="preserve">s </w:t>
      </w:r>
      <w:r>
        <w:rPr>
          <w:lang w:val="fr-FR"/>
        </w:rPr>
        <w:t xml:space="preserve">accusent </w:t>
      </w:r>
      <w:r w:rsidRPr="005D6CD4">
        <w:rPr>
          <w:lang w:val="fr-FR"/>
        </w:rPr>
        <w:t>une tendance à la baisse passant de 80</w:t>
      </w:r>
      <w:r>
        <w:rPr>
          <w:lang w:val="fr-FR"/>
        </w:rPr>
        <w:t> </w:t>
      </w:r>
      <w:r w:rsidRPr="005D6CD4">
        <w:rPr>
          <w:lang w:val="fr-FR"/>
        </w:rPr>
        <w:t>% à 60,4</w:t>
      </w:r>
      <w:r>
        <w:rPr>
          <w:lang w:val="fr-FR"/>
        </w:rPr>
        <w:t> </w:t>
      </w:r>
      <w:r w:rsidRPr="005D6CD4">
        <w:rPr>
          <w:lang w:val="fr-FR"/>
        </w:rPr>
        <w:t>% du total des filles en âge d</w:t>
      </w:r>
      <w:r w:rsidR="000A3D87">
        <w:rPr>
          <w:lang w:val="fr-FR"/>
        </w:rPr>
        <w:t>’</w:t>
      </w:r>
      <w:r w:rsidRPr="005D6CD4">
        <w:rPr>
          <w:lang w:val="fr-FR"/>
        </w:rPr>
        <w:t>aller à l</w:t>
      </w:r>
      <w:r w:rsidR="000A3D87">
        <w:rPr>
          <w:lang w:val="fr-FR"/>
        </w:rPr>
        <w:t>’</w:t>
      </w:r>
      <w:r w:rsidRPr="005D6CD4">
        <w:rPr>
          <w:lang w:val="fr-FR"/>
        </w:rPr>
        <w:t>école. Une tendance similaire à celle des garçons qui a reculé de 80</w:t>
      </w:r>
      <w:r>
        <w:rPr>
          <w:lang w:val="fr-FR"/>
        </w:rPr>
        <w:t> </w:t>
      </w:r>
      <w:r w:rsidRPr="005D6CD4">
        <w:rPr>
          <w:lang w:val="fr-FR"/>
        </w:rPr>
        <w:t>% à 64</w:t>
      </w:r>
      <w:r>
        <w:rPr>
          <w:lang w:val="fr-FR"/>
        </w:rPr>
        <w:t> </w:t>
      </w:r>
      <w:r w:rsidRPr="005D6CD4">
        <w:rPr>
          <w:lang w:val="fr-FR"/>
        </w:rPr>
        <w:t>% au cours de la même période. La même tendance a été observée au niveau du secondaire, avec une baisse du taux de scolarisation en 2004 de 83,4</w:t>
      </w:r>
      <w:r>
        <w:rPr>
          <w:lang w:val="fr-FR"/>
        </w:rPr>
        <w:t> </w:t>
      </w:r>
      <w:r w:rsidRPr="005D6CD4">
        <w:rPr>
          <w:lang w:val="fr-FR"/>
        </w:rPr>
        <w:t>% à 46</w:t>
      </w:r>
      <w:r>
        <w:rPr>
          <w:lang w:val="fr-FR"/>
        </w:rPr>
        <w:t> </w:t>
      </w:r>
      <w:r w:rsidRPr="005D6CD4">
        <w:rPr>
          <w:lang w:val="fr-FR"/>
        </w:rPr>
        <w:t>% chez les élèves de sexe féminin</w:t>
      </w:r>
      <w:r>
        <w:rPr>
          <w:lang w:val="fr-FR"/>
        </w:rPr>
        <w:t>.</w:t>
      </w:r>
    </w:p>
    <w:p w:rsidR="00E15507" w:rsidRPr="005D6CD4" w:rsidRDefault="00255149" w:rsidP="0012256D">
      <w:pPr>
        <w:pStyle w:val="SingleTxt"/>
        <w:rPr>
          <w:lang w:val="fr-FR"/>
        </w:rPr>
      </w:pPr>
      <w:r>
        <w:rPr>
          <w:lang w:val="fr-FR"/>
        </w:rPr>
        <w:tab/>
      </w:r>
      <w:r w:rsidR="00E15507" w:rsidRPr="005D6CD4">
        <w:rPr>
          <w:lang w:val="fr-FR"/>
        </w:rPr>
        <w:t>En termes de ratio d</w:t>
      </w:r>
      <w:r w:rsidR="000A3D87">
        <w:rPr>
          <w:lang w:val="fr-FR"/>
        </w:rPr>
        <w:t>’</w:t>
      </w:r>
      <w:r w:rsidR="00E15507" w:rsidRPr="005D6CD4">
        <w:rPr>
          <w:lang w:val="fr-FR"/>
        </w:rPr>
        <w:t xml:space="preserve">inscrits filles/garçons au niveau du primaire, une hausse marginale a été notée en 2004 par rapport au chiffre de 2004. Néanmoins, ce chiffre a légèrement baissé en 2005. </w:t>
      </w:r>
    </w:p>
    <w:p w:rsidR="00255149" w:rsidRPr="00255149" w:rsidRDefault="00255149" w:rsidP="00255149">
      <w:pPr>
        <w:pStyle w:val="SingleTxt"/>
        <w:jc w:val="left"/>
        <w:rPr>
          <w:b/>
          <w:bCs/>
          <w:lang w:val="fr-FR"/>
        </w:rPr>
      </w:pPr>
      <w:r>
        <w:rPr>
          <w:b/>
          <w:bCs/>
          <w:lang w:val="fr-FR"/>
        </w:rPr>
        <w:br w:type="page"/>
      </w:r>
      <w:r w:rsidRPr="00255149">
        <w:rPr>
          <w:bCs/>
          <w:lang w:val="fr-FR"/>
        </w:rPr>
        <w:t>Tableau 10.4</w:t>
      </w:r>
      <w:r>
        <w:rPr>
          <w:b/>
          <w:bCs/>
          <w:lang w:val="fr-FR"/>
        </w:rPr>
        <w:br/>
      </w:r>
      <w:r w:rsidRPr="00255149">
        <w:rPr>
          <w:b/>
          <w:bCs/>
          <w:lang w:val="fr-FR"/>
        </w:rPr>
        <w:t>Effectifs de l</w:t>
      </w:r>
      <w:r w:rsidR="000A3D87">
        <w:rPr>
          <w:b/>
          <w:bCs/>
          <w:lang w:val="fr-FR"/>
        </w:rPr>
        <w:t>’</w:t>
      </w:r>
      <w:r w:rsidRPr="00255149">
        <w:rPr>
          <w:b/>
          <w:bCs/>
          <w:lang w:val="fr-FR"/>
        </w:rPr>
        <w:t>enseignement primaire</w:t>
      </w:r>
    </w:p>
    <w:p w:rsidR="00255149" w:rsidRPr="00255149" w:rsidRDefault="00255149" w:rsidP="00255149">
      <w:pPr>
        <w:pStyle w:val="SingleTxt"/>
        <w:spacing w:after="0" w:line="120" w:lineRule="exact"/>
        <w:rPr>
          <w:b/>
          <w:bCs/>
          <w:sz w:val="10"/>
          <w:lang w:val="fr-FR"/>
        </w:rPr>
      </w:pPr>
    </w:p>
    <w:tbl>
      <w:tblPr>
        <w:tblW w:w="0" w:type="auto"/>
        <w:tblInd w:w="1260" w:type="dxa"/>
        <w:tblLayout w:type="fixed"/>
        <w:tblCellMar>
          <w:left w:w="0" w:type="dxa"/>
          <w:right w:w="0" w:type="dxa"/>
        </w:tblCellMar>
        <w:tblLook w:val="0000"/>
      </w:tblPr>
      <w:tblGrid>
        <w:gridCol w:w="1830"/>
        <w:gridCol w:w="1830"/>
        <w:gridCol w:w="1830"/>
        <w:gridCol w:w="1830"/>
      </w:tblGrid>
      <w:tr w:rsidR="00255149" w:rsidRPr="00255149">
        <w:tblPrEx>
          <w:tblCellMar>
            <w:top w:w="0" w:type="dxa"/>
            <w:bottom w:w="0" w:type="dxa"/>
          </w:tblCellMar>
        </w:tblPrEx>
        <w:trPr>
          <w:tblHeader/>
        </w:trPr>
        <w:tc>
          <w:tcPr>
            <w:tcW w:w="1830" w:type="dxa"/>
            <w:tcBorders>
              <w:top w:val="single" w:sz="4" w:space="0" w:color="auto"/>
              <w:bottom w:val="single" w:sz="12" w:space="0" w:color="auto"/>
            </w:tcBorders>
            <w:shd w:val="clear" w:color="auto" w:fill="auto"/>
          </w:tcPr>
          <w:p w:rsidR="00255149" w:rsidRPr="00255149" w:rsidRDefault="00255149" w:rsidP="00255149">
            <w:pPr>
              <w:spacing w:before="80" w:after="80" w:line="160" w:lineRule="exact"/>
              <w:ind w:right="43"/>
              <w:rPr>
                <w:i/>
                <w:sz w:val="14"/>
                <w:szCs w:val="14"/>
                <w:lang w:val="fr-FR"/>
              </w:rPr>
            </w:pPr>
            <w:r w:rsidRPr="00255149">
              <w:rPr>
                <w:i/>
                <w:sz w:val="14"/>
                <w:szCs w:val="14"/>
                <w:lang w:val="fr-FR"/>
              </w:rPr>
              <w:t>Sexe</w:t>
            </w:r>
          </w:p>
        </w:tc>
        <w:tc>
          <w:tcPr>
            <w:tcW w:w="1830" w:type="dxa"/>
            <w:tcBorders>
              <w:top w:val="single" w:sz="4" w:space="0" w:color="auto"/>
              <w:bottom w:val="single" w:sz="12" w:space="0" w:color="auto"/>
            </w:tcBorders>
            <w:shd w:val="clear" w:color="auto" w:fill="auto"/>
          </w:tcPr>
          <w:p w:rsidR="00255149" w:rsidRPr="00255149" w:rsidRDefault="00255149" w:rsidP="00255149">
            <w:pPr>
              <w:spacing w:before="80" w:after="80" w:line="160" w:lineRule="exact"/>
              <w:ind w:right="43"/>
              <w:rPr>
                <w:i/>
                <w:sz w:val="14"/>
                <w:szCs w:val="14"/>
                <w:lang w:val="fr-FR"/>
              </w:rPr>
            </w:pPr>
            <w:r w:rsidRPr="00255149">
              <w:rPr>
                <w:i/>
                <w:sz w:val="14"/>
                <w:szCs w:val="14"/>
                <w:lang w:val="fr-FR"/>
              </w:rPr>
              <w:t>2003</w:t>
            </w:r>
          </w:p>
        </w:tc>
        <w:tc>
          <w:tcPr>
            <w:tcW w:w="1830" w:type="dxa"/>
            <w:tcBorders>
              <w:top w:val="single" w:sz="4" w:space="0" w:color="auto"/>
              <w:bottom w:val="single" w:sz="12" w:space="0" w:color="auto"/>
            </w:tcBorders>
            <w:shd w:val="clear" w:color="auto" w:fill="auto"/>
          </w:tcPr>
          <w:p w:rsidR="00255149" w:rsidRPr="00255149" w:rsidRDefault="00255149" w:rsidP="00255149">
            <w:pPr>
              <w:spacing w:before="80" w:after="80" w:line="160" w:lineRule="exact"/>
              <w:ind w:right="43"/>
              <w:rPr>
                <w:i/>
                <w:sz w:val="14"/>
                <w:szCs w:val="14"/>
                <w:lang w:val="fr-FR"/>
              </w:rPr>
            </w:pPr>
            <w:r w:rsidRPr="00255149">
              <w:rPr>
                <w:i/>
                <w:sz w:val="14"/>
                <w:szCs w:val="14"/>
                <w:lang w:val="fr-FR"/>
              </w:rPr>
              <w:t>2004</w:t>
            </w:r>
          </w:p>
        </w:tc>
        <w:tc>
          <w:tcPr>
            <w:tcW w:w="1830" w:type="dxa"/>
            <w:tcBorders>
              <w:top w:val="single" w:sz="4" w:space="0" w:color="auto"/>
              <w:bottom w:val="single" w:sz="12" w:space="0" w:color="auto"/>
            </w:tcBorders>
            <w:shd w:val="clear" w:color="auto" w:fill="auto"/>
          </w:tcPr>
          <w:p w:rsidR="00255149" w:rsidRPr="00255149" w:rsidRDefault="00255149" w:rsidP="00255149">
            <w:pPr>
              <w:spacing w:before="80" w:after="80" w:line="160" w:lineRule="exact"/>
              <w:ind w:right="43"/>
              <w:rPr>
                <w:i/>
                <w:sz w:val="14"/>
                <w:szCs w:val="14"/>
                <w:lang w:val="fr-FR"/>
              </w:rPr>
            </w:pPr>
            <w:r w:rsidRPr="00255149">
              <w:rPr>
                <w:i/>
                <w:sz w:val="14"/>
                <w:szCs w:val="14"/>
                <w:lang w:val="fr-FR"/>
              </w:rPr>
              <w:t>2005</w:t>
            </w:r>
          </w:p>
        </w:tc>
      </w:tr>
      <w:tr w:rsidR="00255149" w:rsidRPr="00255149">
        <w:tblPrEx>
          <w:tblCellMar>
            <w:top w:w="0" w:type="dxa"/>
            <w:bottom w:w="0" w:type="dxa"/>
          </w:tblCellMar>
        </w:tblPrEx>
        <w:trPr>
          <w:trHeight w:hRule="exact" w:val="115"/>
          <w:tblHeader/>
        </w:trPr>
        <w:tc>
          <w:tcPr>
            <w:tcW w:w="1830" w:type="dxa"/>
            <w:tcBorders>
              <w:top w:val="single" w:sz="12" w:space="0" w:color="auto"/>
            </w:tcBorders>
            <w:shd w:val="clear" w:color="auto" w:fill="auto"/>
            <w:vAlign w:val="bottom"/>
          </w:tcPr>
          <w:p w:rsidR="00255149" w:rsidRPr="00255149" w:rsidRDefault="00255149" w:rsidP="00255149">
            <w:pPr>
              <w:tabs>
                <w:tab w:val="left" w:pos="288"/>
                <w:tab w:val="left" w:pos="576"/>
                <w:tab w:val="left" w:pos="864"/>
                <w:tab w:val="left" w:pos="1152"/>
              </w:tabs>
              <w:suppressAutoHyphens/>
              <w:spacing w:before="40" w:after="40" w:line="210" w:lineRule="exact"/>
              <w:ind w:right="43"/>
              <w:rPr>
                <w:sz w:val="17"/>
                <w:lang w:val="fr-FR"/>
              </w:rPr>
            </w:pPr>
          </w:p>
        </w:tc>
        <w:tc>
          <w:tcPr>
            <w:tcW w:w="1830" w:type="dxa"/>
            <w:tcBorders>
              <w:top w:val="single" w:sz="12" w:space="0" w:color="auto"/>
            </w:tcBorders>
            <w:shd w:val="clear" w:color="auto" w:fill="auto"/>
            <w:vAlign w:val="bottom"/>
          </w:tcPr>
          <w:p w:rsidR="00255149" w:rsidRPr="00255149" w:rsidRDefault="00255149" w:rsidP="00255149">
            <w:pPr>
              <w:tabs>
                <w:tab w:val="left" w:pos="288"/>
                <w:tab w:val="left" w:pos="576"/>
                <w:tab w:val="left" w:pos="864"/>
                <w:tab w:val="left" w:pos="1152"/>
              </w:tabs>
              <w:suppressAutoHyphens/>
              <w:spacing w:before="40" w:after="40" w:line="210" w:lineRule="exact"/>
              <w:ind w:right="43"/>
              <w:jc w:val="right"/>
              <w:rPr>
                <w:sz w:val="17"/>
                <w:lang w:val="fr-FR"/>
              </w:rPr>
            </w:pPr>
          </w:p>
        </w:tc>
        <w:tc>
          <w:tcPr>
            <w:tcW w:w="1830" w:type="dxa"/>
            <w:tcBorders>
              <w:top w:val="single" w:sz="12" w:space="0" w:color="auto"/>
            </w:tcBorders>
            <w:shd w:val="clear" w:color="auto" w:fill="auto"/>
            <w:vAlign w:val="bottom"/>
          </w:tcPr>
          <w:p w:rsidR="00255149" w:rsidRPr="00255149" w:rsidRDefault="00255149" w:rsidP="00255149">
            <w:pPr>
              <w:tabs>
                <w:tab w:val="left" w:pos="288"/>
                <w:tab w:val="left" w:pos="576"/>
                <w:tab w:val="left" w:pos="864"/>
                <w:tab w:val="left" w:pos="1152"/>
              </w:tabs>
              <w:suppressAutoHyphens/>
              <w:spacing w:before="40" w:after="40" w:line="210" w:lineRule="exact"/>
              <w:ind w:right="43"/>
              <w:jc w:val="right"/>
              <w:rPr>
                <w:sz w:val="17"/>
                <w:lang w:val="fr-FR"/>
              </w:rPr>
            </w:pPr>
          </w:p>
        </w:tc>
        <w:tc>
          <w:tcPr>
            <w:tcW w:w="1830" w:type="dxa"/>
            <w:tcBorders>
              <w:top w:val="single" w:sz="12" w:space="0" w:color="auto"/>
            </w:tcBorders>
            <w:shd w:val="clear" w:color="auto" w:fill="auto"/>
            <w:vAlign w:val="bottom"/>
          </w:tcPr>
          <w:p w:rsidR="00255149" w:rsidRPr="00255149" w:rsidRDefault="00255149" w:rsidP="00255149">
            <w:pPr>
              <w:tabs>
                <w:tab w:val="left" w:pos="288"/>
                <w:tab w:val="left" w:pos="576"/>
                <w:tab w:val="left" w:pos="864"/>
                <w:tab w:val="left" w:pos="1152"/>
              </w:tabs>
              <w:suppressAutoHyphens/>
              <w:spacing w:before="40" w:after="40" w:line="210" w:lineRule="exact"/>
              <w:ind w:right="43"/>
              <w:jc w:val="right"/>
              <w:rPr>
                <w:sz w:val="17"/>
                <w:lang w:val="fr-FR"/>
              </w:rPr>
            </w:pPr>
          </w:p>
        </w:tc>
      </w:tr>
      <w:tr w:rsidR="00255149" w:rsidRPr="00255149">
        <w:tblPrEx>
          <w:tblCellMar>
            <w:top w:w="0" w:type="dxa"/>
            <w:bottom w:w="0" w:type="dxa"/>
          </w:tblCellMar>
        </w:tblPrEx>
        <w:tc>
          <w:tcPr>
            <w:tcW w:w="1830" w:type="dxa"/>
            <w:shd w:val="clear" w:color="auto" w:fill="auto"/>
          </w:tcPr>
          <w:p w:rsidR="00255149" w:rsidRPr="00255149" w:rsidRDefault="00255149" w:rsidP="0027746F">
            <w:pPr>
              <w:spacing w:before="40" w:after="40" w:line="210" w:lineRule="exact"/>
              <w:ind w:right="43"/>
              <w:rPr>
                <w:b/>
                <w:bCs/>
                <w:sz w:val="17"/>
                <w:szCs w:val="17"/>
                <w:lang w:val="fr-FR"/>
              </w:rPr>
            </w:pPr>
            <w:r w:rsidRPr="00255149">
              <w:rPr>
                <w:b/>
                <w:bCs/>
                <w:sz w:val="17"/>
                <w:szCs w:val="17"/>
                <w:lang w:val="fr-FR"/>
              </w:rPr>
              <w:t xml:space="preserve">Filles </w:t>
            </w:r>
          </w:p>
        </w:tc>
        <w:tc>
          <w:tcPr>
            <w:tcW w:w="1830" w:type="dxa"/>
            <w:shd w:val="clear" w:color="auto" w:fill="auto"/>
          </w:tcPr>
          <w:p w:rsidR="00255149" w:rsidRPr="00255149" w:rsidRDefault="00255149" w:rsidP="0027746F">
            <w:pPr>
              <w:spacing w:before="40" w:after="40" w:line="210" w:lineRule="exact"/>
              <w:ind w:right="43"/>
              <w:rPr>
                <w:sz w:val="17"/>
                <w:szCs w:val="17"/>
                <w:lang w:val="fr-FR"/>
              </w:rPr>
            </w:pPr>
            <w:r w:rsidRPr="00255149">
              <w:rPr>
                <w:sz w:val="17"/>
                <w:szCs w:val="17"/>
                <w:lang w:val="fr-FR"/>
              </w:rPr>
              <w:t>56 %</w:t>
            </w:r>
          </w:p>
        </w:tc>
        <w:tc>
          <w:tcPr>
            <w:tcW w:w="1830" w:type="dxa"/>
            <w:shd w:val="clear" w:color="auto" w:fill="auto"/>
          </w:tcPr>
          <w:p w:rsidR="00255149" w:rsidRPr="00255149" w:rsidRDefault="00255149" w:rsidP="0027746F">
            <w:pPr>
              <w:spacing w:before="40" w:after="40" w:line="210" w:lineRule="exact"/>
              <w:ind w:right="43"/>
              <w:rPr>
                <w:sz w:val="17"/>
                <w:szCs w:val="17"/>
                <w:lang w:val="fr-FR"/>
              </w:rPr>
            </w:pPr>
            <w:r w:rsidRPr="00255149">
              <w:rPr>
                <w:sz w:val="17"/>
                <w:szCs w:val="17"/>
                <w:lang w:val="fr-FR"/>
              </w:rPr>
              <w:t>55,02 %</w:t>
            </w:r>
          </w:p>
        </w:tc>
        <w:tc>
          <w:tcPr>
            <w:tcW w:w="1830" w:type="dxa"/>
            <w:shd w:val="clear" w:color="auto" w:fill="auto"/>
          </w:tcPr>
          <w:p w:rsidR="00255149" w:rsidRPr="00255149" w:rsidRDefault="00255149" w:rsidP="0027746F">
            <w:pPr>
              <w:spacing w:before="40" w:after="40" w:line="210" w:lineRule="exact"/>
              <w:ind w:right="43"/>
              <w:rPr>
                <w:sz w:val="17"/>
                <w:szCs w:val="17"/>
                <w:lang w:val="fr-FR"/>
              </w:rPr>
            </w:pPr>
            <w:r w:rsidRPr="00255149">
              <w:rPr>
                <w:sz w:val="17"/>
                <w:szCs w:val="17"/>
                <w:lang w:val="fr-FR"/>
              </w:rPr>
              <w:t>55,12</w:t>
            </w:r>
          </w:p>
        </w:tc>
      </w:tr>
      <w:tr w:rsidR="00255149" w:rsidRPr="00255149">
        <w:tblPrEx>
          <w:tblCellMar>
            <w:top w:w="0" w:type="dxa"/>
            <w:bottom w:w="0" w:type="dxa"/>
          </w:tblCellMar>
        </w:tblPrEx>
        <w:tc>
          <w:tcPr>
            <w:tcW w:w="1830" w:type="dxa"/>
            <w:tcBorders>
              <w:bottom w:val="single" w:sz="12" w:space="0" w:color="auto"/>
            </w:tcBorders>
            <w:shd w:val="clear" w:color="auto" w:fill="auto"/>
          </w:tcPr>
          <w:p w:rsidR="00255149" w:rsidRPr="00255149" w:rsidRDefault="00255149" w:rsidP="0027746F">
            <w:pPr>
              <w:spacing w:before="40" w:after="40" w:line="210" w:lineRule="exact"/>
              <w:ind w:right="43"/>
              <w:rPr>
                <w:b/>
                <w:bCs/>
                <w:sz w:val="17"/>
                <w:szCs w:val="17"/>
                <w:lang w:val="fr-FR"/>
              </w:rPr>
            </w:pPr>
            <w:r w:rsidRPr="00255149">
              <w:rPr>
                <w:b/>
                <w:bCs/>
                <w:sz w:val="17"/>
                <w:szCs w:val="17"/>
                <w:lang w:val="fr-FR"/>
              </w:rPr>
              <w:t>Garçons</w:t>
            </w:r>
          </w:p>
        </w:tc>
        <w:tc>
          <w:tcPr>
            <w:tcW w:w="1830" w:type="dxa"/>
            <w:tcBorders>
              <w:bottom w:val="single" w:sz="12" w:space="0" w:color="auto"/>
            </w:tcBorders>
            <w:shd w:val="clear" w:color="auto" w:fill="auto"/>
          </w:tcPr>
          <w:p w:rsidR="00255149" w:rsidRPr="00255149" w:rsidRDefault="00255149" w:rsidP="0027746F">
            <w:pPr>
              <w:spacing w:before="40" w:after="40" w:line="210" w:lineRule="exact"/>
              <w:ind w:right="43"/>
              <w:rPr>
                <w:sz w:val="17"/>
                <w:szCs w:val="17"/>
                <w:lang w:val="fr-FR"/>
              </w:rPr>
            </w:pPr>
            <w:r w:rsidRPr="00255149">
              <w:rPr>
                <w:sz w:val="17"/>
                <w:szCs w:val="17"/>
                <w:lang w:val="fr-FR"/>
              </w:rPr>
              <w:t>44 %</w:t>
            </w:r>
          </w:p>
        </w:tc>
        <w:tc>
          <w:tcPr>
            <w:tcW w:w="1830" w:type="dxa"/>
            <w:tcBorders>
              <w:bottom w:val="single" w:sz="12" w:space="0" w:color="auto"/>
            </w:tcBorders>
            <w:shd w:val="clear" w:color="auto" w:fill="auto"/>
          </w:tcPr>
          <w:p w:rsidR="00255149" w:rsidRPr="00255149" w:rsidRDefault="00255149" w:rsidP="0027746F">
            <w:pPr>
              <w:spacing w:before="40" w:after="40" w:line="210" w:lineRule="exact"/>
              <w:ind w:right="43"/>
              <w:rPr>
                <w:sz w:val="17"/>
                <w:szCs w:val="17"/>
                <w:lang w:val="fr-FR"/>
              </w:rPr>
            </w:pPr>
            <w:r w:rsidRPr="00255149">
              <w:rPr>
                <w:sz w:val="17"/>
                <w:szCs w:val="17"/>
                <w:lang w:val="fr-FR"/>
              </w:rPr>
              <w:t>44,89 %</w:t>
            </w:r>
          </w:p>
        </w:tc>
        <w:tc>
          <w:tcPr>
            <w:tcW w:w="1830" w:type="dxa"/>
            <w:tcBorders>
              <w:bottom w:val="single" w:sz="12" w:space="0" w:color="auto"/>
            </w:tcBorders>
            <w:shd w:val="clear" w:color="auto" w:fill="auto"/>
          </w:tcPr>
          <w:p w:rsidR="00255149" w:rsidRPr="00255149" w:rsidRDefault="00255149" w:rsidP="0027746F">
            <w:pPr>
              <w:spacing w:before="40" w:after="40" w:line="210" w:lineRule="exact"/>
              <w:ind w:right="43"/>
              <w:rPr>
                <w:sz w:val="17"/>
                <w:szCs w:val="17"/>
                <w:lang w:val="fr-FR"/>
              </w:rPr>
            </w:pPr>
            <w:r w:rsidRPr="00255149">
              <w:rPr>
                <w:sz w:val="17"/>
                <w:szCs w:val="17"/>
                <w:lang w:val="fr-FR"/>
              </w:rPr>
              <w:t>44,88</w:t>
            </w:r>
          </w:p>
        </w:tc>
      </w:tr>
    </w:tbl>
    <w:p w:rsidR="0027746F" w:rsidRPr="0027746F" w:rsidRDefault="0027746F" w:rsidP="0027746F">
      <w:pPr>
        <w:pStyle w:val="SingleTxt"/>
        <w:spacing w:after="0" w:line="120" w:lineRule="exact"/>
        <w:rPr>
          <w:i/>
          <w:sz w:val="10"/>
          <w:szCs w:val="17"/>
          <w:lang w:val="fr-FR"/>
        </w:rPr>
      </w:pPr>
    </w:p>
    <w:p w:rsidR="00255149" w:rsidRPr="0027746F" w:rsidRDefault="0027746F" w:rsidP="0012256D">
      <w:pPr>
        <w:pStyle w:val="SingleTxt"/>
        <w:rPr>
          <w:bCs/>
          <w:sz w:val="17"/>
          <w:szCs w:val="17"/>
          <w:lang w:val="fr-FR"/>
        </w:rPr>
      </w:pPr>
      <w:r w:rsidRPr="0027746F">
        <w:rPr>
          <w:i/>
          <w:sz w:val="17"/>
          <w:szCs w:val="17"/>
          <w:lang w:val="fr-FR"/>
        </w:rPr>
        <w:t xml:space="preserve">Source : </w:t>
      </w:r>
      <w:r w:rsidRPr="0027746F">
        <w:rPr>
          <w:sz w:val="17"/>
          <w:szCs w:val="17"/>
          <w:lang w:val="fr-FR"/>
        </w:rPr>
        <w:t>Banque de données de l</w:t>
      </w:r>
      <w:r w:rsidR="000A3D87">
        <w:rPr>
          <w:sz w:val="17"/>
          <w:szCs w:val="17"/>
          <w:lang w:val="fr-FR"/>
        </w:rPr>
        <w:t>’</w:t>
      </w:r>
      <w:r w:rsidRPr="0027746F">
        <w:rPr>
          <w:sz w:val="17"/>
          <w:szCs w:val="17"/>
          <w:lang w:val="fr-FR"/>
        </w:rPr>
        <w:t>éducation 2005</w:t>
      </w:r>
    </w:p>
    <w:p w:rsidR="00E15507" w:rsidRPr="005D6CD4" w:rsidRDefault="00E15507" w:rsidP="0012256D">
      <w:pPr>
        <w:pStyle w:val="SingleTxt"/>
        <w:rPr>
          <w:lang w:val="fr-FR"/>
        </w:rPr>
      </w:pPr>
      <w:r w:rsidRPr="005D6CD4">
        <w:rPr>
          <w:b/>
          <w:bCs/>
          <w:lang w:val="fr-FR"/>
        </w:rPr>
        <w:t>10.</w:t>
      </w:r>
      <w:r>
        <w:rPr>
          <w:b/>
          <w:bCs/>
          <w:lang w:val="fr-FR"/>
        </w:rPr>
        <w:t>3</w:t>
      </w:r>
      <w:r w:rsidRPr="005D6CD4">
        <w:rPr>
          <w:b/>
          <w:bCs/>
          <w:lang w:val="fr-FR"/>
        </w:rPr>
        <w:t>.3</w:t>
      </w:r>
      <w:r w:rsidRPr="005D6CD4">
        <w:rPr>
          <w:lang w:val="fr-FR"/>
        </w:rPr>
        <w:t xml:space="preserve"> On note également d</w:t>
      </w:r>
      <w:r w:rsidR="000A3D87">
        <w:rPr>
          <w:lang w:val="fr-FR"/>
        </w:rPr>
        <w:t>’</w:t>
      </w:r>
      <w:r w:rsidRPr="005D6CD4">
        <w:rPr>
          <w:lang w:val="fr-FR"/>
        </w:rPr>
        <w:t>énormes disparités dans les ratios d</w:t>
      </w:r>
      <w:r w:rsidR="000A3D87">
        <w:rPr>
          <w:lang w:val="fr-FR"/>
        </w:rPr>
        <w:t>’</w:t>
      </w:r>
      <w:r w:rsidRPr="005D6CD4">
        <w:rPr>
          <w:lang w:val="fr-FR"/>
        </w:rPr>
        <w:t>inscrits et de fréquentation à l</w:t>
      </w:r>
      <w:r w:rsidR="000A3D87">
        <w:rPr>
          <w:lang w:val="fr-FR"/>
        </w:rPr>
        <w:t>’</w:t>
      </w:r>
      <w:r w:rsidRPr="005D6CD4">
        <w:rPr>
          <w:lang w:val="fr-FR"/>
        </w:rPr>
        <w:t>intérieur et en dehors des différentes zones géographiques. D</w:t>
      </w:r>
      <w:r w:rsidR="000A3D87">
        <w:rPr>
          <w:lang w:val="fr-FR"/>
        </w:rPr>
        <w:t>’</w:t>
      </w:r>
      <w:r w:rsidRPr="005D6CD4">
        <w:rPr>
          <w:lang w:val="fr-FR"/>
        </w:rPr>
        <w:t>après les conclusions de l</w:t>
      </w:r>
      <w:r w:rsidR="000A3D87">
        <w:rPr>
          <w:lang w:val="fr-FR"/>
        </w:rPr>
        <w:t>’</w:t>
      </w:r>
      <w:r w:rsidRPr="005D6CD4">
        <w:rPr>
          <w:lang w:val="fr-FR"/>
        </w:rPr>
        <w:t>Enquête sur les données géographiques du Nigéria, 2004</w:t>
      </w:r>
      <w:r w:rsidRPr="005D6CD4">
        <w:rPr>
          <w:b/>
          <w:lang w:val="fr-FR"/>
        </w:rPr>
        <w:t xml:space="preserve">, </w:t>
      </w:r>
      <w:r w:rsidRPr="005D6CD4">
        <w:rPr>
          <w:lang w:val="fr-FR"/>
        </w:rPr>
        <w:t xml:space="preserve">on </w:t>
      </w:r>
      <w:r>
        <w:rPr>
          <w:lang w:val="fr-FR"/>
        </w:rPr>
        <w:t>relève</w:t>
      </w:r>
      <w:r w:rsidRPr="005D6CD4">
        <w:rPr>
          <w:lang w:val="fr-FR"/>
        </w:rPr>
        <w:t xml:space="preserve"> des variations entre les taux bruts de scolarisation par sexe entre les différentes régions. Dans la zone Sud-ouest, </w:t>
      </w:r>
      <w:r>
        <w:rPr>
          <w:lang w:val="fr-FR"/>
        </w:rPr>
        <w:t xml:space="preserve">il y a </w:t>
      </w:r>
      <w:r w:rsidRPr="005D6CD4">
        <w:rPr>
          <w:lang w:val="fr-FR"/>
        </w:rPr>
        <w:t>un écart favorable aux filles (</w:t>
      </w:r>
      <w:r>
        <w:rPr>
          <w:lang w:val="fr-FR"/>
        </w:rPr>
        <w:t>indice de parité entre les sexes</w:t>
      </w:r>
      <w:r w:rsidR="00D17E6C">
        <w:rPr>
          <w:lang w:val="fr-FR"/>
        </w:rPr>
        <w:t xml:space="preserve"> – </w:t>
      </w:r>
      <w:r>
        <w:rPr>
          <w:lang w:val="fr-FR"/>
        </w:rPr>
        <w:t>IPS</w:t>
      </w:r>
      <w:r w:rsidRPr="005D6CD4">
        <w:rPr>
          <w:lang w:val="fr-FR"/>
        </w:rPr>
        <w:t xml:space="preserve"> de 1,09), tandis qu</w:t>
      </w:r>
      <w:r>
        <w:rPr>
          <w:lang w:val="fr-FR"/>
        </w:rPr>
        <w:t>e l</w:t>
      </w:r>
      <w:r w:rsidR="000A3D87">
        <w:rPr>
          <w:lang w:val="fr-FR"/>
        </w:rPr>
        <w:t>’</w:t>
      </w:r>
      <w:r>
        <w:rPr>
          <w:lang w:val="fr-FR"/>
        </w:rPr>
        <w:t xml:space="preserve">on observe </w:t>
      </w:r>
      <w:r w:rsidRPr="005D6CD4">
        <w:rPr>
          <w:lang w:val="fr-FR"/>
        </w:rPr>
        <w:t xml:space="preserve">une quasi parité dans la zone </w:t>
      </w:r>
      <w:r>
        <w:rPr>
          <w:lang w:val="fr-FR"/>
        </w:rPr>
        <w:t>du Centre-n</w:t>
      </w:r>
      <w:r w:rsidRPr="005D6CD4">
        <w:rPr>
          <w:lang w:val="fr-FR"/>
        </w:rPr>
        <w:t xml:space="preserve">ord  (un </w:t>
      </w:r>
      <w:r>
        <w:rPr>
          <w:lang w:val="fr-FR"/>
        </w:rPr>
        <w:t>IPS</w:t>
      </w:r>
      <w:r w:rsidRPr="005D6CD4">
        <w:rPr>
          <w:lang w:val="fr-FR"/>
        </w:rPr>
        <w:t xml:space="preserve"> de 1,01) et un écart faible entre les sexes dans les zones Sud-est et Sud-</w:t>
      </w:r>
      <w:r>
        <w:rPr>
          <w:lang w:val="fr-FR"/>
        </w:rPr>
        <w:t>s</w:t>
      </w:r>
      <w:r w:rsidRPr="005D6CD4">
        <w:rPr>
          <w:lang w:val="fr-FR"/>
        </w:rPr>
        <w:t xml:space="preserve">ud (avec des </w:t>
      </w:r>
      <w:r>
        <w:rPr>
          <w:lang w:val="fr-FR"/>
        </w:rPr>
        <w:t>IPS</w:t>
      </w:r>
      <w:r w:rsidRPr="005D6CD4">
        <w:rPr>
          <w:lang w:val="fr-FR"/>
        </w:rPr>
        <w:t xml:space="preserve"> de 0,92 et 0,91, respectivement). Dans les régions Nord-</w:t>
      </w:r>
      <w:r>
        <w:rPr>
          <w:lang w:val="fr-FR"/>
        </w:rPr>
        <w:t>o</w:t>
      </w:r>
      <w:r w:rsidRPr="005D6CD4">
        <w:rPr>
          <w:lang w:val="fr-FR"/>
        </w:rPr>
        <w:t>uest et Nord-est, on note un écart considérable entre les sexes favorable aux jeunes garçons (</w:t>
      </w:r>
      <w:r>
        <w:rPr>
          <w:lang w:val="fr-FR"/>
        </w:rPr>
        <w:t>IPS</w:t>
      </w:r>
      <w:r w:rsidRPr="005D6CD4">
        <w:rPr>
          <w:lang w:val="fr-FR"/>
        </w:rPr>
        <w:t xml:space="preserve"> de 0,63 et 0,74, respectivement). C</w:t>
      </w:r>
      <w:r w:rsidR="000A3D87">
        <w:rPr>
          <w:lang w:val="fr-FR"/>
        </w:rPr>
        <w:t>’</w:t>
      </w:r>
      <w:r w:rsidRPr="005D6CD4">
        <w:rPr>
          <w:lang w:val="fr-FR"/>
        </w:rPr>
        <w:t>est pourquoi les efforts d</w:t>
      </w:r>
      <w:r w:rsidR="000A3D87">
        <w:rPr>
          <w:lang w:val="fr-FR"/>
        </w:rPr>
        <w:t>’</w:t>
      </w:r>
      <w:r w:rsidRPr="005D6CD4">
        <w:rPr>
          <w:lang w:val="fr-FR"/>
        </w:rPr>
        <w:t xml:space="preserve">inversion de ces tendances négatives sont orientés vers les </w:t>
      </w:r>
      <w:r>
        <w:rPr>
          <w:lang w:val="fr-FR"/>
        </w:rPr>
        <w:t>É</w:t>
      </w:r>
      <w:r w:rsidRPr="005D6CD4">
        <w:rPr>
          <w:lang w:val="fr-FR"/>
        </w:rPr>
        <w:t xml:space="preserve">tats du Nord et quelques </w:t>
      </w:r>
      <w:r>
        <w:rPr>
          <w:lang w:val="fr-FR"/>
        </w:rPr>
        <w:t>É</w:t>
      </w:r>
      <w:r w:rsidRPr="005D6CD4">
        <w:rPr>
          <w:lang w:val="fr-FR"/>
        </w:rPr>
        <w:t>tats de l</w:t>
      </w:r>
      <w:r w:rsidR="000A3D87">
        <w:rPr>
          <w:lang w:val="fr-FR"/>
        </w:rPr>
        <w:t>’</w:t>
      </w:r>
      <w:r w:rsidRPr="005D6CD4">
        <w:rPr>
          <w:lang w:val="fr-FR"/>
        </w:rPr>
        <w:t>Est et de l</w:t>
      </w:r>
      <w:r w:rsidR="000A3D87">
        <w:rPr>
          <w:lang w:val="fr-FR"/>
        </w:rPr>
        <w:t>’</w:t>
      </w:r>
      <w:r w:rsidRPr="005D6CD4">
        <w:rPr>
          <w:lang w:val="fr-FR"/>
        </w:rPr>
        <w:t>Ouest du pays.</w:t>
      </w:r>
    </w:p>
    <w:p w:rsidR="0027746F" w:rsidRPr="0027746F" w:rsidRDefault="0027746F" w:rsidP="0027746F">
      <w:pPr>
        <w:pStyle w:val="SingleTxt"/>
        <w:spacing w:after="0" w:line="120" w:lineRule="exact"/>
        <w:rPr>
          <w:b/>
          <w:bCs/>
          <w:sz w:val="10"/>
          <w:lang w:val="fr-FR"/>
        </w:rPr>
      </w:pPr>
    </w:p>
    <w:p w:rsidR="00E15507" w:rsidRDefault="0027746F" w:rsidP="002774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E15507" w:rsidRPr="005D6CD4">
        <w:rPr>
          <w:lang w:val="fr-FR"/>
        </w:rPr>
        <w:t>10.</w:t>
      </w:r>
      <w:r w:rsidR="00E15507">
        <w:rPr>
          <w:lang w:val="fr-FR"/>
        </w:rPr>
        <w:t>4</w:t>
      </w:r>
      <w:r w:rsidR="00E15507" w:rsidRPr="005D6CD4">
        <w:rPr>
          <w:lang w:val="fr-FR"/>
        </w:rPr>
        <w:t xml:space="preserve"> </w:t>
      </w:r>
      <w:r>
        <w:rPr>
          <w:lang w:val="fr-FR"/>
        </w:rPr>
        <w:tab/>
      </w:r>
      <w:r w:rsidR="00E15507" w:rsidRPr="005D6CD4">
        <w:rPr>
          <w:lang w:val="fr-FR"/>
        </w:rPr>
        <w:t>Efforts de suppression des obstacles à l</w:t>
      </w:r>
      <w:r w:rsidR="000A3D87">
        <w:rPr>
          <w:lang w:val="fr-FR"/>
        </w:rPr>
        <w:t>’</w:t>
      </w:r>
      <w:r w:rsidR="00E15507" w:rsidRPr="005D6CD4">
        <w:rPr>
          <w:lang w:val="fr-FR"/>
        </w:rPr>
        <w:t>accès de</w:t>
      </w:r>
      <w:r w:rsidR="00E15507">
        <w:rPr>
          <w:lang w:val="fr-FR"/>
        </w:rPr>
        <w:t xml:space="preserve">s </w:t>
      </w:r>
      <w:r w:rsidR="00E15507" w:rsidRPr="005D6CD4">
        <w:rPr>
          <w:lang w:val="fr-FR"/>
        </w:rPr>
        <w:t>fille</w:t>
      </w:r>
      <w:r w:rsidR="00E15507">
        <w:rPr>
          <w:lang w:val="fr-FR"/>
        </w:rPr>
        <w:t>ttes</w:t>
      </w:r>
      <w:r w:rsidR="00E15507" w:rsidRPr="005D6CD4">
        <w:rPr>
          <w:lang w:val="fr-FR"/>
        </w:rPr>
        <w:t xml:space="preserve"> à l</w:t>
      </w:r>
      <w:r w:rsidR="000A3D87">
        <w:rPr>
          <w:lang w:val="fr-FR"/>
        </w:rPr>
        <w:t>’</w:t>
      </w:r>
      <w:r w:rsidR="00E15507" w:rsidRPr="005D6CD4">
        <w:rPr>
          <w:lang w:val="fr-FR"/>
        </w:rPr>
        <w:t>éducation</w:t>
      </w:r>
    </w:p>
    <w:p w:rsidR="0027746F" w:rsidRPr="0027746F" w:rsidRDefault="0027746F" w:rsidP="0027746F">
      <w:pPr>
        <w:pStyle w:val="SingleTxt"/>
        <w:spacing w:after="0" w:line="120" w:lineRule="exact"/>
        <w:rPr>
          <w:sz w:val="10"/>
          <w:lang w:val="fr-FR"/>
        </w:rPr>
      </w:pPr>
    </w:p>
    <w:p w:rsidR="00E15507" w:rsidRPr="005D6CD4" w:rsidRDefault="0027746F" w:rsidP="0012256D">
      <w:pPr>
        <w:pStyle w:val="SingleTxt"/>
        <w:rPr>
          <w:lang w:val="fr-FR"/>
        </w:rPr>
      </w:pPr>
      <w:r>
        <w:rPr>
          <w:lang w:val="fr-FR"/>
        </w:rPr>
        <w:tab/>
      </w:r>
      <w:r w:rsidR="00E15507" w:rsidRPr="005D6CD4">
        <w:rPr>
          <w:lang w:val="fr-FR"/>
        </w:rPr>
        <w:t xml:space="preserve">Le </w:t>
      </w:r>
      <w:r w:rsidR="00E15507">
        <w:rPr>
          <w:lang w:val="fr-FR"/>
        </w:rPr>
        <w:t>ministère</w:t>
      </w:r>
      <w:r w:rsidR="00E15507" w:rsidRPr="005D6CD4">
        <w:rPr>
          <w:lang w:val="fr-FR"/>
        </w:rPr>
        <w:t xml:space="preserve"> fédéral de l</w:t>
      </w:r>
      <w:r w:rsidR="000A3D87">
        <w:rPr>
          <w:lang w:val="fr-FR"/>
        </w:rPr>
        <w:t>’</w:t>
      </w:r>
      <w:r w:rsidR="00E15507">
        <w:rPr>
          <w:lang w:val="fr-FR"/>
        </w:rPr>
        <w:t>É</w:t>
      </w:r>
      <w:r w:rsidR="00E15507" w:rsidRPr="005D6CD4">
        <w:rPr>
          <w:lang w:val="fr-FR"/>
        </w:rPr>
        <w:t>ducation met actuellement en œuvre, en collaboration avec le Fonds des Nations Unies pour l</w:t>
      </w:r>
      <w:r w:rsidR="000A3D87">
        <w:rPr>
          <w:lang w:val="fr-FR"/>
        </w:rPr>
        <w:t>’</w:t>
      </w:r>
      <w:r w:rsidR="00E15507" w:rsidRPr="005D6CD4">
        <w:rPr>
          <w:lang w:val="fr-FR"/>
        </w:rPr>
        <w:t>enfance (UNICEF) un programme d</w:t>
      </w:r>
      <w:r w:rsidR="000A3D87">
        <w:rPr>
          <w:lang w:val="fr-FR"/>
        </w:rPr>
        <w:t>’</w:t>
      </w:r>
      <w:r w:rsidR="00E15507" w:rsidRPr="005D6CD4">
        <w:rPr>
          <w:lang w:val="fr-FR"/>
        </w:rPr>
        <w:t>éducation de</w:t>
      </w:r>
      <w:r w:rsidR="00E15507">
        <w:rPr>
          <w:lang w:val="fr-FR"/>
        </w:rPr>
        <w:t xml:space="preserve">s </w:t>
      </w:r>
      <w:r w:rsidR="00E15507" w:rsidRPr="005D6CD4">
        <w:rPr>
          <w:lang w:val="fr-FR"/>
        </w:rPr>
        <w:t>fille</w:t>
      </w:r>
      <w:r w:rsidR="00E15507">
        <w:rPr>
          <w:lang w:val="fr-FR"/>
        </w:rPr>
        <w:t>ttes</w:t>
      </w:r>
      <w:r w:rsidR="00E15507" w:rsidRPr="005D6CD4">
        <w:rPr>
          <w:lang w:val="fr-FR"/>
        </w:rPr>
        <w:t>. Ce programme vise à résoudre le problème du manque d</w:t>
      </w:r>
      <w:r w:rsidR="000A3D87">
        <w:rPr>
          <w:lang w:val="fr-FR"/>
        </w:rPr>
        <w:t>’</w:t>
      </w:r>
      <w:r w:rsidR="00E15507" w:rsidRPr="005D6CD4">
        <w:rPr>
          <w:lang w:val="fr-FR"/>
        </w:rPr>
        <w:t>eau et des mauvaises conditions d</w:t>
      </w:r>
      <w:r w:rsidR="000A3D87">
        <w:rPr>
          <w:lang w:val="fr-FR"/>
        </w:rPr>
        <w:t>’</w:t>
      </w:r>
      <w:r w:rsidR="00E15507" w:rsidRPr="005D6CD4">
        <w:rPr>
          <w:lang w:val="fr-FR"/>
        </w:rPr>
        <w:t xml:space="preserve">hygiène dans les </w:t>
      </w:r>
      <w:r w:rsidR="00E15507">
        <w:rPr>
          <w:lang w:val="fr-FR"/>
        </w:rPr>
        <w:t>écoles de l</w:t>
      </w:r>
      <w:r w:rsidR="000A3D87">
        <w:rPr>
          <w:lang w:val="fr-FR"/>
        </w:rPr>
        <w:t>’</w:t>
      </w:r>
      <w:r w:rsidR="00E15507">
        <w:rPr>
          <w:lang w:val="fr-FR"/>
        </w:rPr>
        <w:t xml:space="preserve">unité (unity schools) </w:t>
      </w:r>
      <w:r w:rsidR="00E15507" w:rsidRPr="005D6CD4">
        <w:rPr>
          <w:lang w:val="fr-FR"/>
        </w:rPr>
        <w:t xml:space="preserve">situées dans dix-neuf </w:t>
      </w:r>
      <w:r w:rsidR="00E15507">
        <w:rPr>
          <w:lang w:val="fr-FR"/>
        </w:rPr>
        <w:t>É</w:t>
      </w:r>
      <w:r w:rsidR="00E15507" w:rsidRPr="005D6CD4">
        <w:rPr>
          <w:lang w:val="fr-FR"/>
        </w:rPr>
        <w:t>tats de la Fédération. Le manque d</w:t>
      </w:r>
      <w:r w:rsidR="000A3D87">
        <w:rPr>
          <w:lang w:val="fr-FR"/>
        </w:rPr>
        <w:t>’</w:t>
      </w:r>
      <w:r w:rsidR="00E15507" w:rsidRPr="005D6CD4">
        <w:rPr>
          <w:lang w:val="fr-FR"/>
        </w:rPr>
        <w:t>eau et les mauvaises conditions d</w:t>
      </w:r>
      <w:r w:rsidR="000A3D87">
        <w:rPr>
          <w:lang w:val="fr-FR"/>
        </w:rPr>
        <w:t>’</w:t>
      </w:r>
      <w:r w:rsidR="00E15507" w:rsidRPr="005D6CD4">
        <w:rPr>
          <w:lang w:val="fr-FR"/>
        </w:rPr>
        <w:t>hygiène dans les écoles ont été identifiés comme étant les principaux facteurs qui découragent les parents d</w:t>
      </w:r>
      <w:r w:rsidR="000A3D87">
        <w:rPr>
          <w:lang w:val="fr-FR"/>
        </w:rPr>
        <w:t>’</w:t>
      </w:r>
      <w:r w:rsidR="00E15507" w:rsidRPr="005D6CD4">
        <w:rPr>
          <w:lang w:val="fr-FR"/>
        </w:rPr>
        <w:t>envoyer leurs enfants en âge de puberté à l</w:t>
      </w:r>
      <w:r w:rsidR="000A3D87">
        <w:rPr>
          <w:lang w:val="fr-FR"/>
        </w:rPr>
        <w:t>’</w:t>
      </w:r>
      <w:r w:rsidR="00E15507" w:rsidRPr="005D6CD4">
        <w:rPr>
          <w:lang w:val="fr-FR"/>
        </w:rPr>
        <w:t xml:space="preserve">école. </w:t>
      </w:r>
    </w:p>
    <w:p w:rsidR="00E15507" w:rsidRPr="005D6CD4" w:rsidRDefault="00E15507" w:rsidP="0012256D">
      <w:pPr>
        <w:pStyle w:val="SingleTxt"/>
        <w:rPr>
          <w:lang w:val="fr-FR"/>
        </w:rPr>
      </w:pPr>
      <w:r w:rsidRPr="005D6CD4">
        <w:rPr>
          <w:b/>
          <w:bCs/>
          <w:lang w:val="fr-FR"/>
        </w:rPr>
        <w:t>10.</w:t>
      </w:r>
      <w:r>
        <w:rPr>
          <w:b/>
          <w:bCs/>
          <w:lang w:val="fr-FR"/>
        </w:rPr>
        <w:t>4</w:t>
      </w:r>
      <w:r w:rsidRPr="005D6CD4">
        <w:rPr>
          <w:b/>
          <w:bCs/>
          <w:lang w:val="fr-FR"/>
        </w:rPr>
        <w:t>.1</w:t>
      </w:r>
      <w:r w:rsidRPr="005D6CD4">
        <w:rPr>
          <w:lang w:val="fr-FR"/>
        </w:rPr>
        <w:t xml:space="preserve"> </w:t>
      </w:r>
      <w:r w:rsidR="0027746F">
        <w:rPr>
          <w:lang w:val="fr-FR"/>
        </w:rPr>
        <w:t xml:space="preserve"> </w:t>
      </w:r>
      <w:r w:rsidRPr="005D6CD4">
        <w:rPr>
          <w:lang w:val="fr-FR"/>
        </w:rPr>
        <w:t>Dans le but d</w:t>
      </w:r>
      <w:r w:rsidR="000A3D87">
        <w:rPr>
          <w:lang w:val="fr-FR"/>
        </w:rPr>
        <w:t>’</w:t>
      </w:r>
      <w:r w:rsidRPr="005D6CD4">
        <w:rPr>
          <w:lang w:val="fr-FR"/>
        </w:rPr>
        <w:t xml:space="preserve">accroître le taux de scolarisation, de rétention et de réussite chez les enfants du primaire, le </w:t>
      </w:r>
      <w:r>
        <w:rPr>
          <w:lang w:val="fr-FR"/>
        </w:rPr>
        <w:t>G</w:t>
      </w:r>
      <w:r w:rsidRPr="005D6CD4">
        <w:rPr>
          <w:lang w:val="fr-FR"/>
        </w:rPr>
        <w:t>ouvernement fédéral a entamé la mise en œuvre d</w:t>
      </w:r>
      <w:r w:rsidR="000A3D87">
        <w:rPr>
          <w:lang w:val="fr-FR"/>
        </w:rPr>
        <w:t>’</w:t>
      </w:r>
      <w:r w:rsidRPr="005D6CD4">
        <w:rPr>
          <w:lang w:val="fr-FR"/>
        </w:rPr>
        <w:t xml:space="preserve">un Programme de nutrition et de santé en milieu scolaire pensé localement. Ce projet est actuellement à sa phase pilote dans douze </w:t>
      </w:r>
      <w:r>
        <w:rPr>
          <w:lang w:val="fr-FR"/>
        </w:rPr>
        <w:t>É</w:t>
      </w:r>
      <w:r w:rsidRPr="005D6CD4">
        <w:rPr>
          <w:lang w:val="fr-FR"/>
        </w:rPr>
        <w:t>tats de la Fédération avec des effets bénéfiques à plusieurs égards pour la société. Le Programme sert de mesure d</w:t>
      </w:r>
      <w:r w:rsidR="000A3D87">
        <w:rPr>
          <w:lang w:val="fr-FR"/>
        </w:rPr>
        <w:t>’</w:t>
      </w:r>
      <w:r w:rsidRPr="005D6CD4">
        <w:rPr>
          <w:lang w:val="fr-FR"/>
        </w:rPr>
        <w:t>incitation des parents à envoyer leurs enfants à l</w:t>
      </w:r>
      <w:r w:rsidR="000A3D87">
        <w:rPr>
          <w:lang w:val="fr-FR"/>
        </w:rPr>
        <w:t>’</w:t>
      </w:r>
      <w:r w:rsidRPr="005D6CD4">
        <w:rPr>
          <w:lang w:val="fr-FR"/>
        </w:rPr>
        <w:t xml:space="preserve">école à travers la réduction des dépenses de nutrition de leurs enfants à charge. </w:t>
      </w:r>
    </w:p>
    <w:p w:rsidR="00E15507" w:rsidRPr="005D6CD4" w:rsidRDefault="00E15507" w:rsidP="0012256D">
      <w:pPr>
        <w:pStyle w:val="SingleTxt"/>
        <w:rPr>
          <w:lang w:val="fr-FR"/>
        </w:rPr>
      </w:pPr>
      <w:r w:rsidRPr="005D6CD4">
        <w:rPr>
          <w:b/>
          <w:bCs/>
          <w:lang w:val="fr-FR"/>
        </w:rPr>
        <w:t>10.</w:t>
      </w:r>
      <w:r>
        <w:rPr>
          <w:b/>
          <w:bCs/>
          <w:lang w:val="fr-FR"/>
        </w:rPr>
        <w:t>4</w:t>
      </w:r>
      <w:r w:rsidRPr="005D6CD4">
        <w:rPr>
          <w:b/>
          <w:bCs/>
          <w:lang w:val="fr-FR"/>
        </w:rPr>
        <w:t>.2</w:t>
      </w:r>
      <w:r w:rsidRPr="005D6CD4">
        <w:rPr>
          <w:lang w:val="fr-FR"/>
        </w:rPr>
        <w:t xml:space="preserve"> </w:t>
      </w:r>
      <w:r w:rsidR="0027746F">
        <w:rPr>
          <w:lang w:val="fr-FR"/>
        </w:rPr>
        <w:t xml:space="preserve"> </w:t>
      </w:r>
      <w:r w:rsidRPr="005D6CD4">
        <w:rPr>
          <w:lang w:val="fr-FR"/>
        </w:rPr>
        <w:t>Dans le but de susciter l</w:t>
      </w:r>
      <w:r w:rsidR="000A3D87">
        <w:rPr>
          <w:lang w:val="fr-FR"/>
        </w:rPr>
        <w:t>’</w:t>
      </w:r>
      <w:r w:rsidRPr="005D6CD4">
        <w:rPr>
          <w:lang w:val="fr-FR"/>
        </w:rPr>
        <w:t>implication de</w:t>
      </w:r>
      <w:r>
        <w:rPr>
          <w:lang w:val="fr-FR"/>
        </w:rPr>
        <w:t xml:space="preserve">s collectivités </w:t>
      </w:r>
      <w:r w:rsidRPr="005D6CD4">
        <w:rPr>
          <w:lang w:val="fr-FR"/>
        </w:rPr>
        <w:t>dans l</w:t>
      </w:r>
      <w:r w:rsidR="000A3D87">
        <w:rPr>
          <w:lang w:val="fr-FR"/>
        </w:rPr>
        <w:t>’</w:t>
      </w:r>
      <w:r w:rsidRPr="005D6CD4">
        <w:rPr>
          <w:lang w:val="fr-FR"/>
        </w:rPr>
        <w:t>amélioration de l</w:t>
      </w:r>
      <w:r w:rsidR="000A3D87">
        <w:rPr>
          <w:lang w:val="fr-FR"/>
        </w:rPr>
        <w:t>’</w:t>
      </w:r>
      <w:r w:rsidRPr="005D6CD4">
        <w:rPr>
          <w:lang w:val="fr-FR"/>
        </w:rPr>
        <w:t>accès à l</w:t>
      </w:r>
      <w:r w:rsidR="000A3D87">
        <w:rPr>
          <w:lang w:val="fr-FR"/>
        </w:rPr>
        <w:t>’</w:t>
      </w:r>
      <w:r w:rsidRPr="005D6CD4">
        <w:rPr>
          <w:lang w:val="fr-FR"/>
        </w:rPr>
        <w:t>éducation, 4</w:t>
      </w:r>
      <w:r>
        <w:rPr>
          <w:lang w:val="fr-FR"/>
        </w:rPr>
        <w:t> </w:t>
      </w:r>
      <w:r w:rsidRPr="005D6CD4">
        <w:rPr>
          <w:lang w:val="fr-FR"/>
        </w:rPr>
        <w:t>525 co</w:t>
      </w:r>
      <w:r>
        <w:rPr>
          <w:lang w:val="fr-FR"/>
        </w:rPr>
        <w:t xml:space="preserve">llectivités </w:t>
      </w:r>
      <w:r w:rsidRPr="005D6CD4">
        <w:rPr>
          <w:lang w:val="fr-FR"/>
        </w:rPr>
        <w:t>désavantagées sur le plan de l</w:t>
      </w:r>
      <w:r w:rsidR="000A3D87">
        <w:rPr>
          <w:lang w:val="fr-FR"/>
        </w:rPr>
        <w:t>’</w:t>
      </w:r>
      <w:r w:rsidRPr="005D6CD4">
        <w:rPr>
          <w:lang w:val="fr-FR"/>
        </w:rPr>
        <w:t xml:space="preserve">éducation dans dix </w:t>
      </w:r>
      <w:r>
        <w:rPr>
          <w:lang w:val="fr-FR"/>
        </w:rPr>
        <w:t>É</w:t>
      </w:r>
      <w:r w:rsidRPr="005D6CD4">
        <w:rPr>
          <w:lang w:val="fr-FR"/>
        </w:rPr>
        <w:t xml:space="preserve">tats de la Fédération ont bénéficié de programmes de formation massive organisés au niveau </w:t>
      </w:r>
      <w:r>
        <w:rPr>
          <w:lang w:val="fr-FR"/>
        </w:rPr>
        <w:t xml:space="preserve">local </w:t>
      </w:r>
      <w:r w:rsidRPr="005D6CD4">
        <w:rPr>
          <w:lang w:val="fr-FR"/>
        </w:rPr>
        <w:t xml:space="preserve">dans le cadre de la composante auto-assistance du </w:t>
      </w:r>
      <w:r>
        <w:rPr>
          <w:lang w:val="fr-FR"/>
        </w:rPr>
        <w:t>deuxième p</w:t>
      </w:r>
      <w:r w:rsidRPr="005D6CD4">
        <w:rPr>
          <w:lang w:val="fr-FR"/>
        </w:rPr>
        <w:t xml:space="preserve">rojet </w:t>
      </w:r>
      <w:r>
        <w:rPr>
          <w:lang w:val="fr-FR"/>
        </w:rPr>
        <w:t>d</w:t>
      </w:r>
      <w:r w:rsidR="000A3D87">
        <w:rPr>
          <w:lang w:val="fr-FR"/>
        </w:rPr>
        <w:t>’</w:t>
      </w:r>
      <w:r w:rsidRPr="005D6CD4">
        <w:rPr>
          <w:lang w:val="fr-FR"/>
        </w:rPr>
        <w:t xml:space="preserve">éducation primaire (PEP) </w:t>
      </w:r>
      <w:r>
        <w:rPr>
          <w:lang w:val="fr-FR"/>
        </w:rPr>
        <w:t xml:space="preserve">financé </w:t>
      </w:r>
      <w:r w:rsidRPr="005D6CD4">
        <w:rPr>
          <w:lang w:val="fr-FR"/>
        </w:rPr>
        <w:t>par la Banque mondiale. Il s</w:t>
      </w:r>
      <w:r w:rsidR="000A3D87">
        <w:rPr>
          <w:lang w:val="fr-FR"/>
        </w:rPr>
        <w:t>’</w:t>
      </w:r>
      <w:r w:rsidRPr="005D6CD4">
        <w:rPr>
          <w:lang w:val="fr-FR"/>
        </w:rPr>
        <w:t>agit d</w:t>
      </w:r>
      <w:r w:rsidR="000A3D87">
        <w:rPr>
          <w:lang w:val="fr-FR"/>
        </w:rPr>
        <w:t>’</w:t>
      </w:r>
      <w:r w:rsidRPr="005D6CD4">
        <w:rPr>
          <w:lang w:val="fr-FR"/>
        </w:rPr>
        <w:t>un processus qui est en cours dans le pays.</w:t>
      </w:r>
    </w:p>
    <w:p w:rsidR="00E15507" w:rsidRPr="005D6CD4" w:rsidRDefault="00E15507" w:rsidP="0012256D">
      <w:pPr>
        <w:pStyle w:val="SingleTxt"/>
        <w:rPr>
          <w:lang w:val="fr-FR"/>
        </w:rPr>
      </w:pPr>
      <w:r w:rsidRPr="005D6CD4">
        <w:rPr>
          <w:b/>
          <w:lang w:val="fr-FR"/>
        </w:rPr>
        <w:t>10.</w:t>
      </w:r>
      <w:r>
        <w:rPr>
          <w:b/>
          <w:lang w:val="fr-FR"/>
        </w:rPr>
        <w:t>4</w:t>
      </w:r>
      <w:r w:rsidRPr="005D6CD4">
        <w:rPr>
          <w:b/>
          <w:lang w:val="fr-FR"/>
        </w:rPr>
        <w:t>.3</w:t>
      </w:r>
      <w:r w:rsidRPr="005D6CD4">
        <w:rPr>
          <w:lang w:val="fr-FR"/>
        </w:rPr>
        <w:t xml:space="preserve"> </w:t>
      </w:r>
      <w:r w:rsidR="0027746F">
        <w:rPr>
          <w:lang w:val="fr-FR"/>
        </w:rPr>
        <w:t xml:space="preserve"> </w:t>
      </w:r>
      <w:r w:rsidRPr="005D6CD4">
        <w:rPr>
          <w:lang w:val="fr-FR"/>
        </w:rPr>
        <w:t xml:space="preserve">La prochaine étape du programme consiste à créer des internats pour filles dans les </w:t>
      </w:r>
      <w:r>
        <w:rPr>
          <w:lang w:val="fr-FR"/>
        </w:rPr>
        <w:t>É</w:t>
      </w:r>
      <w:r w:rsidRPr="005D6CD4">
        <w:rPr>
          <w:lang w:val="fr-FR"/>
        </w:rPr>
        <w:t>tats du Nord en vue de combler l</w:t>
      </w:r>
      <w:r w:rsidR="000A3D87">
        <w:rPr>
          <w:lang w:val="fr-FR"/>
        </w:rPr>
        <w:t>’</w:t>
      </w:r>
      <w:r w:rsidRPr="005D6CD4">
        <w:rPr>
          <w:lang w:val="fr-FR"/>
        </w:rPr>
        <w:t xml:space="preserve">écart entre les taux de scolarisation, de rétention et de réussite entre le Nord et les autres parties du pays. Par ailleurs, le Gouvernement fédéral intervient à travers la mise </w:t>
      </w:r>
      <w:r>
        <w:rPr>
          <w:lang w:val="fr-FR"/>
        </w:rPr>
        <w:t xml:space="preserve">en place </w:t>
      </w:r>
      <w:r w:rsidRPr="005D6CD4">
        <w:rPr>
          <w:lang w:val="fr-FR"/>
        </w:rPr>
        <w:t>de fonds spéciaux en vue de l</w:t>
      </w:r>
      <w:r>
        <w:rPr>
          <w:lang w:val="fr-FR"/>
        </w:rPr>
        <w:t>a réalisation d</w:t>
      </w:r>
      <w:r w:rsidRPr="005D6CD4">
        <w:rPr>
          <w:lang w:val="fr-FR"/>
        </w:rPr>
        <w:t>e l</w:t>
      </w:r>
      <w:r w:rsidR="000A3D87">
        <w:rPr>
          <w:lang w:val="fr-FR"/>
        </w:rPr>
        <w:t>’</w:t>
      </w:r>
      <w:r>
        <w:rPr>
          <w:lang w:val="fr-FR"/>
        </w:rPr>
        <w:t>o</w:t>
      </w:r>
      <w:r w:rsidRPr="005D6CD4">
        <w:rPr>
          <w:lang w:val="fr-FR"/>
        </w:rPr>
        <w:t xml:space="preserve">bjectif du Millénaire </w:t>
      </w:r>
      <w:r>
        <w:rPr>
          <w:lang w:val="fr-FR"/>
        </w:rPr>
        <w:t xml:space="preserve">pour le développement </w:t>
      </w:r>
      <w:r w:rsidRPr="005D6CD4">
        <w:rPr>
          <w:lang w:val="fr-FR"/>
        </w:rPr>
        <w:t>relatif à l</w:t>
      </w:r>
      <w:r w:rsidR="000A3D87">
        <w:rPr>
          <w:lang w:val="fr-FR"/>
        </w:rPr>
        <w:t>’</w:t>
      </w:r>
      <w:r w:rsidRPr="005D6CD4">
        <w:rPr>
          <w:lang w:val="fr-FR"/>
        </w:rPr>
        <w:t>éducation. Ces fonds sont destinés à facilit</w:t>
      </w:r>
      <w:r>
        <w:rPr>
          <w:lang w:val="fr-FR"/>
        </w:rPr>
        <w:t xml:space="preserve">er </w:t>
      </w:r>
      <w:r w:rsidRPr="005D6CD4">
        <w:rPr>
          <w:lang w:val="fr-FR"/>
        </w:rPr>
        <w:t>l</w:t>
      </w:r>
      <w:r w:rsidR="000A3D87">
        <w:rPr>
          <w:lang w:val="fr-FR"/>
        </w:rPr>
        <w:t>’</w:t>
      </w:r>
      <w:r w:rsidRPr="005D6CD4">
        <w:rPr>
          <w:lang w:val="fr-FR"/>
        </w:rPr>
        <w:t>égalité entre les sexes en matière d</w:t>
      </w:r>
      <w:r w:rsidR="000A3D87">
        <w:rPr>
          <w:lang w:val="fr-FR"/>
        </w:rPr>
        <w:t>’</w:t>
      </w:r>
      <w:r w:rsidRPr="005D6CD4">
        <w:rPr>
          <w:lang w:val="fr-FR"/>
        </w:rPr>
        <w:t xml:space="preserve">éducation et </w:t>
      </w:r>
      <w:r>
        <w:rPr>
          <w:lang w:val="fr-FR"/>
        </w:rPr>
        <w:t xml:space="preserve">à </w:t>
      </w:r>
      <w:r w:rsidRPr="005D6CD4">
        <w:rPr>
          <w:lang w:val="fr-FR"/>
        </w:rPr>
        <w:t>accélér</w:t>
      </w:r>
      <w:r>
        <w:rPr>
          <w:lang w:val="fr-FR"/>
        </w:rPr>
        <w:t xml:space="preserve">er </w:t>
      </w:r>
      <w:r w:rsidRPr="005D6CD4">
        <w:rPr>
          <w:lang w:val="fr-FR"/>
        </w:rPr>
        <w:t>l</w:t>
      </w:r>
      <w:r w:rsidR="000A3D87">
        <w:rPr>
          <w:lang w:val="fr-FR"/>
        </w:rPr>
        <w:t>’</w:t>
      </w:r>
      <w:r w:rsidRPr="005D6CD4">
        <w:rPr>
          <w:lang w:val="fr-FR"/>
        </w:rPr>
        <w:t>éducation des filles.</w:t>
      </w:r>
    </w:p>
    <w:p w:rsidR="00E15507" w:rsidRPr="005D6CD4" w:rsidRDefault="00E15507" w:rsidP="0012256D">
      <w:pPr>
        <w:pStyle w:val="SingleTxt"/>
        <w:rPr>
          <w:b/>
          <w:bCs/>
          <w:i/>
          <w:iCs/>
          <w:lang w:val="fr-FR"/>
        </w:rPr>
      </w:pPr>
      <w:r w:rsidRPr="005D6CD4">
        <w:rPr>
          <w:b/>
          <w:lang w:val="fr-FR"/>
        </w:rPr>
        <w:t>10.</w:t>
      </w:r>
      <w:r>
        <w:rPr>
          <w:b/>
          <w:lang w:val="fr-FR"/>
        </w:rPr>
        <w:t>4</w:t>
      </w:r>
      <w:r w:rsidRPr="005D6CD4">
        <w:rPr>
          <w:b/>
          <w:lang w:val="fr-FR"/>
        </w:rPr>
        <w:t>.4</w:t>
      </w:r>
      <w:r w:rsidRPr="005D6CD4">
        <w:rPr>
          <w:lang w:val="fr-FR"/>
        </w:rPr>
        <w:t xml:space="preserve"> </w:t>
      </w:r>
      <w:r w:rsidR="0027746F">
        <w:rPr>
          <w:lang w:val="fr-FR"/>
        </w:rPr>
        <w:t xml:space="preserve"> </w:t>
      </w:r>
      <w:r w:rsidRPr="005D6CD4">
        <w:rPr>
          <w:lang w:val="fr-FR"/>
        </w:rPr>
        <w:t>Le Projet d</w:t>
      </w:r>
      <w:r w:rsidR="000A3D87">
        <w:rPr>
          <w:lang w:val="fr-FR"/>
        </w:rPr>
        <w:t>’</w:t>
      </w:r>
      <w:r w:rsidRPr="005D6CD4">
        <w:rPr>
          <w:lang w:val="fr-FR"/>
        </w:rPr>
        <w:t>alphabétisation fonctionnelle des femmes pour la santé</w:t>
      </w:r>
      <w:r>
        <w:rPr>
          <w:lang w:val="fr-FR"/>
        </w:rPr>
        <w:t>,</w:t>
      </w:r>
      <w:r w:rsidRPr="005D6CD4">
        <w:rPr>
          <w:lang w:val="fr-FR"/>
        </w:rPr>
        <w:t xml:space="preserve"> initié par les </w:t>
      </w:r>
      <w:r>
        <w:rPr>
          <w:lang w:val="fr-FR"/>
        </w:rPr>
        <w:t>m</w:t>
      </w:r>
      <w:r w:rsidRPr="005D6CD4">
        <w:rPr>
          <w:lang w:val="fr-FR"/>
        </w:rPr>
        <w:t xml:space="preserve">inistères de la </w:t>
      </w:r>
      <w:r>
        <w:rPr>
          <w:lang w:val="fr-FR"/>
        </w:rPr>
        <w:t>S</w:t>
      </w:r>
      <w:r w:rsidRPr="005D6CD4">
        <w:rPr>
          <w:lang w:val="fr-FR"/>
        </w:rPr>
        <w:t xml:space="preserve">anté des </w:t>
      </w:r>
      <w:r>
        <w:rPr>
          <w:lang w:val="fr-FR"/>
        </w:rPr>
        <w:t>É</w:t>
      </w:r>
      <w:r w:rsidRPr="005D6CD4">
        <w:rPr>
          <w:lang w:val="fr-FR"/>
        </w:rPr>
        <w:t>tats</w:t>
      </w:r>
      <w:r>
        <w:rPr>
          <w:lang w:val="fr-FR"/>
        </w:rPr>
        <w:t>,</w:t>
      </w:r>
      <w:r w:rsidRPr="005D6CD4">
        <w:rPr>
          <w:lang w:val="fr-FR"/>
        </w:rPr>
        <w:t xml:space="preserve"> fait partie des efforts du </w:t>
      </w:r>
      <w:r>
        <w:rPr>
          <w:lang w:val="fr-FR"/>
        </w:rPr>
        <w:t>G</w:t>
      </w:r>
      <w:r w:rsidRPr="005D6CD4">
        <w:rPr>
          <w:lang w:val="fr-FR"/>
        </w:rPr>
        <w:t xml:space="preserve">ouvernement destinés à </w:t>
      </w:r>
      <w:r>
        <w:rPr>
          <w:lang w:val="fr-FR"/>
        </w:rPr>
        <w:t xml:space="preserve">démarginaliser les </w:t>
      </w:r>
      <w:r w:rsidRPr="005D6CD4">
        <w:rPr>
          <w:lang w:val="fr-FR"/>
        </w:rPr>
        <w:t>femmes à travers l</w:t>
      </w:r>
      <w:r w:rsidR="000A3D87">
        <w:rPr>
          <w:lang w:val="fr-FR"/>
        </w:rPr>
        <w:t>’</w:t>
      </w:r>
      <w:r w:rsidRPr="005D6CD4">
        <w:rPr>
          <w:lang w:val="fr-FR"/>
        </w:rPr>
        <w:t xml:space="preserve">éducation </w:t>
      </w:r>
      <w:r>
        <w:rPr>
          <w:lang w:val="fr-FR"/>
        </w:rPr>
        <w:t>sanitaire</w:t>
      </w:r>
      <w:r w:rsidRPr="005D6CD4">
        <w:rPr>
          <w:lang w:val="fr-FR"/>
        </w:rPr>
        <w:t>. Ce projet a trois composantes, à savoir, l</w:t>
      </w:r>
      <w:r w:rsidR="000A3D87">
        <w:rPr>
          <w:lang w:val="fr-FR"/>
        </w:rPr>
        <w:t>’</w:t>
      </w:r>
      <w:r w:rsidRPr="005D6CD4">
        <w:rPr>
          <w:lang w:val="fr-FR"/>
        </w:rPr>
        <w:t>alphabétisation fonctionnelle, l</w:t>
      </w:r>
      <w:r w:rsidR="000A3D87">
        <w:rPr>
          <w:lang w:val="fr-FR"/>
        </w:rPr>
        <w:t>’</w:t>
      </w:r>
      <w:r w:rsidRPr="005D6CD4">
        <w:rPr>
          <w:lang w:val="fr-FR"/>
        </w:rPr>
        <w:t xml:space="preserve">éducation </w:t>
      </w:r>
      <w:r>
        <w:rPr>
          <w:lang w:val="fr-FR"/>
        </w:rPr>
        <w:t xml:space="preserve">sanitaire </w:t>
      </w:r>
      <w:r w:rsidRPr="005D6CD4">
        <w:rPr>
          <w:lang w:val="fr-FR"/>
        </w:rPr>
        <w:t>et la création d</w:t>
      </w:r>
      <w:r w:rsidR="000A3D87">
        <w:rPr>
          <w:lang w:val="fr-FR"/>
        </w:rPr>
        <w:t>’</w:t>
      </w:r>
      <w:r w:rsidRPr="005D6CD4">
        <w:rPr>
          <w:lang w:val="fr-FR"/>
        </w:rPr>
        <w:t>activités génératrices de revenus qui sont actuellement mises en œuvre dans 63 co</w:t>
      </w:r>
      <w:r>
        <w:rPr>
          <w:lang w:val="fr-FR"/>
        </w:rPr>
        <w:t xml:space="preserve">llectivités </w:t>
      </w:r>
      <w:r w:rsidRPr="005D6CD4">
        <w:rPr>
          <w:lang w:val="fr-FR"/>
        </w:rPr>
        <w:t xml:space="preserve">à travers 23 </w:t>
      </w:r>
      <w:r>
        <w:rPr>
          <w:lang w:val="fr-FR"/>
        </w:rPr>
        <w:t>Ét</w:t>
      </w:r>
      <w:r w:rsidRPr="005D6CD4">
        <w:rPr>
          <w:lang w:val="fr-FR"/>
        </w:rPr>
        <w:t xml:space="preserve">ats. En 2005, </w:t>
      </w:r>
      <w:r>
        <w:rPr>
          <w:lang w:val="fr-FR"/>
        </w:rPr>
        <w:t>l</w:t>
      </w:r>
      <w:r w:rsidR="000A3D87">
        <w:rPr>
          <w:lang w:val="fr-FR"/>
        </w:rPr>
        <w:t>’</w:t>
      </w:r>
      <w:r>
        <w:rPr>
          <w:lang w:val="fr-FR"/>
        </w:rPr>
        <w:t>on a redoublé d</w:t>
      </w:r>
      <w:r w:rsidR="000A3D87">
        <w:rPr>
          <w:lang w:val="fr-FR"/>
        </w:rPr>
        <w:t>’</w:t>
      </w:r>
      <w:r w:rsidRPr="005D6CD4">
        <w:rPr>
          <w:lang w:val="fr-FR"/>
        </w:rPr>
        <w:t xml:space="preserve">efforts </w:t>
      </w:r>
      <w:r>
        <w:rPr>
          <w:lang w:val="fr-FR"/>
        </w:rPr>
        <w:t>en vue d</w:t>
      </w:r>
      <w:r w:rsidR="000A3D87">
        <w:rPr>
          <w:lang w:val="fr-FR"/>
        </w:rPr>
        <w:t>’</w:t>
      </w:r>
      <w:r w:rsidRPr="005D6CD4">
        <w:rPr>
          <w:lang w:val="fr-FR"/>
        </w:rPr>
        <w:t>intégr</w:t>
      </w:r>
      <w:r>
        <w:rPr>
          <w:lang w:val="fr-FR"/>
        </w:rPr>
        <w:t xml:space="preserve">er le </w:t>
      </w:r>
      <w:r w:rsidRPr="005D6CD4">
        <w:rPr>
          <w:lang w:val="fr-FR"/>
        </w:rPr>
        <w:t xml:space="preserve">projet </w:t>
      </w:r>
      <w:r>
        <w:rPr>
          <w:lang w:val="fr-FR"/>
        </w:rPr>
        <w:t xml:space="preserve">au </w:t>
      </w:r>
      <w:r w:rsidRPr="005D6CD4">
        <w:rPr>
          <w:lang w:val="fr-FR"/>
        </w:rPr>
        <w:t>programme de la Commission nationale de l</w:t>
      </w:r>
      <w:r w:rsidR="000A3D87">
        <w:rPr>
          <w:lang w:val="fr-FR"/>
        </w:rPr>
        <w:t>’</w:t>
      </w:r>
      <w:r w:rsidRPr="005D6CD4">
        <w:rPr>
          <w:lang w:val="fr-FR"/>
        </w:rPr>
        <w:t xml:space="preserve">éducation de masse. Par conséquent, les programmes/notions élémentaires utilisés pour le </w:t>
      </w:r>
      <w:r>
        <w:rPr>
          <w:lang w:val="fr-FR"/>
        </w:rPr>
        <w:t>projet d</w:t>
      </w:r>
      <w:r w:rsidR="000A3D87">
        <w:rPr>
          <w:lang w:val="fr-FR"/>
        </w:rPr>
        <w:t>’</w:t>
      </w:r>
      <w:r>
        <w:rPr>
          <w:lang w:val="fr-FR"/>
        </w:rPr>
        <w:t xml:space="preserve">alphabétisation fonctionnelle des femmes </w:t>
      </w:r>
      <w:r w:rsidRPr="005D6CD4">
        <w:rPr>
          <w:lang w:val="fr-FR"/>
        </w:rPr>
        <w:t>et l</w:t>
      </w:r>
      <w:r>
        <w:rPr>
          <w:lang w:val="fr-FR"/>
        </w:rPr>
        <w:t>a Commission nationale de l</w:t>
      </w:r>
      <w:r w:rsidR="000A3D87">
        <w:rPr>
          <w:lang w:val="fr-FR"/>
        </w:rPr>
        <w:t>’</w:t>
      </w:r>
      <w:r>
        <w:rPr>
          <w:lang w:val="fr-FR"/>
        </w:rPr>
        <w:t xml:space="preserve">éducation de masse </w:t>
      </w:r>
      <w:r w:rsidRPr="005D6CD4">
        <w:rPr>
          <w:lang w:val="fr-FR"/>
        </w:rPr>
        <w:t xml:space="preserve">ont été harmonisés et des sessions de formation pilote des instructeurs et des facilitateurs ont été organisées dans les </w:t>
      </w:r>
      <w:r>
        <w:rPr>
          <w:lang w:val="fr-FR"/>
        </w:rPr>
        <w:t>É</w:t>
      </w:r>
      <w:r w:rsidRPr="005D6CD4">
        <w:rPr>
          <w:lang w:val="fr-FR"/>
        </w:rPr>
        <w:t>tats du Niger et de l</w:t>
      </w:r>
      <w:r w:rsidR="000A3D87">
        <w:rPr>
          <w:lang w:val="fr-FR"/>
        </w:rPr>
        <w:t>’</w:t>
      </w:r>
      <w:r w:rsidRPr="005D6CD4">
        <w:rPr>
          <w:lang w:val="fr-FR"/>
        </w:rPr>
        <w:t xml:space="preserve">Oyo. </w:t>
      </w:r>
    </w:p>
    <w:p w:rsidR="0027746F" w:rsidRPr="0027746F" w:rsidRDefault="0027746F" w:rsidP="0027746F">
      <w:pPr>
        <w:pStyle w:val="SingleTxt"/>
        <w:spacing w:after="0" w:line="120" w:lineRule="exact"/>
        <w:rPr>
          <w:sz w:val="10"/>
          <w:lang w:val="fr-FR"/>
        </w:rPr>
      </w:pPr>
    </w:p>
    <w:p w:rsidR="00E15507" w:rsidRDefault="0027746F" w:rsidP="002774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E15507" w:rsidRPr="005D6CD4">
        <w:rPr>
          <w:lang w:val="fr-FR"/>
        </w:rPr>
        <w:t>10.</w:t>
      </w:r>
      <w:r w:rsidR="00E15507">
        <w:rPr>
          <w:lang w:val="fr-FR"/>
        </w:rPr>
        <w:t>5</w:t>
      </w:r>
      <w:r w:rsidR="00E15507" w:rsidRPr="005D6CD4">
        <w:rPr>
          <w:lang w:val="fr-FR"/>
        </w:rPr>
        <w:t xml:space="preserve"> </w:t>
      </w:r>
      <w:r>
        <w:rPr>
          <w:lang w:val="fr-FR"/>
        </w:rPr>
        <w:tab/>
      </w:r>
      <w:r w:rsidR="00E15507" w:rsidRPr="005D6CD4">
        <w:rPr>
          <w:lang w:val="fr-FR"/>
        </w:rPr>
        <w:t>Mesures d</w:t>
      </w:r>
      <w:r w:rsidR="000A3D87">
        <w:rPr>
          <w:lang w:val="fr-FR"/>
        </w:rPr>
        <w:t>’</w:t>
      </w:r>
      <w:r w:rsidR="00E15507" w:rsidRPr="005D6CD4">
        <w:rPr>
          <w:lang w:val="fr-FR"/>
        </w:rPr>
        <w:t>encouragement des garçons et des filles à Etudier les mêmes matières à l</w:t>
      </w:r>
      <w:r w:rsidR="000A3D87">
        <w:rPr>
          <w:lang w:val="fr-FR"/>
        </w:rPr>
        <w:t>’</w:t>
      </w:r>
      <w:r w:rsidR="00E15507" w:rsidRPr="005D6CD4">
        <w:rPr>
          <w:lang w:val="fr-FR"/>
        </w:rPr>
        <w:t>école</w:t>
      </w:r>
    </w:p>
    <w:p w:rsidR="0027746F" w:rsidRPr="0027746F" w:rsidRDefault="0027746F" w:rsidP="0027746F">
      <w:pPr>
        <w:pStyle w:val="SingleTxt"/>
        <w:spacing w:after="0" w:line="120" w:lineRule="exact"/>
        <w:rPr>
          <w:sz w:val="10"/>
          <w:lang w:val="fr-FR"/>
        </w:rPr>
      </w:pPr>
    </w:p>
    <w:p w:rsidR="00E15507" w:rsidRPr="005D6CD4" w:rsidRDefault="00E15507" w:rsidP="0012256D">
      <w:pPr>
        <w:pStyle w:val="SingleTxt"/>
        <w:rPr>
          <w:lang w:val="fr-FR"/>
        </w:rPr>
      </w:pPr>
      <w:r w:rsidRPr="005D6CD4">
        <w:rPr>
          <w:b/>
          <w:bCs/>
          <w:lang w:val="fr-FR"/>
        </w:rPr>
        <w:t>10.</w:t>
      </w:r>
      <w:r>
        <w:rPr>
          <w:b/>
          <w:bCs/>
          <w:lang w:val="fr-FR"/>
        </w:rPr>
        <w:t>5</w:t>
      </w:r>
      <w:r w:rsidRPr="005D6CD4">
        <w:rPr>
          <w:b/>
          <w:bCs/>
          <w:lang w:val="fr-FR"/>
        </w:rPr>
        <w:t>.1</w:t>
      </w:r>
      <w:r w:rsidRPr="005D6CD4">
        <w:rPr>
          <w:lang w:val="fr-FR"/>
        </w:rPr>
        <w:t xml:space="preserve"> </w:t>
      </w:r>
      <w:r w:rsidR="0027746F">
        <w:rPr>
          <w:lang w:val="fr-FR"/>
        </w:rPr>
        <w:t xml:space="preserve"> </w:t>
      </w:r>
      <w:r w:rsidRPr="005D6CD4">
        <w:rPr>
          <w:lang w:val="fr-FR"/>
        </w:rPr>
        <w:t xml:space="preserve">Le </w:t>
      </w:r>
      <w:r>
        <w:rPr>
          <w:lang w:val="fr-FR"/>
        </w:rPr>
        <w:t>G</w:t>
      </w:r>
      <w:r w:rsidRPr="005D6CD4">
        <w:rPr>
          <w:lang w:val="fr-FR"/>
        </w:rPr>
        <w:t xml:space="preserve">ouvernement nigérian est conscient de la nécessité de résoudre les </w:t>
      </w:r>
      <w:r>
        <w:rPr>
          <w:lang w:val="fr-FR"/>
        </w:rPr>
        <w:t>problèmes</w:t>
      </w:r>
      <w:r w:rsidRPr="005D6CD4">
        <w:rPr>
          <w:lang w:val="fr-FR"/>
        </w:rPr>
        <w:t xml:space="preserve"> liés aux stéréotypes sexuels négatifs en ce qui concerne les matières scientifiques et qui en font un domaine réservé aux garçons. La </w:t>
      </w:r>
      <w:r>
        <w:rPr>
          <w:lang w:val="fr-FR"/>
        </w:rPr>
        <w:t>Politique nationale de l</w:t>
      </w:r>
      <w:r w:rsidR="000A3D87">
        <w:rPr>
          <w:lang w:val="fr-FR"/>
        </w:rPr>
        <w:t>’</w:t>
      </w:r>
      <w:r>
        <w:rPr>
          <w:lang w:val="fr-FR"/>
        </w:rPr>
        <w:t>éducation r</w:t>
      </w:r>
      <w:r w:rsidRPr="005D6CD4">
        <w:rPr>
          <w:lang w:val="fr-FR"/>
        </w:rPr>
        <w:t>évisée de 2004 accorde la plus haute importance à l</w:t>
      </w:r>
      <w:r w:rsidR="000A3D87">
        <w:rPr>
          <w:lang w:val="fr-FR"/>
        </w:rPr>
        <w:t>’</w:t>
      </w:r>
      <w:r w:rsidRPr="005D6CD4">
        <w:rPr>
          <w:lang w:val="fr-FR"/>
        </w:rPr>
        <w:t>enseignement des sciences et à la formation d</w:t>
      </w:r>
      <w:r w:rsidR="000A3D87">
        <w:rPr>
          <w:lang w:val="fr-FR"/>
        </w:rPr>
        <w:t>’</w:t>
      </w:r>
      <w:r w:rsidRPr="005D6CD4">
        <w:rPr>
          <w:lang w:val="fr-FR"/>
        </w:rPr>
        <w:t>un nombre suffisant de scientifiques pour concevoir et soutenir le développement national.</w:t>
      </w:r>
    </w:p>
    <w:p w:rsidR="00E15507" w:rsidRPr="005D6CD4" w:rsidRDefault="0027746F" w:rsidP="0012256D">
      <w:pPr>
        <w:pStyle w:val="SingleTxt"/>
        <w:rPr>
          <w:lang w:val="fr-FR"/>
        </w:rPr>
      </w:pPr>
      <w:r>
        <w:rPr>
          <w:lang w:val="fr-FR"/>
        </w:rPr>
        <w:tab/>
      </w:r>
      <w:r w:rsidR="00E15507" w:rsidRPr="005D6CD4">
        <w:rPr>
          <w:lang w:val="fr-FR"/>
        </w:rPr>
        <w:t xml:space="preserve">Cette politique </w:t>
      </w:r>
      <w:r w:rsidR="00E15507">
        <w:rPr>
          <w:lang w:val="fr-FR"/>
        </w:rPr>
        <w:t xml:space="preserve">favorise </w:t>
      </w:r>
      <w:r w:rsidR="00E15507" w:rsidRPr="005D6CD4">
        <w:rPr>
          <w:lang w:val="fr-FR"/>
        </w:rPr>
        <w:t xml:space="preserve">la prise de mesures incitatives au bénéfice des étudiants inscrits dans les filières scientifiques. </w:t>
      </w:r>
      <w:r w:rsidR="00E15507">
        <w:rPr>
          <w:lang w:val="fr-FR"/>
        </w:rPr>
        <w:t>À</w:t>
      </w:r>
      <w:r w:rsidR="00E15507" w:rsidRPr="005D6CD4">
        <w:rPr>
          <w:lang w:val="fr-FR"/>
        </w:rPr>
        <w:t xml:space="preserve"> cet égard, les bourses que le </w:t>
      </w:r>
      <w:r w:rsidR="00E15507">
        <w:rPr>
          <w:lang w:val="fr-FR"/>
        </w:rPr>
        <w:t>G</w:t>
      </w:r>
      <w:r w:rsidR="00E15507" w:rsidRPr="005D6CD4">
        <w:rPr>
          <w:lang w:val="fr-FR"/>
        </w:rPr>
        <w:t>ouvernement fédéral accorde aux étudiants sont prioritairement orientées vers les filles, surtout celles qui étudient les sciences. De plus, dans le but d</w:t>
      </w:r>
      <w:r w:rsidR="000A3D87">
        <w:rPr>
          <w:lang w:val="fr-FR"/>
        </w:rPr>
        <w:t>’</w:t>
      </w:r>
      <w:r w:rsidR="00E15507" w:rsidRPr="005D6CD4">
        <w:rPr>
          <w:lang w:val="fr-FR"/>
        </w:rPr>
        <w:t>encourager les filles à s</w:t>
      </w:r>
      <w:r w:rsidR="000A3D87">
        <w:rPr>
          <w:lang w:val="fr-FR"/>
        </w:rPr>
        <w:t>’</w:t>
      </w:r>
      <w:r w:rsidR="00E15507" w:rsidRPr="005D6CD4">
        <w:rPr>
          <w:lang w:val="fr-FR"/>
        </w:rPr>
        <w:t xml:space="preserve">inscrire dans les filières scientifiques, des lycées scientifiques réservés aux filles ont été créés dans des </w:t>
      </w:r>
      <w:r w:rsidR="00E15507">
        <w:rPr>
          <w:lang w:val="fr-FR"/>
        </w:rPr>
        <w:t>É</w:t>
      </w:r>
      <w:r w:rsidR="00E15507" w:rsidRPr="005D6CD4">
        <w:rPr>
          <w:lang w:val="fr-FR"/>
        </w:rPr>
        <w:t xml:space="preserve">tats sélectionnés de la Fédération, </w:t>
      </w:r>
      <w:r w:rsidR="00E15507">
        <w:rPr>
          <w:lang w:val="fr-FR"/>
        </w:rPr>
        <w:t>ceux d</w:t>
      </w:r>
      <w:r w:rsidR="000A3D87">
        <w:rPr>
          <w:lang w:val="fr-FR"/>
        </w:rPr>
        <w:t>’</w:t>
      </w:r>
      <w:r w:rsidR="00E15507" w:rsidRPr="005D6CD4">
        <w:rPr>
          <w:lang w:val="fr-FR"/>
        </w:rPr>
        <w:t xml:space="preserve">Enugu, </w:t>
      </w:r>
      <w:r w:rsidR="00E15507">
        <w:rPr>
          <w:lang w:val="fr-FR"/>
        </w:rPr>
        <w:t>d</w:t>
      </w:r>
      <w:r w:rsidR="000A3D87">
        <w:rPr>
          <w:lang w:val="fr-FR"/>
        </w:rPr>
        <w:t>’</w:t>
      </w:r>
      <w:r w:rsidR="00E15507" w:rsidRPr="005D6CD4">
        <w:rPr>
          <w:lang w:val="fr-FR"/>
        </w:rPr>
        <w:t>Anambra et le Territoire de la capitale fédérale. On peut également relever l</w:t>
      </w:r>
      <w:r w:rsidR="000A3D87">
        <w:rPr>
          <w:lang w:val="fr-FR"/>
        </w:rPr>
        <w:t>’</w:t>
      </w:r>
      <w:r w:rsidR="00E15507" w:rsidRPr="005D6CD4">
        <w:rPr>
          <w:lang w:val="fr-FR"/>
        </w:rPr>
        <w:t>existence du Collège fédéral de formation (technique) des filles dans l</w:t>
      </w:r>
      <w:r w:rsidR="000A3D87">
        <w:rPr>
          <w:lang w:val="fr-FR"/>
        </w:rPr>
        <w:t>’</w:t>
      </w:r>
      <w:r w:rsidR="00E15507">
        <w:rPr>
          <w:lang w:val="fr-FR"/>
        </w:rPr>
        <w:t>É</w:t>
      </w:r>
      <w:r w:rsidR="00E15507" w:rsidRPr="005D6CD4">
        <w:rPr>
          <w:lang w:val="fr-FR"/>
        </w:rPr>
        <w:t>tat d</w:t>
      </w:r>
      <w:r w:rsidR="00E15507">
        <w:rPr>
          <w:lang w:val="fr-FR"/>
        </w:rPr>
        <w:t>e</w:t>
      </w:r>
      <w:r w:rsidR="00E15507" w:rsidRPr="005D6CD4">
        <w:rPr>
          <w:lang w:val="fr-FR"/>
        </w:rPr>
        <w:t xml:space="preserve"> Zamfara et le Lycée informatique des filles de la Zone d</w:t>
      </w:r>
      <w:r w:rsidR="000A3D87">
        <w:rPr>
          <w:lang w:val="fr-FR"/>
        </w:rPr>
        <w:t>’</w:t>
      </w:r>
      <w:r w:rsidR="00E15507" w:rsidRPr="005D6CD4">
        <w:rPr>
          <w:lang w:val="fr-FR"/>
        </w:rPr>
        <w:t>administration locale dans l</w:t>
      </w:r>
      <w:r w:rsidR="000A3D87">
        <w:rPr>
          <w:lang w:val="fr-FR"/>
        </w:rPr>
        <w:t>’</w:t>
      </w:r>
      <w:r w:rsidR="00E15507">
        <w:rPr>
          <w:lang w:val="fr-FR"/>
        </w:rPr>
        <w:t>É</w:t>
      </w:r>
      <w:r w:rsidR="00E15507" w:rsidRPr="005D6CD4">
        <w:rPr>
          <w:lang w:val="fr-FR"/>
        </w:rPr>
        <w:t>tat d</w:t>
      </w:r>
      <w:r w:rsidR="00E15507">
        <w:rPr>
          <w:lang w:val="fr-FR"/>
        </w:rPr>
        <w:t>e</w:t>
      </w:r>
      <w:r w:rsidR="00E15507" w:rsidRPr="005D6CD4">
        <w:rPr>
          <w:lang w:val="fr-FR"/>
        </w:rPr>
        <w:t xml:space="preserve"> Jigawa. Des clubs scientifiques dénommés Science Technology and Mathematics Club</w:t>
      </w:r>
      <w:r w:rsidR="00E15507">
        <w:rPr>
          <w:lang w:val="fr-FR"/>
        </w:rPr>
        <w:t>s</w:t>
      </w:r>
      <w:r w:rsidR="00E15507" w:rsidRPr="005D6CD4">
        <w:rPr>
          <w:lang w:val="fr-FR"/>
        </w:rPr>
        <w:t xml:space="preserve">, ont été créés dans les </w:t>
      </w:r>
      <w:r w:rsidR="00E15507">
        <w:rPr>
          <w:lang w:val="fr-FR"/>
        </w:rPr>
        <w:t>écoles de l</w:t>
      </w:r>
      <w:r w:rsidR="000A3D87">
        <w:rPr>
          <w:lang w:val="fr-FR"/>
        </w:rPr>
        <w:t>’</w:t>
      </w:r>
      <w:r w:rsidR="00E15507">
        <w:rPr>
          <w:lang w:val="fr-FR"/>
        </w:rPr>
        <w:t xml:space="preserve">unité </w:t>
      </w:r>
      <w:r w:rsidR="00E15507" w:rsidRPr="005D6CD4">
        <w:rPr>
          <w:lang w:val="fr-FR"/>
        </w:rPr>
        <w:t>à travers le pays en vue de réduire l</w:t>
      </w:r>
      <w:r w:rsidR="000A3D87">
        <w:rPr>
          <w:lang w:val="fr-FR"/>
        </w:rPr>
        <w:t>’</w:t>
      </w:r>
      <w:r w:rsidR="00E15507" w:rsidRPr="005D6CD4">
        <w:rPr>
          <w:lang w:val="fr-FR"/>
        </w:rPr>
        <w:t>énorme écart entre le nombre de garçons et celui de filles qui choisissent les filières scientifiques.</w:t>
      </w:r>
    </w:p>
    <w:p w:rsidR="0027746F" w:rsidRPr="0027746F" w:rsidRDefault="0027746F" w:rsidP="0027746F">
      <w:pPr>
        <w:pStyle w:val="SingleTxt"/>
        <w:spacing w:after="0" w:line="120" w:lineRule="exact"/>
        <w:rPr>
          <w:b/>
          <w:bCs/>
          <w:sz w:val="10"/>
          <w:lang w:val="fr-FR"/>
        </w:rPr>
      </w:pPr>
    </w:p>
    <w:p w:rsidR="00E15507" w:rsidRDefault="0027746F" w:rsidP="002774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E15507" w:rsidRPr="005D6CD4">
        <w:rPr>
          <w:lang w:val="fr-FR"/>
        </w:rPr>
        <w:t>10.</w:t>
      </w:r>
      <w:r w:rsidR="00E15507">
        <w:rPr>
          <w:lang w:val="fr-FR"/>
        </w:rPr>
        <w:t>6</w:t>
      </w:r>
      <w:r w:rsidR="00E15507" w:rsidRPr="005D6CD4">
        <w:rPr>
          <w:lang w:val="fr-FR"/>
        </w:rPr>
        <w:t xml:space="preserve"> </w:t>
      </w:r>
      <w:r w:rsidR="00E15507" w:rsidRPr="005D6CD4">
        <w:rPr>
          <w:lang w:val="fr-FR"/>
        </w:rPr>
        <w:tab/>
        <w:t>Les programmes destinés aux filles qui abandonnent prématurément l</w:t>
      </w:r>
      <w:r w:rsidR="000A3D87">
        <w:rPr>
          <w:lang w:val="fr-FR"/>
        </w:rPr>
        <w:t>’</w:t>
      </w:r>
      <w:r w:rsidR="00E15507" w:rsidRPr="005D6CD4">
        <w:rPr>
          <w:lang w:val="fr-FR"/>
        </w:rPr>
        <w:t xml:space="preserve">école </w:t>
      </w:r>
    </w:p>
    <w:p w:rsidR="0027746F" w:rsidRPr="0027746F" w:rsidRDefault="0027746F" w:rsidP="0027746F">
      <w:pPr>
        <w:pStyle w:val="SingleTxt"/>
        <w:spacing w:after="0" w:line="120" w:lineRule="exact"/>
        <w:rPr>
          <w:sz w:val="10"/>
          <w:lang w:val="fr-FR"/>
        </w:rPr>
      </w:pPr>
    </w:p>
    <w:p w:rsidR="00E15507" w:rsidRDefault="0027746F" w:rsidP="0012256D">
      <w:pPr>
        <w:pStyle w:val="SingleTxt"/>
        <w:rPr>
          <w:lang w:val="fr-FR"/>
        </w:rPr>
      </w:pPr>
      <w:r>
        <w:rPr>
          <w:lang w:val="fr-FR"/>
        </w:rPr>
        <w:tab/>
      </w:r>
      <w:r w:rsidR="00E15507" w:rsidRPr="005D6CD4">
        <w:rPr>
          <w:lang w:val="fr-FR"/>
        </w:rPr>
        <w:t xml:space="preserve">La création de centres de promotion de la femme dans tous les 36 </w:t>
      </w:r>
      <w:r w:rsidR="00E15507">
        <w:rPr>
          <w:lang w:val="fr-FR"/>
        </w:rPr>
        <w:t>É</w:t>
      </w:r>
      <w:r w:rsidR="00E15507" w:rsidRPr="005D6CD4">
        <w:rPr>
          <w:lang w:val="fr-FR"/>
        </w:rPr>
        <w:t>tats offre (entre autres choses) des opportunités aux jeunes filles ayant abandonné l</w:t>
      </w:r>
      <w:r w:rsidR="000A3D87">
        <w:rPr>
          <w:lang w:val="fr-FR"/>
        </w:rPr>
        <w:t>’</w:t>
      </w:r>
      <w:r w:rsidR="00E15507" w:rsidRPr="005D6CD4">
        <w:rPr>
          <w:lang w:val="fr-FR"/>
        </w:rPr>
        <w:t>école de poursuivre une éducation de type informel. Ces centres mettent en œuvre des programmes de formation destinés aux femmes. Une étude réalisée par le Centre national de promotion de la femme en 2005 a révélé qu</w:t>
      </w:r>
      <w:r w:rsidR="000A3D87">
        <w:rPr>
          <w:lang w:val="fr-FR"/>
        </w:rPr>
        <w:t>’</w:t>
      </w:r>
      <w:r w:rsidR="00E15507" w:rsidRPr="005D6CD4">
        <w:rPr>
          <w:lang w:val="fr-FR"/>
        </w:rPr>
        <w:t>environ 28,84</w:t>
      </w:r>
      <w:r w:rsidR="00E15507">
        <w:rPr>
          <w:lang w:val="fr-FR"/>
        </w:rPr>
        <w:t> </w:t>
      </w:r>
      <w:r w:rsidR="00E15507" w:rsidRPr="005D6CD4">
        <w:rPr>
          <w:lang w:val="fr-FR"/>
        </w:rPr>
        <w:t>% des bénéficiaires de</w:t>
      </w:r>
      <w:r w:rsidR="00E15507">
        <w:rPr>
          <w:lang w:val="fr-FR"/>
        </w:rPr>
        <w:t xml:space="preserve"> c</w:t>
      </w:r>
      <w:r w:rsidR="00E15507" w:rsidRPr="005D6CD4">
        <w:rPr>
          <w:lang w:val="fr-FR"/>
        </w:rPr>
        <w:t>es programmes sont âgés de moins de 21 ans, dont une majorité de filles ayant abandonné l</w:t>
      </w:r>
      <w:r w:rsidR="000A3D87">
        <w:rPr>
          <w:lang w:val="fr-FR"/>
        </w:rPr>
        <w:t>’</w:t>
      </w:r>
      <w:r w:rsidR="00E15507" w:rsidRPr="005D6CD4">
        <w:rPr>
          <w:lang w:val="fr-FR"/>
        </w:rPr>
        <w:t>école. La plupart des stagiaires ont bénéficié de facilités de crédit n</w:t>
      </w:r>
      <w:r w:rsidR="000A3D87">
        <w:rPr>
          <w:lang w:val="fr-FR"/>
        </w:rPr>
        <w:t>’</w:t>
      </w:r>
      <w:r w:rsidR="00E15507" w:rsidRPr="005D6CD4">
        <w:rPr>
          <w:lang w:val="fr-FR"/>
        </w:rPr>
        <w:t>excédant pas 10</w:t>
      </w:r>
      <w:r w:rsidR="00E15507">
        <w:rPr>
          <w:lang w:val="fr-FR"/>
        </w:rPr>
        <w:t> </w:t>
      </w:r>
      <w:r w:rsidR="00E15507" w:rsidRPr="005D6CD4">
        <w:rPr>
          <w:lang w:val="fr-FR"/>
        </w:rPr>
        <w:t xml:space="preserve">000 nairas par personne. </w:t>
      </w:r>
    </w:p>
    <w:p w:rsidR="0027746F" w:rsidRPr="005D6CD4" w:rsidRDefault="0027746F" w:rsidP="0012256D">
      <w:pPr>
        <w:pStyle w:val="SingleTxt"/>
        <w:rPr>
          <w:lang w:val="fr-FR"/>
        </w:rPr>
      </w:pPr>
    </w:p>
    <w:p w:rsidR="00E15507" w:rsidRDefault="00673639" w:rsidP="006736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 xml:space="preserve">10.7 </w:t>
      </w:r>
      <w:r>
        <w:rPr>
          <w:lang w:val="fr-FR"/>
        </w:rPr>
        <w:tab/>
      </w:r>
      <w:r w:rsidR="00E15507" w:rsidRPr="005D6CD4">
        <w:rPr>
          <w:lang w:val="fr-FR"/>
        </w:rPr>
        <w:t xml:space="preserve">Pourcentage de femmes dans les corps enseignants du primaire et du secondaire </w:t>
      </w:r>
    </w:p>
    <w:p w:rsidR="00673639" w:rsidRPr="00673639" w:rsidRDefault="00673639" w:rsidP="00673639">
      <w:pPr>
        <w:pStyle w:val="SingleTxt"/>
        <w:spacing w:after="0" w:line="120" w:lineRule="exact"/>
        <w:rPr>
          <w:sz w:val="10"/>
          <w:lang w:val="fr-FR"/>
        </w:rPr>
      </w:pPr>
    </w:p>
    <w:p w:rsidR="00E15507" w:rsidRPr="008379A5" w:rsidRDefault="008379A5" w:rsidP="008379A5">
      <w:pPr>
        <w:pStyle w:val="SingleTxt"/>
        <w:jc w:val="left"/>
        <w:rPr>
          <w:lang w:val="fr-FR"/>
        </w:rPr>
      </w:pPr>
      <w:r w:rsidRPr="008379A5">
        <w:rPr>
          <w:lang w:val="fr-FR"/>
        </w:rPr>
        <w:t>Tableau 10.5</w:t>
      </w:r>
      <w:r>
        <w:rPr>
          <w:lang w:val="fr-FR"/>
        </w:rPr>
        <w:br/>
      </w:r>
      <w:r w:rsidRPr="008379A5">
        <w:rPr>
          <w:b/>
          <w:lang w:val="fr-FR"/>
        </w:rPr>
        <w:t>Pourcentage des enseignants du primaire et secondaire en 2003</w:t>
      </w:r>
    </w:p>
    <w:p w:rsidR="008379A5" w:rsidRDefault="008379A5"/>
    <w:tbl>
      <w:tblPr>
        <w:tblpPr w:leftFromText="180" w:rightFromText="180" w:vertAnchor="text" w:horzAnchor="margin" w:tblpX="828" w:tblpY="86"/>
        <w:tblOverlap w:val="never"/>
        <w:tblW w:w="0" w:type="auto"/>
        <w:tblLayout w:type="fixed"/>
        <w:tblLook w:val="01E0"/>
      </w:tblPr>
      <w:tblGrid>
        <w:gridCol w:w="2538"/>
        <w:gridCol w:w="1260"/>
        <w:gridCol w:w="360"/>
        <w:gridCol w:w="1170"/>
        <w:gridCol w:w="450"/>
        <w:gridCol w:w="1170"/>
        <w:gridCol w:w="450"/>
        <w:gridCol w:w="1611"/>
      </w:tblGrid>
      <w:tr w:rsidR="008379A5" w:rsidRPr="008379A5">
        <w:trPr>
          <w:tblHeader/>
        </w:trPr>
        <w:tc>
          <w:tcPr>
            <w:tcW w:w="2538" w:type="dxa"/>
            <w:vMerge w:val="restart"/>
            <w:tcBorders>
              <w:top w:val="single" w:sz="2" w:space="0" w:color="auto"/>
              <w:bottom w:val="single" w:sz="12" w:space="0" w:color="auto"/>
            </w:tcBorders>
            <w:shd w:val="clear" w:color="auto" w:fill="auto"/>
            <w:vAlign w:val="bottom"/>
          </w:tcPr>
          <w:p w:rsidR="008379A5" w:rsidRPr="008379A5" w:rsidRDefault="008379A5" w:rsidP="008379A5">
            <w:pPr>
              <w:suppressAutoHyphens/>
              <w:spacing w:before="80" w:after="80" w:line="160" w:lineRule="exact"/>
              <w:ind w:right="43"/>
              <w:rPr>
                <w:i/>
                <w:sz w:val="14"/>
                <w:lang w:val="fr-FR"/>
              </w:rPr>
            </w:pPr>
            <w:r>
              <w:rPr>
                <w:i/>
                <w:sz w:val="14"/>
                <w:lang w:val="fr-FR"/>
              </w:rPr>
              <w:t>Qualification de l</w:t>
            </w:r>
            <w:r w:rsidR="000A3D87">
              <w:rPr>
                <w:i/>
                <w:sz w:val="14"/>
                <w:lang w:val="fr-FR"/>
              </w:rPr>
              <w:t>’</w:t>
            </w:r>
            <w:r>
              <w:rPr>
                <w:i/>
                <w:sz w:val="14"/>
                <w:lang w:val="fr-FR"/>
              </w:rPr>
              <w:t>enseignant</w:t>
            </w:r>
          </w:p>
        </w:tc>
        <w:tc>
          <w:tcPr>
            <w:tcW w:w="3240" w:type="dxa"/>
            <w:gridSpan w:val="4"/>
            <w:tcBorders>
              <w:top w:val="single" w:sz="2" w:space="0" w:color="auto"/>
              <w:bottom w:val="single" w:sz="2" w:space="0" w:color="auto"/>
            </w:tcBorders>
            <w:shd w:val="clear" w:color="auto" w:fill="auto"/>
            <w:vAlign w:val="bottom"/>
          </w:tcPr>
          <w:p w:rsidR="008379A5" w:rsidRPr="008379A5" w:rsidRDefault="008379A5" w:rsidP="008379A5">
            <w:pPr>
              <w:suppressAutoHyphens/>
              <w:spacing w:before="80" w:after="80" w:line="160" w:lineRule="exact"/>
              <w:ind w:right="43"/>
              <w:jc w:val="center"/>
              <w:rPr>
                <w:i/>
                <w:sz w:val="14"/>
                <w:lang w:val="fr-FR"/>
              </w:rPr>
            </w:pPr>
            <w:r>
              <w:rPr>
                <w:i/>
                <w:sz w:val="14"/>
                <w:lang w:val="fr-FR"/>
              </w:rPr>
              <w:t>Primaire</w:t>
            </w:r>
          </w:p>
        </w:tc>
        <w:tc>
          <w:tcPr>
            <w:tcW w:w="3231" w:type="dxa"/>
            <w:gridSpan w:val="3"/>
            <w:tcBorders>
              <w:top w:val="single" w:sz="2" w:space="0" w:color="auto"/>
              <w:bottom w:val="single" w:sz="2" w:space="0" w:color="auto"/>
            </w:tcBorders>
            <w:shd w:val="clear" w:color="auto" w:fill="auto"/>
            <w:vAlign w:val="bottom"/>
          </w:tcPr>
          <w:p w:rsidR="008379A5" w:rsidRPr="008379A5" w:rsidRDefault="008379A5" w:rsidP="008379A5">
            <w:pPr>
              <w:suppressAutoHyphens/>
              <w:spacing w:before="80" w:after="80" w:line="160" w:lineRule="exact"/>
              <w:ind w:right="43"/>
              <w:jc w:val="center"/>
              <w:rPr>
                <w:i/>
                <w:sz w:val="14"/>
                <w:lang w:val="fr-FR"/>
              </w:rPr>
            </w:pPr>
            <w:r>
              <w:rPr>
                <w:i/>
                <w:sz w:val="14"/>
                <w:lang w:val="fr-FR"/>
              </w:rPr>
              <w:t>Secondaire</w:t>
            </w:r>
          </w:p>
        </w:tc>
      </w:tr>
      <w:tr w:rsidR="008379A5" w:rsidRPr="008379A5">
        <w:trPr>
          <w:tblHeader/>
        </w:trPr>
        <w:tc>
          <w:tcPr>
            <w:tcW w:w="2538" w:type="dxa"/>
            <w:vMerge/>
            <w:tcBorders>
              <w:top w:val="single" w:sz="12" w:space="0" w:color="auto"/>
              <w:bottom w:val="single" w:sz="12" w:space="0" w:color="auto"/>
            </w:tcBorders>
            <w:shd w:val="clear" w:color="auto" w:fill="auto"/>
            <w:vAlign w:val="bottom"/>
          </w:tcPr>
          <w:p w:rsidR="008379A5" w:rsidRPr="008379A5" w:rsidRDefault="008379A5" w:rsidP="008379A5">
            <w:pPr>
              <w:suppressAutoHyphens/>
              <w:spacing w:before="80" w:after="80" w:line="160" w:lineRule="exact"/>
              <w:ind w:right="43"/>
              <w:rPr>
                <w:i/>
                <w:sz w:val="14"/>
                <w:lang w:val="fr-FR"/>
              </w:rPr>
            </w:pPr>
          </w:p>
        </w:tc>
        <w:tc>
          <w:tcPr>
            <w:tcW w:w="1620" w:type="dxa"/>
            <w:gridSpan w:val="2"/>
            <w:tcBorders>
              <w:top w:val="single" w:sz="2" w:space="0" w:color="auto"/>
              <w:bottom w:val="single" w:sz="12" w:space="0" w:color="auto"/>
            </w:tcBorders>
            <w:shd w:val="clear" w:color="auto" w:fill="auto"/>
            <w:vAlign w:val="bottom"/>
          </w:tcPr>
          <w:p w:rsidR="008379A5" w:rsidRPr="008379A5" w:rsidRDefault="008379A5" w:rsidP="008379A5">
            <w:pPr>
              <w:suppressAutoHyphens/>
              <w:spacing w:before="80" w:after="80" w:line="160" w:lineRule="exact"/>
              <w:ind w:right="43"/>
              <w:jc w:val="right"/>
              <w:rPr>
                <w:i/>
                <w:sz w:val="14"/>
                <w:lang w:val="fr-FR"/>
              </w:rPr>
            </w:pPr>
            <w:r>
              <w:rPr>
                <w:i/>
                <w:sz w:val="14"/>
                <w:lang w:val="fr-FR"/>
              </w:rPr>
              <w:t>Hommes</w:t>
            </w:r>
          </w:p>
        </w:tc>
        <w:tc>
          <w:tcPr>
            <w:tcW w:w="1620" w:type="dxa"/>
            <w:gridSpan w:val="2"/>
            <w:tcBorders>
              <w:top w:val="single" w:sz="2" w:space="0" w:color="auto"/>
              <w:bottom w:val="single" w:sz="12" w:space="0" w:color="auto"/>
            </w:tcBorders>
            <w:shd w:val="clear" w:color="auto" w:fill="auto"/>
            <w:vAlign w:val="bottom"/>
          </w:tcPr>
          <w:p w:rsidR="008379A5" w:rsidRPr="008379A5" w:rsidRDefault="008379A5" w:rsidP="008379A5">
            <w:pPr>
              <w:suppressAutoHyphens/>
              <w:spacing w:before="80" w:after="80" w:line="160" w:lineRule="exact"/>
              <w:ind w:right="43"/>
              <w:jc w:val="right"/>
              <w:rPr>
                <w:i/>
                <w:sz w:val="14"/>
                <w:lang w:val="fr-FR"/>
              </w:rPr>
            </w:pPr>
            <w:r>
              <w:rPr>
                <w:i/>
                <w:sz w:val="14"/>
                <w:lang w:val="fr-FR"/>
              </w:rPr>
              <w:t>Femmes</w:t>
            </w:r>
          </w:p>
        </w:tc>
        <w:tc>
          <w:tcPr>
            <w:tcW w:w="1620" w:type="dxa"/>
            <w:gridSpan w:val="2"/>
            <w:tcBorders>
              <w:top w:val="single" w:sz="2" w:space="0" w:color="auto"/>
              <w:bottom w:val="single" w:sz="12" w:space="0" w:color="auto"/>
            </w:tcBorders>
            <w:shd w:val="clear" w:color="auto" w:fill="auto"/>
            <w:vAlign w:val="bottom"/>
          </w:tcPr>
          <w:p w:rsidR="008379A5" w:rsidRPr="008379A5" w:rsidRDefault="008379A5" w:rsidP="008379A5">
            <w:pPr>
              <w:suppressAutoHyphens/>
              <w:spacing w:before="80" w:after="80" w:line="160" w:lineRule="exact"/>
              <w:ind w:right="43"/>
              <w:jc w:val="right"/>
              <w:rPr>
                <w:i/>
                <w:sz w:val="14"/>
                <w:lang w:val="fr-FR"/>
              </w:rPr>
            </w:pPr>
            <w:r>
              <w:rPr>
                <w:i/>
                <w:sz w:val="14"/>
                <w:lang w:val="fr-FR"/>
              </w:rPr>
              <w:t>Hommes</w:t>
            </w:r>
          </w:p>
        </w:tc>
        <w:tc>
          <w:tcPr>
            <w:tcW w:w="1611" w:type="dxa"/>
            <w:tcBorders>
              <w:top w:val="single" w:sz="2" w:space="0" w:color="auto"/>
              <w:bottom w:val="single" w:sz="12" w:space="0" w:color="auto"/>
            </w:tcBorders>
            <w:shd w:val="clear" w:color="auto" w:fill="auto"/>
            <w:vAlign w:val="bottom"/>
          </w:tcPr>
          <w:p w:rsidR="008379A5" w:rsidRPr="008379A5" w:rsidRDefault="008379A5" w:rsidP="008379A5">
            <w:pPr>
              <w:suppressAutoHyphens/>
              <w:spacing w:before="80" w:after="80" w:line="160" w:lineRule="exact"/>
              <w:ind w:right="43"/>
              <w:jc w:val="right"/>
              <w:rPr>
                <w:i/>
                <w:sz w:val="14"/>
                <w:lang w:val="fr-FR"/>
              </w:rPr>
            </w:pPr>
            <w:r>
              <w:rPr>
                <w:i/>
                <w:sz w:val="14"/>
                <w:lang w:val="fr-FR"/>
              </w:rPr>
              <w:t>Femmes</w:t>
            </w:r>
          </w:p>
        </w:tc>
      </w:tr>
      <w:tr w:rsidR="008379A5" w:rsidRPr="008379A5">
        <w:trPr>
          <w:trHeight w:hRule="exact" w:val="115"/>
          <w:tblHeader/>
        </w:trPr>
        <w:tc>
          <w:tcPr>
            <w:tcW w:w="2538" w:type="dxa"/>
            <w:tcBorders>
              <w:top w:val="single" w:sz="12" w:space="0" w:color="auto"/>
            </w:tcBorders>
            <w:shd w:val="clear" w:color="auto" w:fill="auto"/>
            <w:vAlign w:val="bottom"/>
          </w:tcPr>
          <w:p w:rsidR="008379A5" w:rsidRPr="008379A5" w:rsidRDefault="008379A5" w:rsidP="008379A5">
            <w:pPr>
              <w:suppressAutoHyphens/>
              <w:spacing w:before="40" w:after="40" w:line="210" w:lineRule="exact"/>
              <w:ind w:right="43"/>
              <w:rPr>
                <w:sz w:val="17"/>
                <w:lang w:val="fr-FR"/>
              </w:rPr>
            </w:pPr>
          </w:p>
        </w:tc>
        <w:tc>
          <w:tcPr>
            <w:tcW w:w="1260" w:type="dxa"/>
            <w:tcBorders>
              <w:top w:val="single" w:sz="12" w:space="0" w:color="auto"/>
            </w:tcBorders>
            <w:shd w:val="clear" w:color="auto" w:fill="auto"/>
            <w:vAlign w:val="bottom"/>
          </w:tcPr>
          <w:p w:rsidR="008379A5" w:rsidRPr="008379A5" w:rsidRDefault="008379A5" w:rsidP="008379A5">
            <w:pPr>
              <w:suppressAutoHyphens/>
              <w:spacing w:before="40" w:after="40" w:line="210" w:lineRule="exact"/>
              <w:ind w:right="43"/>
              <w:rPr>
                <w:sz w:val="17"/>
                <w:lang w:val="fr-FR"/>
              </w:rPr>
            </w:pPr>
          </w:p>
        </w:tc>
        <w:tc>
          <w:tcPr>
            <w:tcW w:w="1530" w:type="dxa"/>
            <w:gridSpan w:val="2"/>
            <w:tcBorders>
              <w:top w:val="single" w:sz="12" w:space="0" w:color="auto"/>
            </w:tcBorders>
            <w:shd w:val="clear" w:color="auto" w:fill="auto"/>
            <w:vAlign w:val="bottom"/>
          </w:tcPr>
          <w:p w:rsidR="008379A5" w:rsidRPr="008379A5" w:rsidRDefault="008379A5" w:rsidP="008379A5">
            <w:pPr>
              <w:suppressAutoHyphens/>
              <w:spacing w:before="40" w:after="40" w:line="210" w:lineRule="exact"/>
              <w:ind w:right="43"/>
              <w:rPr>
                <w:sz w:val="17"/>
                <w:lang w:val="fr-FR"/>
              </w:rPr>
            </w:pPr>
          </w:p>
        </w:tc>
        <w:tc>
          <w:tcPr>
            <w:tcW w:w="1620" w:type="dxa"/>
            <w:gridSpan w:val="2"/>
            <w:tcBorders>
              <w:top w:val="single" w:sz="12" w:space="0" w:color="auto"/>
            </w:tcBorders>
            <w:shd w:val="clear" w:color="auto" w:fill="auto"/>
            <w:vAlign w:val="bottom"/>
          </w:tcPr>
          <w:p w:rsidR="008379A5" w:rsidRPr="008379A5" w:rsidRDefault="008379A5" w:rsidP="008379A5">
            <w:pPr>
              <w:suppressAutoHyphens/>
              <w:spacing w:before="40" w:after="40" w:line="210" w:lineRule="exact"/>
              <w:ind w:right="43"/>
              <w:rPr>
                <w:sz w:val="17"/>
                <w:lang w:val="fr-FR"/>
              </w:rPr>
            </w:pPr>
          </w:p>
        </w:tc>
        <w:tc>
          <w:tcPr>
            <w:tcW w:w="2061" w:type="dxa"/>
            <w:gridSpan w:val="2"/>
            <w:tcBorders>
              <w:top w:val="single" w:sz="12" w:space="0" w:color="auto"/>
            </w:tcBorders>
            <w:shd w:val="clear" w:color="auto" w:fill="auto"/>
            <w:vAlign w:val="bottom"/>
          </w:tcPr>
          <w:p w:rsidR="008379A5" w:rsidRPr="008379A5" w:rsidRDefault="008379A5" w:rsidP="008379A5">
            <w:pPr>
              <w:suppressAutoHyphens/>
              <w:spacing w:before="40" w:after="40" w:line="210" w:lineRule="exact"/>
              <w:ind w:right="43"/>
              <w:rPr>
                <w:sz w:val="17"/>
                <w:lang w:val="fr-FR"/>
              </w:rPr>
            </w:pPr>
          </w:p>
        </w:tc>
      </w:tr>
      <w:tr w:rsidR="008379A5" w:rsidRPr="008379A5">
        <w:tc>
          <w:tcPr>
            <w:tcW w:w="2538" w:type="dxa"/>
            <w:shd w:val="clear" w:color="auto" w:fill="auto"/>
            <w:vAlign w:val="bottom"/>
          </w:tcPr>
          <w:p w:rsidR="00E15507" w:rsidRPr="008379A5" w:rsidRDefault="00E15507" w:rsidP="008379A5">
            <w:pPr>
              <w:tabs>
                <w:tab w:val="left" w:pos="288"/>
                <w:tab w:val="left" w:pos="576"/>
                <w:tab w:val="left" w:pos="864"/>
                <w:tab w:val="left" w:pos="1152"/>
              </w:tabs>
              <w:suppressAutoHyphens/>
              <w:spacing w:before="40" w:after="40" w:line="210" w:lineRule="exact"/>
              <w:ind w:right="43"/>
              <w:rPr>
                <w:sz w:val="17"/>
                <w:szCs w:val="17"/>
                <w:lang w:val="fr-FR"/>
              </w:rPr>
            </w:pPr>
            <w:r w:rsidRPr="008379A5">
              <w:rPr>
                <w:sz w:val="17"/>
                <w:szCs w:val="17"/>
                <w:lang w:val="fr-FR"/>
              </w:rPr>
              <w:t>D</w:t>
            </w:r>
            <w:r w:rsidR="008379A5" w:rsidRPr="008379A5">
              <w:rPr>
                <w:sz w:val="17"/>
                <w:szCs w:val="17"/>
                <w:lang w:val="fr-FR"/>
              </w:rPr>
              <w:t>iplôme universitaire</w:t>
            </w:r>
          </w:p>
        </w:tc>
        <w:tc>
          <w:tcPr>
            <w:tcW w:w="1620" w:type="dxa"/>
            <w:gridSpan w:val="2"/>
            <w:shd w:val="clear" w:color="auto" w:fill="auto"/>
            <w:vAlign w:val="bottom"/>
          </w:tcPr>
          <w:p w:rsidR="00E15507" w:rsidRPr="008379A5" w:rsidRDefault="00E15507" w:rsidP="008379A5">
            <w:pPr>
              <w:tabs>
                <w:tab w:val="left" w:pos="288"/>
                <w:tab w:val="left" w:pos="576"/>
                <w:tab w:val="left" w:pos="864"/>
                <w:tab w:val="left" w:pos="1152"/>
              </w:tabs>
              <w:suppressAutoHyphens/>
              <w:spacing w:before="40" w:after="40" w:line="210" w:lineRule="exact"/>
              <w:ind w:right="43"/>
              <w:jc w:val="right"/>
              <w:rPr>
                <w:sz w:val="17"/>
                <w:szCs w:val="17"/>
                <w:lang w:val="fr-FR"/>
              </w:rPr>
            </w:pPr>
            <w:r w:rsidRPr="008379A5">
              <w:rPr>
                <w:sz w:val="17"/>
                <w:szCs w:val="17"/>
                <w:lang w:val="fr-FR"/>
              </w:rPr>
              <w:t>0,6</w:t>
            </w:r>
          </w:p>
        </w:tc>
        <w:tc>
          <w:tcPr>
            <w:tcW w:w="1620" w:type="dxa"/>
            <w:gridSpan w:val="2"/>
            <w:shd w:val="clear" w:color="auto" w:fill="auto"/>
            <w:vAlign w:val="bottom"/>
          </w:tcPr>
          <w:p w:rsidR="00E15507" w:rsidRPr="008379A5" w:rsidRDefault="00E15507" w:rsidP="008379A5">
            <w:pPr>
              <w:tabs>
                <w:tab w:val="left" w:pos="288"/>
                <w:tab w:val="left" w:pos="576"/>
                <w:tab w:val="left" w:pos="864"/>
                <w:tab w:val="left" w:pos="1152"/>
              </w:tabs>
              <w:suppressAutoHyphens/>
              <w:spacing w:before="40" w:after="40" w:line="210" w:lineRule="exact"/>
              <w:ind w:right="43"/>
              <w:jc w:val="right"/>
              <w:rPr>
                <w:sz w:val="17"/>
                <w:szCs w:val="17"/>
                <w:lang w:val="fr-FR"/>
              </w:rPr>
            </w:pPr>
            <w:r w:rsidRPr="008379A5">
              <w:rPr>
                <w:sz w:val="17"/>
                <w:szCs w:val="17"/>
                <w:lang w:val="fr-FR"/>
              </w:rPr>
              <w:t>0,5</w:t>
            </w:r>
          </w:p>
        </w:tc>
        <w:tc>
          <w:tcPr>
            <w:tcW w:w="1620" w:type="dxa"/>
            <w:gridSpan w:val="2"/>
            <w:shd w:val="clear" w:color="auto" w:fill="auto"/>
            <w:vAlign w:val="bottom"/>
          </w:tcPr>
          <w:p w:rsidR="00E15507" w:rsidRPr="008379A5" w:rsidRDefault="00E15507" w:rsidP="008379A5">
            <w:pPr>
              <w:tabs>
                <w:tab w:val="left" w:pos="288"/>
                <w:tab w:val="left" w:pos="576"/>
                <w:tab w:val="left" w:pos="864"/>
                <w:tab w:val="left" w:pos="1152"/>
              </w:tabs>
              <w:suppressAutoHyphens/>
              <w:spacing w:before="40" w:after="40" w:line="210" w:lineRule="exact"/>
              <w:ind w:right="43"/>
              <w:jc w:val="right"/>
              <w:rPr>
                <w:sz w:val="17"/>
                <w:szCs w:val="17"/>
                <w:lang w:val="fr-FR"/>
              </w:rPr>
            </w:pPr>
            <w:r w:rsidRPr="008379A5">
              <w:rPr>
                <w:sz w:val="17"/>
                <w:szCs w:val="17"/>
                <w:lang w:val="fr-FR"/>
              </w:rPr>
              <w:t>11,2</w:t>
            </w:r>
          </w:p>
        </w:tc>
        <w:tc>
          <w:tcPr>
            <w:tcW w:w="1611" w:type="dxa"/>
            <w:shd w:val="clear" w:color="auto" w:fill="auto"/>
            <w:vAlign w:val="bottom"/>
          </w:tcPr>
          <w:p w:rsidR="00E15507" w:rsidRPr="008379A5" w:rsidRDefault="00E15507" w:rsidP="008379A5">
            <w:pPr>
              <w:tabs>
                <w:tab w:val="left" w:pos="288"/>
                <w:tab w:val="left" w:pos="576"/>
                <w:tab w:val="left" w:pos="864"/>
                <w:tab w:val="left" w:pos="1152"/>
              </w:tabs>
              <w:suppressAutoHyphens/>
              <w:spacing w:before="40" w:after="40" w:line="210" w:lineRule="exact"/>
              <w:ind w:right="43"/>
              <w:jc w:val="right"/>
              <w:rPr>
                <w:sz w:val="17"/>
                <w:szCs w:val="17"/>
                <w:lang w:val="fr-FR"/>
              </w:rPr>
            </w:pPr>
            <w:r w:rsidRPr="008379A5">
              <w:rPr>
                <w:sz w:val="17"/>
                <w:szCs w:val="17"/>
                <w:lang w:val="fr-FR"/>
              </w:rPr>
              <w:t>4,3</w:t>
            </w:r>
          </w:p>
        </w:tc>
      </w:tr>
      <w:tr w:rsidR="008379A5" w:rsidRPr="008379A5">
        <w:tc>
          <w:tcPr>
            <w:tcW w:w="2538" w:type="dxa"/>
            <w:shd w:val="clear" w:color="auto" w:fill="auto"/>
            <w:vAlign w:val="bottom"/>
          </w:tcPr>
          <w:p w:rsidR="00E15507" w:rsidRPr="008379A5" w:rsidRDefault="00E15507" w:rsidP="008379A5">
            <w:pPr>
              <w:tabs>
                <w:tab w:val="left" w:pos="288"/>
                <w:tab w:val="left" w:pos="576"/>
                <w:tab w:val="left" w:pos="864"/>
                <w:tab w:val="left" w:pos="1152"/>
              </w:tabs>
              <w:suppressAutoHyphens/>
              <w:spacing w:before="40" w:after="40" w:line="210" w:lineRule="exact"/>
              <w:ind w:right="43"/>
              <w:rPr>
                <w:sz w:val="17"/>
                <w:szCs w:val="17"/>
                <w:lang w:val="fr-FR"/>
              </w:rPr>
            </w:pPr>
            <w:r w:rsidRPr="008379A5">
              <w:rPr>
                <w:sz w:val="17"/>
                <w:szCs w:val="17"/>
                <w:lang w:val="fr-FR"/>
              </w:rPr>
              <w:t>NCE</w:t>
            </w:r>
          </w:p>
        </w:tc>
        <w:tc>
          <w:tcPr>
            <w:tcW w:w="1620" w:type="dxa"/>
            <w:gridSpan w:val="2"/>
            <w:shd w:val="clear" w:color="auto" w:fill="auto"/>
            <w:vAlign w:val="bottom"/>
          </w:tcPr>
          <w:p w:rsidR="00E15507" w:rsidRPr="008379A5" w:rsidRDefault="00E15507" w:rsidP="008379A5">
            <w:pPr>
              <w:tabs>
                <w:tab w:val="left" w:pos="288"/>
                <w:tab w:val="left" w:pos="576"/>
                <w:tab w:val="left" w:pos="864"/>
                <w:tab w:val="left" w:pos="1152"/>
              </w:tabs>
              <w:suppressAutoHyphens/>
              <w:spacing w:before="40" w:after="40" w:line="210" w:lineRule="exact"/>
              <w:ind w:right="43"/>
              <w:jc w:val="right"/>
              <w:rPr>
                <w:sz w:val="17"/>
                <w:szCs w:val="17"/>
                <w:lang w:val="fr-FR"/>
              </w:rPr>
            </w:pPr>
            <w:r w:rsidRPr="008379A5">
              <w:rPr>
                <w:sz w:val="17"/>
                <w:szCs w:val="17"/>
                <w:lang w:val="fr-FR"/>
              </w:rPr>
              <w:t>17,0</w:t>
            </w:r>
          </w:p>
        </w:tc>
        <w:tc>
          <w:tcPr>
            <w:tcW w:w="1620" w:type="dxa"/>
            <w:gridSpan w:val="2"/>
            <w:shd w:val="clear" w:color="auto" w:fill="auto"/>
            <w:vAlign w:val="bottom"/>
          </w:tcPr>
          <w:p w:rsidR="00E15507" w:rsidRPr="008379A5" w:rsidRDefault="00E15507" w:rsidP="008379A5">
            <w:pPr>
              <w:tabs>
                <w:tab w:val="left" w:pos="288"/>
                <w:tab w:val="left" w:pos="576"/>
                <w:tab w:val="left" w:pos="864"/>
                <w:tab w:val="left" w:pos="1152"/>
              </w:tabs>
              <w:suppressAutoHyphens/>
              <w:spacing w:before="40" w:after="40" w:line="210" w:lineRule="exact"/>
              <w:ind w:right="43"/>
              <w:jc w:val="right"/>
              <w:rPr>
                <w:sz w:val="17"/>
                <w:szCs w:val="17"/>
                <w:lang w:val="fr-FR"/>
              </w:rPr>
            </w:pPr>
            <w:r w:rsidRPr="008379A5">
              <w:rPr>
                <w:sz w:val="17"/>
                <w:szCs w:val="17"/>
                <w:lang w:val="fr-FR"/>
              </w:rPr>
              <w:t>24,9</w:t>
            </w:r>
          </w:p>
        </w:tc>
        <w:tc>
          <w:tcPr>
            <w:tcW w:w="1620" w:type="dxa"/>
            <w:gridSpan w:val="2"/>
            <w:shd w:val="clear" w:color="auto" w:fill="auto"/>
            <w:vAlign w:val="bottom"/>
          </w:tcPr>
          <w:p w:rsidR="00E15507" w:rsidRPr="008379A5" w:rsidRDefault="00E15507" w:rsidP="008379A5">
            <w:pPr>
              <w:tabs>
                <w:tab w:val="left" w:pos="288"/>
                <w:tab w:val="left" w:pos="576"/>
                <w:tab w:val="left" w:pos="864"/>
                <w:tab w:val="left" w:pos="1152"/>
              </w:tabs>
              <w:suppressAutoHyphens/>
              <w:spacing w:before="40" w:after="40" w:line="210" w:lineRule="exact"/>
              <w:ind w:right="43"/>
              <w:jc w:val="right"/>
              <w:rPr>
                <w:sz w:val="17"/>
                <w:szCs w:val="17"/>
                <w:lang w:val="fr-FR"/>
              </w:rPr>
            </w:pPr>
            <w:r w:rsidRPr="008379A5">
              <w:rPr>
                <w:sz w:val="17"/>
                <w:szCs w:val="17"/>
                <w:lang w:val="fr-FR"/>
              </w:rPr>
              <w:t>18,6</w:t>
            </w:r>
          </w:p>
        </w:tc>
        <w:tc>
          <w:tcPr>
            <w:tcW w:w="1611" w:type="dxa"/>
            <w:shd w:val="clear" w:color="auto" w:fill="auto"/>
            <w:vAlign w:val="bottom"/>
          </w:tcPr>
          <w:p w:rsidR="00E15507" w:rsidRPr="008379A5" w:rsidRDefault="00E15507" w:rsidP="008379A5">
            <w:pPr>
              <w:tabs>
                <w:tab w:val="left" w:pos="288"/>
                <w:tab w:val="left" w:pos="576"/>
                <w:tab w:val="left" w:pos="864"/>
                <w:tab w:val="left" w:pos="1152"/>
              </w:tabs>
              <w:suppressAutoHyphens/>
              <w:spacing w:before="40" w:after="40" w:line="210" w:lineRule="exact"/>
              <w:ind w:right="43"/>
              <w:jc w:val="right"/>
              <w:rPr>
                <w:sz w:val="17"/>
                <w:szCs w:val="17"/>
                <w:lang w:val="fr-FR"/>
              </w:rPr>
            </w:pPr>
            <w:r w:rsidRPr="008379A5">
              <w:rPr>
                <w:sz w:val="17"/>
                <w:szCs w:val="17"/>
                <w:lang w:val="fr-FR"/>
              </w:rPr>
              <w:t>15,4</w:t>
            </w:r>
          </w:p>
        </w:tc>
      </w:tr>
      <w:tr w:rsidR="008379A5" w:rsidRPr="008379A5">
        <w:tc>
          <w:tcPr>
            <w:tcW w:w="2538" w:type="dxa"/>
            <w:shd w:val="clear" w:color="auto" w:fill="auto"/>
            <w:vAlign w:val="bottom"/>
          </w:tcPr>
          <w:p w:rsidR="00E15507" w:rsidRPr="008379A5" w:rsidRDefault="00E15507" w:rsidP="008379A5">
            <w:pPr>
              <w:tabs>
                <w:tab w:val="left" w:pos="288"/>
                <w:tab w:val="left" w:pos="576"/>
                <w:tab w:val="left" w:pos="864"/>
                <w:tab w:val="left" w:pos="1152"/>
              </w:tabs>
              <w:suppressAutoHyphens/>
              <w:spacing w:before="40" w:after="40" w:line="210" w:lineRule="exact"/>
              <w:ind w:right="43"/>
              <w:rPr>
                <w:sz w:val="17"/>
                <w:szCs w:val="17"/>
                <w:lang w:val="fr-FR"/>
              </w:rPr>
            </w:pPr>
            <w:r w:rsidRPr="008379A5">
              <w:rPr>
                <w:sz w:val="17"/>
                <w:szCs w:val="17"/>
                <w:lang w:val="fr-FR"/>
              </w:rPr>
              <w:t>TC1</w:t>
            </w:r>
          </w:p>
        </w:tc>
        <w:tc>
          <w:tcPr>
            <w:tcW w:w="1620" w:type="dxa"/>
            <w:gridSpan w:val="2"/>
            <w:shd w:val="clear" w:color="auto" w:fill="auto"/>
            <w:vAlign w:val="bottom"/>
          </w:tcPr>
          <w:p w:rsidR="00E15507" w:rsidRPr="008379A5" w:rsidRDefault="00E15507" w:rsidP="008379A5">
            <w:pPr>
              <w:tabs>
                <w:tab w:val="left" w:pos="288"/>
                <w:tab w:val="left" w:pos="576"/>
                <w:tab w:val="left" w:pos="864"/>
                <w:tab w:val="left" w:pos="1152"/>
              </w:tabs>
              <w:suppressAutoHyphens/>
              <w:spacing w:before="40" w:after="40" w:line="210" w:lineRule="exact"/>
              <w:ind w:right="43"/>
              <w:jc w:val="right"/>
              <w:rPr>
                <w:sz w:val="17"/>
                <w:szCs w:val="17"/>
                <w:lang w:val="fr-FR"/>
              </w:rPr>
            </w:pPr>
            <w:r w:rsidRPr="008379A5">
              <w:rPr>
                <w:sz w:val="17"/>
                <w:szCs w:val="17"/>
                <w:lang w:val="fr-FR"/>
              </w:rPr>
              <w:t>1,4</w:t>
            </w:r>
          </w:p>
        </w:tc>
        <w:tc>
          <w:tcPr>
            <w:tcW w:w="1620" w:type="dxa"/>
            <w:gridSpan w:val="2"/>
            <w:shd w:val="clear" w:color="auto" w:fill="auto"/>
            <w:vAlign w:val="bottom"/>
          </w:tcPr>
          <w:p w:rsidR="00E15507" w:rsidRPr="008379A5" w:rsidRDefault="00E15507" w:rsidP="008379A5">
            <w:pPr>
              <w:tabs>
                <w:tab w:val="left" w:pos="288"/>
                <w:tab w:val="left" w:pos="576"/>
                <w:tab w:val="left" w:pos="864"/>
                <w:tab w:val="left" w:pos="1152"/>
              </w:tabs>
              <w:suppressAutoHyphens/>
              <w:spacing w:before="40" w:after="40" w:line="210" w:lineRule="exact"/>
              <w:ind w:right="43"/>
              <w:jc w:val="right"/>
              <w:rPr>
                <w:sz w:val="17"/>
                <w:szCs w:val="17"/>
                <w:lang w:val="fr-FR"/>
              </w:rPr>
            </w:pPr>
            <w:r w:rsidRPr="008379A5">
              <w:rPr>
                <w:sz w:val="17"/>
                <w:szCs w:val="17"/>
                <w:lang w:val="fr-FR"/>
              </w:rPr>
              <w:t>1,6</w:t>
            </w:r>
          </w:p>
        </w:tc>
        <w:tc>
          <w:tcPr>
            <w:tcW w:w="1620" w:type="dxa"/>
            <w:gridSpan w:val="2"/>
            <w:shd w:val="clear" w:color="auto" w:fill="auto"/>
            <w:vAlign w:val="bottom"/>
          </w:tcPr>
          <w:p w:rsidR="00E15507" w:rsidRPr="008379A5" w:rsidRDefault="00E15507" w:rsidP="008379A5">
            <w:pPr>
              <w:tabs>
                <w:tab w:val="left" w:pos="288"/>
                <w:tab w:val="left" w:pos="576"/>
                <w:tab w:val="left" w:pos="864"/>
                <w:tab w:val="left" w:pos="1152"/>
              </w:tabs>
              <w:suppressAutoHyphens/>
              <w:spacing w:before="40" w:after="40" w:line="210" w:lineRule="exact"/>
              <w:ind w:right="43"/>
              <w:jc w:val="right"/>
              <w:rPr>
                <w:sz w:val="17"/>
                <w:szCs w:val="17"/>
                <w:lang w:val="fr-FR"/>
              </w:rPr>
            </w:pPr>
            <w:r w:rsidRPr="008379A5">
              <w:rPr>
                <w:sz w:val="17"/>
                <w:szCs w:val="17"/>
                <w:lang w:val="fr-FR"/>
              </w:rPr>
              <w:t>0,3</w:t>
            </w:r>
          </w:p>
        </w:tc>
        <w:tc>
          <w:tcPr>
            <w:tcW w:w="1611" w:type="dxa"/>
            <w:shd w:val="clear" w:color="auto" w:fill="auto"/>
            <w:vAlign w:val="bottom"/>
          </w:tcPr>
          <w:p w:rsidR="00E15507" w:rsidRPr="008379A5" w:rsidRDefault="00E15507" w:rsidP="008379A5">
            <w:pPr>
              <w:tabs>
                <w:tab w:val="left" w:pos="288"/>
                <w:tab w:val="left" w:pos="576"/>
                <w:tab w:val="left" w:pos="864"/>
                <w:tab w:val="left" w:pos="1152"/>
              </w:tabs>
              <w:suppressAutoHyphens/>
              <w:spacing w:before="40" w:after="40" w:line="210" w:lineRule="exact"/>
              <w:ind w:right="43"/>
              <w:jc w:val="right"/>
              <w:rPr>
                <w:sz w:val="17"/>
                <w:szCs w:val="17"/>
                <w:lang w:val="fr-FR"/>
              </w:rPr>
            </w:pPr>
            <w:r w:rsidRPr="008379A5">
              <w:rPr>
                <w:sz w:val="17"/>
                <w:szCs w:val="17"/>
                <w:lang w:val="fr-FR"/>
              </w:rPr>
              <w:t>0,8</w:t>
            </w:r>
          </w:p>
        </w:tc>
      </w:tr>
      <w:tr w:rsidR="008379A5" w:rsidRPr="008379A5">
        <w:tc>
          <w:tcPr>
            <w:tcW w:w="2538" w:type="dxa"/>
            <w:shd w:val="clear" w:color="auto" w:fill="auto"/>
            <w:vAlign w:val="bottom"/>
          </w:tcPr>
          <w:p w:rsidR="00E15507" w:rsidRPr="008379A5" w:rsidRDefault="00E15507" w:rsidP="008379A5">
            <w:pPr>
              <w:tabs>
                <w:tab w:val="left" w:pos="288"/>
                <w:tab w:val="left" w:pos="576"/>
                <w:tab w:val="left" w:pos="864"/>
                <w:tab w:val="left" w:pos="1152"/>
              </w:tabs>
              <w:suppressAutoHyphens/>
              <w:spacing w:before="40" w:after="40" w:line="210" w:lineRule="exact"/>
              <w:ind w:right="43"/>
              <w:rPr>
                <w:sz w:val="17"/>
                <w:szCs w:val="17"/>
                <w:lang w:val="fr-FR"/>
              </w:rPr>
            </w:pPr>
            <w:r w:rsidRPr="008379A5">
              <w:rPr>
                <w:sz w:val="17"/>
                <w:szCs w:val="17"/>
                <w:lang w:val="fr-FR"/>
              </w:rPr>
              <w:t>TC2</w:t>
            </w:r>
          </w:p>
        </w:tc>
        <w:tc>
          <w:tcPr>
            <w:tcW w:w="1620" w:type="dxa"/>
            <w:gridSpan w:val="2"/>
            <w:shd w:val="clear" w:color="auto" w:fill="auto"/>
            <w:vAlign w:val="bottom"/>
          </w:tcPr>
          <w:p w:rsidR="00E15507" w:rsidRPr="008379A5" w:rsidRDefault="00E15507" w:rsidP="008379A5">
            <w:pPr>
              <w:tabs>
                <w:tab w:val="left" w:pos="288"/>
                <w:tab w:val="left" w:pos="576"/>
                <w:tab w:val="left" w:pos="864"/>
                <w:tab w:val="left" w:pos="1152"/>
              </w:tabs>
              <w:suppressAutoHyphens/>
              <w:spacing w:before="40" w:after="40" w:line="210" w:lineRule="exact"/>
              <w:ind w:right="43"/>
              <w:jc w:val="right"/>
              <w:rPr>
                <w:sz w:val="17"/>
                <w:szCs w:val="17"/>
                <w:lang w:val="fr-FR"/>
              </w:rPr>
            </w:pPr>
            <w:r w:rsidRPr="008379A5">
              <w:rPr>
                <w:sz w:val="17"/>
                <w:szCs w:val="17"/>
                <w:lang w:val="fr-FR"/>
              </w:rPr>
              <w:t>15,6</w:t>
            </w:r>
          </w:p>
        </w:tc>
        <w:tc>
          <w:tcPr>
            <w:tcW w:w="1620" w:type="dxa"/>
            <w:gridSpan w:val="2"/>
            <w:shd w:val="clear" w:color="auto" w:fill="auto"/>
            <w:vAlign w:val="bottom"/>
          </w:tcPr>
          <w:p w:rsidR="00E15507" w:rsidRPr="008379A5" w:rsidRDefault="00E15507" w:rsidP="008379A5">
            <w:pPr>
              <w:tabs>
                <w:tab w:val="left" w:pos="288"/>
                <w:tab w:val="left" w:pos="576"/>
                <w:tab w:val="left" w:pos="864"/>
                <w:tab w:val="left" w:pos="1152"/>
              </w:tabs>
              <w:suppressAutoHyphens/>
              <w:spacing w:before="40" w:after="40" w:line="210" w:lineRule="exact"/>
              <w:ind w:right="43"/>
              <w:jc w:val="right"/>
              <w:rPr>
                <w:sz w:val="17"/>
                <w:szCs w:val="17"/>
                <w:lang w:val="fr-FR"/>
              </w:rPr>
            </w:pPr>
            <w:r w:rsidRPr="008379A5">
              <w:rPr>
                <w:sz w:val="17"/>
                <w:szCs w:val="17"/>
                <w:lang w:val="fr-FR"/>
              </w:rPr>
              <w:t>10,0</w:t>
            </w:r>
          </w:p>
        </w:tc>
        <w:tc>
          <w:tcPr>
            <w:tcW w:w="1620" w:type="dxa"/>
            <w:gridSpan w:val="2"/>
            <w:shd w:val="clear" w:color="auto" w:fill="auto"/>
            <w:vAlign w:val="bottom"/>
          </w:tcPr>
          <w:p w:rsidR="00E15507" w:rsidRPr="008379A5" w:rsidRDefault="00E15507" w:rsidP="008379A5">
            <w:pPr>
              <w:tabs>
                <w:tab w:val="left" w:pos="288"/>
                <w:tab w:val="left" w:pos="576"/>
                <w:tab w:val="left" w:pos="864"/>
                <w:tab w:val="left" w:pos="1152"/>
              </w:tabs>
              <w:suppressAutoHyphens/>
              <w:spacing w:before="40" w:after="40" w:line="210" w:lineRule="exact"/>
              <w:ind w:right="43"/>
              <w:jc w:val="right"/>
              <w:rPr>
                <w:sz w:val="17"/>
                <w:szCs w:val="17"/>
                <w:lang w:val="fr-FR"/>
              </w:rPr>
            </w:pPr>
            <w:r w:rsidRPr="008379A5">
              <w:rPr>
                <w:sz w:val="17"/>
                <w:szCs w:val="17"/>
                <w:lang w:val="fr-FR"/>
              </w:rPr>
              <w:t>0,4</w:t>
            </w:r>
          </w:p>
        </w:tc>
        <w:tc>
          <w:tcPr>
            <w:tcW w:w="1611" w:type="dxa"/>
            <w:shd w:val="clear" w:color="auto" w:fill="auto"/>
            <w:vAlign w:val="bottom"/>
          </w:tcPr>
          <w:p w:rsidR="00E15507" w:rsidRPr="008379A5" w:rsidRDefault="00E15507" w:rsidP="008379A5">
            <w:pPr>
              <w:tabs>
                <w:tab w:val="left" w:pos="288"/>
                <w:tab w:val="left" w:pos="576"/>
                <w:tab w:val="left" w:pos="864"/>
                <w:tab w:val="left" w:pos="1152"/>
              </w:tabs>
              <w:suppressAutoHyphens/>
              <w:spacing w:before="40" w:after="40" w:line="210" w:lineRule="exact"/>
              <w:ind w:right="43"/>
              <w:jc w:val="right"/>
              <w:rPr>
                <w:sz w:val="17"/>
                <w:szCs w:val="17"/>
                <w:lang w:val="fr-FR"/>
              </w:rPr>
            </w:pPr>
            <w:r w:rsidRPr="008379A5">
              <w:rPr>
                <w:sz w:val="17"/>
                <w:szCs w:val="17"/>
                <w:lang w:val="fr-FR"/>
              </w:rPr>
              <w:t>0,2</w:t>
            </w:r>
          </w:p>
        </w:tc>
      </w:tr>
      <w:tr w:rsidR="008379A5" w:rsidRPr="008379A5">
        <w:tc>
          <w:tcPr>
            <w:tcW w:w="2538" w:type="dxa"/>
            <w:shd w:val="clear" w:color="auto" w:fill="auto"/>
            <w:vAlign w:val="bottom"/>
          </w:tcPr>
          <w:p w:rsidR="00E15507" w:rsidRPr="008379A5" w:rsidRDefault="00E15507" w:rsidP="008379A5">
            <w:pPr>
              <w:tabs>
                <w:tab w:val="left" w:pos="288"/>
                <w:tab w:val="left" w:pos="576"/>
                <w:tab w:val="left" w:pos="864"/>
                <w:tab w:val="left" w:pos="1152"/>
              </w:tabs>
              <w:suppressAutoHyphens/>
              <w:spacing w:before="40" w:after="40" w:line="210" w:lineRule="exact"/>
              <w:ind w:right="43"/>
              <w:rPr>
                <w:sz w:val="17"/>
                <w:szCs w:val="17"/>
                <w:lang w:val="fr-FR"/>
              </w:rPr>
            </w:pPr>
            <w:r w:rsidRPr="008379A5">
              <w:rPr>
                <w:sz w:val="17"/>
                <w:szCs w:val="17"/>
                <w:lang w:val="fr-FR"/>
              </w:rPr>
              <w:t>HSC</w:t>
            </w:r>
          </w:p>
        </w:tc>
        <w:tc>
          <w:tcPr>
            <w:tcW w:w="1620" w:type="dxa"/>
            <w:gridSpan w:val="2"/>
            <w:shd w:val="clear" w:color="auto" w:fill="auto"/>
            <w:vAlign w:val="bottom"/>
          </w:tcPr>
          <w:p w:rsidR="00E15507" w:rsidRPr="008379A5" w:rsidRDefault="00E15507" w:rsidP="008379A5">
            <w:pPr>
              <w:tabs>
                <w:tab w:val="left" w:pos="288"/>
                <w:tab w:val="left" w:pos="576"/>
                <w:tab w:val="left" w:pos="864"/>
                <w:tab w:val="left" w:pos="1152"/>
              </w:tabs>
              <w:suppressAutoHyphens/>
              <w:spacing w:before="40" w:after="40" w:line="210" w:lineRule="exact"/>
              <w:ind w:right="43"/>
              <w:jc w:val="right"/>
              <w:rPr>
                <w:sz w:val="17"/>
                <w:szCs w:val="17"/>
                <w:lang w:val="fr-FR"/>
              </w:rPr>
            </w:pPr>
            <w:r w:rsidRPr="008379A5">
              <w:rPr>
                <w:sz w:val="17"/>
                <w:szCs w:val="17"/>
                <w:lang w:val="fr-FR"/>
              </w:rPr>
              <w:t>1,1</w:t>
            </w:r>
          </w:p>
        </w:tc>
        <w:tc>
          <w:tcPr>
            <w:tcW w:w="1620" w:type="dxa"/>
            <w:gridSpan w:val="2"/>
            <w:shd w:val="clear" w:color="auto" w:fill="auto"/>
            <w:vAlign w:val="bottom"/>
          </w:tcPr>
          <w:p w:rsidR="00E15507" w:rsidRPr="008379A5" w:rsidRDefault="00E15507" w:rsidP="008379A5">
            <w:pPr>
              <w:tabs>
                <w:tab w:val="left" w:pos="288"/>
                <w:tab w:val="left" w:pos="576"/>
                <w:tab w:val="left" w:pos="864"/>
                <w:tab w:val="left" w:pos="1152"/>
              </w:tabs>
              <w:suppressAutoHyphens/>
              <w:spacing w:before="40" w:after="40" w:line="210" w:lineRule="exact"/>
              <w:ind w:right="43"/>
              <w:jc w:val="right"/>
              <w:rPr>
                <w:sz w:val="17"/>
                <w:szCs w:val="17"/>
                <w:lang w:val="fr-FR"/>
              </w:rPr>
            </w:pPr>
            <w:r w:rsidRPr="008379A5">
              <w:rPr>
                <w:sz w:val="17"/>
                <w:szCs w:val="17"/>
                <w:lang w:val="fr-FR"/>
              </w:rPr>
              <w:t>0,5</w:t>
            </w:r>
          </w:p>
        </w:tc>
        <w:tc>
          <w:tcPr>
            <w:tcW w:w="1620" w:type="dxa"/>
            <w:gridSpan w:val="2"/>
            <w:shd w:val="clear" w:color="auto" w:fill="auto"/>
            <w:vAlign w:val="bottom"/>
          </w:tcPr>
          <w:p w:rsidR="00E15507" w:rsidRPr="008379A5" w:rsidRDefault="00E15507" w:rsidP="008379A5">
            <w:pPr>
              <w:tabs>
                <w:tab w:val="left" w:pos="288"/>
                <w:tab w:val="left" w:pos="576"/>
                <w:tab w:val="left" w:pos="864"/>
                <w:tab w:val="left" w:pos="1152"/>
              </w:tabs>
              <w:suppressAutoHyphens/>
              <w:spacing w:before="40" w:after="40" w:line="210" w:lineRule="exact"/>
              <w:ind w:right="43"/>
              <w:jc w:val="right"/>
              <w:rPr>
                <w:sz w:val="17"/>
                <w:szCs w:val="17"/>
                <w:lang w:val="fr-FR"/>
              </w:rPr>
            </w:pPr>
            <w:r w:rsidRPr="008379A5">
              <w:rPr>
                <w:sz w:val="17"/>
                <w:szCs w:val="17"/>
                <w:lang w:val="fr-FR"/>
              </w:rPr>
              <w:t>0,7</w:t>
            </w:r>
          </w:p>
        </w:tc>
        <w:tc>
          <w:tcPr>
            <w:tcW w:w="1611" w:type="dxa"/>
            <w:shd w:val="clear" w:color="auto" w:fill="auto"/>
            <w:vAlign w:val="bottom"/>
          </w:tcPr>
          <w:p w:rsidR="00E15507" w:rsidRPr="008379A5" w:rsidRDefault="00E15507" w:rsidP="008379A5">
            <w:pPr>
              <w:tabs>
                <w:tab w:val="left" w:pos="288"/>
                <w:tab w:val="left" w:pos="576"/>
                <w:tab w:val="left" w:pos="864"/>
                <w:tab w:val="left" w:pos="1152"/>
              </w:tabs>
              <w:suppressAutoHyphens/>
              <w:spacing w:before="40" w:after="40" w:line="210" w:lineRule="exact"/>
              <w:ind w:right="43"/>
              <w:jc w:val="right"/>
              <w:rPr>
                <w:sz w:val="17"/>
                <w:szCs w:val="17"/>
                <w:lang w:val="fr-FR"/>
              </w:rPr>
            </w:pPr>
            <w:r w:rsidRPr="008379A5">
              <w:rPr>
                <w:sz w:val="17"/>
                <w:szCs w:val="17"/>
                <w:lang w:val="fr-FR"/>
              </w:rPr>
              <w:t>0,2</w:t>
            </w:r>
          </w:p>
        </w:tc>
      </w:tr>
      <w:tr w:rsidR="008379A5" w:rsidRPr="008379A5">
        <w:tc>
          <w:tcPr>
            <w:tcW w:w="2538" w:type="dxa"/>
            <w:shd w:val="clear" w:color="auto" w:fill="auto"/>
            <w:vAlign w:val="bottom"/>
          </w:tcPr>
          <w:p w:rsidR="00E15507" w:rsidRPr="008379A5" w:rsidRDefault="00E15507" w:rsidP="008379A5">
            <w:pPr>
              <w:tabs>
                <w:tab w:val="left" w:pos="288"/>
                <w:tab w:val="left" w:pos="576"/>
                <w:tab w:val="left" w:pos="864"/>
                <w:tab w:val="left" w:pos="1152"/>
              </w:tabs>
              <w:suppressAutoHyphens/>
              <w:spacing w:before="40" w:after="40" w:line="210" w:lineRule="exact"/>
              <w:ind w:right="43"/>
              <w:rPr>
                <w:sz w:val="17"/>
                <w:szCs w:val="17"/>
                <w:lang w:val="fr-FR"/>
              </w:rPr>
            </w:pPr>
            <w:r w:rsidRPr="008379A5">
              <w:rPr>
                <w:sz w:val="17"/>
                <w:szCs w:val="17"/>
                <w:lang w:val="fr-FR"/>
              </w:rPr>
              <w:t>WASC</w:t>
            </w:r>
          </w:p>
        </w:tc>
        <w:tc>
          <w:tcPr>
            <w:tcW w:w="1620" w:type="dxa"/>
            <w:gridSpan w:val="2"/>
            <w:shd w:val="clear" w:color="auto" w:fill="auto"/>
            <w:vAlign w:val="bottom"/>
          </w:tcPr>
          <w:p w:rsidR="00E15507" w:rsidRPr="008379A5" w:rsidRDefault="00E15507" w:rsidP="008379A5">
            <w:pPr>
              <w:tabs>
                <w:tab w:val="left" w:pos="288"/>
                <w:tab w:val="left" w:pos="576"/>
                <w:tab w:val="left" w:pos="864"/>
                <w:tab w:val="left" w:pos="1152"/>
              </w:tabs>
              <w:suppressAutoHyphens/>
              <w:spacing w:before="40" w:after="40" w:line="210" w:lineRule="exact"/>
              <w:ind w:right="43"/>
              <w:jc w:val="right"/>
              <w:rPr>
                <w:sz w:val="17"/>
                <w:szCs w:val="17"/>
                <w:lang w:val="fr-FR"/>
              </w:rPr>
            </w:pPr>
            <w:r w:rsidRPr="008379A5">
              <w:rPr>
                <w:sz w:val="17"/>
                <w:szCs w:val="17"/>
                <w:lang w:val="fr-FR"/>
              </w:rPr>
              <w:t>5,0</w:t>
            </w:r>
          </w:p>
        </w:tc>
        <w:tc>
          <w:tcPr>
            <w:tcW w:w="1620" w:type="dxa"/>
            <w:gridSpan w:val="2"/>
            <w:shd w:val="clear" w:color="auto" w:fill="auto"/>
            <w:vAlign w:val="bottom"/>
          </w:tcPr>
          <w:p w:rsidR="00E15507" w:rsidRPr="008379A5" w:rsidRDefault="00E15507" w:rsidP="008379A5">
            <w:pPr>
              <w:tabs>
                <w:tab w:val="left" w:pos="288"/>
                <w:tab w:val="left" w:pos="576"/>
                <w:tab w:val="left" w:pos="864"/>
                <w:tab w:val="left" w:pos="1152"/>
              </w:tabs>
              <w:suppressAutoHyphens/>
              <w:spacing w:before="40" w:after="40" w:line="210" w:lineRule="exact"/>
              <w:ind w:right="43"/>
              <w:jc w:val="right"/>
              <w:rPr>
                <w:sz w:val="17"/>
                <w:szCs w:val="17"/>
                <w:lang w:val="fr-FR"/>
              </w:rPr>
            </w:pPr>
            <w:r w:rsidRPr="008379A5">
              <w:rPr>
                <w:sz w:val="17"/>
                <w:szCs w:val="17"/>
                <w:lang w:val="fr-FR"/>
              </w:rPr>
              <w:t>2,8</w:t>
            </w:r>
          </w:p>
        </w:tc>
        <w:tc>
          <w:tcPr>
            <w:tcW w:w="1620" w:type="dxa"/>
            <w:gridSpan w:val="2"/>
            <w:shd w:val="clear" w:color="auto" w:fill="auto"/>
            <w:vAlign w:val="bottom"/>
          </w:tcPr>
          <w:p w:rsidR="00E15507" w:rsidRPr="008379A5" w:rsidRDefault="00E15507" w:rsidP="008379A5">
            <w:pPr>
              <w:tabs>
                <w:tab w:val="left" w:pos="288"/>
                <w:tab w:val="left" w:pos="576"/>
                <w:tab w:val="left" w:pos="864"/>
                <w:tab w:val="left" w:pos="1152"/>
              </w:tabs>
              <w:suppressAutoHyphens/>
              <w:spacing w:before="40" w:after="40" w:line="210" w:lineRule="exact"/>
              <w:ind w:right="43"/>
              <w:jc w:val="right"/>
              <w:rPr>
                <w:sz w:val="17"/>
                <w:szCs w:val="17"/>
                <w:lang w:val="fr-FR"/>
              </w:rPr>
            </w:pPr>
            <w:r w:rsidRPr="008379A5">
              <w:rPr>
                <w:sz w:val="17"/>
                <w:szCs w:val="17"/>
                <w:lang w:val="fr-FR"/>
              </w:rPr>
              <w:t>0,5</w:t>
            </w:r>
          </w:p>
        </w:tc>
        <w:tc>
          <w:tcPr>
            <w:tcW w:w="1611" w:type="dxa"/>
            <w:shd w:val="clear" w:color="auto" w:fill="auto"/>
            <w:vAlign w:val="bottom"/>
          </w:tcPr>
          <w:p w:rsidR="00E15507" w:rsidRPr="008379A5" w:rsidRDefault="00E15507" w:rsidP="008379A5">
            <w:pPr>
              <w:tabs>
                <w:tab w:val="left" w:pos="288"/>
                <w:tab w:val="left" w:pos="576"/>
                <w:tab w:val="left" w:pos="864"/>
                <w:tab w:val="left" w:pos="1152"/>
              </w:tabs>
              <w:suppressAutoHyphens/>
              <w:spacing w:before="40" w:after="40" w:line="210" w:lineRule="exact"/>
              <w:ind w:right="43"/>
              <w:jc w:val="right"/>
              <w:rPr>
                <w:sz w:val="17"/>
                <w:szCs w:val="17"/>
                <w:lang w:val="fr-FR"/>
              </w:rPr>
            </w:pPr>
            <w:r w:rsidRPr="008379A5">
              <w:rPr>
                <w:sz w:val="17"/>
                <w:szCs w:val="17"/>
                <w:lang w:val="fr-FR"/>
              </w:rPr>
              <w:t>0,1</w:t>
            </w:r>
          </w:p>
        </w:tc>
      </w:tr>
      <w:tr w:rsidR="008379A5" w:rsidRPr="008379A5">
        <w:tc>
          <w:tcPr>
            <w:tcW w:w="2538" w:type="dxa"/>
            <w:shd w:val="clear" w:color="auto" w:fill="auto"/>
            <w:vAlign w:val="bottom"/>
          </w:tcPr>
          <w:p w:rsidR="00E15507" w:rsidRPr="008379A5" w:rsidRDefault="00E15507" w:rsidP="008379A5">
            <w:pPr>
              <w:tabs>
                <w:tab w:val="left" w:pos="288"/>
                <w:tab w:val="left" w:pos="576"/>
                <w:tab w:val="left" w:pos="864"/>
                <w:tab w:val="left" w:pos="1152"/>
              </w:tabs>
              <w:suppressAutoHyphens/>
              <w:spacing w:before="40" w:after="40" w:line="210" w:lineRule="exact"/>
              <w:ind w:right="43"/>
              <w:rPr>
                <w:sz w:val="17"/>
                <w:szCs w:val="17"/>
                <w:lang w:val="fr-FR"/>
              </w:rPr>
            </w:pPr>
            <w:r w:rsidRPr="008379A5">
              <w:rPr>
                <w:sz w:val="17"/>
                <w:szCs w:val="17"/>
                <w:lang w:val="fr-FR"/>
              </w:rPr>
              <w:t>G</w:t>
            </w:r>
            <w:r w:rsidR="008379A5" w:rsidRPr="008379A5">
              <w:rPr>
                <w:sz w:val="17"/>
                <w:szCs w:val="17"/>
                <w:lang w:val="fr-FR"/>
              </w:rPr>
              <w:t>raduate technical officers</w:t>
            </w:r>
          </w:p>
        </w:tc>
        <w:tc>
          <w:tcPr>
            <w:tcW w:w="1620" w:type="dxa"/>
            <w:gridSpan w:val="2"/>
            <w:shd w:val="clear" w:color="auto" w:fill="auto"/>
            <w:vAlign w:val="bottom"/>
          </w:tcPr>
          <w:p w:rsidR="00E15507" w:rsidRPr="008379A5" w:rsidRDefault="00E15507" w:rsidP="008379A5">
            <w:pPr>
              <w:tabs>
                <w:tab w:val="left" w:pos="288"/>
                <w:tab w:val="left" w:pos="576"/>
                <w:tab w:val="left" w:pos="864"/>
                <w:tab w:val="left" w:pos="1152"/>
              </w:tabs>
              <w:suppressAutoHyphens/>
              <w:spacing w:before="40" w:after="40" w:line="210" w:lineRule="exact"/>
              <w:ind w:right="43"/>
              <w:jc w:val="right"/>
              <w:rPr>
                <w:sz w:val="17"/>
                <w:szCs w:val="17"/>
                <w:u w:val="single"/>
                <w:lang w:val="fr-FR"/>
              </w:rPr>
            </w:pPr>
            <w:r w:rsidRPr="008379A5">
              <w:rPr>
                <w:sz w:val="17"/>
                <w:szCs w:val="17"/>
                <w:lang w:val="fr-FR"/>
              </w:rPr>
              <w:t>2,6</w:t>
            </w:r>
          </w:p>
        </w:tc>
        <w:tc>
          <w:tcPr>
            <w:tcW w:w="1620" w:type="dxa"/>
            <w:gridSpan w:val="2"/>
            <w:shd w:val="clear" w:color="auto" w:fill="auto"/>
            <w:vAlign w:val="bottom"/>
          </w:tcPr>
          <w:p w:rsidR="00E15507" w:rsidRPr="008379A5" w:rsidRDefault="00E15507" w:rsidP="008379A5">
            <w:pPr>
              <w:tabs>
                <w:tab w:val="left" w:pos="288"/>
                <w:tab w:val="left" w:pos="576"/>
                <w:tab w:val="left" w:pos="864"/>
                <w:tab w:val="left" w:pos="1152"/>
              </w:tabs>
              <w:suppressAutoHyphens/>
              <w:spacing w:before="40" w:after="40" w:line="210" w:lineRule="exact"/>
              <w:ind w:right="43"/>
              <w:jc w:val="right"/>
              <w:rPr>
                <w:sz w:val="17"/>
                <w:szCs w:val="17"/>
                <w:lang w:val="fr-FR"/>
              </w:rPr>
            </w:pPr>
            <w:r w:rsidRPr="008379A5">
              <w:rPr>
                <w:sz w:val="17"/>
                <w:szCs w:val="17"/>
                <w:lang w:val="fr-FR"/>
              </w:rPr>
              <w:t>3,1</w:t>
            </w:r>
          </w:p>
        </w:tc>
        <w:tc>
          <w:tcPr>
            <w:tcW w:w="1620" w:type="dxa"/>
            <w:gridSpan w:val="2"/>
            <w:shd w:val="clear" w:color="auto" w:fill="auto"/>
            <w:vAlign w:val="bottom"/>
          </w:tcPr>
          <w:p w:rsidR="00E15507" w:rsidRPr="008379A5" w:rsidRDefault="00E15507" w:rsidP="008379A5">
            <w:pPr>
              <w:tabs>
                <w:tab w:val="left" w:pos="288"/>
                <w:tab w:val="left" w:pos="576"/>
                <w:tab w:val="left" w:pos="864"/>
                <w:tab w:val="left" w:pos="1152"/>
              </w:tabs>
              <w:suppressAutoHyphens/>
              <w:spacing w:before="40" w:after="40" w:line="210" w:lineRule="exact"/>
              <w:ind w:right="43"/>
              <w:jc w:val="right"/>
              <w:rPr>
                <w:sz w:val="17"/>
                <w:szCs w:val="17"/>
                <w:lang w:val="fr-FR"/>
              </w:rPr>
            </w:pPr>
            <w:r w:rsidRPr="008379A5">
              <w:rPr>
                <w:sz w:val="17"/>
                <w:szCs w:val="17"/>
                <w:lang w:val="fr-FR"/>
              </w:rPr>
              <w:t>26,9</w:t>
            </w:r>
          </w:p>
        </w:tc>
        <w:tc>
          <w:tcPr>
            <w:tcW w:w="1611" w:type="dxa"/>
            <w:shd w:val="clear" w:color="auto" w:fill="auto"/>
            <w:vAlign w:val="bottom"/>
          </w:tcPr>
          <w:p w:rsidR="00E15507" w:rsidRPr="008379A5" w:rsidRDefault="00E15507" w:rsidP="008379A5">
            <w:pPr>
              <w:tabs>
                <w:tab w:val="left" w:pos="288"/>
                <w:tab w:val="left" w:pos="576"/>
                <w:tab w:val="left" w:pos="864"/>
                <w:tab w:val="left" w:pos="1152"/>
              </w:tabs>
              <w:suppressAutoHyphens/>
              <w:spacing w:before="40" w:after="40" w:line="210" w:lineRule="exact"/>
              <w:ind w:right="43"/>
              <w:jc w:val="right"/>
              <w:rPr>
                <w:sz w:val="17"/>
                <w:szCs w:val="17"/>
                <w:lang w:val="fr-FR"/>
              </w:rPr>
            </w:pPr>
            <w:r w:rsidRPr="008379A5">
              <w:rPr>
                <w:sz w:val="17"/>
                <w:szCs w:val="17"/>
                <w:lang w:val="fr-FR"/>
              </w:rPr>
              <w:t>17,1</w:t>
            </w:r>
          </w:p>
        </w:tc>
      </w:tr>
      <w:tr w:rsidR="008379A5" w:rsidRPr="008379A5">
        <w:tc>
          <w:tcPr>
            <w:tcW w:w="2538" w:type="dxa"/>
            <w:shd w:val="clear" w:color="auto" w:fill="auto"/>
            <w:vAlign w:val="bottom"/>
          </w:tcPr>
          <w:p w:rsidR="00E15507" w:rsidRPr="008379A5" w:rsidRDefault="00E15507" w:rsidP="008379A5">
            <w:pPr>
              <w:tabs>
                <w:tab w:val="left" w:pos="288"/>
                <w:tab w:val="left" w:pos="576"/>
                <w:tab w:val="left" w:pos="864"/>
                <w:tab w:val="left" w:pos="1152"/>
              </w:tabs>
              <w:suppressAutoHyphens/>
              <w:spacing w:before="40" w:after="40" w:line="210" w:lineRule="exact"/>
              <w:ind w:right="43"/>
              <w:rPr>
                <w:sz w:val="17"/>
                <w:szCs w:val="17"/>
                <w:lang w:val="fr-FR"/>
              </w:rPr>
            </w:pPr>
            <w:r w:rsidRPr="008379A5">
              <w:rPr>
                <w:sz w:val="17"/>
                <w:szCs w:val="17"/>
                <w:lang w:val="fr-FR"/>
              </w:rPr>
              <w:t>E</w:t>
            </w:r>
            <w:r w:rsidR="008379A5" w:rsidRPr="008379A5">
              <w:rPr>
                <w:sz w:val="17"/>
                <w:szCs w:val="17"/>
                <w:lang w:val="fr-FR"/>
              </w:rPr>
              <w:t>ducation speciale</w:t>
            </w:r>
          </w:p>
        </w:tc>
        <w:tc>
          <w:tcPr>
            <w:tcW w:w="1620" w:type="dxa"/>
            <w:gridSpan w:val="2"/>
            <w:shd w:val="clear" w:color="auto" w:fill="auto"/>
            <w:vAlign w:val="bottom"/>
          </w:tcPr>
          <w:p w:rsidR="00E15507" w:rsidRPr="008379A5" w:rsidRDefault="00E15507" w:rsidP="008379A5">
            <w:pPr>
              <w:tabs>
                <w:tab w:val="left" w:pos="288"/>
                <w:tab w:val="left" w:pos="576"/>
                <w:tab w:val="left" w:pos="864"/>
                <w:tab w:val="left" w:pos="1152"/>
              </w:tabs>
              <w:suppressAutoHyphens/>
              <w:spacing w:before="40" w:after="40" w:line="210" w:lineRule="exact"/>
              <w:ind w:right="43"/>
              <w:jc w:val="right"/>
              <w:rPr>
                <w:sz w:val="17"/>
                <w:szCs w:val="17"/>
                <w:lang w:val="fr-FR"/>
              </w:rPr>
            </w:pPr>
            <w:r w:rsidRPr="008379A5">
              <w:rPr>
                <w:sz w:val="17"/>
                <w:szCs w:val="17"/>
                <w:lang w:val="fr-FR"/>
              </w:rPr>
              <w:t>1,1</w:t>
            </w:r>
          </w:p>
        </w:tc>
        <w:tc>
          <w:tcPr>
            <w:tcW w:w="1620" w:type="dxa"/>
            <w:gridSpan w:val="2"/>
            <w:shd w:val="clear" w:color="auto" w:fill="auto"/>
            <w:vAlign w:val="bottom"/>
          </w:tcPr>
          <w:p w:rsidR="00E15507" w:rsidRPr="008379A5" w:rsidRDefault="00E15507" w:rsidP="008379A5">
            <w:pPr>
              <w:tabs>
                <w:tab w:val="left" w:pos="288"/>
                <w:tab w:val="left" w:pos="576"/>
                <w:tab w:val="left" w:pos="864"/>
                <w:tab w:val="left" w:pos="1152"/>
              </w:tabs>
              <w:suppressAutoHyphens/>
              <w:spacing w:before="40" w:after="40" w:line="210" w:lineRule="exact"/>
              <w:ind w:right="43"/>
              <w:jc w:val="right"/>
              <w:rPr>
                <w:sz w:val="17"/>
                <w:szCs w:val="17"/>
                <w:lang w:val="fr-FR"/>
              </w:rPr>
            </w:pPr>
            <w:r w:rsidRPr="008379A5">
              <w:rPr>
                <w:sz w:val="17"/>
                <w:szCs w:val="17"/>
                <w:lang w:val="fr-FR"/>
              </w:rPr>
              <w:t>0,4</w:t>
            </w:r>
          </w:p>
        </w:tc>
        <w:tc>
          <w:tcPr>
            <w:tcW w:w="1620" w:type="dxa"/>
            <w:gridSpan w:val="2"/>
            <w:shd w:val="clear" w:color="auto" w:fill="auto"/>
            <w:vAlign w:val="bottom"/>
          </w:tcPr>
          <w:p w:rsidR="00E15507" w:rsidRPr="008379A5" w:rsidRDefault="00E15507" w:rsidP="008379A5">
            <w:pPr>
              <w:tabs>
                <w:tab w:val="left" w:pos="288"/>
                <w:tab w:val="left" w:pos="576"/>
                <w:tab w:val="left" w:pos="864"/>
                <w:tab w:val="left" w:pos="1152"/>
              </w:tabs>
              <w:suppressAutoHyphens/>
              <w:spacing w:before="40" w:after="40" w:line="210" w:lineRule="exact"/>
              <w:ind w:right="43"/>
              <w:jc w:val="right"/>
              <w:rPr>
                <w:sz w:val="17"/>
                <w:szCs w:val="17"/>
                <w:lang w:val="fr-FR"/>
              </w:rPr>
            </w:pPr>
            <w:r w:rsidRPr="008379A5">
              <w:rPr>
                <w:sz w:val="17"/>
                <w:szCs w:val="17"/>
                <w:lang w:val="fr-FR"/>
              </w:rPr>
              <w:t>0,2</w:t>
            </w:r>
          </w:p>
        </w:tc>
        <w:tc>
          <w:tcPr>
            <w:tcW w:w="1611" w:type="dxa"/>
            <w:shd w:val="clear" w:color="auto" w:fill="auto"/>
            <w:vAlign w:val="bottom"/>
          </w:tcPr>
          <w:p w:rsidR="00E15507" w:rsidRPr="008379A5" w:rsidRDefault="00E15507" w:rsidP="008379A5">
            <w:pPr>
              <w:tabs>
                <w:tab w:val="left" w:pos="288"/>
                <w:tab w:val="left" w:pos="576"/>
                <w:tab w:val="left" w:pos="864"/>
                <w:tab w:val="left" w:pos="1152"/>
              </w:tabs>
              <w:suppressAutoHyphens/>
              <w:spacing w:before="40" w:after="40" w:line="210" w:lineRule="exact"/>
              <w:ind w:right="43"/>
              <w:jc w:val="right"/>
              <w:rPr>
                <w:sz w:val="17"/>
                <w:szCs w:val="17"/>
                <w:lang w:val="fr-FR"/>
              </w:rPr>
            </w:pPr>
            <w:r w:rsidRPr="008379A5">
              <w:rPr>
                <w:sz w:val="17"/>
                <w:szCs w:val="17"/>
                <w:lang w:val="fr-FR"/>
              </w:rPr>
              <w:t>0,1</w:t>
            </w:r>
          </w:p>
        </w:tc>
      </w:tr>
      <w:tr w:rsidR="008379A5" w:rsidRPr="008379A5">
        <w:tc>
          <w:tcPr>
            <w:tcW w:w="2538" w:type="dxa"/>
            <w:shd w:val="clear" w:color="auto" w:fill="auto"/>
            <w:vAlign w:val="bottom"/>
          </w:tcPr>
          <w:p w:rsidR="00E15507" w:rsidRPr="008379A5" w:rsidRDefault="00E15507" w:rsidP="008379A5">
            <w:pPr>
              <w:tabs>
                <w:tab w:val="left" w:pos="288"/>
                <w:tab w:val="left" w:pos="576"/>
                <w:tab w:val="left" w:pos="864"/>
                <w:tab w:val="left" w:pos="1152"/>
              </w:tabs>
              <w:suppressAutoHyphens/>
              <w:spacing w:before="40" w:after="40" w:line="210" w:lineRule="exact"/>
              <w:ind w:right="43"/>
              <w:rPr>
                <w:sz w:val="17"/>
                <w:szCs w:val="17"/>
                <w:lang w:val="fr-FR"/>
              </w:rPr>
            </w:pPr>
            <w:r w:rsidRPr="008379A5">
              <w:rPr>
                <w:sz w:val="17"/>
                <w:szCs w:val="17"/>
                <w:lang w:val="fr-FR"/>
              </w:rPr>
              <w:t>A</w:t>
            </w:r>
            <w:r w:rsidR="008379A5" w:rsidRPr="008379A5">
              <w:rPr>
                <w:sz w:val="17"/>
                <w:szCs w:val="17"/>
                <w:lang w:val="fr-FR"/>
              </w:rPr>
              <w:t>utres</w:t>
            </w:r>
          </w:p>
        </w:tc>
        <w:tc>
          <w:tcPr>
            <w:tcW w:w="1620" w:type="dxa"/>
            <w:gridSpan w:val="2"/>
            <w:shd w:val="clear" w:color="auto" w:fill="auto"/>
            <w:vAlign w:val="bottom"/>
          </w:tcPr>
          <w:p w:rsidR="00E15507" w:rsidRPr="008379A5" w:rsidRDefault="00E15507" w:rsidP="008379A5">
            <w:pPr>
              <w:tabs>
                <w:tab w:val="left" w:pos="288"/>
                <w:tab w:val="left" w:pos="576"/>
                <w:tab w:val="left" w:pos="864"/>
                <w:tab w:val="left" w:pos="1152"/>
              </w:tabs>
              <w:suppressAutoHyphens/>
              <w:spacing w:before="40" w:after="40" w:line="210" w:lineRule="exact"/>
              <w:ind w:right="43"/>
              <w:jc w:val="right"/>
              <w:rPr>
                <w:sz w:val="17"/>
                <w:szCs w:val="17"/>
                <w:lang w:val="fr-FR"/>
              </w:rPr>
            </w:pPr>
            <w:r w:rsidRPr="008379A5">
              <w:rPr>
                <w:sz w:val="17"/>
                <w:szCs w:val="17"/>
                <w:lang w:val="fr-FR"/>
              </w:rPr>
              <w:t>7,8</w:t>
            </w:r>
          </w:p>
        </w:tc>
        <w:tc>
          <w:tcPr>
            <w:tcW w:w="1620" w:type="dxa"/>
            <w:gridSpan w:val="2"/>
            <w:shd w:val="clear" w:color="auto" w:fill="auto"/>
            <w:vAlign w:val="bottom"/>
          </w:tcPr>
          <w:p w:rsidR="00E15507" w:rsidRPr="008379A5" w:rsidRDefault="00E15507" w:rsidP="008379A5">
            <w:pPr>
              <w:tabs>
                <w:tab w:val="left" w:pos="288"/>
                <w:tab w:val="left" w:pos="576"/>
                <w:tab w:val="left" w:pos="864"/>
                <w:tab w:val="left" w:pos="1152"/>
              </w:tabs>
              <w:suppressAutoHyphens/>
              <w:spacing w:before="40" w:after="40" w:line="210" w:lineRule="exact"/>
              <w:ind w:right="43"/>
              <w:jc w:val="right"/>
              <w:rPr>
                <w:sz w:val="17"/>
                <w:szCs w:val="17"/>
                <w:lang w:val="fr-FR"/>
              </w:rPr>
            </w:pPr>
            <w:r w:rsidRPr="008379A5">
              <w:rPr>
                <w:sz w:val="17"/>
                <w:szCs w:val="17"/>
                <w:lang w:val="fr-FR"/>
              </w:rPr>
              <w:t>3,9</w:t>
            </w:r>
          </w:p>
        </w:tc>
        <w:tc>
          <w:tcPr>
            <w:tcW w:w="1620" w:type="dxa"/>
            <w:gridSpan w:val="2"/>
            <w:shd w:val="clear" w:color="auto" w:fill="auto"/>
            <w:vAlign w:val="bottom"/>
          </w:tcPr>
          <w:p w:rsidR="00E15507" w:rsidRPr="008379A5" w:rsidRDefault="00E15507" w:rsidP="008379A5">
            <w:pPr>
              <w:tabs>
                <w:tab w:val="left" w:pos="288"/>
                <w:tab w:val="left" w:pos="576"/>
                <w:tab w:val="left" w:pos="864"/>
                <w:tab w:val="left" w:pos="1152"/>
              </w:tabs>
              <w:suppressAutoHyphens/>
              <w:spacing w:before="40" w:after="40" w:line="210" w:lineRule="exact"/>
              <w:ind w:right="43"/>
              <w:jc w:val="right"/>
              <w:rPr>
                <w:sz w:val="17"/>
                <w:szCs w:val="17"/>
                <w:lang w:val="fr-FR"/>
              </w:rPr>
            </w:pPr>
            <w:r w:rsidRPr="008379A5">
              <w:rPr>
                <w:sz w:val="17"/>
                <w:szCs w:val="17"/>
                <w:lang w:val="fr-FR"/>
              </w:rPr>
              <w:t>2,2</w:t>
            </w:r>
          </w:p>
        </w:tc>
        <w:tc>
          <w:tcPr>
            <w:tcW w:w="1611" w:type="dxa"/>
            <w:shd w:val="clear" w:color="auto" w:fill="auto"/>
            <w:vAlign w:val="bottom"/>
          </w:tcPr>
          <w:p w:rsidR="00E15507" w:rsidRPr="008379A5" w:rsidRDefault="00E15507" w:rsidP="008379A5">
            <w:pPr>
              <w:tabs>
                <w:tab w:val="left" w:pos="288"/>
                <w:tab w:val="left" w:pos="576"/>
                <w:tab w:val="left" w:pos="864"/>
                <w:tab w:val="left" w:pos="1152"/>
              </w:tabs>
              <w:suppressAutoHyphens/>
              <w:spacing w:before="40" w:after="40" w:line="210" w:lineRule="exact"/>
              <w:ind w:right="43"/>
              <w:jc w:val="right"/>
              <w:rPr>
                <w:sz w:val="17"/>
                <w:szCs w:val="17"/>
                <w:lang w:val="fr-FR"/>
              </w:rPr>
            </w:pPr>
            <w:r w:rsidRPr="008379A5">
              <w:rPr>
                <w:sz w:val="17"/>
                <w:szCs w:val="17"/>
                <w:lang w:val="fr-FR"/>
              </w:rPr>
              <w:t>0,8</w:t>
            </w:r>
          </w:p>
        </w:tc>
      </w:tr>
      <w:tr w:rsidR="008379A5" w:rsidRPr="008379A5">
        <w:tc>
          <w:tcPr>
            <w:tcW w:w="2538" w:type="dxa"/>
            <w:shd w:val="clear" w:color="auto" w:fill="auto"/>
            <w:vAlign w:val="bottom"/>
          </w:tcPr>
          <w:p w:rsidR="00E15507" w:rsidRPr="008379A5" w:rsidRDefault="00E15507" w:rsidP="008379A5">
            <w:pPr>
              <w:tabs>
                <w:tab w:val="left" w:pos="288"/>
                <w:tab w:val="left" w:pos="576"/>
                <w:tab w:val="left" w:pos="864"/>
                <w:tab w:val="left" w:pos="1152"/>
              </w:tabs>
              <w:suppressAutoHyphens/>
              <w:spacing w:before="40" w:after="40" w:line="210" w:lineRule="exact"/>
              <w:ind w:right="43"/>
              <w:rPr>
                <w:sz w:val="17"/>
                <w:szCs w:val="17"/>
                <w:lang w:val="fr-FR"/>
              </w:rPr>
            </w:pPr>
            <w:r w:rsidRPr="008379A5">
              <w:rPr>
                <w:sz w:val="17"/>
                <w:szCs w:val="17"/>
                <w:lang w:val="fr-FR"/>
              </w:rPr>
              <w:t>N</w:t>
            </w:r>
            <w:r w:rsidR="008379A5" w:rsidRPr="008379A5">
              <w:rPr>
                <w:sz w:val="17"/>
                <w:szCs w:val="17"/>
                <w:lang w:val="fr-FR"/>
              </w:rPr>
              <w:t>ational</w:t>
            </w:r>
          </w:p>
        </w:tc>
        <w:tc>
          <w:tcPr>
            <w:tcW w:w="1620" w:type="dxa"/>
            <w:gridSpan w:val="2"/>
            <w:shd w:val="clear" w:color="auto" w:fill="auto"/>
            <w:vAlign w:val="bottom"/>
          </w:tcPr>
          <w:p w:rsidR="00E15507" w:rsidRPr="008379A5" w:rsidRDefault="00E15507" w:rsidP="008379A5">
            <w:pPr>
              <w:tabs>
                <w:tab w:val="left" w:pos="288"/>
                <w:tab w:val="left" w:pos="576"/>
                <w:tab w:val="left" w:pos="864"/>
                <w:tab w:val="left" w:pos="1152"/>
              </w:tabs>
              <w:suppressAutoHyphens/>
              <w:spacing w:before="40" w:after="40" w:line="210" w:lineRule="exact"/>
              <w:ind w:right="43"/>
              <w:jc w:val="right"/>
              <w:rPr>
                <w:sz w:val="17"/>
                <w:szCs w:val="17"/>
                <w:lang w:val="fr-FR"/>
              </w:rPr>
            </w:pPr>
            <w:r w:rsidRPr="008379A5">
              <w:rPr>
                <w:sz w:val="17"/>
                <w:szCs w:val="17"/>
                <w:lang w:val="fr-FR"/>
              </w:rPr>
              <w:t>52,2 %</w:t>
            </w:r>
          </w:p>
        </w:tc>
        <w:tc>
          <w:tcPr>
            <w:tcW w:w="1620" w:type="dxa"/>
            <w:gridSpan w:val="2"/>
            <w:shd w:val="clear" w:color="auto" w:fill="auto"/>
            <w:vAlign w:val="bottom"/>
          </w:tcPr>
          <w:p w:rsidR="00E15507" w:rsidRPr="008379A5" w:rsidRDefault="00E15507" w:rsidP="008379A5">
            <w:pPr>
              <w:tabs>
                <w:tab w:val="left" w:pos="288"/>
                <w:tab w:val="left" w:pos="576"/>
                <w:tab w:val="left" w:pos="864"/>
                <w:tab w:val="left" w:pos="1152"/>
              </w:tabs>
              <w:suppressAutoHyphens/>
              <w:spacing w:before="40" w:after="40" w:line="210" w:lineRule="exact"/>
              <w:ind w:right="43"/>
              <w:jc w:val="right"/>
              <w:rPr>
                <w:sz w:val="17"/>
                <w:szCs w:val="17"/>
                <w:lang w:val="fr-FR"/>
              </w:rPr>
            </w:pPr>
            <w:r w:rsidRPr="008379A5">
              <w:rPr>
                <w:sz w:val="17"/>
                <w:szCs w:val="17"/>
                <w:lang w:val="fr-FR"/>
              </w:rPr>
              <w:t>47,8 %</w:t>
            </w:r>
          </w:p>
        </w:tc>
        <w:tc>
          <w:tcPr>
            <w:tcW w:w="1620" w:type="dxa"/>
            <w:gridSpan w:val="2"/>
            <w:shd w:val="clear" w:color="auto" w:fill="auto"/>
            <w:vAlign w:val="bottom"/>
          </w:tcPr>
          <w:p w:rsidR="00E15507" w:rsidRPr="008379A5" w:rsidRDefault="00E15507" w:rsidP="008379A5">
            <w:pPr>
              <w:tabs>
                <w:tab w:val="left" w:pos="288"/>
                <w:tab w:val="left" w:pos="576"/>
                <w:tab w:val="left" w:pos="864"/>
                <w:tab w:val="left" w:pos="1152"/>
              </w:tabs>
              <w:suppressAutoHyphens/>
              <w:spacing w:before="40" w:after="40" w:line="210" w:lineRule="exact"/>
              <w:ind w:right="43"/>
              <w:jc w:val="right"/>
              <w:rPr>
                <w:sz w:val="17"/>
                <w:szCs w:val="17"/>
                <w:lang w:val="fr-FR"/>
              </w:rPr>
            </w:pPr>
            <w:r w:rsidRPr="008379A5">
              <w:rPr>
                <w:sz w:val="17"/>
                <w:szCs w:val="17"/>
                <w:lang w:val="fr-FR"/>
              </w:rPr>
              <w:t>61 %</w:t>
            </w:r>
          </w:p>
        </w:tc>
        <w:tc>
          <w:tcPr>
            <w:tcW w:w="1611" w:type="dxa"/>
            <w:shd w:val="clear" w:color="auto" w:fill="auto"/>
            <w:vAlign w:val="bottom"/>
          </w:tcPr>
          <w:p w:rsidR="00E15507" w:rsidRPr="008379A5" w:rsidRDefault="00E15507" w:rsidP="008379A5">
            <w:pPr>
              <w:tabs>
                <w:tab w:val="left" w:pos="288"/>
                <w:tab w:val="left" w:pos="576"/>
                <w:tab w:val="left" w:pos="864"/>
                <w:tab w:val="left" w:pos="1152"/>
              </w:tabs>
              <w:suppressAutoHyphens/>
              <w:spacing w:before="40" w:after="40" w:line="210" w:lineRule="exact"/>
              <w:ind w:right="43"/>
              <w:jc w:val="right"/>
              <w:rPr>
                <w:sz w:val="17"/>
                <w:szCs w:val="17"/>
                <w:lang w:val="fr-FR"/>
              </w:rPr>
            </w:pPr>
            <w:r w:rsidRPr="008379A5">
              <w:rPr>
                <w:sz w:val="17"/>
                <w:szCs w:val="17"/>
                <w:lang w:val="fr-FR"/>
              </w:rPr>
              <w:t>39 %</w:t>
            </w:r>
          </w:p>
        </w:tc>
      </w:tr>
      <w:tr w:rsidR="00E15507" w:rsidRPr="008379A5">
        <w:trPr>
          <w:trHeight w:val="108"/>
        </w:trPr>
        <w:tc>
          <w:tcPr>
            <w:tcW w:w="9009" w:type="dxa"/>
            <w:gridSpan w:val="8"/>
            <w:tcBorders>
              <w:bottom w:val="single" w:sz="12" w:space="0" w:color="auto"/>
            </w:tcBorders>
            <w:shd w:val="clear" w:color="auto" w:fill="auto"/>
            <w:vAlign w:val="bottom"/>
          </w:tcPr>
          <w:p w:rsidR="00E15507" w:rsidRPr="0067628B" w:rsidRDefault="0067628B" w:rsidP="008379A5">
            <w:pPr>
              <w:tabs>
                <w:tab w:val="left" w:pos="288"/>
                <w:tab w:val="left" w:pos="576"/>
                <w:tab w:val="left" w:pos="864"/>
                <w:tab w:val="left" w:pos="1152"/>
              </w:tabs>
              <w:suppressAutoHyphens/>
              <w:spacing w:before="40" w:after="40" w:line="210" w:lineRule="exact"/>
              <w:ind w:right="43"/>
              <w:rPr>
                <w:b/>
                <w:bCs/>
                <w:iCs/>
                <w:sz w:val="17"/>
                <w:szCs w:val="17"/>
                <w:lang w:val="fr-FR"/>
              </w:rPr>
            </w:pPr>
            <w:r w:rsidRPr="0067628B">
              <w:rPr>
                <w:bCs/>
                <w:i/>
                <w:iCs/>
                <w:sz w:val="17"/>
                <w:szCs w:val="17"/>
                <w:lang w:val="fr-FR"/>
              </w:rPr>
              <w:t>Source</w:t>
            </w:r>
            <w:r w:rsidRPr="0067628B">
              <w:rPr>
                <w:b/>
                <w:bCs/>
                <w:i/>
                <w:iCs/>
                <w:sz w:val="17"/>
                <w:szCs w:val="17"/>
                <w:lang w:val="fr-FR"/>
              </w:rPr>
              <w:t> :</w:t>
            </w:r>
            <w:r w:rsidRPr="0067628B">
              <w:rPr>
                <w:bCs/>
                <w:iCs/>
                <w:sz w:val="17"/>
                <w:szCs w:val="17"/>
                <w:lang w:val="fr-FR"/>
              </w:rPr>
              <w:t xml:space="preserve"> Ministère fédéral de l</w:t>
            </w:r>
            <w:r w:rsidR="000A3D87">
              <w:rPr>
                <w:bCs/>
                <w:iCs/>
                <w:sz w:val="17"/>
                <w:szCs w:val="17"/>
                <w:lang w:val="fr-FR"/>
              </w:rPr>
              <w:t>’</w:t>
            </w:r>
            <w:r w:rsidRPr="0067628B">
              <w:rPr>
                <w:bCs/>
                <w:iCs/>
                <w:sz w:val="17"/>
                <w:szCs w:val="17"/>
                <w:lang w:val="fr-FR"/>
              </w:rPr>
              <w:t>Éducation, 2003</w:t>
            </w:r>
            <w:r w:rsidRPr="0067628B">
              <w:rPr>
                <w:b/>
                <w:bCs/>
                <w:i/>
                <w:iCs/>
                <w:sz w:val="17"/>
                <w:szCs w:val="17"/>
                <w:lang w:val="fr-FR"/>
              </w:rPr>
              <w:t>.</w:t>
            </w:r>
          </w:p>
        </w:tc>
      </w:tr>
    </w:tbl>
    <w:p w:rsidR="0027746F" w:rsidRDefault="0027746F" w:rsidP="00E15507">
      <w:pPr>
        <w:spacing w:line="480" w:lineRule="auto"/>
        <w:rPr>
          <w:sz w:val="24"/>
          <w:szCs w:val="24"/>
          <w:lang w:val="fr-FR"/>
        </w:rPr>
      </w:pPr>
    </w:p>
    <w:p w:rsidR="0027746F" w:rsidRDefault="0027746F" w:rsidP="00E15507">
      <w:pPr>
        <w:spacing w:line="480" w:lineRule="auto"/>
        <w:rPr>
          <w:sz w:val="24"/>
          <w:szCs w:val="24"/>
          <w:lang w:val="fr-FR"/>
        </w:rPr>
      </w:pPr>
    </w:p>
    <w:p w:rsidR="0027746F" w:rsidRDefault="0027746F" w:rsidP="00E15507">
      <w:pPr>
        <w:spacing w:line="480" w:lineRule="auto"/>
        <w:rPr>
          <w:sz w:val="24"/>
          <w:szCs w:val="24"/>
          <w:lang w:val="fr-FR"/>
        </w:rPr>
      </w:pPr>
    </w:p>
    <w:p w:rsidR="0027746F" w:rsidRDefault="0027746F" w:rsidP="00E15507">
      <w:pPr>
        <w:spacing w:line="480" w:lineRule="auto"/>
        <w:rPr>
          <w:sz w:val="24"/>
          <w:szCs w:val="24"/>
          <w:lang w:val="fr-FR"/>
        </w:rPr>
      </w:pPr>
    </w:p>
    <w:p w:rsidR="0027746F" w:rsidRDefault="0027746F" w:rsidP="00E15507">
      <w:pPr>
        <w:spacing w:line="480" w:lineRule="auto"/>
        <w:rPr>
          <w:sz w:val="24"/>
          <w:szCs w:val="24"/>
          <w:lang w:val="fr-FR"/>
        </w:rPr>
      </w:pPr>
    </w:p>
    <w:p w:rsidR="0027746F" w:rsidRDefault="0027746F" w:rsidP="00E15507">
      <w:pPr>
        <w:spacing w:line="480" w:lineRule="auto"/>
        <w:rPr>
          <w:sz w:val="24"/>
          <w:szCs w:val="24"/>
          <w:lang w:val="fr-FR"/>
        </w:rPr>
      </w:pPr>
    </w:p>
    <w:p w:rsidR="0027746F" w:rsidRDefault="0027746F" w:rsidP="00E15507">
      <w:pPr>
        <w:spacing w:line="480" w:lineRule="auto"/>
        <w:rPr>
          <w:sz w:val="24"/>
          <w:szCs w:val="24"/>
          <w:lang w:val="fr-FR"/>
        </w:rPr>
      </w:pPr>
    </w:p>
    <w:p w:rsidR="0027746F" w:rsidRDefault="0027746F" w:rsidP="00E15507">
      <w:pPr>
        <w:spacing w:line="480" w:lineRule="auto"/>
        <w:rPr>
          <w:sz w:val="24"/>
          <w:szCs w:val="24"/>
          <w:lang w:val="fr-FR"/>
        </w:rPr>
      </w:pPr>
    </w:p>
    <w:p w:rsidR="00E15507" w:rsidRPr="005D6CD4" w:rsidRDefault="00673639" w:rsidP="00673639">
      <w:pPr>
        <w:pStyle w:val="SingleTxt"/>
        <w:rPr>
          <w:lang w:val="fr-FR"/>
        </w:rPr>
      </w:pPr>
      <w:r>
        <w:rPr>
          <w:lang w:val="fr-FR"/>
        </w:rPr>
        <w:tab/>
      </w:r>
      <w:r w:rsidR="00E15507" w:rsidRPr="005D6CD4">
        <w:rPr>
          <w:lang w:val="fr-FR"/>
        </w:rPr>
        <w:t>En 1997, 47</w:t>
      </w:r>
      <w:r w:rsidR="00E15507">
        <w:rPr>
          <w:lang w:val="fr-FR"/>
        </w:rPr>
        <w:t> </w:t>
      </w:r>
      <w:r w:rsidR="00E15507" w:rsidRPr="005D6CD4">
        <w:rPr>
          <w:lang w:val="fr-FR"/>
        </w:rPr>
        <w:t>% des enseignants du primaire étaient des femmes contre 53</w:t>
      </w:r>
      <w:r w:rsidR="00E15507">
        <w:rPr>
          <w:lang w:val="fr-FR"/>
        </w:rPr>
        <w:t> </w:t>
      </w:r>
      <w:r w:rsidR="00E15507" w:rsidRPr="005D6CD4">
        <w:rPr>
          <w:lang w:val="fr-FR"/>
        </w:rPr>
        <w:t>% d</w:t>
      </w:r>
      <w:r w:rsidR="000A3D87">
        <w:rPr>
          <w:lang w:val="fr-FR"/>
        </w:rPr>
        <w:t>’</w:t>
      </w:r>
      <w:r w:rsidR="00E15507" w:rsidRPr="005D6CD4">
        <w:rPr>
          <w:lang w:val="fr-FR"/>
        </w:rPr>
        <w:t xml:space="preserve">hommes. Comme le montre le </w:t>
      </w:r>
      <w:r w:rsidR="00E15507">
        <w:rPr>
          <w:lang w:val="fr-FR"/>
        </w:rPr>
        <w:t>Tableau</w:t>
      </w:r>
      <w:r w:rsidR="00E15507" w:rsidRPr="005D6CD4">
        <w:rPr>
          <w:lang w:val="fr-FR"/>
        </w:rPr>
        <w:t xml:space="preserve"> 10.3 on a enregistré une baisse marginale du nombre d</w:t>
      </w:r>
      <w:r w:rsidR="000A3D87">
        <w:rPr>
          <w:lang w:val="fr-FR"/>
        </w:rPr>
        <w:t>’</w:t>
      </w:r>
      <w:r w:rsidR="00E15507" w:rsidRPr="005D6CD4">
        <w:rPr>
          <w:lang w:val="fr-FR"/>
        </w:rPr>
        <w:t>enseignants hommes (52,2</w:t>
      </w:r>
      <w:r w:rsidR="00E15507">
        <w:rPr>
          <w:lang w:val="fr-FR"/>
        </w:rPr>
        <w:t> </w:t>
      </w:r>
      <w:r w:rsidR="00E15507" w:rsidRPr="005D6CD4">
        <w:rPr>
          <w:lang w:val="fr-FR"/>
        </w:rPr>
        <w:t>%) et une hausse marginale du nombre d</w:t>
      </w:r>
      <w:r w:rsidR="000A3D87">
        <w:rPr>
          <w:lang w:val="fr-FR"/>
        </w:rPr>
        <w:t>’</w:t>
      </w:r>
      <w:r w:rsidR="00E15507" w:rsidRPr="005D6CD4">
        <w:rPr>
          <w:lang w:val="fr-FR"/>
        </w:rPr>
        <w:t>enseignants de sexe féminin (47,3</w:t>
      </w:r>
      <w:r w:rsidR="00E15507">
        <w:rPr>
          <w:lang w:val="fr-FR"/>
        </w:rPr>
        <w:t> </w:t>
      </w:r>
      <w:r w:rsidR="00E15507" w:rsidRPr="005D6CD4">
        <w:rPr>
          <w:lang w:val="fr-FR"/>
        </w:rPr>
        <w:t>%) dans le primaire en 2003. Toutefois, un pourcentage plus élevé d</w:t>
      </w:r>
      <w:r w:rsidR="000A3D87">
        <w:rPr>
          <w:lang w:val="fr-FR"/>
        </w:rPr>
        <w:t>’</w:t>
      </w:r>
      <w:r w:rsidR="00E15507" w:rsidRPr="005D6CD4">
        <w:rPr>
          <w:lang w:val="fr-FR"/>
        </w:rPr>
        <w:t>enseignants titulaires du National Certificate of Education (NCE) a été enregistré chez les enseignants de sexe féminin.</w:t>
      </w:r>
      <w:r w:rsidR="00E15507">
        <w:rPr>
          <w:lang w:val="fr-FR"/>
        </w:rPr>
        <w:t xml:space="preserve"> </w:t>
      </w:r>
      <w:r w:rsidR="00E15507" w:rsidRPr="005D6CD4">
        <w:rPr>
          <w:lang w:val="fr-FR"/>
        </w:rPr>
        <w:t>Ce qui s</w:t>
      </w:r>
      <w:r w:rsidR="000A3D87">
        <w:rPr>
          <w:lang w:val="fr-FR"/>
        </w:rPr>
        <w:t>’</w:t>
      </w:r>
      <w:r w:rsidR="00E15507" w:rsidRPr="005D6CD4">
        <w:rPr>
          <w:lang w:val="fr-FR"/>
        </w:rPr>
        <w:t xml:space="preserve">explique en partie par les efforts du </w:t>
      </w:r>
      <w:r w:rsidR="00E15507">
        <w:rPr>
          <w:lang w:val="fr-FR"/>
        </w:rPr>
        <w:t>G</w:t>
      </w:r>
      <w:r w:rsidR="00E15507" w:rsidRPr="005D6CD4">
        <w:rPr>
          <w:lang w:val="fr-FR"/>
        </w:rPr>
        <w:t>ouvernement pour promouvoir l</w:t>
      </w:r>
      <w:r w:rsidR="000A3D87">
        <w:rPr>
          <w:lang w:val="fr-FR"/>
        </w:rPr>
        <w:t>’</w:t>
      </w:r>
      <w:r w:rsidR="00E15507" w:rsidRPr="005D6CD4">
        <w:rPr>
          <w:lang w:val="fr-FR"/>
        </w:rPr>
        <w:t>accès des enseignants à une formation de qualité à travers l</w:t>
      </w:r>
      <w:r w:rsidR="000A3D87">
        <w:rPr>
          <w:lang w:val="fr-FR"/>
        </w:rPr>
        <w:t>’</w:t>
      </w:r>
      <w:r w:rsidR="00E15507" w:rsidRPr="005D6CD4">
        <w:rPr>
          <w:lang w:val="fr-FR"/>
        </w:rPr>
        <w:t>introduction de divers programmes de formation continue.</w:t>
      </w:r>
    </w:p>
    <w:p w:rsidR="00E15507" w:rsidRDefault="00673639" w:rsidP="0012256D">
      <w:pPr>
        <w:pStyle w:val="SingleTxt"/>
        <w:rPr>
          <w:lang w:val="fr-FR"/>
        </w:rPr>
      </w:pPr>
      <w:r>
        <w:rPr>
          <w:lang w:val="fr-FR"/>
        </w:rPr>
        <w:tab/>
      </w:r>
      <w:r w:rsidR="00E15507" w:rsidRPr="005D6CD4">
        <w:rPr>
          <w:lang w:val="fr-FR"/>
        </w:rPr>
        <w:t>Contrairement à la situation qui prévaut au niveau du primaire, selon les données de l</w:t>
      </w:r>
      <w:r w:rsidR="000A3D87">
        <w:rPr>
          <w:lang w:val="fr-FR"/>
        </w:rPr>
        <w:t>’</w:t>
      </w:r>
      <w:r w:rsidR="00E15507" w:rsidRPr="005D6CD4">
        <w:rPr>
          <w:lang w:val="fr-FR"/>
        </w:rPr>
        <w:t>année 2003, il existe un gros écart entre le nombre d</w:t>
      </w:r>
      <w:r w:rsidR="000A3D87">
        <w:rPr>
          <w:lang w:val="fr-FR"/>
        </w:rPr>
        <w:t>’</w:t>
      </w:r>
      <w:r w:rsidR="00E15507" w:rsidRPr="005D6CD4">
        <w:rPr>
          <w:lang w:val="fr-FR"/>
        </w:rPr>
        <w:t>enseignants femmes (39</w:t>
      </w:r>
      <w:r w:rsidR="00E15507">
        <w:rPr>
          <w:lang w:val="fr-FR"/>
        </w:rPr>
        <w:t> </w:t>
      </w:r>
      <w:r w:rsidR="00E15507" w:rsidRPr="005D6CD4">
        <w:rPr>
          <w:lang w:val="fr-FR"/>
        </w:rPr>
        <w:t>%) et le nombre d</w:t>
      </w:r>
      <w:r w:rsidR="000A3D87">
        <w:rPr>
          <w:lang w:val="fr-FR"/>
        </w:rPr>
        <w:t>’</w:t>
      </w:r>
      <w:r w:rsidR="00E15507" w:rsidRPr="005D6CD4">
        <w:rPr>
          <w:lang w:val="fr-FR"/>
        </w:rPr>
        <w:t>enseignants hommes (61</w:t>
      </w:r>
      <w:r w:rsidR="00E15507">
        <w:rPr>
          <w:lang w:val="fr-FR"/>
        </w:rPr>
        <w:t> </w:t>
      </w:r>
      <w:r w:rsidR="00E15507" w:rsidRPr="005D6CD4">
        <w:rPr>
          <w:lang w:val="fr-FR"/>
        </w:rPr>
        <w:t>%) dans le secondaire. Ce</w:t>
      </w:r>
      <w:r w:rsidR="00E15507">
        <w:rPr>
          <w:lang w:val="fr-FR"/>
        </w:rPr>
        <w:t xml:space="preserve">tte situation tient en partie au </w:t>
      </w:r>
      <w:r w:rsidR="00E15507" w:rsidRPr="005D6CD4">
        <w:rPr>
          <w:lang w:val="fr-FR"/>
        </w:rPr>
        <w:t>fait que le mariage et l</w:t>
      </w:r>
      <w:r w:rsidR="000A3D87">
        <w:rPr>
          <w:lang w:val="fr-FR"/>
        </w:rPr>
        <w:t>’</w:t>
      </w:r>
      <w:r w:rsidR="00E15507" w:rsidRPr="005D6CD4">
        <w:rPr>
          <w:lang w:val="fr-FR"/>
        </w:rPr>
        <w:t>éducation des enfants limitent les chances des f</w:t>
      </w:r>
      <w:r w:rsidR="00E15507">
        <w:rPr>
          <w:lang w:val="fr-FR"/>
        </w:rPr>
        <w:t xml:space="preserve">illes </w:t>
      </w:r>
      <w:r w:rsidR="00E15507" w:rsidRPr="005D6CD4">
        <w:rPr>
          <w:lang w:val="fr-FR"/>
        </w:rPr>
        <w:t xml:space="preserve">de poursuivre leur éducation pour acquérir les compétences nécessaires pour enseigner dans le secondaire comme leurs homologues </w:t>
      </w:r>
      <w:r w:rsidR="00E15507">
        <w:rPr>
          <w:lang w:val="fr-FR"/>
        </w:rPr>
        <w:t xml:space="preserve">de sexe </w:t>
      </w:r>
      <w:r w:rsidR="00E15507" w:rsidRPr="005D6CD4">
        <w:rPr>
          <w:lang w:val="fr-FR"/>
        </w:rPr>
        <w:t>masculin. Parmi les efforts d</w:t>
      </w:r>
      <w:r w:rsidR="000A3D87">
        <w:rPr>
          <w:lang w:val="fr-FR"/>
        </w:rPr>
        <w:t>’</w:t>
      </w:r>
      <w:r w:rsidR="00E15507" w:rsidRPr="005D6CD4">
        <w:rPr>
          <w:lang w:val="fr-FR"/>
        </w:rPr>
        <w:t>inversion de cette tendance, on peut citer les opportunités de bourses de formation en milieu de travail offertes aux enseignants femmes, surtout celles vivant dans les zones rurales et dans le cadre du Programme d</w:t>
      </w:r>
      <w:r w:rsidR="000A3D87">
        <w:rPr>
          <w:lang w:val="fr-FR"/>
        </w:rPr>
        <w:t>’</w:t>
      </w:r>
      <w:r w:rsidR="00E15507" w:rsidRPr="005D6CD4">
        <w:rPr>
          <w:lang w:val="fr-FR"/>
        </w:rPr>
        <w:t>éducation de</w:t>
      </w:r>
      <w:r w:rsidR="00E15507">
        <w:rPr>
          <w:lang w:val="fr-FR"/>
        </w:rPr>
        <w:t xml:space="preserve">s </w:t>
      </w:r>
      <w:r w:rsidR="00E15507" w:rsidRPr="005D6CD4">
        <w:rPr>
          <w:lang w:val="fr-FR"/>
        </w:rPr>
        <w:t>fille</w:t>
      </w:r>
      <w:r w:rsidR="00E15507">
        <w:rPr>
          <w:lang w:val="fr-FR"/>
        </w:rPr>
        <w:t>ttes</w:t>
      </w:r>
      <w:r w:rsidR="00E15507" w:rsidRPr="005D6CD4">
        <w:rPr>
          <w:lang w:val="fr-FR"/>
        </w:rPr>
        <w:t xml:space="preserve">. </w:t>
      </w:r>
    </w:p>
    <w:p w:rsidR="0067628B" w:rsidRPr="0067628B" w:rsidRDefault="0067628B" w:rsidP="0067628B">
      <w:pPr>
        <w:pStyle w:val="SingleTxt"/>
        <w:spacing w:after="0" w:line="120" w:lineRule="exact"/>
        <w:rPr>
          <w:sz w:val="10"/>
          <w:lang w:val="fr-FR"/>
        </w:rPr>
      </w:pPr>
    </w:p>
    <w:p w:rsidR="00E15507" w:rsidRDefault="0067628B" w:rsidP="006762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E15507" w:rsidRPr="005D6CD4">
        <w:rPr>
          <w:lang w:val="fr-FR"/>
        </w:rPr>
        <w:t>10.</w:t>
      </w:r>
      <w:r w:rsidR="00E15507">
        <w:rPr>
          <w:lang w:val="fr-FR"/>
        </w:rPr>
        <w:t>8</w:t>
      </w:r>
      <w:r>
        <w:rPr>
          <w:lang w:val="fr-FR"/>
        </w:rPr>
        <w:tab/>
      </w:r>
      <w:r w:rsidR="00E15507" w:rsidRPr="005D6CD4">
        <w:rPr>
          <w:lang w:val="fr-FR"/>
        </w:rPr>
        <w:t>Mesures de renforcement du recrutement d</w:t>
      </w:r>
      <w:r w:rsidR="000A3D87">
        <w:rPr>
          <w:lang w:val="fr-FR"/>
        </w:rPr>
        <w:t>’</w:t>
      </w:r>
      <w:r w:rsidR="00E15507" w:rsidRPr="005D6CD4">
        <w:rPr>
          <w:lang w:val="fr-FR"/>
        </w:rPr>
        <w:t>enseignants de qualité et de promotion d</w:t>
      </w:r>
      <w:r w:rsidR="000A3D87">
        <w:rPr>
          <w:lang w:val="fr-FR"/>
        </w:rPr>
        <w:t>’</w:t>
      </w:r>
      <w:r w:rsidR="00E15507">
        <w:rPr>
          <w:lang w:val="fr-FR"/>
        </w:rPr>
        <w:t xml:space="preserve">un enseignement de </w:t>
      </w:r>
      <w:r w:rsidR="00E15507" w:rsidRPr="005D6CD4">
        <w:rPr>
          <w:lang w:val="fr-FR"/>
        </w:rPr>
        <w:t xml:space="preserve">qualité </w:t>
      </w:r>
      <w:r w:rsidR="00E15507">
        <w:rPr>
          <w:lang w:val="fr-FR"/>
        </w:rPr>
        <w:t xml:space="preserve">égale pour les </w:t>
      </w:r>
      <w:r w:rsidR="00E15507" w:rsidRPr="005D6CD4">
        <w:rPr>
          <w:lang w:val="fr-FR"/>
        </w:rPr>
        <w:t xml:space="preserve">garçons et </w:t>
      </w:r>
      <w:r w:rsidR="00E15507">
        <w:rPr>
          <w:lang w:val="fr-FR"/>
        </w:rPr>
        <w:t>l</w:t>
      </w:r>
      <w:r w:rsidR="00E15507" w:rsidRPr="005D6CD4">
        <w:rPr>
          <w:lang w:val="fr-FR"/>
        </w:rPr>
        <w:t xml:space="preserve">es filles </w:t>
      </w:r>
    </w:p>
    <w:p w:rsidR="0067628B" w:rsidRPr="0067628B" w:rsidRDefault="0067628B" w:rsidP="0067628B">
      <w:pPr>
        <w:pStyle w:val="SingleTxt"/>
        <w:spacing w:after="0" w:line="120" w:lineRule="exact"/>
        <w:rPr>
          <w:sz w:val="10"/>
          <w:lang w:val="fr-FR"/>
        </w:rPr>
      </w:pPr>
    </w:p>
    <w:p w:rsidR="00E15507" w:rsidRPr="005D6CD4" w:rsidRDefault="0067628B" w:rsidP="0012256D">
      <w:pPr>
        <w:pStyle w:val="SingleTxt"/>
        <w:rPr>
          <w:b/>
          <w:bCs/>
          <w:lang w:val="fr-FR"/>
        </w:rPr>
      </w:pPr>
      <w:r>
        <w:rPr>
          <w:lang w:val="fr-FR"/>
        </w:rPr>
        <w:tab/>
      </w:r>
      <w:r w:rsidR="00E15507" w:rsidRPr="005D6CD4">
        <w:rPr>
          <w:lang w:val="fr-FR"/>
        </w:rPr>
        <w:t>Dans le cadre du respect de son engagement à promouvoir la parité des sexes par l</w:t>
      </w:r>
      <w:r w:rsidR="000A3D87">
        <w:rPr>
          <w:lang w:val="fr-FR"/>
        </w:rPr>
        <w:t>’</w:t>
      </w:r>
      <w:r w:rsidR="00E15507" w:rsidRPr="005D6CD4">
        <w:rPr>
          <w:lang w:val="fr-FR"/>
        </w:rPr>
        <w:t xml:space="preserve">éducation, le </w:t>
      </w:r>
      <w:r w:rsidR="00E15507">
        <w:rPr>
          <w:lang w:val="fr-FR"/>
        </w:rPr>
        <w:t>G</w:t>
      </w:r>
      <w:r w:rsidR="00E15507" w:rsidRPr="005D6CD4">
        <w:rPr>
          <w:lang w:val="fr-FR"/>
        </w:rPr>
        <w:t xml:space="preserve">ouvernement fédéral a réalisé un processus de révision des programmes en vigueur dans le primaire et le secondaire en tenant compte des </w:t>
      </w:r>
      <w:r w:rsidR="00E15507">
        <w:rPr>
          <w:lang w:val="fr-FR"/>
        </w:rPr>
        <w:t>différences entre les sexes</w:t>
      </w:r>
      <w:r w:rsidR="00E15507" w:rsidRPr="005D6CD4">
        <w:rPr>
          <w:lang w:val="fr-FR"/>
        </w:rPr>
        <w:t>, par l</w:t>
      </w:r>
      <w:r w:rsidR="000A3D87">
        <w:rPr>
          <w:lang w:val="fr-FR"/>
        </w:rPr>
        <w:t>’</w:t>
      </w:r>
      <w:r w:rsidR="00E15507" w:rsidRPr="005D6CD4">
        <w:rPr>
          <w:lang w:val="fr-FR"/>
        </w:rPr>
        <w:t>intermédiaire d</w:t>
      </w:r>
      <w:r w:rsidR="00E15507">
        <w:rPr>
          <w:lang w:val="fr-FR"/>
        </w:rPr>
        <w:t>u Conseil nigérian de la recherche et du développement dans l</w:t>
      </w:r>
      <w:r w:rsidR="000A3D87">
        <w:rPr>
          <w:lang w:val="fr-FR"/>
        </w:rPr>
        <w:t>’</w:t>
      </w:r>
      <w:r w:rsidR="00E15507">
        <w:rPr>
          <w:lang w:val="fr-FR"/>
        </w:rPr>
        <w:t>enseignement</w:t>
      </w:r>
      <w:r w:rsidR="00E15507" w:rsidRPr="005D6CD4">
        <w:rPr>
          <w:lang w:val="fr-FR"/>
        </w:rPr>
        <w:t>.</w:t>
      </w:r>
    </w:p>
    <w:p w:rsidR="00E15507" w:rsidRPr="005D6CD4" w:rsidRDefault="0067628B" w:rsidP="0067628B">
      <w:pPr>
        <w:pStyle w:val="SingleTxt"/>
        <w:numPr>
          <w:ilvl w:val="0"/>
          <w:numId w:val="25"/>
        </w:numPr>
        <w:rPr>
          <w:b/>
          <w:lang w:val="fr-FR"/>
        </w:rPr>
      </w:pPr>
      <w:r>
        <w:rPr>
          <w:b/>
          <w:lang w:val="fr-FR"/>
        </w:rPr>
        <w:tab/>
      </w:r>
      <w:r w:rsidR="00E15507" w:rsidRPr="005D6CD4">
        <w:rPr>
          <w:b/>
          <w:lang w:val="fr-FR"/>
        </w:rPr>
        <w:t>Dans le but d</w:t>
      </w:r>
      <w:r w:rsidR="000A3D87">
        <w:rPr>
          <w:b/>
          <w:lang w:val="fr-FR"/>
        </w:rPr>
        <w:t>’</w:t>
      </w:r>
      <w:r w:rsidR="00E15507" w:rsidRPr="005D6CD4">
        <w:rPr>
          <w:b/>
          <w:lang w:val="fr-FR"/>
        </w:rPr>
        <w:t>améliorer les méthodes d</w:t>
      </w:r>
      <w:r w:rsidR="000A3D87">
        <w:rPr>
          <w:b/>
          <w:lang w:val="fr-FR"/>
        </w:rPr>
        <w:t>’</w:t>
      </w:r>
      <w:r w:rsidR="00E15507" w:rsidRPr="005D6CD4">
        <w:rPr>
          <w:b/>
          <w:lang w:val="fr-FR"/>
        </w:rPr>
        <w:t xml:space="preserve">enseignement et les programmes dans le cadre du programme </w:t>
      </w:r>
      <w:r w:rsidR="00E15507">
        <w:rPr>
          <w:b/>
          <w:lang w:val="fr-FR"/>
        </w:rPr>
        <w:t>EBT</w:t>
      </w:r>
      <w:r w:rsidR="00E15507" w:rsidRPr="005D6CD4">
        <w:rPr>
          <w:b/>
          <w:lang w:val="fr-FR"/>
        </w:rPr>
        <w:t>, l</w:t>
      </w:r>
      <w:r w:rsidR="00E15507">
        <w:rPr>
          <w:b/>
          <w:lang w:val="fr-FR"/>
        </w:rPr>
        <w:t>a Commission de l</w:t>
      </w:r>
      <w:r w:rsidR="000A3D87">
        <w:rPr>
          <w:b/>
          <w:lang w:val="fr-FR"/>
        </w:rPr>
        <w:t>’</w:t>
      </w:r>
      <w:r w:rsidR="00E15507">
        <w:rPr>
          <w:b/>
          <w:lang w:val="fr-FR"/>
        </w:rPr>
        <w:t xml:space="preserve">EBT </w:t>
      </w:r>
      <w:r w:rsidR="00E15507" w:rsidRPr="005D6CD4">
        <w:rPr>
          <w:b/>
          <w:lang w:val="fr-FR"/>
        </w:rPr>
        <w:t xml:space="preserve">a mis en œuvre un programme de formation en milieu de travail par grappes dans dix-neuf </w:t>
      </w:r>
      <w:r w:rsidR="00E15507">
        <w:rPr>
          <w:b/>
          <w:lang w:val="fr-FR"/>
        </w:rPr>
        <w:t>É</w:t>
      </w:r>
      <w:r w:rsidR="00E15507" w:rsidRPr="005D6CD4">
        <w:rPr>
          <w:b/>
          <w:lang w:val="fr-FR"/>
        </w:rPr>
        <w:t xml:space="preserve">tats de la Fédération. Ce processus est encore en cours. </w:t>
      </w:r>
    </w:p>
    <w:p w:rsidR="00E15507" w:rsidRPr="005D6CD4" w:rsidRDefault="0067628B" w:rsidP="0067628B">
      <w:pPr>
        <w:pStyle w:val="SingleTxt"/>
        <w:numPr>
          <w:ilvl w:val="0"/>
          <w:numId w:val="25"/>
        </w:numPr>
        <w:rPr>
          <w:b/>
          <w:lang w:val="fr-FR"/>
        </w:rPr>
      </w:pPr>
      <w:r>
        <w:rPr>
          <w:b/>
          <w:lang w:val="fr-FR"/>
        </w:rPr>
        <w:tab/>
      </w:r>
      <w:r w:rsidR="00E15507" w:rsidRPr="005D6CD4">
        <w:rPr>
          <w:b/>
          <w:lang w:val="fr-FR"/>
        </w:rPr>
        <w:t>L</w:t>
      </w:r>
      <w:r w:rsidR="00E15507">
        <w:rPr>
          <w:b/>
          <w:lang w:val="fr-FR"/>
        </w:rPr>
        <w:t>e Conseil de l</w:t>
      </w:r>
      <w:r w:rsidR="000A3D87">
        <w:rPr>
          <w:b/>
          <w:lang w:val="fr-FR"/>
        </w:rPr>
        <w:t>’</w:t>
      </w:r>
      <w:r w:rsidR="00E15507">
        <w:rPr>
          <w:b/>
          <w:lang w:val="fr-FR"/>
        </w:rPr>
        <w:t xml:space="preserve">immatriculation des enseignants </w:t>
      </w:r>
      <w:r w:rsidR="00E15507" w:rsidRPr="005D6CD4">
        <w:rPr>
          <w:b/>
          <w:lang w:val="fr-FR"/>
        </w:rPr>
        <w:t xml:space="preserve">a procédé à la professionnalisation des enseignants en </w:t>
      </w:r>
      <w:r w:rsidR="00E15507">
        <w:rPr>
          <w:b/>
          <w:lang w:val="fr-FR"/>
        </w:rPr>
        <w:t>immatriculant uniquement les e</w:t>
      </w:r>
      <w:r w:rsidR="00E15507" w:rsidRPr="005D6CD4">
        <w:rPr>
          <w:b/>
          <w:lang w:val="fr-FR"/>
        </w:rPr>
        <w:t xml:space="preserve">nseignants qualifiés et </w:t>
      </w:r>
      <w:r w:rsidR="00E15507">
        <w:rPr>
          <w:b/>
          <w:lang w:val="fr-FR"/>
        </w:rPr>
        <w:t xml:space="preserve">il a </w:t>
      </w:r>
      <w:r w:rsidR="00E15507" w:rsidRPr="005D6CD4">
        <w:rPr>
          <w:b/>
          <w:lang w:val="fr-FR"/>
        </w:rPr>
        <w:t>jusqu</w:t>
      </w:r>
      <w:r w:rsidR="000A3D87">
        <w:rPr>
          <w:b/>
          <w:lang w:val="fr-FR"/>
        </w:rPr>
        <w:t>’</w:t>
      </w:r>
      <w:r w:rsidR="00E15507" w:rsidRPr="005D6CD4">
        <w:rPr>
          <w:b/>
          <w:lang w:val="fr-FR"/>
        </w:rPr>
        <w:t>à présent enregistré environ 600</w:t>
      </w:r>
      <w:r w:rsidR="00E15507">
        <w:rPr>
          <w:b/>
          <w:lang w:val="fr-FR"/>
        </w:rPr>
        <w:t> </w:t>
      </w:r>
      <w:r w:rsidR="00E15507" w:rsidRPr="005D6CD4">
        <w:rPr>
          <w:b/>
          <w:lang w:val="fr-FR"/>
        </w:rPr>
        <w:t>000 enseignants en 2004/2005.</w:t>
      </w:r>
    </w:p>
    <w:p w:rsidR="00E15507" w:rsidRPr="005D6CD4" w:rsidRDefault="0067628B" w:rsidP="0067628B">
      <w:pPr>
        <w:pStyle w:val="SingleTxt"/>
        <w:numPr>
          <w:ilvl w:val="0"/>
          <w:numId w:val="25"/>
        </w:numPr>
        <w:rPr>
          <w:b/>
          <w:lang w:val="fr-FR"/>
        </w:rPr>
      </w:pPr>
      <w:r>
        <w:rPr>
          <w:b/>
          <w:lang w:val="fr-FR"/>
        </w:rPr>
        <w:tab/>
      </w:r>
      <w:r w:rsidR="00E15507" w:rsidRPr="005D6CD4">
        <w:rPr>
          <w:b/>
          <w:lang w:val="fr-FR"/>
        </w:rPr>
        <w:t>En collaboration avec l</w:t>
      </w:r>
      <w:r w:rsidR="000A3D87">
        <w:rPr>
          <w:b/>
          <w:lang w:val="fr-FR"/>
        </w:rPr>
        <w:t>’</w:t>
      </w:r>
      <w:r w:rsidR="00E15507" w:rsidRPr="005D6CD4">
        <w:rPr>
          <w:b/>
          <w:lang w:val="fr-FR"/>
        </w:rPr>
        <w:t>Institut</w:t>
      </w:r>
      <w:r w:rsidR="00E15507">
        <w:rPr>
          <w:b/>
          <w:lang w:val="fr-FR"/>
        </w:rPr>
        <w:t xml:space="preserve"> de l</w:t>
      </w:r>
      <w:r w:rsidR="000A3D87">
        <w:rPr>
          <w:b/>
          <w:lang w:val="fr-FR"/>
        </w:rPr>
        <w:t>’</w:t>
      </w:r>
      <w:r w:rsidR="00E15507">
        <w:rPr>
          <w:b/>
          <w:lang w:val="fr-FR"/>
        </w:rPr>
        <w:t>éducation dans les universités nigérianes, le Conseil de l</w:t>
      </w:r>
      <w:r w:rsidR="000A3D87">
        <w:rPr>
          <w:b/>
          <w:lang w:val="fr-FR"/>
        </w:rPr>
        <w:t>’</w:t>
      </w:r>
      <w:r w:rsidR="00E15507">
        <w:rPr>
          <w:b/>
          <w:lang w:val="fr-FR"/>
        </w:rPr>
        <w:t xml:space="preserve">immatriculation des enseignants </w:t>
      </w:r>
      <w:r w:rsidR="00E15507" w:rsidRPr="005D6CD4">
        <w:rPr>
          <w:b/>
          <w:lang w:val="fr-FR"/>
        </w:rPr>
        <w:t>a amélioré l</w:t>
      </w:r>
      <w:r w:rsidR="000A3D87">
        <w:rPr>
          <w:b/>
          <w:lang w:val="fr-FR"/>
        </w:rPr>
        <w:t>’</w:t>
      </w:r>
      <w:r w:rsidR="00E15507" w:rsidRPr="005D6CD4">
        <w:rPr>
          <w:b/>
          <w:lang w:val="fr-FR"/>
        </w:rPr>
        <w:t>accès aux programmes de formation aux techniques d</w:t>
      </w:r>
      <w:r w:rsidR="000A3D87">
        <w:rPr>
          <w:b/>
          <w:lang w:val="fr-FR"/>
        </w:rPr>
        <w:t>’</w:t>
      </w:r>
      <w:r w:rsidR="00E15507" w:rsidRPr="005D6CD4">
        <w:rPr>
          <w:b/>
          <w:lang w:val="fr-FR"/>
        </w:rPr>
        <w:t xml:space="preserve">enseignement de qualité, notamment le </w:t>
      </w:r>
      <w:r w:rsidR="00E15507">
        <w:rPr>
          <w:b/>
          <w:lang w:val="fr-FR"/>
        </w:rPr>
        <w:t>d</w:t>
      </w:r>
      <w:r w:rsidR="00E15507" w:rsidRPr="005D6CD4">
        <w:rPr>
          <w:b/>
          <w:lang w:val="fr-FR"/>
        </w:rPr>
        <w:t>iplôme post-universitaire en sciences de l</w:t>
      </w:r>
      <w:r w:rsidR="000A3D87">
        <w:rPr>
          <w:b/>
          <w:lang w:val="fr-FR"/>
        </w:rPr>
        <w:t>’</w:t>
      </w:r>
      <w:r w:rsidR="00E15507" w:rsidRPr="005D6CD4">
        <w:rPr>
          <w:b/>
          <w:lang w:val="fr-FR"/>
        </w:rPr>
        <w:t>éducation, qui est destiné aussi bien aux titulaires de diplômes dans les domaines autres que les sciences de l</w:t>
      </w:r>
      <w:r w:rsidR="000A3D87">
        <w:rPr>
          <w:b/>
          <w:lang w:val="fr-FR"/>
        </w:rPr>
        <w:t>’</w:t>
      </w:r>
      <w:r w:rsidR="00E15507" w:rsidRPr="005D6CD4">
        <w:rPr>
          <w:b/>
          <w:lang w:val="fr-FR"/>
        </w:rPr>
        <w:t>éducation qu</w:t>
      </w:r>
      <w:r w:rsidR="000A3D87">
        <w:rPr>
          <w:b/>
          <w:lang w:val="fr-FR"/>
        </w:rPr>
        <w:t>’</w:t>
      </w:r>
      <w:r w:rsidR="00E15507" w:rsidRPr="005D6CD4">
        <w:rPr>
          <w:b/>
          <w:lang w:val="fr-FR"/>
        </w:rPr>
        <w:t>aux titulaires de l</w:t>
      </w:r>
      <w:r w:rsidR="000A3D87">
        <w:rPr>
          <w:b/>
          <w:lang w:val="fr-FR"/>
        </w:rPr>
        <w:t>’</w:t>
      </w:r>
      <w:r w:rsidR="00E15507" w:rsidRPr="005D6CD4">
        <w:rPr>
          <w:b/>
          <w:lang w:val="fr-FR"/>
        </w:rPr>
        <w:t>Ordinary National Diploma (OND) et du Higher National Diploma (HND) qui souhaitent embrasser la carrière d</w:t>
      </w:r>
      <w:r w:rsidR="000A3D87">
        <w:rPr>
          <w:b/>
          <w:lang w:val="fr-FR"/>
        </w:rPr>
        <w:t>’</w:t>
      </w:r>
      <w:r w:rsidR="00E15507" w:rsidRPr="005D6CD4">
        <w:rPr>
          <w:b/>
          <w:lang w:val="fr-FR"/>
        </w:rPr>
        <w:t>enseignant.</w:t>
      </w:r>
    </w:p>
    <w:p w:rsidR="00E15507" w:rsidRDefault="0067628B" w:rsidP="0067628B">
      <w:pPr>
        <w:pStyle w:val="SingleTxt"/>
        <w:numPr>
          <w:ilvl w:val="0"/>
          <w:numId w:val="25"/>
        </w:numPr>
        <w:rPr>
          <w:b/>
          <w:lang w:val="fr-FR"/>
        </w:rPr>
      </w:pPr>
      <w:r>
        <w:rPr>
          <w:b/>
          <w:lang w:val="fr-FR"/>
        </w:rPr>
        <w:tab/>
      </w:r>
      <w:r w:rsidR="00E15507" w:rsidRPr="005D6CD4">
        <w:rPr>
          <w:b/>
          <w:lang w:val="fr-FR"/>
        </w:rPr>
        <w:t>La Commission nationale pour l</w:t>
      </w:r>
      <w:r w:rsidR="000A3D87">
        <w:rPr>
          <w:b/>
          <w:lang w:val="fr-FR"/>
        </w:rPr>
        <w:t>’</w:t>
      </w:r>
      <w:r w:rsidR="00E15507" w:rsidRPr="005D6CD4">
        <w:rPr>
          <w:b/>
          <w:lang w:val="fr-FR"/>
        </w:rPr>
        <w:t xml:space="preserve">éducation des populations nomades a poursuivi la formation des enseignants dans les écoles pour nomades sur les spécificités et les </w:t>
      </w:r>
      <w:r w:rsidR="00E15507">
        <w:rPr>
          <w:b/>
          <w:lang w:val="fr-FR"/>
        </w:rPr>
        <w:t xml:space="preserve">attentes des </w:t>
      </w:r>
      <w:r w:rsidR="00E15507" w:rsidRPr="005D6CD4">
        <w:rPr>
          <w:b/>
          <w:lang w:val="fr-FR"/>
        </w:rPr>
        <w:t>programmes d</w:t>
      </w:r>
      <w:r w:rsidR="000A3D87">
        <w:rPr>
          <w:b/>
          <w:lang w:val="fr-FR"/>
        </w:rPr>
        <w:t>’</w:t>
      </w:r>
      <w:r w:rsidR="00E15507" w:rsidRPr="005D6CD4">
        <w:rPr>
          <w:b/>
          <w:lang w:val="fr-FR"/>
        </w:rPr>
        <w:t>éducation des populations nomades et amélioré également leurs connaissances, aptitudes et compétences en les initiant à de nouvelles méthodes novatrices d</w:t>
      </w:r>
      <w:r w:rsidR="000A3D87">
        <w:rPr>
          <w:b/>
          <w:lang w:val="fr-FR"/>
        </w:rPr>
        <w:t>’</w:t>
      </w:r>
      <w:r w:rsidR="00E15507" w:rsidRPr="005D6CD4">
        <w:rPr>
          <w:b/>
          <w:lang w:val="fr-FR"/>
        </w:rPr>
        <w:t>enseignement. En 2005, 2</w:t>
      </w:r>
      <w:r w:rsidR="00E15507">
        <w:rPr>
          <w:b/>
          <w:lang w:val="fr-FR"/>
        </w:rPr>
        <w:t> </w:t>
      </w:r>
      <w:r w:rsidR="00E15507" w:rsidRPr="005D6CD4">
        <w:rPr>
          <w:b/>
          <w:lang w:val="fr-FR"/>
        </w:rPr>
        <w:t>575 enseignants sur 4</w:t>
      </w:r>
      <w:r w:rsidR="00E15507">
        <w:rPr>
          <w:b/>
          <w:lang w:val="fr-FR"/>
        </w:rPr>
        <w:t> </w:t>
      </w:r>
      <w:r w:rsidR="00E15507" w:rsidRPr="005D6CD4">
        <w:rPr>
          <w:b/>
          <w:lang w:val="fr-FR"/>
        </w:rPr>
        <w:t>218 exerçant dans 1</w:t>
      </w:r>
      <w:r w:rsidR="00E15507">
        <w:rPr>
          <w:b/>
          <w:lang w:val="fr-FR"/>
        </w:rPr>
        <w:t> </w:t>
      </w:r>
      <w:r w:rsidR="00E15507" w:rsidRPr="005D6CD4">
        <w:rPr>
          <w:b/>
          <w:lang w:val="fr-FR"/>
        </w:rPr>
        <w:t>350 écoles pour nomades à travers le pays avaient déjà été formés.</w:t>
      </w:r>
      <w:r w:rsidR="00E15507">
        <w:rPr>
          <w:b/>
          <w:lang w:val="fr-FR"/>
        </w:rPr>
        <w:t xml:space="preserve">  </w:t>
      </w:r>
    </w:p>
    <w:p w:rsidR="0067628B" w:rsidRPr="0067628B" w:rsidRDefault="0067628B" w:rsidP="0067628B">
      <w:pPr>
        <w:pStyle w:val="SingleTxt"/>
        <w:spacing w:after="0" w:line="120" w:lineRule="exact"/>
        <w:rPr>
          <w:sz w:val="10"/>
          <w:lang w:val="fr-FR"/>
        </w:rPr>
      </w:pPr>
    </w:p>
    <w:p w:rsidR="00E15507" w:rsidRDefault="0067628B" w:rsidP="006762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E15507">
        <w:rPr>
          <w:lang w:val="fr-FR"/>
        </w:rPr>
        <w:t xml:space="preserve">10.9 </w:t>
      </w:r>
      <w:r>
        <w:rPr>
          <w:lang w:val="fr-FR"/>
        </w:rPr>
        <w:tab/>
      </w:r>
      <w:r w:rsidR="00E15507">
        <w:rPr>
          <w:lang w:val="fr-FR"/>
        </w:rPr>
        <w:t>T</w:t>
      </w:r>
      <w:r w:rsidR="00E15507" w:rsidRPr="005D6CD4">
        <w:rPr>
          <w:lang w:val="fr-FR"/>
        </w:rPr>
        <w:t>aux d</w:t>
      </w:r>
      <w:r w:rsidR="000A3D87">
        <w:rPr>
          <w:lang w:val="fr-FR"/>
        </w:rPr>
        <w:t>’</w:t>
      </w:r>
      <w:r w:rsidR="00E15507" w:rsidRPr="005D6CD4">
        <w:rPr>
          <w:lang w:val="fr-FR"/>
        </w:rPr>
        <w:t>alphabétisation</w:t>
      </w:r>
    </w:p>
    <w:p w:rsidR="0067628B" w:rsidRPr="0067628B" w:rsidRDefault="0067628B" w:rsidP="0067628B">
      <w:pPr>
        <w:pStyle w:val="SingleTxt"/>
        <w:spacing w:after="0" w:line="120" w:lineRule="exact"/>
        <w:rPr>
          <w:sz w:val="10"/>
          <w:lang w:val="fr-FR"/>
        </w:rPr>
      </w:pPr>
    </w:p>
    <w:p w:rsidR="0067628B" w:rsidRPr="0067628B" w:rsidRDefault="0067628B" w:rsidP="0067628B">
      <w:pPr>
        <w:pStyle w:val="SingleTxt"/>
        <w:rPr>
          <w:lang w:val="fr-FR"/>
        </w:rPr>
      </w:pPr>
      <w:r>
        <w:rPr>
          <w:lang w:val="fr-FR"/>
        </w:rPr>
        <w:tab/>
      </w:r>
      <w:r w:rsidRPr="005D6CD4">
        <w:rPr>
          <w:lang w:val="fr-FR"/>
        </w:rPr>
        <w:t>L</w:t>
      </w:r>
      <w:r w:rsidR="000A3D87">
        <w:rPr>
          <w:lang w:val="fr-FR"/>
        </w:rPr>
        <w:t>’</w:t>
      </w:r>
      <w:r w:rsidRPr="005D6CD4">
        <w:rPr>
          <w:lang w:val="fr-FR"/>
        </w:rPr>
        <w:t>Enquête nationale sur le</w:t>
      </w:r>
      <w:r>
        <w:rPr>
          <w:lang w:val="fr-FR"/>
        </w:rPr>
        <w:t>s</w:t>
      </w:r>
      <w:r w:rsidRPr="005D6CD4">
        <w:rPr>
          <w:lang w:val="fr-FR"/>
        </w:rPr>
        <w:t xml:space="preserve"> niveau</w:t>
      </w:r>
      <w:r>
        <w:rPr>
          <w:lang w:val="fr-FR"/>
        </w:rPr>
        <w:t>x</w:t>
      </w:r>
      <w:r w:rsidRPr="005D6CD4">
        <w:rPr>
          <w:lang w:val="fr-FR"/>
        </w:rPr>
        <w:t xml:space="preserve"> de vie de 2004 a révélé que 5 </w:t>
      </w:r>
      <w:r>
        <w:rPr>
          <w:lang w:val="fr-FR"/>
        </w:rPr>
        <w:t>N</w:t>
      </w:r>
      <w:r w:rsidRPr="005D6CD4">
        <w:rPr>
          <w:lang w:val="fr-FR"/>
        </w:rPr>
        <w:t xml:space="preserve">igérians sur 10 et 4 </w:t>
      </w:r>
      <w:r>
        <w:rPr>
          <w:lang w:val="fr-FR"/>
        </w:rPr>
        <w:t>N</w:t>
      </w:r>
      <w:r w:rsidRPr="005D6CD4">
        <w:rPr>
          <w:lang w:val="fr-FR"/>
        </w:rPr>
        <w:t>igérianes sur 10 s</w:t>
      </w:r>
      <w:r>
        <w:rPr>
          <w:lang w:val="fr-FR"/>
        </w:rPr>
        <w:t>avent lire et écrire</w:t>
      </w:r>
      <w:r w:rsidRPr="005D6CD4">
        <w:rPr>
          <w:lang w:val="fr-FR"/>
        </w:rPr>
        <w:t>. Presque deux-tiers des hommes adultes (soit 65,9</w:t>
      </w:r>
      <w:r>
        <w:rPr>
          <w:lang w:val="fr-FR"/>
        </w:rPr>
        <w:t> </w:t>
      </w:r>
      <w:r w:rsidRPr="005D6CD4">
        <w:rPr>
          <w:lang w:val="fr-FR"/>
        </w:rPr>
        <w:t xml:space="preserve">%) des zones urbaines </w:t>
      </w:r>
      <w:r>
        <w:rPr>
          <w:lang w:val="fr-FR"/>
        </w:rPr>
        <w:t xml:space="preserve">savent lire et écrire </w:t>
      </w:r>
      <w:r w:rsidRPr="005D6CD4">
        <w:rPr>
          <w:lang w:val="fr-FR"/>
        </w:rPr>
        <w:t>en anglais contre 42</w:t>
      </w:r>
      <w:r>
        <w:rPr>
          <w:lang w:val="fr-FR"/>
        </w:rPr>
        <w:t> </w:t>
      </w:r>
      <w:r w:rsidRPr="005D6CD4">
        <w:rPr>
          <w:lang w:val="fr-FR"/>
        </w:rPr>
        <w:t xml:space="preserve">% en </w:t>
      </w:r>
      <w:r>
        <w:rPr>
          <w:lang w:val="fr-FR"/>
        </w:rPr>
        <w:t xml:space="preserve">milieu </w:t>
      </w:r>
      <w:r w:rsidRPr="005D6CD4">
        <w:rPr>
          <w:lang w:val="fr-FR"/>
        </w:rPr>
        <w:t>rural. Le taux d</w:t>
      </w:r>
      <w:r w:rsidR="000A3D87">
        <w:rPr>
          <w:lang w:val="fr-FR"/>
        </w:rPr>
        <w:t>’</w:t>
      </w:r>
      <w:r w:rsidRPr="005D6CD4">
        <w:rPr>
          <w:lang w:val="fr-FR"/>
        </w:rPr>
        <w:t>alphabétisation des femmes adultes des zones urbaines est d</w:t>
      </w:r>
      <w:r w:rsidR="000A3D87">
        <w:rPr>
          <w:lang w:val="fr-FR"/>
        </w:rPr>
        <w:t>’</w:t>
      </w:r>
      <w:r w:rsidRPr="005D6CD4">
        <w:rPr>
          <w:lang w:val="fr-FR"/>
        </w:rPr>
        <w:t>environ 50</w:t>
      </w:r>
      <w:r>
        <w:rPr>
          <w:lang w:val="fr-FR"/>
        </w:rPr>
        <w:t> </w:t>
      </w:r>
      <w:r w:rsidRPr="005D6CD4">
        <w:rPr>
          <w:lang w:val="fr-FR"/>
        </w:rPr>
        <w:t>% contre 31</w:t>
      </w:r>
      <w:r>
        <w:rPr>
          <w:lang w:val="fr-FR"/>
        </w:rPr>
        <w:t> </w:t>
      </w:r>
      <w:r w:rsidRPr="005D6CD4">
        <w:rPr>
          <w:lang w:val="fr-FR"/>
        </w:rPr>
        <w:t xml:space="preserve">% chez les femmes des zones rurales. Une analyse comparative des données du </w:t>
      </w:r>
      <w:r>
        <w:rPr>
          <w:lang w:val="fr-FR"/>
        </w:rPr>
        <w:t>Tableau</w:t>
      </w:r>
      <w:r w:rsidRPr="005D6CD4">
        <w:rPr>
          <w:lang w:val="fr-FR"/>
        </w:rPr>
        <w:t xml:space="preserve"> 10.4 révèle une </w:t>
      </w:r>
      <w:r>
        <w:rPr>
          <w:lang w:val="fr-FR"/>
        </w:rPr>
        <w:t xml:space="preserve">augmentation </w:t>
      </w:r>
      <w:r w:rsidRPr="005D6CD4">
        <w:rPr>
          <w:lang w:val="fr-FR"/>
        </w:rPr>
        <w:t>marginale du nombre de femmes nigérianes (6 femmes sur 10) qui s</w:t>
      </w:r>
      <w:r>
        <w:rPr>
          <w:lang w:val="fr-FR"/>
        </w:rPr>
        <w:t xml:space="preserve">avent lire et écrire </w:t>
      </w:r>
      <w:r w:rsidRPr="005D6CD4">
        <w:rPr>
          <w:lang w:val="fr-FR"/>
        </w:rPr>
        <w:t>en langue anglaise en 2006 par rapport à l</w:t>
      </w:r>
      <w:r w:rsidR="000A3D87">
        <w:rPr>
          <w:lang w:val="fr-FR"/>
        </w:rPr>
        <w:t>’</w:t>
      </w:r>
      <w:r w:rsidRPr="005D6CD4">
        <w:rPr>
          <w:lang w:val="fr-FR"/>
        </w:rPr>
        <w:t>année 2004. La disparité entre les niveaux d</w:t>
      </w:r>
      <w:r w:rsidR="000A3D87">
        <w:rPr>
          <w:lang w:val="fr-FR"/>
        </w:rPr>
        <w:t>’</w:t>
      </w:r>
      <w:r w:rsidRPr="005D6CD4">
        <w:rPr>
          <w:lang w:val="fr-FR"/>
        </w:rPr>
        <w:t>alphabétisation en anglais entre les zones urbaines et rurales (36,3</w:t>
      </w:r>
      <w:r>
        <w:rPr>
          <w:lang w:val="fr-FR"/>
        </w:rPr>
        <w:t> </w:t>
      </w:r>
      <w:r w:rsidRPr="005D6CD4">
        <w:rPr>
          <w:lang w:val="fr-FR"/>
        </w:rPr>
        <w:t>%/63,6</w:t>
      </w:r>
      <w:r>
        <w:rPr>
          <w:lang w:val="fr-FR"/>
        </w:rPr>
        <w:t> </w:t>
      </w:r>
      <w:r w:rsidRPr="005D6CD4">
        <w:rPr>
          <w:lang w:val="fr-FR"/>
        </w:rPr>
        <w:t xml:space="preserve">%) </w:t>
      </w:r>
      <w:r>
        <w:rPr>
          <w:lang w:val="fr-FR"/>
        </w:rPr>
        <w:t xml:space="preserve">fait apparaître une forte augmentation </w:t>
      </w:r>
      <w:r w:rsidRPr="005D6CD4">
        <w:rPr>
          <w:lang w:val="fr-FR"/>
        </w:rPr>
        <w:t xml:space="preserve">dans les deux zones. Le nombre de femmes </w:t>
      </w:r>
      <w:r>
        <w:rPr>
          <w:lang w:val="fr-FR"/>
        </w:rPr>
        <w:t>sachant lire et écrire l</w:t>
      </w:r>
      <w:r w:rsidRPr="005D6CD4">
        <w:rPr>
          <w:lang w:val="fr-FR"/>
        </w:rPr>
        <w:t xml:space="preserve">es langues nigérianes a également augmenté en 2006, malgré une </w:t>
      </w:r>
      <w:r>
        <w:rPr>
          <w:lang w:val="fr-FR"/>
        </w:rPr>
        <w:t xml:space="preserve">augmentation sensible </w:t>
      </w:r>
      <w:r w:rsidRPr="005D6CD4">
        <w:rPr>
          <w:lang w:val="fr-FR"/>
        </w:rPr>
        <w:t>du taux d</w:t>
      </w:r>
      <w:r w:rsidR="000A3D87">
        <w:rPr>
          <w:lang w:val="fr-FR"/>
        </w:rPr>
        <w:t>’</w:t>
      </w:r>
      <w:r w:rsidRPr="005D6CD4">
        <w:rPr>
          <w:lang w:val="fr-FR"/>
        </w:rPr>
        <w:t>alphabétisation des hommes par rapport à celui des femmes</w:t>
      </w:r>
      <w:r>
        <w:rPr>
          <w:lang w:val="fr-FR"/>
        </w:rPr>
        <w:t>. L</w:t>
      </w:r>
      <w:r w:rsidR="000A3D87">
        <w:rPr>
          <w:lang w:val="fr-FR"/>
        </w:rPr>
        <w:t>’</w:t>
      </w:r>
      <w:r>
        <w:rPr>
          <w:lang w:val="fr-FR"/>
        </w:rPr>
        <w:t xml:space="preserve">augmentation </w:t>
      </w:r>
      <w:r w:rsidRPr="005D6CD4">
        <w:rPr>
          <w:lang w:val="fr-FR"/>
        </w:rPr>
        <w:t>constante du niveau d</w:t>
      </w:r>
      <w:r w:rsidR="000A3D87">
        <w:rPr>
          <w:lang w:val="fr-FR"/>
        </w:rPr>
        <w:t>’</w:t>
      </w:r>
      <w:r w:rsidRPr="005D6CD4">
        <w:rPr>
          <w:lang w:val="fr-FR"/>
        </w:rPr>
        <w:t xml:space="preserve">alphabétisation des femmes peut être attribuée en partie à la création de nombreux centres de formation continue aux niveaux fédéral et des </w:t>
      </w:r>
      <w:r>
        <w:rPr>
          <w:lang w:val="fr-FR"/>
        </w:rPr>
        <w:t>É</w:t>
      </w:r>
      <w:r w:rsidRPr="005D6CD4">
        <w:rPr>
          <w:lang w:val="fr-FR"/>
        </w:rPr>
        <w:t>tats à travers tout le pays.</w:t>
      </w:r>
    </w:p>
    <w:p w:rsidR="00E15507" w:rsidRPr="005D6CD4" w:rsidRDefault="00E15507" w:rsidP="00E15507">
      <w:pPr>
        <w:spacing w:line="480" w:lineRule="auto"/>
        <w:rPr>
          <w:b/>
          <w:sz w:val="24"/>
          <w:szCs w:val="24"/>
          <w:lang w:val="fr-FR"/>
        </w:rPr>
      </w:pPr>
    </w:p>
    <w:tbl>
      <w:tblPr>
        <w:tblpPr w:leftFromText="180" w:rightFromText="180" w:vertAnchor="text" w:horzAnchor="margin" w:tblpXSpec="right" w:tblpY="1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548"/>
        <w:gridCol w:w="1260"/>
        <w:gridCol w:w="1170"/>
        <w:gridCol w:w="1080"/>
        <w:gridCol w:w="1350"/>
        <w:gridCol w:w="990"/>
        <w:gridCol w:w="1134"/>
      </w:tblGrid>
      <w:tr w:rsidR="00E15507" w:rsidRPr="005D6CD4">
        <w:trPr>
          <w:cantSplit/>
        </w:trPr>
        <w:tc>
          <w:tcPr>
            <w:tcW w:w="8532" w:type="dxa"/>
            <w:gridSpan w:val="7"/>
          </w:tcPr>
          <w:p w:rsidR="00E15507" w:rsidRDefault="00E15507" w:rsidP="0067628B">
            <w:pPr>
              <w:spacing w:line="240" w:lineRule="auto"/>
              <w:rPr>
                <w:b/>
                <w:bCs/>
                <w:lang w:val="fr-FR"/>
              </w:rPr>
            </w:pPr>
            <w:r w:rsidRPr="00C67973">
              <w:rPr>
                <w:b/>
                <w:lang w:val="fr-FR"/>
              </w:rPr>
              <w:t>Tableau 10.6</w:t>
            </w:r>
            <w:r w:rsidR="0067628B">
              <w:rPr>
                <w:b/>
                <w:lang w:val="fr-FR"/>
              </w:rPr>
              <w:br/>
            </w:r>
            <w:r w:rsidRPr="00C67973">
              <w:rPr>
                <w:b/>
                <w:bCs/>
                <w:lang w:val="fr-FR"/>
              </w:rPr>
              <w:t>Taux d</w:t>
            </w:r>
            <w:r w:rsidR="000A3D87">
              <w:rPr>
                <w:b/>
                <w:bCs/>
                <w:lang w:val="fr-FR"/>
              </w:rPr>
              <w:t>’</w:t>
            </w:r>
            <w:r w:rsidRPr="00C67973">
              <w:rPr>
                <w:b/>
                <w:bCs/>
                <w:lang w:val="fr-FR"/>
              </w:rPr>
              <w:t>alphabétisation des adultes (âgés de 15 ans et plus)</w:t>
            </w:r>
          </w:p>
          <w:p w:rsidR="0067628B" w:rsidRPr="00C67973" w:rsidRDefault="0067628B" w:rsidP="0067628B">
            <w:pPr>
              <w:spacing w:line="240" w:lineRule="auto"/>
              <w:rPr>
                <w:b/>
                <w:bCs/>
                <w:lang w:val="fr-FR"/>
              </w:rPr>
            </w:pPr>
          </w:p>
        </w:tc>
      </w:tr>
      <w:tr w:rsidR="00E15507" w:rsidRPr="005D6CD4">
        <w:trPr>
          <w:cantSplit/>
        </w:trPr>
        <w:tc>
          <w:tcPr>
            <w:tcW w:w="1548" w:type="dxa"/>
            <w:vMerge w:val="restart"/>
          </w:tcPr>
          <w:p w:rsidR="00E15507" w:rsidRPr="00705A50" w:rsidRDefault="00E15507" w:rsidP="00705A50">
            <w:pPr>
              <w:spacing w:line="480" w:lineRule="auto"/>
              <w:rPr>
                <w:b/>
                <w:i/>
                <w:sz w:val="14"/>
                <w:szCs w:val="14"/>
                <w:lang w:val="fr-FR"/>
              </w:rPr>
            </w:pPr>
            <w:r w:rsidRPr="00705A50">
              <w:rPr>
                <w:b/>
                <w:i/>
                <w:sz w:val="14"/>
                <w:szCs w:val="14"/>
                <w:lang w:val="fr-FR"/>
              </w:rPr>
              <w:t>L</w:t>
            </w:r>
            <w:r w:rsidR="00705A50" w:rsidRPr="00705A50">
              <w:rPr>
                <w:b/>
                <w:i/>
                <w:sz w:val="14"/>
                <w:szCs w:val="14"/>
                <w:lang w:val="fr-FR"/>
              </w:rPr>
              <w:t>ieu</w:t>
            </w:r>
          </w:p>
        </w:tc>
        <w:tc>
          <w:tcPr>
            <w:tcW w:w="3510" w:type="dxa"/>
            <w:gridSpan w:val="3"/>
          </w:tcPr>
          <w:p w:rsidR="00E15507" w:rsidRPr="00705A50" w:rsidRDefault="00E15507" w:rsidP="00705A50">
            <w:pPr>
              <w:spacing w:line="480" w:lineRule="auto"/>
              <w:jc w:val="center"/>
              <w:rPr>
                <w:bCs/>
                <w:i/>
                <w:sz w:val="14"/>
                <w:szCs w:val="14"/>
                <w:lang w:val="fr-FR"/>
              </w:rPr>
            </w:pPr>
            <w:r w:rsidRPr="00705A50">
              <w:rPr>
                <w:bCs/>
                <w:i/>
                <w:sz w:val="14"/>
                <w:szCs w:val="14"/>
                <w:lang w:val="fr-FR"/>
              </w:rPr>
              <w:t>Anglais</w:t>
            </w:r>
          </w:p>
        </w:tc>
        <w:tc>
          <w:tcPr>
            <w:tcW w:w="3474" w:type="dxa"/>
            <w:gridSpan w:val="3"/>
          </w:tcPr>
          <w:p w:rsidR="00E15507" w:rsidRPr="00705A50" w:rsidRDefault="00E15507" w:rsidP="00705A50">
            <w:pPr>
              <w:spacing w:line="480" w:lineRule="auto"/>
              <w:jc w:val="center"/>
              <w:rPr>
                <w:bCs/>
                <w:i/>
                <w:sz w:val="14"/>
                <w:szCs w:val="14"/>
                <w:lang w:val="fr-FR"/>
              </w:rPr>
            </w:pPr>
            <w:r w:rsidRPr="00705A50">
              <w:rPr>
                <w:bCs/>
                <w:i/>
                <w:sz w:val="14"/>
                <w:szCs w:val="14"/>
                <w:lang w:val="fr-FR"/>
              </w:rPr>
              <w:t>Toutes les langues</w:t>
            </w:r>
          </w:p>
        </w:tc>
      </w:tr>
      <w:tr w:rsidR="00E15507" w:rsidRPr="005D6CD4">
        <w:trPr>
          <w:cantSplit/>
        </w:trPr>
        <w:tc>
          <w:tcPr>
            <w:tcW w:w="1548" w:type="dxa"/>
            <w:vMerge/>
          </w:tcPr>
          <w:p w:rsidR="00E15507" w:rsidRPr="00705A50" w:rsidRDefault="00E15507" w:rsidP="00705A50">
            <w:pPr>
              <w:spacing w:line="480" w:lineRule="auto"/>
              <w:rPr>
                <w:i/>
                <w:sz w:val="14"/>
                <w:szCs w:val="14"/>
                <w:lang w:val="fr-FR"/>
              </w:rPr>
            </w:pPr>
          </w:p>
        </w:tc>
        <w:tc>
          <w:tcPr>
            <w:tcW w:w="1260" w:type="dxa"/>
          </w:tcPr>
          <w:p w:rsidR="00E15507" w:rsidRPr="00705A50" w:rsidRDefault="00E15507" w:rsidP="00705A50">
            <w:pPr>
              <w:spacing w:before="80" w:after="80" w:line="160" w:lineRule="exact"/>
              <w:jc w:val="right"/>
              <w:rPr>
                <w:i/>
                <w:sz w:val="14"/>
                <w:szCs w:val="14"/>
                <w:lang w:val="fr-FR"/>
              </w:rPr>
            </w:pPr>
            <w:r w:rsidRPr="00705A50">
              <w:rPr>
                <w:i/>
                <w:sz w:val="14"/>
                <w:szCs w:val="14"/>
                <w:lang w:val="fr-FR"/>
              </w:rPr>
              <w:t>Hommes</w:t>
            </w:r>
          </w:p>
        </w:tc>
        <w:tc>
          <w:tcPr>
            <w:tcW w:w="1170" w:type="dxa"/>
          </w:tcPr>
          <w:p w:rsidR="00E15507" w:rsidRPr="00705A50" w:rsidRDefault="00E15507" w:rsidP="00705A50">
            <w:pPr>
              <w:spacing w:before="80" w:after="80" w:line="160" w:lineRule="exact"/>
              <w:jc w:val="right"/>
              <w:rPr>
                <w:i/>
                <w:sz w:val="14"/>
                <w:szCs w:val="14"/>
                <w:lang w:val="fr-FR"/>
              </w:rPr>
            </w:pPr>
            <w:r w:rsidRPr="00705A50">
              <w:rPr>
                <w:i/>
                <w:sz w:val="14"/>
                <w:szCs w:val="14"/>
                <w:lang w:val="fr-FR"/>
              </w:rPr>
              <w:t>Femmes</w:t>
            </w:r>
          </w:p>
        </w:tc>
        <w:tc>
          <w:tcPr>
            <w:tcW w:w="1080" w:type="dxa"/>
          </w:tcPr>
          <w:p w:rsidR="00E15507" w:rsidRPr="00705A50" w:rsidRDefault="00E15507" w:rsidP="00705A50">
            <w:pPr>
              <w:spacing w:before="80" w:after="80" w:line="160" w:lineRule="exact"/>
              <w:jc w:val="right"/>
              <w:rPr>
                <w:i/>
                <w:sz w:val="14"/>
                <w:szCs w:val="14"/>
                <w:lang w:val="fr-FR"/>
              </w:rPr>
            </w:pPr>
            <w:r w:rsidRPr="00705A50">
              <w:rPr>
                <w:i/>
                <w:sz w:val="14"/>
                <w:szCs w:val="14"/>
                <w:lang w:val="fr-FR"/>
              </w:rPr>
              <w:t>Total</w:t>
            </w:r>
          </w:p>
        </w:tc>
        <w:tc>
          <w:tcPr>
            <w:tcW w:w="1350" w:type="dxa"/>
          </w:tcPr>
          <w:p w:rsidR="00E15507" w:rsidRPr="00705A50" w:rsidRDefault="00E15507" w:rsidP="00705A50">
            <w:pPr>
              <w:spacing w:before="80" w:after="80" w:line="160" w:lineRule="exact"/>
              <w:jc w:val="right"/>
              <w:rPr>
                <w:i/>
                <w:sz w:val="14"/>
                <w:szCs w:val="14"/>
                <w:lang w:val="fr-FR"/>
              </w:rPr>
            </w:pPr>
            <w:r w:rsidRPr="00705A50">
              <w:rPr>
                <w:i/>
                <w:sz w:val="14"/>
                <w:szCs w:val="14"/>
                <w:lang w:val="fr-FR"/>
              </w:rPr>
              <w:t xml:space="preserve">Hommes </w:t>
            </w:r>
          </w:p>
        </w:tc>
        <w:tc>
          <w:tcPr>
            <w:tcW w:w="990" w:type="dxa"/>
          </w:tcPr>
          <w:p w:rsidR="00E15507" w:rsidRPr="00705A50" w:rsidRDefault="00E15507" w:rsidP="00705A50">
            <w:pPr>
              <w:spacing w:before="80" w:after="80" w:line="160" w:lineRule="exact"/>
              <w:jc w:val="right"/>
              <w:rPr>
                <w:i/>
                <w:sz w:val="14"/>
                <w:szCs w:val="14"/>
                <w:lang w:val="fr-FR"/>
              </w:rPr>
            </w:pPr>
            <w:r w:rsidRPr="00705A50">
              <w:rPr>
                <w:i/>
                <w:sz w:val="14"/>
                <w:szCs w:val="14"/>
                <w:lang w:val="fr-FR"/>
              </w:rPr>
              <w:t>Femmes</w:t>
            </w:r>
          </w:p>
        </w:tc>
        <w:tc>
          <w:tcPr>
            <w:tcW w:w="1134" w:type="dxa"/>
          </w:tcPr>
          <w:p w:rsidR="00E15507" w:rsidRPr="00705A50" w:rsidRDefault="00E15507" w:rsidP="00705A50">
            <w:pPr>
              <w:spacing w:before="80" w:after="80" w:line="160" w:lineRule="exact"/>
              <w:jc w:val="right"/>
              <w:rPr>
                <w:i/>
                <w:sz w:val="14"/>
                <w:szCs w:val="14"/>
                <w:lang w:val="fr-FR"/>
              </w:rPr>
            </w:pPr>
            <w:r w:rsidRPr="00705A50">
              <w:rPr>
                <w:i/>
                <w:sz w:val="14"/>
                <w:szCs w:val="14"/>
                <w:lang w:val="fr-FR"/>
              </w:rPr>
              <w:t>Total</w:t>
            </w:r>
          </w:p>
        </w:tc>
      </w:tr>
    </w:tbl>
    <w:p w:rsidR="0067628B" w:rsidRDefault="0067628B"/>
    <w:p w:rsidR="0067628B" w:rsidRDefault="0067628B"/>
    <w:tbl>
      <w:tblPr>
        <w:tblpPr w:leftFromText="180" w:rightFromText="180" w:vertAnchor="text" w:horzAnchor="margin" w:tblpXSpec="right" w:tblpY="1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548"/>
        <w:gridCol w:w="1260"/>
        <w:gridCol w:w="1170"/>
        <w:gridCol w:w="1080"/>
        <w:gridCol w:w="1350"/>
        <w:gridCol w:w="990"/>
        <w:gridCol w:w="1134"/>
      </w:tblGrid>
      <w:tr w:rsidR="00E15507" w:rsidRPr="005D6CD4">
        <w:tc>
          <w:tcPr>
            <w:tcW w:w="1548" w:type="dxa"/>
          </w:tcPr>
          <w:p w:rsidR="00E15507" w:rsidRPr="00705A50" w:rsidRDefault="00E15507" w:rsidP="00705A50">
            <w:pPr>
              <w:spacing w:before="40" w:after="40" w:line="210" w:lineRule="exact"/>
              <w:ind w:right="43"/>
              <w:rPr>
                <w:sz w:val="17"/>
                <w:szCs w:val="17"/>
                <w:lang w:val="fr-FR"/>
              </w:rPr>
            </w:pPr>
            <w:r w:rsidRPr="00705A50">
              <w:rPr>
                <w:sz w:val="17"/>
                <w:szCs w:val="17"/>
                <w:lang w:val="fr-FR"/>
              </w:rPr>
              <w:t>National</w:t>
            </w:r>
          </w:p>
        </w:tc>
        <w:tc>
          <w:tcPr>
            <w:tcW w:w="1260" w:type="dxa"/>
          </w:tcPr>
          <w:p w:rsidR="00E15507" w:rsidRPr="00705A50" w:rsidRDefault="00E15507" w:rsidP="00705A50">
            <w:pPr>
              <w:spacing w:before="40" w:after="40" w:line="210" w:lineRule="exact"/>
              <w:ind w:right="43"/>
              <w:jc w:val="right"/>
              <w:rPr>
                <w:sz w:val="17"/>
                <w:szCs w:val="17"/>
                <w:lang w:val="fr-FR"/>
              </w:rPr>
            </w:pPr>
            <w:r w:rsidRPr="00705A50">
              <w:rPr>
                <w:sz w:val="17"/>
                <w:szCs w:val="17"/>
                <w:lang w:val="fr-FR"/>
              </w:rPr>
              <w:t>61,3</w:t>
            </w:r>
          </w:p>
        </w:tc>
        <w:tc>
          <w:tcPr>
            <w:tcW w:w="1170" w:type="dxa"/>
          </w:tcPr>
          <w:p w:rsidR="00E15507" w:rsidRPr="00705A50" w:rsidRDefault="00E15507" w:rsidP="00705A50">
            <w:pPr>
              <w:spacing w:before="40" w:after="40" w:line="210" w:lineRule="exact"/>
              <w:ind w:right="43"/>
              <w:jc w:val="right"/>
              <w:rPr>
                <w:sz w:val="17"/>
                <w:szCs w:val="17"/>
                <w:lang w:val="fr-FR"/>
              </w:rPr>
            </w:pPr>
            <w:r w:rsidRPr="00705A50">
              <w:rPr>
                <w:sz w:val="17"/>
                <w:szCs w:val="17"/>
                <w:lang w:val="fr-FR"/>
              </w:rPr>
              <w:t>45,3</w:t>
            </w:r>
          </w:p>
        </w:tc>
        <w:tc>
          <w:tcPr>
            <w:tcW w:w="1080" w:type="dxa"/>
          </w:tcPr>
          <w:p w:rsidR="00E15507" w:rsidRPr="00705A50" w:rsidRDefault="00E15507" w:rsidP="00705A50">
            <w:pPr>
              <w:spacing w:before="40" w:after="40" w:line="210" w:lineRule="exact"/>
              <w:ind w:right="43"/>
              <w:jc w:val="right"/>
              <w:rPr>
                <w:sz w:val="17"/>
                <w:szCs w:val="17"/>
                <w:lang w:val="fr-FR"/>
              </w:rPr>
            </w:pPr>
            <w:r w:rsidRPr="00705A50">
              <w:rPr>
                <w:sz w:val="17"/>
                <w:szCs w:val="17"/>
                <w:lang w:val="fr-FR"/>
              </w:rPr>
              <w:t>53,3</w:t>
            </w:r>
          </w:p>
        </w:tc>
        <w:tc>
          <w:tcPr>
            <w:tcW w:w="1350" w:type="dxa"/>
          </w:tcPr>
          <w:p w:rsidR="00E15507" w:rsidRPr="00705A50" w:rsidRDefault="00E15507" w:rsidP="00705A50">
            <w:pPr>
              <w:spacing w:before="40" w:after="40" w:line="210" w:lineRule="exact"/>
              <w:ind w:right="43"/>
              <w:jc w:val="right"/>
              <w:rPr>
                <w:sz w:val="17"/>
                <w:szCs w:val="17"/>
                <w:lang w:val="fr-FR"/>
              </w:rPr>
            </w:pPr>
            <w:r w:rsidRPr="00705A50">
              <w:rPr>
                <w:sz w:val="17"/>
                <w:szCs w:val="17"/>
                <w:lang w:val="fr-FR"/>
              </w:rPr>
              <w:t>73,0</w:t>
            </w:r>
          </w:p>
        </w:tc>
        <w:tc>
          <w:tcPr>
            <w:tcW w:w="990" w:type="dxa"/>
          </w:tcPr>
          <w:p w:rsidR="00E15507" w:rsidRPr="00705A50" w:rsidRDefault="00E15507" w:rsidP="00705A50">
            <w:pPr>
              <w:spacing w:before="40" w:after="40" w:line="210" w:lineRule="exact"/>
              <w:ind w:right="43"/>
              <w:jc w:val="right"/>
              <w:rPr>
                <w:sz w:val="17"/>
                <w:szCs w:val="17"/>
                <w:lang w:val="fr-FR"/>
              </w:rPr>
            </w:pPr>
            <w:r w:rsidRPr="00705A50">
              <w:rPr>
                <w:sz w:val="17"/>
                <w:szCs w:val="17"/>
                <w:lang w:val="fr-FR"/>
              </w:rPr>
              <w:t>55,4</w:t>
            </w:r>
          </w:p>
        </w:tc>
        <w:tc>
          <w:tcPr>
            <w:tcW w:w="1134" w:type="dxa"/>
          </w:tcPr>
          <w:p w:rsidR="00E15507" w:rsidRPr="00705A50" w:rsidRDefault="00E15507" w:rsidP="00705A50">
            <w:pPr>
              <w:spacing w:before="40" w:after="40" w:line="210" w:lineRule="exact"/>
              <w:ind w:right="43"/>
              <w:jc w:val="right"/>
              <w:rPr>
                <w:sz w:val="17"/>
                <w:szCs w:val="17"/>
                <w:lang w:val="fr-FR"/>
              </w:rPr>
            </w:pPr>
            <w:r w:rsidRPr="00705A50">
              <w:rPr>
                <w:sz w:val="17"/>
                <w:szCs w:val="17"/>
                <w:lang w:val="fr-FR"/>
              </w:rPr>
              <w:t>64,2</w:t>
            </w:r>
          </w:p>
        </w:tc>
      </w:tr>
      <w:tr w:rsidR="00E15507" w:rsidRPr="005D6CD4">
        <w:tc>
          <w:tcPr>
            <w:tcW w:w="1548" w:type="dxa"/>
          </w:tcPr>
          <w:p w:rsidR="00E15507" w:rsidRPr="00705A50" w:rsidRDefault="00E15507" w:rsidP="00705A50">
            <w:pPr>
              <w:spacing w:before="40" w:after="40" w:line="210" w:lineRule="exact"/>
              <w:ind w:right="43"/>
              <w:rPr>
                <w:sz w:val="17"/>
                <w:szCs w:val="17"/>
                <w:lang w:val="fr-FR"/>
              </w:rPr>
            </w:pPr>
            <w:r w:rsidRPr="00705A50">
              <w:rPr>
                <w:sz w:val="17"/>
                <w:szCs w:val="17"/>
                <w:lang w:val="fr-FR"/>
              </w:rPr>
              <w:t>Nord-est</w:t>
            </w:r>
          </w:p>
        </w:tc>
        <w:tc>
          <w:tcPr>
            <w:tcW w:w="1260" w:type="dxa"/>
          </w:tcPr>
          <w:p w:rsidR="00E15507" w:rsidRPr="00705A50" w:rsidRDefault="00E15507" w:rsidP="00705A50">
            <w:pPr>
              <w:spacing w:before="40" w:after="40" w:line="210" w:lineRule="exact"/>
              <w:ind w:right="43"/>
              <w:jc w:val="right"/>
              <w:rPr>
                <w:sz w:val="17"/>
                <w:szCs w:val="17"/>
                <w:lang w:val="fr-FR"/>
              </w:rPr>
            </w:pPr>
            <w:r w:rsidRPr="00705A50">
              <w:rPr>
                <w:sz w:val="17"/>
                <w:szCs w:val="17"/>
                <w:lang w:val="fr-FR"/>
              </w:rPr>
              <w:t>34,4</w:t>
            </w:r>
          </w:p>
        </w:tc>
        <w:tc>
          <w:tcPr>
            <w:tcW w:w="1170" w:type="dxa"/>
          </w:tcPr>
          <w:p w:rsidR="00E15507" w:rsidRPr="00705A50" w:rsidRDefault="00E15507" w:rsidP="00705A50">
            <w:pPr>
              <w:spacing w:before="40" w:after="40" w:line="210" w:lineRule="exact"/>
              <w:ind w:right="43"/>
              <w:jc w:val="right"/>
              <w:rPr>
                <w:sz w:val="17"/>
                <w:szCs w:val="17"/>
                <w:lang w:val="fr-FR"/>
              </w:rPr>
            </w:pPr>
            <w:r w:rsidRPr="00705A50">
              <w:rPr>
                <w:sz w:val="17"/>
                <w:szCs w:val="17"/>
                <w:lang w:val="fr-FR"/>
              </w:rPr>
              <w:t>18,4</w:t>
            </w:r>
          </w:p>
        </w:tc>
        <w:tc>
          <w:tcPr>
            <w:tcW w:w="1080" w:type="dxa"/>
          </w:tcPr>
          <w:p w:rsidR="00E15507" w:rsidRPr="00705A50" w:rsidRDefault="00E15507" w:rsidP="00705A50">
            <w:pPr>
              <w:spacing w:before="40" w:after="40" w:line="210" w:lineRule="exact"/>
              <w:ind w:right="43"/>
              <w:jc w:val="right"/>
              <w:rPr>
                <w:sz w:val="17"/>
                <w:szCs w:val="17"/>
                <w:lang w:val="fr-FR"/>
              </w:rPr>
            </w:pPr>
            <w:r w:rsidRPr="00705A50">
              <w:rPr>
                <w:sz w:val="17"/>
                <w:szCs w:val="17"/>
                <w:lang w:val="fr-FR"/>
              </w:rPr>
              <w:t>26,6</w:t>
            </w:r>
          </w:p>
        </w:tc>
        <w:tc>
          <w:tcPr>
            <w:tcW w:w="1350" w:type="dxa"/>
          </w:tcPr>
          <w:p w:rsidR="00E15507" w:rsidRPr="00705A50" w:rsidRDefault="00E15507" w:rsidP="00705A50">
            <w:pPr>
              <w:spacing w:before="40" w:after="40" w:line="210" w:lineRule="exact"/>
              <w:ind w:right="43"/>
              <w:jc w:val="right"/>
              <w:rPr>
                <w:sz w:val="17"/>
                <w:szCs w:val="17"/>
                <w:lang w:val="fr-FR"/>
              </w:rPr>
            </w:pPr>
            <w:r w:rsidRPr="00705A50">
              <w:rPr>
                <w:sz w:val="17"/>
                <w:szCs w:val="17"/>
                <w:lang w:val="fr-FR"/>
              </w:rPr>
              <w:t>50,6</w:t>
            </w:r>
          </w:p>
        </w:tc>
        <w:tc>
          <w:tcPr>
            <w:tcW w:w="990" w:type="dxa"/>
          </w:tcPr>
          <w:p w:rsidR="00E15507" w:rsidRPr="00705A50" w:rsidRDefault="00E15507" w:rsidP="00705A50">
            <w:pPr>
              <w:spacing w:before="40" w:after="40" w:line="210" w:lineRule="exact"/>
              <w:ind w:right="43"/>
              <w:jc w:val="right"/>
              <w:rPr>
                <w:sz w:val="17"/>
                <w:szCs w:val="17"/>
                <w:lang w:val="fr-FR"/>
              </w:rPr>
            </w:pPr>
            <w:r w:rsidRPr="00705A50">
              <w:rPr>
                <w:sz w:val="17"/>
                <w:szCs w:val="17"/>
                <w:lang w:val="fr-FR"/>
              </w:rPr>
              <w:t>30,4</w:t>
            </w:r>
          </w:p>
        </w:tc>
        <w:tc>
          <w:tcPr>
            <w:tcW w:w="1134" w:type="dxa"/>
          </w:tcPr>
          <w:p w:rsidR="00E15507" w:rsidRPr="00705A50" w:rsidRDefault="00E15507" w:rsidP="00705A50">
            <w:pPr>
              <w:spacing w:before="40" w:after="40" w:line="210" w:lineRule="exact"/>
              <w:ind w:right="43"/>
              <w:jc w:val="right"/>
              <w:rPr>
                <w:sz w:val="17"/>
                <w:szCs w:val="17"/>
                <w:lang w:val="fr-FR"/>
              </w:rPr>
            </w:pPr>
            <w:r w:rsidRPr="00705A50">
              <w:rPr>
                <w:sz w:val="17"/>
                <w:szCs w:val="17"/>
                <w:lang w:val="fr-FR"/>
              </w:rPr>
              <w:t>40,7</w:t>
            </w:r>
          </w:p>
        </w:tc>
      </w:tr>
      <w:tr w:rsidR="00E15507" w:rsidRPr="005D6CD4">
        <w:tc>
          <w:tcPr>
            <w:tcW w:w="1548" w:type="dxa"/>
          </w:tcPr>
          <w:p w:rsidR="00E15507" w:rsidRPr="00705A50" w:rsidRDefault="00E15507" w:rsidP="00705A50">
            <w:pPr>
              <w:spacing w:before="40" w:after="40" w:line="210" w:lineRule="exact"/>
              <w:ind w:right="43"/>
              <w:rPr>
                <w:sz w:val="17"/>
                <w:szCs w:val="17"/>
                <w:lang w:val="fr-FR"/>
              </w:rPr>
            </w:pPr>
            <w:r w:rsidRPr="00705A50">
              <w:rPr>
                <w:sz w:val="17"/>
                <w:szCs w:val="17"/>
                <w:lang w:val="fr-FR"/>
              </w:rPr>
              <w:t xml:space="preserve">Nord-ouest </w:t>
            </w:r>
          </w:p>
        </w:tc>
        <w:tc>
          <w:tcPr>
            <w:tcW w:w="1260" w:type="dxa"/>
          </w:tcPr>
          <w:p w:rsidR="00E15507" w:rsidRPr="00705A50" w:rsidRDefault="00E15507" w:rsidP="00705A50">
            <w:pPr>
              <w:spacing w:before="40" w:after="40" w:line="210" w:lineRule="exact"/>
              <w:ind w:right="43"/>
              <w:jc w:val="right"/>
              <w:rPr>
                <w:sz w:val="17"/>
                <w:szCs w:val="17"/>
                <w:lang w:val="fr-FR"/>
              </w:rPr>
            </w:pPr>
            <w:r w:rsidRPr="00705A50">
              <w:rPr>
                <w:sz w:val="17"/>
                <w:szCs w:val="17"/>
                <w:lang w:val="fr-FR"/>
              </w:rPr>
              <w:t>31,0</w:t>
            </w:r>
          </w:p>
        </w:tc>
        <w:tc>
          <w:tcPr>
            <w:tcW w:w="1170" w:type="dxa"/>
          </w:tcPr>
          <w:p w:rsidR="00E15507" w:rsidRPr="00705A50" w:rsidRDefault="00E15507" w:rsidP="00705A50">
            <w:pPr>
              <w:spacing w:before="40" w:after="40" w:line="210" w:lineRule="exact"/>
              <w:ind w:right="43"/>
              <w:jc w:val="right"/>
              <w:rPr>
                <w:sz w:val="17"/>
                <w:szCs w:val="17"/>
                <w:lang w:val="fr-FR"/>
              </w:rPr>
            </w:pPr>
            <w:r w:rsidRPr="00705A50">
              <w:rPr>
                <w:sz w:val="17"/>
                <w:szCs w:val="17"/>
                <w:lang w:val="fr-FR"/>
              </w:rPr>
              <w:t>15,4</w:t>
            </w:r>
          </w:p>
        </w:tc>
        <w:tc>
          <w:tcPr>
            <w:tcW w:w="1080" w:type="dxa"/>
          </w:tcPr>
          <w:p w:rsidR="00E15507" w:rsidRPr="00705A50" w:rsidRDefault="00E15507" w:rsidP="00705A50">
            <w:pPr>
              <w:spacing w:before="40" w:after="40" w:line="210" w:lineRule="exact"/>
              <w:ind w:right="43"/>
              <w:jc w:val="right"/>
              <w:rPr>
                <w:sz w:val="17"/>
                <w:szCs w:val="17"/>
                <w:lang w:val="fr-FR"/>
              </w:rPr>
            </w:pPr>
            <w:r w:rsidRPr="00705A50">
              <w:rPr>
                <w:sz w:val="17"/>
                <w:szCs w:val="17"/>
                <w:lang w:val="fr-FR"/>
              </w:rPr>
              <w:t>23,2</w:t>
            </w:r>
          </w:p>
        </w:tc>
        <w:tc>
          <w:tcPr>
            <w:tcW w:w="1350" w:type="dxa"/>
          </w:tcPr>
          <w:p w:rsidR="00E15507" w:rsidRPr="00705A50" w:rsidRDefault="00E15507" w:rsidP="00705A50">
            <w:pPr>
              <w:spacing w:before="40" w:after="40" w:line="210" w:lineRule="exact"/>
              <w:ind w:right="43"/>
              <w:jc w:val="right"/>
              <w:rPr>
                <w:sz w:val="17"/>
                <w:szCs w:val="17"/>
                <w:lang w:val="fr-FR"/>
              </w:rPr>
            </w:pPr>
            <w:r w:rsidRPr="00705A50">
              <w:rPr>
                <w:sz w:val="17"/>
                <w:szCs w:val="17"/>
                <w:lang w:val="fr-FR"/>
              </w:rPr>
              <w:t>62,8</w:t>
            </w:r>
          </w:p>
        </w:tc>
        <w:tc>
          <w:tcPr>
            <w:tcW w:w="990" w:type="dxa"/>
          </w:tcPr>
          <w:p w:rsidR="00E15507" w:rsidRPr="00705A50" w:rsidRDefault="00E15507" w:rsidP="00705A50">
            <w:pPr>
              <w:spacing w:before="40" w:after="40" w:line="210" w:lineRule="exact"/>
              <w:ind w:right="43"/>
              <w:jc w:val="right"/>
              <w:rPr>
                <w:sz w:val="17"/>
                <w:szCs w:val="17"/>
                <w:lang w:val="fr-FR"/>
              </w:rPr>
            </w:pPr>
            <w:r w:rsidRPr="00705A50">
              <w:rPr>
                <w:sz w:val="17"/>
                <w:szCs w:val="17"/>
                <w:lang w:val="fr-FR"/>
              </w:rPr>
              <w:t>40,9</w:t>
            </w:r>
          </w:p>
        </w:tc>
        <w:tc>
          <w:tcPr>
            <w:tcW w:w="1134" w:type="dxa"/>
          </w:tcPr>
          <w:p w:rsidR="00E15507" w:rsidRPr="00705A50" w:rsidRDefault="00E15507" w:rsidP="00705A50">
            <w:pPr>
              <w:spacing w:before="40" w:after="40" w:line="210" w:lineRule="exact"/>
              <w:ind w:right="43"/>
              <w:jc w:val="right"/>
              <w:rPr>
                <w:sz w:val="17"/>
                <w:szCs w:val="17"/>
                <w:lang w:val="fr-FR"/>
              </w:rPr>
            </w:pPr>
            <w:r w:rsidRPr="00705A50">
              <w:rPr>
                <w:sz w:val="17"/>
                <w:szCs w:val="17"/>
                <w:lang w:val="fr-FR"/>
              </w:rPr>
              <w:t>51,9</w:t>
            </w:r>
          </w:p>
        </w:tc>
      </w:tr>
      <w:tr w:rsidR="00E15507" w:rsidRPr="005D6CD4">
        <w:tc>
          <w:tcPr>
            <w:tcW w:w="1548" w:type="dxa"/>
          </w:tcPr>
          <w:p w:rsidR="00E15507" w:rsidRPr="00705A50" w:rsidRDefault="00E15507" w:rsidP="00705A50">
            <w:pPr>
              <w:spacing w:before="40" w:after="40" w:line="210" w:lineRule="exact"/>
              <w:ind w:right="43"/>
              <w:rPr>
                <w:sz w:val="17"/>
                <w:szCs w:val="17"/>
                <w:lang w:val="fr-FR"/>
              </w:rPr>
            </w:pPr>
            <w:r w:rsidRPr="00705A50">
              <w:rPr>
                <w:sz w:val="17"/>
                <w:szCs w:val="17"/>
                <w:lang w:val="fr-FR"/>
              </w:rPr>
              <w:t>Nord-centre</w:t>
            </w:r>
          </w:p>
        </w:tc>
        <w:tc>
          <w:tcPr>
            <w:tcW w:w="1260" w:type="dxa"/>
          </w:tcPr>
          <w:p w:rsidR="00E15507" w:rsidRPr="00705A50" w:rsidRDefault="00E15507" w:rsidP="00705A50">
            <w:pPr>
              <w:spacing w:before="40" w:after="40" w:line="210" w:lineRule="exact"/>
              <w:ind w:right="43"/>
              <w:jc w:val="right"/>
              <w:rPr>
                <w:sz w:val="17"/>
                <w:szCs w:val="17"/>
                <w:lang w:val="fr-FR"/>
              </w:rPr>
            </w:pPr>
            <w:r w:rsidRPr="00705A50">
              <w:rPr>
                <w:sz w:val="17"/>
                <w:szCs w:val="17"/>
                <w:lang w:val="fr-FR"/>
              </w:rPr>
              <w:t>64,3</w:t>
            </w:r>
          </w:p>
        </w:tc>
        <w:tc>
          <w:tcPr>
            <w:tcW w:w="1170" w:type="dxa"/>
          </w:tcPr>
          <w:p w:rsidR="00E15507" w:rsidRPr="00705A50" w:rsidRDefault="00E15507" w:rsidP="00705A50">
            <w:pPr>
              <w:spacing w:before="40" w:after="40" w:line="210" w:lineRule="exact"/>
              <w:ind w:right="43"/>
              <w:jc w:val="right"/>
              <w:rPr>
                <w:sz w:val="17"/>
                <w:szCs w:val="17"/>
                <w:lang w:val="fr-FR"/>
              </w:rPr>
            </w:pPr>
            <w:r w:rsidRPr="00705A50">
              <w:rPr>
                <w:sz w:val="17"/>
                <w:szCs w:val="17"/>
                <w:lang w:val="fr-FR"/>
              </w:rPr>
              <w:t>42,0</w:t>
            </w:r>
          </w:p>
        </w:tc>
        <w:tc>
          <w:tcPr>
            <w:tcW w:w="1080" w:type="dxa"/>
          </w:tcPr>
          <w:p w:rsidR="00E15507" w:rsidRPr="00705A50" w:rsidRDefault="00E15507" w:rsidP="00705A50">
            <w:pPr>
              <w:spacing w:before="40" w:after="40" w:line="210" w:lineRule="exact"/>
              <w:ind w:right="43"/>
              <w:jc w:val="right"/>
              <w:rPr>
                <w:sz w:val="17"/>
                <w:szCs w:val="17"/>
                <w:lang w:val="fr-FR"/>
              </w:rPr>
            </w:pPr>
            <w:r w:rsidRPr="00705A50">
              <w:rPr>
                <w:sz w:val="17"/>
                <w:szCs w:val="17"/>
                <w:lang w:val="fr-FR"/>
              </w:rPr>
              <w:t>53,5</w:t>
            </w:r>
          </w:p>
        </w:tc>
        <w:tc>
          <w:tcPr>
            <w:tcW w:w="1350" w:type="dxa"/>
          </w:tcPr>
          <w:p w:rsidR="00E15507" w:rsidRPr="00705A50" w:rsidRDefault="00E15507" w:rsidP="00705A50">
            <w:pPr>
              <w:spacing w:before="40" w:after="40" w:line="210" w:lineRule="exact"/>
              <w:ind w:right="43"/>
              <w:jc w:val="right"/>
              <w:rPr>
                <w:sz w:val="17"/>
                <w:szCs w:val="17"/>
                <w:lang w:val="fr-FR"/>
              </w:rPr>
            </w:pPr>
            <w:r w:rsidRPr="00705A50">
              <w:rPr>
                <w:sz w:val="17"/>
                <w:szCs w:val="17"/>
                <w:lang w:val="fr-FR"/>
              </w:rPr>
              <w:t>69,0</w:t>
            </w:r>
          </w:p>
        </w:tc>
        <w:tc>
          <w:tcPr>
            <w:tcW w:w="990" w:type="dxa"/>
          </w:tcPr>
          <w:p w:rsidR="00E15507" w:rsidRPr="00705A50" w:rsidRDefault="00E15507" w:rsidP="00705A50">
            <w:pPr>
              <w:spacing w:before="40" w:after="40" w:line="210" w:lineRule="exact"/>
              <w:ind w:right="43"/>
              <w:jc w:val="right"/>
              <w:rPr>
                <w:sz w:val="17"/>
                <w:szCs w:val="17"/>
                <w:lang w:val="fr-FR"/>
              </w:rPr>
            </w:pPr>
            <w:r w:rsidRPr="00705A50">
              <w:rPr>
                <w:sz w:val="17"/>
                <w:szCs w:val="17"/>
                <w:lang w:val="fr-FR"/>
              </w:rPr>
              <w:t>46,1</w:t>
            </w:r>
          </w:p>
        </w:tc>
        <w:tc>
          <w:tcPr>
            <w:tcW w:w="1134" w:type="dxa"/>
          </w:tcPr>
          <w:p w:rsidR="00E15507" w:rsidRPr="00705A50" w:rsidRDefault="00E15507" w:rsidP="00705A50">
            <w:pPr>
              <w:spacing w:before="40" w:after="40" w:line="210" w:lineRule="exact"/>
              <w:ind w:right="43"/>
              <w:jc w:val="right"/>
              <w:rPr>
                <w:sz w:val="17"/>
                <w:szCs w:val="17"/>
                <w:lang w:val="fr-FR"/>
              </w:rPr>
            </w:pPr>
            <w:r w:rsidRPr="00705A50">
              <w:rPr>
                <w:sz w:val="17"/>
                <w:szCs w:val="17"/>
                <w:lang w:val="fr-FR"/>
              </w:rPr>
              <w:t>57,9</w:t>
            </w:r>
          </w:p>
        </w:tc>
      </w:tr>
      <w:tr w:rsidR="00E15507" w:rsidRPr="005D6CD4">
        <w:tc>
          <w:tcPr>
            <w:tcW w:w="1548" w:type="dxa"/>
          </w:tcPr>
          <w:p w:rsidR="00E15507" w:rsidRPr="00705A50" w:rsidRDefault="00E15507" w:rsidP="00705A50">
            <w:pPr>
              <w:spacing w:before="40" w:after="40" w:line="210" w:lineRule="exact"/>
              <w:ind w:right="43"/>
              <w:rPr>
                <w:sz w:val="17"/>
                <w:szCs w:val="17"/>
                <w:lang w:val="fr-FR"/>
              </w:rPr>
            </w:pPr>
            <w:r w:rsidRPr="00705A50">
              <w:rPr>
                <w:sz w:val="17"/>
                <w:szCs w:val="17"/>
                <w:lang w:val="fr-FR"/>
              </w:rPr>
              <w:t>Sud-est</w:t>
            </w:r>
          </w:p>
        </w:tc>
        <w:tc>
          <w:tcPr>
            <w:tcW w:w="1260" w:type="dxa"/>
          </w:tcPr>
          <w:p w:rsidR="00E15507" w:rsidRPr="00705A50" w:rsidRDefault="00E15507" w:rsidP="00705A50">
            <w:pPr>
              <w:spacing w:before="40" w:after="40" w:line="210" w:lineRule="exact"/>
              <w:ind w:right="43"/>
              <w:jc w:val="right"/>
              <w:rPr>
                <w:sz w:val="17"/>
                <w:szCs w:val="17"/>
                <w:lang w:val="fr-FR"/>
              </w:rPr>
            </w:pPr>
            <w:r w:rsidRPr="00705A50">
              <w:rPr>
                <w:sz w:val="17"/>
                <w:szCs w:val="17"/>
                <w:lang w:val="fr-FR"/>
              </w:rPr>
              <w:t>80,4</w:t>
            </w:r>
          </w:p>
        </w:tc>
        <w:tc>
          <w:tcPr>
            <w:tcW w:w="1170" w:type="dxa"/>
          </w:tcPr>
          <w:p w:rsidR="00E15507" w:rsidRPr="00705A50" w:rsidRDefault="00E15507" w:rsidP="00705A50">
            <w:pPr>
              <w:spacing w:before="40" w:after="40" w:line="210" w:lineRule="exact"/>
              <w:ind w:right="43"/>
              <w:jc w:val="right"/>
              <w:rPr>
                <w:sz w:val="17"/>
                <w:szCs w:val="17"/>
                <w:lang w:val="fr-FR"/>
              </w:rPr>
            </w:pPr>
            <w:r w:rsidRPr="00705A50">
              <w:rPr>
                <w:sz w:val="17"/>
                <w:szCs w:val="17"/>
                <w:lang w:val="fr-FR"/>
              </w:rPr>
              <w:t>67,2</w:t>
            </w:r>
          </w:p>
        </w:tc>
        <w:tc>
          <w:tcPr>
            <w:tcW w:w="1080" w:type="dxa"/>
          </w:tcPr>
          <w:p w:rsidR="00E15507" w:rsidRPr="00705A50" w:rsidRDefault="00E15507" w:rsidP="00705A50">
            <w:pPr>
              <w:spacing w:before="40" w:after="40" w:line="210" w:lineRule="exact"/>
              <w:ind w:right="43"/>
              <w:jc w:val="right"/>
              <w:rPr>
                <w:sz w:val="17"/>
                <w:szCs w:val="17"/>
                <w:lang w:val="fr-FR"/>
              </w:rPr>
            </w:pPr>
            <w:r w:rsidRPr="00705A50">
              <w:rPr>
                <w:sz w:val="17"/>
                <w:szCs w:val="17"/>
                <w:lang w:val="fr-FR"/>
              </w:rPr>
              <w:t>73,5</w:t>
            </w:r>
          </w:p>
        </w:tc>
        <w:tc>
          <w:tcPr>
            <w:tcW w:w="1350" w:type="dxa"/>
          </w:tcPr>
          <w:p w:rsidR="00E15507" w:rsidRPr="00705A50" w:rsidRDefault="00E15507" w:rsidP="00705A50">
            <w:pPr>
              <w:spacing w:before="40" w:after="40" w:line="210" w:lineRule="exact"/>
              <w:ind w:right="43"/>
              <w:jc w:val="right"/>
              <w:rPr>
                <w:sz w:val="17"/>
                <w:szCs w:val="17"/>
                <w:lang w:val="fr-FR"/>
              </w:rPr>
            </w:pPr>
            <w:r w:rsidRPr="00705A50">
              <w:rPr>
                <w:sz w:val="17"/>
                <w:szCs w:val="17"/>
                <w:lang w:val="fr-FR"/>
              </w:rPr>
              <w:t>81,3</w:t>
            </w:r>
          </w:p>
        </w:tc>
        <w:tc>
          <w:tcPr>
            <w:tcW w:w="990" w:type="dxa"/>
          </w:tcPr>
          <w:p w:rsidR="00E15507" w:rsidRPr="00705A50" w:rsidRDefault="00E15507" w:rsidP="00705A50">
            <w:pPr>
              <w:spacing w:before="40" w:after="40" w:line="210" w:lineRule="exact"/>
              <w:ind w:right="43"/>
              <w:jc w:val="right"/>
              <w:rPr>
                <w:sz w:val="17"/>
                <w:szCs w:val="17"/>
                <w:lang w:val="fr-FR"/>
              </w:rPr>
            </w:pPr>
            <w:r w:rsidRPr="00705A50">
              <w:rPr>
                <w:sz w:val="17"/>
                <w:szCs w:val="17"/>
                <w:lang w:val="fr-FR"/>
              </w:rPr>
              <w:t>68,8</w:t>
            </w:r>
          </w:p>
        </w:tc>
        <w:tc>
          <w:tcPr>
            <w:tcW w:w="1134" w:type="dxa"/>
          </w:tcPr>
          <w:p w:rsidR="00E15507" w:rsidRPr="00705A50" w:rsidRDefault="00E15507" w:rsidP="00705A50">
            <w:pPr>
              <w:spacing w:before="40" w:after="40" w:line="210" w:lineRule="exact"/>
              <w:ind w:right="43"/>
              <w:jc w:val="right"/>
              <w:rPr>
                <w:sz w:val="17"/>
                <w:szCs w:val="17"/>
                <w:lang w:val="fr-FR"/>
              </w:rPr>
            </w:pPr>
            <w:r w:rsidRPr="00705A50">
              <w:rPr>
                <w:sz w:val="17"/>
                <w:szCs w:val="17"/>
                <w:lang w:val="fr-FR"/>
              </w:rPr>
              <w:t>74,7</w:t>
            </w:r>
          </w:p>
        </w:tc>
      </w:tr>
      <w:tr w:rsidR="00E15507" w:rsidRPr="005D6CD4">
        <w:tc>
          <w:tcPr>
            <w:tcW w:w="1548" w:type="dxa"/>
          </w:tcPr>
          <w:p w:rsidR="00E15507" w:rsidRPr="00705A50" w:rsidRDefault="00E15507" w:rsidP="00705A50">
            <w:pPr>
              <w:spacing w:before="40" w:after="40" w:line="210" w:lineRule="exact"/>
              <w:ind w:right="43"/>
              <w:rPr>
                <w:sz w:val="17"/>
                <w:szCs w:val="17"/>
                <w:lang w:val="fr-FR"/>
              </w:rPr>
            </w:pPr>
            <w:r w:rsidRPr="00705A50">
              <w:rPr>
                <w:sz w:val="17"/>
                <w:szCs w:val="17"/>
                <w:lang w:val="fr-FR"/>
              </w:rPr>
              <w:t>Sud-ouest</w:t>
            </w:r>
          </w:p>
        </w:tc>
        <w:tc>
          <w:tcPr>
            <w:tcW w:w="1260" w:type="dxa"/>
          </w:tcPr>
          <w:p w:rsidR="00E15507" w:rsidRPr="00705A50" w:rsidRDefault="00E15507" w:rsidP="00705A50">
            <w:pPr>
              <w:spacing w:before="40" w:after="40" w:line="210" w:lineRule="exact"/>
              <w:ind w:right="43"/>
              <w:jc w:val="right"/>
              <w:rPr>
                <w:sz w:val="17"/>
                <w:szCs w:val="17"/>
                <w:lang w:val="fr-FR"/>
              </w:rPr>
            </w:pPr>
            <w:r w:rsidRPr="00705A50">
              <w:rPr>
                <w:sz w:val="17"/>
                <w:szCs w:val="17"/>
                <w:lang w:val="fr-FR"/>
              </w:rPr>
              <w:t>78,8</w:t>
            </w:r>
          </w:p>
        </w:tc>
        <w:tc>
          <w:tcPr>
            <w:tcW w:w="1170" w:type="dxa"/>
          </w:tcPr>
          <w:p w:rsidR="00E15507" w:rsidRPr="00705A50" w:rsidRDefault="00E15507" w:rsidP="00705A50">
            <w:pPr>
              <w:spacing w:before="40" w:after="40" w:line="210" w:lineRule="exact"/>
              <w:ind w:right="43"/>
              <w:jc w:val="right"/>
              <w:rPr>
                <w:sz w:val="17"/>
                <w:szCs w:val="17"/>
                <w:lang w:val="fr-FR"/>
              </w:rPr>
            </w:pPr>
            <w:r w:rsidRPr="00705A50">
              <w:rPr>
                <w:sz w:val="17"/>
                <w:szCs w:val="17"/>
                <w:lang w:val="fr-FR"/>
              </w:rPr>
              <w:t>62,1</w:t>
            </w:r>
          </w:p>
        </w:tc>
        <w:tc>
          <w:tcPr>
            <w:tcW w:w="1080" w:type="dxa"/>
          </w:tcPr>
          <w:p w:rsidR="00E15507" w:rsidRPr="00705A50" w:rsidRDefault="00E15507" w:rsidP="00705A50">
            <w:pPr>
              <w:spacing w:before="40" w:after="40" w:line="210" w:lineRule="exact"/>
              <w:ind w:right="43"/>
              <w:jc w:val="right"/>
              <w:rPr>
                <w:sz w:val="17"/>
                <w:szCs w:val="17"/>
                <w:lang w:val="fr-FR"/>
              </w:rPr>
            </w:pPr>
            <w:r w:rsidRPr="00705A50">
              <w:rPr>
                <w:sz w:val="17"/>
                <w:szCs w:val="17"/>
                <w:lang w:val="fr-FR"/>
              </w:rPr>
              <w:t>70,4</w:t>
            </w:r>
          </w:p>
        </w:tc>
        <w:tc>
          <w:tcPr>
            <w:tcW w:w="1350" w:type="dxa"/>
          </w:tcPr>
          <w:p w:rsidR="00E15507" w:rsidRPr="00705A50" w:rsidRDefault="00E15507" w:rsidP="00705A50">
            <w:pPr>
              <w:spacing w:before="40" w:after="40" w:line="210" w:lineRule="exact"/>
              <w:ind w:right="43"/>
              <w:jc w:val="right"/>
              <w:rPr>
                <w:sz w:val="17"/>
                <w:szCs w:val="17"/>
                <w:lang w:val="fr-FR"/>
              </w:rPr>
            </w:pPr>
            <w:r w:rsidRPr="00705A50">
              <w:rPr>
                <w:sz w:val="17"/>
                <w:szCs w:val="17"/>
                <w:lang w:val="fr-FR"/>
              </w:rPr>
              <w:t>85,9</w:t>
            </w:r>
          </w:p>
        </w:tc>
        <w:tc>
          <w:tcPr>
            <w:tcW w:w="990" w:type="dxa"/>
          </w:tcPr>
          <w:p w:rsidR="00E15507" w:rsidRPr="00705A50" w:rsidRDefault="00E15507" w:rsidP="00705A50">
            <w:pPr>
              <w:spacing w:before="40" w:after="40" w:line="210" w:lineRule="exact"/>
              <w:ind w:right="43"/>
              <w:jc w:val="right"/>
              <w:rPr>
                <w:sz w:val="17"/>
                <w:szCs w:val="17"/>
                <w:lang w:val="fr-FR"/>
              </w:rPr>
            </w:pPr>
            <w:r w:rsidRPr="00705A50">
              <w:rPr>
                <w:sz w:val="17"/>
                <w:szCs w:val="17"/>
                <w:lang w:val="fr-FR"/>
              </w:rPr>
              <w:t>71,3</w:t>
            </w:r>
          </w:p>
        </w:tc>
        <w:tc>
          <w:tcPr>
            <w:tcW w:w="1134" w:type="dxa"/>
          </w:tcPr>
          <w:p w:rsidR="00E15507" w:rsidRPr="00705A50" w:rsidRDefault="00E15507" w:rsidP="00705A50">
            <w:pPr>
              <w:spacing w:before="40" w:after="40" w:line="210" w:lineRule="exact"/>
              <w:ind w:right="43"/>
              <w:jc w:val="right"/>
              <w:rPr>
                <w:sz w:val="17"/>
                <w:szCs w:val="17"/>
                <w:lang w:val="fr-FR"/>
              </w:rPr>
            </w:pPr>
            <w:r w:rsidRPr="00705A50">
              <w:rPr>
                <w:sz w:val="17"/>
                <w:szCs w:val="17"/>
                <w:lang w:val="fr-FR"/>
              </w:rPr>
              <w:t>78,5</w:t>
            </w:r>
          </w:p>
        </w:tc>
      </w:tr>
      <w:tr w:rsidR="00E15507" w:rsidRPr="005D6CD4">
        <w:tc>
          <w:tcPr>
            <w:tcW w:w="1548" w:type="dxa"/>
          </w:tcPr>
          <w:p w:rsidR="00E15507" w:rsidRPr="00705A50" w:rsidRDefault="00E15507" w:rsidP="00705A50">
            <w:pPr>
              <w:spacing w:before="40" w:after="40" w:line="210" w:lineRule="exact"/>
              <w:ind w:right="43"/>
              <w:rPr>
                <w:sz w:val="17"/>
                <w:szCs w:val="17"/>
                <w:lang w:val="fr-FR"/>
              </w:rPr>
            </w:pPr>
            <w:r w:rsidRPr="00705A50">
              <w:rPr>
                <w:sz w:val="17"/>
                <w:szCs w:val="17"/>
                <w:lang w:val="fr-FR"/>
              </w:rPr>
              <w:t>Sud-sud</w:t>
            </w:r>
          </w:p>
        </w:tc>
        <w:tc>
          <w:tcPr>
            <w:tcW w:w="1260" w:type="dxa"/>
          </w:tcPr>
          <w:p w:rsidR="00E15507" w:rsidRPr="00705A50" w:rsidRDefault="00E15507" w:rsidP="00705A50">
            <w:pPr>
              <w:spacing w:before="40" w:after="40" w:line="210" w:lineRule="exact"/>
              <w:ind w:right="43"/>
              <w:jc w:val="right"/>
              <w:rPr>
                <w:sz w:val="17"/>
                <w:szCs w:val="17"/>
                <w:lang w:val="fr-FR"/>
              </w:rPr>
            </w:pPr>
            <w:r w:rsidRPr="00705A50">
              <w:rPr>
                <w:sz w:val="17"/>
                <w:szCs w:val="17"/>
                <w:lang w:val="fr-FR"/>
              </w:rPr>
              <w:t>78,8</w:t>
            </w:r>
          </w:p>
        </w:tc>
        <w:tc>
          <w:tcPr>
            <w:tcW w:w="1170" w:type="dxa"/>
          </w:tcPr>
          <w:p w:rsidR="00E15507" w:rsidRPr="00705A50" w:rsidRDefault="00E15507" w:rsidP="00705A50">
            <w:pPr>
              <w:spacing w:before="40" w:after="40" w:line="210" w:lineRule="exact"/>
              <w:ind w:right="43"/>
              <w:jc w:val="right"/>
              <w:rPr>
                <w:sz w:val="17"/>
                <w:szCs w:val="17"/>
                <w:lang w:val="fr-FR"/>
              </w:rPr>
            </w:pPr>
            <w:r w:rsidRPr="00705A50">
              <w:rPr>
                <w:sz w:val="17"/>
                <w:szCs w:val="17"/>
                <w:lang w:val="fr-FR"/>
              </w:rPr>
              <w:t>62,1</w:t>
            </w:r>
          </w:p>
        </w:tc>
        <w:tc>
          <w:tcPr>
            <w:tcW w:w="1080" w:type="dxa"/>
          </w:tcPr>
          <w:p w:rsidR="00E15507" w:rsidRPr="00705A50" w:rsidRDefault="00E15507" w:rsidP="00705A50">
            <w:pPr>
              <w:spacing w:before="40" w:after="40" w:line="210" w:lineRule="exact"/>
              <w:ind w:right="43"/>
              <w:jc w:val="right"/>
              <w:rPr>
                <w:sz w:val="17"/>
                <w:szCs w:val="17"/>
                <w:lang w:val="fr-FR"/>
              </w:rPr>
            </w:pPr>
            <w:r w:rsidRPr="00705A50">
              <w:rPr>
                <w:sz w:val="17"/>
                <w:szCs w:val="17"/>
                <w:lang w:val="fr-FR"/>
              </w:rPr>
              <w:t>70,4</w:t>
            </w:r>
          </w:p>
        </w:tc>
        <w:tc>
          <w:tcPr>
            <w:tcW w:w="1350" w:type="dxa"/>
          </w:tcPr>
          <w:p w:rsidR="00E15507" w:rsidRPr="00705A50" w:rsidRDefault="00E15507" w:rsidP="00705A50">
            <w:pPr>
              <w:spacing w:before="40" w:after="40" w:line="210" w:lineRule="exact"/>
              <w:ind w:right="43"/>
              <w:jc w:val="right"/>
              <w:rPr>
                <w:sz w:val="17"/>
                <w:szCs w:val="17"/>
                <w:lang w:val="fr-FR"/>
              </w:rPr>
            </w:pPr>
            <w:r w:rsidRPr="00705A50">
              <w:rPr>
                <w:sz w:val="17"/>
                <w:szCs w:val="17"/>
                <w:lang w:val="fr-FR"/>
              </w:rPr>
              <w:t>85,9</w:t>
            </w:r>
          </w:p>
        </w:tc>
        <w:tc>
          <w:tcPr>
            <w:tcW w:w="990" w:type="dxa"/>
          </w:tcPr>
          <w:p w:rsidR="00E15507" w:rsidRPr="00705A50" w:rsidRDefault="00E15507" w:rsidP="00705A50">
            <w:pPr>
              <w:spacing w:before="40" w:after="40" w:line="210" w:lineRule="exact"/>
              <w:ind w:right="43"/>
              <w:jc w:val="right"/>
              <w:rPr>
                <w:sz w:val="17"/>
                <w:szCs w:val="17"/>
                <w:lang w:val="fr-FR"/>
              </w:rPr>
            </w:pPr>
            <w:r w:rsidRPr="00705A50">
              <w:rPr>
                <w:sz w:val="17"/>
                <w:szCs w:val="17"/>
                <w:lang w:val="fr-FR"/>
              </w:rPr>
              <w:t>71,3</w:t>
            </w:r>
          </w:p>
        </w:tc>
        <w:tc>
          <w:tcPr>
            <w:tcW w:w="1134" w:type="dxa"/>
          </w:tcPr>
          <w:p w:rsidR="00E15507" w:rsidRPr="00705A50" w:rsidRDefault="00E15507" w:rsidP="00705A50">
            <w:pPr>
              <w:spacing w:before="40" w:after="40" w:line="210" w:lineRule="exact"/>
              <w:ind w:right="43"/>
              <w:jc w:val="right"/>
              <w:rPr>
                <w:sz w:val="17"/>
                <w:szCs w:val="17"/>
                <w:lang w:val="fr-FR"/>
              </w:rPr>
            </w:pPr>
            <w:r w:rsidRPr="00705A50">
              <w:rPr>
                <w:sz w:val="17"/>
                <w:szCs w:val="17"/>
                <w:lang w:val="fr-FR"/>
              </w:rPr>
              <w:t>78,5</w:t>
            </w:r>
          </w:p>
        </w:tc>
      </w:tr>
      <w:tr w:rsidR="00E15507" w:rsidRPr="005D6CD4">
        <w:tc>
          <w:tcPr>
            <w:tcW w:w="1548" w:type="dxa"/>
          </w:tcPr>
          <w:p w:rsidR="00E15507" w:rsidRPr="00705A50" w:rsidRDefault="00E15507" w:rsidP="00705A50">
            <w:pPr>
              <w:spacing w:before="40" w:after="40" w:line="210" w:lineRule="exact"/>
              <w:ind w:right="43"/>
              <w:rPr>
                <w:sz w:val="17"/>
                <w:szCs w:val="17"/>
                <w:lang w:val="fr-FR"/>
              </w:rPr>
            </w:pPr>
            <w:r w:rsidRPr="00705A50">
              <w:rPr>
                <w:sz w:val="17"/>
                <w:szCs w:val="17"/>
                <w:lang w:val="fr-FR"/>
              </w:rPr>
              <w:t xml:space="preserve">Rural </w:t>
            </w:r>
          </w:p>
        </w:tc>
        <w:tc>
          <w:tcPr>
            <w:tcW w:w="1260" w:type="dxa"/>
          </w:tcPr>
          <w:p w:rsidR="00E15507" w:rsidRPr="00705A50" w:rsidRDefault="00E15507" w:rsidP="00705A50">
            <w:pPr>
              <w:spacing w:before="40" w:after="40" w:line="210" w:lineRule="exact"/>
              <w:ind w:right="43"/>
              <w:jc w:val="right"/>
              <w:rPr>
                <w:sz w:val="17"/>
                <w:szCs w:val="17"/>
                <w:lang w:val="fr-FR"/>
              </w:rPr>
            </w:pPr>
            <w:r w:rsidRPr="00705A50">
              <w:rPr>
                <w:sz w:val="17"/>
                <w:szCs w:val="17"/>
                <w:lang w:val="fr-FR"/>
              </w:rPr>
              <w:t>52,5</w:t>
            </w:r>
          </w:p>
        </w:tc>
        <w:tc>
          <w:tcPr>
            <w:tcW w:w="1170" w:type="dxa"/>
          </w:tcPr>
          <w:p w:rsidR="00E15507" w:rsidRPr="00705A50" w:rsidRDefault="00E15507" w:rsidP="00705A50">
            <w:pPr>
              <w:spacing w:before="40" w:after="40" w:line="210" w:lineRule="exact"/>
              <w:ind w:right="43"/>
              <w:jc w:val="right"/>
              <w:rPr>
                <w:sz w:val="17"/>
                <w:szCs w:val="17"/>
                <w:lang w:val="fr-FR"/>
              </w:rPr>
            </w:pPr>
            <w:r w:rsidRPr="00705A50">
              <w:rPr>
                <w:sz w:val="17"/>
                <w:szCs w:val="17"/>
                <w:lang w:val="fr-FR"/>
              </w:rPr>
              <w:t>36,3</w:t>
            </w:r>
          </w:p>
        </w:tc>
        <w:tc>
          <w:tcPr>
            <w:tcW w:w="1080" w:type="dxa"/>
          </w:tcPr>
          <w:p w:rsidR="00E15507" w:rsidRPr="00705A50" w:rsidRDefault="00E15507" w:rsidP="00705A50">
            <w:pPr>
              <w:spacing w:before="40" w:after="40" w:line="210" w:lineRule="exact"/>
              <w:ind w:right="43"/>
              <w:jc w:val="right"/>
              <w:rPr>
                <w:sz w:val="17"/>
                <w:szCs w:val="17"/>
                <w:lang w:val="fr-FR"/>
              </w:rPr>
            </w:pPr>
            <w:r w:rsidRPr="00705A50">
              <w:rPr>
                <w:sz w:val="17"/>
                <w:szCs w:val="17"/>
                <w:lang w:val="fr-FR"/>
              </w:rPr>
              <w:t>44,4</w:t>
            </w:r>
          </w:p>
        </w:tc>
        <w:tc>
          <w:tcPr>
            <w:tcW w:w="1350" w:type="dxa"/>
          </w:tcPr>
          <w:p w:rsidR="00E15507" w:rsidRPr="00705A50" w:rsidRDefault="00E15507" w:rsidP="00705A50">
            <w:pPr>
              <w:spacing w:before="40" w:after="40" w:line="210" w:lineRule="exact"/>
              <w:ind w:right="43"/>
              <w:jc w:val="right"/>
              <w:rPr>
                <w:sz w:val="17"/>
                <w:szCs w:val="17"/>
                <w:lang w:val="fr-FR"/>
              </w:rPr>
            </w:pPr>
            <w:r w:rsidRPr="00705A50">
              <w:rPr>
                <w:sz w:val="17"/>
                <w:szCs w:val="17"/>
                <w:lang w:val="fr-FR"/>
              </w:rPr>
              <w:t>75,5</w:t>
            </w:r>
          </w:p>
        </w:tc>
        <w:tc>
          <w:tcPr>
            <w:tcW w:w="990" w:type="dxa"/>
          </w:tcPr>
          <w:p w:rsidR="00E15507" w:rsidRPr="00705A50" w:rsidRDefault="00E15507" w:rsidP="00705A50">
            <w:pPr>
              <w:spacing w:before="40" w:after="40" w:line="210" w:lineRule="exact"/>
              <w:ind w:right="43"/>
              <w:jc w:val="right"/>
              <w:rPr>
                <w:sz w:val="17"/>
                <w:szCs w:val="17"/>
                <w:lang w:val="fr-FR"/>
              </w:rPr>
            </w:pPr>
            <w:r w:rsidRPr="00705A50">
              <w:rPr>
                <w:sz w:val="17"/>
                <w:szCs w:val="17"/>
                <w:lang w:val="fr-FR"/>
              </w:rPr>
              <w:t>64,9</w:t>
            </w:r>
          </w:p>
        </w:tc>
        <w:tc>
          <w:tcPr>
            <w:tcW w:w="1134" w:type="dxa"/>
          </w:tcPr>
          <w:p w:rsidR="00E15507" w:rsidRPr="00705A50" w:rsidRDefault="00E15507" w:rsidP="00705A50">
            <w:pPr>
              <w:spacing w:before="40" w:after="40" w:line="210" w:lineRule="exact"/>
              <w:ind w:right="43"/>
              <w:jc w:val="right"/>
              <w:rPr>
                <w:sz w:val="17"/>
                <w:szCs w:val="17"/>
                <w:lang w:val="fr-FR"/>
              </w:rPr>
            </w:pPr>
            <w:r w:rsidRPr="00705A50">
              <w:rPr>
                <w:sz w:val="17"/>
                <w:szCs w:val="17"/>
                <w:lang w:val="fr-FR"/>
              </w:rPr>
              <w:t>70,3</w:t>
            </w:r>
          </w:p>
        </w:tc>
      </w:tr>
      <w:tr w:rsidR="00E15507" w:rsidRPr="005D6CD4">
        <w:tc>
          <w:tcPr>
            <w:tcW w:w="1548" w:type="dxa"/>
          </w:tcPr>
          <w:p w:rsidR="00E15507" w:rsidRPr="00705A50" w:rsidRDefault="00E15507" w:rsidP="00705A50">
            <w:pPr>
              <w:spacing w:before="40" w:after="40" w:line="210" w:lineRule="exact"/>
              <w:ind w:right="43"/>
              <w:rPr>
                <w:sz w:val="17"/>
                <w:szCs w:val="17"/>
                <w:lang w:val="fr-FR"/>
              </w:rPr>
            </w:pPr>
            <w:r w:rsidRPr="00705A50">
              <w:rPr>
                <w:sz w:val="17"/>
                <w:szCs w:val="17"/>
                <w:lang w:val="fr-FR"/>
              </w:rPr>
              <w:t>Zone urbaine</w:t>
            </w:r>
          </w:p>
        </w:tc>
        <w:tc>
          <w:tcPr>
            <w:tcW w:w="1260" w:type="dxa"/>
          </w:tcPr>
          <w:p w:rsidR="00E15507" w:rsidRPr="00705A50" w:rsidRDefault="00E15507" w:rsidP="00705A50">
            <w:pPr>
              <w:spacing w:before="40" w:after="40" w:line="210" w:lineRule="exact"/>
              <w:ind w:right="43"/>
              <w:jc w:val="right"/>
              <w:rPr>
                <w:sz w:val="17"/>
                <w:szCs w:val="17"/>
                <w:lang w:val="fr-FR"/>
              </w:rPr>
            </w:pPr>
            <w:r w:rsidRPr="00705A50">
              <w:rPr>
                <w:sz w:val="17"/>
                <w:szCs w:val="17"/>
                <w:lang w:val="fr-FR"/>
              </w:rPr>
              <w:t>78,4</w:t>
            </w:r>
          </w:p>
        </w:tc>
        <w:tc>
          <w:tcPr>
            <w:tcW w:w="1170" w:type="dxa"/>
          </w:tcPr>
          <w:p w:rsidR="00E15507" w:rsidRPr="00705A50" w:rsidRDefault="00E15507" w:rsidP="00705A50">
            <w:pPr>
              <w:spacing w:before="40" w:after="40" w:line="210" w:lineRule="exact"/>
              <w:ind w:right="43"/>
              <w:jc w:val="right"/>
              <w:rPr>
                <w:sz w:val="17"/>
                <w:szCs w:val="17"/>
                <w:lang w:val="fr-FR"/>
              </w:rPr>
            </w:pPr>
            <w:r w:rsidRPr="00705A50">
              <w:rPr>
                <w:sz w:val="17"/>
                <w:szCs w:val="17"/>
                <w:lang w:val="fr-FR"/>
              </w:rPr>
              <w:t>63,6</w:t>
            </w:r>
          </w:p>
        </w:tc>
        <w:tc>
          <w:tcPr>
            <w:tcW w:w="1080" w:type="dxa"/>
          </w:tcPr>
          <w:p w:rsidR="00E15507" w:rsidRPr="00705A50" w:rsidRDefault="00E15507" w:rsidP="00705A50">
            <w:pPr>
              <w:spacing w:before="40" w:after="40" w:line="210" w:lineRule="exact"/>
              <w:ind w:right="43"/>
              <w:jc w:val="right"/>
              <w:rPr>
                <w:sz w:val="17"/>
                <w:szCs w:val="17"/>
                <w:lang w:val="fr-FR"/>
              </w:rPr>
            </w:pPr>
            <w:r w:rsidRPr="00705A50">
              <w:rPr>
                <w:sz w:val="17"/>
                <w:szCs w:val="17"/>
                <w:lang w:val="fr-FR"/>
              </w:rPr>
              <w:t>71,1</w:t>
            </w:r>
          </w:p>
        </w:tc>
        <w:tc>
          <w:tcPr>
            <w:tcW w:w="1350" w:type="dxa"/>
          </w:tcPr>
          <w:p w:rsidR="00E15507" w:rsidRPr="00705A50" w:rsidRDefault="00E15507" w:rsidP="00705A50">
            <w:pPr>
              <w:spacing w:before="40" w:after="40" w:line="210" w:lineRule="exact"/>
              <w:ind w:right="43"/>
              <w:jc w:val="right"/>
              <w:rPr>
                <w:sz w:val="17"/>
                <w:szCs w:val="17"/>
                <w:lang w:val="fr-FR"/>
              </w:rPr>
            </w:pPr>
            <w:r w:rsidRPr="00705A50">
              <w:rPr>
                <w:sz w:val="17"/>
                <w:szCs w:val="17"/>
                <w:lang w:val="fr-FR"/>
              </w:rPr>
              <w:t>85,2</w:t>
            </w:r>
          </w:p>
        </w:tc>
        <w:tc>
          <w:tcPr>
            <w:tcW w:w="990" w:type="dxa"/>
          </w:tcPr>
          <w:p w:rsidR="00E15507" w:rsidRPr="00705A50" w:rsidRDefault="00E15507" w:rsidP="00705A50">
            <w:pPr>
              <w:spacing w:before="40" w:after="40" w:line="210" w:lineRule="exact"/>
              <w:ind w:right="43"/>
              <w:jc w:val="right"/>
              <w:rPr>
                <w:sz w:val="17"/>
                <w:szCs w:val="17"/>
                <w:lang w:val="fr-FR"/>
              </w:rPr>
            </w:pPr>
            <w:r w:rsidRPr="00705A50">
              <w:rPr>
                <w:sz w:val="17"/>
                <w:szCs w:val="17"/>
                <w:lang w:val="fr-FR"/>
              </w:rPr>
              <w:t>71,9</w:t>
            </w:r>
          </w:p>
        </w:tc>
        <w:tc>
          <w:tcPr>
            <w:tcW w:w="1134" w:type="dxa"/>
          </w:tcPr>
          <w:p w:rsidR="00E15507" w:rsidRPr="00705A50" w:rsidRDefault="00E15507" w:rsidP="00705A50">
            <w:pPr>
              <w:spacing w:before="40" w:after="40" w:line="210" w:lineRule="exact"/>
              <w:ind w:right="43"/>
              <w:jc w:val="right"/>
              <w:rPr>
                <w:sz w:val="17"/>
                <w:szCs w:val="17"/>
                <w:lang w:val="fr-FR"/>
              </w:rPr>
            </w:pPr>
            <w:r w:rsidRPr="00705A50">
              <w:rPr>
                <w:sz w:val="17"/>
                <w:szCs w:val="17"/>
                <w:lang w:val="fr-FR"/>
              </w:rPr>
              <w:t>78,6</w:t>
            </w:r>
          </w:p>
        </w:tc>
      </w:tr>
      <w:tr w:rsidR="00E15507" w:rsidRPr="005D6CD4">
        <w:tc>
          <w:tcPr>
            <w:tcW w:w="8532" w:type="dxa"/>
            <w:gridSpan w:val="7"/>
          </w:tcPr>
          <w:p w:rsidR="00705A50" w:rsidRPr="00705A50" w:rsidRDefault="00705A50" w:rsidP="00705A50">
            <w:pPr>
              <w:spacing w:line="120" w:lineRule="exact"/>
              <w:rPr>
                <w:b/>
                <w:i/>
                <w:sz w:val="10"/>
                <w:lang w:val="fr-FR"/>
              </w:rPr>
            </w:pPr>
          </w:p>
          <w:p w:rsidR="00E15507" w:rsidRPr="00705A50" w:rsidRDefault="00E15507" w:rsidP="00E15507">
            <w:pPr>
              <w:spacing w:line="480" w:lineRule="auto"/>
              <w:rPr>
                <w:i/>
                <w:lang w:val="fr-FR"/>
              </w:rPr>
            </w:pPr>
            <w:r w:rsidRPr="00705A50">
              <w:rPr>
                <w:i/>
                <w:lang w:val="fr-FR"/>
              </w:rPr>
              <w:t>Source :</w:t>
            </w:r>
            <w:r w:rsidRPr="00705A50">
              <w:rPr>
                <w:lang w:val="fr-FR"/>
              </w:rPr>
              <w:t xml:space="preserve"> NBS : CWIQ, 2006</w:t>
            </w:r>
          </w:p>
        </w:tc>
      </w:tr>
    </w:tbl>
    <w:p w:rsidR="00E15507" w:rsidRDefault="00E15507" w:rsidP="0012256D">
      <w:pPr>
        <w:pStyle w:val="SingleTxt"/>
        <w:rPr>
          <w:lang w:val="fr-FR"/>
        </w:rPr>
      </w:pPr>
    </w:p>
    <w:p w:rsidR="0067628B" w:rsidRDefault="0067628B" w:rsidP="0012256D">
      <w:pPr>
        <w:pStyle w:val="SingleTxt"/>
        <w:rPr>
          <w:lang w:val="fr-FR"/>
        </w:rPr>
      </w:pPr>
    </w:p>
    <w:p w:rsidR="0067628B" w:rsidRDefault="0067628B" w:rsidP="0012256D">
      <w:pPr>
        <w:pStyle w:val="SingleTxt"/>
        <w:rPr>
          <w:lang w:val="fr-FR"/>
        </w:rPr>
      </w:pPr>
    </w:p>
    <w:p w:rsidR="0067628B" w:rsidRDefault="0067628B" w:rsidP="0012256D">
      <w:pPr>
        <w:pStyle w:val="SingleTxt"/>
        <w:rPr>
          <w:lang w:val="fr-FR"/>
        </w:rPr>
      </w:pPr>
    </w:p>
    <w:p w:rsidR="0067628B" w:rsidRDefault="0067628B" w:rsidP="0012256D">
      <w:pPr>
        <w:pStyle w:val="SingleTxt"/>
        <w:rPr>
          <w:lang w:val="fr-FR"/>
        </w:rPr>
      </w:pPr>
    </w:p>
    <w:p w:rsidR="0067628B" w:rsidRDefault="0067628B" w:rsidP="0012256D">
      <w:pPr>
        <w:pStyle w:val="SingleTxt"/>
        <w:rPr>
          <w:lang w:val="fr-FR"/>
        </w:rPr>
      </w:pPr>
    </w:p>
    <w:p w:rsidR="0067628B" w:rsidRDefault="0067628B" w:rsidP="0012256D">
      <w:pPr>
        <w:pStyle w:val="SingleTxt"/>
        <w:rPr>
          <w:lang w:val="fr-FR"/>
        </w:rPr>
      </w:pPr>
    </w:p>
    <w:p w:rsidR="0067628B" w:rsidRDefault="0067628B" w:rsidP="0012256D">
      <w:pPr>
        <w:pStyle w:val="SingleTxt"/>
        <w:rPr>
          <w:lang w:val="fr-FR"/>
        </w:rPr>
      </w:pPr>
    </w:p>
    <w:p w:rsidR="0067628B" w:rsidRDefault="0067628B" w:rsidP="0012256D">
      <w:pPr>
        <w:pStyle w:val="SingleTxt"/>
        <w:rPr>
          <w:lang w:val="fr-FR"/>
        </w:rPr>
      </w:pPr>
    </w:p>
    <w:p w:rsidR="0067628B" w:rsidRDefault="0067628B" w:rsidP="0012256D">
      <w:pPr>
        <w:pStyle w:val="SingleTxt"/>
        <w:rPr>
          <w:lang w:val="fr-FR"/>
        </w:rPr>
      </w:pPr>
    </w:p>
    <w:p w:rsidR="0067628B" w:rsidRDefault="0067628B" w:rsidP="0012256D">
      <w:pPr>
        <w:pStyle w:val="SingleTxt"/>
        <w:rPr>
          <w:lang w:val="fr-FR"/>
        </w:rPr>
      </w:pPr>
    </w:p>
    <w:p w:rsidR="0067628B" w:rsidRDefault="0067628B" w:rsidP="0012256D">
      <w:pPr>
        <w:pStyle w:val="SingleTxt"/>
        <w:rPr>
          <w:lang w:val="fr-FR"/>
        </w:rPr>
      </w:pPr>
    </w:p>
    <w:p w:rsidR="0067628B" w:rsidRDefault="0067628B" w:rsidP="0012256D">
      <w:pPr>
        <w:pStyle w:val="SingleTxt"/>
        <w:rPr>
          <w:lang w:val="fr-FR"/>
        </w:rPr>
      </w:pPr>
    </w:p>
    <w:p w:rsidR="00705A50" w:rsidRPr="00705A50" w:rsidRDefault="00705A50" w:rsidP="00705A50">
      <w:pPr>
        <w:pStyle w:val="SingleTxt"/>
        <w:spacing w:after="0" w:line="120" w:lineRule="exact"/>
        <w:rPr>
          <w:sz w:val="10"/>
          <w:lang w:val="fr-FR"/>
        </w:rPr>
      </w:pPr>
    </w:p>
    <w:p w:rsidR="00705A50" w:rsidRPr="00705A50" w:rsidRDefault="00705A50" w:rsidP="00705A50">
      <w:pPr>
        <w:pStyle w:val="SingleTxt"/>
        <w:spacing w:after="0" w:line="120" w:lineRule="exact"/>
        <w:rPr>
          <w:sz w:val="10"/>
          <w:lang w:val="fr-FR"/>
        </w:rPr>
      </w:pPr>
    </w:p>
    <w:p w:rsidR="00E15507" w:rsidRDefault="00705A50" w:rsidP="00705A5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E15507">
        <w:rPr>
          <w:lang w:val="fr-FR"/>
        </w:rPr>
        <w:t>Article 11</w:t>
      </w:r>
      <w:r>
        <w:rPr>
          <w:lang w:val="fr-FR"/>
        </w:rPr>
        <w:br/>
      </w:r>
      <w:r w:rsidR="00E15507">
        <w:rPr>
          <w:lang w:val="fr-FR"/>
        </w:rPr>
        <w:t>Emploi</w:t>
      </w:r>
    </w:p>
    <w:p w:rsidR="00705A50" w:rsidRPr="00705A50" w:rsidRDefault="00705A50" w:rsidP="00705A50">
      <w:pPr>
        <w:pStyle w:val="SingleTxt"/>
        <w:spacing w:after="0" w:line="120" w:lineRule="exact"/>
        <w:rPr>
          <w:sz w:val="10"/>
          <w:lang w:val="fr-FR"/>
        </w:rPr>
      </w:pPr>
    </w:p>
    <w:p w:rsidR="00E15507" w:rsidRDefault="00705A50" w:rsidP="00705A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E15507" w:rsidRPr="005D6CD4">
        <w:rPr>
          <w:lang w:val="fr-FR"/>
        </w:rPr>
        <w:t>11.0</w:t>
      </w:r>
      <w:r w:rsidR="00E15507" w:rsidRPr="005D6CD4">
        <w:rPr>
          <w:lang w:val="fr-FR"/>
        </w:rPr>
        <w:tab/>
        <w:t>Mesures d</w:t>
      </w:r>
      <w:r w:rsidR="000A3D87">
        <w:rPr>
          <w:lang w:val="fr-FR"/>
        </w:rPr>
        <w:t>’</w:t>
      </w:r>
      <w:r w:rsidR="00E15507" w:rsidRPr="005D6CD4">
        <w:rPr>
          <w:lang w:val="fr-FR"/>
        </w:rPr>
        <w:t>ordre juridique</w:t>
      </w:r>
    </w:p>
    <w:p w:rsidR="00705A50" w:rsidRPr="00705A50" w:rsidRDefault="00705A50" w:rsidP="00705A50">
      <w:pPr>
        <w:pStyle w:val="SingleTxt"/>
        <w:spacing w:after="0" w:line="120" w:lineRule="exact"/>
        <w:rPr>
          <w:sz w:val="10"/>
          <w:lang w:val="fr-FR"/>
        </w:rPr>
      </w:pPr>
    </w:p>
    <w:p w:rsidR="00E15507" w:rsidRDefault="00705A50" w:rsidP="00EB3E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rPr>
          <w:b w:val="0"/>
          <w:lang w:val="fr-FR"/>
        </w:rPr>
      </w:pPr>
      <w:r>
        <w:rPr>
          <w:bCs/>
          <w:lang w:val="fr-FR"/>
        </w:rPr>
        <w:tab/>
      </w:r>
      <w:r w:rsidR="00E15507" w:rsidRPr="005D6CD4">
        <w:rPr>
          <w:bCs/>
          <w:lang w:val="fr-FR"/>
        </w:rPr>
        <w:t>11.1</w:t>
      </w:r>
      <w:r w:rsidR="00E15507" w:rsidRPr="005D6CD4">
        <w:rPr>
          <w:lang w:val="fr-FR"/>
        </w:rPr>
        <w:t xml:space="preserve"> </w:t>
      </w:r>
      <w:r>
        <w:rPr>
          <w:lang w:val="fr-FR"/>
        </w:rPr>
        <w:tab/>
      </w:r>
      <w:r w:rsidR="00E15507" w:rsidRPr="00705A50">
        <w:rPr>
          <w:b w:val="0"/>
          <w:lang w:val="fr-FR"/>
        </w:rPr>
        <w:t>L</w:t>
      </w:r>
      <w:r w:rsidR="000A3D87">
        <w:rPr>
          <w:b w:val="0"/>
          <w:lang w:val="fr-FR"/>
        </w:rPr>
        <w:t>’</w:t>
      </w:r>
      <w:r w:rsidR="00E15507" w:rsidRPr="00705A50">
        <w:rPr>
          <w:b w:val="0"/>
          <w:lang w:val="fr-FR"/>
        </w:rPr>
        <w:t>article 11 stipule que les femmes sont égales aux hommes en droits en ce qui concerne les opportunités d</w:t>
      </w:r>
      <w:r w:rsidR="000A3D87">
        <w:rPr>
          <w:b w:val="0"/>
          <w:lang w:val="fr-FR"/>
        </w:rPr>
        <w:t>’</w:t>
      </w:r>
      <w:r w:rsidR="00E15507" w:rsidRPr="00705A50">
        <w:rPr>
          <w:b w:val="0"/>
          <w:lang w:val="fr-FR"/>
        </w:rPr>
        <w:t>emploi, le choix des professions, les promotions et la rémunération. Comme on l</w:t>
      </w:r>
      <w:r w:rsidR="000A3D87">
        <w:rPr>
          <w:b w:val="0"/>
          <w:lang w:val="fr-FR"/>
        </w:rPr>
        <w:t>’</w:t>
      </w:r>
      <w:r w:rsidR="00E15507" w:rsidRPr="00705A50">
        <w:rPr>
          <w:b w:val="0"/>
          <w:lang w:val="fr-FR"/>
        </w:rPr>
        <w:t>a signalé dans les quatrième et cinquième rapports périodiques, conformément à la Convention, la Constitution nigériane en son article 42 (1) proscrit clairement toute discrimination basée sur le sexe dans l</w:t>
      </w:r>
      <w:r w:rsidR="000A3D87">
        <w:rPr>
          <w:b w:val="0"/>
          <w:lang w:val="fr-FR"/>
        </w:rPr>
        <w:t>’</w:t>
      </w:r>
      <w:r w:rsidR="00E15507" w:rsidRPr="00705A50">
        <w:rPr>
          <w:b w:val="0"/>
          <w:lang w:val="fr-FR"/>
        </w:rPr>
        <w:t>emploi. Toutefois, en raison d</w:t>
      </w:r>
      <w:r w:rsidR="000A3D87">
        <w:rPr>
          <w:b w:val="0"/>
          <w:lang w:val="fr-FR"/>
        </w:rPr>
        <w:t>’</w:t>
      </w:r>
      <w:r w:rsidR="00E15507" w:rsidRPr="00705A50">
        <w:rPr>
          <w:b w:val="0"/>
          <w:lang w:val="fr-FR"/>
        </w:rPr>
        <w:t>attitudes culturelles profondément ancrées, la discrimination persiste.</w:t>
      </w:r>
    </w:p>
    <w:p w:rsidR="00705A50" w:rsidRPr="00705A50" w:rsidRDefault="00705A50" w:rsidP="00705A50">
      <w:pPr>
        <w:pStyle w:val="SingleTxt"/>
        <w:spacing w:after="0" w:line="120" w:lineRule="exact"/>
        <w:rPr>
          <w:sz w:val="10"/>
          <w:lang w:val="fr-FR"/>
        </w:rPr>
      </w:pPr>
    </w:p>
    <w:p w:rsidR="00E15507" w:rsidRDefault="00705A50" w:rsidP="0012256D">
      <w:pPr>
        <w:pStyle w:val="SingleTxt"/>
        <w:rPr>
          <w:lang w:val="fr-FR"/>
        </w:rPr>
      </w:pPr>
      <w:r>
        <w:rPr>
          <w:lang w:val="fr-FR"/>
        </w:rPr>
        <w:tab/>
      </w:r>
      <w:r w:rsidR="00E15507" w:rsidRPr="005D6CD4">
        <w:rPr>
          <w:lang w:val="fr-FR"/>
        </w:rPr>
        <w:t>Le rapport relève également que l</w:t>
      </w:r>
      <w:r w:rsidR="000A3D87">
        <w:rPr>
          <w:lang w:val="fr-FR"/>
        </w:rPr>
        <w:t>’</w:t>
      </w:r>
      <w:r w:rsidR="00E15507" w:rsidRPr="005D6CD4">
        <w:rPr>
          <w:lang w:val="fr-FR"/>
        </w:rPr>
        <w:t>article 42 (3) autorise l</w:t>
      </w:r>
      <w:r w:rsidR="000A3D87">
        <w:rPr>
          <w:lang w:val="fr-FR"/>
        </w:rPr>
        <w:t>’</w:t>
      </w:r>
      <w:r w:rsidR="00E15507" w:rsidRPr="005D6CD4">
        <w:rPr>
          <w:lang w:val="fr-FR"/>
        </w:rPr>
        <w:t>adoption de dispositions spéciales en faveur de certaines catégories de personnes pour diverses raisons, lesquelles dispositions peuvent même être fondées sur le sexe. Il faut relever qu</w:t>
      </w:r>
      <w:r w:rsidR="000A3D87">
        <w:rPr>
          <w:lang w:val="fr-FR"/>
        </w:rPr>
        <w:t>’</w:t>
      </w:r>
      <w:r w:rsidR="00E15507" w:rsidRPr="005D6CD4">
        <w:rPr>
          <w:lang w:val="fr-FR"/>
        </w:rPr>
        <w:t>aucune avancée n</w:t>
      </w:r>
      <w:r w:rsidR="000A3D87">
        <w:rPr>
          <w:lang w:val="fr-FR"/>
        </w:rPr>
        <w:t>’</w:t>
      </w:r>
      <w:r w:rsidR="00E15507" w:rsidRPr="005D6CD4">
        <w:rPr>
          <w:lang w:val="fr-FR"/>
        </w:rPr>
        <w:t>a été enregistrée dans la lutte contre les pratiques discriminatoires instituées par l</w:t>
      </w:r>
      <w:r w:rsidR="000A3D87">
        <w:rPr>
          <w:lang w:val="fr-FR"/>
        </w:rPr>
        <w:t>’</w:t>
      </w:r>
      <w:r w:rsidR="00E15507" w:rsidRPr="005D6CD4">
        <w:rPr>
          <w:lang w:val="fr-FR"/>
        </w:rPr>
        <w:t>article 42 (3) de la Constitution, étant donné que la Constitution nigériane n</w:t>
      </w:r>
      <w:r w:rsidR="000A3D87">
        <w:rPr>
          <w:lang w:val="fr-FR"/>
        </w:rPr>
        <w:t>’</w:t>
      </w:r>
      <w:r w:rsidR="00E15507" w:rsidRPr="005D6CD4">
        <w:rPr>
          <w:lang w:val="fr-FR"/>
        </w:rPr>
        <w:t xml:space="preserve">a pas été modifiée depuis 1999. </w:t>
      </w:r>
    </w:p>
    <w:p w:rsidR="00705A50" w:rsidRPr="00705A50" w:rsidRDefault="00705A50" w:rsidP="00705A50">
      <w:pPr>
        <w:pStyle w:val="SingleTxt"/>
        <w:spacing w:after="0" w:line="120" w:lineRule="exact"/>
        <w:rPr>
          <w:sz w:val="10"/>
          <w:lang w:val="fr-FR"/>
        </w:rPr>
      </w:pPr>
    </w:p>
    <w:p w:rsidR="00E15507" w:rsidRDefault="00705A50" w:rsidP="00705A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E15507" w:rsidRPr="005D6CD4">
        <w:rPr>
          <w:lang w:val="fr-FR"/>
        </w:rPr>
        <w:t>11.2</w:t>
      </w:r>
      <w:r>
        <w:rPr>
          <w:lang w:val="fr-FR"/>
        </w:rPr>
        <w:tab/>
      </w:r>
      <w:r w:rsidR="00E15507" w:rsidRPr="005D6CD4">
        <w:rPr>
          <w:lang w:val="fr-FR"/>
        </w:rPr>
        <w:t>Pratiques discriminatoires dans l</w:t>
      </w:r>
      <w:r w:rsidR="000A3D87">
        <w:rPr>
          <w:lang w:val="fr-FR"/>
        </w:rPr>
        <w:t>’</w:t>
      </w:r>
      <w:r w:rsidR="00E15507" w:rsidRPr="005D6CD4">
        <w:rPr>
          <w:lang w:val="fr-FR"/>
        </w:rPr>
        <w:t>emploi</w:t>
      </w:r>
    </w:p>
    <w:p w:rsidR="00705A50" w:rsidRPr="00705A50" w:rsidRDefault="00705A50" w:rsidP="00705A50">
      <w:pPr>
        <w:pStyle w:val="SingleTxt"/>
        <w:spacing w:after="0" w:line="120" w:lineRule="exact"/>
        <w:rPr>
          <w:sz w:val="10"/>
          <w:lang w:val="fr-FR"/>
        </w:rPr>
      </w:pPr>
    </w:p>
    <w:p w:rsidR="00E15507" w:rsidRPr="005D6CD4" w:rsidRDefault="00705A50" w:rsidP="0012256D">
      <w:pPr>
        <w:pStyle w:val="SingleTxt"/>
        <w:rPr>
          <w:lang w:val="fr-FR"/>
        </w:rPr>
      </w:pPr>
      <w:r>
        <w:rPr>
          <w:lang w:val="fr-FR"/>
        </w:rPr>
        <w:tab/>
      </w:r>
      <w:r w:rsidR="00E15507" w:rsidRPr="005D6CD4">
        <w:rPr>
          <w:lang w:val="fr-FR"/>
        </w:rPr>
        <w:t>Le quatrième</w:t>
      </w:r>
      <w:r w:rsidR="00E15507">
        <w:rPr>
          <w:lang w:val="fr-FR"/>
        </w:rPr>
        <w:t>-</w:t>
      </w:r>
      <w:r w:rsidR="00E15507" w:rsidRPr="005D6CD4">
        <w:rPr>
          <w:lang w:val="fr-FR"/>
        </w:rPr>
        <w:t xml:space="preserve">cinquième rapport </w:t>
      </w:r>
      <w:r w:rsidR="00E15507">
        <w:rPr>
          <w:lang w:val="fr-FR"/>
        </w:rPr>
        <w:t xml:space="preserve">périodique </w:t>
      </w:r>
      <w:r w:rsidR="00E15507" w:rsidRPr="005D6CD4">
        <w:rPr>
          <w:lang w:val="fr-FR"/>
        </w:rPr>
        <w:t>du Nigéria conformément à la Convention relevait qu</w:t>
      </w:r>
      <w:r w:rsidR="000A3D87">
        <w:rPr>
          <w:lang w:val="fr-FR"/>
        </w:rPr>
        <w:t>’</w:t>
      </w:r>
      <w:r w:rsidR="00E15507" w:rsidRPr="005D6CD4">
        <w:rPr>
          <w:lang w:val="fr-FR"/>
        </w:rPr>
        <w:t>il n</w:t>
      </w:r>
      <w:r w:rsidR="000A3D87">
        <w:rPr>
          <w:lang w:val="fr-FR"/>
        </w:rPr>
        <w:t>’</w:t>
      </w:r>
      <w:r w:rsidR="00E15507" w:rsidRPr="005D6CD4">
        <w:rPr>
          <w:lang w:val="fr-FR"/>
        </w:rPr>
        <w:t>existe de lois manifestement discriminatoires à l</w:t>
      </w:r>
      <w:r w:rsidR="000A3D87">
        <w:rPr>
          <w:lang w:val="fr-FR"/>
        </w:rPr>
        <w:t>’</w:t>
      </w:r>
      <w:r w:rsidR="00E15507" w:rsidRPr="005D6CD4">
        <w:rPr>
          <w:lang w:val="fr-FR"/>
        </w:rPr>
        <w:t>égard des femmes au niveau du recrutement et de l</w:t>
      </w:r>
      <w:r w:rsidR="000A3D87">
        <w:rPr>
          <w:lang w:val="fr-FR"/>
        </w:rPr>
        <w:t>’</w:t>
      </w:r>
      <w:r w:rsidR="00E15507" w:rsidRPr="005D6CD4">
        <w:rPr>
          <w:lang w:val="fr-FR"/>
        </w:rPr>
        <w:t>emploi. Toutefois, le ratio hommes-femmes employés dans le secteur structuré est encore largement favorable aux hommes.</w:t>
      </w:r>
      <w:r w:rsidR="00E15507">
        <w:rPr>
          <w:lang w:val="fr-FR"/>
        </w:rPr>
        <w:t xml:space="preserve"> </w:t>
      </w:r>
    </w:p>
    <w:p w:rsidR="00E15507" w:rsidRPr="005D6CD4" w:rsidRDefault="00705A50" w:rsidP="0012256D">
      <w:pPr>
        <w:pStyle w:val="SingleTxt"/>
        <w:rPr>
          <w:lang w:val="fr-FR"/>
        </w:rPr>
      </w:pPr>
      <w:r>
        <w:rPr>
          <w:lang w:val="fr-FR"/>
        </w:rPr>
        <w:tab/>
      </w:r>
      <w:r w:rsidR="00E15507" w:rsidRPr="005D6CD4">
        <w:rPr>
          <w:lang w:val="fr-FR"/>
        </w:rPr>
        <w:t>Cependant, les différents intervenants mènent des programmes visant à changer cet état des choses. Les programmes NEEDS, SEEDS, FEEDS et LEEDS sont des stratégies de développement durable visant à réduire la pauvreté par la création d</w:t>
      </w:r>
      <w:r w:rsidR="000A3D87">
        <w:rPr>
          <w:lang w:val="fr-FR"/>
        </w:rPr>
        <w:t>’</w:t>
      </w:r>
      <w:r w:rsidR="00E15507" w:rsidRPr="005D6CD4">
        <w:rPr>
          <w:lang w:val="fr-FR"/>
        </w:rPr>
        <w:t>emplois pour les deux sexes, garantir la sécurité alimentaire et la suppression des inégalités. L</w:t>
      </w:r>
      <w:r w:rsidR="00E15507">
        <w:rPr>
          <w:lang w:val="fr-FR"/>
        </w:rPr>
        <w:t xml:space="preserve">e Congrès du Travail du Nigéria </w:t>
      </w:r>
      <w:r w:rsidR="00E15507" w:rsidRPr="005D6CD4">
        <w:rPr>
          <w:lang w:val="fr-FR"/>
        </w:rPr>
        <w:t>a engagé une action de sensibilisation à travers le plaidoyer et des pressions pour assurer la promotion de pratiques non discriminatoires en matière d</w:t>
      </w:r>
      <w:r w:rsidR="000A3D87">
        <w:rPr>
          <w:lang w:val="fr-FR"/>
        </w:rPr>
        <w:t>’</w:t>
      </w:r>
      <w:r w:rsidR="00E15507" w:rsidRPr="005D6CD4">
        <w:rPr>
          <w:lang w:val="fr-FR"/>
        </w:rPr>
        <w:t>emploi.</w:t>
      </w:r>
      <w:r w:rsidR="00E15507">
        <w:rPr>
          <w:lang w:val="fr-FR"/>
        </w:rPr>
        <w:t xml:space="preserve"> </w:t>
      </w:r>
    </w:p>
    <w:p w:rsidR="00E15507" w:rsidRPr="005D6CD4" w:rsidRDefault="00705A50" w:rsidP="0012256D">
      <w:pPr>
        <w:pStyle w:val="SingleTxt"/>
        <w:rPr>
          <w:lang w:val="fr-FR"/>
        </w:rPr>
      </w:pPr>
      <w:r>
        <w:rPr>
          <w:lang w:val="fr-FR"/>
        </w:rPr>
        <w:tab/>
      </w:r>
      <w:r w:rsidR="00E15507" w:rsidRPr="005D6CD4">
        <w:rPr>
          <w:lang w:val="fr-FR"/>
        </w:rPr>
        <w:t>L</w:t>
      </w:r>
      <w:r w:rsidR="00E15507">
        <w:rPr>
          <w:lang w:val="fr-FR"/>
        </w:rPr>
        <w:t xml:space="preserve">e Congrès du Travail du Nigéria </w:t>
      </w:r>
      <w:r w:rsidR="00E15507" w:rsidRPr="005D6CD4">
        <w:rPr>
          <w:lang w:val="fr-FR"/>
        </w:rPr>
        <w:t>a également adopté une Politique d</w:t>
      </w:r>
      <w:r w:rsidR="000A3D87">
        <w:rPr>
          <w:lang w:val="fr-FR"/>
        </w:rPr>
        <w:t>’</w:t>
      </w:r>
      <w:r w:rsidR="00E15507" w:rsidRPr="005D6CD4">
        <w:rPr>
          <w:lang w:val="fr-FR"/>
        </w:rPr>
        <w:t xml:space="preserve">égalité des sexes en février 2003 </w:t>
      </w:r>
      <w:r w:rsidR="00E15507">
        <w:rPr>
          <w:lang w:val="fr-FR"/>
        </w:rPr>
        <w:t>dont l</w:t>
      </w:r>
      <w:r w:rsidR="000A3D87">
        <w:rPr>
          <w:lang w:val="fr-FR"/>
        </w:rPr>
        <w:t>’</w:t>
      </w:r>
      <w:r w:rsidR="00E15507" w:rsidRPr="005D6CD4">
        <w:rPr>
          <w:lang w:val="fr-FR"/>
        </w:rPr>
        <w:t xml:space="preserve">objectif </w:t>
      </w:r>
      <w:r w:rsidR="00E15507">
        <w:rPr>
          <w:lang w:val="fr-FR"/>
        </w:rPr>
        <w:t xml:space="preserve">consiste à prendre systématiquement en compte la problématique hommes-femmes et à assurer la </w:t>
      </w:r>
      <w:r w:rsidR="00E15507" w:rsidRPr="005D6CD4">
        <w:rPr>
          <w:lang w:val="fr-FR"/>
        </w:rPr>
        <w:t xml:space="preserve">participation </w:t>
      </w:r>
      <w:r w:rsidR="00E15507">
        <w:rPr>
          <w:lang w:val="fr-FR"/>
        </w:rPr>
        <w:t xml:space="preserve">des femmes </w:t>
      </w:r>
      <w:r w:rsidR="00E15507" w:rsidRPr="005D6CD4">
        <w:rPr>
          <w:lang w:val="fr-FR"/>
        </w:rPr>
        <w:t>à tous les niveaux d</w:t>
      </w:r>
      <w:r w:rsidR="00E15507">
        <w:rPr>
          <w:lang w:val="fr-FR"/>
        </w:rPr>
        <w:t>u Congrès du Travail du Nigéria</w:t>
      </w:r>
      <w:r w:rsidR="00E15507" w:rsidRPr="005D6CD4">
        <w:rPr>
          <w:lang w:val="fr-FR"/>
        </w:rPr>
        <w:t>. Grâce à ces efforts :</w:t>
      </w:r>
    </w:p>
    <w:p w:rsidR="00E15507" w:rsidRPr="005D6CD4" w:rsidRDefault="00705A50" w:rsidP="00705A50">
      <w:pPr>
        <w:pStyle w:val="SingleTxt"/>
        <w:numPr>
          <w:ilvl w:val="0"/>
          <w:numId w:val="26"/>
        </w:numPr>
        <w:rPr>
          <w:lang w:val="fr-FR"/>
        </w:rPr>
      </w:pPr>
      <w:r>
        <w:rPr>
          <w:lang w:val="fr-FR"/>
        </w:rPr>
        <w:tab/>
      </w:r>
      <w:r w:rsidR="00E15507" w:rsidRPr="005D6CD4">
        <w:rPr>
          <w:lang w:val="fr-FR"/>
        </w:rPr>
        <w:t xml:space="preserve">Deux postes sont occupés par des femmes au Conseil exécutif national </w:t>
      </w:r>
      <w:r w:rsidR="00E15507">
        <w:rPr>
          <w:lang w:val="fr-FR"/>
        </w:rPr>
        <w:t xml:space="preserve">du Congrès du Travail </w:t>
      </w:r>
      <w:r w:rsidR="00E15507" w:rsidRPr="005D6CD4">
        <w:rPr>
          <w:lang w:val="fr-FR"/>
        </w:rPr>
        <w:t>(vice-présiden</w:t>
      </w:r>
      <w:r w:rsidR="00E15507">
        <w:rPr>
          <w:lang w:val="fr-FR"/>
        </w:rPr>
        <w:t>t</w:t>
      </w:r>
      <w:r w:rsidR="00E15507" w:rsidRPr="005D6CD4">
        <w:rPr>
          <w:lang w:val="fr-FR"/>
        </w:rPr>
        <w:t>e et contrôleur)</w:t>
      </w:r>
    </w:p>
    <w:p w:rsidR="00E15507" w:rsidRPr="005D6CD4" w:rsidRDefault="00705A50" w:rsidP="00705A50">
      <w:pPr>
        <w:pStyle w:val="SingleTxt"/>
        <w:numPr>
          <w:ilvl w:val="0"/>
          <w:numId w:val="26"/>
        </w:numPr>
        <w:rPr>
          <w:lang w:val="fr-FR"/>
        </w:rPr>
      </w:pPr>
      <w:r>
        <w:rPr>
          <w:lang w:val="fr-FR"/>
        </w:rPr>
        <w:tab/>
      </w:r>
      <w:r w:rsidR="00E15507" w:rsidRPr="005D6CD4">
        <w:rPr>
          <w:lang w:val="fr-FR"/>
        </w:rPr>
        <w:t xml:space="preserve">Les femmes sont également élues à des postes de direction. </w:t>
      </w:r>
      <w:r w:rsidR="00E15507">
        <w:rPr>
          <w:lang w:val="fr-FR"/>
        </w:rPr>
        <w:t>C</w:t>
      </w:r>
      <w:r w:rsidR="000A3D87">
        <w:rPr>
          <w:lang w:val="fr-FR"/>
        </w:rPr>
        <w:t>’</w:t>
      </w:r>
      <w:r w:rsidR="00E15507">
        <w:rPr>
          <w:lang w:val="fr-FR"/>
        </w:rPr>
        <w:t xml:space="preserve">est ainsi que dans </w:t>
      </w:r>
      <w:r w:rsidR="00E15507" w:rsidRPr="005D6CD4">
        <w:rPr>
          <w:lang w:val="fr-FR"/>
        </w:rPr>
        <w:t xml:space="preserve">le syndicat du textile </w:t>
      </w:r>
      <w:r w:rsidR="00E15507">
        <w:rPr>
          <w:lang w:val="fr-FR"/>
        </w:rPr>
        <w:t>deux</w:t>
      </w:r>
      <w:r w:rsidR="00E15507" w:rsidRPr="005D6CD4">
        <w:rPr>
          <w:lang w:val="fr-FR"/>
        </w:rPr>
        <w:t xml:space="preserve"> femmes ont été élues respectivement vice-présiden</w:t>
      </w:r>
      <w:r w:rsidR="00E15507">
        <w:rPr>
          <w:lang w:val="fr-FR"/>
        </w:rPr>
        <w:t>t</w:t>
      </w:r>
      <w:r w:rsidR="00E15507" w:rsidRPr="005D6CD4">
        <w:rPr>
          <w:lang w:val="fr-FR"/>
        </w:rPr>
        <w:t>e et administratrice, devenant ainsi membres des organes de décision de ce syndicat. Dans le syndicat de l</w:t>
      </w:r>
      <w:r w:rsidR="000A3D87">
        <w:rPr>
          <w:lang w:val="fr-FR"/>
        </w:rPr>
        <w:t>’</w:t>
      </w:r>
      <w:r w:rsidR="00E15507" w:rsidRPr="005D6CD4">
        <w:rPr>
          <w:lang w:val="fr-FR"/>
        </w:rPr>
        <w:t>industrie chimique</w:t>
      </w:r>
      <w:r w:rsidR="00E15507">
        <w:rPr>
          <w:lang w:val="fr-FR"/>
        </w:rPr>
        <w:t>,</w:t>
      </w:r>
      <w:r w:rsidR="00E15507" w:rsidRPr="005D6CD4">
        <w:rPr>
          <w:lang w:val="fr-FR"/>
        </w:rPr>
        <w:t xml:space="preserve"> une femme </w:t>
      </w:r>
      <w:r w:rsidR="00E15507">
        <w:rPr>
          <w:lang w:val="fr-FR"/>
        </w:rPr>
        <w:t xml:space="preserve">est devenue </w:t>
      </w:r>
      <w:r w:rsidR="00E15507" w:rsidRPr="005D6CD4">
        <w:rPr>
          <w:lang w:val="fr-FR"/>
        </w:rPr>
        <w:t>vice-présiden</w:t>
      </w:r>
      <w:r w:rsidR="00E15507">
        <w:rPr>
          <w:lang w:val="fr-FR"/>
        </w:rPr>
        <w:t>t</w:t>
      </w:r>
      <w:r w:rsidR="00E15507" w:rsidRPr="005D6CD4">
        <w:rPr>
          <w:lang w:val="fr-FR"/>
        </w:rPr>
        <w:t>e.</w:t>
      </w:r>
    </w:p>
    <w:p w:rsidR="00E15507" w:rsidRDefault="00705A50" w:rsidP="0012256D">
      <w:pPr>
        <w:pStyle w:val="SingleTxt"/>
        <w:rPr>
          <w:lang w:val="fr-FR"/>
        </w:rPr>
      </w:pPr>
      <w:r>
        <w:rPr>
          <w:lang w:val="fr-FR"/>
        </w:rPr>
        <w:tab/>
      </w:r>
      <w:r w:rsidR="00E15507" w:rsidRPr="005D6CD4">
        <w:rPr>
          <w:lang w:val="fr-FR"/>
        </w:rPr>
        <w:t xml:space="preserve">Le </w:t>
      </w:r>
      <w:r w:rsidR="00E15507">
        <w:rPr>
          <w:lang w:val="fr-FR"/>
        </w:rPr>
        <w:t>ministère</w:t>
      </w:r>
      <w:r w:rsidR="00E15507" w:rsidRPr="005D6CD4">
        <w:rPr>
          <w:lang w:val="fr-FR"/>
        </w:rPr>
        <w:t xml:space="preserve"> fédéral de l</w:t>
      </w:r>
      <w:r w:rsidR="000A3D87">
        <w:rPr>
          <w:lang w:val="fr-FR"/>
        </w:rPr>
        <w:t>’</w:t>
      </w:r>
      <w:r w:rsidR="00E15507">
        <w:rPr>
          <w:lang w:val="fr-FR"/>
        </w:rPr>
        <w:t>E</w:t>
      </w:r>
      <w:r w:rsidR="00E15507" w:rsidRPr="005D6CD4">
        <w:rPr>
          <w:lang w:val="fr-FR"/>
        </w:rPr>
        <w:t xml:space="preserve">mploi et de la </w:t>
      </w:r>
      <w:r w:rsidR="00E15507">
        <w:rPr>
          <w:lang w:val="fr-FR"/>
        </w:rPr>
        <w:t>P</w:t>
      </w:r>
      <w:r w:rsidR="00E15507" w:rsidRPr="005D6CD4">
        <w:rPr>
          <w:lang w:val="fr-FR"/>
        </w:rPr>
        <w:t>roductivité a intensifié ses efforts visant à assurer le respect des normes internationales en matière d</w:t>
      </w:r>
      <w:r w:rsidR="000A3D87">
        <w:rPr>
          <w:lang w:val="fr-FR"/>
        </w:rPr>
        <w:t>’</w:t>
      </w:r>
      <w:r w:rsidR="00E15507" w:rsidRPr="005D6CD4">
        <w:rPr>
          <w:lang w:val="fr-FR"/>
        </w:rPr>
        <w:t xml:space="preserve">emploi, de conditions de travail et de sécurité au travail. </w:t>
      </w:r>
    </w:p>
    <w:p w:rsidR="00705A50" w:rsidRPr="00705A50" w:rsidRDefault="00705A50" w:rsidP="00705A50">
      <w:pPr>
        <w:pStyle w:val="SingleTxt"/>
        <w:spacing w:after="0" w:line="120" w:lineRule="exact"/>
        <w:rPr>
          <w:sz w:val="10"/>
          <w:lang w:val="fr-FR"/>
        </w:rPr>
      </w:pPr>
    </w:p>
    <w:p w:rsidR="00E15507" w:rsidRDefault="00705A50" w:rsidP="00BB7C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rPr>
          <w:b w:val="0"/>
          <w:lang w:val="fr-FR"/>
        </w:rPr>
      </w:pPr>
      <w:r>
        <w:rPr>
          <w:bCs/>
          <w:lang w:val="fr-FR"/>
        </w:rPr>
        <w:tab/>
      </w:r>
      <w:r w:rsidR="00E15507" w:rsidRPr="005D6CD4">
        <w:rPr>
          <w:bCs/>
          <w:lang w:val="fr-FR"/>
        </w:rPr>
        <w:t>11.3</w:t>
      </w:r>
      <w:r>
        <w:rPr>
          <w:bCs/>
          <w:lang w:val="fr-FR"/>
        </w:rPr>
        <w:tab/>
      </w:r>
      <w:r w:rsidR="00E15507" w:rsidRPr="00705A50">
        <w:rPr>
          <w:b w:val="0"/>
          <w:lang w:val="fr-FR"/>
        </w:rPr>
        <w:t>Les conditions de travail et les pratiques en matière d</w:t>
      </w:r>
      <w:r w:rsidR="000A3D87">
        <w:rPr>
          <w:b w:val="0"/>
          <w:lang w:val="fr-FR"/>
        </w:rPr>
        <w:t>’</w:t>
      </w:r>
      <w:r w:rsidR="00E15507" w:rsidRPr="00705A50">
        <w:rPr>
          <w:b w:val="0"/>
          <w:lang w:val="fr-FR"/>
        </w:rPr>
        <w:t>emploi en ce qui concerne les femmes s</w:t>
      </w:r>
      <w:r w:rsidR="000A3D87">
        <w:rPr>
          <w:b w:val="0"/>
          <w:lang w:val="fr-FR"/>
        </w:rPr>
        <w:t>’</w:t>
      </w:r>
      <w:r w:rsidR="00E15507" w:rsidRPr="00705A50">
        <w:rPr>
          <w:b w:val="0"/>
          <w:lang w:val="fr-FR"/>
        </w:rPr>
        <w:t>améliorent sensiblement dans le secteur privé. Par exemple, au Nigéria les banques (comme dans la plupart des autres structures du secteur privé) accordent 90 jours ouvrables de congé de maternité aux femmes, comme la fonction publique nigériane. La durée minimale du congé de maternité accordé par le secteur bancaire est de 60 jours ouvrables. Certaines banques permettent aux femmes qui allaitent d</w:t>
      </w:r>
      <w:r w:rsidR="000A3D87">
        <w:rPr>
          <w:b w:val="0"/>
          <w:lang w:val="fr-FR"/>
        </w:rPr>
        <w:t>’</w:t>
      </w:r>
      <w:r w:rsidR="00E15507" w:rsidRPr="00705A50">
        <w:rPr>
          <w:b w:val="0"/>
          <w:lang w:val="fr-FR"/>
        </w:rPr>
        <w:t>arriver au travail une heure après ou de rentrer chez elles une heure avant leurs collègues. Et ceci conformément à l</w:t>
      </w:r>
      <w:r w:rsidR="000A3D87">
        <w:rPr>
          <w:b w:val="0"/>
          <w:lang w:val="fr-FR"/>
        </w:rPr>
        <w:t>’</w:t>
      </w:r>
      <w:r w:rsidR="00E15507" w:rsidRPr="00705A50">
        <w:rPr>
          <w:b w:val="0"/>
          <w:lang w:val="fr-FR"/>
        </w:rPr>
        <w:t>article 54 (1) (d) de la Loi sur l</w:t>
      </w:r>
      <w:r w:rsidR="000A3D87">
        <w:rPr>
          <w:b w:val="0"/>
          <w:lang w:val="fr-FR"/>
        </w:rPr>
        <w:t>’</w:t>
      </w:r>
      <w:r w:rsidR="00E15507" w:rsidRPr="00705A50">
        <w:rPr>
          <w:b w:val="0"/>
          <w:lang w:val="fr-FR"/>
        </w:rPr>
        <w:t>emploi, ch. 198, Lois de la Fédération du Nigéria 1990.</w:t>
      </w:r>
    </w:p>
    <w:p w:rsidR="00705A50" w:rsidRPr="00705A50" w:rsidRDefault="00705A50" w:rsidP="00705A50">
      <w:pPr>
        <w:pStyle w:val="SingleTxt"/>
        <w:spacing w:after="0" w:line="120" w:lineRule="exact"/>
        <w:rPr>
          <w:sz w:val="10"/>
          <w:lang w:val="fr-FR"/>
        </w:rPr>
      </w:pPr>
    </w:p>
    <w:p w:rsidR="00E15507" w:rsidRPr="005D6CD4" w:rsidRDefault="00705A50" w:rsidP="0012256D">
      <w:pPr>
        <w:pStyle w:val="SingleTxt"/>
        <w:rPr>
          <w:lang w:val="fr-FR"/>
        </w:rPr>
      </w:pPr>
      <w:r>
        <w:rPr>
          <w:lang w:val="fr-FR"/>
        </w:rPr>
        <w:tab/>
      </w:r>
      <w:r w:rsidR="00E15507">
        <w:rPr>
          <w:lang w:val="fr-FR"/>
        </w:rPr>
        <w:t>C</w:t>
      </w:r>
      <w:r w:rsidR="00E15507" w:rsidRPr="005D6CD4">
        <w:rPr>
          <w:lang w:val="fr-FR"/>
        </w:rPr>
        <w:t xml:space="preserve">ependant, </w:t>
      </w:r>
      <w:r w:rsidR="00E15507">
        <w:rPr>
          <w:lang w:val="fr-FR"/>
        </w:rPr>
        <w:t xml:space="preserve">il existe </w:t>
      </w:r>
      <w:r w:rsidR="00E15507" w:rsidRPr="005D6CD4">
        <w:rPr>
          <w:lang w:val="fr-FR"/>
        </w:rPr>
        <w:t>encore des pratiques discriminatoires auxquelles il faut s</w:t>
      </w:r>
      <w:r w:rsidR="000A3D87">
        <w:rPr>
          <w:lang w:val="fr-FR"/>
        </w:rPr>
        <w:t>’</w:t>
      </w:r>
      <w:r w:rsidR="00E15507" w:rsidRPr="005D6CD4">
        <w:rPr>
          <w:lang w:val="fr-FR"/>
        </w:rPr>
        <w:t>attaquer. Il s</w:t>
      </w:r>
      <w:r w:rsidR="000A3D87">
        <w:rPr>
          <w:lang w:val="fr-FR"/>
        </w:rPr>
        <w:t>’</w:t>
      </w:r>
      <w:r w:rsidR="00E15507" w:rsidRPr="005D6CD4">
        <w:rPr>
          <w:lang w:val="fr-FR"/>
        </w:rPr>
        <w:t>agit entre autres de</w:t>
      </w:r>
      <w:r w:rsidR="00E15507">
        <w:rPr>
          <w:lang w:val="fr-FR"/>
        </w:rPr>
        <w:t>s pratiques suivantes :</w:t>
      </w:r>
    </w:p>
    <w:p w:rsidR="00E15507" w:rsidRPr="005D6CD4" w:rsidRDefault="00705A50" w:rsidP="00705A50">
      <w:pPr>
        <w:pStyle w:val="SingleTxt"/>
        <w:numPr>
          <w:ilvl w:val="0"/>
          <w:numId w:val="27"/>
        </w:numPr>
        <w:rPr>
          <w:lang w:val="fr-FR"/>
        </w:rPr>
      </w:pPr>
      <w:r>
        <w:rPr>
          <w:lang w:val="fr-FR"/>
        </w:rPr>
        <w:tab/>
      </w:r>
      <w:r w:rsidR="00E15507" w:rsidRPr="005D6CD4">
        <w:rPr>
          <w:lang w:val="fr-FR"/>
        </w:rPr>
        <w:t>La contrainte imposée aux femmes célibataires de signer des contrats de travail en s</w:t>
      </w:r>
      <w:r w:rsidR="000A3D87">
        <w:rPr>
          <w:lang w:val="fr-FR"/>
        </w:rPr>
        <w:t>’</w:t>
      </w:r>
      <w:r w:rsidR="00E15507" w:rsidRPr="005D6CD4">
        <w:rPr>
          <w:lang w:val="fr-FR"/>
        </w:rPr>
        <w:t xml:space="preserve">engageant </w:t>
      </w:r>
      <w:r w:rsidR="00E15507">
        <w:rPr>
          <w:lang w:val="fr-FR"/>
        </w:rPr>
        <w:t xml:space="preserve">de </w:t>
      </w:r>
      <w:r w:rsidR="00E15507" w:rsidRPr="005D6CD4">
        <w:rPr>
          <w:lang w:val="fr-FR"/>
        </w:rPr>
        <w:t>ne pas se marier avant trois ans de service.</w:t>
      </w:r>
    </w:p>
    <w:p w:rsidR="00E15507" w:rsidRPr="005D6CD4" w:rsidRDefault="00705A50" w:rsidP="00705A50">
      <w:pPr>
        <w:pStyle w:val="SingleTxt"/>
        <w:numPr>
          <w:ilvl w:val="0"/>
          <w:numId w:val="27"/>
        </w:numPr>
        <w:rPr>
          <w:lang w:val="fr-FR"/>
        </w:rPr>
      </w:pPr>
      <w:r>
        <w:rPr>
          <w:lang w:val="fr-FR"/>
        </w:rPr>
        <w:tab/>
      </w:r>
      <w:r w:rsidR="00E15507" w:rsidRPr="005D6CD4">
        <w:rPr>
          <w:lang w:val="fr-FR"/>
        </w:rPr>
        <w:t>La contrainte imposée aux femmes nouvellement mariées de signer des contrats de travail dans le</w:t>
      </w:r>
      <w:r w:rsidR="00E15507">
        <w:rPr>
          <w:lang w:val="fr-FR"/>
        </w:rPr>
        <w:t>s</w:t>
      </w:r>
      <w:r w:rsidR="00E15507" w:rsidRPr="005D6CD4">
        <w:rPr>
          <w:lang w:val="fr-FR"/>
        </w:rPr>
        <w:t>quel</w:t>
      </w:r>
      <w:r w:rsidR="00E15507">
        <w:rPr>
          <w:lang w:val="fr-FR"/>
        </w:rPr>
        <w:t>s</w:t>
      </w:r>
      <w:r w:rsidR="00E15507" w:rsidRPr="005D6CD4">
        <w:rPr>
          <w:lang w:val="fr-FR"/>
        </w:rPr>
        <w:t xml:space="preserve"> elles s</w:t>
      </w:r>
      <w:r w:rsidR="000A3D87">
        <w:rPr>
          <w:lang w:val="fr-FR"/>
        </w:rPr>
        <w:t>’</w:t>
      </w:r>
      <w:r w:rsidR="00E15507" w:rsidRPr="005D6CD4">
        <w:rPr>
          <w:lang w:val="fr-FR"/>
        </w:rPr>
        <w:t>engagent à ne pas avoir d</w:t>
      </w:r>
      <w:r w:rsidR="000A3D87">
        <w:rPr>
          <w:lang w:val="fr-FR"/>
        </w:rPr>
        <w:t>’</w:t>
      </w:r>
      <w:r w:rsidR="00E15507" w:rsidRPr="005D6CD4">
        <w:rPr>
          <w:lang w:val="fr-FR"/>
        </w:rPr>
        <w:t>enfants avant trois ans de service.</w:t>
      </w:r>
    </w:p>
    <w:p w:rsidR="00E15507" w:rsidRPr="005D6CD4" w:rsidRDefault="00705A50" w:rsidP="00705A50">
      <w:pPr>
        <w:pStyle w:val="SingleTxt"/>
        <w:numPr>
          <w:ilvl w:val="0"/>
          <w:numId w:val="27"/>
        </w:numPr>
        <w:rPr>
          <w:lang w:val="fr-FR"/>
        </w:rPr>
      </w:pPr>
      <w:r>
        <w:rPr>
          <w:lang w:val="fr-FR"/>
        </w:rPr>
        <w:tab/>
      </w:r>
      <w:r w:rsidR="00E15507" w:rsidRPr="005D6CD4">
        <w:rPr>
          <w:lang w:val="fr-FR"/>
        </w:rPr>
        <w:t>Le recrutement de jeunes femmes célibataires comme commerciales pour l</w:t>
      </w:r>
      <w:r w:rsidR="00E15507">
        <w:rPr>
          <w:lang w:val="fr-FR"/>
        </w:rPr>
        <w:t xml:space="preserve">a recherche </w:t>
      </w:r>
      <w:r w:rsidR="00E15507" w:rsidRPr="005D6CD4">
        <w:rPr>
          <w:lang w:val="fr-FR"/>
        </w:rPr>
        <w:t>de clients et de fonds avec des objectifs de production</w:t>
      </w:r>
      <w:r w:rsidR="00E15507">
        <w:rPr>
          <w:lang w:val="fr-FR"/>
        </w:rPr>
        <w:t xml:space="preserve">, ce </w:t>
      </w:r>
      <w:r w:rsidR="00E15507" w:rsidRPr="005D6CD4">
        <w:rPr>
          <w:lang w:val="fr-FR"/>
        </w:rPr>
        <w:t>qui les expose à l</w:t>
      </w:r>
      <w:r w:rsidR="000A3D87">
        <w:rPr>
          <w:lang w:val="fr-FR"/>
        </w:rPr>
        <w:t>’</w:t>
      </w:r>
      <w:r w:rsidR="00E15507" w:rsidRPr="005D6CD4">
        <w:rPr>
          <w:lang w:val="fr-FR"/>
        </w:rPr>
        <w:t>exploitation sexuelle.</w:t>
      </w:r>
    </w:p>
    <w:p w:rsidR="00E15507" w:rsidRDefault="00705A50" w:rsidP="00705A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rPr>
          <w:b w:val="0"/>
          <w:lang w:val="fr-FR"/>
        </w:rPr>
      </w:pPr>
      <w:r>
        <w:rPr>
          <w:bCs/>
          <w:lang w:val="fr-FR"/>
        </w:rPr>
        <w:tab/>
      </w:r>
      <w:r w:rsidR="00E15507" w:rsidRPr="005D6CD4">
        <w:rPr>
          <w:bCs/>
          <w:lang w:val="fr-FR"/>
        </w:rPr>
        <w:t>11.4</w:t>
      </w:r>
      <w:r>
        <w:rPr>
          <w:lang w:val="fr-FR"/>
        </w:rPr>
        <w:tab/>
      </w:r>
      <w:r w:rsidR="00E15507" w:rsidRPr="00705A50">
        <w:rPr>
          <w:b w:val="0"/>
          <w:lang w:val="fr-FR"/>
        </w:rPr>
        <w:t>La division du travail selon le sexe demeure très répandue dans les habitudes de travail au Nigéria. Les perceptions traditionnelles et certains stéréotypes limitent les femmes à certaines professions, entraînant leur quasi absence dans d</w:t>
      </w:r>
      <w:r w:rsidR="000A3D87">
        <w:rPr>
          <w:b w:val="0"/>
          <w:lang w:val="fr-FR"/>
        </w:rPr>
        <w:t>’</w:t>
      </w:r>
      <w:r w:rsidR="00E15507" w:rsidRPr="00705A50">
        <w:rPr>
          <w:b w:val="0"/>
          <w:lang w:val="fr-FR"/>
        </w:rPr>
        <w:t>autres. L</w:t>
      </w:r>
      <w:r w:rsidR="000A3D87">
        <w:rPr>
          <w:b w:val="0"/>
          <w:lang w:val="fr-FR"/>
        </w:rPr>
        <w:t>’</w:t>
      </w:r>
      <w:r w:rsidR="00E15507" w:rsidRPr="00705A50">
        <w:rPr>
          <w:b w:val="0"/>
          <w:lang w:val="fr-FR"/>
        </w:rPr>
        <w:t>Enquête démographique et de santé du Nigéria de 2003 montre que davantage de femmes travaillent dans les secteurs de la distribution, des services et de l</w:t>
      </w:r>
      <w:r w:rsidR="000A3D87">
        <w:rPr>
          <w:b w:val="0"/>
          <w:lang w:val="fr-FR"/>
        </w:rPr>
        <w:t>’</w:t>
      </w:r>
      <w:r w:rsidR="00E15507" w:rsidRPr="00705A50">
        <w:rPr>
          <w:b w:val="0"/>
          <w:lang w:val="fr-FR"/>
        </w:rPr>
        <w:t xml:space="preserve">agriculture, et comme spécialistes, techniciennes et à des postes de direction. </w:t>
      </w:r>
    </w:p>
    <w:p w:rsidR="00705A50" w:rsidRPr="00705A50" w:rsidRDefault="00705A50" w:rsidP="00705A50">
      <w:pPr>
        <w:pStyle w:val="SingleTxt"/>
        <w:rPr>
          <w:lang w:val="fr-FR"/>
        </w:rPr>
      </w:pPr>
    </w:p>
    <w:p w:rsidR="00E15507" w:rsidRDefault="00E15507" w:rsidP="00705A50">
      <w:pPr>
        <w:pStyle w:val="SingleTxt"/>
        <w:jc w:val="left"/>
        <w:rPr>
          <w:b/>
          <w:bCs/>
          <w:lang w:val="fr-FR"/>
        </w:rPr>
      </w:pPr>
      <w:r w:rsidRPr="00705A50">
        <w:rPr>
          <w:bCs/>
          <w:lang w:val="fr-FR"/>
        </w:rPr>
        <w:t>Tableau 11.1</w:t>
      </w:r>
      <w:r w:rsidR="00705A50">
        <w:rPr>
          <w:bCs/>
          <w:lang w:val="fr-FR"/>
        </w:rPr>
        <w:br/>
      </w:r>
      <w:r w:rsidRPr="00705A50">
        <w:rPr>
          <w:b/>
          <w:bCs/>
          <w:lang w:val="fr-FR"/>
        </w:rPr>
        <w:t xml:space="preserve">Répartition </w:t>
      </w:r>
      <w:r w:rsidR="00DF45EE">
        <w:rPr>
          <w:b/>
          <w:bCs/>
          <w:lang w:val="fr-FR"/>
        </w:rPr>
        <w:t xml:space="preserve">en pourcentage </w:t>
      </w:r>
      <w:r w:rsidRPr="00705A50">
        <w:rPr>
          <w:b/>
          <w:bCs/>
          <w:lang w:val="fr-FR"/>
        </w:rPr>
        <w:t>des femmes par profession et selon la formation de base</w:t>
      </w:r>
    </w:p>
    <w:p w:rsidR="00705A50" w:rsidRPr="00705A50" w:rsidRDefault="00705A50" w:rsidP="00705A50">
      <w:pPr>
        <w:pStyle w:val="SingleTxt"/>
        <w:spacing w:after="0" w:line="120" w:lineRule="exact"/>
        <w:rPr>
          <w:b/>
          <w:bCs/>
          <w:sz w:val="10"/>
          <w:lang w:val="fr-FR"/>
        </w:rPr>
      </w:pPr>
    </w:p>
    <w:tbl>
      <w:tblPr>
        <w:tblW w:w="0" w:type="auto"/>
        <w:tblInd w:w="108" w:type="dxa"/>
        <w:tblLook w:val="01E0"/>
      </w:tblPr>
      <w:tblGrid>
        <w:gridCol w:w="1170"/>
        <w:gridCol w:w="1157"/>
        <w:gridCol w:w="1157"/>
        <w:gridCol w:w="1157"/>
        <w:gridCol w:w="1157"/>
        <w:gridCol w:w="1157"/>
        <w:gridCol w:w="1157"/>
        <w:gridCol w:w="1158"/>
      </w:tblGrid>
      <w:tr w:rsidR="003F4A03" w:rsidRPr="003F4A03">
        <w:trPr>
          <w:tblHeader/>
        </w:trPr>
        <w:tc>
          <w:tcPr>
            <w:tcW w:w="1170" w:type="dxa"/>
            <w:tcBorders>
              <w:top w:val="single" w:sz="4" w:space="0" w:color="auto"/>
              <w:bottom w:val="single" w:sz="12" w:space="0" w:color="auto"/>
            </w:tcBorders>
            <w:shd w:val="clear" w:color="auto" w:fill="auto"/>
            <w:vAlign w:val="bottom"/>
          </w:tcPr>
          <w:p w:rsidR="003F4A03" w:rsidRPr="003F4A03" w:rsidRDefault="003F4A03" w:rsidP="003F4A03">
            <w:pPr>
              <w:suppressAutoHyphens/>
              <w:spacing w:before="80" w:after="80" w:line="160" w:lineRule="exact"/>
              <w:ind w:right="43"/>
              <w:rPr>
                <w:i/>
                <w:sz w:val="14"/>
                <w:lang w:val="fr-FR"/>
              </w:rPr>
            </w:pPr>
            <w:r>
              <w:rPr>
                <w:i/>
                <w:sz w:val="14"/>
                <w:lang w:val="fr-FR"/>
              </w:rPr>
              <w:t>Formation de base</w:t>
            </w:r>
          </w:p>
        </w:tc>
        <w:tc>
          <w:tcPr>
            <w:tcW w:w="1157" w:type="dxa"/>
            <w:tcBorders>
              <w:top w:val="single" w:sz="4" w:space="0" w:color="auto"/>
              <w:bottom w:val="single" w:sz="12" w:space="0" w:color="auto"/>
            </w:tcBorders>
            <w:shd w:val="clear" w:color="auto" w:fill="auto"/>
            <w:vAlign w:val="bottom"/>
          </w:tcPr>
          <w:p w:rsidR="003F4A03" w:rsidRPr="003F4A03" w:rsidRDefault="003F4A03" w:rsidP="003F4A03">
            <w:pPr>
              <w:suppressAutoHyphens/>
              <w:spacing w:before="80" w:after="80" w:line="160" w:lineRule="exact"/>
              <w:ind w:right="43"/>
              <w:jc w:val="right"/>
              <w:rPr>
                <w:i/>
                <w:sz w:val="14"/>
                <w:lang w:val="fr-FR"/>
              </w:rPr>
            </w:pPr>
            <w:r>
              <w:rPr>
                <w:i/>
                <w:sz w:val="14"/>
                <w:lang w:val="fr-FR"/>
              </w:rPr>
              <w:t>Spécialistes</w:t>
            </w:r>
            <w:r>
              <w:rPr>
                <w:i/>
                <w:sz w:val="14"/>
                <w:lang w:val="fr-FR"/>
              </w:rPr>
              <w:br/>
              <w:t>Direction/</w:t>
            </w:r>
            <w:r>
              <w:rPr>
                <w:i/>
                <w:sz w:val="14"/>
                <w:lang w:val="fr-FR"/>
              </w:rPr>
              <w:br/>
              <w:t>Techniciennes</w:t>
            </w:r>
          </w:p>
        </w:tc>
        <w:tc>
          <w:tcPr>
            <w:tcW w:w="1157" w:type="dxa"/>
            <w:tcBorders>
              <w:top w:val="single" w:sz="4" w:space="0" w:color="auto"/>
              <w:bottom w:val="single" w:sz="12" w:space="0" w:color="auto"/>
            </w:tcBorders>
            <w:shd w:val="clear" w:color="auto" w:fill="auto"/>
            <w:vAlign w:val="bottom"/>
          </w:tcPr>
          <w:p w:rsidR="003F4A03" w:rsidRPr="003F4A03" w:rsidRDefault="003F4A03" w:rsidP="003F4A03">
            <w:pPr>
              <w:suppressAutoHyphens/>
              <w:spacing w:before="80" w:after="80" w:line="160" w:lineRule="exact"/>
              <w:ind w:right="43"/>
              <w:jc w:val="right"/>
              <w:rPr>
                <w:i/>
                <w:sz w:val="14"/>
                <w:lang w:val="fr-FR"/>
              </w:rPr>
            </w:pPr>
            <w:r>
              <w:rPr>
                <w:i/>
                <w:sz w:val="14"/>
                <w:lang w:val="fr-FR"/>
              </w:rPr>
              <w:t>Personnel administratif</w:t>
            </w:r>
          </w:p>
        </w:tc>
        <w:tc>
          <w:tcPr>
            <w:tcW w:w="1157" w:type="dxa"/>
            <w:tcBorders>
              <w:top w:val="single" w:sz="4" w:space="0" w:color="auto"/>
              <w:bottom w:val="single" w:sz="12" w:space="0" w:color="auto"/>
            </w:tcBorders>
            <w:shd w:val="clear" w:color="auto" w:fill="auto"/>
            <w:vAlign w:val="bottom"/>
          </w:tcPr>
          <w:p w:rsidR="003F4A03" w:rsidRPr="003F4A03" w:rsidRDefault="003F4A03" w:rsidP="003F4A03">
            <w:pPr>
              <w:suppressAutoHyphens/>
              <w:spacing w:before="80" w:after="80" w:line="160" w:lineRule="exact"/>
              <w:ind w:right="43"/>
              <w:jc w:val="right"/>
              <w:rPr>
                <w:i/>
                <w:sz w:val="14"/>
                <w:lang w:val="fr-FR"/>
              </w:rPr>
            </w:pPr>
            <w:r>
              <w:rPr>
                <w:i/>
                <w:sz w:val="14"/>
                <w:lang w:val="fr-FR"/>
              </w:rPr>
              <w:t>Distribution et services</w:t>
            </w:r>
          </w:p>
        </w:tc>
        <w:tc>
          <w:tcPr>
            <w:tcW w:w="1157" w:type="dxa"/>
            <w:tcBorders>
              <w:top w:val="single" w:sz="4" w:space="0" w:color="auto"/>
              <w:bottom w:val="single" w:sz="12" w:space="0" w:color="auto"/>
            </w:tcBorders>
            <w:shd w:val="clear" w:color="auto" w:fill="auto"/>
            <w:vAlign w:val="bottom"/>
          </w:tcPr>
          <w:p w:rsidR="003F4A03" w:rsidRPr="003F4A03" w:rsidRDefault="003F4A03" w:rsidP="003F4A03">
            <w:pPr>
              <w:suppressAutoHyphens/>
              <w:spacing w:before="80" w:after="80" w:line="160" w:lineRule="exact"/>
              <w:ind w:right="43"/>
              <w:jc w:val="right"/>
              <w:rPr>
                <w:i/>
                <w:sz w:val="14"/>
                <w:lang w:val="fr-FR"/>
              </w:rPr>
            </w:pPr>
            <w:r>
              <w:rPr>
                <w:i/>
                <w:sz w:val="14"/>
                <w:lang w:val="fr-FR"/>
              </w:rPr>
              <w:t>Qualifiées Manuel</w:t>
            </w:r>
          </w:p>
        </w:tc>
        <w:tc>
          <w:tcPr>
            <w:tcW w:w="1157" w:type="dxa"/>
            <w:tcBorders>
              <w:top w:val="single" w:sz="4" w:space="0" w:color="auto"/>
              <w:bottom w:val="single" w:sz="12" w:space="0" w:color="auto"/>
            </w:tcBorders>
            <w:shd w:val="clear" w:color="auto" w:fill="auto"/>
            <w:vAlign w:val="bottom"/>
          </w:tcPr>
          <w:p w:rsidR="003F4A03" w:rsidRPr="003F4A03" w:rsidRDefault="003F4A03" w:rsidP="003F4A03">
            <w:pPr>
              <w:suppressAutoHyphens/>
              <w:spacing w:before="80" w:after="80" w:line="160" w:lineRule="exact"/>
              <w:ind w:right="43"/>
              <w:jc w:val="right"/>
              <w:rPr>
                <w:i/>
                <w:sz w:val="14"/>
                <w:lang w:val="fr-FR"/>
              </w:rPr>
            </w:pPr>
            <w:r>
              <w:rPr>
                <w:i/>
                <w:sz w:val="14"/>
                <w:lang w:val="fr-FR"/>
              </w:rPr>
              <w:t>Non qualifiées manuel</w:t>
            </w:r>
          </w:p>
        </w:tc>
        <w:tc>
          <w:tcPr>
            <w:tcW w:w="1157" w:type="dxa"/>
            <w:tcBorders>
              <w:top w:val="single" w:sz="4" w:space="0" w:color="auto"/>
              <w:bottom w:val="single" w:sz="12" w:space="0" w:color="auto"/>
            </w:tcBorders>
            <w:shd w:val="clear" w:color="auto" w:fill="auto"/>
            <w:vAlign w:val="bottom"/>
          </w:tcPr>
          <w:p w:rsidR="003F4A03" w:rsidRPr="003F4A03" w:rsidRDefault="003F4A03" w:rsidP="003F4A03">
            <w:pPr>
              <w:suppressAutoHyphens/>
              <w:spacing w:before="80" w:after="80" w:line="160" w:lineRule="exact"/>
              <w:ind w:right="43"/>
              <w:jc w:val="right"/>
              <w:rPr>
                <w:i/>
                <w:sz w:val="14"/>
                <w:lang w:val="fr-FR"/>
              </w:rPr>
            </w:pPr>
            <w:r>
              <w:rPr>
                <w:i/>
                <w:sz w:val="14"/>
                <w:lang w:val="fr-FR"/>
              </w:rPr>
              <w:t>Emtretien</w:t>
            </w:r>
          </w:p>
        </w:tc>
        <w:tc>
          <w:tcPr>
            <w:tcW w:w="1158" w:type="dxa"/>
            <w:tcBorders>
              <w:top w:val="single" w:sz="4" w:space="0" w:color="auto"/>
              <w:bottom w:val="single" w:sz="12" w:space="0" w:color="auto"/>
            </w:tcBorders>
            <w:shd w:val="clear" w:color="auto" w:fill="auto"/>
            <w:vAlign w:val="bottom"/>
          </w:tcPr>
          <w:p w:rsidR="003F4A03" w:rsidRPr="003F4A03" w:rsidRDefault="003F4A03" w:rsidP="003F4A03">
            <w:pPr>
              <w:suppressAutoHyphens/>
              <w:spacing w:before="80" w:after="80" w:line="160" w:lineRule="exact"/>
              <w:ind w:right="43"/>
              <w:jc w:val="right"/>
              <w:rPr>
                <w:i/>
                <w:sz w:val="14"/>
                <w:lang w:val="fr-FR"/>
              </w:rPr>
            </w:pPr>
            <w:r>
              <w:rPr>
                <w:i/>
                <w:sz w:val="14"/>
                <w:lang w:val="fr-FR"/>
              </w:rPr>
              <w:t>Agriculture</w:t>
            </w:r>
          </w:p>
        </w:tc>
      </w:tr>
      <w:tr w:rsidR="003F4A03" w:rsidRPr="003F4A03">
        <w:trPr>
          <w:trHeight w:hRule="exact" w:val="115"/>
          <w:tblHeader/>
        </w:trPr>
        <w:tc>
          <w:tcPr>
            <w:tcW w:w="1170" w:type="dxa"/>
            <w:tcBorders>
              <w:top w:val="single" w:sz="12" w:space="0" w:color="auto"/>
            </w:tcBorders>
            <w:shd w:val="clear" w:color="auto" w:fill="auto"/>
            <w:vAlign w:val="bottom"/>
          </w:tcPr>
          <w:p w:rsidR="003F4A03" w:rsidRPr="003F4A03" w:rsidRDefault="003F4A03" w:rsidP="003F4A03">
            <w:pPr>
              <w:suppressAutoHyphens/>
              <w:spacing w:before="40" w:after="40" w:line="210" w:lineRule="exact"/>
              <w:ind w:right="43"/>
              <w:rPr>
                <w:sz w:val="17"/>
                <w:lang w:val="fr-FR"/>
              </w:rPr>
            </w:pPr>
          </w:p>
        </w:tc>
        <w:tc>
          <w:tcPr>
            <w:tcW w:w="1157" w:type="dxa"/>
            <w:tcBorders>
              <w:top w:val="single" w:sz="12" w:space="0" w:color="auto"/>
            </w:tcBorders>
            <w:shd w:val="clear" w:color="auto" w:fill="auto"/>
            <w:vAlign w:val="bottom"/>
          </w:tcPr>
          <w:p w:rsidR="003F4A03" w:rsidRPr="003F4A03" w:rsidRDefault="003F4A03" w:rsidP="003F4A03">
            <w:pPr>
              <w:suppressAutoHyphens/>
              <w:spacing w:before="40" w:after="40" w:line="210" w:lineRule="exact"/>
              <w:ind w:right="43"/>
              <w:rPr>
                <w:sz w:val="17"/>
                <w:lang w:val="fr-FR"/>
              </w:rPr>
            </w:pPr>
          </w:p>
        </w:tc>
        <w:tc>
          <w:tcPr>
            <w:tcW w:w="1157" w:type="dxa"/>
            <w:tcBorders>
              <w:top w:val="single" w:sz="12" w:space="0" w:color="auto"/>
            </w:tcBorders>
            <w:shd w:val="clear" w:color="auto" w:fill="auto"/>
            <w:vAlign w:val="bottom"/>
          </w:tcPr>
          <w:p w:rsidR="003F4A03" w:rsidRPr="003F4A03" w:rsidRDefault="003F4A03" w:rsidP="003F4A03">
            <w:pPr>
              <w:suppressAutoHyphens/>
              <w:spacing w:before="40" w:after="40" w:line="210" w:lineRule="exact"/>
              <w:ind w:right="43"/>
              <w:rPr>
                <w:sz w:val="17"/>
                <w:lang w:val="fr-FR"/>
              </w:rPr>
            </w:pPr>
          </w:p>
        </w:tc>
        <w:tc>
          <w:tcPr>
            <w:tcW w:w="1157" w:type="dxa"/>
            <w:tcBorders>
              <w:top w:val="single" w:sz="12" w:space="0" w:color="auto"/>
            </w:tcBorders>
            <w:shd w:val="clear" w:color="auto" w:fill="auto"/>
            <w:vAlign w:val="bottom"/>
          </w:tcPr>
          <w:p w:rsidR="003F4A03" w:rsidRPr="003F4A03" w:rsidRDefault="003F4A03" w:rsidP="003F4A03">
            <w:pPr>
              <w:suppressAutoHyphens/>
              <w:spacing w:before="40" w:after="40" w:line="210" w:lineRule="exact"/>
              <w:ind w:right="43"/>
              <w:rPr>
                <w:sz w:val="17"/>
                <w:lang w:val="fr-FR"/>
              </w:rPr>
            </w:pPr>
          </w:p>
        </w:tc>
        <w:tc>
          <w:tcPr>
            <w:tcW w:w="1157" w:type="dxa"/>
            <w:tcBorders>
              <w:top w:val="single" w:sz="12" w:space="0" w:color="auto"/>
            </w:tcBorders>
            <w:shd w:val="clear" w:color="auto" w:fill="auto"/>
            <w:vAlign w:val="bottom"/>
          </w:tcPr>
          <w:p w:rsidR="003F4A03" w:rsidRPr="003F4A03" w:rsidRDefault="003F4A03" w:rsidP="003F4A03">
            <w:pPr>
              <w:suppressAutoHyphens/>
              <w:spacing w:before="40" w:after="40" w:line="210" w:lineRule="exact"/>
              <w:ind w:right="43"/>
              <w:rPr>
                <w:sz w:val="17"/>
                <w:lang w:val="fr-FR"/>
              </w:rPr>
            </w:pPr>
          </w:p>
        </w:tc>
        <w:tc>
          <w:tcPr>
            <w:tcW w:w="1157" w:type="dxa"/>
            <w:tcBorders>
              <w:top w:val="single" w:sz="12" w:space="0" w:color="auto"/>
            </w:tcBorders>
            <w:shd w:val="clear" w:color="auto" w:fill="auto"/>
            <w:vAlign w:val="bottom"/>
          </w:tcPr>
          <w:p w:rsidR="003F4A03" w:rsidRPr="003F4A03" w:rsidRDefault="003F4A03" w:rsidP="003F4A03">
            <w:pPr>
              <w:suppressAutoHyphens/>
              <w:spacing w:before="40" w:after="40" w:line="210" w:lineRule="exact"/>
              <w:ind w:right="43"/>
              <w:rPr>
                <w:sz w:val="17"/>
                <w:lang w:val="fr-FR"/>
              </w:rPr>
            </w:pPr>
          </w:p>
        </w:tc>
        <w:tc>
          <w:tcPr>
            <w:tcW w:w="1157" w:type="dxa"/>
            <w:tcBorders>
              <w:top w:val="single" w:sz="12" w:space="0" w:color="auto"/>
            </w:tcBorders>
            <w:shd w:val="clear" w:color="auto" w:fill="auto"/>
            <w:vAlign w:val="bottom"/>
          </w:tcPr>
          <w:p w:rsidR="003F4A03" w:rsidRPr="003F4A03" w:rsidRDefault="003F4A03" w:rsidP="003F4A03">
            <w:pPr>
              <w:suppressAutoHyphens/>
              <w:spacing w:before="40" w:after="40" w:line="210" w:lineRule="exact"/>
              <w:ind w:right="43"/>
              <w:rPr>
                <w:sz w:val="17"/>
                <w:lang w:val="fr-FR"/>
              </w:rPr>
            </w:pPr>
          </w:p>
        </w:tc>
        <w:tc>
          <w:tcPr>
            <w:tcW w:w="1158" w:type="dxa"/>
            <w:tcBorders>
              <w:top w:val="single" w:sz="12" w:space="0" w:color="auto"/>
            </w:tcBorders>
            <w:shd w:val="clear" w:color="auto" w:fill="auto"/>
            <w:vAlign w:val="bottom"/>
          </w:tcPr>
          <w:p w:rsidR="003F4A03" w:rsidRPr="003F4A03" w:rsidRDefault="003F4A03" w:rsidP="003F4A03">
            <w:pPr>
              <w:suppressAutoHyphens/>
              <w:spacing w:before="40" w:after="40" w:line="210" w:lineRule="exact"/>
              <w:ind w:right="43"/>
              <w:rPr>
                <w:sz w:val="17"/>
                <w:lang w:val="fr-FR"/>
              </w:rPr>
            </w:pPr>
          </w:p>
        </w:tc>
      </w:tr>
      <w:tr w:rsidR="003F4A03" w:rsidRPr="003F4A03">
        <w:tc>
          <w:tcPr>
            <w:tcW w:w="1170" w:type="dxa"/>
            <w:shd w:val="clear" w:color="auto" w:fill="auto"/>
            <w:vAlign w:val="bottom"/>
          </w:tcPr>
          <w:p w:rsidR="003F4A03" w:rsidRPr="003F4A03" w:rsidRDefault="003F4A03" w:rsidP="003F4A03">
            <w:pPr>
              <w:tabs>
                <w:tab w:val="left" w:pos="288"/>
                <w:tab w:val="left" w:pos="576"/>
                <w:tab w:val="left" w:pos="864"/>
                <w:tab w:val="left" w:pos="1152"/>
              </w:tabs>
              <w:suppressAutoHyphens/>
              <w:spacing w:before="40" w:after="40" w:line="210" w:lineRule="exact"/>
              <w:ind w:right="43"/>
              <w:rPr>
                <w:sz w:val="17"/>
                <w:lang w:val="fr-FR"/>
              </w:rPr>
            </w:pPr>
            <w:r>
              <w:rPr>
                <w:sz w:val="17"/>
                <w:lang w:val="fr-FR"/>
              </w:rPr>
              <w:t>Âge</w:t>
            </w:r>
          </w:p>
        </w:tc>
        <w:tc>
          <w:tcPr>
            <w:tcW w:w="1157" w:type="dxa"/>
            <w:shd w:val="clear" w:color="auto" w:fill="auto"/>
            <w:vAlign w:val="bottom"/>
          </w:tcPr>
          <w:p w:rsidR="003F4A03" w:rsidRPr="003F4A03" w:rsidRDefault="003F4A03" w:rsidP="003F4A03">
            <w:pPr>
              <w:tabs>
                <w:tab w:val="left" w:pos="288"/>
                <w:tab w:val="left" w:pos="576"/>
                <w:tab w:val="left" w:pos="864"/>
                <w:tab w:val="left" w:pos="1152"/>
              </w:tabs>
              <w:suppressAutoHyphens/>
              <w:spacing w:before="40" w:after="40" w:line="210" w:lineRule="exact"/>
              <w:ind w:right="43"/>
              <w:rPr>
                <w:sz w:val="17"/>
                <w:lang w:val="fr-FR"/>
              </w:rPr>
            </w:pPr>
          </w:p>
        </w:tc>
        <w:tc>
          <w:tcPr>
            <w:tcW w:w="1157" w:type="dxa"/>
            <w:shd w:val="clear" w:color="auto" w:fill="auto"/>
            <w:vAlign w:val="bottom"/>
          </w:tcPr>
          <w:p w:rsidR="003F4A03" w:rsidRPr="003F4A03" w:rsidRDefault="003F4A03" w:rsidP="003F4A03">
            <w:pPr>
              <w:tabs>
                <w:tab w:val="left" w:pos="288"/>
                <w:tab w:val="left" w:pos="576"/>
                <w:tab w:val="left" w:pos="864"/>
                <w:tab w:val="left" w:pos="1152"/>
              </w:tabs>
              <w:suppressAutoHyphens/>
              <w:spacing w:before="40" w:after="40" w:line="210" w:lineRule="exact"/>
              <w:ind w:right="43"/>
              <w:rPr>
                <w:sz w:val="17"/>
                <w:lang w:val="fr-FR"/>
              </w:rPr>
            </w:pPr>
          </w:p>
        </w:tc>
        <w:tc>
          <w:tcPr>
            <w:tcW w:w="1157" w:type="dxa"/>
            <w:shd w:val="clear" w:color="auto" w:fill="auto"/>
            <w:vAlign w:val="bottom"/>
          </w:tcPr>
          <w:p w:rsidR="003F4A03" w:rsidRPr="003F4A03" w:rsidRDefault="003F4A03" w:rsidP="003F4A03">
            <w:pPr>
              <w:tabs>
                <w:tab w:val="left" w:pos="288"/>
                <w:tab w:val="left" w:pos="576"/>
                <w:tab w:val="left" w:pos="864"/>
                <w:tab w:val="left" w:pos="1152"/>
              </w:tabs>
              <w:suppressAutoHyphens/>
              <w:spacing w:before="40" w:after="40" w:line="210" w:lineRule="exact"/>
              <w:ind w:right="43"/>
              <w:rPr>
                <w:sz w:val="17"/>
                <w:lang w:val="fr-FR"/>
              </w:rPr>
            </w:pPr>
          </w:p>
        </w:tc>
        <w:tc>
          <w:tcPr>
            <w:tcW w:w="1157" w:type="dxa"/>
            <w:shd w:val="clear" w:color="auto" w:fill="auto"/>
            <w:vAlign w:val="bottom"/>
          </w:tcPr>
          <w:p w:rsidR="003F4A03" w:rsidRPr="003F4A03" w:rsidRDefault="003F4A03" w:rsidP="003F4A03">
            <w:pPr>
              <w:tabs>
                <w:tab w:val="left" w:pos="288"/>
                <w:tab w:val="left" w:pos="576"/>
                <w:tab w:val="left" w:pos="864"/>
                <w:tab w:val="left" w:pos="1152"/>
              </w:tabs>
              <w:suppressAutoHyphens/>
              <w:spacing w:before="40" w:after="40" w:line="210" w:lineRule="exact"/>
              <w:ind w:right="43"/>
              <w:rPr>
                <w:sz w:val="17"/>
                <w:lang w:val="fr-FR"/>
              </w:rPr>
            </w:pPr>
          </w:p>
        </w:tc>
        <w:tc>
          <w:tcPr>
            <w:tcW w:w="1157" w:type="dxa"/>
            <w:shd w:val="clear" w:color="auto" w:fill="auto"/>
            <w:vAlign w:val="bottom"/>
          </w:tcPr>
          <w:p w:rsidR="003F4A03" w:rsidRPr="003F4A03" w:rsidRDefault="003F4A03" w:rsidP="003F4A03">
            <w:pPr>
              <w:tabs>
                <w:tab w:val="left" w:pos="288"/>
                <w:tab w:val="left" w:pos="576"/>
                <w:tab w:val="left" w:pos="864"/>
                <w:tab w:val="left" w:pos="1152"/>
              </w:tabs>
              <w:suppressAutoHyphens/>
              <w:spacing w:before="40" w:after="40" w:line="210" w:lineRule="exact"/>
              <w:ind w:right="43"/>
              <w:rPr>
                <w:sz w:val="17"/>
                <w:lang w:val="fr-FR"/>
              </w:rPr>
            </w:pPr>
          </w:p>
        </w:tc>
        <w:tc>
          <w:tcPr>
            <w:tcW w:w="1157" w:type="dxa"/>
            <w:shd w:val="clear" w:color="auto" w:fill="auto"/>
            <w:vAlign w:val="bottom"/>
          </w:tcPr>
          <w:p w:rsidR="003F4A03" w:rsidRPr="003F4A03" w:rsidRDefault="003F4A03" w:rsidP="003F4A03">
            <w:pPr>
              <w:tabs>
                <w:tab w:val="left" w:pos="288"/>
                <w:tab w:val="left" w:pos="576"/>
                <w:tab w:val="left" w:pos="864"/>
                <w:tab w:val="left" w:pos="1152"/>
              </w:tabs>
              <w:suppressAutoHyphens/>
              <w:spacing w:before="40" w:after="40" w:line="210" w:lineRule="exact"/>
              <w:ind w:right="43"/>
              <w:rPr>
                <w:sz w:val="17"/>
                <w:lang w:val="fr-FR"/>
              </w:rPr>
            </w:pPr>
          </w:p>
        </w:tc>
        <w:tc>
          <w:tcPr>
            <w:tcW w:w="1158" w:type="dxa"/>
            <w:shd w:val="clear" w:color="auto" w:fill="auto"/>
            <w:vAlign w:val="bottom"/>
          </w:tcPr>
          <w:p w:rsidR="003F4A03" w:rsidRPr="003F4A03" w:rsidRDefault="003F4A03" w:rsidP="003F4A03">
            <w:pPr>
              <w:tabs>
                <w:tab w:val="left" w:pos="288"/>
                <w:tab w:val="left" w:pos="576"/>
                <w:tab w:val="left" w:pos="864"/>
                <w:tab w:val="left" w:pos="1152"/>
              </w:tabs>
              <w:suppressAutoHyphens/>
              <w:spacing w:before="40" w:after="40" w:line="210" w:lineRule="exact"/>
              <w:ind w:right="43"/>
              <w:rPr>
                <w:sz w:val="17"/>
                <w:lang w:val="fr-FR"/>
              </w:rPr>
            </w:pPr>
          </w:p>
        </w:tc>
      </w:tr>
      <w:tr w:rsidR="003F4A03" w:rsidRPr="003F4A03">
        <w:tc>
          <w:tcPr>
            <w:tcW w:w="1170"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rPr>
                <w:sz w:val="17"/>
                <w:lang w:val="fr-FR"/>
              </w:rPr>
            </w:pPr>
            <w:r w:rsidRPr="003F4A03">
              <w:rPr>
                <w:sz w:val="17"/>
                <w:lang w:val="fr-FR"/>
              </w:rPr>
              <w:t>15-19</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2,5</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1,7</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53,3</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9,6</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5,5</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4,6</w:t>
            </w:r>
          </w:p>
        </w:tc>
        <w:tc>
          <w:tcPr>
            <w:tcW w:w="1158"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22,8</w:t>
            </w:r>
          </w:p>
        </w:tc>
      </w:tr>
      <w:tr w:rsidR="003F4A03" w:rsidRPr="003F4A03">
        <w:tc>
          <w:tcPr>
            <w:tcW w:w="1170"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rPr>
                <w:sz w:val="17"/>
                <w:lang w:val="fr-FR"/>
              </w:rPr>
            </w:pPr>
            <w:r w:rsidRPr="003F4A03">
              <w:rPr>
                <w:sz w:val="17"/>
                <w:lang w:val="fr-FR"/>
              </w:rPr>
              <w:t>20-24</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7,3</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2,1</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53,8</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13,9</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3,8</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1,5</w:t>
            </w:r>
          </w:p>
        </w:tc>
        <w:tc>
          <w:tcPr>
            <w:tcW w:w="1158"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17,5</w:t>
            </w:r>
          </w:p>
        </w:tc>
      </w:tr>
      <w:tr w:rsidR="003F4A03" w:rsidRPr="003F4A03">
        <w:tc>
          <w:tcPr>
            <w:tcW w:w="1170"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rPr>
                <w:sz w:val="17"/>
                <w:lang w:val="fr-FR"/>
              </w:rPr>
            </w:pPr>
            <w:r w:rsidRPr="003F4A03">
              <w:rPr>
                <w:sz w:val="17"/>
                <w:lang w:val="fr-FR"/>
              </w:rPr>
              <w:t>25-29</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7,7</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1,8</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57,3</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14,6</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2,0</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0,5</w:t>
            </w:r>
          </w:p>
        </w:tc>
        <w:tc>
          <w:tcPr>
            <w:tcW w:w="1158"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16,1</w:t>
            </w:r>
          </w:p>
        </w:tc>
      </w:tr>
      <w:tr w:rsidR="003F4A03" w:rsidRPr="003F4A03">
        <w:tc>
          <w:tcPr>
            <w:tcW w:w="1170"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rPr>
                <w:sz w:val="17"/>
                <w:lang w:val="fr-FR"/>
              </w:rPr>
            </w:pPr>
            <w:r w:rsidRPr="003F4A03">
              <w:rPr>
                <w:sz w:val="17"/>
                <w:lang w:val="fr-FR"/>
              </w:rPr>
              <w:t>30-34</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7,8</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1,7</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56,6</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11,2</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2,1</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1,1</w:t>
            </w:r>
          </w:p>
        </w:tc>
        <w:tc>
          <w:tcPr>
            <w:tcW w:w="1158"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19,6</w:t>
            </w:r>
          </w:p>
        </w:tc>
      </w:tr>
      <w:tr w:rsidR="003F4A03" w:rsidRPr="003F4A03">
        <w:tc>
          <w:tcPr>
            <w:tcW w:w="1170"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rPr>
                <w:sz w:val="17"/>
                <w:lang w:val="fr-FR"/>
              </w:rPr>
            </w:pPr>
            <w:r w:rsidRPr="003F4A03">
              <w:rPr>
                <w:sz w:val="17"/>
                <w:lang w:val="fr-FR"/>
              </w:rPr>
              <w:t>35-39</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9,9</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2,0</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60,7</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6,5</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2,0</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1,1</w:t>
            </w:r>
          </w:p>
        </w:tc>
        <w:tc>
          <w:tcPr>
            <w:tcW w:w="1158"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17,8</w:t>
            </w:r>
          </w:p>
        </w:tc>
      </w:tr>
      <w:tr w:rsidR="003F4A03" w:rsidRPr="003F4A03">
        <w:tc>
          <w:tcPr>
            <w:tcW w:w="1170"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rPr>
                <w:sz w:val="17"/>
                <w:lang w:val="fr-FR"/>
              </w:rPr>
            </w:pPr>
            <w:r w:rsidRPr="003F4A03">
              <w:rPr>
                <w:sz w:val="17"/>
                <w:lang w:val="fr-FR"/>
              </w:rPr>
              <w:t>40-44</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11,2</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1,3</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54,4</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3,0</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1,7</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1,3</w:t>
            </w:r>
          </w:p>
        </w:tc>
        <w:tc>
          <w:tcPr>
            <w:tcW w:w="1158"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26,7</w:t>
            </w:r>
          </w:p>
        </w:tc>
      </w:tr>
      <w:tr w:rsidR="003F4A03" w:rsidRPr="003F4A03">
        <w:tc>
          <w:tcPr>
            <w:tcW w:w="1170"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rPr>
                <w:sz w:val="17"/>
                <w:lang w:val="fr-FR"/>
              </w:rPr>
            </w:pPr>
            <w:r w:rsidRPr="003F4A03">
              <w:rPr>
                <w:sz w:val="17"/>
                <w:lang w:val="fr-FR"/>
              </w:rPr>
              <w:t>45-49</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9,0</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0,5</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55,4</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2,0</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1,8</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0,3</w:t>
            </w:r>
          </w:p>
        </w:tc>
        <w:tc>
          <w:tcPr>
            <w:tcW w:w="1158"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30,9</w:t>
            </w:r>
          </w:p>
        </w:tc>
      </w:tr>
      <w:tr w:rsidR="00E15507" w:rsidRPr="003F4A03">
        <w:tc>
          <w:tcPr>
            <w:tcW w:w="9270" w:type="dxa"/>
            <w:gridSpan w:val="8"/>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rPr>
                <w:sz w:val="17"/>
                <w:lang w:val="fr-FR"/>
              </w:rPr>
            </w:pPr>
            <w:r w:rsidRPr="003F4A03">
              <w:rPr>
                <w:sz w:val="17"/>
                <w:lang w:val="fr-FR"/>
              </w:rPr>
              <w:t>Lieu de résidence</w:t>
            </w:r>
          </w:p>
        </w:tc>
      </w:tr>
      <w:tr w:rsidR="003F4A03" w:rsidRPr="003F4A03">
        <w:tc>
          <w:tcPr>
            <w:tcW w:w="1170"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rPr>
                <w:sz w:val="17"/>
                <w:lang w:val="fr-FR"/>
              </w:rPr>
            </w:pPr>
            <w:r w:rsidRPr="003F4A03">
              <w:rPr>
                <w:sz w:val="17"/>
                <w:lang w:val="fr-FR"/>
              </w:rPr>
              <w:t>Urbain</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13,2</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3,4</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58,0</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13,3</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3,5</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1,6</w:t>
            </w:r>
          </w:p>
        </w:tc>
        <w:tc>
          <w:tcPr>
            <w:tcW w:w="1158"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7,0</w:t>
            </w:r>
          </w:p>
        </w:tc>
      </w:tr>
      <w:tr w:rsidR="003F4A03" w:rsidRPr="003F4A03">
        <w:tc>
          <w:tcPr>
            <w:tcW w:w="1170"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rPr>
                <w:sz w:val="17"/>
                <w:lang w:val="fr-FR"/>
              </w:rPr>
            </w:pPr>
            <w:r w:rsidRPr="003F4A03">
              <w:rPr>
                <w:sz w:val="17"/>
                <w:lang w:val="fr-FR"/>
              </w:rPr>
              <w:t>Rural</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5,1</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0,7</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55,1</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7,5</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2,1</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1,2</w:t>
            </w:r>
          </w:p>
        </w:tc>
        <w:tc>
          <w:tcPr>
            <w:tcW w:w="1158"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28,1</w:t>
            </w:r>
          </w:p>
        </w:tc>
      </w:tr>
      <w:tr w:rsidR="00E15507" w:rsidRPr="003F4A03">
        <w:tc>
          <w:tcPr>
            <w:tcW w:w="9270" w:type="dxa"/>
            <w:gridSpan w:val="8"/>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rPr>
                <w:sz w:val="17"/>
                <w:lang w:val="fr-FR"/>
              </w:rPr>
            </w:pPr>
            <w:r w:rsidRPr="003F4A03">
              <w:rPr>
                <w:sz w:val="17"/>
                <w:lang w:val="fr-FR"/>
              </w:rPr>
              <w:t>Région</w:t>
            </w:r>
          </w:p>
        </w:tc>
      </w:tr>
      <w:tr w:rsidR="003F4A03" w:rsidRPr="003F4A03">
        <w:tc>
          <w:tcPr>
            <w:tcW w:w="1170"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rPr>
                <w:sz w:val="17"/>
                <w:lang w:val="fr-FR"/>
              </w:rPr>
            </w:pPr>
            <w:r w:rsidRPr="003F4A03">
              <w:rPr>
                <w:sz w:val="17"/>
                <w:lang w:val="fr-FR"/>
              </w:rPr>
              <w:t>Nord Centre</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7,0</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0,6</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45,2</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6,5</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2,2</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1,8</w:t>
            </w:r>
          </w:p>
        </w:tc>
        <w:tc>
          <w:tcPr>
            <w:tcW w:w="1158"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36,7</w:t>
            </w:r>
          </w:p>
        </w:tc>
      </w:tr>
      <w:tr w:rsidR="003F4A03" w:rsidRPr="003F4A03">
        <w:tc>
          <w:tcPr>
            <w:tcW w:w="1170"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rPr>
                <w:sz w:val="17"/>
                <w:lang w:val="fr-FR"/>
              </w:rPr>
            </w:pPr>
            <w:r w:rsidRPr="003F4A03">
              <w:rPr>
                <w:sz w:val="17"/>
                <w:lang w:val="fr-FR"/>
              </w:rPr>
              <w:t>Nord-est</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4,6</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1,2</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63,5</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11,4</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1,1</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2,0</w:t>
            </w:r>
          </w:p>
        </w:tc>
        <w:tc>
          <w:tcPr>
            <w:tcW w:w="1158"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16,2</w:t>
            </w:r>
          </w:p>
        </w:tc>
      </w:tr>
      <w:tr w:rsidR="003F4A03" w:rsidRPr="003F4A03">
        <w:tc>
          <w:tcPr>
            <w:tcW w:w="1170"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rPr>
                <w:sz w:val="17"/>
                <w:lang w:val="fr-FR"/>
              </w:rPr>
            </w:pPr>
            <w:r w:rsidRPr="003F4A03">
              <w:rPr>
                <w:sz w:val="17"/>
                <w:lang w:val="fr-FR"/>
              </w:rPr>
              <w:t>Nord-Ouest</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3,3</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0,4</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68,3</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12,9</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4,3</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1,4</w:t>
            </w:r>
          </w:p>
        </w:tc>
        <w:tc>
          <w:tcPr>
            <w:tcW w:w="1158"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9,4</w:t>
            </w:r>
          </w:p>
        </w:tc>
      </w:tr>
      <w:tr w:rsidR="003F4A03" w:rsidRPr="003F4A03">
        <w:tc>
          <w:tcPr>
            <w:tcW w:w="1170"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rPr>
                <w:sz w:val="17"/>
                <w:lang w:val="fr-FR"/>
              </w:rPr>
            </w:pPr>
            <w:r w:rsidRPr="003F4A03">
              <w:rPr>
                <w:sz w:val="17"/>
                <w:lang w:val="fr-FR"/>
              </w:rPr>
              <w:t>Sud-est</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15,2</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3,7</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45,1</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8,1</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2,1</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0,3</w:t>
            </w:r>
          </w:p>
        </w:tc>
        <w:tc>
          <w:tcPr>
            <w:tcW w:w="1158"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25,5</w:t>
            </w:r>
          </w:p>
        </w:tc>
      </w:tr>
      <w:tr w:rsidR="003F4A03" w:rsidRPr="003F4A03">
        <w:tc>
          <w:tcPr>
            <w:tcW w:w="1170"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rPr>
                <w:sz w:val="17"/>
                <w:lang w:val="fr-FR"/>
              </w:rPr>
            </w:pPr>
            <w:r w:rsidRPr="003F4A03">
              <w:rPr>
                <w:sz w:val="17"/>
                <w:lang w:val="fr-FR"/>
              </w:rPr>
              <w:t>Sud-sud</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12,0</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2,9</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42,8</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8,1</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3,3</w:t>
            </w:r>
          </w:p>
        </w:tc>
        <w:tc>
          <w:tcPr>
            <w:tcW w:w="1157"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0,7</w:t>
            </w:r>
          </w:p>
        </w:tc>
        <w:tc>
          <w:tcPr>
            <w:tcW w:w="1158" w:type="dxa"/>
            <w:shd w:val="clear" w:color="auto" w:fill="auto"/>
            <w:vAlign w:val="bottom"/>
          </w:tcPr>
          <w:p w:rsidR="00E15507" w:rsidRPr="003F4A03" w:rsidRDefault="00E15507" w:rsidP="003F4A03">
            <w:pPr>
              <w:tabs>
                <w:tab w:val="left" w:pos="288"/>
                <w:tab w:val="left" w:pos="576"/>
                <w:tab w:val="left" w:pos="864"/>
                <w:tab w:val="left" w:pos="1152"/>
              </w:tabs>
              <w:suppressAutoHyphens/>
              <w:spacing w:before="40" w:after="40" w:line="210" w:lineRule="exact"/>
              <w:ind w:right="43"/>
              <w:jc w:val="right"/>
              <w:rPr>
                <w:sz w:val="17"/>
                <w:lang w:val="fr-FR"/>
              </w:rPr>
            </w:pPr>
            <w:r w:rsidRPr="003F4A03">
              <w:rPr>
                <w:sz w:val="17"/>
                <w:lang w:val="fr-FR"/>
              </w:rPr>
              <w:t>30,0</w:t>
            </w:r>
          </w:p>
        </w:tc>
      </w:tr>
      <w:tr w:rsidR="003F4A03" w:rsidRPr="003F4A03">
        <w:tc>
          <w:tcPr>
            <w:tcW w:w="1170" w:type="dxa"/>
            <w:tcBorders>
              <w:bottom w:val="single" w:sz="4" w:space="0" w:color="auto"/>
            </w:tcBorders>
            <w:shd w:val="clear" w:color="auto" w:fill="auto"/>
            <w:vAlign w:val="bottom"/>
          </w:tcPr>
          <w:p w:rsidR="00E15507" w:rsidRPr="003F4A03" w:rsidRDefault="00E15507" w:rsidP="00EB3EA9">
            <w:pPr>
              <w:tabs>
                <w:tab w:val="left" w:pos="288"/>
                <w:tab w:val="left" w:pos="576"/>
                <w:tab w:val="left" w:pos="864"/>
                <w:tab w:val="left" w:pos="1152"/>
              </w:tabs>
              <w:suppressAutoHyphens/>
              <w:spacing w:before="40" w:after="81" w:line="210" w:lineRule="exact"/>
              <w:ind w:right="43"/>
              <w:rPr>
                <w:sz w:val="17"/>
                <w:lang w:val="fr-FR"/>
              </w:rPr>
            </w:pPr>
            <w:r w:rsidRPr="003F4A03">
              <w:rPr>
                <w:sz w:val="17"/>
                <w:lang w:val="fr-FR"/>
              </w:rPr>
              <w:t>Sud-ouest</w:t>
            </w:r>
          </w:p>
        </w:tc>
        <w:tc>
          <w:tcPr>
            <w:tcW w:w="1157" w:type="dxa"/>
            <w:tcBorders>
              <w:bottom w:val="single" w:sz="4" w:space="0" w:color="auto"/>
            </w:tcBorders>
            <w:shd w:val="clear" w:color="auto" w:fill="auto"/>
            <w:vAlign w:val="bottom"/>
          </w:tcPr>
          <w:p w:rsidR="00E15507" w:rsidRPr="003F4A03" w:rsidRDefault="00E15507" w:rsidP="00EB3EA9">
            <w:pPr>
              <w:tabs>
                <w:tab w:val="left" w:pos="288"/>
                <w:tab w:val="left" w:pos="576"/>
                <w:tab w:val="left" w:pos="864"/>
                <w:tab w:val="left" w:pos="1152"/>
              </w:tabs>
              <w:suppressAutoHyphens/>
              <w:spacing w:before="40" w:after="81" w:line="210" w:lineRule="exact"/>
              <w:ind w:right="43"/>
              <w:jc w:val="right"/>
              <w:rPr>
                <w:sz w:val="17"/>
                <w:lang w:val="fr-FR"/>
              </w:rPr>
            </w:pPr>
            <w:r w:rsidRPr="003F4A03">
              <w:rPr>
                <w:sz w:val="17"/>
                <w:lang w:val="fr-FR"/>
              </w:rPr>
              <w:t>11,5</w:t>
            </w:r>
          </w:p>
        </w:tc>
        <w:tc>
          <w:tcPr>
            <w:tcW w:w="1157" w:type="dxa"/>
            <w:tcBorders>
              <w:bottom w:val="single" w:sz="4" w:space="0" w:color="auto"/>
            </w:tcBorders>
            <w:shd w:val="clear" w:color="auto" w:fill="auto"/>
            <w:vAlign w:val="bottom"/>
          </w:tcPr>
          <w:p w:rsidR="00E15507" w:rsidRPr="003F4A03" w:rsidRDefault="00E15507" w:rsidP="00EB3EA9">
            <w:pPr>
              <w:tabs>
                <w:tab w:val="left" w:pos="288"/>
                <w:tab w:val="left" w:pos="576"/>
                <w:tab w:val="left" w:pos="864"/>
                <w:tab w:val="left" w:pos="1152"/>
              </w:tabs>
              <w:suppressAutoHyphens/>
              <w:spacing w:before="40" w:after="81" w:line="210" w:lineRule="exact"/>
              <w:ind w:right="43"/>
              <w:jc w:val="right"/>
              <w:rPr>
                <w:sz w:val="17"/>
                <w:lang w:val="fr-FR"/>
              </w:rPr>
            </w:pPr>
            <w:r w:rsidRPr="003F4A03">
              <w:rPr>
                <w:sz w:val="17"/>
                <w:lang w:val="fr-FR"/>
              </w:rPr>
              <w:t>2,7</w:t>
            </w:r>
          </w:p>
        </w:tc>
        <w:tc>
          <w:tcPr>
            <w:tcW w:w="1157" w:type="dxa"/>
            <w:tcBorders>
              <w:bottom w:val="single" w:sz="4" w:space="0" w:color="auto"/>
            </w:tcBorders>
            <w:shd w:val="clear" w:color="auto" w:fill="auto"/>
            <w:vAlign w:val="bottom"/>
          </w:tcPr>
          <w:p w:rsidR="00E15507" w:rsidRPr="003F4A03" w:rsidRDefault="00E15507" w:rsidP="00EB3EA9">
            <w:pPr>
              <w:tabs>
                <w:tab w:val="left" w:pos="288"/>
                <w:tab w:val="left" w:pos="576"/>
                <w:tab w:val="left" w:pos="864"/>
                <w:tab w:val="left" w:pos="1152"/>
              </w:tabs>
              <w:suppressAutoHyphens/>
              <w:spacing w:before="40" w:after="81" w:line="210" w:lineRule="exact"/>
              <w:ind w:right="43"/>
              <w:jc w:val="right"/>
              <w:rPr>
                <w:sz w:val="17"/>
                <w:lang w:val="fr-FR"/>
              </w:rPr>
            </w:pPr>
            <w:r w:rsidRPr="003F4A03">
              <w:rPr>
                <w:sz w:val="17"/>
                <w:lang w:val="fr-FR"/>
              </w:rPr>
              <w:t>61,9</w:t>
            </w:r>
          </w:p>
        </w:tc>
        <w:tc>
          <w:tcPr>
            <w:tcW w:w="1157" w:type="dxa"/>
            <w:tcBorders>
              <w:bottom w:val="single" w:sz="4" w:space="0" w:color="auto"/>
            </w:tcBorders>
            <w:shd w:val="clear" w:color="auto" w:fill="auto"/>
            <w:vAlign w:val="bottom"/>
          </w:tcPr>
          <w:p w:rsidR="00E15507" w:rsidRPr="003F4A03" w:rsidRDefault="00E15507" w:rsidP="00EB3EA9">
            <w:pPr>
              <w:tabs>
                <w:tab w:val="left" w:pos="288"/>
                <w:tab w:val="left" w:pos="576"/>
                <w:tab w:val="left" w:pos="864"/>
                <w:tab w:val="left" w:pos="1152"/>
              </w:tabs>
              <w:suppressAutoHyphens/>
              <w:spacing w:before="40" w:after="81" w:line="210" w:lineRule="exact"/>
              <w:ind w:right="43"/>
              <w:jc w:val="right"/>
              <w:rPr>
                <w:sz w:val="17"/>
                <w:lang w:val="fr-FR"/>
              </w:rPr>
            </w:pPr>
            <w:r w:rsidRPr="003F4A03">
              <w:rPr>
                <w:sz w:val="17"/>
                <w:lang w:val="fr-FR"/>
              </w:rPr>
              <w:t>7,8</w:t>
            </w:r>
          </w:p>
        </w:tc>
        <w:tc>
          <w:tcPr>
            <w:tcW w:w="1157" w:type="dxa"/>
            <w:tcBorders>
              <w:bottom w:val="single" w:sz="4" w:space="0" w:color="auto"/>
            </w:tcBorders>
            <w:shd w:val="clear" w:color="auto" w:fill="auto"/>
            <w:vAlign w:val="bottom"/>
          </w:tcPr>
          <w:p w:rsidR="00E15507" w:rsidRPr="003F4A03" w:rsidRDefault="00E15507" w:rsidP="00EB3EA9">
            <w:pPr>
              <w:tabs>
                <w:tab w:val="left" w:pos="288"/>
                <w:tab w:val="left" w:pos="576"/>
                <w:tab w:val="left" w:pos="864"/>
                <w:tab w:val="left" w:pos="1152"/>
              </w:tabs>
              <w:suppressAutoHyphens/>
              <w:spacing w:before="40" w:after="81" w:line="210" w:lineRule="exact"/>
              <w:ind w:right="43"/>
              <w:jc w:val="right"/>
              <w:rPr>
                <w:sz w:val="17"/>
                <w:lang w:val="fr-FR"/>
              </w:rPr>
            </w:pPr>
            <w:r w:rsidRPr="003F4A03">
              <w:rPr>
                <w:sz w:val="17"/>
                <w:lang w:val="fr-FR"/>
              </w:rPr>
              <w:t>1,7</w:t>
            </w:r>
          </w:p>
        </w:tc>
        <w:tc>
          <w:tcPr>
            <w:tcW w:w="1157" w:type="dxa"/>
            <w:tcBorders>
              <w:bottom w:val="single" w:sz="4" w:space="0" w:color="auto"/>
            </w:tcBorders>
            <w:shd w:val="clear" w:color="auto" w:fill="auto"/>
            <w:vAlign w:val="bottom"/>
          </w:tcPr>
          <w:p w:rsidR="00E15507" w:rsidRPr="003F4A03" w:rsidRDefault="00E15507" w:rsidP="00EB3EA9">
            <w:pPr>
              <w:tabs>
                <w:tab w:val="left" w:pos="288"/>
                <w:tab w:val="left" w:pos="576"/>
                <w:tab w:val="left" w:pos="864"/>
                <w:tab w:val="left" w:pos="1152"/>
              </w:tabs>
              <w:suppressAutoHyphens/>
              <w:spacing w:before="40" w:after="81" w:line="210" w:lineRule="exact"/>
              <w:ind w:right="43"/>
              <w:jc w:val="right"/>
              <w:rPr>
                <w:sz w:val="17"/>
                <w:lang w:val="fr-FR"/>
              </w:rPr>
            </w:pPr>
            <w:r w:rsidRPr="003F4A03">
              <w:rPr>
                <w:sz w:val="17"/>
                <w:lang w:val="fr-FR"/>
              </w:rPr>
              <w:t>1,6</w:t>
            </w:r>
          </w:p>
        </w:tc>
        <w:tc>
          <w:tcPr>
            <w:tcW w:w="1158" w:type="dxa"/>
            <w:tcBorders>
              <w:bottom w:val="single" w:sz="4" w:space="0" w:color="auto"/>
            </w:tcBorders>
            <w:shd w:val="clear" w:color="auto" w:fill="auto"/>
            <w:vAlign w:val="bottom"/>
          </w:tcPr>
          <w:p w:rsidR="00E15507" w:rsidRPr="003F4A03" w:rsidRDefault="00E15507" w:rsidP="00EB3EA9">
            <w:pPr>
              <w:tabs>
                <w:tab w:val="left" w:pos="288"/>
                <w:tab w:val="left" w:pos="576"/>
                <w:tab w:val="left" w:pos="864"/>
                <w:tab w:val="left" w:pos="1152"/>
              </w:tabs>
              <w:suppressAutoHyphens/>
              <w:spacing w:before="40" w:after="81" w:line="210" w:lineRule="exact"/>
              <w:ind w:right="43"/>
              <w:jc w:val="right"/>
              <w:rPr>
                <w:sz w:val="17"/>
                <w:lang w:val="fr-FR"/>
              </w:rPr>
            </w:pPr>
            <w:r w:rsidRPr="003F4A03">
              <w:rPr>
                <w:sz w:val="17"/>
                <w:lang w:val="fr-FR"/>
              </w:rPr>
              <w:t>12,7</w:t>
            </w:r>
          </w:p>
        </w:tc>
      </w:tr>
      <w:tr w:rsidR="003F4A03" w:rsidRPr="00EB3EA9">
        <w:tc>
          <w:tcPr>
            <w:tcW w:w="1170" w:type="dxa"/>
            <w:tcBorders>
              <w:top w:val="single" w:sz="4" w:space="0" w:color="auto"/>
              <w:bottom w:val="single" w:sz="12" w:space="0" w:color="auto"/>
            </w:tcBorders>
            <w:shd w:val="clear" w:color="auto" w:fill="auto"/>
            <w:vAlign w:val="bottom"/>
          </w:tcPr>
          <w:p w:rsidR="00E15507" w:rsidRPr="00EB3EA9" w:rsidRDefault="00E15507" w:rsidP="00EB3EA9">
            <w:pPr>
              <w:tabs>
                <w:tab w:val="left" w:pos="288"/>
                <w:tab w:val="left" w:pos="576"/>
                <w:tab w:val="left" w:pos="864"/>
                <w:tab w:val="left" w:pos="1152"/>
              </w:tabs>
              <w:suppressAutoHyphens/>
              <w:spacing w:before="81" w:after="81" w:line="210" w:lineRule="exact"/>
              <w:ind w:right="43"/>
              <w:rPr>
                <w:b/>
                <w:sz w:val="17"/>
                <w:lang w:val="fr-FR"/>
              </w:rPr>
            </w:pPr>
            <w:r w:rsidRPr="00EB3EA9">
              <w:rPr>
                <w:b/>
                <w:sz w:val="17"/>
                <w:lang w:val="fr-FR"/>
              </w:rPr>
              <w:t>Total</w:t>
            </w:r>
          </w:p>
        </w:tc>
        <w:tc>
          <w:tcPr>
            <w:tcW w:w="1157" w:type="dxa"/>
            <w:tcBorders>
              <w:top w:val="single" w:sz="4" w:space="0" w:color="auto"/>
              <w:bottom w:val="single" w:sz="12" w:space="0" w:color="auto"/>
            </w:tcBorders>
            <w:shd w:val="clear" w:color="auto" w:fill="auto"/>
            <w:vAlign w:val="bottom"/>
          </w:tcPr>
          <w:p w:rsidR="00E15507" w:rsidRPr="00EB3EA9" w:rsidRDefault="00E15507" w:rsidP="00EB3EA9">
            <w:pPr>
              <w:tabs>
                <w:tab w:val="left" w:pos="288"/>
                <w:tab w:val="left" w:pos="576"/>
                <w:tab w:val="left" w:pos="864"/>
                <w:tab w:val="left" w:pos="1152"/>
              </w:tabs>
              <w:suppressAutoHyphens/>
              <w:spacing w:before="81" w:after="81" w:line="210" w:lineRule="exact"/>
              <w:ind w:right="43"/>
              <w:jc w:val="right"/>
              <w:rPr>
                <w:b/>
                <w:sz w:val="17"/>
                <w:lang w:val="fr-FR"/>
              </w:rPr>
            </w:pPr>
            <w:r w:rsidRPr="00EB3EA9">
              <w:rPr>
                <w:b/>
                <w:sz w:val="17"/>
                <w:lang w:val="fr-FR"/>
              </w:rPr>
              <w:t>8,0</w:t>
            </w:r>
          </w:p>
        </w:tc>
        <w:tc>
          <w:tcPr>
            <w:tcW w:w="1157" w:type="dxa"/>
            <w:tcBorders>
              <w:top w:val="single" w:sz="4" w:space="0" w:color="auto"/>
              <w:bottom w:val="single" w:sz="12" w:space="0" w:color="auto"/>
            </w:tcBorders>
            <w:shd w:val="clear" w:color="auto" w:fill="auto"/>
            <w:vAlign w:val="bottom"/>
          </w:tcPr>
          <w:p w:rsidR="00E15507" w:rsidRPr="00EB3EA9" w:rsidRDefault="00E15507" w:rsidP="00EB3EA9">
            <w:pPr>
              <w:tabs>
                <w:tab w:val="left" w:pos="288"/>
                <w:tab w:val="left" w:pos="576"/>
                <w:tab w:val="left" w:pos="864"/>
                <w:tab w:val="left" w:pos="1152"/>
              </w:tabs>
              <w:suppressAutoHyphens/>
              <w:spacing w:before="81" w:after="81" w:line="210" w:lineRule="exact"/>
              <w:ind w:right="43"/>
              <w:jc w:val="right"/>
              <w:rPr>
                <w:b/>
                <w:sz w:val="17"/>
                <w:lang w:val="fr-FR"/>
              </w:rPr>
            </w:pPr>
            <w:r w:rsidRPr="00EB3EA9">
              <w:rPr>
                <w:b/>
                <w:sz w:val="17"/>
                <w:lang w:val="fr-FR"/>
              </w:rPr>
              <w:t>1,7</w:t>
            </w:r>
          </w:p>
        </w:tc>
        <w:tc>
          <w:tcPr>
            <w:tcW w:w="1157" w:type="dxa"/>
            <w:tcBorders>
              <w:top w:val="single" w:sz="4" w:space="0" w:color="auto"/>
              <w:bottom w:val="single" w:sz="12" w:space="0" w:color="auto"/>
            </w:tcBorders>
            <w:shd w:val="clear" w:color="auto" w:fill="auto"/>
            <w:vAlign w:val="bottom"/>
          </w:tcPr>
          <w:p w:rsidR="00E15507" w:rsidRPr="00EB3EA9" w:rsidRDefault="00E15507" w:rsidP="00EB3EA9">
            <w:pPr>
              <w:tabs>
                <w:tab w:val="left" w:pos="288"/>
                <w:tab w:val="left" w:pos="576"/>
                <w:tab w:val="left" w:pos="864"/>
                <w:tab w:val="left" w:pos="1152"/>
              </w:tabs>
              <w:suppressAutoHyphens/>
              <w:spacing w:before="81" w:after="81" w:line="210" w:lineRule="exact"/>
              <w:ind w:right="43"/>
              <w:jc w:val="right"/>
              <w:rPr>
                <w:b/>
                <w:sz w:val="17"/>
                <w:lang w:val="fr-FR"/>
              </w:rPr>
            </w:pPr>
            <w:r w:rsidRPr="00EB3EA9">
              <w:rPr>
                <w:b/>
                <w:sz w:val="17"/>
                <w:lang w:val="fr-FR"/>
              </w:rPr>
              <w:t>56,1</w:t>
            </w:r>
          </w:p>
        </w:tc>
        <w:tc>
          <w:tcPr>
            <w:tcW w:w="1157" w:type="dxa"/>
            <w:tcBorders>
              <w:top w:val="single" w:sz="4" w:space="0" w:color="auto"/>
              <w:bottom w:val="single" w:sz="12" w:space="0" w:color="auto"/>
            </w:tcBorders>
            <w:shd w:val="clear" w:color="auto" w:fill="auto"/>
            <w:vAlign w:val="bottom"/>
          </w:tcPr>
          <w:p w:rsidR="00E15507" w:rsidRPr="00EB3EA9" w:rsidRDefault="00E15507" w:rsidP="00EB3EA9">
            <w:pPr>
              <w:tabs>
                <w:tab w:val="left" w:pos="288"/>
                <w:tab w:val="left" w:pos="576"/>
                <w:tab w:val="left" w:pos="864"/>
                <w:tab w:val="left" w:pos="1152"/>
              </w:tabs>
              <w:suppressAutoHyphens/>
              <w:spacing w:before="81" w:after="81" w:line="210" w:lineRule="exact"/>
              <w:ind w:right="43"/>
              <w:jc w:val="right"/>
              <w:rPr>
                <w:b/>
                <w:sz w:val="17"/>
                <w:lang w:val="fr-FR"/>
              </w:rPr>
            </w:pPr>
            <w:r w:rsidRPr="00EB3EA9">
              <w:rPr>
                <w:b/>
                <w:sz w:val="17"/>
                <w:lang w:val="fr-FR"/>
              </w:rPr>
              <w:t>9,5</w:t>
            </w:r>
          </w:p>
        </w:tc>
        <w:tc>
          <w:tcPr>
            <w:tcW w:w="1157" w:type="dxa"/>
            <w:tcBorders>
              <w:top w:val="single" w:sz="4" w:space="0" w:color="auto"/>
              <w:bottom w:val="single" w:sz="12" w:space="0" w:color="auto"/>
            </w:tcBorders>
            <w:shd w:val="clear" w:color="auto" w:fill="auto"/>
            <w:vAlign w:val="bottom"/>
          </w:tcPr>
          <w:p w:rsidR="00E15507" w:rsidRPr="00EB3EA9" w:rsidRDefault="00E15507" w:rsidP="00EB3EA9">
            <w:pPr>
              <w:tabs>
                <w:tab w:val="left" w:pos="288"/>
                <w:tab w:val="left" w:pos="576"/>
                <w:tab w:val="left" w:pos="864"/>
                <w:tab w:val="left" w:pos="1152"/>
              </w:tabs>
              <w:suppressAutoHyphens/>
              <w:spacing w:before="81" w:after="81" w:line="210" w:lineRule="exact"/>
              <w:ind w:right="43"/>
              <w:jc w:val="right"/>
              <w:rPr>
                <w:b/>
                <w:sz w:val="17"/>
                <w:lang w:val="fr-FR"/>
              </w:rPr>
            </w:pPr>
            <w:r w:rsidRPr="00EB3EA9">
              <w:rPr>
                <w:b/>
                <w:sz w:val="17"/>
                <w:lang w:val="fr-FR"/>
              </w:rPr>
              <w:t>2,6</w:t>
            </w:r>
          </w:p>
        </w:tc>
        <w:tc>
          <w:tcPr>
            <w:tcW w:w="1157" w:type="dxa"/>
            <w:tcBorders>
              <w:top w:val="single" w:sz="4" w:space="0" w:color="auto"/>
              <w:bottom w:val="single" w:sz="12" w:space="0" w:color="auto"/>
            </w:tcBorders>
            <w:shd w:val="clear" w:color="auto" w:fill="auto"/>
            <w:vAlign w:val="bottom"/>
          </w:tcPr>
          <w:p w:rsidR="00E15507" w:rsidRPr="00EB3EA9" w:rsidRDefault="00E15507" w:rsidP="00EB3EA9">
            <w:pPr>
              <w:tabs>
                <w:tab w:val="left" w:pos="288"/>
                <w:tab w:val="left" w:pos="576"/>
                <w:tab w:val="left" w:pos="864"/>
                <w:tab w:val="left" w:pos="1152"/>
              </w:tabs>
              <w:suppressAutoHyphens/>
              <w:spacing w:before="81" w:after="81" w:line="210" w:lineRule="exact"/>
              <w:ind w:right="43"/>
              <w:jc w:val="right"/>
              <w:rPr>
                <w:b/>
                <w:sz w:val="17"/>
                <w:lang w:val="fr-FR"/>
              </w:rPr>
            </w:pPr>
            <w:r w:rsidRPr="00EB3EA9">
              <w:rPr>
                <w:b/>
                <w:sz w:val="17"/>
                <w:lang w:val="fr-FR"/>
              </w:rPr>
              <w:t>1,4</w:t>
            </w:r>
          </w:p>
        </w:tc>
        <w:tc>
          <w:tcPr>
            <w:tcW w:w="1158" w:type="dxa"/>
            <w:tcBorders>
              <w:top w:val="single" w:sz="4" w:space="0" w:color="auto"/>
              <w:bottom w:val="single" w:sz="12" w:space="0" w:color="auto"/>
            </w:tcBorders>
            <w:shd w:val="clear" w:color="auto" w:fill="auto"/>
            <w:vAlign w:val="bottom"/>
          </w:tcPr>
          <w:p w:rsidR="00E15507" w:rsidRPr="00EB3EA9" w:rsidRDefault="00E15507" w:rsidP="00EB3EA9">
            <w:pPr>
              <w:tabs>
                <w:tab w:val="left" w:pos="288"/>
                <w:tab w:val="left" w:pos="576"/>
                <w:tab w:val="left" w:pos="864"/>
                <w:tab w:val="left" w:pos="1152"/>
              </w:tabs>
              <w:suppressAutoHyphens/>
              <w:spacing w:before="81" w:after="81" w:line="210" w:lineRule="exact"/>
              <w:ind w:right="43"/>
              <w:jc w:val="right"/>
              <w:rPr>
                <w:b/>
                <w:sz w:val="17"/>
                <w:lang w:val="fr-FR"/>
              </w:rPr>
            </w:pPr>
            <w:r w:rsidRPr="00EB3EA9">
              <w:rPr>
                <w:b/>
                <w:sz w:val="17"/>
                <w:lang w:val="fr-FR"/>
              </w:rPr>
              <w:t>20,6</w:t>
            </w:r>
          </w:p>
        </w:tc>
      </w:tr>
    </w:tbl>
    <w:p w:rsidR="003F4A03" w:rsidRPr="003F4A03" w:rsidRDefault="003F4A03" w:rsidP="003F4A03">
      <w:pPr>
        <w:spacing w:line="120" w:lineRule="exact"/>
        <w:rPr>
          <w:sz w:val="10"/>
          <w:szCs w:val="24"/>
          <w:lang w:val="fr-FR"/>
        </w:rPr>
      </w:pPr>
    </w:p>
    <w:p w:rsidR="00E15507" w:rsidRPr="003F4A03" w:rsidRDefault="00E15507" w:rsidP="00E15507">
      <w:pPr>
        <w:spacing w:line="480" w:lineRule="auto"/>
        <w:rPr>
          <w:sz w:val="17"/>
          <w:szCs w:val="17"/>
          <w:lang w:val="fr-FR"/>
        </w:rPr>
      </w:pPr>
      <w:r w:rsidRPr="003F4A03">
        <w:rPr>
          <w:sz w:val="17"/>
          <w:szCs w:val="17"/>
          <w:lang w:val="fr-FR"/>
        </w:rPr>
        <w:t>Enquête démographique et de santé, 2003</w:t>
      </w:r>
    </w:p>
    <w:p w:rsidR="00E15507" w:rsidRDefault="00711E21" w:rsidP="00711E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rPr>
          <w:b w:val="0"/>
          <w:lang w:val="fr-FR"/>
        </w:rPr>
      </w:pPr>
      <w:r>
        <w:rPr>
          <w:bCs/>
          <w:lang w:val="fr-FR"/>
        </w:rPr>
        <w:tab/>
      </w:r>
      <w:r w:rsidR="00E15507" w:rsidRPr="005D6CD4">
        <w:rPr>
          <w:bCs/>
          <w:lang w:val="fr-FR"/>
        </w:rPr>
        <w:t>11.5</w:t>
      </w:r>
      <w:r w:rsidR="003F4A03">
        <w:rPr>
          <w:lang w:val="fr-FR"/>
        </w:rPr>
        <w:tab/>
      </w:r>
      <w:r w:rsidR="00E15507" w:rsidRPr="00711E21">
        <w:rPr>
          <w:b w:val="0"/>
          <w:lang w:val="fr-FR"/>
        </w:rPr>
        <w:t>Le niveau de chômage des femmes est élevé. Selon le NDHS 2003, le pourcentage d</w:t>
      </w:r>
      <w:r w:rsidR="000A3D87">
        <w:rPr>
          <w:b w:val="0"/>
          <w:lang w:val="fr-FR"/>
        </w:rPr>
        <w:t>’</w:t>
      </w:r>
      <w:r w:rsidR="00E15507" w:rsidRPr="00711E21">
        <w:rPr>
          <w:b w:val="0"/>
          <w:lang w:val="fr-FR"/>
        </w:rPr>
        <w:t>hommes qui travaillaient pendant la période de l</w:t>
      </w:r>
      <w:r w:rsidR="000A3D87">
        <w:rPr>
          <w:b w:val="0"/>
          <w:lang w:val="fr-FR"/>
        </w:rPr>
        <w:t>’</w:t>
      </w:r>
      <w:r w:rsidR="00E15507" w:rsidRPr="00711E21">
        <w:rPr>
          <w:b w:val="0"/>
          <w:lang w:val="fr-FR"/>
        </w:rPr>
        <w:t>enquête était de 70 % contre seulement 56 % chez les femmes. Au cours de la même période, 29 % des hommes étaient au chômage contre 44 % des femmes. Le taux de chômage élevé des femmes s</w:t>
      </w:r>
      <w:r w:rsidR="000A3D87">
        <w:rPr>
          <w:b w:val="0"/>
          <w:lang w:val="fr-FR"/>
        </w:rPr>
        <w:t>’</w:t>
      </w:r>
      <w:r w:rsidR="00E15507" w:rsidRPr="00711E21">
        <w:rPr>
          <w:b w:val="0"/>
          <w:lang w:val="fr-FR"/>
        </w:rPr>
        <w:t>explique par les responsabilités familiales, la préférence des employeurs pour les travailleurs de sexe masculin et d</w:t>
      </w:r>
      <w:r w:rsidR="000A3D87">
        <w:rPr>
          <w:b w:val="0"/>
          <w:lang w:val="fr-FR"/>
        </w:rPr>
        <w:t>’</w:t>
      </w:r>
      <w:r w:rsidR="00E15507" w:rsidRPr="00711E21">
        <w:rPr>
          <w:b w:val="0"/>
          <w:lang w:val="fr-FR"/>
        </w:rPr>
        <w:t>autres pratiques discriminatoires qui empêchent les femmes d</w:t>
      </w:r>
      <w:r w:rsidR="000A3D87">
        <w:rPr>
          <w:b w:val="0"/>
          <w:lang w:val="fr-FR"/>
        </w:rPr>
        <w:t>’</w:t>
      </w:r>
      <w:r w:rsidR="00E15507" w:rsidRPr="00711E21">
        <w:rPr>
          <w:b w:val="0"/>
          <w:lang w:val="fr-FR"/>
        </w:rPr>
        <w:t>accéder à des emplois lucratifs.</w:t>
      </w:r>
    </w:p>
    <w:p w:rsidR="00711E21" w:rsidRPr="00711E21" w:rsidRDefault="00711E21" w:rsidP="00711E21">
      <w:pPr>
        <w:pStyle w:val="SingleTxt"/>
        <w:spacing w:after="0" w:line="120" w:lineRule="exact"/>
        <w:rPr>
          <w:sz w:val="10"/>
          <w:lang w:val="fr-FR"/>
        </w:rPr>
      </w:pPr>
    </w:p>
    <w:p w:rsidR="00E15507" w:rsidRDefault="00711E21" w:rsidP="00711E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E15507" w:rsidRPr="005D6CD4">
        <w:rPr>
          <w:lang w:val="fr-FR"/>
        </w:rPr>
        <w:t>11.6</w:t>
      </w:r>
      <w:r>
        <w:rPr>
          <w:lang w:val="fr-FR"/>
        </w:rPr>
        <w:tab/>
      </w:r>
      <w:r w:rsidR="00E15507" w:rsidRPr="005D6CD4">
        <w:rPr>
          <w:lang w:val="fr-FR"/>
        </w:rPr>
        <w:t xml:space="preserve">Efforts de lutte contre le chômage des femmes </w:t>
      </w:r>
      <w:r w:rsidR="00E15507">
        <w:rPr>
          <w:lang w:val="fr-FR"/>
        </w:rPr>
        <w:t xml:space="preserve">imputable </w:t>
      </w:r>
      <w:r w:rsidR="00E15507" w:rsidRPr="005D6CD4">
        <w:rPr>
          <w:lang w:val="fr-FR"/>
        </w:rPr>
        <w:t>à l</w:t>
      </w:r>
      <w:r w:rsidR="000A3D87">
        <w:rPr>
          <w:lang w:val="fr-FR"/>
        </w:rPr>
        <w:t>’</w:t>
      </w:r>
      <w:r w:rsidR="00E15507" w:rsidRPr="005D6CD4">
        <w:rPr>
          <w:lang w:val="fr-FR"/>
        </w:rPr>
        <w:t>éducation des enfants</w:t>
      </w:r>
    </w:p>
    <w:p w:rsidR="00711E21" w:rsidRPr="00711E21" w:rsidRDefault="00711E21" w:rsidP="00711E21">
      <w:pPr>
        <w:pStyle w:val="SingleTxt"/>
        <w:spacing w:after="0" w:line="120" w:lineRule="exact"/>
        <w:rPr>
          <w:sz w:val="10"/>
          <w:lang w:val="fr-FR"/>
        </w:rPr>
      </w:pPr>
    </w:p>
    <w:p w:rsidR="00E15507" w:rsidRPr="005D6CD4" w:rsidRDefault="00711E21" w:rsidP="0012256D">
      <w:pPr>
        <w:pStyle w:val="SingleTxt"/>
        <w:rPr>
          <w:lang w:val="fr-FR"/>
        </w:rPr>
      </w:pPr>
      <w:r>
        <w:rPr>
          <w:lang w:val="fr-FR"/>
        </w:rPr>
        <w:tab/>
      </w:r>
      <w:r w:rsidR="00E15507" w:rsidRPr="005D6CD4">
        <w:rPr>
          <w:lang w:val="fr-FR"/>
        </w:rPr>
        <w:t xml:space="preserve">En général, les responsabilités familiales et </w:t>
      </w:r>
      <w:r w:rsidR="00E15507">
        <w:rPr>
          <w:lang w:val="fr-FR"/>
        </w:rPr>
        <w:t>plus particulièrement l</w:t>
      </w:r>
      <w:r w:rsidR="000A3D87">
        <w:rPr>
          <w:lang w:val="fr-FR"/>
        </w:rPr>
        <w:t>’</w:t>
      </w:r>
      <w:r w:rsidR="00E15507">
        <w:rPr>
          <w:lang w:val="fr-FR"/>
        </w:rPr>
        <w:t xml:space="preserve">éducation des enfants, </w:t>
      </w:r>
      <w:r w:rsidR="00E15507" w:rsidRPr="005D6CD4">
        <w:rPr>
          <w:lang w:val="fr-FR"/>
        </w:rPr>
        <w:t xml:space="preserve">constituent des obstacles </w:t>
      </w:r>
      <w:r w:rsidR="00E15507">
        <w:rPr>
          <w:lang w:val="fr-FR"/>
        </w:rPr>
        <w:t xml:space="preserve">de taille </w:t>
      </w:r>
      <w:r w:rsidR="00E15507" w:rsidRPr="005D6CD4">
        <w:rPr>
          <w:lang w:val="fr-FR"/>
        </w:rPr>
        <w:t>à l</w:t>
      </w:r>
      <w:r w:rsidR="000A3D87">
        <w:rPr>
          <w:lang w:val="fr-FR"/>
        </w:rPr>
        <w:t>’</w:t>
      </w:r>
      <w:r w:rsidR="00E15507" w:rsidRPr="005D6CD4">
        <w:rPr>
          <w:lang w:val="fr-FR"/>
        </w:rPr>
        <w:t xml:space="preserve">activité des femmes au Nigéria. </w:t>
      </w:r>
      <w:r w:rsidR="00E15507">
        <w:rPr>
          <w:lang w:val="fr-FR"/>
        </w:rPr>
        <w:t xml:space="preserve">De nombreuses </w:t>
      </w:r>
      <w:r w:rsidR="00E15507" w:rsidRPr="005D6CD4">
        <w:rPr>
          <w:lang w:val="fr-FR"/>
        </w:rPr>
        <w:t xml:space="preserve"> femmes mariées ne cherchent pas un emploi dans le secteur structuré à cause de ces responsabilités. La majorité de celles qui démissionnent de leur poste le font en vue de consacrer plus de temps à leurs familles. C</w:t>
      </w:r>
      <w:r w:rsidR="000A3D87">
        <w:rPr>
          <w:lang w:val="fr-FR"/>
        </w:rPr>
        <w:t>’</w:t>
      </w:r>
      <w:r w:rsidR="00E15507" w:rsidRPr="005D6CD4">
        <w:rPr>
          <w:lang w:val="fr-FR"/>
        </w:rPr>
        <w:t>est l</w:t>
      </w:r>
      <w:r w:rsidR="000A3D87">
        <w:rPr>
          <w:lang w:val="fr-FR"/>
        </w:rPr>
        <w:t>’</w:t>
      </w:r>
      <w:r w:rsidR="00E15507" w:rsidRPr="005D6CD4">
        <w:rPr>
          <w:lang w:val="fr-FR"/>
        </w:rPr>
        <w:t>un des facteurs du taux de chômage élevé des femmes nigérianes, ce qui contribue à l</w:t>
      </w:r>
      <w:r w:rsidR="00E15507">
        <w:rPr>
          <w:lang w:val="fr-FR"/>
        </w:rPr>
        <w:t xml:space="preserve">a médiocrité de leur </w:t>
      </w:r>
      <w:r w:rsidR="00E15507" w:rsidRPr="005D6CD4">
        <w:rPr>
          <w:lang w:val="fr-FR"/>
        </w:rPr>
        <w:t>situation économique et limite leur participation à la vie politique et publique.</w:t>
      </w:r>
    </w:p>
    <w:p w:rsidR="00E15507" w:rsidRPr="005D6CD4" w:rsidRDefault="00711E21" w:rsidP="0012256D">
      <w:pPr>
        <w:pStyle w:val="SingleTxt"/>
        <w:rPr>
          <w:lang w:val="fr-FR"/>
        </w:rPr>
      </w:pPr>
      <w:r>
        <w:rPr>
          <w:lang w:val="fr-FR"/>
        </w:rPr>
        <w:tab/>
      </w:r>
      <w:r w:rsidR="00E15507">
        <w:rPr>
          <w:lang w:val="fr-FR"/>
        </w:rPr>
        <w:t>À</w:t>
      </w:r>
      <w:r w:rsidR="00E15507" w:rsidRPr="005D6CD4">
        <w:rPr>
          <w:lang w:val="fr-FR"/>
        </w:rPr>
        <w:t xml:space="preserve"> cet égard, les administrations locales, des </w:t>
      </w:r>
      <w:r w:rsidR="00E15507">
        <w:rPr>
          <w:lang w:val="fr-FR"/>
        </w:rPr>
        <w:t>É</w:t>
      </w:r>
      <w:r w:rsidR="00E15507" w:rsidRPr="005D6CD4">
        <w:rPr>
          <w:lang w:val="fr-FR"/>
        </w:rPr>
        <w:t>tats et de la Fédération font des efforts concertés en vue d</w:t>
      </w:r>
      <w:r w:rsidR="000A3D87">
        <w:rPr>
          <w:lang w:val="fr-FR"/>
        </w:rPr>
        <w:t>’</w:t>
      </w:r>
      <w:r w:rsidR="00E15507" w:rsidRPr="005D6CD4">
        <w:rPr>
          <w:lang w:val="fr-FR"/>
        </w:rPr>
        <w:t>améliorer l</w:t>
      </w:r>
      <w:r w:rsidR="000A3D87">
        <w:rPr>
          <w:lang w:val="fr-FR"/>
        </w:rPr>
        <w:t>’</w:t>
      </w:r>
      <w:r w:rsidR="00E15507" w:rsidRPr="005D6CD4">
        <w:rPr>
          <w:lang w:val="fr-FR"/>
        </w:rPr>
        <w:t>accès des femmes à l</w:t>
      </w:r>
      <w:r w:rsidR="000A3D87">
        <w:rPr>
          <w:lang w:val="fr-FR"/>
        </w:rPr>
        <w:t>’</w:t>
      </w:r>
      <w:r w:rsidR="00E15507" w:rsidRPr="005D6CD4">
        <w:rPr>
          <w:lang w:val="fr-FR"/>
        </w:rPr>
        <w:t xml:space="preserve">emploi et à </w:t>
      </w:r>
      <w:r w:rsidR="00E15507">
        <w:rPr>
          <w:lang w:val="fr-FR"/>
        </w:rPr>
        <w:t>des</w:t>
      </w:r>
      <w:r w:rsidR="00E15507" w:rsidRPr="005D6CD4">
        <w:rPr>
          <w:lang w:val="fr-FR"/>
        </w:rPr>
        <w:t xml:space="preserve"> moyen</w:t>
      </w:r>
      <w:r w:rsidR="00E15507">
        <w:rPr>
          <w:lang w:val="fr-FR"/>
        </w:rPr>
        <w:t>s</w:t>
      </w:r>
      <w:r w:rsidR="00E15507" w:rsidRPr="005D6CD4">
        <w:rPr>
          <w:lang w:val="fr-FR"/>
        </w:rPr>
        <w:t xml:space="preserve"> de subsistance garanti</w:t>
      </w:r>
      <w:r w:rsidR="00E15507">
        <w:rPr>
          <w:lang w:val="fr-FR"/>
        </w:rPr>
        <w:t>s</w:t>
      </w:r>
      <w:r w:rsidR="00E15507" w:rsidRPr="005D6CD4">
        <w:rPr>
          <w:lang w:val="fr-FR"/>
        </w:rPr>
        <w:t xml:space="preserve">. La majorité des administrations locales et des </w:t>
      </w:r>
      <w:r w:rsidR="00E15507">
        <w:rPr>
          <w:lang w:val="fr-FR"/>
        </w:rPr>
        <w:t>É</w:t>
      </w:r>
      <w:r w:rsidR="00E15507" w:rsidRPr="005D6CD4">
        <w:rPr>
          <w:lang w:val="fr-FR"/>
        </w:rPr>
        <w:t>tats créent des centres de promotion de la femme et des programmes de microcrédit orientés spécifiquement vers les femmes. Comme exemples de ce type de programmes, on peut citer l</w:t>
      </w:r>
      <w:r w:rsidR="00E15507">
        <w:rPr>
          <w:lang w:val="fr-FR"/>
        </w:rPr>
        <w:t>e</w:t>
      </w:r>
      <w:r w:rsidR="00E15507" w:rsidRPr="005D6CD4">
        <w:rPr>
          <w:lang w:val="fr-FR"/>
        </w:rPr>
        <w:t xml:space="preserve"> Women Fund for Economic Development (WOFEE) destinée aux femmes qui gèrent des microentreprises et l</w:t>
      </w:r>
      <w:r w:rsidR="00E15507">
        <w:rPr>
          <w:lang w:val="fr-FR"/>
        </w:rPr>
        <w:t>e</w:t>
      </w:r>
      <w:r w:rsidR="00E15507" w:rsidRPr="005D6CD4">
        <w:rPr>
          <w:lang w:val="fr-FR"/>
        </w:rPr>
        <w:t xml:space="preserve"> Buisness Development Fund for Women (BUDFOW) pour les femmes qui gèrent des moyennes entreprises et actuellement gérés par le </w:t>
      </w:r>
      <w:r w:rsidR="00E15507">
        <w:rPr>
          <w:lang w:val="fr-FR"/>
        </w:rPr>
        <w:t>ministère</w:t>
      </w:r>
      <w:r w:rsidR="00E15507" w:rsidRPr="005D6CD4">
        <w:rPr>
          <w:lang w:val="fr-FR"/>
        </w:rPr>
        <w:t xml:space="preserve"> fédéral de la </w:t>
      </w:r>
      <w:r w:rsidR="00E15507">
        <w:rPr>
          <w:lang w:val="fr-FR"/>
        </w:rPr>
        <w:t>C</w:t>
      </w:r>
      <w:r w:rsidR="00E15507" w:rsidRPr="005D6CD4">
        <w:rPr>
          <w:lang w:val="fr-FR"/>
        </w:rPr>
        <w:t xml:space="preserve">ondition </w:t>
      </w:r>
      <w:r w:rsidR="00E15507">
        <w:rPr>
          <w:lang w:val="fr-FR"/>
        </w:rPr>
        <w:t>de la femme</w:t>
      </w:r>
      <w:r w:rsidR="00E15507" w:rsidRPr="005D6CD4">
        <w:rPr>
          <w:lang w:val="fr-FR"/>
        </w:rPr>
        <w:t>. Dans le cadre d</w:t>
      </w:r>
      <w:r w:rsidR="00E15507">
        <w:rPr>
          <w:lang w:val="fr-FR"/>
        </w:rPr>
        <w:t xml:space="preserve">u </w:t>
      </w:r>
      <w:r w:rsidR="00E15507" w:rsidRPr="005D6CD4">
        <w:rPr>
          <w:lang w:val="fr-FR"/>
        </w:rPr>
        <w:t xml:space="preserve">WOFEE, douze </w:t>
      </w:r>
      <w:r w:rsidR="00E15507">
        <w:rPr>
          <w:lang w:val="fr-FR"/>
        </w:rPr>
        <w:t>É</w:t>
      </w:r>
      <w:r w:rsidR="00E15507" w:rsidRPr="005D6CD4">
        <w:rPr>
          <w:lang w:val="fr-FR"/>
        </w:rPr>
        <w:t>tats ont reçu chacun 6 millions de nairas. Ces fonds sont distribués aux femmes sous forme de prêts concessionnels à 9</w:t>
      </w:r>
      <w:r w:rsidR="00E15507">
        <w:rPr>
          <w:lang w:val="fr-FR"/>
        </w:rPr>
        <w:t> </w:t>
      </w:r>
      <w:r w:rsidR="00E15507" w:rsidRPr="005D6CD4">
        <w:rPr>
          <w:lang w:val="fr-FR"/>
        </w:rPr>
        <w:t>% d</w:t>
      </w:r>
      <w:r w:rsidR="000A3D87">
        <w:rPr>
          <w:lang w:val="fr-FR"/>
        </w:rPr>
        <w:t>’</w:t>
      </w:r>
      <w:r w:rsidR="00E15507" w:rsidRPr="005D6CD4">
        <w:rPr>
          <w:lang w:val="fr-FR"/>
        </w:rPr>
        <w:t>intérêt contre 12,5</w:t>
      </w:r>
      <w:r w:rsidR="00E15507">
        <w:rPr>
          <w:lang w:val="fr-FR"/>
        </w:rPr>
        <w:t> </w:t>
      </w:r>
      <w:r w:rsidR="00E15507" w:rsidRPr="005D6CD4">
        <w:rPr>
          <w:lang w:val="fr-FR"/>
        </w:rPr>
        <w:t xml:space="preserve">% appliqués par les banques. De plus, les </w:t>
      </w:r>
      <w:r w:rsidR="00E15507">
        <w:rPr>
          <w:lang w:val="fr-FR"/>
        </w:rPr>
        <w:t>É</w:t>
      </w:r>
      <w:r w:rsidR="00E15507" w:rsidRPr="005D6CD4">
        <w:rPr>
          <w:lang w:val="fr-FR"/>
        </w:rPr>
        <w:t>tats qui n</w:t>
      </w:r>
      <w:r w:rsidR="000A3D87">
        <w:rPr>
          <w:lang w:val="fr-FR"/>
        </w:rPr>
        <w:t>’</w:t>
      </w:r>
      <w:r w:rsidR="00E15507" w:rsidRPr="005D6CD4">
        <w:rPr>
          <w:lang w:val="fr-FR"/>
        </w:rPr>
        <w:t>ont pas bénéficié de ces fonds WOFEE ont reçu des machines agricoles à distribuer aux femmes dans le cadre du programme BUDFOW. Ce processus est encore en cours.</w:t>
      </w:r>
      <w:r w:rsidR="00E15507">
        <w:rPr>
          <w:lang w:val="fr-FR"/>
        </w:rPr>
        <w:t xml:space="preserve"> </w:t>
      </w:r>
    </w:p>
    <w:p w:rsidR="00E15507" w:rsidRDefault="00711E21" w:rsidP="0012256D">
      <w:pPr>
        <w:pStyle w:val="SingleTxt"/>
        <w:rPr>
          <w:lang w:val="fr-FR"/>
        </w:rPr>
      </w:pPr>
      <w:r>
        <w:rPr>
          <w:lang w:val="fr-FR"/>
        </w:rPr>
        <w:tab/>
      </w:r>
      <w:r w:rsidR="00E15507" w:rsidRPr="005D6CD4">
        <w:rPr>
          <w:lang w:val="fr-FR"/>
        </w:rPr>
        <w:t>Il existe actuellement une facilité agricole dotée de 500 millions de nairas (3</w:t>
      </w:r>
      <w:r w:rsidR="00E15507">
        <w:rPr>
          <w:lang w:val="fr-FR"/>
        </w:rPr>
        <w:t> </w:t>
      </w:r>
      <w:r w:rsidR="00E15507" w:rsidRPr="005D6CD4">
        <w:rPr>
          <w:lang w:val="fr-FR"/>
        </w:rPr>
        <w:t>846</w:t>
      </w:r>
      <w:r w:rsidR="00E15507">
        <w:rPr>
          <w:lang w:val="fr-FR"/>
        </w:rPr>
        <w:t> </w:t>
      </w:r>
      <w:r w:rsidR="00E15507" w:rsidRPr="005D6CD4">
        <w:rPr>
          <w:lang w:val="fr-FR"/>
        </w:rPr>
        <w:t>154 dollars) réservée aux femmes engagées dans la production et la transformation des produits agricoles. Le Programme national d</w:t>
      </w:r>
      <w:r w:rsidR="000A3D87">
        <w:rPr>
          <w:lang w:val="fr-FR"/>
        </w:rPr>
        <w:t>’</w:t>
      </w:r>
      <w:r w:rsidR="00E15507" w:rsidRPr="005D6CD4">
        <w:rPr>
          <w:lang w:val="fr-FR"/>
        </w:rPr>
        <w:t>éradication de la pauvreté et le programme de la Direction nationale de l</w:t>
      </w:r>
      <w:r w:rsidR="000A3D87">
        <w:rPr>
          <w:lang w:val="fr-FR"/>
        </w:rPr>
        <w:t>’</w:t>
      </w:r>
      <w:r w:rsidR="00E15507" w:rsidRPr="005D6CD4">
        <w:rPr>
          <w:lang w:val="fr-FR"/>
        </w:rPr>
        <w:t xml:space="preserve">emploi aux niveaux local, national et des </w:t>
      </w:r>
      <w:r w:rsidR="00E15507">
        <w:rPr>
          <w:lang w:val="fr-FR"/>
        </w:rPr>
        <w:t>É</w:t>
      </w:r>
      <w:r w:rsidR="00E15507" w:rsidRPr="005D6CD4">
        <w:rPr>
          <w:lang w:val="fr-FR"/>
        </w:rPr>
        <w:t>tats, ont pris des dispositions spéciales pour les femmes en matière d</w:t>
      </w:r>
      <w:r w:rsidR="000A3D87">
        <w:rPr>
          <w:lang w:val="fr-FR"/>
        </w:rPr>
        <w:t>’</w:t>
      </w:r>
      <w:r w:rsidR="00E15507" w:rsidRPr="005D6CD4">
        <w:rPr>
          <w:lang w:val="fr-FR"/>
        </w:rPr>
        <w:t xml:space="preserve">emploi et de réduction de la pauvreté. </w:t>
      </w:r>
    </w:p>
    <w:p w:rsidR="00711E21" w:rsidRPr="00711E21" w:rsidRDefault="00711E21" w:rsidP="00711E21">
      <w:pPr>
        <w:pStyle w:val="SingleTxt"/>
        <w:spacing w:after="0" w:line="120" w:lineRule="exact"/>
        <w:rPr>
          <w:sz w:val="10"/>
          <w:lang w:val="fr-FR"/>
        </w:rPr>
      </w:pPr>
    </w:p>
    <w:p w:rsidR="00711E21" w:rsidRDefault="00711E21" w:rsidP="00711E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rPr>
          <w:b w:val="0"/>
          <w:lang w:val="fr-FR"/>
        </w:rPr>
      </w:pPr>
      <w:r>
        <w:rPr>
          <w:lang w:val="fr-FR"/>
        </w:rPr>
        <w:tab/>
        <w:t>11.7</w:t>
      </w:r>
      <w:r>
        <w:rPr>
          <w:lang w:val="fr-FR"/>
        </w:rPr>
        <w:tab/>
      </w:r>
      <w:r w:rsidR="00E15507" w:rsidRPr="00711E21">
        <w:rPr>
          <w:b w:val="0"/>
          <w:lang w:val="fr-FR"/>
        </w:rPr>
        <w:t>Il subsiste encore des cas d</w:t>
      </w:r>
      <w:r w:rsidR="000A3D87">
        <w:rPr>
          <w:b w:val="0"/>
          <w:lang w:val="fr-FR"/>
        </w:rPr>
        <w:t>’</w:t>
      </w:r>
      <w:r w:rsidR="00E15507" w:rsidRPr="00711E21">
        <w:rPr>
          <w:b w:val="0"/>
          <w:lang w:val="fr-FR"/>
        </w:rPr>
        <w:t>exclusion sociale et de discrimination à l</w:t>
      </w:r>
      <w:r w:rsidR="000A3D87">
        <w:rPr>
          <w:b w:val="0"/>
          <w:lang w:val="fr-FR"/>
        </w:rPr>
        <w:t>’</w:t>
      </w:r>
      <w:r w:rsidR="00E15507" w:rsidRPr="00711E21">
        <w:rPr>
          <w:b w:val="0"/>
          <w:lang w:val="fr-FR"/>
        </w:rPr>
        <w:t>égard des femmes dans l</w:t>
      </w:r>
      <w:r w:rsidR="000A3D87">
        <w:rPr>
          <w:b w:val="0"/>
          <w:lang w:val="fr-FR"/>
        </w:rPr>
        <w:t>’</w:t>
      </w:r>
      <w:r w:rsidR="00E15507" w:rsidRPr="00711E21">
        <w:rPr>
          <w:b w:val="0"/>
          <w:lang w:val="fr-FR"/>
        </w:rPr>
        <w:t>emploi, la participation à la vie politique et aux structures de gouvernance. Les femmes se retrouvent encore en majorité dans les secteurs non structurés plutôt que dans des emplois techniques, de direction et spécialisés. Bien qu</w:t>
      </w:r>
      <w:r w:rsidR="000A3D87">
        <w:rPr>
          <w:b w:val="0"/>
          <w:lang w:val="fr-FR"/>
        </w:rPr>
        <w:t>’</w:t>
      </w:r>
      <w:r w:rsidR="00E15507" w:rsidRPr="00711E21">
        <w:rPr>
          <w:b w:val="0"/>
          <w:lang w:val="fr-FR"/>
        </w:rPr>
        <w:t>elles représentent 49,52 % de la population, elles ne sont pas suffisamment représentées dans les services tant dans le secteur public que privé.</w:t>
      </w:r>
    </w:p>
    <w:p w:rsidR="00711E21" w:rsidRPr="00711E21" w:rsidRDefault="00711E21" w:rsidP="00711E21">
      <w:pPr>
        <w:pStyle w:val="SingleTxt"/>
        <w:spacing w:after="0" w:line="120" w:lineRule="exact"/>
        <w:rPr>
          <w:sz w:val="10"/>
        </w:rPr>
      </w:pPr>
    </w:p>
    <w:p w:rsidR="00E15507" w:rsidRPr="005D6CD4" w:rsidRDefault="00711E21" w:rsidP="0012256D">
      <w:pPr>
        <w:pStyle w:val="SingleTxt"/>
        <w:rPr>
          <w:lang w:val="fr-FR"/>
        </w:rPr>
      </w:pPr>
      <w:r>
        <w:rPr>
          <w:lang w:val="fr-FR"/>
        </w:rPr>
        <w:tab/>
      </w:r>
      <w:r w:rsidR="00E15507" w:rsidRPr="005D6CD4">
        <w:rPr>
          <w:lang w:val="fr-FR"/>
        </w:rPr>
        <w:t xml:space="preserve">Toutefois, en guise de solution à ce problème, des programmes ont été élaborés respectivement par les administrations locales, des </w:t>
      </w:r>
      <w:r w:rsidR="00E15507">
        <w:rPr>
          <w:lang w:val="fr-FR"/>
        </w:rPr>
        <w:t>É</w:t>
      </w:r>
      <w:r w:rsidR="00E15507" w:rsidRPr="005D6CD4">
        <w:rPr>
          <w:lang w:val="fr-FR"/>
        </w:rPr>
        <w:t>tats et la Fédération pour relever les défis de développement auxquels le pays est confronté. Les objectifs visés par ces programmes sont de réduire la pauvreté à travers la création d</w:t>
      </w:r>
      <w:r w:rsidR="000A3D87">
        <w:rPr>
          <w:lang w:val="fr-FR"/>
        </w:rPr>
        <w:t>’</w:t>
      </w:r>
      <w:r w:rsidR="00E15507" w:rsidRPr="005D6CD4">
        <w:rPr>
          <w:lang w:val="fr-FR"/>
        </w:rPr>
        <w:t xml:space="preserve">emplois, garantir la sécurité alimentaire, créer et redistribuer </w:t>
      </w:r>
      <w:r w:rsidR="00E15507">
        <w:rPr>
          <w:lang w:val="fr-FR"/>
        </w:rPr>
        <w:t>l</w:t>
      </w:r>
      <w:r w:rsidR="00E15507" w:rsidRPr="005D6CD4">
        <w:rPr>
          <w:lang w:val="fr-FR"/>
        </w:rPr>
        <w:t>es richesses, lutter contre les inégalités et le chômage et promouvoir l</w:t>
      </w:r>
      <w:r w:rsidR="000A3D87">
        <w:rPr>
          <w:lang w:val="fr-FR"/>
        </w:rPr>
        <w:t>’</w:t>
      </w:r>
      <w:r w:rsidR="00E15507" w:rsidRPr="005D6CD4">
        <w:rPr>
          <w:lang w:val="fr-FR"/>
        </w:rPr>
        <w:t>émergence d</w:t>
      </w:r>
      <w:r w:rsidR="000A3D87">
        <w:rPr>
          <w:lang w:val="fr-FR"/>
        </w:rPr>
        <w:t>’</w:t>
      </w:r>
      <w:r w:rsidR="00E15507" w:rsidRPr="005D6CD4">
        <w:rPr>
          <w:lang w:val="fr-FR"/>
        </w:rPr>
        <w:t>une économie tirée par le secteur privé.</w:t>
      </w:r>
    </w:p>
    <w:p w:rsidR="00E15507" w:rsidRDefault="00711E21" w:rsidP="0012256D">
      <w:pPr>
        <w:pStyle w:val="SingleTxt"/>
        <w:rPr>
          <w:lang w:val="fr-FR"/>
        </w:rPr>
      </w:pPr>
      <w:r>
        <w:rPr>
          <w:lang w:val="fr-FR"/>
        </w:rPr>
        <w:tab/>
      </w:r>
      <w:r w:rsidR="00E15507" w:rsidRPr="005D6CD4">
        <w:rPr>
          <w:lang w:val="fr-FR"/>
        </w:rPr>
        <w:t>Les progrès accomplis dans la promotion de la participation des femmes à la vie économique, politique et publique ont été suffisamment détaillés aux articles 7 et 8 du présent rapport.</w:t>
      </w:r>
      <w:r w:rsidR="000A3D87" w:rsidRPr="000A3D87">
        <w:rPr>
          <w:lang w:val="fr-FR"/>
        </w:rPr>
        <w:t xml:space="preserve"> </w:t>
      </w:r>
    </w:p>
    <w:p w:rsidR="00711E21" w:rsidRPr="00711E21" w:rsidRDefault="00711E21" w:rsidP="00711E21">
      <w:pPr>
        <w:pStyle w:val="SingleTxt"/>
        <w:spacing w:after="0" w:line="120" w:lineRule="exact"/>
        <w:rPr>
          <w:sz w:val="10"/>
          <w:lang w:val="fr-FR"/>
        </w:rPr>
      </w:pPr>
    </w:p>
    <w:p w:rsidR="00E15507" w:rsidRDefault="00711E21" w:rsidP="00711E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E15507" w:rsidRPr="005D6CD4">
        <w:rPr>
          <w:lang w:val="fr-FR"/>
        </w:rPr>
        <w:t>11.8</w:t>
      </w:r>
      <w:r w:rsidR="00E15507" w:rsidRPr="005D6CD4">
        <w:rPr>
          <w:lang w:val="fr-FR"/>
        </w:rPr>
        <w:tab/>
        <w:t xml:space="preserve"> La sécurité et la santé des femmes enceintes au travail</w:t>
      </w:r>
    </w:p>
    <w:p w:rsidR="00711E21" w:rsidRPr="00711E21" w:rsidRDefault="00711E21" w:rsidP="00711E21">
      <w:pPr>
        <w:pStyle w:val="SingleTxt"/>
        <w:spacing w:after="0" w:line="120" w:lineRule="exact"/>
        <w:rPr>
          <w:sz w:val="10"/>
          <w:lang w:val="fr-FR"/>
        </w:rPr>
      </w:pPr>
    </w:p>
    <w:p w:rsidR="00E15507" w:rsidRPr="005D6CD4" w:rsidRDefault="00711E21" w:rsidP="0012256D">
      <w:pPr>
        <w:pStyle w:val="SingleTxt"/>
        <w:rPr>
          <w:lang w:val="fr-FR"/>
        </w:rPr>
      </w:pPr>
      <w:r>
        <w:rPr>
          <w:lang w:val="fr-FR"/>
        </w:rPr>
        <w:tab/>
      </w:r>
      <w:r w:rsidR="00E15507" w:rsidRPr="005D6CD4">
        <w:rPr>
          <w:lang w:val="fr-FR"/>
        </w:rPr>
        <w:t xml:space="preserve">Les articles 55 (1) et 56 (1) de la Loi sur le travail, ch. 198 </w:t>
      </w:r>
      <w:r w:rsidR="00E15507">
        <w:rPr>
          <w:lang w:val="fr-FR"/>
        </w:rPr>
        <w:t xml:space="preserve">du </w:t>
      </w:r>
      <w:r>
        <w:rPr>
          <w:lang w:val="fr-FR"/>
        </w:rPr>
        <w:t>R</w:t>
      </w:r>
      <w:r w:rsidR="00E15507">
        <w:rPr>
          <w:lang w:val="fr-FR"/>
        </w:rPr>
        <w:t xml:space="preserve">ecueil </w:t>
      </w:r>
      <w:r w:rsidR="00E15507" w:rsidRPr="005D6CD4">
        <w:rPr>
          <w:lang w:val="fr-FR"/>
        </w:rPr>
        <w:t xml:space="preserve">des Lois de la </w:t>
      </w:r>
      <w:r>
        <w:rPr>
          <w:lang w:val="fr-FR"/>
        </w:rPr>
        <w:t>F</w:t>
      </w:r>
      <w:r w:rsidR="00E15507" w:rsidRPr="005D6CD4">
        <w:rPr>
          <w:lang w:val="fr-FR"/>
        </w:rPr>
        <w:t>édération du Nigéria visent la protection des femmes en interdisant le travail des femmes la nuit ou sous terre. Ces dispositions favorisent les inégalités entre les sexes et la discrimination bien qu</w:t>
      </w:r>
      <w:r w:rsidR="000A3D87">
        <w:rPr>
          <w:lang w:val="fr-FR"/>
        </w:rPr>
        <w:t>’</w:t>
      </w:r>
      <w:r w:rsidR="00E15507" w:rsidRPr="005D6CD4">
        <w:rPr>
          <w:lang w:val="fr-FR"/>
        </w:rPr>
        <w:t xml:space="preserve">elles semblent être protectrices. </w:t>
      </w:r>
    </w:p>
    <w:p w:rsidR="00EB3EA9" w:rsidRDefault="00711E21" w:rsidP="0012256D">
      <w:pPr>
        <w:pStyle w:val="SingleTxt"/>
        <w:rPr>
          <w:lang w:val="fr-FR"/>
        </w:rPr>
      </w:pPr>
      <w:r>
        <w:rPr>
          <w:lang w:val="fr-FR"/>
        </w:rPr>
        <w:tab/>
      </w:r>
      <w:r w:rsidR="00E15507" w:rsidRPr="005D6CD4">
        <w:rPr>
          <w:lang w:val="fr-FR"/>
        </w:rPr>
        <w:t>L</w:t>
      </w:r>
      <w:r w:rsidR="000A3D87">
        <w:rPr>
          <w:lang w:val="fr-FR"/>
        </w:rPr>
        <w:t>’</w:t>
      </w:r>
      <w:r w:rsidR="00E15507" w:rsidRPr="005D6CD4">
        <w:rPr>
          <w:lang w:val="fr-FR"/>
        </w:rPr>
        <w:t>article 54 (1), alinéas (a) à (d) de la Loi sur le travail prévoit assez de mesures protectrices pour les femmes enceintes surtout en matière de sécurité de l</w:t>
      </w:r>
      <w:r w:rsidR="000A3D87">
        <w:rPr>
          <w:lang w:val="fr-FR"/>
        </w:rPr>
        <w:t>’</w:t>
      </w:r>
      <w:r w:rsidR="00E15507" w:rsidRPr="005D6CD4">
        <w:rPr>
          <w:lang w:val="fr-FR"/>
        </w:rPr>
        <w:t xml:space="preserve">emploi. </w:t>
      </w:r>
    </w:p>
    <w:p w:rsidR="00E15507" w:rsidRDefault="00EB3EA9" w:rsidP="0012256D">
      <w:pPr>
        <w:pStyle w:val="SingleTxt"/>
        <w:rPr>
          <w:b/>
          <w:bCs/>
          <w:i/>
          <w:iCs/>
          <w:lang w:val="fr-FR"/>
        </w:rPr>
      </w:pPr>
      <w:r>
        <w:rPr>
          <w:lang w:val="fr-FR"/>
        </w:rPr>
        <w:tab/>
      </w:r>
      <w:r w:rsidR="00E15507" w:rsidRPr="005D6CD4">
        <w:rPr>
          <w:lang w:val="fr-FR"/>
        </w:rPr>
        <w:t>L</w:t>
      </w:r>
      <w:r w:rsidR="000A3D87">
        <w:rPr>
          <w:lang w:val="fr-FR"/>
        </w:rPr>
        <w:t>’</w:t>
      </w:r>
      <w:r w:rsidR="00E15507" w:rsidRPr="005D6CD4">
        <w:rPr>
          <w:lang w:val="fr-FR"/>
        </w:rPr>
        <w:t>article 54 (1), alinéas (a) et (b) dispose que les femmes enceintes ont droit à un congé de maternité d</w:t>
      </w:r>
      <w:r w:rsidR="000A3D87">
        <w:rPr>
          <w:lang w:val="fr-FR"/>
        </w:rPr>
        <w:t>’</w:t>
      </w:r>
      <w:r w:rsidR="00E15507" w:rsidRPr="005D6CD4">
        <w:rPr>
          <w:lang w:val="fr-FR"/>
        </w:rPr>
        <w:t>au moins douze semaines. Elle</w:t>
      </w:r>
      <w:r w:rsidR="00E15507">
        <w:rPr>
          <w:lang w:val="fr-FR"/>
        </w:rPr>
        <w:t>s</w:t>
      </w:r>
      <w:r w:rsidR="00E15507" w:rsidRPr="005D6CD4">
        <w:rPr>
          <w:lang w:val="fr-FR"/>
        </w:rPr>
        <w:t xml:space="preserve"> ont également droit à au moins 50</w:t>
      </w:r>
      <w:r w:rsidR="00E15507">
        <w:rPr>
          <w:lang w:val="fr-FR"/>
        </w:rPr>
        <w:t> </w:t>
      </w:r>
      <w:r w:rsidR="00E15507" w:rsidRPr="005D6CD4">
        <w:rPr>
          <w:lang w:val="fr-FR"/>
        </w:rPr>
        <w:t xml:space="preserve">% de </w:t>
      </w:r>
      <w:r w:rsidR="00E15507">
        <w:rPr>
          <w:lang w:val="fr-FR"/>
        </w:rPr>
        <w:t xml:space="preserve">leur </w:t>
      </w:r>
      <w:r w:rsidR="00E15507" w:rsidRPr="005D6CD4">
        <w:rPr>
          <w:lang w:val="fr-FR"/>
        </w:rPr>
        <w:t xml:space="preserve">salaire/traitement pendant cette période. Toutefois, </w:t>
      </w:r>
      <w:r w:rsidR="00E15507">
        <w:rPr>
          <w:lang w:val="fr-FR"/>
        </w:rPr>
        <w:t>i</w:t>
      </w:r>
      <w:r w:rsidR="00E15507" w:rsidRPr="005D6CD4">
        <w:rPr>
          <w:lang w:val="fr-FR"/>
        </w:rPr>
        <w:t>l faudrait relever que certains employeurs versent l</w:t>
      </w:r>
      <w:r w:rsidR="000A3D87">
        <w:rPr>
          <w:lang w:val="fr-FR"/>
        </w:rPr>
        <w:t>’</w:t>
      </w:r>
      <w:r w:rsidR="00E15507" w:rsidRPr="005D6CD4">
        <w:rPr>
          <w:lang w:val="fr-FR"/>
        </w:rPr>
        <w:t>intégralité du salaire aux femmes bénéficiant d</w:t>
      </w:r>
      <w:r w:rsidR="000A3D87">
        <w:rPr>
          <w:lang w:val="fr-FR"/>
        </w:rPr>
        <w:t>’</w:t>
      </w:r>
      <w:r w:rsidR="00E15507" w:rsidRPr="005D6CD4">
        <w:rPr>
          <w:lang w:val="fr-FR"/>
        </w:rPr>
        <w:t>un congé de maternité. Conformément à ces dispositions de la loi, une juridiction nigériane a décidé que le licenciement d</w:t>
      </w:r>
      <w:r w:rsidR="000A3D87">
        <w:rPr>
          <w:lang w:val="fr-FR"/>
        </w:rPr>
        <w:t>’</w:t>
      </w:r>
      <w:r w:rsidR="00E15507" w:rsidRPr="005D6CD4">
        <w:rPr>
          <w:lang w:val="fr-FR"/>
        </w:rPr>
        <w:t xml:space="preserve">une femme au retour de son congé de maternité équivaut à un licenciement pour cause de grossesse, et revêt donc un caractère illégal. </w:t>
      </w:r>
      <w:r w:rsidR="00E15507" w:rsidRPr="005D6CD4">
        <w:rPr>
          <w:b/>
          <w:bCs/>
          <w:i/>
          <w:iCs/>
          <w:lang w:val="fr-FR"/>
        </w:rPr>
        <w:t xml:space="preserve">(Ajiboye V. Dresser </w:t>
      </w:r>
      <w:r w:rsidR="00E15507">
        <w:rPr>
          <w:b/>
          <w:bCs/>
          <w:i/>
          <w:iCs/>
          <w:lang w:val="fr-FR"/>
        </w:rPr>
        <w:t>Nigeria</w:t>
      </w:r>
      <w:r w:rsidR="00E15507" w:rsidRPr="005D6CD4">
        <w:rPr>
          <w:b/>
          <w:bCs/>
          <w:i/>
          <w:iCs/>
          <w:lang w:val="fr-FR"/>
        </w:rPr>
        <w:t xml:space="preserve"> Limited, 1972, 7 CC HCJ 57). </w:t>
      </w:r>
    </w:p>
    <w:p w:rsidR="00BB7CFC" w:rsidRDefault="00BB7CFC" w:rsidP="0012256D">
      <w:pPr>
        <w:pStyle w:val="SingleTxt"/>
        <w:rPr>
          <w:b/>
          <w:bCs/>
          <w:i/>
          <w:iCs/>
          <w:lang w:val="fr-FR"/>
        </w:rPr>
      </w:pPr>
      <w:r>
        <w:rPr>
          <w:b/>
          <w:bCs/>
          <w:i/>
          <w:iCs/>
          <w:noProof/>
          <w:w w:val="100"/>
          <w:sz w:val="24"/>
          <w:szCs w:val="24"/>
          <w:lang w:val="en-US"/>
        </w:rPr>
        <w:pict>
          <v:shape id="_x0000_s2133" type="#_x0000_t202" style="position:absolute;left:0;text-align:left;margin-left:61.3pt;margin-top:9.1pt;width:369pt;height:243pt;z-index:14">
            <v:textbox>
              <w:txbxContent>
                <w:p w:rsidR="00D32F3D" w:rsidRDefault="00D32F3D">
                  <w:pPr>
                    <w:rPr>
                      <w:b/>
                    </w:rPr>
                  </w:pPr>
                  <w:r w:rsidRPr="00711E21">
                    <w:rPr>
                      <w:b/>
                    </w:rPr>
                    <w:t>Encadré 11.1</w:t>
                  </w:r>
                </w:p>
                <w:p w:rsidR="00D32F3D" w:rsidRPr="00711E21" w:rsidRDefault="00D32F3D" w:rsidP="00711E21">
                  <w:pPr>
                    <w:spacing w:line="120" w:lineRule="exact"/>
                    <w:rPr>
                      <w:b/>
                      <w:sz w:val="10"/>
                    </w:rPr>
                  </w:pPr>
                </w:p>
                <w:p w:rsidR="00D32F3D" w:rsidRDefault="00D32F3D" w:rsidP="00B43003">
                  <w:pPr>
                    <w:numPr>
                      <w:ilvl w:val="0"/>
                      <w:numId w:val="28"/>
                    </w:numPr>
                    <w:rPr>
                      <w:b/>
                      <w:i/>
                    </w:rPr>
                  </w:pPr>
                  <w:r w:rsidRPr="00B43003">
                    <w:rPr>
                      <w:b/>
                      <w:i/>
                    </w:rPr>
                    <w:t>L’entrée accrue des femmes dans diverses catégories professionnelles en raison de l’amélioration de leur niveau d’instruction et de leurs compétences;</w:t>
                  </w:r>
                </w:p>
                <w:p w:rsidR="00D32F3D" w:rsidRPr="00B43003" w:rsidRDefault="00D32F3D" w:rsidP="00B43003">
                  <w:pPr>
                    <w:rPr>
                      <w:b/>
                      <w:i/>
                    </w:rPr>
                  </w:pPr>
                </w:p>
                <w:p w:rsidR="00D32F3D" w:rsidRDefault="00D32F3D" w:rsidP="00B43003">
                  <w:pPr>
                    <w:numPr>
                      <w:ilvl w:val="0"/>
                      <w:numId w:val="28"/>
                    </w:numPr>
                    <w:rPr>
                      <w:b/>
                      <w:i/>
                    </w:rPr>
                  </w:pPr>
                  <w:r w:rsidRPr="00B43003">
                    <w:rPr>
                      <w:b/>
                      <w:i/>
                    </w:rPr>
                    <w:t>Le plaidoyer pour des actions positives  à travers des visites, et des programmes de sensibilisation et d’éducation du ministère de la Condition de la femme en collaboration avec les ONG et les partenaires de développement;</w:t>
                  </w:r>
                </w:p>
                <w:p w:rsidR="00D32F3D" w:rsidRDefault="00D32F3D" w:rsidP="00B43003">
                  <w:pPr>
                    <w:rPr>
                      <w:b/>
                      <w:i/>
                    </w:rPr>
                  </w:pPr>
                </w:p>
                <w:p w:rsidR="00D32F3D" w:rsidRDefault="00D32F3D" w:rsidP="00B43003">
                  <w:pPr>
                    <w:numPr>
                      <w:ilvl w:val="0"/>
                      <w:numId w:val="28"/>
                    </w:numPr>
                    <w:rPr>
                      <w:b/>
                      <w:i/>
                    </w:rPr>
                  </w:pPr>
                  <w:r w:rsidRPr="00B43003">
                    <w:rPr>
                      <w:b/>
                      <w:i/>
                    </w:rPr>
                    <w:t>Le Programme d’éradication de la pauvreté, la Direction nationale de l’emploi et le Programme  de microcrédit du Gouvernement fédéral dédiés spécifiquement aux femmes, qui apportent formation et capital aux femmes et aux hommes en vue d’améliorer les résultats de leurs initiatives de production et</w:t>
                  </w:r>
                </w:p>
                <w:p w:rsidR="00D32F3D" w:rsidRPr="00B43003" w:rsidRDefault="00D32F3D" w:rsidP="00B43003">
                  <w:pPr>
                    <w:rPr>
                      <w:b/>
                      <w:i/>
                    </w:rPr>
                  </w:pPr>
                </w:p>
                <w:p w:rsidR="00D32F3D" w:rsidRPr="00711E21" w:rsidRDefault="00D32F3D" w:rsidP="00B43003">
                  <w:pPr>
                    <w:numPr>
                      <w:ilvl w:val="0"/>
                      <w:numId w:val="28"/>
                    </w:numPr>
                    <w:rPr>
                      <w:b/>
                    </w:rPr>
                  </w:pPr>
                  <w:r w:rsidRPr="00B43003">
                    <w:rPr>
                      <w:b/>
                      <w:i/>
                    </w:rPr>
                    <w:t>La formation professionnelle fournie par les Centres de promotion de la femme à travers le pays</w:t>
                  </w:r>
                </w:p>
              </w:txbxContent>
            </v:textbox>
          </v:shape>
        </w:pict>
      </w:r>
    </w:p>
    <w:p w:rsidR="00BB7CFC" w:rsidRDefault="00BB7CFC" w:rsidP="0012256D">
      <w:pPr>
        <w:pStyle w:val="SingleTxt"/>
        <w:rPr>
          <w:b/>
          <w:bCs/>
          <w:i/>
          <w:iCs/>
          <w:lang w:val="fr-FR"/>
        </w:rPr>
      </w:pPr>
    </w:p>
    <w:p w:rsidR="00B43003" w:rsidRDefault="00EB3EA9" w:rsidP="00EB3EA9">
      <w:pPr>
        <w:pStyle w:val="SingleTxt"/>
        <w:rPr>
          <w:b/>
          <w:bCs/>
          <w:i/>
          <w:iCs/>
          <w:lang w:val="fr-FR"/>
        </w:rPr>
      </w:pPr>
      <w:r w:rsidRPr="005D6CD4">
        <w:rPr>
          <w:b/>
          <w:bCs/>
          <w:i/>
          <w:iCs/>
          <w:lang w:val="fr-FR"/>
        </w:rPr>
        <w:sym w:font="Symbol" w:char="F0A7"/>
      </w:r>
      <w:r w:rsidRPr="005D6CD4">
        <w:rPr>
          <w:b/>
          <w:bCs/>
          <w:i/>
          <w:iCs/>
          <w:lang w:val="fr-FR"/>
        </w:rPr>
        <w:t xml:space="preserve"> La formation professionnelle fournie par les Centre</w:t>
      </w:r>
      <w:r>
        <w:rPr>
          <w:b/>
          <w:bCs/>
          <w:i/>
          <w:iCs/>
          <w:lang w:val="fr-FR"/>
        </w:rPr>
        <w:t>s</w:t>
      </w:r>
      <w:r w:rsidRPr="005D6CD4">
        <w:rPr>
          <w:b/>
          <w:bCs/>
          <w:i/>
          <w:iCs/>
          <w:lang w:val="fr-FR"/>
        </w:rPr>
        <w:t xml:space="preserve"> de promotion de la femme à travers le pays.</w:t>
      </w:r>
      <w:r>
        <w:rPr>
          <w:b/>
          <w:bCs/>
          <w:lang w:val="fr-FR"/>
        </w:rPr>
        <w:t xml:space="preserve">        </w:t>
      </w:r>
      <w:r w:rsidRPr="005D6CD4">
        <w:rPr>
          <w:b/>
          <w:bCs/>
          <w:lang w:val="fr-FR"/>
        </w:rPr>
        <w:t xml:space="preserve"> Encadré 11.1</w:t>
      </w:r>
    </w:p>
    <w:p w:rsidR="00B43003" w:rsidRDefault="00B43003" w:rsidP="0012256D">
      <w:pPr>
        <w:pStyle w:val="SingleTxt"/>
        <w:rPr>
          <w:b/>
          <w:bCs/>
          <w:i/>
          <w:iCs/>
          <w:lang w:val="fr-FR"/>
        </w:rPr>
      </w:pPr>
    </w:p>
    <w:p w:rsidR="00B43003" w:rsidRDefault="00B43003" w:rsidP="0012256D">
      <w:pPr>
        <w:pStyle w:val="SingleTxt"/>
        <w:rPr>
          <w:b/>
          <w:bCs/>
          <w:i/>
          <w:iCs/>
          <w:lang w:val="fr-FR"/>
        </w:rPr>
      </w:pPr>
    </w:p>
    <w:p w:rsidR="00B43003" w:rsidRDefault="00B43003" w:rsidP="0012256D">
      <w:pPr>
        <w:pStyle w:val="SingleTxt"/>
        <w:rPr>
          <w:b/>
          <w:bCs/>
          <w:i/>
          <w:iCs/>
          <w:lang w:val="fr-FR"/>
        </w:rPr>
      </w:pPr>
    </w:p>
    <w:p w:rsidR="00B43003" w:rsidRDefault="00B43003" w:rsidP="0012256D">
      <w:pPr>
        <w:pStyle w:val="SingleTxt"/>
        <w:rPr>
          <w:b/>
          <w:bCs/>
          <w:i/>
          <w:iCs/>
          <w:lang w:val="fr-FR"/>
        </w:rPr>
      </w:pPr>
    </w:p>
    <w:p w:rsidR="00B43003" w:rsidRDefault="00B43003" w:rsidP="0012256D">
      <w:pPr>
        <w:pStyle w:val="SingleTxt"/>
        <w:rPr>
          <w:b/>
          <w:bCs/>
          <w:i/>
          <w:iCs/>
          <w:lang w:val="fr-FR"/>
        </w:rPr>
      </w:pPr>
    </w:p>
    <w:p w:rsidR="00B43003" w:rsidRDefault="00B43003" w:rsidP="0012256D">
      <w:pPr>
        <w:pStyle w:val="SingleTxt"/>
        <w:rPr>
          <w:b/>
          <w:bCs/>
          <w:i/>
          <w:iCs/>
          <w:lang w:val="fr-FR"/>
        </w:rPr>
      </w:pPr>
    </w:p>
    <w:p w:rsidR="00B43003" w:rsidRDefault="00B43003" w:rsidP="0012256D">
      <w:pPr>
        <w:pStyle w:val="SingleTxt"/>
        <w:rPr>
          <w:b/>
          <w:bCs/>
          <w:i/>
          <w:iCs/>
          <w:lang w:val="fr-FR"/>
        </w:rPr>
      </w:pPr>
    </w:p>
    <w:p w:rsidR="00B43003" w:rsidRDefault="00B43003" w:rsidP="0012256D">
      <w:pPr>
        <w:pStyle w:val="SingleTxt"/>
        <w:rPr>
          <w:b/>
          <w:bCs/>
          <w:i/>
          <w:iCs/>
          <w:lang w:val="fr-FR"/>
        </w:rPr>
      </w:pPr>
    </w:p>
    <w:p w:rsidR="00B43003" w:rsidRDefault="00B43003" w:rsidP="0012256D">
      <w:pPr>
        <w:pStyle w:val="SingleTxt"/>
        <w:rPr>
          <w:b/>
          <w:bCs/>
          <w:i/>
          <w:iCs/>
          <w:lang w:val="fr-FR"/>
        </w:rPr>
      </w:pPr>
    </w:p>
    <w:p w:rsidR="00B43003" w:rsidRDefault="00B43003" w:rsidP="0012256D">
      <w:pPr>
        <w:pStyle w:val="SingleTxt"/>
        <w:rPr>
          <w:b/>
          <w:bCs/>
          <w:i/>
          <w:iCs/>
          <w:lang w:val="fr-FR"/>
        </w:rPr>
      </w:pPr>
    </w:p>
    <w:p w:rsidR="00B43003" w:rsidRDefault="00B43003" w:rsidP="0012256D">
      <w:pPr>
        <w:pStyle w:val="SingleTxt"/>
        <w:rPr>
          <w:b/>
          <w:bCs/>
          <w:i/>
          <w:iCs/>
          <w:lang w:val="fr-FR"/>
        </w:rPr>
      </w:pPr>
    </w:p>
    <w:p w:rsidR="00E15507" w:rsidRDefault="00B43003" w:rsidP="00B43003">
      <w:pPr>
        <w:pStyle w:val="SingleTxt"/>
        <w:rPr>
          <w:lang w:val="fr-FR"/>
        </w:rPr>
      </w:pPr>
      <w:r>
        <w:rPr>
          <w:lang w:val="fr-FR"/>
        </w:rPr>
        <w:tab/>
        <w:t>D</w:t>
      </w:r>
      <w:r w:rsidR="00E15507" w:rsidRPr="005D6CD4">
        <w:rPr>
          <w:lang w:val="fr-FR"/>
        </w:rPr>
        <w:t xml:space="preserve">ans le cadre des efforts actuels du </w:t>
      </w:r>
      <w:r w:rsidR="00E15507">
        <w:rPr>
          <w:lang w:val="fr-FR"/>
        </w:rPr>
        <w:t>Gouvernement</w:t>
      </w:r>
      <w:r w:rsidR="00E15507" w:rsidRPr="005D6CD4">
        <w:rPr>
          <w:lang w:val="fr-FR"/>
        </w:rPr>
        <w:t xml:space="preserve"> visant à assurer que les droits des femmes sont suffisamment protégés sur le marché du travail, la Loi sur le travail a été révisé</w:t>
      </w:r>
      <w:r w:rsidR="00E15507">
        <w:rPr>
          <w:lang w:val="fr-FR"/>
        </w:rPr>
        <w:t>e</w:t>
      </w:r>
      <w:r w:rsidR="00E15507" w:rsidRPr="005D6CD4">
        <w:rPr>
          <w:lang w:val="fr-FR"/>
        </w:rPr>
        <w:t xml:space="preserve"> et approuvé</w:t>
      </w:r>
      <w:r w:rsidR="00E15507">
        <w:rPr>
          <w:lang w:val="fr-FR"/>
        </w:rPr>
        <w:t>e</w:t>
      </w:r>
      <w:r w:rsidR="00E15507" w:rsidRPr="005D6CD4">
        <w:rPr>
          <w:lang w:val="fr-FR"/>
        </w:rPr>
        <w:t xml:space="preserve"> par le Conseil exécutif fédéral et attend d</w:t>
      </w:r>
      <w:r w:rsidR="000A3D87">
        <w:rPr>
          <w:lang w:val="fr-FR"/>
        </w:rPr>
        <w:t>’</w:t>
      </w:r>
      <w:r w:rsidR="00E15507" w:rsidRPr="005D6CD4">
        <w:rPr>
          <w:lang w:val="fr-FR"/>
        </w:rPr>
        <w:t>être présentée à l</w:t>
      </w:r>
      <w:r w:rsidR="000A3D87">
        <w:rPr>
          <w:lang w:val="fr-FR"/>
        </w:rPr>
        <w:t>’</w:t>
      </w:r>
      <w:r w:rsidR="00E15507" w:rsidRPr="005D6CD4">
        <w:rPr>
          <w:lang w:val="fr-FR"/>
        </w:rPr>
        <w:t>Assemblée nationale pour adoption. La nouvelle loi stipule qu</w:t>
      </w:r>
      <w:r w:rsidR="000A3D87">
        <w:rPr>
          <w:lang w:val="fr-FR"/>
        </w:rPr>
        <w:t>’</w:t>
      </w:r>
      <w:r w:rsidR="00E15507" w:rsidRPr="005D6CD4">
        <w:rPr>
          <w:lang w:val="fr-FR"/>
        </w:rPr>
        <w:t xml:space="preserve">en cas de naissance multiple, une femme a droit à quatre semaines supplémentaires de congé de maternité. </w:t>
      </w:r>
    </w:p>
    <w:p w:rsidR="00B43003" w:rsidRPr="00B43003" w:rsidRDefault="00B43003" w:rsidP="00B43003">
      <w:pPr>
        <w:pStyle w:val="SingleTxt"/>
        <w:spacing w:after="0" w:line="120" w:lineRule="exact"/>
        <w:rPr>
          <w:sz w:val="10"/>
          <w:lang w:val="fr-FR"/>
        </w:rPr>
      </w:pPr>
    </w:p>
    <w:p w:rsidR="00E15507" w:rsidRDefault="00B43003" w:rsidP="00B430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E15507" w:rsidRPr="005D6CD4">
        <w:rPr>
          <w:lang w:val="fr-FR"/>
        </w:rPr>
        <w:t>11.9</w:t>
      </w:r>
      <w:r>
        <w:rPr>
          <w:lang w:val="fr-FR"/>
        </w:rPr>
        <w:tab/>
      </w:r>
      <w:r w:rsidR="00E15507" w:rsidRPr="005D6CD4">
        <w:rPr>
          <w:lang w:val="fr-FR"/>
        </w:rPr>
        <w:t>Les facteurs qui ont contribué à l</w:t>
      </w:r>
      <w:r w:rsidR="000A3D87">
        <w:rPr>
          <w:lang w:val="fr-FR"/>
        </w:rPr>
        <w:t>’</w:t>
      </w:r>
      <w:r w:rsidR="00E15507" w:rsidRPr="005D6CD4">
        <w:rPr>
          <w:lang w:val="fr-FR"/>
        </w:rPr>
        <w:t>évolution de la situation de la femme dans l</w:t>
      </w:r>
      <w:r w:rsidR="000A3D87">
        <w:rPr>
          <w:lang w:val="fr-FR"/>
        </w:rPr>
        <w:t>’</w:t>
      </w:r>
      <w:r w:rsidR="00E15507" w:rsidRPr="005D6CD4">
        <w:rPr>
          <w:lang w:val="fr-FR"/>
        </w:rPr>
        <w:t>emploi</w:t>
      </w:r>
    </w:p>
    <w:p w:rsidR="00B43003" w:rsidRPr="00B43003" w:rsidRDefault="00B43003" w:rsidP="00B43003">
      <w:pPr>
        <w:pStyle w:val="SingleTxt"/>
        <w:spacing w:after="0" w:line="120" w:lineRule="exact"/>
        <w:rPr>
          <w:sz w:val="10"/>
          <w:lang w:val="fr-FR"/>
        </w:rPr>
      </w:pPr>
    </w:p>
    <w:p w:rsidR="00E15507" w:rsidRPr="005D6CD4" w:rsidRDefault="00B43003" w:rsidP="00B43003">
      <w:pPr>
        <w:pStyle w:val="SingleTxt"/>
        <w:rPr>
          <w:lang w:val="fr-FR"/>
        </w:rPr>
      </w:pPr>
      <w:r>
        <w:rPr>
          <w:lang w:val="fr-FR"/>
        </w:rPr>
        <w:tab/>
      </w:r>
      <w:r w:rsidR="00E15507" w:rsidRPr="005D6CD4">
        <w:rPr>
          <w:lang w:val="fr-FR"/>
        </w:rPr>
        <w:t xml:space="preserve">Malgré les problèmes qui ont été </w:t>
      </w:r>
      <w:r w:rsidR="00E15507">
        <w:rPr>
          <w:lang w:val="fr-FR"/>
        </w:rPr>
        <w:t>i</w:t>
      </w:r>
      <w:r w:rsidR="00E15507" w:rsidRPr="005D6CD4">
        <w:rPr>
          <w:lang w:val="fr-FR"/>
        </w:rPr>
        <w:t>dentifiés, on a enregistré une évolution significative de la situation et de la qualité de l</w:t>
      </w:r>
      <w:r w:rsidR="000A3D87">
        <w:rPr>
          <w:lang w:val="fr-FR"/>
        </w:rPr>
        <w:t>’</w:t>
      </w:r>
      <w:r w:rsidR="00E15507" w:rsidRPr="005D6CD4">
        <w:rPr>
          <w:lang w:val="fr-FR"/>
        </w:rPr>
        <w:t>emploi des femmes et elle est attribuable en grande partie aux facteurs relevés dans l</w:t>
      </w:r>
      <w:r w:rsidR="000A3D87">
        <w:rPr>
          <w:lang w:val="fr-FR"/>
        </w:rPr>
        <w:t>’</w:t>
      </w:r>
      <w:r w:rsidR="00E15507" w:rsidRPr="005D6CD4">
        <w:rPr>
          <w:lang w:val="fr-FR"/>
        </w:rPr>
        <w:t>Encadré 11.1.</w:t>
      </w:r>
    </w:p>
    <w:p w:rsidR="00E15507" w:rsidRDefault="00B43003" w:rsidP="00B4300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br w:type="page"/>
      </w:r>
      <w:r>
        <w:rPr>
          <w:lang w:val="fr-FR"/>
        </w:rPr>
        <w:tab/>
      </w:r>
      <w:r>
        <w:rPr>
          <w:lang w:val="fr-FR"/>
        </w:rPr>
        <w:tab/>
      </w:r>
      <w:r w:rsidR="00E15507">
        <w:rPr>
          <w:lang w:val="fr-FR"/>
        </w:rPr>
        <w:t>Article 12</w:t>
      </w:r>
      <w:r>
        <w:rPr>
          <w:lang w:val="fr-FR"/>
        </w:rPr>
        <w:br/>
      </w:r>
      <w:r w:rsidR="00E15507">
        <w:rPr>
          <w:lang w:val="fr-FR"/>
        </w:rPr>
        <w:t>Égalité d</w:t>
      </w:r>
      <w:r w:rsidR="000A3D87">
        <w:rPr>
          <w:lang w:val="fr-FR"/>
        </w:rPr>
        <w:t>’</w:t>
      </w:r>
      <w:r w:rsidR="00E15507">
        <w:rPr>
          <w:lang w:val="fr-FR"/>
        </w:rPr>
        <w:t>accès aux soins de santé</w:t>
      </w:r>
    </w:p>
    <w:p w:rsidR="00B43003" w:rsidRPr="00B43003" w:rsidRDefault="00B43003" w:rsidP="00B43003">
      <w:pPr>
        <w:pStyle w:val="SingleTxt"/>
        <w:spacing w:after="0" w:line="120" w:lineRule="exact"/>
        <w:rPr>
          <w:sz w:val="10"/>
          <w:lang w:val="fr-FR"/>
        </w:rPr>
      </w:pPr>
    </w:p>
    <w:p w:rsidR="00E15507" w:rsidRDefault="00B43003" w:rsidP="00B430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E15507" w:rsidRPr="005D6CD4">
        <w:rPr>
          <w:lang w:val="fr-FR"/>
        </w:rPr>
        <w:t>12.1</w:t>
      </w:r>
      <w:r w:rsidR="00E15507" w:rsidRPr="005D6CD4">
        <w:rPr>
          <w:lang w:val="fr-FR"/>
        </w:rPr>
        <w:tab/>
        <w:t>Mesures juridiques et autres mesures prises</w:t>
      </w:r>
    </w:p>
    <w:p w:rsidR="00B43003" w:rsidRPr="00B43003" w:rsidRDefault="00B43003" w:rsidP="00B43003">
      <w:pPr>
        <w:pStyle w:val="SingleTxt"/>
        <w:spacing w:after="0" w:line="120" w:lineRule="exact"/>
        <w:rPr>
          <w:sz w:val="10"/>
          <w:lang w:val="fr-FR"/>
        </w:rPr>
      </w:pPr>
    </w:p>
    <w:p w:rsidR="00E15507" w:rsidRPr="00B43003" w:rsidRDefault="00B43003" w:rsidP="00B43003">
      <w:pPr>
        <w:pStyle w:val="SingleTxt"/>
        <w:rPr>
          <w:lang w:val="fr-FR"/>
        </w:rPr>
      </w:pPr>
      <w:r>
        <w:rPr>
          <w:lang w:val="fr-FR"/>
        </w:rPr>
        <w:tab/>
      </w:r>
      <w:r w:rsidR="00E15507" w:rsidRPr="00B43003">
        <w:rPr>
          <w:lang w:val="fr-FR"/>
        </w:rPr>
        <w:t>Il est demandé aux États parties à l</w:t>
      </w:r>
      <w:r w:rsidR="000A3D87">
        <w:rPr>
          <w:lang w:val="fr-FR"/>
        </w:rPr>
        <w:t>’</w:t>
      </w:r>
      <w:r w:rsidR="00E15507" w:rsidRPr="00B43003">
        <w:rPr>
          <w:lang w:val="fr-FR"/>
        </w:rPr>
        <w:t>article 12 de prendre toutes les mesures appropriées pour éliminer la discrimination à l</w:t>
      </w:r>
      <w:r w:rsidR="000A3D87">
        <w:rPr>
          <w:lang w:val="fr-FR"/>
        </w:rPr>
        <w:t>’</w:t>
      </w:r>
      <w:r w:rsidR="00E15507" w:rsidRPr="00B43003">
        <w:rPr>
          <w:lang w:val="fr-FR"/>
        </w:rPr>
        <w:t xml:space="preserve">égard des femmes en matière de soins de santé, y compris en ce qui concerne la planification de la famille. </w:t>
      </w:r>
    </w:p>
    <w:p w:rsidR="00E15507" w:rsidRPr="00B43003" w:rsidRDefault="00E15507" w:rsidP="00B43003">
      <w:pPr>
        <w:pStyle w:val="SingleTxt"/>
        <w:rPr>
          <w:lang w:val="fr-FR"/>
        </w:rPr>
      </w:pPr>
      <w:r w:rsidRPr="00B43003">
        <w:rPr>
          <w:lang w:val="fr-FR"/>
        </w:rPr>
        <w:t xml:space="preserve"> </w:t>
      </w:r>
      <w:r w:rsidR="00B43003">
        <w:rPr>
          <w:lang w:val="fr-FR"/>
        </w:rPr>
        <w:tab/>
      </w:r>
      <w:r w:rsidRPr="00B43003">
        <w:rPr>
          <w:rFonts w:ascii="TimesNewRoman" w:hAnsi="TimesNewRoman"/>
          <w:lang w:val="fr-FR"/>
        </w:rPr>
        <w:t>À</w:t>
      </w:r>
      <w:r w:rsidRPr="00B43003">
        <w:rPr>
          <w:lang w:val="fr-FR"/>
        </w:rPr>
        <w:t xml:space="preserve"> l</w:t>
      </w:r>
      <w:r w:rsidR="000A3D87">
        <w:rPr>
          <w:lang w:val="fr-FR"/>
        </w:rPr>
        <w:t>’</w:t>
      </w:r>
      <w:r w:rsidRPr="00B43003">
        <w:rPr>
          <w:lang w:val="fr-FR"/>
        </w:rPr>
        <w:t>article 17.3.c) de la Constitution de 1999, il y a des dispositions visant à assurer des services appropriés de santé, de sécurité et de bien-être pour tous.</w:t>
      </w:r>
    </w:p>
    <w:p w:rsidR="00E15507" w:rsidRPr="00B43003" w:rsidRDefault="00B43003" w:rsidP="00B43003">
      <w:pPr>
        <w:pStyle w:val="SingleTxt"/>
        <w:rPr>
          <w:lang w:val="fr-FR"/>
        </w:rPr>
      </w:pPr>
      <w:r>
        <w:rPr>
          <w:lang w:val="fr-FR"/>
        </w:rPr>
        <w:tab/>
      </w:r>
      <w:r w:rsidR="00E15507" w:rsidRPr="00B43003">
        <w:rPr>
          <w:lang w:val="fr-FR"/>
        </w:rPr>
        <w:t>En application des dispositions de la Constitution, les ministères compétents à tous les niveaux au Nigéria ont vigoureusement mis en œuvre, avec l</w:t>
      </w:r>
      <w:r w:rsidR="000A3D87">
        <w:rPr>
          <w:lang w:val="fr-FR"/>
        </w:rPr>
        <w:t>’</w:t>
      </w:r>
      <w:r w:rsidR="00E15507" w:rsidRPr="00B43003">
        <w:rPr>
          <w:lang w:val="fr-FR"/>
        </w:rPr>
        <w:t>aide des partenaires de développement, des programmes visant à assurer les soins de santé.</w:t>
      </w:r>
    </w:p>
    <w:p w:rsidR="00E15507" w:rsidRDefault="00B43003" w:rsidP="0012256D">
      <w:pPr>
        <w:pStyle w:val="SingleTxt"/>
        <w:rPr>
          <w:lang w:val="fr-FR"/>
        </w:rPr>
      </w:pPr>
      <w:r>
        <w:rPr>
          <w:lang w:val="fr-FR"/>
        </w:rPr>
        <w:tab/>
      </w:r>
      <w:r w:rsidR="00E15507" w:rsidRPr="005D6CD4">
        <w:rPr>
          <w:lang w:val="fr-FR"/>
        </w:rPr>
        <w:t xml:space="preserve">Le </w:t>
      </w:r>
      <w:r w:rsidR="00E15507">
        <w:rPr>
          <w:lang w:val="fr-FR"/>
        </w:rPr>
        <w:t>G</w:t>
      </w:r>
      <w:r w:rsidR="00E15507" w:rsidRPr="005D6CD4">
        <w:rPr>
          <w:lang w:val="fr-FR"/>
        </w:rPr>
        <w:t xml:space="preserve">ouvernement fédéral, par le biais du </w:t>
      </w:r>
      <w:r w:rsidR="00E15507">
        <w:rPr>
          <w:lang w:val="fr-FR"/>
        </w:rPr>
        <w:t>ministère</w:t>
      </w:r>
      <w:r w:rsidR="00E15507" w:rsidRPr="005D6CD4">
        <w:rPr>
          <w:lang w:val="fr-FR"/>
        </w:rPr>
        <w:t xml:space="preserve"> fédéral de la </w:t>
      </w:r>
      <w:r w:rsidR="00E15507">
        <w:rPr>
          <w:lang w:val="fr-FR"/>
        </w:rPr>
        <w:t>S</w:t>
      </w:r>
      <w:r w:rsidR="00E15507" w:rsidRPr="005D6CD4">
        <w:rPr>
          <w:lang w:val="fr-FR"/>
        </w:rPr>
        <w:t>anté, a amélioré le cadre politique dans le but de faciliter l</w:t>
      </w:r>
      <w:r w:rsidR="000A3D87">
        <w:rPr>
          <w:lang w:val="fr-FR"/>
        </w:rPr>
        <w:t>’</w:t>
      </w:r>
      <w:r w:rsidR="00E15507" w:rsidRPr="005D6CD4">
        <w:rPr>
          <w:lang w:val="fr-FR"/>
        </w:rPr>
        <w:t>accès des femmes et des enfants aux services de santé. Quelques lois en la matière sont énumérées dans l</w:t>
      </w:r>
      <w:r w:rsidR="000A3D87">
        <w:rPr>
          <w:lang w:val="fr-FR"/>
        </w:rPr>
        <w:t>’</w:t>
      </w:r>
      <w:r w:rsidR="00E15507">
        <w:rPr>
          <w:lang w:val="fr-FR"/>
        </w:rPr>
        <w:t>Encadré</w:t>
      </w:r>
      <w:r w:rsidR="00E15507" w:rsidRPr="005D6CD4">
        <w:rPr>
          <w:lang w:val="fr-FR"/>
        </w:rPr>
        <w:t xml:space="preserve"> 12.1.</w:t>
      </w:r>
    </w:p>
    <w:p w:rsidR="00B43003" w:rsidRDefault="00B43003" w:rsidP="0012256D">
      <w:pPr>
        <w:pStyle w:val="SingleTxt"/>
        <w:rPr>
          <w:lang w:val="fr-FR"/>
        </w:rPr>
      </w:pPr>
      <w:r>
        <w:rPr>
          <w:noProof/>
          <w:w w:val="100"/>
          <w:lang w:val="en-US"/>
        </w:rPr>
        <w:pict>
          <v:shape id="_x0000_s2136" type="#_x0000_t202" style="position:absolute;left:0;text-align:left;margin-left:70.3pt;margin-top:10.3pt;width:5in;height:315pt;z-index:15">
            <v:textbox>
              <w:txbxContent>
                <w:p w:rsidR="00D32F3D" w:rsidRPr="000A3D87" w:rsidRDefault="00D32F3D" w:rsidP="00B43003">
                  <w:pPr>
                    <w:rPr>
                      <w:b/>
                    </w:rPr>
                  </w:pPr>
                  <w:r w:rsidRPr="000A3D87">
                    <w:rPr>
                      <w:b/>
                    </w:rPr>
                    <w:t>Encadré 12.1</w:t>
                  </w:r>
                </w:p>
                <w:p w:rsidR="00D32F3D" w:rsidRDefault="00D32F3D" w:rsidP="00B43003"/>
                <w:p w:rsidR="00D32F3D" w:rsidRDefault="00D32F3D" w:rsidP="000A3D87">
                  <w:pPr>
                    <w:numPr>
                      <w:ilvl w:val="0"/>
                      <w:numId w:val="29"/>
                    </w:numPr>
                  </w:pPr>
                  <w:r>
                    <w:t>Politique et stratégie nationales en matière de santé en matière de reproduction (2001) ;</w:t>
                  </w:r>
                </w:p>
                <w:p w:rsidR="00D32F3D" w:rsidRDefault="00D32F3D" w:rsidP="000A3D87">
                  <w:pPr>
                    <w:numPr>
                      <w:ilvl w:val="0"/>
                      <w:numId w:val="29"/>
                    </w:numPr>
                  </w:pPr>
                  <w:r>
                    <w:t>Politique nationale du Nigéria en matière d’alimentation et de nutrition (2001);</w:t>
                  </w:r>
                </w:p>
                <w:p w:rsidR="00D32F3D" w:rsidRDefault="00D32F3D" w:rsidP="000A3D87">
                  <w:pPr>
                    <w:numPr>
                      <w:ilvl w:val="0"/>
                      <w:numId w:val="29"/>
                    </w:numPr>
                  </w:pPr>
                  <w:r>
                    <w:t>Cadre stratégique national d’action en matière de santé en matière de reproduction (2002 – 2006) ;</w:t>
                  </w:r>
                </w:p>
                <w:p w:rsidR="00D32F3D" w:rsidRDefault="00D32F3D" w:rsidP="000A3D87">
                  <w:pPr>
                    <w:numPr>
                      <w:ilvl w:val="0"/>
                      <w:numId w:val="29"/>
                    </w:numPr>
                  </w:pPr>
                  <w:r>
                    <w:t>Politique et plan d’action nationaux sur l’élimination de la mutilation génitale féminine au Nigéria (2002) ;</w:t>
                  </w:r>
                </w:p>
                <w:p w:rsidR="00D32F3D" w:rsidRDefault="00D32F3D" w:rsidP="000A3D87">
                  <w:pPr>
                    <w:numPr>
                      <w:ilvl w:val="0"/>
                      <w:numId w:val="29"/>
                    </w:numPr>
                  </w:pPr>
                  <w:r>
                    <w:t>Orientations nationales sur la lutte contre les déficiences en micronutriments au Nigéria (2005) ;</w:t>
                  </w:r>
                </w:p>
                <w:p w:rsidR="00D32F3D" w:rsidRDefault="00D32F3D" w:rsidP="000A3D87">
                  <w:pPr>
                    <w:numPr>
                      <w:ilvl w:val="0"/>
                      <w:numId w:val="29"/>
                    </w:numPr>
                  </w:pPr>
                  <w:r>
                    <w:t>Politique en matière d’utilisation du lait maternel (1994)</w:t>
                  </w:r>
                </w:p>
                <w:p w:rsidR="00D32F3D" w:rsidRDefault="00D32F3D" w:rsidP="000A3D87">
                  <w:pPr>
                    <w:numPr>
                      <w:ilvl w:val="0"/>
                      <w:numId w:val="29"/>
                    </w:numPr>
                  </w:pPr>
                  <w:r>
                    <w:t>Orientations et stratégies nationales de prévention et de lutte contre le paludisme pendant la grossesse (2005) ;</w:t>
                  </w:r>
                </w:p>
                <w:p w:rsidR="00D32F3D" w:rsidRDefault="00D32F3D" w:rsidP="000A3D87">
                  <w:pPr>
                    <w:numPr>
                      <w:ilvl w:val="0"/>
                      <w:numId w:val="29"/>
                    </w:numPr>
                  </w:pPr>
                  <w:r>
                    <w:t>Cadre stratégique et plan d’action nationaux pour l’éradication de la fistule vésico-vaginale au Nigéria (2005) entre autres ;</w:t>
                  </w:r>
                </w:p>
                <w:p w:rsidR="00D32F3D" w:rsidRDefault="00D32F3D" w:rsidP="000A3D87">
                  <w:pPr>
                    <w:numPr>
                      <w:ilvl w:val="0"/>
                      <w:numId w:val="29"/>
                    </w:numPr>
                  </w:pPr>
                  <w:r>
                    <w:t>Loi nationale sur le système d’assurance maladie (1999) ;</w:t>
                  </w:r>
                </w:p>
                <w:p w:rsidR="00D32F3D" w:rsidRDefault="00D32F3D" w:rsidP="000A3D87">
                  <w:pPr>
                    <w:numPr>
                      <w:ilvl w:val="0"/>
                      <w:numId w:val="29"/>
                    </w:numPr>
                  </w:pPr>
                  <w:r>
                    <w:t xml:space="preserve">Politique nationale de la population en vue d’un développement durable (2004) ayant pour objectif principal d’améliorer la qualité de la vie et le niveau de vie des populations au Nigéria ; </w:t>
                  </w:r>
                </w:p>
                <w:p w:rsidR="00D32F3D" w:rsidRDefault="00D32F3D" w:rsidP="000A3D87">
                  <w:pPr>
                    <w:numPr>
                      <w:ilvl w:val="0"/>
                      <w:numId w:val="29"/>
                    </w:numPr>
                  </w:pPr>
                  <w:r>
                    <w:t>Politique en matière de santé maternelle et infantile (1994) ;</w:t>
                  </w:r>
                </w:p>
                <w:p w:rsidR="00D32F3D" w:rsidRDefault="00D32F3D" w:rsidP="000A3D87">
                  <w:pPr>
                    <w:numPr>
                      <w:ilvl w:val="0"/>
                      <w:numId w:val="29"/>
                    </w:numPr>
                  </w:pPr>
                  <w:r>
                    <w:t>Politique nationale en matière de santé de l’adolescent (1995) ;</w:t>
                  </w:r>
                </w:p>
                <w:p w:rsidR="00D32F3D" w:rsidRDefault="00D32F3D" w:rsidP="000A3D87">
                  <w:pPr>
                    <w:numPr>
                      <w:ilvl w:val="0"/>
                      <w:numId w:val="29"/>
                    </w:numPr>
                  </w:pPr>
                  <w:r>
                    <w:t>Plan d’action pour la lutte contre les maladies non transmissibles au Nigéria (1999).</w:t>
                  </w:r>
                </w:p>
              </w:txbxContent>
            </v:textbox>
          </v:shape>
        </w:pict>
      </w:r>
    </w:p>
    <w:p w:rsidR="00B43003" w:rsidRDefault="00B43003" w:rsidP="0012256D">
      <w:pPr>
        <w:pStyle w:val="SingleTxt"/>
        <w:rPr>
          <w:lang w:val="fr-FR"/>
        </w:rPr>
      </w:pPr>
    </w:p>
    <w:p w:rsidR="00B43003" w:rsidRDefault="00B43003" w:rsidP="0012256D">
      <w:pPr>
        <w:pStyle w:val="SingleTxt"/>
        <w:rPr>
          <w:lang w:val="fr-FR"/>
        </w:rPr>
      </w:pPr>
    </w:p>
    <w:p w:rsidR="00B43003" w:rsidRDefault="00B43003" w:rsidP="0012256D">
      <w:pPr>
        <w:pStyle w:val="SingleTxt"/>
        <w:rPr>
          <w:lang w:val="fr-FR"/>
        </w:rPr>
      </w:pPr>
    </w:p>
    <w:p w:rsidR="00B43003" w:rsidRDefault="00B43003" w:rsidP="0012256D">
      <w:pPr>
        <w:pStyle w:val="SingleTxt"/>
        <w:rPr>
          <w:lang w:val="fr-FR"/>
        </w:rPr>
      </w:pPr>
    </w:p>
    <w:p w:rsidR="00B43003" w:rsidRDefault="00B43003" w:rsidP="0012256D">
      <w:pPr>
        <w:pStyle w:val="SingleTxt"/>
        <w:rPr>
          <w:lang w:val="fr-FR"/>
        </w:rPr>
      </w:pPr>
    </w:p>
    <w:p w:rsidR="00B43003" w:rsidRDefault="00B43003" w:rsidP="0012256D">
      <w:pPr>
        <w:pStyle w:val="SingleTxt"/>
        <w:rPr>
          <w:lang w:val="fr-FR"/>
        </w:rPr>
      </w:pPr>
    </w:p>
    <w:p w:rsidR="00B43003" w:rsidRDefault="00B43003" w:rsidP="0012256D">
      <w:pPr>
        <w:pStyle w:val="SingleTxt"/>
        <w:rPr>
          <w:lang w:val="fr-FR"/>
        </w:rPr>
      </w:pPr>
    </w:p>
    <w:p w:rsidR="00B43003" w:rsidRDefault="00B43003" w:rsidP="0012256D">
      <w:pPr>
        <w:pStyle w:val="SingleTxt"/>
        <w:rPr>
          <w:lang w:val="fr-FR"/>
        </w:rPr>
      </w:pPr>
    </w:p>
    <w:p w:rsidR="00B43003" w:rsidRDefault="00B43003" w:rsidP="0012256D">
      <w:pPr>
        <w:pStyle w:val="SingleTxt"/>
        <w:rPr>
          <w:lang w:val="fr-FR"/>
        </w:rPr>
      </w:pPr>
    </w:p>
    <w:p w:rsidR="00B43003" w:rsidRDefault="00B43003" w:rsidP="0012256D">
      <w:pPr>
        <w:pStyle w:val="SingleTxt"/>
        <w:rPr>
          <w:lang w:val="fr-FR"/>
        </w:rPr>
      </w:pPr>
    </w:p>
    <w:p w:rsidR="00B43003" w:rsidRDefault="00B43003" w:rsidP="0012256D">
      <w:pPr>
        <w:pStyle w:val="SingleTxt"/>
        <w:rPr>
          <w:lang w:val="fr-FR"/>
        </w:rPr>
      </w:pPr>
    </w:p>
    <w:p w:rsidR="00B43003" w:rsidRDefault="00B43003" w:rsidP="0012256D">
      <w:pPr>
        <w:pStyle w:val="SingleTxt"/>
        <w:rPr>
          <w:lang w:val="fr-FR"/>
        </w:rPr>
      </w:pPr>
    </w:p>
    <w:p w:rsidR="00B43003" w:rsidRDefault="00B43003" w:rsidP="0012256D">
      <w:pPr>
        <w:pStyle w:val="SingleTxt"/>
        <w:rPr>
          <w:lang w:val="fr-FR"/>
        </w:rPr>
      </w:pPr>
    </w:p>
    <w:p w:rsidR="00B43003" w:rsidRDefault="00B43003" w:rsidP="0012256D">
      <w:pPr>
        <w:pStyle w:val="SingleTxt"/>
        <w:rPr>
          <w:lang w:val="fr-FR"/>
        </w:rPr>
      </w:pPr>
    </w:p>
    <w:p w:rsidR="00B43003" w:rsidRDefault="00B43003" w:rsidP="0012256D">
      <w:pPr>
        <w:pStyle w:val="SingleTxt"/>
        <w:rPr>
          <w:lang w:val="fr-FR"/>
        </w:rPr>
      </w:pPr>
    </w:p>
    <w:p w:rsidR="00B43003" w:rsidRDefault="00B43003" w:rsidP="0012256D">
      <w:pPr>
        <w:pStyle w:val="SingleTxt"/>
        <w:rPr>
          <w:lang w:val="fr-FR"/>
        </w:rPr>
      </w:pPr>
    </w:p>
    <w:p w:rsidR="000A3D87" w:rsidRDefault="000A3D87" w:rsidP="0012256D">
      <w:pPr>
        <w:pStyle w:val="SingleTxt"/>
        <w:rPr>
          <w:lang w:val="fr-FR"/>
        </w:rPr>
      </w:pPr>
    </w:p>
    <w:p w:rsidR="000A3D87" w:rsidRDefault="000A3D87" w:rsidP="0012256D">
      <w:pPr>
        <w:pStyle w:val="SingleTxt"/>
        <w:rPr>
          <w:lang w:val="fr-FR"/>
        </w:rPr>
      </w:pPr>
    </w:p>
    <w:p w:rsidR="00E15507" w:rsidRDefault="00671934" w:rsidP="0012256D">
      <w:pPr>
        <w:pStyle w:val="SingleTxt"/>
        <w:rPr>
          <w:lang w:val="fr-FR"/>
        </w:rPr>
      </w:pPr>
      <w:r>
        <w:rPr>
          <w:lang w:val="fr-FR"/>
        </w:rPr>
        <w:tab/>
      </w:r>
      <w:r w:rsidR="00E15507" w:rsidRPr="005D6CD4">
        <w:rPr>
          <w:lang w:val="fr-FR"/>
        </w:rPr>
        <w:t xml:space="preserve">Dans certains </w:t>
      </w:r>
      <w:r w:rsidR="00E15507" w:rsidRPr="005D6CD4">
        <w:rPr>
          <w:rFonts w:ascii="TimesNewRoman" w:hAnsi="TimesNewRoman" w:cs="TimesNewRoman"/>
          <w:lang w:val="fr-FR"/>
        </w:rPr>
        <w:t>É</w:t>
      </w:r>
      <w:r w:rsidR="00E15507" w:rsidRPr="005D6CD4">
        <w:rPr>
          <w:lang w:val="fr-FR"/>
        </w:rPr>
        <w:t>tats, des hôpitaux spéciaux pour femmes et enfants ont été créés. Les statistiques indiquent une légère amélioration pour ce qui est de l</w:t>
      </w:r>
      <w:r w:rsidR="000A3D87">
        <w:rPr>
          <w:lang w:val="fr-FR"/>
        </w:rPr>
        <w:t>’</w:t>
      </w:r>
      <w:r w:rsidR="00E15507" w:rsidRPr="005D6CD4">
        <w:rPr>
          <w:lang w:val="fr-FR"/>
        </w:rPr>
        <w:t xml:space="preserve">accès des femmes à certains services de santé. Les </w:t>
      </w:r>
      <w:r w:rsidR="00E15507" w:rsidRPr="005D6CD4">
        <w:rPr>
          <w:rFonts w:ascii="TimesNewRoman" w:hAnsi="TimesNewRoman" w:cs="TimesNewRoman"/>
          <w:lang w:val="fr-FR"/>
        </w:rPr>
        <w:t>É</w:t>
      </w:r>
      <w:r w:rsidR="00E15507" w:rsidRPr="005D6CD4">
        <w:rPr>
          <w:lang w:val="fr-FR"/>
        </w:rPr>
        <w:t>tats de Kano et de Bornou appliquent une politique de gratuité des soins pour les femmes enceintes, y compris les soins après avortement.</w:t>
      </w:r>
    </w:p>
    <w:p w:rsidR="00671934" w:rsidRPr="00671934" w:rsidRDefault="00671934" w:rsidP="00671934">
      <w:pPr>
        <w:pStyle w:val="SingleTxt"/>
        <w:spacing w:after="0" w:line="120" w:lineRule="exact"/>
        <w:rPr>
          <w:sz w:val="10"/>
          <w:lang w:val="fr-FR"/>
        </w:rPr>
      </w:pPr>
    </w:p>
    <w:p w:rsidR="00E15507" w:rsidRDefault="00671934" w:rsidP="006719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rPr>
          <w:b w:val="0"/>
          <w:lang w:val="fr-FR"/>
        </w:rPr>
      </w:pPr>
      <w:r>
        <w:rPr>
          <w:lang w:val="fr-FR"/>
        </w:rPr>
        <w:tab/>
      </w:r>
      <w:r w:rsidR="00E15507" w:rsidRPr="005D6CD4">
        <w:rPr>
          <w:lang w:val="fr-FR"/>
        </w:rPr>
        <w:t xml:space="preserve">12.2 </w:t>
      </w:r>
      <w:r>
        <w:rPr>
          <w:lang w:val="fr-FR"/>
        </w:rPr>
        <w:tab/>
      </w:r>
      <w:r w:rsidR="00E15507" w:rsidRPr="00671934">
        <w:rPr>
          <w:b w:val="0"/>
          <w:lang w:val="fr-FR"/>
        </w:rPr>
        <w:t>En particulier, le Plan d</w:t>
      </w:r>
      <w:r w:rsidR="000A3D87" w:rsidRPr="00671934">
        <w:rPr>
          <w:b w:val="0"/>
          <w:lang w:val="fr-FR"/>
        </w:rPr>
        <w:t>’</w:t>
      </w:r>
      <w:r w:rsidR="00E15507" w:rsidRPr="00671934">
        <w:rPr>
          <w:b w:val="0"/>
          <w:lang w:val="fr-FR"/>
        </w:rPr>
        <w:t>action à moyen terme pour la réforme du secteur de la santé, amorcé par le Gouvernement actuel, est toujours en cours. Par le biais du ministère fédéral de la Santé et d</w:t>
      </w:r>
      <w:r w:rsidR="000A3D87" w:rsidRPr="00671934">
        <w:rPr>
          <w:b w:val="0"/>
          <w:lang w:val="fr-FR"/>
        </w:rPr>
        <w:t>’</w:t>
      </w:r>
      <w:r w:rsidR="00E15507" w:rsidRPr="00671934">
        <w:rPr>
          <w:b w:val="0"/>
          <w:lang w:val="fr-FR"/>
        </w:rPr>
        <w:t xml:space="preserve">autres parties prenantes, le Gouvernement fédéral cherche à réaliser des progrès tangibles dans sept domaines principaux : </w:t>
      </w:r>
    </w:p>
    <w:p w:rsidR="00671934" w:rsidRPr="00671934" w:rsidRDefault="00671934" w:rsidP="00671934">
      <w:pPr>
        <w:pStyle w:val="SingleTxt"/>
        <w:spacing w:after="0" w:line="120" w:lineRule="exact"/>
        <w:rPr>
          <w:sz w:val="10"/>
          <w:lang w:val="fr-FR"/>
        </w:rPr>
      </w:pPr>
    </w:p>
    <w:p w:rsidR="00E15507" w:rsidRPr="005D6CD4" w:rsidRDefault="00671934" w:rsidP="00671934">
      <w:pPr>
        <w:pStyle w:val="SingleTxt"/>
        <w:numPr>
          <w:ilvl w:val="0"/>
          <w:numId w:val="30"/>
        </w:numPr>
        <w:rPr>
          <w:b/>
          <w:lang w:val="fr-FR"/>
        </w:rPr>
      </w:pPr>
      <w:r>
        <w:rPr>
          <w:b/>
          <w:lang w:val="fr-FR"/>
        </w:rPr>
        <w:tab/>
      </w:r>
      <w:r w:rsidR="00E15507" w:rsidRPr="005D6CD4">
        <w:rPr>
          <w:b/>
          <w:lang w:val="fr-FR"/>
        </w:rPr>
        <w:t>Soins de santé primaires</w:t>
      </w:r>
    </w:p>
    <w:p w:rsidR="00E15507" w:rsidRPr="005D6CD4" w:rsidRDefault="00671934" w:rsidP="00671934">
      <w:pPr>
        <w:pStyle w:val="SingleTxt"/>
        <w:numPr>
          <w:ilvl w:val="0"/>
          <w:numId w:val="30"/>
        </w:numPr>
        <w:rPr>
          <w:b/>
          <w:lang w:val="fr-FR"/>
        </w:rPr>
      </w:pPr>
      <w:r>
        <w:rPr>
          <w:b/>
          <w:lang w:val="fr-FR"/>
        </w:rPr>
        <w:tab/>
      </w:r>
      <w:r w:rsidR="00E15507" w:rsidRPr="005D6CD4">
        <w:rPr>
          <w:b/>
          <w:lang w:val="fr-FR"/>
        </w:rPr>
        <w:t>Lutte contre les maladies</w:t>
      </w:r>
    </w:p>
    <w:p w:rsidR="00E15507" w:rsidRPr="005D6CD4" w:rsidRDefault="00671934" w:rsidP="00671934">
      <w:pPr>
        <w:pStyle w:val="SingleTxt"/>
        <w:numPr>
          <w:ilvl w:val="0"/>
          <w:numId w:val="30"/>
        </w:numPr>
        <w:rPr>
          <w:b/>
          <w:lang w:val="fr-FR"/>
        </w:rPr>
      </w:pPr>
      <w:r>
        <w:rPr>
          <w:b/>
          <w:lang w:val="fr-FR"/>
        </w:rPr>
        <w:tab/>
      </w:r>
      <w:r w:rsidR="00E15507" w:rsidRPr="005D6CD4">
        <w:rPr>
          <w:b/>
          <w:lang w:val="fr-FR"/>
        </w:rPr>
        <w:t>Santé sexuelle et reproductive (y compris les MST et le VIH/</w:t>
      </w:r>
      <w:r w:rsidR="00940485">
        <w:rPr>
          <w:b/>
          <w:lang w:val="fr-FR"/>
        </w:rPr>
        <w:t>SIDA</w:t>
      </w:r>
      <w:r w:rsidR="00E15507" w:rsidRPr="005D6CD4">
        <w:rPr>
          <w:b/>
          <w:lang w:val="fr-FR"/>
        </w:rPr>
        <w:t xml:space="preserve">) </w:t>
      </w:r>
    </w:p>
    <w:p w:rsidR="00E15507" w:rsidRPr="005D6CD4" w:rsidRDefault="00671934" w:rsidP="00671934">
      <w:pPr>
        <w:pStyle w:val="SingleTxt"/>
        <w:numPr>
          <w:ilvl w:val="0"/>
          <w:numId w:val="30"/>
        </w:numPr>
        <w:rPr>
          <w:b/>
          <w:lang w:val="fr-FR"/>
        </w:rPr>
      </w:pPr>
      <w:r>
        <w:rPr>
          <w:b/>
          <w:lang w:val="fr-FR"/>
        </w:rPr>
        <w:tab/>
      </w:r>
      <w:r w:rsidR="00E15507" w:rsidRPr="005D6CD4">
        <w:rPr>
          <w:b/>
          <w:lang w:val="fr-FR"/>
        </w:rPr>
        <w:t>Production des médicaments pour les soins de santé</w:t>
      </w:r>
      <w:r w:rsidR="00E15507" w:rsidRPr="005D6CD4">
        <w:rPr>
          <w:rFonts w:ascii="Arial" w:hAnsi="Arial" w:cs="Arial"/>
          <w:b/>
          <w:bCs/>
          <w:color w:val="000000"/>
          <w:lang w:val="fr-FR"/>
        </w:rPr>
        <w:t xml:space="preserve"> </w:t>
      </w:r>
      <w:r w:rsidR="00E15507" w:rsidRPr="005D6CD4">
        <w:rPr>
          <w:b/>
          <w:bCs/>
          <w:lang w:val="fr-FR"/>
        </w:rPr>
        <w:t>secondaire</w:t>
      </w:r>
      <w:r w:rsidR="00E15507">
        <w:rPr>
          <w:b/>
          <w:bCs/>
          <w:lang w:val="fr-FR"/>
        </w:rPr>
        <w:t>s</w:t>
      </w:r>
      <w:r w:rsidR="00E15507" w:rsidRPr="005D6CD4">
        <w:rPr>
          <w:b/>
          <w:bCs/>
          <w:lang w:val="fr-FR"/>
        </w:rPr>
        <w:t xml:space="preserve"> et tertiaire</w:t>
      </w:r>
      <w:r w:rsidR="00E15507">
        <w:rPr>
          <w:b/>
          <w:bCs/>
          <w:lang w:val="fr-FR"/>
        </w:rPr>
        <w:t>s</w:t>
      </w:r>
      <w:r w:rsidR="00E15507" w:rsidRPr="005D6CD4">
        <w:rPr>
          <w:b/>
          <w:lang w:val="fr-FR"/>
        </w:rPr>
        <w:t xml:space="preserve"> </w:t>
      </w:r>
    </w:p>
    <w:p w:rsidR="00E15507" w:rsidRPr="005D6CD4" w:rsidRDefault="00671934" w:rsidP="00671934">
      <w:pPr>
        <w:pStyle w:val="SingleTxt"/>
        <w:numPr>
          <w:ilvl w:val="0"/>
          <w:numId w:val="30"/>
        </w:numPr>
        <w:rPr>
          <w:b/>
          <w:lang w:val="fr-FR"/>
        </w:rPr>
      </w:pPr>
      <w:r>
        <w:rPr>
          <w:b/>
          <w:lang w:val="fr-FR"/>
        </w:rPr>
        <w:tab/>
      </w:r>
      <w:r w:rsidR="00E15507" w:rsidRPr="005D6CD4">
        <w:rPr>
          <w:b/>
          <w:lang w:val="fr-FR"/>
        </w:rPr>
        <w:t xml:space="preserve">Coordination de la gestion avec les partenaires </w:t>
      </w:r>
      <w:r w:rsidR="00E15507">
        <w:rPr>
          <w:b/>
          <w:lang w:val="fr-FR"/>
        </w:rPr>
        <w:t>de</w:t>
      </w:r>
      <w:r w:rsidR="00E15507" w:rsidRPr="005D6CD4">
        <w:rPr>
          <w:b/>
          <w:lang w:val="fr-FR"/>
        </w:rPr>
        <w:t xml:space="preserve"> développement </w:t>
      </w:r>
    </w:p>
    <w:p w:rsidR="00E15507" w:rsidRPr="005D6CD4" w:rsidRDefault="00671934" w:rsidP="00671934">
      <w:pPr>
        <w:pStyle w:val="SingleTxt"/>
        <w:numPr>
          <w:ilvl w:val="0"/>
          <w:numId w:val="30"/>
        </w:numPr>
        <w:rPr>
          <w:b/>
          <w:lang w:val="fr-FR"/>
        </w:rPr>
      </w:pPr>
      <w:r>
        <w:rPr>
          <w:b/>
          <w:lang w:val="fr-FR"/>
        </w:rPr>
        <w:tab/>
      </w:r>
      <w:r w:rsidR="00E15507" w:rsidRPr="005D6CD4">
        <w:rPr>
          <w:b/>
          <w:lang w:val="fr-FR"/>
        </w:rPr>
        <w:t>Organisation et gestion des services de santé</w:t>
      </w:r>
    </w:p>
    <w:p w:rsidR="00671934" w:rsidRPr="00671934" w:rsidRDefault="00671934" w:rsidP="00671934">
      <w:pPr>
        <w:pStyle w:val="SingleTxt"/>
        <w:spacing w:after="0" w:line="120" w:lineRule="exact"/>
        <w:rPr>
          <w:b/>
          <w:sz w:val="10"/>
          <w:lang w:val="fr-FR"/>
        </w:rPr>
      </w:pPr>
    </w:p>
    <w:p w:rsidR="00E15507" w:rsidRDefault="00671934" w:rsidP="006719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E15507" w:rsidRPr="005D6CD4">
        <w:rPr>
          <w:lang w:val="fr-FR"/>
        </w:rPr>
        <w:t>12.3</w:t>
      </w:r>
      <w:r>
        <w:rPr>
          <w:lang w:val="fr-FR"/>
        </w:rPr>
        <w:tab/>
      </w:r>
      <w:r w:rsidR="00E15507" w:rsidRPr="005D6CD4">
        <w:rPr>
          <w:lang w:val="fr-FR"/>
        </w:rPr>
        <w:t>Progrès réalisé</w:t>
      </w:r>
      <w:r w:rsidR="00E15507">
        <w:rPr>
          <w:lang w:val="fr-FR"/>
        </w:rPr>
        <w:t>s</w:t>
      </w:r>
      <w:r w:rsidR="00E15507" w:rsidRPr="005D6CD4">
        <w:rPr>
          <w:lang w:val="fr-FR"/>
        </w:rPr>
        <w:t xml:space="preserve"> dans la lutte contre la discrimination à l</w:t>
      </w:r>
      <w:r w:rsidR="000A3D87">
        <w:rPr>
          <w:lang w:val="fr-FR"/>
        </w:rPr>
        <w:t>’</w:t>
      </w:r>
      <w:r w:rsidR="00E15507" w:rsidRPr="005D6CD4">
        <w:rPr>
          <w:lang w:val="fr-FR"/>
        </w:rPr>
        <w:t xml:space="preserve">égard des femmes dans le domaine de la santé </w:t>
      </w:r>
    </w:p>
    <w:p w:rsidR="00671934" w:rsidRPr="00671934" w:rsidRDefault="00671934" w:rsidP="00671934">
      <w:pPr>
        <w:pStyle w:val="SingleTxt"/>
        <w:spacing w:after="0" w:line="120" w:lineRule="exact"/>
        <w:rPr>
          <w:sz w:val="10"/>
          <w:lang w:val="fr-FR"/>
        </w:rPr>
      </w:pPr>
    </w:p>
    <w:p w:rsidR="00E15507" w:rsidRPr="005D6CD4" w:rsidRDefault="00671934" w:rsidP="0012256D">
      <w:pPr>
        <w:pStyle w:val="SingleTxt"/>
        <w:rPr>
          <w:lang w:val="fr-FR"/>
        </w:rPr>
      </w:pPr>
      <w:r>
        <w:rPr>
          <w:lang w:val="fr-FR"/>
        </w:rPr>
        <w:tab/>
      </w:r>
      <w:r w:rsidR="00E15507" w:rsidRPr="005D6CD4">
        <w:rPr>
          <w:lang w:val="fr-FR"/>
        </w:rPr>
        <w:t>Le</w:t>
      </w:r>
      <w:r w:rsidR="00E15507">
        <w:rPr>
          <w:lang w:val="fr-FR"/>
        </w:rPr>
        <w:t>s</w:t>
      </w:r>
      <w:r w:rsidR="00E15507" w:rsidRPr="005D6CD4">
        <w:rPr>
          <w:lang w:val="fr-FR"/>
        </w:rPr>
        <w:t xml:space="preserve"> progrès réalisé</w:t>
      </w:r>
      <w:r w:rsidR="00E15507">
        <w:rPr>
          <w:lang w:val="fr-FR"/>
        </w:rPr>
        <w:t>s</w:t>
      </w:r>
      <w:r w:rsidR="00E15507" w:rsidRPr="005D6CD4">
        <w:rPr>
          <w:lang w:val="fr-FR"/>
        </w:rPr>
        <w:t xml:space="preserve"> dans ce domaine se tradui</w:t>
      </w:r>
      <w:r w:rsidR="00E15507">
        <w:rPr>
          <w:lang w:val="fr-FR"/>
        </w:rPr>
        <w:t>sen</w:t>
      </w:r>
      <w:r w:rsidR="00E15507" w:rsidRPr="005D6CD4">
        <w:rPr>
          <w:lang w:val="fr-FR"/>
        </w:rPr>
        <w:t>t par l</w:t>
      </w:r>
      <w:r w:rsidR="000A3D87">
        <w:rPr>
          <w:lang w:val="fr-FR"/>
        </w:rPr>
        <w:t>’</w:t>
      </w:r>
      <w:r w:rsidR="00E15507" w:rsidRPr="005D6CD4">
        <w:rPr>
          <w:lang w:val="fr-FR"/>
        </w:rPr>
        <w:t>augmentation du nombre d</w:t>
      </w:r>
      <w:r w:rsidR="000A3D87">
        <w:rPr>
          <w:lang w:val="fr-FR"/>
        </w:rPr>
        <w:t>’</w:t>
      </w:r>
      <w:r w:rsidR="00E15507" w:rsidRPr="005D6CD4">
        <w:rPr>
          <w:lang w:val="fr-FR"/>
        </w:rPr>
        <w:t>infrastructures et de centres de santé créés depuis la dernière période couverte par le rapport. Dans le quatrième</w:t>
      </w:r>
      <w:r w:rsidR="00E15507">
        <w:rPr>
          <w:lang w:val="fr-FR"/>
        </w:rPr>
        <w:t>-</w:t>
      </w:r>
      <w:r w:rsidR="00E15507" w:rsidRPr="005D6CD4">
        <w:rPr>
          <w:lang w:val="fr-FR"/>
        </w:rPr>
        <w:t>cinquième rapport</w:t>
      </w:r>
      <w:r w:rsidR="00E15507">
        <w:rPr>
          <w:lang w:val="fr-FR"/>
        </w:rPr>
        <w:t xml:space="preserve"> périodique au </w:t>
      </w:r>
      <w:r w:rsidR="00E15507" w:rsidRPr="005D6CD4">
        <w:rPr>
          <w:lang w:val="fr-FR"/>
        </w:rPr>
        <w:t>Comité pour l</w:t>
      </w:r>
      <w:r w:rsidR="000A3D87">
        <w:rPr>
          <w:lang w:val="fr-FR"/>
        </w:rPr>
        <w:t>’</w:t>
      </w:r>
      <w:r w:rsidR="00E15507" w:rsidRPr="005D6CD4">
        <w:rPr>
          <w:lang w:val="fr-FR"/>
        </w:rPr>
        <w:t>élimination de toutes les formes de discrimination à l</w:t>
      </w:r>
      <w:r w:rsidR="000A3D87">
        <w:rPr>
          <w:lang w:val="fr-FR"/>
        </w:rPr>
        <w:t>’</w:t>
      </w:r>
      <w:r w:rsidR="00E15507" w:rsidRPr="005D6CD4">
        <w:rPr>
          <w:lang w:val="fr-FR"/>
        </w:rPr>
        <w:t>égard des femmes, les données de 1999 montrent qu</w:t>
      </w:r>
      <w:r w:rsidR="000A3D87">
        <w:rPr>
          <w:lang w:val="fr-FR"/>
        </w:rPr>
        <w:t>’</w:t>
      </w:r>
      <w:r w:rsidR="00E15507" w:rsidRPr="005D6CD4">
        <w:rPr>
          <w:lang w:val="fr-FR"/>
        </w:rPr>
        <w:t>il y avait 18</w:t>
      </w:r>
      <w:r w:rsidR="00E15507">
        <w:rPr>
          <w:lang w:val="fr-FR"/>
        </w:rPr>
        <w:t> </w:t>
      </w:r>
      <w:r w:rsidR="00E15507" w:rsidRPr="005D6CD4">
        <w:rPr>
          <w:lang w:val="fr-FR"/>
        </w:rPr>
        <w:t>258 centres de soins de santé primaire</w:t>
      </w:r>
      <w:r w:rsidR="00E15507">
        <w:rPr>
          <w:lang w:val="fr-FR"/>
        </w:rPr>
        <w:t>s</w:t>
      </w:r>
      <w:r w:rsidR="00E15507" w:rsidRPr="005D6CD4">
        <w:rPr>
          <w:lang w:val="fr-FR"/>
        </w:rPr>
        <w:t xml:space="preserve"> agréés, 3</w:t>
      </w:r>
      <w:r w:rsidR="00E15507">
        <w:rPr>
          <w:lang w:val="fr-FR"/>
        </w:rPr>
        <w:t> </w:t>
      </w:r>
      <w:r w:rsidR="00E15507" w:rsidRPr="005D6CD4">
        <w:rPr>
          <w:lang w:val="fr-FR"/>
        </w:rPr>
        <w:t>275 centres de soins de santé secondaire</w:t>
      </w:r>
      <w:r w:rsidR="00E15507">
        <w:rPr>
          <w:lang w:val="fr-FR"/>
        </w:rPr>
        <w:t>s</w:t>
      </w:r>
      <w:r w:rsidR="00E15507" w:rsidRPr="005D6CD4">
        <w:rPr>
          <w:lang w:val="fr-FR"/>
        </w:rPr>
        <w:t xml:space="preserve"> et 29 centres de soins de santé tertiaire</w:t>
      </w:r>
      <w:r w:rsidR="00E15507">
        <w:rPr>
          <w:lang w:val="fr-FR"/>
        </w:rPr>
        <w:t>s</w:t>
      </w:r>
      <w:r w:rsidR="00E15507" w:rsidRPr="005D6CD4">
        <w:rPr>
          <w:lang w:val="fr-FR"/>
        </w:rPr>
        <w:t xml:space="preserve"> à travers le pays. Il est également signalé dans le </w:t>
      </w:r>
      <w:r w:rsidR="00E15507">
        <w:rPr>
          <w:lang w:val="fr-FR"/>
        </w:rPr>
        <w:t>cinquième r</w:t>
      </w:r>
      <w:r w:rsidR="00E15507" w:rsidRPr="005D6CD4">
        <w:rPr>
          <w:lang w:val="fr-FR"/>
        </w:rPr>
        <w:t xml:space="preserve">apport </w:t>
      </w:r>
      <w:r w:rsidR="00E15507">
        <w:rPr>
          <w:lang w:val="fr-FR"/>
        </w:rPr>
        <w:t xml:space="preserve">périodique </w:t>
      </w:r>
      <w:r w:rsidR="00E15507" w:rsidRPr="005D6CD4">
        <w:rPr>
          <w:lang w:val="fr-FR"/>
        </w:rPr>
        <w:t>que 67</w:t>
      </w:r>
      <w:r w:rsidR="00E15507">
        <w:rPr>
          <w:lang w:val="fr-FR"/>
        </w:rPr>
        <w:t> </w:t>
      </w:r>
      <w:r w:rsidR="00E15507" w:rsidRPr="005D6CD4">
        <w:rPr>
          <w:lang w:val="fr-FR"/>
        </w:rPr>
        <w:t>% des centres de soins de santé primaire</w:t>
      </w:r>
      <w:r w:rsidR="00E15507">
        <w:rPr>
          <w:lang w:val="fr-FR"/>
        </w:rPr>
        <w:t>s</w:t>
      </w:r>
      <w:r w:rsidR="00E15507" w:rsidRPr="005D6CD4">
        <w:rPr>
          <w:lang w:val="fr-FR"/>
        </w:rPr>
        <w:t>, 25</w:t>
      </w:r>
      <w:r w:rsidR="00E15507">
        <w:rPr>
          <w:lang w:val="fr-FR"/>
        </w:rPr>
        <w:t> </w:t>
      </w:r>
      <w:r w:rsidR="00E15507" w:rsidRPr="005D6CD4">
        <w:rPr>
          <w:lang w:val="fr-FR"/>
        </w:rPr>
        <w:t>% of de centres de soins de santé secondaire</w:t>
      </w:r>
      <w:r w:rsidR="00E15507">
        <w:rPr>
          <w:lang w:val="fr-FR"/>
        </w:rPr>
        <w:t>s</w:t>
      </w:r>
      <w:r w:rsidR="00E15507" w:rsidRPr="005D6CD4">
        <w:rPr>
          <w:lang w:val="fr-FR"/>
        </w:rPr>
        <w:t xml:space="preserve"> et tous les centres de soins de santé tertiaire</w:t>
      </w:r>
      <w:r w:rsidR="00E15507">
        <w:rPr>
          <w:lang w:val="fr-FR"/>
        </w:rPr>
        <w:t>s</w:t>
      </w:r>
      <w:r w:rsidR="00E15507" w:rsidRPr="005D6CD4">
        <w:rPr>
          <w:lang w:val="fr-FR"/>
        </w:rPr>
        <w:t>, à l</w:t>
      </w:r>
      <w:r w:rsidR="000A3D87">
        <w:rPr>
          <w:lang w:val="fr-FR"/>
        </w:rPr>
        <w:t>’</w:t>
      </w:r>
      <w:r w:rsidR="00E15507" w:rsidRPr="005D6CD4">
        <w:rPr>
          <w:lang w:val="fr-FR"/>
        </w:rPr>
        <w:t>exception d</w:t>
      </w:r>
      <w:r w:rsidR="000A3D87">
        <w:rPr>
          <w:lang w:val="fr-FR"/>
        </w:rPr>
        <w:t>’</w:t>
      </w:r>
      <w:r w:rsidR="00E15507" w:rsidRPr="005D6CD4">
        <w:rPr>
          <w:lang w:val="fr-FR"/>
        </w:rPr>
        <w:t>un seul, appartiennent au secteur public.</w:t>
      </w:r>
      <w:r w:rsidR="00E15507">
        <w:rPr>
          <w:lang w:val="fr-FR"/>
        </w:rPr>
        <w:t xml:space="preserve"> </w:t>
      </w:r>
    </w:p>
    <w:p w:rsidR="00671934" w:rsidRPr="00671934" w:rsidRDefault="00671934" w:rsidP="00671934">
      <w:pPr>
        <w:pStyle w:val="SingleTxt"/>
        <w:spacing w:after="0" w:line="120" w:lineRule="exact"/>
        <w:rPr>
          <w:sz w:val="10"/>
          <w:lang w:val="fr-FR"/>
        </w:rPr>
      </w:pPr>
    </w:p>
    <w:p w:rsidR="00E15507" w:rsidRDefault="00671934" w:rsidP="006719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12.4</w:t>
      </w:r>
      <w:r>
        <w:rPr>
          <w:lang w:val="fr-FR"/>
        </w:rPr>
        <w:tab/>
      </w:r>
      <w:r w:rsidR="00E15507" w:rsidRPr="005D6CD4">
        <w:rPr>
          <w:lang w:val="fr-FR"/>
        </w:rPr>
        <w:t>Mortalité et morbidité maternelles</w:t>
      </w:r>
    </w:p>
    <w:p w:rsidR="00671934" w:rsidRPr="00671934" w:rsidRDefault="00671934" w:rsidP="00671934">
      <w:pPr>
        <w:pStyle w:val="SingleTxt"/>
        <w:spacing w:after="0" w:line="120" w:lineRule="exact"/>
        <w:rPr>
          <w:sz w:val="10"/>
          <w:lang w:val="fr-FR"/>
        </w:rPr>
      </w:pPr>
    </w:p>
    <w:p w:rsidR="00E15507" w:rsidRPr="005D6CD4" w:rsidRDefault="00671934" w:rsidP="0012256D">
      <w:pPr>
        <w:pStyle w:val="SingleTxt"/>
        <w:rPr>
          <w:lang w:val="fr-FR"/>
        </w:rPr>
      </w:pPr>
      <w:r>
        <w:rPr>
          <w:lang w:val="fr-FR"/>
        </w:rPr>
        <w:tab/>
      </w:r>
      <w:r w:rsidR="00E15507" w:rsidRPr="00DE2A8A">
        <w:rPr>
          <w:lang w:val="fr-FR"/>
        </w:rPr>
        <w:t xml:space="preserve">Les statistiques sur la mortalité maternelle et leurs disparités géographiques signalées dans le </w:t>
      </w:r>
      <w:r w:rsidR="00E15507">
        <w:rPr>
          <w:lang w:val="fr-FR"/>
        </w:rPr>
        <w:t xml:space="preserve">quatrième </w:t>
      </w:r>
      <w:r w:rsidR="00E15507" w:rsidRPr="00DE2A8A">
        <w:rPr>
          <w:lang w:val="fr-FR"/>
        </w:rPr>
        <w:t xml:space="preserve"> rapport périodique restent inchangées</w:t>
      </w:r>
      <w:r w:rsidR="00E15507" w:rsidRPr="005D6CD4">
        <w:rPr>
          <w:lang w:val="fr-FR"/>
        </w:rPr>
        <w:t xml:space="preserve">, comme indiqué à la figure 12.1. </w:t>
      </w:r>
    </w:p>
    <w:p w:rsidR="00671934" w:rsidRPr="00671934" w:rsidRDefault="00671934" w:rsidP="00671934">
      <w:pPr>
        <w:pStyle w:val="SingleTxt"/>
        <w:jc w:val="left"/>
        <w:rPr>
          <w:bCs/>
          <w:lang w:val="fr-FR"/>
        </w:rPr>
      </w:pPr>
      <w:r>
        <w:rPr>
          <w:lang w:val="fr-FR"/>
        </w:rPr>
        <w:br w:type="page"/>
      </w:r>
      <w:r w:rsidRPr="00671934">
        <w:rPr>
          <w:lang w:val="fr-FR"/>
        </w:rPr>
        <w:t>Fig</w:t>
      </w:r>
      <w:r>
        <w:rPr>
          <w:lang w:val="fr-FR"/>
        </w:rPr>
        <w:t>ure</w:t>
      </w:r>
      <w:r w:rsidRPr="00671934">
        <w:rPr>
          <w:lang w:val="fr-FR"/>
        </w:rPr>
        <w:t xml:space="preserve"> 12.1</w:t>
      </w:r>
      <w:r>
        <w:rPr>
          <w:lang w:val="fr-FR"/>
        </w:rPr>
        <w:br/>
      </w:r>
      <w:r w:rsidRPr="00671934">
        <w:rPr>
          <w:b/>
          <w:lang w:val="fr-FR"/>
        </w:rPr>
        <w:t>Taux de mortalité maternelle par zone</w:t>
      </w:r>
      <w:r w:rsidR="005054FC">
        <w:rPr>
          <w:b/>
          <w:lang w:val="fr-FR"/>
        </w:rPr>
        <w:t>s</w:t>
      </w:r>
      <w:r w:rsidRPr="00671934">
        <w:rPr>
          <w:b/>
          <w:lang w:val="fr-FR"/>
        </w:rPr>
        <w:t xml:space="preserve"> (urbaine</w:t>
      </w:r>
      <w:r w:rsidR="005054FC">
        <w:rPr>
          <w:b/>
          <w:lang w:val="fr-FR"/>
        </w:rPr>
        <w:t>s</w:t>
      </w:r>
      <w:r w:rsidRPr="00671934">
        <w:rPr>
          <w:b/>
          <w:lang w:val="fr-FR"/>
        </w:rPr>
        <w:t xml:space="preserve"> et rurale</w:t>
      </w:r>
      <w:r w:rsidR="005054FC">
        <w:rPr>
          <w:b/>
          <w:lang w:val="fr-FR"/>
        </w:rPr>
        <w:t>s</w:t>
      </w:r>
      <w:r w:rsidRPr="00671934">
        <w:rPr>
          <w:b/>
          <w:lang w:val="fr-FR"/>
        </w:rPr>
        <w:t xml:space="preserve">) </w:t>
      </w:r>
      <w:r>
        <w:rPr>
          <w:b/>
          <w:lang w:val="fr-FR"/>
        </w:rPr>
        <w:br/>
      </w:r>
      <w:r w:rsidR="00BB7CFC">
        <w:rPr>
          <w:b/>
          <w:bCs/>
          <w:noProof/>
          <w:w w:val="100"/>
          <w:lang w:val="en-US"/>
        </w:rPr>
        <w:pict>
          <v:group id="_x0000_s2346" editas="canvas" style="position:absolute;left:0;text-align:left;margin-left:91.75pt;margin-top:66.8pt;width:309pt;height:190.5pt;z-index:19;mso-position-horizontal-relative:text;mso-position-vertical-relative:text" coordorigin="3030,3078" coordsize="6241,3810">
            <o:lock v:ext="edit" aspectratio="t"/>
            <v:shape id="_x0000_s2345" type="#_x0000_t75" style="position:absolute;left:3030;top:3078;width:6241;height:3810" o:preferrelative="f">
              <v:fill o:detectmouseclick="t"/>
              <v:path o:extrusionok="t" o:connecttype="none"/>
              <o:lock v:ext="edit" text="t"/>
            </v:shape>
            <v:rect id="_x0000_s2347" style="position:absolute;left:3105;top:3153;width:6015;height:3660"/>
            <v:rect id="_x0000_s2348" style="position:absolute;left:4245;top:3303;width:4530;height:2625" fillcolor="#cff" stroked="f"/>
            <v:line id="_x0000_s2349" style="position:absolute" from="5385,3303" to="5386,5928" strokeweight="0"/>
            <v:line id="_x0000_s2350" style="position:absolute" from="6510,3303" to="6511,5928" strokeweight="0"/>
            <v:line id="_x0000_s2351" style="position:absolute" from="7650,3303" to="7651,5928" strokeweight="0"/>
            <v:line id="_x0000_s2352" style="position:absolute" from="8775,3303" to="8776,5928" strokeweight="0"/>
            <v:rect id="_x0000_s2353" style="position:absolute;left:4245;top:3303;width:4530;height:2625" filled="f" strokecolor="gray"/>
            <v:rect id="_x0000_s2354" style="position:absolute;left:4245;top:5673;width:3510;height:150" fillcolor="#f60"/>
            <v:rect id="_x0000_s2355" style="position:absolute;left:4245;top:5298;width:2325;height:150" fillcolor="#f60"/>
            <v:rect id="_x0000_s2356" style="position:absolute;left:4245;top:4923;width:645;height:150" fillcolor="#f60"/>
            <v:rect id="_x0000_s2357" style="position:absolute;left:4245;top:4548;width:375;height:150" fillcolor="#f60"/>
            <v:rect id="_x0000_s2358" style="position:absolute;left:4245;top:4173;width:1875;height:150" fillcolor="#f60"/>
            <v:rect id="_x0000_s2359" style="position:absolute;left:4245;top:3798;width:795;height:150" fillcolor="#f60"/>
            <v:rect id="_x0000_s2360" style="position:absolute;left:4245;top:3423;width:1590;height:150" fillcolor="#f60"/>
            <v:line id="_x0000_s2361" style="position:absolute" from="4245,5928" to="8775,5929" strokeweight="0"/>
            <v:line id="_x0000_s2362" style="position:absolute;flip:y" from="4245,5928" to="4246,5973" strokeweight="0"/>
            <v:line id="_x0000_s2363" style="position:absolute;flip:y" from="5385,5928" to="5386,5973" strokeweight="0"/>
            <v:line id="_x0000_s2364" style="position:absolute;flip:y" from="6510,5928" to="6511,5973" strokeweight="0"/>
            <v:line id="_x0000_s2365" style="position:absolute;flip:y" from="7650,5928" to="7651,5973" strokeweight="0"/>
            <v:line id="_x0000_s2366" style="position:absolute;flip:y" from="8775,5928" to="8776,5973" strokeweight="0"/>
            <v:line id="_x0000_s2367" style="position:absolute" from="4245,3303" to="4246,5928" strokeweight="0"/>
            <v:line id="_x0000_s2368" style="position:absolute" from="4200,5928" to="4245,5929" strokeweight="0"/>
            <v:line id="_x0000_s2369" style="position:absolute" from="4200,5553" to="4245,5554" strokeweight="0"/>
            <v:line id="_x0000_s2370" style="position:absolute" from="4200,5178" to="4245,5179" strokeweight="0"/>
            <v:line id="_x0000_s2371" style="position:absolute" from="4200,4803" to="4245,4804" strokeweight="0"/>
            <v:line id="_x0000_s2372" style="position:absolute" from="4200,4428" to="4245,4429" strokeweight="0"/>
            <v:line id="_x0000_s2373" style="position:absolute" from="4200,4053" to="4245,4054" strokeweight="0"/>
            <v:line id="_x0000_s2374" style="position:absolute" from="4200,3678" to="4245,3679" strokeweight="0"/>
            <v:line id="_x0000_s2375" style="position:absolute" from="4200,3303" to="4245,3304" strokeweight="0"/>
            <v:rect id="_x0000_s2376" style="position:absolute;left:7815;top:5643;width:599;height:240" filled="f" stroked="f">
              <v:textbox style="mso-fit-shape-to-text:t" inset="0,0,0,0">
                <w:txbxContent>
                  <w:p w:rsidR="00BB7CFC" w:rsidRDefault="00BB7CFC">
                    <w:r>
                      <w:rPr>
                        <w:rFonts w:ascii="Arial" w:hAnsi="Arial" w:cs="Arial"/>
                        <w:color w:val="000000"/>
                        <w:sz w:val="16"/>
                        <w:szCs w:val="16"/>
                      </w:rPr>
                      <w:t>1549</w:t>
                    </w:r>
                  </w:p>
                </w:txbxContent>
              </v:textbox>
            </v:rect>
            <v:rect id="_x0000_s2377" style="position:absolute;left:6630;top:5268;width:693;height:240" filled="f" stroked="f">
              <v:textbox style="mso-fit-shape-to-text:t" inset="0,0,0,0">
                <w:txbxContent>
                  <w:p w:rsidR="00BB7CFC" w:rsidRDefault="00BB7CFC">
                    <w:r>
                      <w:rPr>
                        <w:rFonts w:ascii="Arial" w:hAnsi="Arial" w:cs="Arial"/>
                        <w:color w:val="000000"/>
                        <w:sz w:val="16"/>
                        <w:szCs w:val="16"/>
                      </w:rPr>
                      <w:t>1025</w:t>
                    </w:r>
                  </w:p>
                </w:txbxContent>
              </v:textbox>
            </v:rect>
            <v:rect id="_x0000_s2378" style="position:absolute;left:4950;top:4893;width:373;height:240" filled="f" stroked="f">
              <v:textbox style="mso-fit-shape-to-text:t" inset="0,0,0,0">
                <w:txbxContent>
                  <w:p w:rsidR="00BB7CFC" w:rsidRDefault="00BB7CFC">
                    <w:r>
                      <w:rPr>
                        <w:rFonts w:ascii="Arial" w:hAnsi="Arial" w:cs="Arial"/>
                        <w:color w:val="000000"/>
                        <w:sz w:val="16"/>
                        <w:szCs w:val="16"/>
                      </w:rPr>
                      <w:t>286</w:t>
                    </w:r>
                  </w:p>
                </w:txbxContent>
              </v:textbox>
            </v:rect>
            <v:rect id="_x0000_s2379" style="position:absolute;left:4680;top:4518;width:643;height:240" filled="f" stroked="f">
              <v:textbox style="mso-fit-shape-to-text:t" inset="0,0,0,0">
                <w:txbxContent>
                  <w:p w:rsidR="00BB7CFC" w:rsidRDefault="00BB7CFC">
                    <w:r>
                      <w:rPr>
                        <w:rFonts w:ascii="Arial" w:hAnsi="Arial" w:cs="Arial"/>
                        <w:color w:val="000000"/>
                        <w:sz w:val="16"/>
                        <w:szCs w:val="16"/>
                      </w:rPr>
                      <w:t>165</w:t>
                    </w:r>
                  </w:p>
                </w:txbxContent>
              </v:textbox>
            </v:rect>
            <v:rect id="_x0000_s2380" style="position:absolute;left:6180;top:4143;width:598;height:240" filled="f" stroked="f">
              <v:textbox style="mso-fit-shape-to-text:t" inset="0,0,0,0">
                <w:txbxContent>
                  <w:p w:rsidR="00BB7CFC" w:rsidRDefault="00BB7CFC">
                    <w:r>
                      <w:rPr>
                        <w:rFonts w:ascii="Arial" w:hAnsi="Arial" w:cs="Arial"/>
                        <w:color w:val="000000"/>
                        <w:sz w:val="16"/>
                        <w:szCs w:val="16"/>
                      </w:rPr>
                      <w:t>828</w:t>
                    </w:r>
                  </w:p>
                </w:txbxContent>
              </v:textbox>
            </v:rect>
            <v:rect id="_x0000_s2381" style="position:absolute;left:5100;top:3768;width:405;height:240" filled="f" stroked="f">
              <v:textbox style="mso-fit-shape-to-text:t" inset="0,0,0,0">
                <w:txbxContent>
                  <w:p w:rsidR="00BB7CFC" w:rsidRDefault="00BB7CFC">
                    <w:r>
                      <w:rPr>
                        <w:rFonts w:ascii="Arial" w:hAnsi="Arial" w:cs="Arial"/>
                        <w:color w:val="000000"/>
                        <w:sz w:val="16"/>
                        <w:szCs w:val="16"/>
                      </w:rPr>
                      <w:t>351</w:t>
                    </w:r>
                  </w:p>
                </w:txbxContent>
              </v:textbox>
            </v:rect>
            <v:rect id="_x0000_s2382" style="position:absolute;left:5895;top:3393;width:519;height:240" filled="f" stroked="f">
              <v:textbox style="mso-fit-shape-to-text:t" inset="0,0,0,0">
                <w:txbxContent>
                  <w:p w:rsidR="00BB7CFC" w:rsidRDefault="00BB7CFC">
                    <w:r>
                      <w:rPr>
                        <w:rFonts w:ascii="Arial" w:hAnsi="Arial" w:cs="Arial"/>
                        <w:color w:val="000000"/>
                        <w:sz w:val="16"/>
                        <w:szCs w:val="16"/>
                      </w:rPr>
                      <w:t>704</w:t>
                    </w:r>
                  </w:p>
                </w:txbxContent>
              </v:textbox>
            </v:rect>
            <v:rect id="_x0000_s2383" style="position:absolute;left:4200;top:6063;width:96;height:240;mso-wrap-style:none" filled="f" stroked="f">
              <v:textbox style="mso-fit-shape-to-text:t" inset="0,0,0,0">
                <w:txbxContent>
                  <w:p w:rsidR="00BB7CFC" w:rsidRDefault="00BB7CFC">
                    <w:r>
                      <w:rPr>
                        <w:rFonts w:ascii="Arial" w:hAnsi="Arial" w:cs="Arial"/>
                        <w:color w:val="000000"/>
                        <w:sz w:val="16"/>
                        <w:szCs w:val="16"/>
                      </w:rPr>
                      <w:t>0</w:t>
                    </w:r>
                  </w:p>
                </w:txbxContent>
              </v:textbox>
            </v:rect>
            <v:rect id="_x0000_s2384" style="position:absolute;left:5250;top:6063;width:619;height:240" filled="f" stroked="f">
              <v:textbox style="mso-fit-shape-to-text:t" inset="0,0,0,0">
                <w:txbxContent>
                  <w:p w:rsidR="00BB7CFC" w:rsidRDefault="00BB7CFC">
                    <w:r>
                      <w:rPr>
                        <w:rFonts w:ascii="Arial" w:hAnsi="Arial" w:cs="Arial"/>
                        <w:color w:val="000000"/>
                        <w:sz w:val="16"/>
                        <w:szCs w:val="16"/>
                      </w:rPr>
                      <w:t>500</w:t>
                    </w:r>
                  </w:p>
                </w:txbxContent>
              </v:textbox>
            </v:rect>
            <v:rect id="_x0000_s2385" style="position:absolute;left:6330;top:6063;width:448;height:240" filled="f" stroked="f">
              <v:textbox style="mso-fit-shape-to-text:t" inset="0,0,0,0">
                <w:txbxContent>
                  <w:p w:rsidR="00BB7CFC" w:rsidRDefault="00BB7CFC">
                    <w:r>
                      <w:rPr>
                        <w:rFonts w:ascii="Arial" w:hAnsi="Arial" w:cs="Arial"/>
                        <w:color w:val="000000"/>
                        <w:sz w:val="16"/>
                        <w:szCs w:val="16"/>
                      </w:rPr>
                      <w:t>1000</w:t>
                    </w:r>
                  </w:p>
                </w:txbxContent>
              </v:textbox>
            </v:rect>
            <v:rect id="_x0000_s2386" style="position:absolute;left:7470;top:6063;width:580;height:240" filled="f" stroked="f">
              <v:textbox style="mso-fit-shape-to-text:t" inset="0,0,0,0">
                <w:txbxContent>
                  <w:p w:rsidR="00BB7CFC" w:rsidRDefault="00BB7CFC">
                    <w:r>
                      <w:rPr>
                        <w:rFonts w:ascii="Arial" w:hAnsi="Arial" w:cs="Arial"/>
                        <w:color w:val="000000"/>
                        <w:sz w:val="16"/>
                        <w:szCs w:val="16"/>
                      </w:rPr>
                      <w:t>1500</w:t>
                    </w:r>
                  </w:p>
                </w:txbxContent>
              </v:textbox>
            </v:rect>
            <v:rect id="_x0000_s2387" style="position:absolute;left:8595;top:6063;width:546;height:240" filled="f" stroked="f">
              <v:textbox style="mso-fit-shape-to-text:t" inset="0,0,0,0">
                <w:txbxContent>
                  <w:p w:rsidR="00BB7CFC" w:rsidRDefault="00BB7CFC">
                    <w:r>
                      <w:rPr>
                        <w:rFonts w:ascii="Arial" w:hAnsi="Arial" w:cs="Arial"/>
                        <w:color w:val="000000"/>
                        <w:sz w:val="16"/>
                        <w:szCs w:val="16"/>
                      </w:rPr>
                      <w:t>2000</w:t>
                    </w:r>
                  </w:p>
                </w:txbxContent>
              </v:textbox>
            </v:rect>
            <v:rect id="_x0000_s2388" style="position:absolute;left:3375;top:5628;width:738;height:480;mso-wrap-style:none" filled="f" stroked="f">
              <v:textbox style="mso-fit-shape-to-text:t" inset="0,0,0,0">
                <w:txbxContent>
                  <w:p w:rsidR="00BB7CFC" w:rsidRDefault="00BB7CFC">
                    <w:r>
                      <w:rPr>
                        <w:rFonts w:ascii="Arial" w:hAnsi="Arial" w:cs="Arial"/>
                        <w:color w:val="000000"/>
                        <w:sz w:val="16"/>
                        <w:szCs w:val="16"/>
                      </w:rPr>
                      <w:t>Nort</w:t>
                    </w:r>
                    <w:r w:rsidR="008B0DF6">
                      <w:rPr>
                        <w:rFonts w:ascii="Arial" w:hAnsi="Arial" w:cs="Arial"/>
                        <w:color w:val="000000"/>
                        <w:sz w:val="16"/>
                        <w:szCs w:val="16"/>
                      </w:rPr>
                      <w:t>d-</w:t>
                    </w:r>
                    <w:r>
                      <w:rPr>
                        <w:rFonts w:ascii="Arial" w:hAnsi="Arial" w:cs="Arial"/>
                        <w:color w:val="000000"/>
                        <w:sz w:val="16"/>
                        <w:szCs w:val="16"/>
                      </w:rPr>
                      <w:t>Est</w:t>
                    </w:r>
                  </w:p>
                </w:txbxContent>
              </v:textbox>
            </v:rect>
            <v:rect id="_x0000_s2389" style="position:absolute;left:3315;top:5253;width:901;height:480;mso-wrap-style:none" filled="f" stroked="f">
              <v:textbox style="mso-fit-shape-to-text:t" inset="0,0,0,0">
                <w:txbxContent>
                  <w:p w:rsidR="00BB7CFC" w:rsidRDefault="00BB7CFC">
                    <w:r>
                      <w:rPr>
                        <w:rFonts w:ascii="Arial" w:hAnsi="Arial" w:cs="Arial"/>
                        <w:color w:val="000000"/>
                        <w:sz w:val="16"/>
                        <w:szCs w:val="16"/>
                      </w:rPr>
                      <w:t>Nor</w:t>
                    </w:r>
                    <w:r w:rsidR="008B0DF6">
                      <w:rPr>
                        <w:rFonts w:ascii="Arial" w:hAnsi="Arial" w:cs="Arial"/>
                        <w:color w:val="000000"/>
                        <w:sz w:val="16"/>
                        <w:szCs w:val="16"/>
                      </w:rPr>
                      <w:t>d-Ou</w:t>
                    </w:r>
                    <w:r>
                      <w:rPr>
                        <w:rFonts w:ascii="Arial" w:hAnsi="Arial" w:cs="Arial"/>
                        <w:color w:val="000000"/>
                        <w:sz w:val="16"/>
                        <w:szCs w:val="16"/>
                      </w:rPr>
                      <w:t>est</w:t>
                    </w:r>
                  </w:p>
                </w:txbxContent>
              </v:textbox>
            </v:rect>
            <v:rect id="_x0000_s2390" style="position:absolute;left:3321;top:4878;width:639;height:240" filled="f" stroked="f">
              <v:textbox style="mso-fit-shape-to-text:t" inset="0,0,0,0">
                <w:txbxContent>
                  <w:p w:rsidR="00BB7CFC" w:rsidRDefault="00BB7CFC">
                    <w:r>
                      <w:rPr>
                        <w:rFonts w:ascii="Arial" w:hAnsi="Arial" w:cs="Arial"/>
                        <w:color w:val="000000"/>
                        <w:sz w:val="16"/>
                        <w:szCs w:val="16"/>
                      </w:rPr>
                      <w:t>Su</w:t>
                    </w:r>
                    <w:r w:rsidR="008B0DF6">
                      <w:rPr>
                        <w:rFonts w:ascii="Arial" w:hAnsi="Arial" w:cs="Arial"/>
                        <w:color w:val="000000"/>
                        <w:sz w:val="16"/>
                        <w:szCs w:val="16"/>
                      </w:rPr>
                      <w:t>d-</w:t>
                    </w:r>
                    <w:r>
                      <w:rPr>
                        <w:rFonts w:ascii="Arial" w:hAnsi="Arial" w:cs="Arial"/>
                        <w:color w:val="000000"/>
                        <w:sz w:val="16"/>
                        <w:szCs w:val="16"/>
                      </w:rPr>
                      <w:t>Est</w:t>
                    </w:r>
                  </w:p>
                </w:txbxContent>
              </v:textbox>
            </v:rect>
            <v:rect id="_x0000_s2391" style="position:absolute;left:3285;top:4503;width:833;height:480;mso-wrap-style:none" filled="f" stroked="f">
              <v:textbox style="mso-fit-shape-to-text:t" inset="0,0,0,0">
                <w:txbxContent>
                  <w:p w:rsidR="00BB7CFC" w:rsidRDefault="00BB7CFC">
                    <w:r>
                      <w:rPr>
                        <w:rFonts w:ascii="Arial" w:hAnsi="Arial" w:cs="Arial"/>
                        <w:color w:val="000000"/>
                        <w:sz w:val="16"/>
                        <w:szCs w:val="16"/>
                      </w:rPr>
                      <w:t>Su</w:t>
                    </w:r>
                    <w:r w:rsidR="008B0DF6">
                      <w:rPr>
                        <w:rFonts w:ascii="Arial" w:hAnsi="Arial" w:cs="Arial"/>
                        <w:color w:val="000000"/>
                        <w:sz w:val="16"/>
                        <w:szCs w:val="16"/>
                      </w:rPr>
                      <w:t>d-Ou</w:t>
                    </w:r>
                    <w:r>
                      <w:rPr>
                        <w:rFonts w:ascii="Arial" w:hAnsi="Arial" w:cs="Arial"/>
                        <w:color w:val="000000"/>
                        <w:sz w:val="16"/>
                        <w:szCs w:val="16"/>
                      </w:rPr>
                      <w:t>est</w:t>
                    </w:r>
                  </w:p>
                </w:txbxContent>
              </v:textbox>
            </v:rect>
            <v:rect id="_x0000_s2392" style="position:absolute;left:3321;top:4128;width:843;height:240" filled="f" stroked="f">
              <v:textbox style="mso-fit-shape-to-text:t" inset="0,0,0,0">
                <w:txbxContent>
                  <w:p w:rsidR="00BB7CFC" w:rsidRDefault="00BB7CFC">
                    <w:r>
                      <w:rPr>
                        <w:rFonts w:ascii="Arial" w:hAnsi="Arial" w:cs="Arial"/>
                        <w:color w:val="000000"/>
                        <w:sz w:val="16"/>
                        <w:szCs w:val="16"/>
                      </w:rPr>
                      <w:t>Rural</w:t>
                    </w:r>
                    <w:r w:rsidR="008B0DF6">
                      <w:rPr>
                        <w:rFonts w:ascii="Arial" w:hAnsi="Arial" w:cs="Arial"/>
                        <w:color w:val="000000"/>
                        <w:sz w:val="16"/>
                        <w:szCs w:val="16"/>
                      </w:rPr>
                      <w:t>e</w:t>
                    </w:r>
                  </w:p>
                </w:txbxContent>
              </v:textbox>
            </v:rect>
            <v:rect id="_x0000_s2393" style="position:absolute;left:3321;top:3753;width:838;height:240" filled="f" stroked="f">
              <v:textbox style="mso-fit-shape-to-text:t" inset="0,0,0,0">
                <w:txbxContent>
                  <w:p w:rsidR="00BB7CFC" w:rsidRDefault="00BB7CFC">
                    <w:r>
                      <w:rPr>
                        <w:rFonts w:ascii="Arial" w:hAnsi="Arial" w:cs="Arial"/>
                        <w:color w:val="000000"/>
                        <w:sz w:val="16"/>
                        <w:szCs w:val="16"/>
                      </w:rPr>
                      <w:t>Urba</w:t>
                    </w:r>
                    <w:r w:rsidR="008B0DF6">
                      <w:rPr>
                        <w:rFonts w:ascii="Arial" w:hAnsi="Arial" w:cs="Arial"/>
                        <w:color w:val="000000"/>
                        <w:sz w:val="16"/>
                        <w:szCs w:val="16"/>
                      </w:rPr>
                      <w:t>i</w:t>
                    </w:r>
                    <w:r>
                      <w:rPr>
                        <w:rFonts w:ascii="Arial" w:hAnsi="Arial" w:cs="Arial"/>
                        <w:color w:val="000000"/>
                        <w:sz w:val="16"/>
                        <w:szCs w:val="16"/>
                      </w:rPr>
                      <w:t>n</w:t>
                    </w:r>
                    <w:r w:rsidR="008B0DF6">
                      <w:rPr>
                        <w:rFonts w:ascii="Arial" w:hAnsi="Arial" w:cs="Arial"/>
                        <w:color w:val="000000"/>
                        <w:sz w:val="16"/>
                        <w:szCs w:val="16"/>
                      </w:rPr>
                      <w:t>e</w:t>
                    </w:r>
                  </w:p>
                </w:txbxContent>
              </v:textbox>
            </v:rect>
            <v:rect id="_x0000_s2394" style="position:absolute;left:3321;top:3378;width:871;height:240" filled="f" stroked="f">
              <v:textbox style="mso-fit-shape-to-text:t" inset="0,0,0,0">
                <w:txbxContent>
                  <w:p w:rsidR="00BB7CFC" w:rsidRDefault="00BB7CFC">
                    <w:r>
                      <w:rPr>
                        <w:rFonts w:ascii="Arial" w:hAnsi="Arial" w:cs="Arial"/>
                        <w:color w:val="000000"/>
                        <w:sz w:val="16"/>
                        <w:szCs w:val="16"/>
                      </w:rPr>
                      <w:t>Nationale</w:t>
                    </w:r>
                  </w:p>
                </w:txbxContent>
              </v:textbox>
            </v:rect>
            <v:rect id="_x0000_s2395" style="position:absolute;left:4860;top:6378;width:3354;height:480;mso-wrap-style:none" filled="f" stroked="f">
              <v:textbox style="mso-fit-shape-to-text:t" inset="0,0,0,0">
                <w:txbxContent>
                  <w:p w:rsidR="00BB7CFC" w:rsidRDefault="008B0DF6">
                    <w:r>
                      <w:rPr>
                        <w:rFonts w:ascii="Arial" w:hAnsi="Arial" w:cs="Arial"/>
                        <w:b/>
                        <w:bCs/>
                        <w:color w:val="000000"/>
                        <w:sz w:val="16"/>
                        <w:szCs w:val="16"/>
                      </w:rPr>
                      <w:t>Taux de mortalité maternelle</w:t>
                    </w:r>
                    <w:r w:rsidR="00BB7CFC">
                      <w:rPr>
                        <w:rFonts w:ascii="Arial" w:hAnsi="Arial" w:cs="Arial"/>
                        <w:b/>
                        <w:bCs/>
                        <w:color w:val="000000"/>
                        <w:sz w:val="16"/>
                        <w:szCs w:val="16"/>
                      </w:rPr>
                      <w:t xml:space="preserve"> (1988-1999)</w:t>
                    </w:r>
                  </w:p>
                </w:txbxContent>
              </v:textbox>
            </v:rect>
            <v:rect id="_x0000_s2396" style="position:absolute;left:3105;top:3153;width:6015;height:3660" filled="f"/>
          </v:group>
        </w:pict>
      </w:r>
      <w:r w:rsidRPr="00671934">
        <w:rPr>
          <w:b/>
          <w:bCs/>
          <w:lang w:val="fr-FR"/>
        </w:rPr>
        <w:t>(par 100 000 naissances vivantes)</w:t>
      </w:r>
    </w:p>
    <w:p w:rsidR="008B0DF6" w:rsidRDefault="008B0DF6" w:rsidP="0012256D">
      <w:pPr>
        <w:pStyle w:val="SingleTxt"/>
        <w:rPr>
          <w:lang w:val="fr-FR"/>
        </w:rPr>
      </w:pPr>
    </w:p>
    <w:p w:rsidR="008B0DF6" w:rsidRDefault="008B0DF6" w:rsidP="0012256D">
      <w:pPr>
        <w:pStyle w:val="SingleTxt"/>
        <w:rPr>
          <w:lang w:val="fr-FR"/>
        </w:rPr>
      </w:pPr>
    </w:p>
    <w:p w:rsidR="008B0DF6" w:rsidRDefault="008B0DF6" w:rsidP="0012256D">
      <w:pPr>
        <w:pStyle w:val="SingleTxt"/>
        <w:rPr>
          <w:lang w:val="fr-FR"/>
        </w:rPr>
      </w:pPr>
    </w:p>
    <w:p w:rsidR="008B0DF6" w:rsidRDefault="008B0DF6" w:rsidP="0012256D">
      <w:pPr>
        <w:pStyle w:val="SingleTxt"/>
        <w:rPr>
          <w:lang w:val="fr-FR"/>
        </w:rPr>
      </w:pPr>
    </w:p>
    <w:p w:rsidR="008B0DF6" w:rsidRDefault="008B0DF6" w:rsidP="0012256D">
      <w:pPr>
        <w:pStyle w:val="SingleTxt"/>
        <w:rPr>
          <w:lang w:val="fr-FR"/>
        </w:rPr>
      </w:pPr>
    </w:p>
    <w:p w:rsidR="008B0DF6" w:rsidRDefault="008B0DF6" w:rsidP="0012256D">
      <w:pPr>
        <w:pStyle w:val="SingleTxt"/>
        <w:rPr>
          <w:lang w:val="fr-FR"/>
        </w:rPr>
      </w:pPr>
    </w:p>
    <w:p w:rsidR="008B0DF6" w:rsidRDefault="008B0DF6" w:rsidP="0012256D">
      <w:pPr>
        <w:pStyle w:val="SingleTxt"/>
        <w:rPr>
          <w:lang w:val="fr-FR"/>
        </w:rPr>
      </w:pPr>
    </w:p>
    <w:p w:rsidR="008B0DF6" w:rsidRDefault="008B0DF6" w:rsidP="0012256D">
      <w:pPr>
        <w:pStyle w:val="SingleTxt"/>
        <w:rPr>
          <w:lang w:val="fr-FR"/>
        </w:rPr>
      </w:pPr>
    </w:p>
    <w:p w:rsidR="008B0DF6" w:rsidRDefault="008B0DF6" w:rsidP="0012256D">
      <w:pPr>
        <w:pStyle w:val="SingleTxt"/>
        <w:rPr>
          <w:lang w:val="fr-FR"/>
        </w:rPr>
      </w:pPr>
    </w:p>
    <w:p w:rsidR="008B0DF6" w:rsidRDefault="008B0DF6" w:rsidP="0012256D">
      <w:pPr>
        <w:pStyle w:val="SingleTxt"/>
        <w:rPr>
          <w:lang w:val="fr-FR"/>
        </w:rPr>
      </w:pPr>
    </w:p>
    <w:p w:rsidR="008B0DF6" w:rsidRDefault="008B0DF6" w:rsidP="0012256D">
      <w:pPr>
        <w:pStyle w:val="SingleTxt"/>
        <w:rPr>
          <w:lang w:val="fr-FR"/>
        </w:rPr>
      </w:pPr>
    </w:p>
    <w:p w:rsidR="008B0DF6" w:rsidRDefault="008B0DF6" w:rsidP="0012256D">
      <w:pPr>
        <w:pStyle w:val="SingleTxt"/>
        <w:rPr>
          <w:lang w:val="fr-FR"/>
        </w:rPr>
      </w:pPr>
    </w:p>
    <w:p w:rsidR="008B0DF6" w:rsidRDefault="008B0DF6" w:rsidP="0012256D">
      <w:pPr>
        <w:pStyle w:val="SingleTxt"/>
        <w:rPr>
          <w:lang w:val="fr-FR"/>
        </w:rPr>
      </w:pPr>
    </w:p>
    <w:p w:rsidR="008B0DF6" w:rsidRPr="008B0DF6" w:rsidRDefault="008B0DF6" w:rsidP="008B0DF6">
      <w:pPr>
        <w:pStyle w:val="SingleTxt"/>
        <w:rPr>
          <w:sz w:val="17"/>
          <w:szCs w:val="17"/>
        </w:rPr>
      </w:pPr>
      <w:r>
        <w:rPr>
          <w:vertAlign w:val="superscript"/>
        </w:rPr>
        <w:tab/>
      </w:r>
      <w:r w:rsidRPr="008B0DF6">
        <w:rPr>
          <w:sz w:val="17"/>
          <w:szCs w:val="17"/>
          <w:vertAlign w:val="superscript"/>
        </w:rPr>
        <w:t xml:space="preserve">     </w:t>
      </w:r>
      <w:r w:rsidRPr="008B0DF6">
        <w:rPr>
          <w:i/>
          <w:sz w:val="17"/>
          <w:szCs w:val="17"/>
        </w:rPr>
        <w:t>Source</w:t>
      </w:r>
      <w:r w:rsidRPr="008B0DF6">
        <w:rPr>
          <w:sz w:val="17"/>
          <w:szCs w:val="17"/>
        </w:rPr>
        <w:t xml:space="preserve"> : Enquête démographique et de santé, 1999</w:t>
      </w:r>
    </w:p>
    <w:p w:rsidR="00E15507" w:rsidRPr="005D6CD4" w:rsidRDefault="00671934" w:rsidP="0012256D">
      <w:pPr>
        <w:pStyle w:val="SingleTxt"/>
        <w:rPr>
          <w:lang w:val="fr-FR"/>
        </w:rPr>
      </w:pPr>
      <w:r>
        <w:rPr>
          <w:lang w:val="fr-FR"/>
        </w:rPr>
        <w:tab/>
      </w:r>
      <w:r w:rsidR="00E15507" w:rsidRPr="005D6CD4">
        <w:rPr>
          <w:lang w:val="fr-FR"/>
        </w:rPr>
        <w:t>En vue d</w:t>
      </w:r>
      <w:r w:rsidR="000A3D87">
        <w:rPr>
          <w:lang w:val="fr-FR"/>
        </w:rPr>
        <w:t>’</w:t>
      </w:r>
      <w:r w:rsidR="00E15507" w:rsidRPr="005D6CD4">
        <w:rPr>
          <w:lang w:val="fr-FR"/>
        </w:rPr>
        <w:t>atteindre les cibles 4 et 5 des O</w:t>
      </w:r>
      <w:r w:rsidR="00E15507">
        <w:rPr>
          <w:lang w:val="fr-FR"/>
        </w:rPr>
        <w:t>M</w:t>
      </w:r>
      <w:r w:rsidR="00E15507" w:rsidRPr="005D6CD4">
        <w:rPr>
          <w:lang w:val="fr-FR"/>
        </w:rPr>
        <w:t>D qui consistent</w:t>
      </w:r>
      <w:r w:rsidR="00E15507">
        <w:rPr>
          <w:lang w:val="fr-FR"/>
        </w:rPr>
        <w:t xml:space="preserve"> </w:t>
      </w:r>
      <w:r w:rsidR="00E15507" w:rsidRPr="005D6CD4">
        <w:rPr>
          <w:lang w:val="fr-FR"/>
        </w:rPr>
        <w:t>respectivement à réduire la mortalité infantile et améliorer la santé maternelle, le Groupe de travail régional africain sur la santé de la reproduction</w:t>
      </w:r>
      <w:r w:rsidR="00E15507">
        <w:rPr>
          <w:lang w:val="fr-FR"/>
        </w:rPr>
        <w:t>,</w:t>
      </w:r>
      <w:r w:rsidR="00E15507" w:rsidRPr="005D6CD4">
        <w:rPr>
          <w:lang w:val="fr-FR"/>
        </w:rPr>
        <w:t xml:space="preserve"> qui s</w:t>
      </w:r>
      <w:r w:rsidR="000A3D87">
        <w:rPr>
          <w:lang w:val="fr-FR"/>
        </w:rPr>
        <w:t>’</w:t>
      </w:r>
      <w:r w:rsidR="00E15507" w:rsidRPr="005D6CD4">
        <w:rPr>
          <w:lang w:val="fr-FR"/>
        </w:rPr>
        <w:t>est réuni entre le 20 et le 24</w:t>
      </w:r>
      <w:r w:rsidR="008B0DF6">
        <w:rPr>
          <w:lang w:val="fr-FR"/>
        </w:rPr>
        <w:t> </w:t>
      </w:r>
      <w:r w:rsidR="00E15507" w:rsidRPr="005D6CD4">
        <w:rPr>
          <w:lang w:val="fr-FR"/>
        </w:rPr>
        <w:t>octobre 2003 à Dakar (Sénégal)</w:t>
      </w:r>
      <w:r w:rsidR="00E15507">
        <w:rPr>
          <w:lang w:val="fr-FR"/>
        </w:rPr>
        <w:t>,</w:t>
      </w:r>
      <w:r w:rsidR="00E15507" w:rsidRPr="005D6CD4">
        <w:rPr>
          <w:lang w:val="fr-FR"/>
        </w:rPr>
        <w:t xml:space="preserve"> a demandé à toutes les parties prenantes de concevoir et de mettre en œuvre un</w:t>
      </w:r>
      <w:r w:rsidR="00E15507">
        <w:rPr>
          <w:lang w:val="fr-FR"/>
        </w:rPr>
        <w:t xml:space="preserve"> plan de campagne </w:t>
      </w:r>
      <w:r w:rsidR="00E15507" w:rsidRPr="005D6CD4">
        <w:rPr>
          <w:lang w:val="fr-FR"/>
        </w:rPr>
        <w:t xml:space="preserve">pour accélérer la réduction de la mortalité maternelle et du nouveau-né. Le </w:t>
      </w:r>
      <w:r w:rsidR="00E15507">
        <w:rPr>
          <w:lang w:val="fr-FR"/>
        </w:rPr>
        <w:t>Nigéria</w:t>
      </w:r>
      <w:r w:rsidR="00E15507" w:rsidRPr="005D6CD4">
        <w:rPr>
          <w:lang w:val="fr-FR"/>
        </w:rPr>
        <w:t xml:space="preserve"> a donc conçu s</w:t>
      </w:r>
      <w:r w:rsidR="00E15507">
        <w:rPr>
          <w:lang w:val="fr-FR"/>
        </w:rPr>
        <w:t xml:space="preserve">on plan de campagne </w:t>
      </w:r>
      <w:r w:rsidR="00E15507" w:rsidRPr="005D6CD4">
        <w:rPr>
          <w:lang w:val="fr-FR"/>
        </w:rPr>
        <w:t>route qui est une adaptation d</w:t>
      </w:r>
      <w:r w:rsidR="00E15507">
        <w:rPr>
          <w:lang w:val="fr-FR"/>
        </w:rPr>
        <w:t xml:space="preserve">u plan de campagne </w:t>
      </w:r>
      <w:r w:rsidR="00E15507" w:rsidRPr="005D6CD4">
        <w:rPr>
          <w:lang w:val="fr-FR"/>
        </w:rPr>
        <w:t>régional.</w:t>
      </w:r>
    </w:p>
    <w:p w:rsidR="00E15507" w:rsidRPr="005D6CD4" w:rsidRDefault="00671934" w:rsidP="0012256D">
      <w:pPr>
        <w:pStyle w:val="SingleTxt"/>
        <w:rPr>
          <w:lang w:val="fr-FR"/>
        </w:rPr>
      </w:pPr>
      <w:r>
        <w:rPr>
          <w:lang w:val="fr-FR"/>
        </w:rPr>
        <w:tab/>
      </w:r>
      <w:r w:rsidR="00E15507" w:rsidRPr="005D6CD4">
        <w:rPr>
          <w:lang w:val="fr-FR"/>
        </w:rPr>
        <w:t>Ce</w:t>
      </w:r>
      <w:r w:rsidR="00E15507">
        <w:rPr>
          <w:lang w:val="fr-FR"/>
        </w:rPr>
        <w:t xml:space="preserve"> plan de campagne </w:t>
      </w:r>
      <w:r w:rsidR="00E15507" w:rsidRPr="005D6CD4">
        <w:rPr>
          <w:lang w:val="fr-FR"/>
        </w:rPr>
        <w:t>prévoit un cadre de partenariats stratégiques pour l</w:t>
      </w:r>
      <w:r w:rsidR="000A3D87">
        <w:rPr>
          <w:lang w:val="fr-FR"/>
        </w:rPr>
        <w:t>’</w:t>
      </w:r>
      <w:r w:rsidR="00E15507" w:rsidRPr="005D6CD4">
        <w:rPr>
          <w:lang w:val="fr-FR"/>
        </w:rPr>
        <w:t>augmentation des investissements dans la santé maternelle et du nouveau-né au niveau des institutions et des programmes. La mise en œuvre au niveau des pays se fera en</w:t>
      </w:r>
      <w:r w:rsidR="00E15507">
        <w:rPr>
          <w:lang w:val="fr-FR"/>
        </w:rPr>
        <w:t xml:space="preserve"> </w:t>
      </w:r>
      <w:r w:rsidR="00E15507" w:rsidRPr="005D6CD4">
        <w:rPr>
          <w:lang w:val="fr-FR"/>
        </w:rPr>
        <w:t xml:space="preserve">2 phases de 5 ans chacune, à savoir la phase 1 : 2005 – 2009 et la phase 2 : 2010 – 2014 et la dernière année, </w:t>
      </w:r>
      <w:r w:rsidR="00E15507">
        <w:rPr>
          <w:lang w:val="fr-FR"/>
        </w:rPr>
        <w:t>c</w:t>
      </w:r>
      <w:r w:rsidR="000A3D87">
        <w:rPr>
          <w:lang w:val="fr-FR"/>
        </w:rPr>
        <w:t>’</w:t>
      </w:r>
      <w:r w:rsidR="00E15507">
        <w:rPr>
          <w:lang w:val="fr-FR"/>
        </w:rPr>
        <w:t xml:space="preserve">est-à-dire </w:t>
      </w:r>
      <w:r w:rsidR="00E15507" w:rsidRPr="005D6CD4">
        <w:rPr>
          <w:lang w:val="fr-FR"/>
        </w:rPr>
        <w:t>2015, sera consacrée à la production du rapport.</w:t>
      </w:r>
    </w:p>
    <w:p w:rsidR="00E15507" w:rsidRPr="005D6CD4" w:rsidRDefault="00671934" w:rsidP="0012256D">
      <w:pPr>
        <w:pStyle w:val="SingleTxt"/>
        <w:rPr>
          <w:lang w:val="fr-FR"/>
        </w:rPr>
      </w:pPr>
      <w:r>
        <w:rPr>
          <w:lang w:val="fr-FR"/>
        </w:rPr>
        <w:tab/>
      </w:r>
      <w:r w:rsidR="00E15507" w:rsidRPr="005D6CD4">
        <w:rPr>
          <w:lang w:val="fr-FR"/>
        </w:rPr>
        <w:t xml:space="preserve">Contribuant à la réduction de la mortalité et de la morbidité maternelle et néo-natale au </w:t>
      </w:r>
      <w:r w:rsidR="00E15507">
        <w:rPr>
          <w:lang w:val="fr-FR"/>
        </w:rPr>
        <w:t>Nigéria</w:t>
      </w:r>
      <w:r w:rsidR="00E15507" w:rsidRPr="005D6CD4">
        <w:rPr>
          <w:lang w:val="fr-FR"/>
        </w:rPr>
        <w:t>, le FNUAP soutient les efforts de renforcement des capacités et d</w:t>
      </w:r>
      <w:r w:rsidR="000A3D87">
        <w:rPr>
          <w:lang w:val="fr-FR"/>
        </w:rPr>
        <w:t>’</w:t>
      </w:r>
      <w:r w:rsidR="00E15507" w:rsidRPr="005D6CD4">
        <w:rPr>
          <w:lang w:val="fr-FR"/>
        </w:rPr>
        <w:t xml:space="preserve">approvisionnement en équipements médicaux dans 15 </w:t>
      </w:r>
      <w:r w:rsidR="00E15507" w:rsidRPr="005D6CD4">
        <w:rPr>
          <w:rFonts w:ascii="TimesNewRoman" w:hAnsi="TimesNewRoman" w:cs="TimesNewRoman"/>
          <w:lang w:val="fr-FR"/>
        </w:rPr>
        <w:t>É</w:t>
      </w:r>
      <w:r w:rsidR="00E15507" w:rsidRPr="005D6CD4">
        <w:rPr>
          <w:lang w:val="fr-FR"/>
        </w:rPr>
        <w:t xml:space="preserve">tats de la Fédération, en particulier pour ce qui est du perfectionnement des sages-femmes en techniques de sauvetage. Il en </w:t>
      </w:r>
      <w:r w:rsidR="00E15507">
        <w:rPr>
          <w:lang w:val="fr-FR"/>
        </w:rPr>
        <w:t xml:space="preserve">a </w:t>
      </w:r>
      <w:r w:rsidR="00E15507" w:rsidRPr="005D6CD4">
        <w:rPr>
          <w:lang w:val="fr-FR"/>
        </w:rPr>
        <w:t>résulté une augmentation du nombre de centres de soins de santé primaire</w:t>
      </w:r>
      <w:r w:rsidR="00E15507">
        <w:rPr>
          <w:lang w:val="fr-FR"/>
        </w:rPr>
        <w:t>s</w:t>
      </w:r>
      <w:r w:rsidR="00E15507" w:rsidRPr="005D6CD4">
        <w:rPr>
          <w:lang w:val="fr-FR"/>
        </w:rPr>
        <w:t xml:space="preserve"> de base répondant aux normes dans le pays. </w:t>
      </w:r>
    </w:p>
    <w:p w:rsidR="00E15507" w:rsidRPr="005D6CD4" w:rsidRDefault="00E15507" w:rsidP="0012256D">
      <w:pPr>
        <w:pStyle w:val="SingleTxt"/>
        <w:rPr>
          <w:b/>
          <w:bCs/>
          <w:lang w:val="fr-FR"/>
        </w:rPr>
      </w:pPr>
      <w:r w:rsidRPr="005D6CD4">
        <w:rPr>
          <w:b/>
          <w:bCs/>
          <w:lang w:val="fr-FR"/>
        </w:rPr>
        <w:t>12.4.1. Impact sur les femmes des lois sur l</w:t>
      </w:r>
      <w:r w:rsidR="000A3D87">
        <w:rPr>
          <w:b/>
          <w:bCs/>
          <w:lang w:val="fr-FR"/>
        </w:rPr>
        <w:t>’</w:t>
      </w:r>
      <w:r w:rsidRPr="005D6CD4">
        <w:rPr>
          <w:b/>
          <w:bCs/>
          <w:lang w:val="fr-FR"/>
        </w:rPr>
        <w:t>avortement</w:t>
      </w:r>
    </w:p>
    <w:p w:rsidR="00E15507" w:rsidRPr="005D6CD4" w:rsidRDefault="00671934" w:rsidP="0012256D">
      <w:pPr>
        <w:pStyle w:val="SingleTxt"/>
        <w:rPr>
          <w:color w:val="000000"/>
          <w:lang w:val="fr-FR"/>
        </w:rPr>
      </w:pPr>
      <w:r>
        <w:rPr>
          <w:color w:val="000000"/>
          <w:lang w:val="fr-FR"/>
        </w:rPr>
        <w:tab/>
      </w:r>
      <w:r w:rsidR="00E15507" w:rsidRPr="005D6CD4">
        <w:rPr>
          <w:color w:val="000000"/>
          <w:lang w:val="fr-FR"/>
        </w:rPr>
        <w:t>L</w:t>
      </w:r>
      <w:r w:rsidR="000A3D87">
        <w:rPr>
          <w:color w:val="000000"/>
          <w:lang w:val="fr-FR"/>
        </w:rPr>
        <w:t>’</w:t>
      </w:r>
      <w:r w:rsidR="00E15507" w:rsidRPr="005D6CD4">
        <w:rPr>
          <w:color w:val="000000"/>
          <w:lang w:val="fr-FR"/>
        </w:rPr>
        <w:t xml:space="preserve">article 297 du </w:t>
      </w:r>
      <w:r w:rsidR="00E15507">
        <w:rPr>
          <w:color w:val="000000"/>
          <w:lang w:val="fr-FR"/>
        </w:rPr>
        <w:t>Code d</w:t>
      </w:r>
      <w:r w:rsidR="000A3D87">
        <w:rPr>
          <w:color w:val="000000"/>
          <w:lang w:val="fr-FR"/>
        </w:rPr>
        <w:t>’</w:t>
      </w:r>
      <w:r w:rsidR="00E15507">
        <w:rPr>
          <w:color w:val="000000"/>
          <w:lang w:val="fr-FR"/>
        </w:rPr>
        <w:t xml:space="preserve">instruction criminelle </w:t>
      </w:r>
      <w:r w:rsidR="00E15507" w:rsidRPr="005D6CD4">
        <w:rPr>
          <w:color w:val="000000"/>
          <w:lang w:val="fr-FR"/>
        </w:rPr>
        <w:t xml:space="preserve">(applicable dans le sud) et du </w:t>
      </w:r>
      <w:r w:rsidR="00E15507">
        <w:rPr>
          <w:color w:val="000000"/>
          <w:lang w:val="fr-FR"/>
        </w:rPr>
        <w:t xml:space="preserve">Code pénal </w:t>
      </w:r>
      <w:r w:rsidR="00E15507" w:rsidRPr="005D6CD4">
        <w:rPr>
          <w:color w:val="000000"/>
          <w:lang w:val="fr-FR"/>
        </w:rPr>
        <w:t>(applicable dans le nord) interdit l</w:t>
      </w:r>
      <w:r w:rsidR="000A3D87">
        <w:rPr>
          <w:color w:val="000000"/>
          <w:lang w:val="fr-FR"/>
        </w:rPr>
        <w:t>’</w:t>
      </w:r>
      <w:r w:rsidR="00E15507" w:rsidRPr="005D6CD4">
        <w:rPr>
          <w:color w:val="000000"/>
          <w:lang w:val="fr-FR"/>
        </w:rPr>
        <w:t xml:space="preserve">avortement au </w:t>
      </w:r>
      <w:r w:rsidR="00E15507">
        <w:rPr>
          <w:color w:val="000000"/>
          <w:lang w:val="fr-FR"/>
        </w:rPr>
        <w:t>Nigéria</w:t>
      </w:r>
      <w:r w:rsidR="00E15507" w:rsidRPr="005D6CD4">
        <w:rPr>
          <w:color w:val="000000"/>
          <w:lang w:val="fr-FR"/>
        </w:rPr>
        <w:t>, sauf lorsqu</w:t>
      </w:r>
      <w:r w:rsidR="000A3D87">
        <w:rPr>
          <w:color w:val="000000"/>
          <w:lang w:val="fr-FR"/>
        </w:rPr>
        <w:t>’</w:t>
      </w:r>
      <w:r w:rsidR="00E15507" w:rsidRPr="005D6CD4">
        <w:rPr>
          <w:color w:val="000000"/>
          <w:lang w:val="fr-FR"/>
        </w:rPr>
        <w:t xml:space="preserve">il est pratiqué pour sauver la vie de la mère. Il prévoit que </w:t>
      </w:r>
      <w:r w:rsidR="008B0DF6">
        <w:rPr>
          <w:color w:val="000000"/>
          <w:lang w:val="fr-FR"/>
        </w:rPr>
        <w:t>« </w:t>
      </w:r>
      <w:r w:rsidR="00E15507" w:rsidRPr="005D6CD4">
        <w:rPr>
          <w:b/>
          <w:bCs/>
          <w:i/>
          <w:iCs/>
          <w:color w:val="000000"/>
          <w:lang w:val="fr-FR"/>
        </w:rPr>
        <w:t>nul ne peut être pénalement responsable d</w:t>
      </w:r>
      <w:r w:rsidR="000A3D87">
        <w:rPr>
          <w:b/>
          <w:bCs/>
          <w:i/>
          <w:iCs/>
          <w:color w:val="000000"/>
          <w:lang w:val="fr-FR"/>
        </w:rPr>
        <w:t>’</w:t>
      </w:r>
      <w:r w:rsidR="00E15507" w:rsidRPr="005D6CD4">
        <w:rPr>
          <w:b/>
          <w:bCs/>
          <w:i/>
          <w:iCs/>
          <w:color w:val="000000"/>
          <w:lang w:val="fr-FR"/>
        </w:rPr>
        <w:t>avoir effectué, de bonne foi ou avec la diligence et les soins nécessaires, une opération chirurgicale. … sur un fœtus dans le but de préserver la vie de la mère</w:t>
      </w:r>
      <w:r w:rsidR="000A3D87">
        <w:rPr>
          <w:b/>
          <w:bCs/>
          <w:i/>
          <w:iCs/>
          <w:color w:val="000000"/>
          <w:lang w:val="fr-FR"/>
        </w:rPr>
        <w:t> »</w:t>
      </w:r>
      <w:r w:rsidR="00E15507" w:rsidRPr="005D6CD4">
        <w:rPr>
          <w:color w:val="000000"/>
          <w:lang w:val="fr-FR"/>
        </w:rPr>
        <w:t>. Il s</w:t>
      </w:r>
      <w:r w:rsidR="000A3D87">
        <w:rPr>
          <w:color w:val="000000"/>
          <w:lang w:val="fr-FR"/>
        </w:rPr>
        <w:t>’</w:t>
      </w:r>
      <w:r w:rsidR="00E15507" w:rsidRPr="005D6CD4">
        <w:rPr>
          <w:color w:val="000000"/>
          <w:lang w:val="fr-FR"/>
        </w:rPr>
        <w:t>ensuit qu</w:t>
      </w:r>
      <w:r w:rsidR="000A3D87">
        <w:rPr>
          <w:color w:val="000000"/>
          <w:lang w:val="fr-FR"/>
        </w:rPr>
        <w:t>’</w:t>
      </w:r>
      <w:r w:rsidR="00E15507" w:rsidRPr="005D6CD4">
        <w:rPr>
          <w:color w:val="000000"/>
          <w:lang w:val="fr-FR"/>
        </w:rPr>
        <w:t>il y a délit lorsque l</w:t>
      </w:r>
      <w:r w:rsidR="000A3D87">
        <w:rPr>
          <w:color w:val="000000"/>
          <w:lang w:val="fr-FR"/>
        </w:rPr>
        <w:t>’</w:t>
      </w:r>
      <w:r w:rsidR="00E15507" w:rsidRPr="005D6CD4">
        <w:rPr>
          <w:color w:val="000000"/>
          <w:lang w:val="fr-FR"/>
        </w:rPr>
        <w:t>opération n</w:t>
      </w:r>
      <w:r w:rsidR="000A3D87">
        <w:rPr>
          <w:color w:val="000000"/>
          <w:lang w:val="fr-FR"/>
        </w:rPr>
        <w:t>’</w:t>
      </w:r>
      <w:r w:rsidR="00E15507" w:rsidRPr="005D6CD4">
        <w:rPr>
          <w:color w:val="000000"/>
          <w:lang w:val="fr-FR"/>
        </w:rPr>
        <w:t>est pas effectuée dans le but de sauver ou préserver la vie de la mère.</w:t>
      </w:r>
    </w:p>
    <w:p w:rsidR="00E15507" w:rsidRPr="005D6CD4" w:rsidRDefault="00671934" w:rsidP="0012256D">
      <w:pPr>
        <w:pStyle w:val="SingleTxt"/>
        <w:rPr>
          <w:color w:val="000000"/>
          <w:lang w:val="fr-FR"/>
        </w:rPr>
      </w:pPr>
      <w:r>
        <w:rPr>
          <w:color w:val="000000"/>
          <w:lang w:val="fr-FR"/>
        </w:rPr>
        <w:tab/>
      </w:r>
      <w:r w:rsidR="00E15507" w:rsidRPr="005D6CD4">
        <w:rPr>
          <w:color w:val="000000"/>
          <w:lang w:val="fr-FR"/>
        </w:rPr>
        <w:t>Si l</w:t>
      </w:r>
      <w:r w:rsidR="000A3D87">
        <w:rPr>
          <w:color w:val="000000"/>
          <w:lang w:val="fr-FR"/>
        </w:rPr>
        <w:t>’</w:t>
      </w:r>
      <w:r w:rsidR="00E15507" w:rsidRPr="005D6CD4">
        <w:rPr>
          <w:color w:val="000000"/>
          <w:lang w:val="fr-FR"/>
        </w:rPr>
        <w:t xml:space="preserve">article 235 du </w:t>
      </w:r>
      <w:r w:rsidR="00E15507">
        <w:rPr>
          <w:color w:val="000000"/>
          <w:lang w:val="fr-FR"/>
        </w:rPr>
        <w:t xml:space="preserve">Code pénal </w:t>
      </w:r>
      <w:r w:rsidR="00E15507" w:rsidRPr="005D6CD4">
        <w:rPr>
          <w:color w:val="000000"/>
          <w:lang w:val="fr-FR"/>
        </w:rPr>
        <w:t xml:space="preserve">punit également </w:t>
      </w:r>
      <w:r w:rsidR="00D17E6C">
        <w:rPr>
          <w:rFonts w:ascii="TimesNewRoman" w:hAnsi="TimesNewRoman" w:cs="TimesNewRoman"/>
          <w:color w:val="000000"/>
          <w:lang w:val="fr-FR"/>
        </w:rPr>
        <w:t>“ </w:t>
      </w:r>
      <w:r w:rsidR="00E15507" w:rsidRPr="005D6CD4">
        <w:rPr>
          <w:color w:val="000000"/>
          <w:lang w:val="fr-FR"/>
        </w:rPr>
        <w:t>l</w:t>
      </w:r>
      <w:r w:rsidR="000A3D87">
        <w:rPr>
          <w:color w:val="000000"/>
          <w:lang w:val="fr-FR"/>
        </w:rPr>
        <w:t>’</w:t>
      </w:r>
      <w:r w:rsidR="00E15507" w:rsidRPr="005D6CD4">
        <w:rPr>
          <w:color w:val="000000"/>
          <w:lang w:val="fr-FR"/>
        </w:rPr>
        <w:t>intention de poser l</w:t>
      </w:r>
      <w:r w:rsidR="000A3D87">
        <w:rPr>
          <w:color w:val="000000"/>
          <w:lang w:val="fr-FR"/>
        </w:rPr>
        <w:t>’</w:t>
      </w:r>
      <w:r w:rsidR="00E15507" w:rsidRPr="005D6CD4">
        <w:rPr>
          <w:color w:val="000000"/>
          <w:lang w:val="fr-FR"/>
        </w:rPr>
        <w:t xml:space="preserve">acte </w:t>
      </w:r>
      <w:r w:rsidR="00E15507" w:rsidRPr="005D6CD4">
        <w:rPr>
          <w:rFonts w:ascii="TimesNewRoman" w:hAnsi="TimesNewRoman" w:cs="TimesNewRoman"/>
          <w:color w:val="000000"/>
          <w:lang w:val="fr-FR"/>
        </w:rPr>
        <w:t>consistant à empêcher l</w:t>
      </w:r>
      <w:r w:rsidR="000A3D87">
        <w:rPr>
          <w:rFonts w:ascii="TimesNewRoman" w:hAnsi="TimesNewRoman" w:cs="TimesNewRoman"/>
          <w:color w:val="000000"/>
          <w:lang w:val="fr-FR"/>
        </w:rPr>
        <w:t>’</w:t>
      </w:r>
      <w:r w:rsidR="00E15507" w:rsidRPr="005D6CD4">
        <w:rPr>
          <w:rFonts w:ascii="TimesNewRoman" w:hAnsi="TimesNewRoman" w:cs="TimesNewRoman"/>
          <w:color w:val="000000"/>
          <w:lang w:val="fr-FR"/>
        </w:rPr>
        <w:t xml:space="preserve">enfant de naître vivant ou à le faire mourir </w:t>
      </w:r>
      <w:r w:rsidR="00E15507" w:rsidRPr="005D6CD4">
        <w:rPr>
          <w:color w:val="000000"/>
          <w:lang w:val="fr-FR"/>
        </w:rPr>
        <w:t>après sa naissance</w:t>
      </w:r>
      <w:r w:rsidR="000A3D87">
        <w:rPr>
          <w:color w:val="000000"/>
          <w:lang w:val="fr-FR"/>
        </w:rPr>
        <w:t> »</w:t>
      </w:r>
      <w:r w:rsidR="00E15507" w:rsidRPr="005D6CD4">
        <w:rPr>
          <w:color w:val="000000"/>
          <w:lang w:val="fr-FR"/>
        </w:rPr>
        <w:t>, le motif de préserver la vie de la mère pourrait inclure la prise en compte du risque auquel la grossesse expose la santé physique ou mentale de la mère.</w:t>
      </w:r>
    </w:p>
    <w:p w:rsidR="00E15507" w:rsidRPr="005D6CD4" w:rsidRDefault="00671934" w:rsidP="0012256D">
      <w:pPr>
        <w:pStyle w:val="SingleTxt"/>
        <w:rPr>
          <w:color w:val="000000"/>
          <w:lang w:val="fr-FR"/>
        </w:rPr>
      </w:pPr>
      <w:r>
        <w:rPr>
          <w:lang w:val="fr-FR"/>
        </w:rPr>
        <w:tab/>
      </w:r>
      <w:r w:rsidR="00E15507" w:rsidRPr="005D6CD4">
        <w:rPr>
          <w:lang w:val="fr-FR"/>
        </w:rPr>
        <w:t>Les autres délits en matière d</w:t>
      </w:r>
      <w:r w:rsidR="000A3D87">
        <w:rPr>
          <w:lang w:val="fr-FR"/>
        </w:rPr>
        <w:t>’</w:t>
      </w:r>
      <w:r w:rsidR="00E15507" w:rsidRPr="005D6CD4">
        <w:rPr>
          <w:lang w:val="fr-FR"/>
        </w:rPr>
        <w:t xml:space="preserve">avortement dans le système juridique du </w:t>
      </w:r>
      <w:r w:rsidR="00E15507">
        <w:rPr>
          <w:lang w:val="fr-FR"/>
        </w:rPr>
        <w:t>Nigéria</w:t>
      </w:r>
      <w:r w:rsidR="00E15507" w:rsidRPr="005D6CD4">
        <w:rPr>
          <w:lang w:val="fr-FR"/>
        </w:rPr>
        <w:t xml:space="preserve"> comprennent la fourniture de matériels dont on sait qu</w:t>
      </w:r>
      <w:r w:rsidR="000A3D87">
        <w:rPr>
          <w:lang w:val="fr-FR"/>
        </w:rPr>
        <w:t>’</w:t>
      </w:r>
      <w:r w:rsidR="00E15507" w:rsidRPr="005D6CD4">
        <w:rPr>
          <w:lang w:val="fr-FR"/>
        </w:rPr>
        <w:t>ils seront utilisés pour l</w:t>
      </w:r>
      <w:r w:rsidR="000A3D87">
        <w:rPr>
          <w:lang w:val="fr-FR"/>
        </w:rPr>
        <w:t>’</w:t>
      </w:r>
      <w:r w:rsidR="00E15507" w:rsidRPr="005D6CD4">
        <w:rPr>
          <w:lang w:val="fr-FR"/>
        </w:rPr>
        <w:t>avortement</w:t>
      </w:r>
      <w:r w:rsidR="00E15507">
        <w:rPr>
          <w:lang w:val="fr-FR"/>
        </w:rPr>
        <w:t xml:space="preserve"> (</w:t>
      </w:r>
      <w:r w:rsidR="00E15507" w:rsidRPr="005D6CD4">
        <w:rPr>
          <w:lang w:val="fr-FR"/>
        </w:rPr>
        <w:t>article 230 du</w:t>
      </w:r>
      <w:r w:rsidR="00E15507">
        <w:rPr>
          <w:lang w:val="fr-FR"/>
        </w:rPr>
        <w:t xml:space="preserve"> Code d</w:t>
      </w:r>
      <w:r w:rsidR="000A3D87">
        <w:rPr>
          <w:lang w:val="fr-FR"/>
        </w:rPr>
        <w:t>’</w:t>
      </w:r>
      <w:r w:rsidR="00E15507">
        <w:rPr>
          <w:lang w:val="fr-FR"/>
        </w:rPr>
        <w:t xml:space="preserve">instruction criminelle). Le Code pénal </w:t>
      </w:r>
      <w:r w:rsidR="00E15507" w:rsidRPr="005D6CD4">
        <w:rPr>
          <w:lang w:val="fr-FR"/>
        </w:rPr>
        <w:t xml:space="preserve">prévoit </w:t>
      </w:r>
      <w:r w:rsidR="00E15507">
        <w:rPr>
          <w:lang w:val="fr-FR"/>
        </w:rPr>
        <w:t xml:space="preserve">également </w:t>
      </w:r>
      <w:r w:rsidR="00E15507" w:rsidRPr="005D6CD4">
        <w:rPr>
          <w:lang w:val="fr-FR"/>
        </w:rPr>
        <w:t>que toute personne qui commet intentionnellement un acte en vue de provoquer une fausse couche est passible de 14 ans d</w:t>
      </w:r>
      <w:r w:rsidR="000A3D87">
        <w:rPr>
          <w:lang w:val="fr-FR"/>
        </w:rPr>
        <w:t>’</w:t>
      </w:r>
      <w:r w:rsidR="00E15507" w:rsidRPr="005D6CD4">
        <w:rPr>
          <w:lang w:val="fr-FR"/>
        </w:rPr>
        <w:t>emprisonnement.</w:t>
      </w:r>
    </w:p>
    <w:p w:rsidR="00E15507" w:rsidRPr="005D6CD4" w:rsidRDefault="00671934" w:rsidP="0012256D">
      <w:pPr>
        <w:pStyle w:val="SingleTxt"/>
        <w:rPr>
          <w:color w:val="000000"/>
          <w:lang w:val="fr-FR"/>
        </w:rPr>
      </w:pPr>
      <w:r>
        <w:rPr>
          <w:color w:val="000000"/>
          <w:lang w:val="fr-FR"/>
        </w:rPr>
        <w:tab/>
      </w:r>
      <w:r w:rsidR="00E15507" w:rsidRPr="005D6CD4">
        <w:rPr>
          <w:color w:val="000000"/>
          <w:lang w:val="fr-FR"/>
        </w:rPr>
        <w:t xml:space="preserve">Bien entendu, le taux de mortalité maternelle est encore très élevé au </w:t>
      </w:r>
      <w:r w:rsidR="00E15507">
        <w:rPr>
          <w:color w:val="000000"/>
          <w:lang w:val="fr-FR"/>
        </w:rPr>
        <w:t>Nigéria</w:t>
      </w:r>
      <w:r w:rsidR="00E15507" w:rsidRPr="005D6CD4">
        <w:rPr>
          <w:color w:val="000000"/>
          <w:lang w:val="fr-FR"/>
        </w:rPr>
        <w:t>. Du nombre</w:t>
      </w:r>
      <w:r w:rsidR="00E15507">
        <w:rPr>
          <w:color w:val="000000"/>
          <w:lang w:val="fr-FR"/>
        </w:rPr>
        <w:t xml:space="preserve"> </w:t>
      </w:r>
      <w:r w:rsidR="00E15507" w:rsidRPr="005D6CD4">
        <w:rPr>
          <w:color w:val="000000"/>
          <w:lang w:val="fr-FR"/>
        </w:rPr>
        <w:t>total d</w:t>
      </w:r>
      <w:r w:rsidR="000A3D87">
        <w:rPr>
          <w:color w:val="000000"/>
          <w:lang w:val="fr-FR"/>
        </w:rPr>
        <w:t>’</w:t>
      </w:r>
      <w:r w:rsidR="00E15507" w:rsidRPr="005D6CD4">
        <w:rPr>
          <w:color w:val="000000"/>
          <w:lang w:val="fr-FR"/>
        </w:rPr>
        <w:t>avortements pratiqués dans ce pays, seulement 40</w:t>
      </w:r>
      <w:r w:rsidR="00E15507">
        <w:rPr>
          <w:color w:val="000000"/>
          <w:lang w:val="fr-FR"/>
        </w:rPr>
        <w:t> </w:t>
      </w:r>
      <w:r w:rsidR="00E15507" w:rsidRPr="005D6CD4">
        <w:rPr>
          <w:color w:val="000000"/>
          <w:lang w:val="fr-FR"/>
        </w:rPr>
        <w:t>% le sont par des spécialistes. Les femmes et les filles à revenus modestes, ne pouvant pas supporter les coûts élevés de l</w:t>
      </w:r>
      <w:r w:rsidR="000A3D87">
        <w:rPr>
          <w:color w:val="000000"/>
          <w:lang w:val="fr-FR"/>
        </w:rPr>
        <w:t>’</w:t>
      </w:r>
      <w:r w:rsidR="00E15507" w:rsidRPr="005D6CD4">
        <w:rPr>
          <w:color w:val="000000"/>
          <w:lang w:val="fr-FR"/>
        </w:rPr>
        <w:t xml:space="preserve">avortement ou ignorant les dangers des méthodes utilisées par les individus non qualifiés, courent des risques très élevés </w:t>
      </w:r>
      <w:r w:rsidR="00E15507">
        <w:rPr>
          <w:color w:val="000000"/>
          <w:lang w:val="fr-FR"/>
        </w:rPr>
        <w:t xml:space="preserve">de </w:t>
      </w:r>
      <w:r w:rsidR="00E15507" w:rsidRPr="005D6CD4">
        <w:rPr>
          <w:color w:val="000000"/>
          <w:lang w:val="fr-FR"/>
        </w:rPr>
        <w:t>perdre leur vie.</w:t>
      </w:r>
    </w:p>
    <w:p w:rsidR="00E15507" w:rsidRPr="005D6CD4" w:rsidRDefault="00E15507" w:rsidP="0012256D">
      <w:pPr>
        <w:pStyle w:val="SingleTxt"/>
        <w:rPr>
          <w:b/>
          <w:bCs/>
          <w:lang w:val="fr-FR"/>
        </w:rPr>
      </w:pPr>
      <w:r w:rsidRPr="005D6CD4">
        <w:rPr>
          <w:b/>
          <w:bCs/>
          <w:lang w:val="fr-FR"/>
        </w:rPr>
        <w:t xml:space="preserve">12.4.2 </w:t>
      </w:r>
      <w:r w:rsidR="00EB32E2">
        <w:rPr>
          <w:b/>
          <w:bCs/>
          <w:lang w:val="fr-FR"/>
        </w:rPr>
        <w:t xml:space="preserve"> </w:t>
      </w:r>
      <w:r w:rsidRPr="005D6CD4">
        <w:rPr>
          <w:b/>
          <w:bCs/>
          <w:lang w:val="fr-FR"/>
        </w:rPr>
        <w:t>Soins prodigués après l</w:t>
      </w:r>
      <w:r w:rsidR="000A3D87">
        <w:rPr>
          <w:b/>
          <w:bCs/>
          <w:lang w:val="fr-FR"/>
        </w:rPr>
        <w:t>’</w:t>
      </w:r>
      <w:r w:rsidRPr="005D6CD4">
        <w:rPr>
          <w:b/>
          <w:bCs/>
          <w:lang w:val="fr-FR"/>
        </w:rPr>
        <w:t>avortement</w:t>
      </w:r>
    </w:p>
    <w:p w:rsidR="00E15507" w:rsidRPr="005D6CD4" w:rsidRDefault="00671934" w:rsidP="0012256D">
      <w:pPr>
        <w:pStyle w:val="SingleTxt"/>
        <w:rPr>
          <w:lang w:val="fr-FR"/>
        </w:rPr>
      </w:pPr>
      <w:r>
        <w:rPr>
          <w:lang w:val="fr-FR"/>
        </w:rPr>
        <w:tab/>
      </w:r>
      <w:r w:rsidR="00E15507" w:rsidRPr="005D6CD4">
        <w:rPr>
          <w:lang w:val="fr-FR"/>
        </w:rPr>
        <w:t xml:space="preserve">En 2001, le </w:t>
      </w:r>
      <w:r w:rsidR="00E15507">
        <w:rPr>
          <w:lang w:val="fr-FR"/>
        </w:rPr>
        <w:t>Gouvernement</w:t>
      </w:r>
      <w:r w:rsidR="00E15507" w:rsidRPr="005D6CD4">
        <w:rPr>
          <w:lang w:val="fr-FR"/>
        </w:rPr>
        <w:t xml:space="preserve"> fédéral a adopté une politique nationale globale en matière de </w:t>
      </w:r>
      <w:r w:rsidR="00E15507">
        <w:rPr>
          <w:lang w:val="fr-FR"/>
        </w:rPr>
        <w:t>santé en matière de reproduction</w:t>
      </w:r>
      <w:r w:rsidR="00E15507" w:rsidRPr="005D6CD4">
        <w:rPr>
          <w:lang w:val="fr-FR"/>
        </w:rPr>
        <w:t xml:space="preserve"> qui fournit un excellent cadre permettant de satisfaire de nombreux besoins d</w:t>
      </w:r>
      <w:r w:rsidR="00E15507">
        <w:rPr>
          <w:lang w:val="fr-FR"/>
        </w:rPr>
        <w:t>ans ce domaine et dans celui de l</w:t>
      </w:r>
      <w:r w:rsidR="000A3D87">
        <w:rPr>
          <w:lang w:val="fr-FR"/>
        </w:rPr>
        <w:t>’</w:t>
      </w:r>
      <w:r w:rsidR="00E15507" w:rsidRPr="005D6CD4">
        <w:rPr>
          <w:lang w:val="fr-FR"/>
        </w:rPr>
        <w:t>avortement sans risque, y compris les soins après l</w:t>
      </w:r>
      <w:r w:rsidR="000A3D87">
        <w:rPr>
          <w:lang w:val="fr-FR"/>
        </w:rPr>
        <w:t>’</w:t>
      </w:r>
      <w:r w:rsidR="00E15507" w:rsidRPr="005D6CD4">
        <w:rPr>
          <w:lang w:val="fr-FR"/>
        </w:rPr>
        <w:t>avortement, en toute légalité.</w:t>
      </w:r>
      <w:r w:rsidR="00E15507">
        <w:rPr>
          <w:lang w:val="fr-FR"/>
        </w:rPr>
        <w:t xml:space="preserve"> </w:t>
      </w:r>
      <w:r w:rsidR="00E15507" w:rsidRPr="005D6CD4">
        <w:rPr>
          <w:lang w:val="fr-FR"/>
        </w:rPr>
        <w:t>Cette politique, qui n</w:t>
      </w:r>
      <w:r w:rsidR="000A3D87">
        <w:rPr>
          <w:lang w:val="fr-FR"/>
        </w:rPr>
        <w:t>’</w:t>
      </w:r>
      <w:r w:rsidR="00E15507" w:rsidRPr="005D6CD4">
        <w:rPr>
          <w:lang w:val="fr-FR"/>
        </w:rPr>
        <w:t>est appliquée que par quelques pays en</w:t>
      </w:r>
      <w:r w:rsidR="00E15507">
        <w:rPr>
          <w:lang w:val="fr-FR"/>
        </w:rPr>
        <w:t xml:space="preserve"> </w:t>
      </w:r>
      <w:r w:rsidR="00E15507" w:rsidRPr="005D6CD4">
        <w:rPr>
          <w:lang w:val="fr-FR"/>
        </w:rPr>
        <w:t>Afrique subsaharienne, reconnaît que les femmes ont légalement le droit de se faire avorter dans certaines circonstances.</w:t>
      </w:r>
      <w:r w:rsidR="00E15507">
        <w:rPr>
          <w:lang w:val="fr-FR"/>
        </w:rPr>
        <w:t xml:space="preserve"> </w:t>
      </w:r>
    </w:p>
    <w:p w:rsidR="00E15507" w:rsidRPr="005D6CD4" w:rsidRDefault="00671934" w:rsidP="0012256D">
      <w:pPr>
        <w:pStyle w:val="SingleTxt"/>
        <w:rPr>
          <w:lang w:val="fr-FR"/>
        </w:rPr>
      </w:pPr>
      <w:r>
        <w:rPr>
          <w:lang w:val="fr-FR"/>
        </w:rPr>
        <w:tab/>
      </w:r>
      <w:r w:rsidR="00E15507" w:rsidRPr="005D6CD4">
        <w:rPr>
          <w:lang w:val="fr-FR"/>
        </w:rPr>
        <w:t>Cette politique suppose la disponibilité de services permettant de se faire avorter légalement, mais aucun, sinon très peu de services publics de santé offrent de telles prestations.</w:t>
      </w:r>
      <w:r w:rsidR="00E15507">
        <w:rPr>
          <w:lang w:val="fr-FR"/>
        </w:rPr>
        <w:t xml:space="preserve"> </w:t>
      </w:r>
      <w:r w:rsidR="00E15507" w:rsidRPr="005D6CD4">
        <w:rPr>
          <w:lang w:val="fr-FR"/>
        </w:rPr>
        <w:t xml:space="preserve">Le </w:t>
      </w:r>
      <w:r w:rsidR="00E15507">
        <w:rPr>
          <w:lang w:val="fr-FR"/>
        </w:rPr>
        <w:t>G</w:t>
      </w:r>
      <w:r w:rsidR="00E15507" w:rsidRPr="005D6CD4">
        <w:rPr>
          <w:lang w:val="fr-FR"/>
        </w:rPr>
        <w:t>ouvernement a entériné, mais n</w:t>
      </w:r>
      <w:r w:rsidR="000A3D87">
        <w:rPr>
          <w:lang w:val="fr-FR"/>
        </w:rPr>
        <w:t>’</w:t>
      </w:r>
      <w:r w:rsidR="00E15507" w:rsidRPr="005D6CD4">
        <w:rPr>
          <w:lang w:val="fr-FR"/>
        </w:rPr>
        <w:t>a pas encore appliqué l</w:t>
      </w:r>
      <w:r w:rsidR="00E15507">
        <w:rPr>
          <w:lang w:val="fr-FR"/>
        </w:rPr>
        <w:t xml:space="preserve">es directives </w:t>
      </w:r>
      <w:r w:rsidR="00E15507" w:rsidRPr="005D6CD4">
        <w:rPr>
          <w:lang w:val="fr-FR"/>
        </w:rPr>
        <w:t>de l</w:t>
      </w:r>
      <w:r w:rsidR="000A3D87">
        <w:rPr>
          <w:lang w:val="fr-FR"/>
        </w:rPr>
        <w:t>’</w:t>
      </w:r>
      <w:r w:rsidR="00E15507" w:rsidRPr="005D6CD4">
        <w:rPr>
          <w:lang w:val="fr-FR"/>
        </w:rPr>
        <w:t>Organisation mondiale de la Santé sur la prise en charge de l</w:t>
      </w:r>
      <w:r w:rsidR="000A3D87">
        <w:rPr>
          <w:lang w:val="fr-FR"/>
        </w:rPr>
        <w:t>’</w:t>
      </w:r>
      <w:r w:rsidR="00E15507" w:rsidRPr="005D6CD4">
        <w:rPr>
          <w:lang w:val="fr-FR"/>
        </w:rPr>
        <w:t xml:space="preserve">avortement sans risque au-delà de son inclusion dans la politique nationale de </w:t>
      </w:r>
      <w:r w:rsidR="00E15507">
        <w:rPr>
          <w:lang w:val="fr-FR"/>
        </w:rPr>
        <w:t>santé en matière de reproduction</w:t>
      </w:r>
      <w:r w:rsidR="00E15507" w:rsidRPr="005D6CD4">
        <w:rPr>
          <w:lang w:val="fr-FR"/>
        </w:rPr>
        <w:t>.</w:t>
      </w:r>
    </w:p>
    <w:p w:rsidR="00E15507" w:rsidRPr="005D6CD4" w:rsidRDefault="00671934" w:rsidP="0012256D">
      <w:pPr>
        <w:pStyle w:val="SingleTxt"/>
        <w:rPr>
          <w:lang w:val="fr-FR"/>
        </w:rPr>
      </w:pPr>
      <w:r>
        <w:rPr>
          <w:lang w:val="fr-FR"/>
        </w:rPr>
        <w:tab/>
      </w:r>
      <w:r w:rsidR="00E15507" w:rsidRPr="005D6CD4">
        <w:rPr>
          <w:lang w:val="fr-FR"/>
        </w:rPr>
        <w:t xml:space="preserve">Les grossesses non désirées demeurent un sujet de préoccupation au </w:t>
      </w:r>
      <w:r w:rsidR="00E15507">
        <w:rPr>
          <w:lang w:val="fr-FR"/>
        </w:rPr>
        <w:t>Nigéria</w:t>
      </w:r>
      <w:r w:rsidR="00E15507" w:rsidRPr="005D6CD4">
        <w:rPr>
          <w:lang w:val="fr-FR"/>
        </w:rPr>
        <w:t>.</w:t>
      </w:r>
      <w:r w:rsidR="00E15507">
        <w:rPr>
          <w:lang w:val="fr-FR"/>
        </w:rPr>
        <w:t xml:space="preserve"> </w:t>
      </w:r>
      <w:r w:rsidR="00E15507" w:rsidRPr="005D6CD4">
        <w:rPr>
          <w:lang w:val="fr-FR"/>
        </w:rPr>
        <w:t>Sur environ 6,6 millions de grossesses qui ont lieu chaque année dans le pays, 63</w:t>
      </w:r>
      <w:r w:rsidR="00E15507">
        <w:rPr>
          <w:lang w:val="fr-FR"/>
        </w:rPr>
        <w:t> </w:t>
      </w:r>
      <w:r w:rsidR="00E15507" w:rsidRPr="005D6CD4">
        <w:rPr>
          <w:lang w:val="fr-FR"/>
        </w:rPr>
        <w:t>% se terminent par des naissances programmées, 10</w:t>
      </w:r>
      <w:r w:rsidR="00E15507">
        <w:rPr>
          <w:lang w:val="fr-FR"/>
        </w:rPr>
        <w:t> </w:t>
      </w:r>
      <w:r w:rsidR="00E15507" w:rsidRPr="005D6CD4">
        <w:rPr>
          <w:lang w:val="fr-FR"/>
        </w:rPr>
        <w:t>% par des naissances non programmées (inopportunes ou non désirées), 11% par des avortements provoqués et 16</w:t>
      </w:r>
      <w:r w:rsidR="00E15507">
        <w:rPr>
          <w:lang w:val="fr-FR"/>
        </w:rPr>
        <w:t> </w:t>
      </w:r>
      <w:r w:rsidR="00E15507" w:rsidRPr="005D6CD4">
        <w:rPr>
          <w:lang w:val="fr-FR"/>
        </w:rPr>
        <w:t>% par des fausses couches.</w:t>
      </w:r>
      <w:r w:rsidR="00E15507">
        <w:rPr>
          <w:lang w:val="fr-FR"/>
        </w:rPr>
        <w:t xml:space="preserve"> </w:t>
      </w:r>
      <w:r w:rsidR="00E15507" w:rsidRPr="005D6CD4">
        <w:rPr>
          <w:lang w:val="fr-FR"/>
        </w:rPr>
        <w:t>Chaque année, près de 25</w:t>
      </w:r>
      <w:r w:rsidR="00E15507">
        <w:rPr>
          <w:lang w:val="fr-FR"/>
        </w:rPr>
        <w:t> </w:t>
      </w:r>
      <w:r w:rsidR="00E15507" w:rsidRPr="005D6CD4">
        <w:rPr>
          <w:lang w:val="fr-FR"/>
        </w:rPr>
        <w:t>% de</w:t>
      </w:r>
      <w:r w:rsidR="00E15507">
        <w:rPr>
          <w:lang w:val="fr-FR"/>
        </w:rPr>
        <w:t>s</w:t>
      </w:r>
      <w:r w:rsidR="00E15507" w:rsidRPr="005D6CD4">
        <w:rPr>
          <w:lang w:val="fr-FR"/>
        </w:rPr>
        <w:t xml:space="preserve"> grossesses ne sont pas programmées (1,4 million) et 760</w:t>
      </w:r>
      <w:r w:rsidR="00E15507">
        <w:rPr>
          <w:lang w:val="fr-FR"/>
        </w:rPr>
        <w:t> </w:t>
      </w:r>
      <w:r w:rsidR="00E15507" w:rsidRPr="005D6CD4">
        <w:rPr>
          <w:lang w:val="fr-FR"/>
        </w:rPr>
        <w:t>000</w:t>
      </w:r>
      <w:r w:rsidR="00E15507">
        <w:rPr>
          <w:lang w:val="fr-FR"/>
        </w:rPr>
        <w:t xml:space="preserve">, soit </w:t>
      </w:r>
      <w:r w:rsidR="00E15507" w:rsidRPr="005D6CD4">
        <w:rPr>
          <w:lang w:val="fr-FR"/>
        </w:rPr>
        <w:t>un peu plus de la moitié de ce chiffre</w:t>
      </w:r>
      <w:r w:rsidR="00E15507">
        <w:rPr>
          <w:lang w:val="fr-FR"/>
        </w:rPr>
        <w:t>,</w:t>
      </w:r>
      <w:r w:rsidR="00E15507" w:rsidRPr="005D6CD4">
        <w:rPr>
          <w:lang w:val="fr-FR"/>
        </w:rPr>
        <w:t xml:space="preserve"> se terminent par l</w:t>
      </w:r>
      <w:r w:rsidR="000A3D87">
        <w:rPr>
          <w:lang w:val="fr-FR"/>
        </w:rPr>
        <w:t>’</w:t>
      </w:r>
      <w:r w:rsidR="00E15507" w:rsidRPr="005D6CD4">
        <w:rPr>
          <w:lang w:val="fr-FR"/>
        </w:rPr>
        <w:t>avortement.</w:t>
      </w:r>
      <w:r w:rsidR="00E15507">
        <w:rPr>
          <w:lang w:val="fr-FR"/>
        </w:rPr>
        <w:t xml:space="preserve"> </w:t>
      </w:r>
      <w:r w:rsidR="00E15507" w:rsidRPr="005D6CD4">
        <w:rPr>
          <w:lang w:val="fr-FR"/>
        </w:rPr>
        <w:t xml:space="preserve">Le risque de grossesse non désirée est le même tant pour les femmes du </w:t>
      </w:r>
      <w:r w:rsidR="00E15507">
        <w:rPr>
          <w:lang w:val="fr-FR"/>
        </w:rPr>
        <w:t>N</w:t>
      </w:r>
      <w:r w:rsidR="00E15507" w:rsidRPr="005D6CD4">
        <w:rPr>
          <w:lang w:val="fr-FR"/>
        </w:rPr>
        <w:t xml:space="preserve">ord </w:t>
      </w:r>
      <w:r w:rsidR="00E15507">
        <w:rPr>
          <w:lang w:val="fr-FR"/>
        </w:rPr>
        <w:t xml:space="preserve">du pays </w:t>
      </w:r>
      <w:r w:rsidR="00E15507" w:rsidRPr="005D6CD4">
        <w:rPr>
          <w:lang w:val="fr-FR"/>
        </w:rPr>
        <w:t xml:space="preserve">que pour celles du </w:t>
      </w:r>
      <w:r w:rsidR="00E15507">
        <w:rPr>
          <w:lang w:val="fr-FR"/>
        </w:rPr>
        <w:t>S</w:t>
      </w:r>
      <w:r w:rsidR="00E15507" w:rsidRPr="005D6CD4">
        <w:rPr>
          <w:lang w:val="fr-FR"/>
        </w:rPr>
        <w:t>ud.</w:t>
      </w:r>
      <w:r w:rsidR="00E15507">
        <w:rPr>
          <w:lang w:val="fr-FR"/>
        </w:rPr>
        <w:t xml:space="preserve"> </w:t>
      </w:r>
      <w:r w:rsidR="00E15507" w:rsidRPr="005D6CD4">
        <w:rPr>
          <w:lang w:val="fr-FR"/>
        </w:rPr>
        <w:t>Dix sept pour</w:t>
      </w:r>
      <w:r w:rsidR="00E15507">
        <w:rPr>
          <w:lang w:val="fr-FR"/>
        </w:rPr>
        <w:t xml:space="preserve"> </w:t>
      </w:r>
      <w:r w:rsidR="00E15507" w:rsidRPr="005D6CD4">
        <w:rPr>
          <w:lang w:val="fr-FR"/>
        </w:rPr>
        <w:t>cent (17</w:t>
      </w:r>
      <w:r w:rsidR="00E15507">
        <w:rPr>
          <w:lang w:val="fr-FR"/>
        </w:rPr>
        <w:t> </w:t>
      </w:r>
      <w:r w:rsidR="00E15507" w:rsidRPr="005D6CD4">
        <w:rPr>
          <w:lang w:val="fr-FR"/>
        </w:rPr>
        <w:t>%) des femmes ont affirmé avoir mis fin à une grossesse non désirée parce qu</w:t>
      </w:r>
      <w:r w:rsidR="000A3D87">
        <w:rPr>
          <w:lang w:val="fr-FR"/>
        </w:rPr>
        <w:t>’</w:t>
      </w:r>
      <w:r w:rsidR="00E15507" w:rsidRPr="005D6CD4">
        <w:rPr>
          <w:lang w:val="fr-FR"/>
        </w:rPr>
        <w:t>elles voulaient espacer la prochaine naissance ou parce qu</w:t>
      </w:r>
      <w:r w:rsidR="000A3D87">
        <w:rPr>
          <w:lang w:val="fr-FR"/>
        </w:rPr>
        <w:t>’</w:t>
      </w:r>
      <w:r w:rsidR="00E15507" w:rsidRPr="005D6CD4">
        <w:rPr>
          <w:lang w:val="fr-FR"/>
        </w:rPr>
        <w:t>elles ne voulaient plus d</w:t>
      </w:r>
      <w:r w:rsidR="000A3D87">
        <w:rPr>
          <w:lang w:val="fr-FR"/>
        </w:rPr>
        <w:t>’</w:t>
      </w:r>
      <w:r w:rsidR="00E15507" w:rsidRPr="005D6CD4">
        <w:rPr>
          <w:lang w:val="fr-FR"/>
        </w:rPr>
        <w:t>enfant (20</w:t>
      </w:r>
      <w:r w:rsidR="00E15507">
        <w:rPr>
          <w:lang w:val="fr-FR"/>
        </w:rPr>
        <w:t> </w:t>
      </w:r>
      <w:r w:rsidR="00E15507" w:rsidRPr="005D6CD4">
        <w:rPr>
          <w:lang w:val="fr-FR"/>
        </w:rPr>
        <w:t xml:space="preserve">% dans le </w:t>
      </w:r>
      <w:r w:rsidR="00E15507">
        <w:rPr>
          <w:lang w:val="fr-FR"/>
        </w:rPr>
        <w:t>N</w:t>
      </w:r>
      <w:r w:rsidR="00E15507" w:rsidRPr="005D6CD4">
        <w:rPr>
          <w:lang w:val="fr-FR"/>
        </w:rPr>
        <w:t>ord et 14</w:t>
      </w:r>
      <w:r w:rsidR="00E15507">
        <w:rPr>
          <w:lang w:val="fr-FR"/>
        </w:rPr>
        <w:t> </w:t>
      </w:r>
      <w:r w:rsidR="00E15507" w:rsidRPr="005D6CD4">
        <w:rPr>
          <w:lang w:val="fr-FR"/>
        </w:rPr>
        <w:t xml:space="preserve">% dans le </w:t>
      </w:r>
      <w:r w:rsidR="00E15507">
        <w:rPr>
          <w:lang w:val="fr-FR"/>
        </w:rPr>
        <w:t>S</w:t>
      </w:r>
      <w:r w:rsidR="00E15507" w:rsidRPr="005D6CD4">
        <w:rPr>
          <w:lang w:val="fr-FR"/>
        </w:rPr>
        <w:t>ud).</w:t>
      </w:r>
    </w:p>
    <w:p w:rsidR="00E15507" w:rsidRPr="005D6CD4" w:rsidRDefault="00671934" w:rsidP="0012256D">
      <w:pPr>
        <w:pStyle w:val="SingleTxt"/>
        <w:rPr>
          <w:lang w:val="fr-FR"/>
        </w:rPr>
      </w:pPr>
      <w:r>
        <w:rPr>
          <w:lang w:val="fr-FR"/>
        </w:rPr>
        <w:tab/>
      </w:r>
      <w:r w:rsidR="00E15507" w:rsidRPr="005D6CD4">
        <w:rPr>
          <w:lang w:val="fr-FR"/>
        </w:rPr>
        <w:t>L</w:t>
      </w:r>
      <w:r w:rsidR="000A3D87">
        <w:rPr>
          <w:lang w:val="fr-FR"/>
        </w:rPr>
        <w:t>’</w:t>
      </w:r>
      <w:r w:rsidR="00E15507" w:rsidRPr="005D6CD4">
        <w:rPr>
          <w:lang w:val="fr-FR"/>
        </w:rPr>
        <w:t>utilisation des méthodes modernes de planification familiale reste faible (8</w:t>
      </w:r>
      <w:r w:rsidR="00E15507">
        <w:rPr>
          <w:lang w:val="fr-FR"/>
        </w:rPr>
        <w:t> </w:t>
      </w:r>
      <w:r w:rsidR="00E15507" w:rsidRPr="005D6CD4">
        <w:rPr>
          <w:lang w:val="fr-FR"/>
        </w:rPr>
        <w:t>%).</w:t>
      </w:r>
      <w:r w:rsidR="00E15507">
        <w:rPr>
          <w:lang w:val="fr-FR"/>
        </w:rPr>
        <w:t xml:space="preserve"> </w:t>
      </w:r>
      <w:r w:rsidR="00E15507" w:rsidRPr="005D6CD4">
        <w:rPr>
          <w:lang w:val="fr-FR"/>
        </w:rPr>
        <w:t>Environ 25</w:t>
      </w:r>
      <w:r w:rsidR="00E15507">
        <w:rPr>
          <w:lang w:val="fr-FR"/>
        </w:rPr>
        <w:t> </w:t>
      </w:r>
      <w:r w:rsidR="00E15507" w:rsidRPr="005D6CD4">
        <w:rPr>
          <w:lang w:val="fr-FR"/>
        </w:rPr>
        <w:t>% de femmes en âge de procréer ont besoin de planification familiale. Elles sont sexuellement actives et sont capables d</w:t>
      </w:r>
      <w:r w:rsidR="000A3D87">
        <w:rPr>
          <w:lang w:val="fr-FR"/>
        </w:rPr>
        <w:t>’</w:t>
      </w:r>
      <w:r w:rsidR="00E15507" w:rsidRPr="005D6CD4">
        <w:rPr>
          <w:lang w:val="fr-FR"/>
        </w:rPr>
        <w:t>avoir un enfant, mais ne veulent pas l</w:t>
      </w:r>
      <w:r w:rsidR="000A3D87">
        <w:rPr>
          <w:lang w:val="fr-FR"/>
        </w:rPr>
        <w:t>’</w:t>
      </w:r>
      <w:r w:rsidR="00E15507" w:rsidRPr="005D6CD4">
        <w:rPr>
          <w:lang w:val="fr-FR"/>
        </w:rPr>
        <w:t xml:space="preserve">avoir si tôt ou ne veulent pas du tout </w:t>
      </w:r>
      <w:r w:rsidR="00E15507">
        <w:rPr>
          <w:lang w:val="fr-FR"/>
        </w:rPr>
        <w:t xml:space="preserve">en </w:t>
      </w:r>
      <w:r w:rsidR="00E15507" w:rsidRPr="005D6CD4">
        <w:rPr>
          <w:lang w:val="fr-FR"/>
        </w:rPr>
        <w:t>avoir, et n</w:t>
      </w:r>
      <w:r w:rsidR="000A3D87">
        <w:rPr>
          <w:lang w:val="fr-FR"/>
        </w:rPr>
        <w:t>’</w:t>
      </w:r>
      <w:r w:rsidR="00E15507" w:rsidRPr="005D6CD4">
        <w:rPr>
          <w:lang w:val="fr-FR"/>
        </w:rPr>
        <w:t>utilisent aucune méthode contraceptive.</w:t>
      </w:r>
      <w:r w:rsidR="00E15507">
        <w:rPr>
          <w:lang w:val="fr-FR"/>
        </w:rPr>
        <w:t xml:space="preserve"> </w:t>
      </w:r>
      <w:r w:rsidR="00E15507" w:rsidRPr="005D6CD4">
        <w:rPr>
          <w:lang w:val="fr-FR"/>
        </w:rPr>
        <w:t>Soixante pour</w:t>
      </w:r>
      <w:r w:rsidR="00E15507">
        <w:rPr>
          <w:lang w:val="fr-FR"/>
        </w:rPr>
        <w:t xml:space="preserve"> </w:t>
      </w:r>
      <w:r w:rsidR="00E15507" w:rsidRPr="005D6CD4">
        <w:rPr>
          <w:lang w:val="fr-FR"/>
        </w:rPr>
        <w:t>cent (60</w:t>
      </w:r>
      <w:r w:rsidR="00E15507">
        <w:rPr>
          <w:lang w:val="fr-FR"/>
        </w:rPr>
        <w:t> </w:t>
      </w:r>
      <w:r w:rsidR="00E15507" w:rsidRPr="005D6CD4">
        <w:rPr>
          <w:lang w:val="fr-FR"/>
        </w:rPr>
        <w:t>%) de</w:t>
      </w:r>
      <w:r w:rsidR="00E15507">
        <w:rPr>
          <w:lang w:val="fr-FR"/>
        </w:rPr>
        <w:t>s</w:t>
      </w:r>
      <w:r w:rsidR="00E15507" w:rsidRPr="005D6CD4">
        <w:rPr>
          <w:lang w:val="fr-FR"/>
        </w:rPr>
        <w:t xml:space="preserve"> femmes nigérianes ayant eu un avortement n</w:t>
      </w:r>
      <w:r w:rsidR="000A3D87">
        <w:rPr>
          <w:lang w:val="fr-FR"/>
        </w:rPr>
        <w:t>’</w:t>
      </w:r>
      <w:r w:rsidR="00E15507" w:rsidRPr="005D6CD4">
        <w:rPr>
          <w:lang w:val="fr-FR"/>
        </w:rPr>
        <w:t>utilisaient pas de</w:t>
      </w:r>
      <w:r w:rsidR="00E15507">
        <w:rPr>
          <w:lang w:val="fr-FR"/>
        </w:rPr>
        <w:t xml:space="preserve"> </w:t>
      </w:r>
      <w:r w:rsidR="00E15507" w:rsidRPr="005D6CD4">
        <w:rPr>
          <w:lang w:val="fr-FR"/>
        </w:rPr>
        <w:t>contraceptifs au moment où elles sont tombées enceintes.</w:t>
      </w:r>
      <w:r w:rsidR="00E15507">
        <w:rPr>
          <w:lang w:val="fr-FR"/>
        </w:rPr>
        <w:t xml:space="preserve"> </w:t>
      </w:r>
      <w:r w:rsidR="00E15507" w:rsidRPr="005D6CD4">
        <w:rPr>
          <w:lang w:val="fr-FR"/>
        </w:rPr>
        <w:t>Parmi les</w:t>
      </w:r>
      <w:r w:rsidR="00E15507">
        <w:rPr>
          <w:lang w:val="fr-FR"/>
        </w:rPr>
        <w:t xml:space="preserve"> </w:t>
      </w:r>
      <w:r w:rsidR="00E15507" w:rsidRPr="005D6CD4">
        <w:rPr>
          <w:lang w:val="fr-FR"/>
        </w:rPr>
        <w:t>femmes qui se sont fait avorter, celles qui très probablement n</w:t>
      </w:r>
      <w:r w:rsidR="000A3D87">
        <w:rPr>
          <w:lang w:val="fr-FR"/>
        </w:rPr>
        <w:t>’</w:t>
      </w:r>
      <w:r w:rsidR="00E15507" w:rsidRPr="005D6CD4">
        <w:rPr>
          <w:lang w:val="fr-FR"/>
        </w:rPr>
        <w:t>utilisaient pas de contraceptifs sont les femmes pauvres (80</w:t>
      </w:r>
      <w:r w:rsidR="00E15507">
        <w:rPr>
          <w:lang w:val="fr-FR"/>
        </w:rPr>
        <w:t> </w:t>
      </w:r>
      <w:r w:rsidR="00E15507" w:rsidRPr="005D6CD4">
        <w:rPr>
          <w:lang w:val="fr-FR"/>
        </w:rPr>
        <w:t xml:space="preserve">%), les femmes </w:t>
      </w:r>
      <w:r w:rsidR="00E15507">
        <w:rPr>
          <w:lang w:val="fr-FR"/>
        </w:rPr>
        <w:t>analphabètes</w:t>
      </w:r>
      <w:r w:rsidR="00E15507" w:rsidRPr="005D6CD4">
        <w:rPr>
          <w:lang w:val="fr-FR"/>
        </w:rPr>
        <w:t xml:space="preserve"> (78</w:t>
      </w:r>
      <w:r w:rsidR="00E15507">
        <w:rPr>
          <w:lang w:val="fr-FR"/>
        </w:rPr>
        <w:t> </w:t>
      </w:r>
      <w:r w:rsidR="00E15507" w:rsidRPr="005D6CD4">
        <w:rPr>
          <w:lang w:val="fr-FR"/>
        </w:rPr>
        <w:t>%), les adolescentes (72</w:t>
      </w:r>
      <w:r w:rsidR="00E15507">
        <w:rPr>
          <w:lang w:val="fr-FR"/>
        </w:rPr>
        <w:t> </w:t>
      </w:r>
      <w:r w:rsidR="00E15507" w:rsidRPr="005D6CD4">
        <w:rPr>
          <w:lang w:val="fr-FR"/>
        </w:rPr>
        <w:t xml:space="preserve">%) et les femmes vivant dans le </w:t>
      </w:r>
      <w:r w:rsidR="00E15507">
        <w:rPr>
          <w:lang w:val="fr-FR"/>
        </w:rPr>
        <w:t>N</w:t>
      </w:r>
      <w:r w:rsidR="00E15507" w:rsidRPr="005D6CD4">
        <w:rPr>
          <w:lang w:val="fr-FR"/>
        </w:rPr>
        <w:t>ord</w:t>
      </w:r>
      <w:r w:rsidR="00E15507">
        <w:rPr>
          <w:lang w:val="fr-FR"/>
        </w:rPr>
        <w:t xml:space="preserve"> du pays</w:t>
      </w:r>
      <w:r w:rsidR="00E15507" w:rsidRPr="005D6CD4">
        <w:rPr>
          <w:lang w:val="fr-FR"/>
        </w:rPr>
        <w:t xml:space="preserve"> (71</w:t>
      </w:r>
      <w:r w:rsidR="00E15507">
        <w:rPr>
          <w:lang w:val="fr-FR"/>
        </w:rPr>
        <w:t> </w:t>
      </w:r>
      <w:r w:rsidR="00E15507" w:rsidRPr="005D6CD4">
        <w:rPr>
          <w:lang w:val="fr-FR"/>
        </w:rPr>
        <w:t>%).</w:t>
      </w:r>
    </w:p>
    <w:p w:rsidR="00E15507" w:rsidRPr="005D6CD4" w:rsidRDefault="00671934" w:rsidP="0012256D">
      <w:pPr>
        <w:pStyle w:val="SingleTxt"/>
        <w:rPr>
          <w:lang w:val="fr-FR"/>
        </w:rPr>
      </w:pPr>
      <w:r>
        <w:rPr>
          <w:lang w:val="fr-FR"/>
        </w:rPr>
        <w:tab/>
      </w:r>
      <w:r w:rsidR="00E15507" w:rsidRPr="005D6CD4">
        <w:rPr>
          <w:lang w:val="fr-FR"/>
        </w:rPr>
        <w:t>Des principales causes de mortalité maternelle, l</w:t>
      </w:r>
      <w:r w:rsidR="000A3D87">
        <w:rPr>
          <w:lang w:val="fr-FR"/>
        </w:rPr>
        <w:t>’</w:t>
      </w:r>
      <w:r w:rsidR="00E15507" w:rsidRPr="005D6CD4">
        <w:rPr>
          <w:lang w:val="fr-FR"/>
        </w:rPr>
        <w:t>avortement à risque est celle qu</w:t>
      </w:r>
      <w:r w:rsidR="000A3D87">
        <w:rPr>
          <w:lang w:val="fr-FR"/>
        </w:rPr>
        <w:t>’</w:t>
      </w:r>
      <w:r w:rsidR="00E15507" w:rsidRPr="005D6CD4">
        <w:rPr>
          <w:lang w:val="fr-FR"/>
        </w:rPr>
        <w:t>on peut le plus éviter.</w:t>
      </w:r>
      <w:r w:rsidR="00E15507">
        <w:rPr>
          <w:lang w:val="fr-FR"/>
        </w:rPr>
        <w:t xml:space="preserve"> </w:t>
      </w:r>
      <w:r w:rsidR="00E15507" w:rsidRPr="005D6CD4">
        <w:rPr>
          <w:lang w:val="fr-FR"/>
        </w:rPr>
        <w:t>Il demeure fréquent et tue chaque année 34</w:t>
      </w:r>
      <w:r w:rsidR="00E15507">
        <w:rPr>
          <w:lang w:val="fr-FR"/>
        </w:rPr>
        <w:t> </w:t>
      </w:r>
      <w:r w:rsidR="00E15507" w:rsidRPr="005D6CD4">
        <w:rPr>
          <w:lang w:val="fr-FR"/>
        </w:rPr>
        <w:t>000 Nigérianes</w:t>
      </w:r>
      <w:r w:rsidR="00E15507">
        <w:rPr>
          <w:lang w:val="fr-FR"/>
        </w:rPr>
        <w:t xml:space="preserve">. </w:t>
      </w:r>
      <w:r w:rsidR="00E15507" w:rsidRPr="005D6CD4">
        <w:rPr>
          <w:lang w:val="fr-FR"/>
        </w:rPr>
        <w:t>Beaucoup d</w:t>
      </w:r>
      <w:r w:rsidR="000A3D87">
        <w:rPr>
          <w:lang w:val="fr-FR"/>
        </w:rPr>
        <w:t>’</w:t>
      </w:r>
      <w:r w:rsidR="00E15507" w:rsidRPr="005D6CD4">
        <w:rPr>
          <w:lang w:val="fr-FR"/>
        </w:rPr>
        <w:t>autres femmes pourront souffrir à long terme de complications chroniques.</w:t>
      </w:r>
      <w:r w:rsidR="00E15507">
        <w:rPr>
          <w:lang w:val="fr-FR"/>
        </w:rPr>
        <w:t xml:space="preserve"> </w:t>
      </w:r>
      <w:r w:rsidR="00E15507" w:rsidRPr="005D6CD4">
        <w:rPr>
          <w:lang w:val="fr-FR"/>
        </w:rPr>
        <w:t>Le traitement de ces complications crée une surcharge au niveau des services publics de santé.</w:t>
      </w:r>
      <w:r w:rsidR="00E15507">
        <w:rPr>
          <w:lang w:val="fr-FR"/>
        </w:rPr>
        <w:t xml:space="preserve"> </w:t>
      </w:r>
    </w:p>
    <w:p w:rsidR="00E15507" w:rsidRPr="005D6CD4" w:rsidRDefault="00E15507" w:rsidP="0012256D">
      <w:pPr>
        <w:pStyle w:val="SingleTxt"/>
        <w:rPr>
          <w:b/>
          <w:bCs/>
          <w:color w:val="000000"/>
          <w:lang w:val="fr-FR"/>
        </w:rPr>
      </w:pPr>
      <w:r w:rsidRPr="005D6CD4">
        <w:rPr>
          <w:b/>
          <w:bCs/>
          <w:color w:val="000000"/>
          <w:lang w:val="fr-FR"/>
        </w:rPr>
        <w:t>12.4.</w:t>
      </w:r>
      <w:r>
        <w:rPr>
          <w:b/>
          <w:bCs/>
          <w:color w:val="000000"/>
          <w:lang w:val="fr-FR"/>
        </w:rPr>
        <w:t>3</w:t>
      </w:r>
      <w:r w:rsidRPr="005D6CD4">
        <w:rPr>
          <w:b/>
          <w:bCs/>
          <w:color w:val="000000"/>
          <w:lang w:val="fr-FR"/>
        </w:rPr>
        <w:t xml:space="preserve"> </w:t>
      </w:r>
      <w:r w:rsidR="00671934">
        <w:rPr>
          <w:b/>
          <w:bCs/>
          <w:color w:val="000000"/>
          <w:lang w:val="fr-FR"/>
        </w:rPr>
        <w:t xml:space="preserve"> </w:t>
      </w:r>
      <w:r w:rsidRPr="005D6CD4">
        <w:rPr>
          <w:b/>
          <w:bCs/>
          <w:color w:val="000000"/>
          <w:lang w:val="fr-FR"/>
        </w:rPr>
        <w:t>Mesures prises pour résoudre les problèmes de l</w:t>
      </w:r>
      <w:r w:rsidR="000A3D87">
        <w:rPr>
          <w:b/>
          <w:bCs/>
          <w:color w:val="000000"/>
          <w:lang w:val="fr-FR"/>
        </w:rPr>
        <w:t>’</w:t>
      </w:r>
      <w:r w:rsidRPr="005D6CD4">
        <w:rPr>
          <w:b/>
          <w:bCs/>
          <w:color w:val="000000"/>
          <w:lang w:val="fr-FR"/>
        </w:rPr>
        <w:t xml:space="preserve">avortement et de ses effets </w:t>
      </w:r>
    </w:p>
    <w:p w:rsidR="00E15507" w:rsidRPr="005D6CD4" w:rsidRDefault="00671934" w:rsidP="0012256D">
      <w:pPr>
        <w:pStyle w:val="SingleTxt"/>
        <w:rPr>
          <w:color w:val="000000"/>
          <w:lang w:val="fr-FR"/>
        </w:rPr>
      </w:pPr>
      <w:r>
        <w:rPr>
          <w:color w:val="000000"/>
          <w:lang w:val="fr-FR"/>
        </w:rPr>
        <w:tab/>
      </w:r>
      <w:r w:rsidR="00E15507" w:rsidRPr="005D6CD4">
        <w:rPr>
          <w:color w:val="000000"/>
          <w:lang w:val="fr-FR"/>
        </w:rPr>
        <w:t>On entend réviser les lois sur l</w:t>
      </w:r>
      <w:r w:rsidR="000A3D87">
        <w:rPr>
          <w:color w:val="000000"/>
          <w:lang w:val="fr-FR"/>
        </w:rPr>
        <w:t>’</w:t>
      </w:r>
      <w:r w:rsidR="00E15507" w:rsidRPr="005D6CD4">
        <w:rPr>
          <w:color w:val="000000"/>
          <w:lang w:val="fr-FR"/>
        </w:rPr>
        <w:t>avortement. Une coalition d</w:t>
      </w:r>
      <w:r w:rsidR="000A3D87">
        <w:rPr>
          <w:color w:val="000000"/>
          <w:lang w:val="fr-FR"/>
        </w:rPr>
        <w:t>’</w:t>
      </w:r>
      <w:r w:rsidR="00E15507" w:rsidRPr="005D6CD4">
        <w:rPr>
          <w:color w:val="000000"/>
          <w:lang w:val="fr-FR"/>
        </w:rPr>
        <w:t>ONG a préparé un projet de loi sur l</w:t>
      </w:r>
      <w:r w:rsidR="000A3D87">
        <w:rPr>
          <w:color w:val="000000"/>
          <w:lang w:val="fr-FR"/>
        </w:rPr>
        <w:t>’</w:t>
      </w:r>
      <w:r w:rsidR="00E15507" w:rsidRPr="005D6CD4">
        <w:rPr>
          <w:color w:val="000000"/>
          <w:lang w:val="fr-FR"/>
        </w:rPr>
        <w:t>avortement et les travaux préliminaires sont en cours en vue de faire soutenir ce texte qui sera déposé à l</w:t>
      </w:r>
      <w:r w:rsidR="000A3D87">
        <w:rPr>
          <w:color w:val="000000"/>
          <w:lang w:val="fr-FR"/>
        </w:rPr>
        <w:t>’</w:t>
      </w:r>
      <w:r w:rsidR="00E15507" w:rsidRPr="005D6CD4">
        <w:rPr>
          <w:color w:val="000000"/>
          <w:lang w:val="fr-FR"/>
        </w:rPr>
        <w:t xml:space="preserve">Assemblée nationale pour adoption. </w:t>
      </w:r>
    </w:p>
    <w:p w:rsidR="00E15507" w:rsidRPr="005D6CD4" w:rsidRDefault="00EB32E2" w:rsidP="0012256D">
      <w:pPr>
        <w:pStyle w:val="SingleTxt"/>
        <w:rPr>
          <w:color w:val="000000"/>
          <w:lang w:val="fr-FR"/>
        </w:rPr>
      </w:pPr>
      <w:r>
        <w:rPr>
          <w:color w:val="000000"/>
          <w:lang w:val="fr-FR"/>
        </w:rPr>
        <w:tab/>
      </w:r>
      <w:r w:rsidR="00E15507" w:rsidRPr="005D6CD4">
        <w:rPr>
          <w:color w:val="000000"/>
          <w:lang w:val="fr-FR"/>
        </w:rPr>
        <w:t>Des programmes d</w:t>
      </w:r>
      <w:r w:rsidR="000A3D87">
        <w:rPr>
          <w:color w:val="000000"/>
          <w:lang w:val="fr-FR"/>
        </w:rPr>
        <w:t>’</w:t>
      </w:r>
      <w:r w:rsidR="00E15507" w:rsidRPr="005D6CD4">
        <w:rPr>
          <w:color w:val="000000"/>
          <w:lang w:val="fr-FR"/>
        </w:rPr>
        <w:t>éducation sexuelle sont mis au point dans nombre d</w:t>
      </w:r>
      <w:r w:rsidR="000A3D87">
        <w:rPr>
          <w:color w:val="000000"/>
          <w:lang w:val="fr-FR"/>
        </w:rPr>
        <w:t>’</w:t>
      </w:r>
      <w:r w:rsidR="00E15507" w:rsidRPr="005D6CD4">
        <w:rPr>
          <w:rFonts w:ascii="TimesNewRoman" w:hAnsi="TimesNewRoman" w:cs="TimesNewRoman"/>
          <w:color w:val="000000"/>
          <w:lang w:val="fr-FR"/>
        </w:rPr>
        <w:t>É</w:t>
      </w:r>
      <w:r w:rsidR="00E15507" w:rsidRPr="005D6CD4">
        <w:rPr>
          <w:color w:val="000000"/>
          <w:lang w:val="fr-FR"/>
        </w:rPr>
        <w:t>tats de la</w:t>
      </w:r>
      <w:r w:rsidR="00E15507">
        <w:rPr>
          <w:color w:val="000000"/>
          <w:lang w:val="fr-FR"/>
        </w:rPr>
        <w:t xml:space="preserve"> </w:t>
      </w:r>
      <w:r w:rsidR="00E15507" w:rsidRPr="005D6CD4">
        <w:rPr>
          <w:color w:val="000000"/>
          <w:lang w:val="fr-FR"/>
        </w:rPr>
        <w:t>Fédération. Plusieurs établissements scolaires ont déjà adopté leur programme d</w:t>
      </w:r>
      <w:r w:rsidR="000A3D87">
        <w:rPr>
          <w:color w:val="000000"/>
          <w:lang w:val="fr-FR"/>
        </w:rPr>
        <w:t>’</w:t>
      </w:r>
      <w:r w:rsidR="00E15507" w:rsidRPr="005D6CD4">
        <w:rPr>
          <w:color w:val="000000"/>
          <w:lang w:val="fr-FR"/>
        </w:rPr>
        <w:t>éducation sexuelle qu</w:t>
      </w:r>
      <w:r w:rsidR="000A3D87">
        <w:rPr>
          <w:color w:val="000000"/>
          <w:lang w:val="fr-FR"/>
        </w:rPr>
        <w:t>’</w:t>
      </w:r>
      <w:r w:rsidR="00E15507" w:rsidRPr="005D6CD4">
        <w:rPr>
          <w:color w:val="000000"/>
          <w:lang w:val="fr-FR"/>
        </w:rPr>
        <w:t>ils suivent déjà.</w:t>
      </w:r>
    </w:p>
    <w:p w:rsidR="00E15507" w:rsidRPr="005D6CD4" w:rsidRDefault="00EB32E2" w:rsidP="0012256D">
      <w:pPr>
        <w:pStyle w:val="SingleTxt"/>
        <w:rPr>
          <w:lang w:val="fr-FR"/>
        </w:rPr>
      </w:pPr>
      <w:r>
        <w:rPr>
          <w:lang w:val="fr-FR"/>
        </w:rPr>
        <w:tab/>
      </w:r>
      <w:r w:rsidR="00E15507" w:rsidRPr="005D6CD4">
        <w:rPr>
          <w:lang w:val="fr-FR"/>
        </w:rPr>
        <w:t xml:space="preserve">En partenariat avec les ONG, le </w:t>
      </w:r>
      <w:r w:rsidR="00E15507">
        <w:rPr>
          <w:lang w:val="fr-FR"/>
        </w:rPr>
        <w:t>Nigéria</w:t>
      </w:r>
      <w:r w:rsidR="00E15507" w:rsidRPr="005D6CD4">
        <w:rPr>
          <w:lang w:val="fr-FR"/>
        </w:rPr>
        <w:t xml:space="preserve"> a fait des progrès significatifs</w:t>
      </w:r>
      <w:r w:rsidR="00E15507">
        <w:rPr>
          <w:lang w:val="fr-FR"/>
        </w:rPr>
        <w:t xml:space="preserve"> </w:t>
      </w:r>
      <w:r w:rsidR="00E15507" w:rsidRPr="005D6CD4">
        <w:rPr>
          <w:lang w:val="fr-FR"/>
        </w:rPr>
        <w:t>dans l</w:t>
      </w:r>
      <w:r w:rsidR="000A3D87">
        <w:rPr>
          <w:lang w:val="fr-FR"/>
        </w:rPr>
        <w:t>’</w:t>
      </w:r>
      <w:r w:rsidR="00E15507" w:rsidRPr="005D6CD4">
        <w:rPr>
          <w:lang w:val="fr-FR"/>
        </w:rPr>
        <w:t>amélioration de la qualité des soins</w:t>
      </w:r>
      <w:r w:rsidR="00E15507">
        <w:rPr>
          <w:lang w:val="fr-FR"/>
        </w:rPr>
        <w:t xml:space="preserve"> </w:t>
      </w:r>
      <w:r w:rsidR="00E15507" w:rsidRPr="005D6CD4">
        <w:rPr>
          <w:lang w:val="fr-FR"/>
        </w:rPr>
        <w:t xml:space="preserve">post-avortement. </w:t>
      </w:r>
      <w:r w:rsidR="00E15507" w:rsidRPr="00755A54">
        <w:rPr>
          <w:lang w:val="fr-FR"/>
        </w:rPr>
        <w:t>IPAS,</w:t>
      </w:r>
      <w:r w:rsidR="00E15507" w:rsidRPr="005D6CD4">
        <w:rPr>
          <w:lang w:val="fr-FR"/>
        </w:rPr>
        <w:t xml:space="preserve"> une ONG internationale de renom basée à Abuja, soutient activement les services de soins post-avortement dans 98 formations sanitaires publiques dans quatre </w:t>
      </w:r>
      <w:r w:rsidR="00E15507" w:rsidRPr="005D6CD4">
        <w:rPr>
          <w:rFonts w:ascii="TimesNewRoman" w:hAnsi="TimesNewRoman" w:cs="TimesNewRoman"/>
          <w:lang w:val="fr-FR"/>
        </w:rPr>
        <w:t>É</w:t>
      </w:r>
      <w:r w:rsidR="00E15507" w:rsidRPr="005D6CD4">
        <w:rPr>
          <w:lang w:val="fr-FR"/>
        </w:rPr>
        <w:t>tats prioritaires : Kano, Sokoto, Kebbi et Bornou. Ces 98 institutions ont reçu 6</w:t>
      </w:r>
      <w:r w:rsidR="00E15507">
        <w:rPr>
          <w:lang w:val="fr-FR"/>
        </w:rPr>
        <w:t> </w:t>
      </w:r>
      <w:r w:rsidR="00E15507" w:rsidRPr="005D6CD4">
        <w:rPr>
          <w:lang w:val="fr-FR"/>
        </w:rPr>
        <w:t xml:space="preserve">774 </w:t>
      </w:r>
      <w:r w:rsidR="00E15507">
        <w:rPr>
          <w:lang w:val="fr-FR"/>
        </w:rPr>
        <w:t>clientes</w:t>
      </w:r>
      <w:r w:rsidR="00E15507" w:rsidRPr="005D6CD4">
        <w:rPr>
          <w:lang w:val="fr-FR"/>
        </w:rPr>
        <w:t xml:space="preserve"> pour soins post-avortement entre juillet 2005 et juin 2006.</w:t>
      </w:r>
      <w:r w:rsidR="00E15507">
        <w:rPr>
          <w:lang w:val="fr-FR"/>
        </w:rPr>
        <w:t xml:space="preserve"> </w:t>
      </w:r>
      <w:r w:rsidR="00E15507" w:rsidRPr="005D6CD4">
        <w:rPr>
          <w:lang w:val="fr-FR"/>
        </w:rPr>
        <w:t>Environ 88</w:t>
      </w:r>
      <w:r w:rsidR="00E15507">
        <w:rPr>
          <w:lang w:val="fr-FR"/>
        </w:rPr>
        <w:t> </w:t>
      </w:r>
      <w:r w:rsidR="00E15507" w:rsidRPr="005D6CD4">
        <w:rPr>
          <w:lang w:val="fr-FR"/>
        </w:rPr>
        <w:t>% des procédés d</w:t>
      </w:r>
      <w:r w:rsidR="000A3D87">
        <w:rPr>
          <w:lang w:val="fr-FR"/>
        </w:rPr>
        <w:t>’</w:t>
      </w:r>
      <w:r w:rsidR="00E15507" w:rsidRPr="005D6CD4">
        <w:rPr>
          <w:lang w:val="fr-FR"/>
        </w:rPr>
        <w:t>évacuation utérine du premier trimestre y sont réalisées par l</w:t>
      </w:r>
      <w:r w:rsidR="000A3D87">
        <w:rPr>
          <w:lang w:val="fr-FR"/>
        </w:rPr>
        <w:t>’</w:t>
      </w:r>
      <w:r w:rsidR="00E15507" w:rsidRPr="005D6CD4">
        <w:rPr>
          <w:lang w:val="fr-FR"/>
        </w:rPr>
        <w:t>aspiration manuelle sous vide contre 82</w:t>
      </w:r>
      <w:r w:rsidR="00E15507">
        <w:rPr>
          <w:lang w:val="fr-FR"/>
        </w:rPr>
        <w:t> </w:t>
      </w:r>
      <w:r w:rsidR="00E15507" w:rsidRPr="005D6CD4">
        <w:rPr>
          <w:lang w:val="fr-FR"/>
        </w:rPr>
        <w:t>% trois année</w:t>
      </w:r>
      <w:r w:rsidR="00E15507">
        <w:rPr>
          <w:lang w:val="fr-FR"/>
        </w:rPr>
        <w:t>s</w:t>
      </w:r>
      <w:r w:rsidR="00E15507" w:rsidRPr="005D6CD4">
        <w:rPr>
          <w:lang w:val="fr-FR"/>
        </w:rPr>
        <w:t xml:space="preserve"> plus tôt.</w:t>
      </w:r>
      <w:r w:rsidR="00E15507">
        <w:rPr>
          <w:lang w:val="fr-FR"/>
        </w:rPr>
        <w:t xml:space="preserve"> IPAS </w:t>
      </w:r>
      <w:r w:rsidR="00E15507" w:rsidRPr="005D6CD4">
        <w:rPr>
          <w:lang w:val="fr-FR"/>
        </w:rPr>
        <w:t>travaille également en partenariat avec le secteur public et les</w:t>
      </w:r>
      <w:r w:rsidR="00E15507">
        <w:rPr>
          <w:lang w:val="fr-FR"/>
        </w:rPr>
        <w:t xml:space="preserve"> </w:t>
      </w:r>
      <w:r w:rsidR="00E15507" w:rsidRPr="005D6CD4">
        <w:rPr>
          <w:lang w:val="fr-FR"/>
        </w:rPr>
        <w:t>ONG locales dans</w:t>
      </w:r>
      <w:r w:rsidR="00E15507">
        <w:rPr>
          <w:lang w:val="fr-FR"/>
        </w:rPr>
        <w:t xml:space="preserve"> </w:t>
      </w:r>
      <w:r w:rsidR="00E15507" w:rsidRPr="005D6CD4">
        <w:rPr>
          <w:lang w:val="fr-FR"/>
        </w:rPr>
        <w:t xml:space="preserve">sept </w:t>
      </w:r>
      <w:r w:rsidR="00E15507" w:rsidRPr="005D6CD4">
        <w:rPr>
          <w:rFonts w:ascii="TimesNewRoman" w:hAnsi="TimesNewRoman" w:cs="TimesNewRoman"/>
          <w:lang w:val="fr-FR"/>
        </w:rPr>
        <w:t>É</w:t>
      </w:r>
      <w:r w:rsidR="00E15507" w:rsidRPr="005D6CD4">
        <w:rPr>
          <w:lang w:val="fr-FR"/>
        </w:rPr>
        <w:t>tats ciblés (Zamfara, Katsina, Adamawa, Taraba, Rivers, Lagos et Abuja/ Territoire de la capitale fédérale), afin d</w:t>
      </w:r>
      <w:r w:rsidR="000A3D87">
        <w:rPr>
          <w:lang w:val="fr-FR"/>
        </w:rPr>
        <w:t>’</w:t>
      </w:r>
      <w:r w:rsidR="00E15507" w:rsidRPr="005D6CD4">
        <w:rPr>
          <w:lang w:val="fr-FR"/>
        </w:rPr>
        <w:t>améliorer l</w:t>
      </w:r>
      <w:r w:rsidR="000A3D87">
        <w:rPr>
          <w:lang w:val="fr-FR"/>
        </w:rPr>
        <w:t>’</w:t>
      </w:r>
      <w:r w:rsidR="00E15507" w:rsidRPr="005D6CD4">
        <w:rPr>
          <w:lang w:val="fr-FR"/>
        </w:rPr>
        <w:t>accès aux services de soins post-avortement et</w:t>
      </w:r>
      <w:r w:rsidR="00E15507">
        <w:rPr>
          <w:lang w:val="fr-FR"/>
        </w:rPr>
        <w:t xml:space="preserve"> </w:t>
      </w:r>
      <w:r w:rsidR="00E15507" w:rsidRPr="005D6CD4">
        <w:rPr>
          <w:lang w:val="fr-FR"/>
        </w:rPr>
        <w:t>la qualité de ceux-ci.</w:t>
      </w:r>
      <w:r w:rsidR="00E15507">
        <w:rPr>
          <w:lang w:val="fr-FR"/>
        </w:rPr>
        <w:t xml:space="preserve"> </w:t>
      </w:r>
      <w:r w:rsidR="00E15507" w:rsidRPr="005D6CD4">
        <w:rPr>
          <w:lang w:val="fr-FR"/>
        </w:rPr>
        <w:t xml:space="preserve">Pour renforcer le stage pré-emploi, </w:t>
      </w:r>
      <w:r w:rsidR="00E15507" w:rsidRPr="00755A54">
        <w:rPr>
          <w:lang w:val="fr-FR"/>
        </w:rPr>
        <w:t>IPAS</w:t>
      </w:r>
      <w:r w:rsidR="00E15507">
        <w:rPr>
          <w:i/>
          <w:lang w:val="fr-FR"/>
        </w:rPr>
        <w:t xml:space="preserve"> </w:t>
      </w:r>
      <w:r w:rsidR="00E15507" w:rsidRPr="005D6CD4">
        <w:rPr>
          <w:lang w:val="fr-FR"/>
        </w:rPr>
        <w:t xml:space="preserve">travaille avec </w:t>
      </w:r>
      <w:r w:rsidR="00E15507">
        <w:rPr>
          <w:lang w:val="fr-FR"/>
        </w:rPr>
        <w:t>le Conseil des infirmiers et sages-femmes du Nigéria</w:t>
      </w:r>
      <w:r w:rsidR="00E15507" w:rsidRPr="005D6CD4">
        <w:rPr>
          <w:lang w:val="fr-FR"/>
        </w:rPr>
        <w:t xml:space="preserve"> pour former les formateurs des sages-femmes</w:t>
      </w:r>
      <w:r w:rsidR="00E15507">
        <w:rPr>
          <w:lang w:val="fr-FR"/>
        </w:rPr>
        <w:t xml:space="preserve"> </w:t>
      </w:r>
      <w:r w:rsidR="00E15507" w:rsidRPr="005D6CD4">
        <w:rPr>
          <w:lang w:val="fr-FR"/>
        </w:rPr>
        <w:t>en soins post-avortement dans toutes les écoles de formation du pays.</w:t>
      </w:r>
      <w:r w:rsidR="00E15507">
        <w:rPr>
          <w:lang w:val="fr-FR"/>
        </w:rPr>
        <w:t xml:space="preserve"> </w:t>
      </w:r>
      <w:r w:rsidR="00E15507" w:rsidRPr="005D6CD4">
        <w:rPr>
          <w:lang w:val="fr-FR"/>
        </w:rPr>
        <w:t>Toutes les sages-femmes sorties des écoles ont désormais des connaissances en soins post-avortement.</w:t>
      </w:r>
    </w:p>
    <w:p w:rsidR="00E15507" w:rsidRPr="005D6CD4" w:rsidRDefault="00EB32E2" w:rsidP="0012256D">
      <w:pPr>
        <w:pStyle w:val="SingleTxt"/>
        <w:rPr>
          <w:lang w:val="fr-FR"/>
        </w:rPr>
      </w:pPr>
      <w:r>
        <w:rPr>
          <w:lang w:val="fr-FR"/>
        </w:rPr>
        <w:tab/>
      </w:r>
      <w:r w:rsidR="00E15507" w:rsidRPr="005D6CD4">
        <w:rPr>
          <w:lang w:val="fr-FR"/>
        </w:rPr>
        <w:t>Les femmes ont à leur disposition une gamme de moyens technologiques leur permettant de faire face aux grossesses non désirées, notamment la contraception d</w:t>
      </w:r>
      <w:r w:rsidR="000A3D87">
        <w:rPr>
          <w:lang w:val="fr-FR"/>
        </w:rPr>
        <w:t>’</w:t>
      </w:r>
      <w:r w:rsidR="00E15507" w:rsidRPr="005D6CD4">
        <w:rPr>
          <w:lang w:val="fr-FR"/>
        </w:rPr>
        <w:t>urgence après des rapports sexuels non protégés et l</w:t>
      </w:r>
      <w:r w:rsidR="000A3D87">
        <w:rPr>
          <w:lang w:val="fr-FR"/>
        </w:rPr>
        <w:t>’</w:t>
      </w:r>
      <w:r w:rsidR="00E15507" w:rsidRPr="005D6CD4">
        <w:rPr>
          <w:lang w:val="fr-FR"/>
        </w:rPr>
        <w:t xml:space="preserve">aspiration manuelle sous vide pour interrompre la grosse. </w:t>
      </w:r>
    </w:p>
    <w:p w:rsidR="00E15507" w:rsidRDefault="00EB32E2" w:rsidP="0012256D">
      <w:pPr>
        <w:pStyle w:val="SingleTxt"/>
        <w:rPr>
          <w:lang w:val="fr-FR"/>
        </w:rPr>
      </w:pPr>
      <w:r>
        <w:rPr>
          <w:lang w:val="fr-FR"/>
        </w:rPr>
        <w:tab/>
      </w:r>
      <w:r w:rsidR="00E15507" w:rsidRPr="005D6CD4">
        <w:rPr>
          <w:lang w:val="fr-FR"/>
        </w:rPr>
        <w:t xml:space="preserve">Par ailleurs, </w:t>
      </w:r>
      <w:r w:rsidR="00E15507">
        <w:rPr>
          <w:lang w:val="fr-FR"/>
        </w:rPr>
        <w:t xml:space="preserve">le </w:t>
      </w:r>
      <w:r w:rsidR="00E15507" w:rsidRPr="005D6CD4">
        <w:rPr>
          <w:lang w:val="fr-FR"/>
        </w:rPr>
        <w:t>Misoprostol, un important médicament qui s</w:t>
      </w:r>
      <w:r w:rsidR="000A3D87">
        <w:rPr>
          <w:lang w:val="fr-FR"/>
        </w:rPr>
        <w:t>’</w:t>
      </w:r>
      <w:r w:rsidR="00E15507" w:rsidRPr="005D6CD4">
        <w:rPr>
          <w:lang w:val="fr-FR"/>
        </w:rPr>
        <w:t>utilise beaucoup en obstétrique, a été agréé au niveau national pour la prise en charge de l</w:t>
      </w:r>
      <w:r w:rsidR="000A3D87">
        <w:rPr>
          <w:lang w:val="fr-FR"/>
        </w:rPr>
        <w:t>’</w:t>
      </w:r>
      <w:r w:rsidR="00E15507" w:rsidRPr="005D6CD4">
        <w:rPr>
          <w:lang w:val="fr-FR"/>
        </w:rPr>
        <w:t>hémorragie post-partum.</w:t>
      </w:r>
      <w:r w:rsidR="00E15507">
        <w:rPr>
          <w:lang w:val="fr-FR"/>
        </w:rPr>
        <w:t xml:space="preserve"> </w:t>
      </w:r>
      <w:r w:rsidR="00E15507" w:rsidRPr="005D6CD4">
        <w:rPr>
          <w:lang w:val="fr-FR"/>
        </w:rPr>
        <w:t>L</w:t>
      </w:r>
      <w:r w:rsidR="000A3D87">
        <w:rPr>
          <w:lang w:val="fr-FR"/>
        </w:rPr>
        <w:t>’</w:t>
      </w:r>
      <w:r w:rsidR="00E15507" w:rsidRPr="005D6CD4">
        <w:rPr>
          <w:lang w:val="fr-FR"/>
        </w:rPr>
        <w:t xml:space="preserve">aspiration manuelle sous vide et </w:t>
      </w:r>
      <w:r w:rsidR="00E15507">
        <w:rPr>
          <w:lang w:val="fr-FR"/>
        </w:rPr>
        <w:t xml:space="preserve">le </w:t>
      </w:r>
      <w:r w:rsidR="00E15507" w:rsidRPr="005D6CD4">
        <w:rPr>
          <w:lang w:val="fr-FR"/>
        </w:rPr>
        <w:t xml:space="preserve">Misoprostol font partie du programme </w:t>
      </w:r>
      <w:r w:rsidR="00E15507" w:rsidRPr="005D6CD4">
        <w:rPr>
          <w:i/>
          <w:lang w:val="fr-FR"/>
        </w:rPr>
        <w:t>Mama Kit</w:t>
      </w:r>
      <w:r w:rsidR="00E15507" w:rsidRPr="005D6CD4">
        <w:rPr>
          <w:lang w:val="fr-FR"/>
        </w:rPr>
        <w:t xml:space="preserve"> (un</w:t>
      </w:r>
      <w:r w:rsidR="00E15507">
        <w:rPr>
          <w:lang w:val="fr-FR"/>
        </w:rPr>
        <w:t xml:space="preserve">e trousse de matériel offerte par </w:t>
      </w:r>
      <w:r w:rsidR="00E15507" w:rsidRPr="005D6CD4">
        <w:rPr>
          <w:lang w:val="fr-FR"/>
        </w:rPr>
        <w:t>l</w:t>
      </w:r>
      <w:r w:rsidR="000A3D87">
        <w:rPr>
          <w:lang w:val="fr-FR"/>
        </w:rPr>
        <w:t>’</w:t>
      </w:r>
      <w:r w:rsidR="00E15507" w:rsidRPr="005D6CD4">
        <w:rPr>
          <w:rFonts w:ascii="TimesNewRoman" w:hAnsi="TimesNewRoman" w:cs="TimesNewRoman"/>
          <w:lang w:val="fr-FR"/>
        </w:rPr>
        <w:t>É</w:t>
      </w:r>
      <w:r w:rsidR="00E15507" w:rsidRPr="005D6CD4">
        <w:rPr>
          <w:lang w:val="fr-FR"/>
        </w:rPr>
        <w:t xml:space="preserve">tat </w:t>
      </w:r>
      <w:r w:rsidR="00E15507">
        <w:rPr>
          <w:lang w:val="fr-FR"/>
        </w:rPr>
        <w:t xml:space="preserve">au titre des programmes de </w:t>
      </w:r>
      <w:r w:rsidR="00E15507" w:rsidRPr="005D6CD4">
        <w:rPr>
          <w:lang w:val="fr-FR"/>
        </w:rPr>
        <w:t>maternité sans risques).</w:t>
      </w:r>
      <w:r w:rsidR="00E15507">
        <w:rPr>
          <w:lang w:val="fr-FR"/>
        </w:rPr>
        <w:t xml:space="preserve"> </w:t>
      </w:r>
    </w:p>
    <w:p w:rsidR="00E15507" w:rsidRPr="005D6CD4" w:rsidRDefault="00EB32E2" w:rsidP="00EB32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color w:val="000000"/>
          <w:lang w:val="fr-FR"/>
        </w:rPr>
        <w:tab/>
        <w:t>12.5</w:t>
      </w:r>
      <w:r w:rsidR="00E15507">
        <w:rPr>
          <w:color w:val="000000"/>
          <w:lang w:val="fr-FR"/>
        </w:rPr>
        <w:t xml:space="preserve"> </w:t>
      </w:r>
      <w:r>
        <w:rPr>
          <w:color w:val="000000"/>
          <w:lang w:val="fr-FR"/>
        </w:rPr>
        <w:tab/>
      </w:r>
      <w:r w:rsidR="00E15507" w:rsidRPr="005D6CD4">
        <w:rPr>
          <w:lang w:val="fr-FR"/>
        </w:rPr>
        <w:t>Taux de mortalité infantile et de</w:t>
      </w:r>
      <w:r w:rsidR="00E15507">
        <w:rPr>
          <w:lang w:val="fr-FR"/>
        </w:rPr>
        <w:t>s</w:t>
      </w:r>
      <w:r w:rsidR="00E15507" w:rsidRPr="005D6CD4">
        <w:rPr>
          <w:lang w:val="fr-FR"/>
        </w:rPr>
        <w:t xml:space="preserve"> moins de cinq</w:t>
      </w:r>
      <w:r w:rsidR="00E15507">
        <w:rPr>
          <w:lang w:val="fr-FR"/>
        </w:rPr>
        <w:t xml:space="preserve"> ans</w:t>
      </w:r>
    </w:p>
    <w:p w:rsidR="00EB32E2" w:rsidRPr="00EB32E2" w:rsidRDefault="00EB32E2" w:rsidP="00EB32E2">
      <w:pPr>
        <w:spacing w:line="120" w:lineRule="exact"/>
        <w:rPr>
          <w:b/>
          <w:bCs/>
          <w:sz w:val="10"/>
          <w:szCs w:val="24"/>
          <w:lang w:val="fr-FR"/>
        </w:rPr>
      </w:pPr>
    </w:p>
    <w:p w:rsidR="00E15507" w:rsidRDefault="00EB32E2" w:rsidP="00EB32E2">
      <w:pPr>
        <w:pStyle w:val="SingleTxt"/>
      </w:pPr>
      <w:r>
        <w:rPr>
          <w:lang w:val="fr-FR"/>
        </w:rPr>
        <w:tab/>
      </w:r>
      <w:r w:rsidRPr="00EB32E2">
        <w:rPr>
          <w:lang w:val="fr-FR"/>
        </w:rPr>
        <w:t xml:space="preserve">Les taux de mortalité infantile et des moins de </w:t>
      </w:r>
      <w:r>
        <w:rPr>
          <w:lang w:val="fr-FR"/>
        </w:rPr>
        <w:t>5 </w:t>
      </w:r>
      <w:r w:rsidRPr="00EB32E2">
        <w:rPr>
          <w:lang w:val="fr-FR"/>
        </w:rPr>
        <w:t>ans sont utilisés dans le présent rapport pour juger les performances du pays pour ce qui est des soins de santé offerts aux enfants et aux femmes enceintes. L’Enquête nationale sur la démographie et la santé a enregistré en 2003 un taux de mortalité infantile (100 pour</w:t>
      </w:r>
      <w:r>
        <w:rPr>
          <w:lang w:val="fr-FR"/>
        </w:rPr>
        <w:t xml:space="preserve"> </w:t>
      </w:r>
      <w:r w:rsidR="00E15507" w:rsidRPr="00EB32E2">
        <w:t>1 000 naissances) de loin supérieur à celui de 1999 (75 pour 1 000) et de 1990 (87</w:t>
      </w:r>
      <w:r>
        <w:t> </w:t>
      </w:r>
      <w:r w:rsidR="00E15507" w:rsidRPr="00EB32E2">
        <w:t>pour 1 000). L</w:t>
      </w:r>
      <w:r w:rsidR="000A3D87" w:rsidRPr="00EB32E2">
        <w:t>’</w:t>
      </w:r>
      <w:r w:rsidR="00E15507" w:rsidRPr="00EB32E2">
        <w:t xml:space="preserve">enquête de 2003 relève toutefois que la différence entre les taux ne traduit pas une augmentation de la mortalité infantile, mais une sous-estimation des chiffres réels lors des enquêtes précédentes. Néanmoins, un taux de mortalité de 100 pour 1 000 naissances (10 %), en augmentation est très élevé et des efforts sont déployés pour le ramener à un niveau minimal. </w:t>
      </w:r>
    </w:p>
    <w:p w:rsidR="00EB32E2" w:rsidRDefault="00EB32E2" w:rsidP="005A4B82">
      <w:pPr>
        <w:pStyle w:val="SingleTxt"/>
        <w:jc w:val="left"/>
        <w:rPr>
          <w:b/>
        </w:rPr>
      </w:pPr>
      <w:r w:rsidRPr="00EB32E2">
        <w:t>Table 12.1</w:t>
      </w:r>
      <w:r>
        <w:br/>
      </w:r>
      <w:r w:rsidRPr="005A4B82">
        <w:rPr>
          <w:b/>
        </w:rPr>
        <w:t>Taux de mortalité infantile dans les zones urbaine et rurale (sur 1 000 naissances)</w:t>
      </w:r>
    </w:p>
    <w:p w:rsidR="005A4B82" w:rsidRPr="005A4B82" w:rsidRDefault="005A4B82" w:rsidP="005A4B82">
      <w:pPr>
        <w:pStyle w:val="SingleTxt"/>
        <w:spacing w:after="0" w:line="120" w:lineRule="exact"/>
        <w:jc w:val="left"/>
        <w:rPr>
          <w:b/>
          <w:sz w:val="10"/>
        </w:rPr>
      </w:pPr>
    </w:p>
    <w:tbl>
      <w:tblPr>
        <w:tblW w:w="0" w:type="auto"/>
        <w:tblInd w:w="1260" w:type="dxa"/>
        <w:tblLayout w:type="fixed"/>
        <w:tblCellMar>
          <w:left w:w="0" w:type="dxa"/>
          <w:right w:w="0" w:type="dxa"/>
        </w:tblCellMar>
        <w:tblLook w:val="0000"/>
      </w:tblPr>
      <w:tblGrid>
        <w:gridCol w:w="1620"/>
        <w:gridCol w:w="1140"/>
        <w:gridCol w:w="1140"/>
        <w:gridCol w:w="1140"/>
        <w:gridCol w:w="1140"/>
        <w:gridCol w:w="1140"/>
      </w:tblGrid>
      <w:tr w:rsidR="005A4B82" w:rsidRPr="00EB32E2">
        <w:tblPrEx>
          <w:tblCellMar>
            <w:top w:w="0" w:type="dxa"/>
            <w:bottom w:w="0" w:type="dxa"/>
          </w:tblCellMar>
        </w:tblPrEx>
        <w:trPr>
          <w:tblHeader/>
        </w:trPr>
        <w:tc>
          <w:tcPr>
            <w:tcW w:w="1620" w:type="dxa"/>
            <w:tcBorders>
              <w:top w:val="single" w:sz="4" w:space="0" w:color="auto"/>
              <w:bottom w:val="single" w:sz="12" w:space="0" w:color="auto"/>
            </w:tcBorders>
            <w:shd w:val="clear" w:color="auto" w:fill="auto"/>
            <w:vAlign w:val="bottom"/>
          </w:tcPr>
          <w:p w:rsidR="005A4B82" w:rsidRPr="005A4B82" w:rsidRDefault="005A4B82" w:rsidP="005A4B82">
            <w:pPr>
              <w:spacing w:before="80" w:after="80" w:line="160" w:lineRule="exact"/>
              <w:ind w:right="43"/>
              <w:rPr>
                <w:i/>
                <w:sz w:val="14"/>
                <w:szCs w:val="14"/>
                <w:lang w:val="fr-FR"/>
              </w:rPr>
            </w:pPr>
            <w:r w:rsidRPr="005A4B82">
              <w:rPr>
                <w:i/>
                <w:sz w:val="14"/>
                <w:szCs w:val="14"/>
                <w:lang w:val="fr-FR"/>
              </w:rPr>
              <w:t>Caractéristiques de base</w:t>
            </w:r>
          </w:p>
        </w:tc>
        <w:tc>
          <w:tcPr>
            <w:tcW w:w="1140" w:type="dxa"/>
            <w:tcBorders>
              <w:top w:val="single" w:sz="4" w:space="0" w:color="auto"/>
              <w:bottom w:val="single" w:sz="12" w:space="0" w:color="auto"/>
            </w:tcBorders>
            <w:shd w:val="clear" w:color="auto" w:fill="auto"/>
            <w:vAlign w:val="bottom"/>
          </w:tcPr>
          <w:p w:rsidR="005A4B82" w:rsidRPr="005A4B82" w:rsidRDefault="005A4B82" w:rsidP="005A4B82">
            <w:pPr>
              <w:spacing w:before="80" w:after="80" w:line="160" w:lineRule="exact"/>
              <w:ind w:right="43"/>
              <w:jc w:val="right"/>
              <w:rPr>
                <w:i/>
                <w:sz w:val="14"/>
                <w:szCs w:val="14"/>
                <w:lang w:val="fr-FR"/>
              </w:rPr>
            </w:pPr>
            <w:r w:rsidRPr="005A4B82">
              <w:rPr>
                <w:i/>
                <w:sz w:val="14"/>
                <w:szCs w:val="14"/>
                <w:lang w:val="fr-FR"/>
              </w:rPr>
              <w:t xml:space="preserve">Mortalité néonatale </w:t>
            </w:r>
          </w:p>
        </w:tc>
        <w:tc>
          <w:tcPr>
            <w:tcW w:w="1140" w:type="dxa"/>
            <w:tcBorders>
              <w:top w:val="single" w:sz="4" w:space="0" w:color="auto"/>
              <w:bottom w:val="single" w:sz="12" w:space="0" w:color="auto"/>
            </w:tcBorders>
            <w:shd w:val="clear" w:color="auto" w:fill="auto"/>
            <w:vAlign w:val="bottom"/>
          </w:tcPr>
          <w:p w:rsidR="005A4B82" w:rsidRPr="005A4B82" w:rsidRDefault="005A4B82" w:rsidP="005A4B82">
            <w:pPr>
              <w:spacing w:before="80" w:after="80" w:line="160" w:lineRule="exact"/>
              <w:ind w:right="43"/>
              <w:jc w:val="right"/>
              <w:rPr>
                <w:i/>
                <w:sz w:val="14"/>
                <w:szCs w:val="14"/>
                <w:lang w:val="fr-FR"/>
              </w:rPr>
            </w:pPr>
            <w:r w:rsidRPr="005A4B82">
              <w:rPr>
                <w:i/>
                <w:sz w:val="14"/>
                <w:szCs w:val="14"/>
                <w:lang w:val="fr-FR"/>
              </w:rPr>
              <w:t xml:space="preserve">Mortalité post-néonatale </w:t>
            </w:r>
          </w:p>
        </w:tc>
        <w:tc>
          <w:tcPr>
            <w:tcW w:w="1140" w:type="dxa"/>
            <w:tcBorders>
              <w:top w:val="single" w:sz="4" w:space="0" w:color="auto"/>
              <w:bottom w:val="single" w:sz="12" w:space="0" w:color="auto"/>
            </w:tcBorders>
            <w:shd w:val="clear" w:color="auto" w:fill="auto"/>
            <w:vAlign w:val="bottom"/>
          </w:tcPr>
          <w:p w:rsidR="005A4B82" w:rsidRPr="005A4B82" w:rsidRDefault="005A4B82" w:rsidP="005A4B82">
            <w:pPr>
              <w:spacing w:before="80" w:after="80" w:line="160" w:lineRule="exact"/>
              <w:ind w:right="43"/>
              <w:jc w:val="right"/>
              <w:rPr>
                <w:i/>
                <w:sz w:val="14"/>
                <w:szCs w:val="14"/>
                <w:lang w:val="fr-FR"/>
              </w:rPr>
            </w:pPr>
            <w:r w:rsidRPr="005A4B82">
              <w:rPr>
                <w:i/>
                <w:sz w:val="14"/>
                <w:szCs w:val="14"/>
                <w:lang w:val="fr-FR"/>
              </w:rPr>
              <w:t xml:space="preserve">Mortalité infantile </w:t>
            </w:r>
          </w:p>
        </w:tc>
        <w:tc>
          <w:tcPr>
            <w:tcW w:w="1140" w:type="dxa"/>
            <w:tcBorders>
              <w:top w:val="single" w:sz="4" w:space="0" w:color="auto"/>
              <w:bottom w:val="single" w:sz="12" w:space="0" w:color="auto"/>
            </w:tcBorders>
            <w:shd w:val="clear" w:color="auto" w:fill="auto"/>
            <w:vAlign w:val="bottom"/>
          </w:tcPr>
          <w:p w:rsidR="005A4B82" w:rsidRPr="005A4B82" w:rsidRDefault="005A4B82" w:rsidP="005A4B82">
            <w:pPr>
              <w:spacing w:before="80" w:after="80" w:line="160" w:lineRule="exact"/>
              <w:ind w:right="43"/>
              <w:jc w:val="right"/>
              <w:rPr>
                <w:i/>
                <w:sz w:val="14"/>
                <w:szCs w:val="14"/>
                <w:lang w:val="fr-FR"/>
              </w:rPr>
            </w:pPr>
            <w:r w:rsidRPr="005A4B82">
              <w:rPr>
                <w:i/>
                <w:sz w:val="14"/>
                <w:szCs w:val="14"/>
                <w:lang w:val="fr-FR"/>
              </w:rPr>
              <w:t>Mortalité post-infantile</w:t>
            </w:r>
          </w:p>
        </w:tc>
        <w:tc>
          <w:tcPr>
            <w:tcW w:w="1140" w:type="dxa"/>
            <w:tcBorders>
              <w:top w:val="single" w:sz="4" w:space="0" w:color="auto"/>
              <w:bottom w:val="single" w:sz="12" w:space="0" w:color="auto"/>
            </w:tcBorders>
            <w:shd w:val="clear" w:color="auto" w:fill="auto"/>
            <w:vAlign w:val="bottom"/>
          </w:tcPr>
          <w:p w:rsidR="005A4B82" w:rsidRPr="005A4B82" w:rsidRDefault="005A4B82" w:rsidP="005A4B82">
            <w:pPr>
              <w:spacing w:before="80" w:after="80" w:line="160" w:lineRule="exact"/>
              <w:ind w:right="43"/>
              <w:jc w:val="right"/>
              <w:rPr>
                <w:i/>
                <w:sz w:val="14"/>
                <w:szCs w:val="14"/>
                <w:lang w:val="fr-FR"/>
              </w:rPr>
            </w:pPr>
            <w:r w:rsidRPr="005A4B82">
              <w:rPr>
                <w:i/>
                <w:sz w:val="14"/>
                <w:szCs w:val="14"/>
                <w:lang w:val="fr-FR"/>
              </w:rPr>
              <w:t>Mortalité des moins de cinq ans</w:t>
            </w:r>
          </w:p>
        </w:tc>
      </w:tr>
      <w:tr w:rsidR="00EB32E2" w:rsidRPr="00EB32E2">
        <w:tblPrEx>
          <w:tblCellMar>
            <w:top w:w="0" w:type="dxa"/>
            <w:bottom w:w="0" w:type="dxa"/>
          </w:tblCellMar>
        </w:tblPrEx>
        <w:trPr>
          <w:trHeight w:hRule="exact" w:val="115"/>
          <w:tblHeader/>
        </w:trPr>
        <w:tc>
          <w:tcPr>
            <w:tcW w:w="1620" w:type="dxa"/>
            <w:tcBorders>
              <w:top w:val="single" w:sz="12" w:space="0" w:color="auto"/>
            </w:tcBorders>
            <w:shd w:val="clear" w:color="auto" w:fill="auto"/>
            <w:vAlign w:val="bottom"/>
          </w:tcPr>
          <w:p w:rsidR="00EB32E2" w:rsidRPr="00EB32E2" w:rsidRDefault="00EB32E2" w:rsidP="00EB32E2">
            <w:pPr>
              <w:tabs>
                <w:tab w:val="left" w:pos="288"/>
                <w:tab w:val="left" w:pos="576"/>
                <w:tab w:val="left" w:pos="864"/>
                <w:tab w:val="left" w:pos="1152"/>
              </w:tabs>
              <w:suppressAutoHyphens/>
              <w:spacing w:before="40" w:after="40" w:line="210" w:lineRule="exact"/>
              <w:ind w:right="43"/>
              <w:rPr>
                <w:sz w:val="17"/>
              </w:rPr>
            </w:pPr>
          </w:p>
        </w:tc>
        <w:tc>
          <w:tcPr>
            <w:tcW w:w="1140" w:type="dxa"/>
            <w:tcBorders>
              <w:top w:val="single" w:sz="12" w:space="0" w:color="auto"/>
            </w:tcBorders>
            <w:shd w:val="clear" w:color="auto" w:fill="auto"/>
            <w:vAlign w:val="bottom"/>
          </w:tcPr>
          <w:p w:rsidR="00EB32E2" w:rsidRPr="00EB32E2" w:rsidRDefault="00EB32E2" w:rsidP="00EB32E2">
            <w:pPr>
              <w:tabs>
                <w:tab w:val="left" w:pos="288"/>
                <w:tab w:val="left" w:pos="576"/>
                <w:tab w:val="left" w:pos="864"/>
                <w:tab w:val="left" w:pos="1152"/>
              </w:tabs>
              <w:suppressAutoHyphens/>
              <w:spacing w:before="40" w:after="40" w:line="210" w:lineRule="exact"/>
              <w:ind w:right="43"/>
              <w:jc w:val="right"/>
              <w:rPr>
                <w:sz w:val="17"/>
              </w:rPr>
            </w:pPr>
          </w:p>
        </w:tc>
        <w:tc>
          <w:tcPr>
            <w:tcW w:w="1140" w:type="dxa"/>
            <w:tcBorders>
              <w:top w:val="single" w:sz="12" w:space="0" w:color="auto"/>
            </w:tcBorders>
            <w:shd w:val="clear" w:color="auto" w:fill="auto"/>
            <w:vAlign w:val="bottom"/>
          </w:tcPr>
          <w:p w:rsidR="00EB32E2" w:rsidRPr="00EB32E2" w:rsidRDefault="00EB32E2" w:rsidP="00EB32E2">
            <w:pPr>
              <w:tabs>
                <w:tab w:val="left" w:pos="288"/>
                <w:tab w:val="left" w:pos="576"/>
                <w:tab w:val="left" w:pos="864"/>
                <w:tab w:val="left" w:pos="1152"/>
              </w:tabs>
              <w:suppressAutoHyphens/>
              <w:spacing w:before="40" w:after="40" w:line="210" w:lineRule="exact"/>
              <w:ind w:right="43"/>
              <w:jc w:val="right"/>
              <w:rPr>
                <w:sz w:val="17"/>
              </w:rPr>
            </w:pPr>
          </w:p>
        </w:tc>
        <w:tc>
          <w:tcPr>
            <w:tcW w:w="1140" w:type="dxa"/>
            <w:tcBorders>
              <w:top w:val="single" w:sz="12" w:space="0" w:color="auto"/>
            </w:tcBorders>
            <w:shd w:val="clear" w:color="auto" w:fill="auto"/>
            <w:vAlign w:val="bottom"/>
          </w:tcPr>
          <w:p w:rsidR="00EB32E2" w:rsidRPr="00EB32E2" w:rsidRDefault="00EB32E2" w:rsidP="00EB32E2">
            <w:pPr>
              <w:tabs>
                <w:tab w:val="left" w:pos="288"/>
                <w:tab w:val="left" w:pos="576"/>
                <w:tab w:val="left" w:pos="864"/>
                <w:tab w:val="left" w:pos="1152"/>
              </w:tabs>
              <w:suppressAutoHyphens/>
              <w:spacing w:before="40" w:after="40" w:line="210" w:lineRule="exact"/>
              <w:ind w:right="43"/>
              <w:jc w:val="right"/>
              <w:rPr>
                <w:sz w:val="17"/>
              </w:rPr>
            </w:pPr>
          </w:p>
        </w:tc>
        <w:tc>
          <w:tcPr>
            <w:tcW w:w="1140" w:type="dxa"/>
            <w:tcBorders>
              <w:top w:val="single" w:sz="12" w:space="0" w:color="auto"/>
            </w:tcBorders>
            <w:shd w:val="clear" w:color="auto" w:fill="auto"/>
            <w:vAlign w:val="bottom"/>
          </w:tcPr>
          <w:p w:rsidR="00EB32E2" w:rsidRPr="00EB32E2" w:rsidRDefault="00EB32E2" w:rsidP="00EB32E2">
            <w:pPr>
              <w:tabs>
                <w:tab w:val="left" w:pos="288"/>
                <w:tab w:val="left" w:pos="576"/>
                <w:tab w:val="left" w:pos="864"/>
                <w:tab w:val="left" w:pos="1152"/>
              </w:tabs>
              <w:suppressAutoHyphens/>
              <w:spacing w:before="40" w:after="40" w:line="210" w:lineRule="exact"/>
              <w:ind w:right="43"/>
              <w:jc w:val="right"/>
              <w:rPr>
                <w:sz w:val="17"/>
              </w:rPr>
            </w:pPr>
          </w:p>
        </w:tc>
        <w:tc>
          <w:tcPr>
            <w:tcW w:w="1140" w:type="dxa"/>
            <w:tcBorders>
              <w:top w:val="single" w:sz="12" w:space="0" w:color="auto"/>
            </w:tcBorders>
            <w:shd w:val="clear" w:color="auto" w:fill="auto"/>
            <w:vAlign w:val="bottom"/>
          </w:tcPr>
          <w:p w:rsidR="00EB32E2" w:rsidRPr="00EB32E2" w:rsidRDefault="00EB32E2" w:rsidP="00EB32E2">
            <w:pPr>
              <w:tabs>
                <w:tab w:val="left" w:pos="288"/>
                <w:tab w:val="left" w:pos="576"/>
                <w:tab w:val="left" w:pos="864"/>
                <w:tab w:val="left" w:pos="1152"/>
              </w:tabs>
              <w:suppressAutoHyphens/>
              <w:spacing w:before="40" w:after="40" w:line="210" w:lineRule="exact"/>
              <w:ind w:right="43"/>
              <w:jc w:val="right"/>
              <w:rPr>
                <w:sz w:val="17"/>
              </w:rPr>
            </w:pPr>
          </w:p>
        </w:tc>
      </w:tr>
      <w:tr w:rsidR="005A4B82" w:rsidRPr="00EB32E2">
        <w:tblPrEx>
          <w:tblCellMar>
            <w:top w:w="0" w:type="dxa"/>
            <w:bottom w:w="0" w:type="dxa"/>
          </w:tblCellMar>
        </w:tblPrEx>
        <w:tc>
          <w:tcPr>
            <w:tcW w:w="1620" w:type="dxa"/>
            <w:shd w:val="clear" w:color="auto" w:fill="auto"/>
          </w:tcPr>
          <w:p w:rsidR="005A4B82" w:rsidRPr="005A4B82" w:rsidRDefault="005A4B82" w:rsidP="005A4B82">
            <w:pPr>
              <w:spacing w:before="40" w:after="40" w:line="210" w:lineRule="exact"/>
              <w:ind w:right="43"/>
              <w:rPr>
                <w:sz w:val="17"/>
                <w:szCs w:val="17"/>
                <w:lang w:val="fr-FR"/>
              </w:rPr>
            </w:pPr>
            <w:r w:rsidRPr="005A4B82">
              <w:rPr>
                <w:sz w:val="17"/>
                <w:szCs w:val="17"/>
                <w:lang w:val="fr-FR"/>
              </w:rPr>
              <w:t>En zones urbaines</w:t>
            </w:r>
          </w:p>
        </w:tc>
        <w:tc>
          <w:tcPr>
            <w:tcW w:w="1140" w:type="dxa"/>
            <w:shd w:val="clear" w:color="auto" w:fill="auto"/>
          </w:tcPr>
          <w:p w:rsidR="005A4B82" w:rsidRPr="005A4B82" w:rsidRDefault="005A4B82" w:rsidP="005A4B82">
            <w:pPr>
              <w:spacing w:before="40" w:after="40" w:line="210" w:lineRule="exact"/>
              <w:ind w:right="43"/>
              <w:jc w:val="right"/>
              <w:rPr>
                <w:sz w:val="17"/>
                <w:szCs w:val="17"/>
                <w:lang w:val="fr-FR"/>
              </w:rPr>
            </w:pPr>
            <w:r w:rsidRPr="005A4B82">
              <w:rPr>
                <w:sz w:val="17"/>
                <w:szCs w:val="17"/>
                <w:lang w:val="fr-FR"/>
              </w:rPr>
              <w:t>37</w:t>
            </w:r>
          </w:p>
        </w:tc>
        <w:tc>
          <w:tcPr>
            <w:tcW w:w="1140" w:type="dxa"/>
            <w:shd w:val="clear" w:color="auto" w:fill="auto"/>
          </w:tcPr>
          <w:p w:rsidR="005A4B82" w:rsidRPr="005A4B82" w:rsidRDefault="005A4B82" w:rsidP="005A4B82">
            <w:pPr>
              <w:spacing w:before="40" w:after="40" w:line="210" w:lineRule="exact"/>
              <w:ind w:right="43"/>
              <w:jc w:val="right"/>
              <w:rPr>
                <w:sz w:val="17"/>
                <w:szCs w:val="17"/>
                <w:lang w:val="fr-FR"/>
              </w:rPr>
            </w:pPr>
            <w:r w:rsidRPr="005A4B82">
              <w:rPr>
                <w:sz w:val="17"/>
                <w:szCs w:val="17"/>
                <w:lang w:val="fr-FR"/>
              </w:rPr>
              <w:t>44</w:t>
            </w:r>
          </w:p>
        </w:tc>
        <w:tc>
          <w:tcPr>
            <w:tcW w:w="1140" w:type="dxa"/>
            <w:shd w:val="clear" w:color="auto" w:fill="auto"/>
          </w:tcPr>
          <w:p w:rsidR="005A4B82" w:rsidRPr="005A4B82" w:rsidRDefault="005A4B82" w:rsidP="005A4B82">
            <w:pPr>
              <w:spacing w:before="40" w:after="40" w:line="210" w:lineRule="exact"/>
              <w:ind w:right="43"/>
              <w:jc w:val="right"/>
              <w:rPr>
                <w:sz w:val="17"/>
                <w:szCs w:val="17"/>
                <w:lang w:val="fr-FR"/>
              </w:rPr>
            </w:pPr>
            <w:r w:rsidRPr="005A4B82">
              <w:rPr>
                <w:sz w:val="17"/>
                <w:szCs w:val="17"/>
                <w:lang w:val="fr-FR"/>
              </w:rPr>
              <w:t>81</w:t>
            </w:r>
          </w:p>
        </w:tc>
        <w:tc>
          <w:tcPr>
            <w:tcW w:w="1140" w:type="dxa"/>
            <w:shd w:val="clear" w:color="auto" w:fill="auto"/>
          </w:tcPr>
          <w:p w:rsidR="005A4B82" w:rsidRPr="005A4B82" w:rsidRDefault="005A4B82" w:rsidP="005A4B82">
            <w:pPr>
              <w:spacing w:before="40" w:after="40" w:line="210" w:lineRule="exact"/>
              <w:ind w:right="43"/>
              <w:jc w:val="right"/>
              <w:rPr>
                <w:sz w:val="17"/>
                <w:szCs w:val="17"/>
                <w:lang w:val="fr-FR"/>
              </w:rPr>
            </w:pPr>
            <w:r w:rsidRPr="005A4B82">
              <w:rPr>
                <w:sz w:val="17"/>
                <w:szCs w:val="17"/>
                <w:lang w:val="fr-FR"/>
              </w:rPr>
              <w:t>78</w:t>
            </w:r>
          </w:p>
        </w:tc>
        <w:tc>
          <w:tcPr>
            <w:tcW w:w="1140" w:type="dxa"/>
            <w:shd w:val="clear" w:color="auto" w:fill="auto"/>
          </w:tcPr>
          <w:p w:rsidR="005A4B82" w:rsidRPr="005A4B82" w:rsidRDefault="005A4B82" w:rsidP="005A4B82">
            <w:pPr>
              <w:spacing w:before="40" w:after="40" w:line="210" w:lineRule="exact"/>
              <w:ind w:right="43"/>
              <w:jc w:val="right"/>
              <w:rPr>
                <w:sz w:val="17"/>
                <w:szCs w:val="17"/>
                <w:lang w:val="fr-FR"/>
              </w:rPr>
            </w:pPr>
            <w:r w:rsidRPr="005A4B82">
              <w:rPr>
                <w:sz w:val="17"/>
                <w:szCs w:val="17"/>
                <w:lang w:val="fr-FR"/>
              </w:rPr>
              <w:t>153</w:t>
            </w:r>
          </w:p>
        </w:tc>
      </w:tr>
      <w:tr w:rsidR="005A4B82" w:rsidRPr="00EB32E2">
        <w:tblPrEx>
          <w:tblCellMar>
            <w:top w:w="0" w:type="dxa"/>
            <w:bottom w:w="0" w:type="dxa"/>
          </w:tblCellMar>
        </w:tblPrEx>
        <w:tc>
          <w:tcPr>
            <w:tcW w:w="1620" w:type="dxa"/>
            <w:tcBorders>
              <w:bottom w:val="single" w:sz="12" w:space="0" w:color="auto"/>
            </w:tcBorders>
            <w:shd w:val="clear" w:color="auto" w:fill="auto"/>
          </w:tcPr>
          <w:p w:rsidR="005A4B82" w:rsidRPr="005A4B82" w:rsidRDefault="005A4B82" w:rsidP="005A4B82">
            <w:pPr>
              <w:spacing w:before="40" w:after="40" w:line="210" w:lineRule="exact"/>
              <w:ind w:right="43"/>
              <w:rPr>
                <w:sz w:val="17"/>
                <w:szCs w:val="17"/>
                <w:lang w:val="fr-FR"/>
              </w:rPr>
            </w:pPr>
            <w:r w:rsidRPr="005A4B82">
              <w:rPr>
                <w:sz w:val="17"/>
                <w:szCs w:val="17"/>
                <w:lang w:val="fr-FR"/>
              </w:rPr>
              <w:t>En zones rurales</w:t>
            </w:r>
          </w:p>
        </w:tc>
        <w:tc>
          <w:tcPr>
            <w:tcW w:w="1140" w:type="dxa"/>
            <w:tcBorders>
              <w:bottom w:val="single" w:sz="12" w:space="0" w:color="auto"/>
            </w:tcBorders>
            <w:shd w:val="clear" w:color="auto" w:fill="auto"/>
          </w:tcPr>
          <w:p w:rsidR="005A4B82" w:rsidRPr="005A4B82" w:rsidRDefault="005A4B82" w:rsidP="005A4B82">
            <w:pPr>
              <w:spacing w:before="40" w:after="40" w:line="210" w:lineRule="exact"/>
              <w:ind w:right="43"/>
              <w:jc w:val="right"/>
              <w:rPr>
                <w:sz w:val="17"/>
                <w:szCs w:val="17"/>
                <w:lang w:val="fr-FR"/>
              </w:rPr>
            </w:pPr>
            <w:r w:rsidRPr="005A4B82">
              <w:rPr>
                <w:sz w:val="17"/>
                <w:szCs w:val="17"/>
                <w:lang w:val="fr-FR"/>
              </w:rPr>
              <w:t>60</w:t>
            </w:r>
          </w:p>
        </w:tc>
        <w:tc>
          <w:tcPr>
            <w:tcW w:w="1140" w:type="dxa"/>
            <w:tcBorders>
              <w:bottom w:val="single" w:sz="12" w:space="0" w:color="auto"/>
            </w:tcBorders>
            <w:shd w:val="clear" w:color="auto" w:fill="auto"/>
          </w:tcPr>
          <w:p w:rsidR="005A4B82" w:rsidRPr="005A4B82" w:rsidRDefault="005A4B82" w:rsidP="005A4B82">
            <w:pPr>
              <w:spacing w:before="40" w:after="40" w:line="210" w:lineRule="exact"/>
              <w:ind w:right="43"/>
              <w:jc w:val="right"/>
              <w:rPr>
                <w:sz w:val="17"/>
                <w:szCs w:val="17"/>
                <w:lang w:val="fr-FR"/>
              </w:rPr>
            </w:pPr>
            <w:r w:rsidRPr="005A4B82">
              <w:rPr>
                <w:sz w:val="17"/>
                <w:szCs w:val="17"/>
                <w:lang w:val="fr-FR"/>
              </w:rPr>
              <w:t>61</w:t>
            </w:r>
          </w:p>
        </w:tc>
        <w:tc>
          <w:tcPr>
            <w:tcW w:w="1140" w:type="dxa"/>
            <w:tcBorders>
              <w:bottom w:val="single" w:sz="12" w:space="0" w:color="auto"/>
            </w:tcBorders>
            <w:shd w:val="clear" w:color="auto" w:fill="auto"/>
          </w:tcPr>
          <w:p w:rsidR="005A4B82" w:rsidRPr="005A4B82" w:rsidRDefault="005A4B82" w:rsidP="005A4B82">
            <w:pPr>
              <w:spacing w:before="40" w:after="40" w:line="210" w:lineRule="exact"/>
              <w:ind w:right="43"/>
              <w:jc w:val="right"/>
              <w:rPr>
                <w:sz w:val="17"/>
                <w:szCs w:val="17"/>
                <w:lang w:val="fr-FR"/>
              </w:rPr>
            </w:pPr>
            <w:r w:rsidRPr="005A4B82">
              <w:rPr>
                <w:sz w:val="17"/>
                <w:szCs w:val="17"/>
                <w:lang w:val="fr-FR"/>
              </w:rPr>
              <w:t>121</w:t>
            </w:r>
          </w:p>
        </w:tc>
        <w:tc>
          <w:tcPr>
            <w:tcW w:w="1140" w:type="dxa"/>
            <w:tcBorders>
              <w:bottom w:val="single" w:sz="12" w:space="0" w:color="auto"/>
            </w:tcBorders>
            <w:shd w:val="clear" w:color="auto" w:fill="auto"/>
          </w:tcPr>
          <w:p w:rsidR="005A4B82" w:rsidRPr="005A4B82" w:rsidRDefault="005A4B82" w:rsidP="005A4B82">
            <w:pPr>
              <w:spacing w:before="40" w:after="40" w:line="210" w:lineRule="exact"/>
              <w:ind w:right="43"/>
              <w:jc w:val="right"/>
              <w:rPr>
                <w:sz w:val="17"/>
                <w:szCs w:val="17"/>
                <w:lang w:val="fr-FR"/>
              </w:rPr>
            </w:pPr>
            <w:r w:rsidRPr="005A4B82">
              <w:rPr>
                <w:sz w:val="17"/>
                <w:szCs w:val="17"/>
                <w:lang w:val="fr-FR"/>
              </w:rPr>
              <w:t>139</w:t>
            </w:r>
          </w:p>
        </w:tc>
        <w:tc>
          <w:tcPr>
            <w:tcW w:w="1140" w:type="dxa"/>
            <w:tcBorders>
              <w:bottom w:val="single" w:sz="12" w:space="0" w:color="auto"/>
            </w:tcBorders>
            <w:shd w:val="clear" w:color="auto" w:fill="auto"/>
          </w:tcPr>
          <w:p w:rsidR="005A4B82" w:rsidRPr="005A4B82" w:rsidRDefault="005A4B82" w:rsidP="005A4B82">
            <w:pPr>
              <w:spacing w:before="40" w:after="40" w:line="210" w:lineRule="exact"/>
              <w:ind w:right="43"/>
              <w:jc w:val="right"/>
              <w:rPr>
                <w:sz w:val="17"/>
                <w:szCs w:val="17"/>
                <w:lang w:val="fr-FR"/>
              </w:rPr>
            </w:pPr>
            <w:r w:rsidRPr="005A4B82">
              <w:rPr>
                <w:sz w:val="17"/>
                <w:szCs w:val="17"/>
                <w:lang w:val="fr-FR"/>
              </w:rPr>
              <w:t>243</w:t>
            </w:r>
          </w:p>
        </w:tc>
      </w:tr>
    </w:tbl>
    <w:p w:rsidR="005A4B82" w:rsidRPr="005A4B82" w:rsidRDefault="005A4B82" w:rsidP="005A4B82">
      <w:pPr>
        <w:pStyle w:val="SingleTxt"/>
        <w:spacing w:after="0" w:line="120" w:lineRule="exact"/>
        <w:rPr>
          <w:sz w:val="10"/>
        </w:rPr>
      </w:pPr>
    </w:p>
    <w:p w:rsidR="00EB32E2" w:rsidRPr="005A4B82" w:rsidRDefault="005A4B82" w:rsidP="00EB32E2">
      <w:pPr>
        <w:pStyle w:val="SingleTxt"/>
        <w:rPr>
          <w:sz w:val="17"/>
          <w:szCs w:val="17"/>
        </w:rPr>
      </w:pPr>
      <w:r w:rsidRPr="005A4B82">
        <w:rPr>
          <w:i/>
          <w:sz w:val="17"/>
          <w:szCs w:val="17"/>
          <w:lang w:val="fr-FR"/>
        </w:rPr>
        <w:t>Source</w:t>
      </w:r>
      <w:r w:rsidRPr="005A4B82">
        <w:rPr>
          <w:sz w:val="17"/>
          <w:szCs w:val="17"/>
          <w:lang w:val="fr-FR"/>
        </w:rPr>
        <w:t xml:space="preserve"> : Enquête nationale sur la démographie et la santé, 2003</w:t>
      </w:r>
    </w:p>
    <w:p w:rsidR="00E15507" w:rsidRPr="005D6CD4" w:rsidRDefault="005A4B82" w:rsidP="0012256D">
      <w:pPr>
        <w:pStyle w:val="SingleTxt"/>
        <w:rPr>
          <w:lang w:val="fr-FR"/>
        </w:rPr>
      </w:pPr>
      <w:r>
        <w:rPr>
          <w:lang w:val="fr-FR"/>
        </w:rPr>
        <w:tab/>
      </w:r>
      <w:r w:rsidR="00E15507" w:rsidRPr="005D6CD4">
        <w:rPr>
          <w:lang w:val="fr-FR"/>
        </w:rPr>
        <w:t xml:space="preserve">Par ailleurs, les taux de mortalité infantile sont plus élevés dans les communautés rurales que dans les communautés urbaines, ce qui signifie que les zones rurales ont peu accès aux services de santé appropriés par rapport aux régions urbaines. </w:t>
      </w:r>
    </w:p>
    <w:p w:rsidR="00E15507" w:rsidRDefault="005A4B82" w:rsidP="0012256D">
      <w:pPr>
        <w:pStyle w:val="SingleTxt"/>
        <w:rPr>
          <w:lang w:val="fr-FR"/>
        </w:rPr>
      </w:pPr>
      <w:r>
        <w:rPr>
          <w:lang w:val="fr-FR"/>
        </w:rPr>
        <w:tab/>
      </w:r>
      <w:r w:rsidR="00E15507" w:rsidRPr="005D6CD4">
        <w:rPr>
          <w:lang w:val="fr-FR"/>
        </w:rPr>
        <w:t>Le tableau ci-dessus montre que les taux de mortalité pendant l</w:t>
      </w:r>
      <w:r w:rsidR="000A3D87">
        <w:rPr>
          <w:lang w:val="fr-FR"/>
        </w:rPr>
        <w:t>’</w:t>
      </w:r>
      <w:r w:rsidR="00E15507" w:rsidRPr="005D6CD4">
        <w:rPr>
          <w:lang w:val="fr-FR"/>
        </w:rPr>
        <w:t>enfance et la petite enfance</w:t>
      </w:r>
      <w:r w:rsidR="00E15507">
        <w:rPr>
          <w:lang w:val="fr-FR"/>
        </w:rPr>
        <w:t xml:space="preserve"> </w:t>
      </w:r>
      <w:r w:rsidR="00E15507" w:rsidRPr="005D6CD4">
        <w:rPr>
          <w:lang w:val="fr-FR"/>
        </w:rPr>
        <w:t>sont plus élevés en zones rurales qu</w:t>
      </w:r>
      <w:r w:rsidR="000A3D87">
        <w:rPr>
          <w:lang w:val="fr-FR"/>
        </w:rPr>
        <w:t>’</w:t>
      </w:r>
      <w:r w:rsidR="00E15507" w:rsidRPr="005D6CD4">
        <w:rPr>
          <w:lang w:val="fr-FR"/>
        </w:rPr>
        <w:t>en zones urbaines. Pour ce qui est de la mortalité infantile, les taux en zones rurales (121 pour 1</w:t>
      </w:r>
      <w:r w:rsidR="00E15507">
        <w:rPr>
          <w:lang w:val="fr-FR"/>
        </w:rPr>
        <w:t> </w:t>
      </w:r>
      <w:r w:rsidR="00E15507" w:rsidRPr="005D6CD4">
        <w:rPr>
          <w:lang w:val="fr-FR"/>
        </w:rPr>
        <w:t>000) dépassent les taux en zones urbaines (81 pour 1</w:t>
      </w:r>
      <w:r w:rsidR="00E15507">
        <w:rPr>
          <w:lang w:val="fr-FR"/>
        </w:rPr>
        <w:t> </w:t>
      </w:r>
      <w:r w:rsidR="00E15507" w:rsidRPr="005D6CD4">
        <w:rPr>
          <w:lang w:val="fr-FR"/>
        </w:rPr>
        <w:t>000) dans un rapport d</w:t>
      </w:r>
      <w:r w:rsidR="000A3D87">
        <w:rPr>
          <w:lang w:val="fr-FR"/>
        </w:rPr>
        <w:t>’</w:t>
      </w:r>
      <w:r w:rsidR="00E15507" w:rsidRPr="005D6CD4">
        <w:rPr>
          <w:lang w:val="fr-FR"/>
        </w:rPr>
        <w:t>environ 1.5. Cette différence est due en grande partie aux taux de mortalité néonatale. Concernant la mortalité post-infantile, les taux en zones rurales (139 pour 1</w:t>
      </w:r>
      <w:r w:rsidR="00E15507">
        <w:rPr>
          <w:lang w:val="fr-FR"/>
        </w:rPr>
        <w:t> </w:t>
      </w:r>
      <w:r w:rsidR="00E15507" w:rsidRPr="005D6CD4">
        <w:rPr>
          <w:lang w:val="fr-FR"/>
        </w:rPr>
        <w:t>000) dépassent les taux en zones urbaines (78 pour 1</w:t>
      </w:r>
      <w:r w:rsidR="00E15507">
        <w:rPr>
          <w:lang w:val="fr-FR"/>
        </w:rPr>
        <w:t> </w:t>
      </w:r>
      <w:r w:rsidR="00E15507" w:rsidRPr="005D6CD4">
        <w:rPr>
          <w:lang w:val="fr-FR"/>
        </w:rPr>
        <w:t>000) dans un rapport d</w:t>
      </w:r>
      <w:r w:rsidR="000A3D87">
        <w:rPr>
          <w:lang w:val="fr-FR"/>
        </w:rPr>
        <w:t>’</w:t>
      </w:r>
      <w:r w:rsidR="00E15507" w:rsidRPr="005D6CD4">
        <w:rPr>
          <w:lang w:val="fr-FR"/>
        </w:rPr>
        <w:t>environ 1</w:t>
      </w:r>
      <w:r w:rsidR="00E15507">
        <w:rPr>
          <w:lang w:val="fr-FR"/>
        </w:rPr>
        <w:t>.</w:t>
      </w:r>
      <w:r w:rsidR="00E15507" w:rsidRPr="005D6CD4">
        <w:rPr>
          <w:lang w:val="fr-FR"/>
        </w:rPr>
        <w:t>8. Le taux de mortalité chez les enfants de moins de cinq ans en zones rurales (243 pour 1</w:t>
      </w:r>
      <w:r w:rsidR="00E15507">
        <w:rPr>
          <w:lang w:val="fr-FR"/>
        </w:rPr>
        <w:t> </w:t>
      </w:r>
      <w:r w:rsidR="00E15507" w:rsidRPr="005D6CD4">
        <w:rPr>
          <w:lang w:val="fr-FR"/>
        </w:rPr>
        <w:t>000) dépasse également le taux en zones urbaines (153 pour 1</w:t>
      </w:r>
      <w:r w:rsidR="00E15507">
        <w:rPr>
          <w:lang w:val="fr-FR"/>
        </w:rPr>
        <w:t> </w:t>
      </w:r>
      <w:r w:rsidR="00E15507" w:rsidRPr="005D6CD4">
        <w:rPr>
          <w:lang w:val="fr-FR"/>
        </w:rPr>
        <w:t>000) dans un rapport de 1.6.</w:t>
      </w:r>
    </w:p>
    <w:p w:rsidR="005A4B82" w:rsidRPr="005A4B82" w:rsidRDefault="005A4B82" w:rsidP="005A4B82">
      <w:pPr>
        <w:pStyle w:val="SingleTxt"/>
        <w:spacing w:after="0" w:line="120" w:lineRule="exact"/>
        <w:rPr>
          <w:sz w:val="10"/>
          <w:lang w:val="fr-FR"/>
        </w:rPr>
      </w:pPr>
    </w:p>
    <w:p w:rsidR="00E15507" w:rsidRDefault="005A4B82" w:rsidP="005A4B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12.5</w:t>
      </w:r>
      <w:r>
        <w:rPr>
          <w:lang w:val="fr-FR"/>
        </w:rPr>
        <w:tab/>
      </w:r>
      <w:r w:rsidR="00E15507" w:rsidRPr="005D6CD4">
        <w:rPr>
          <w:lang w:val="fr-FR"/>
        </w:rPr>
        <w:t>Accès aux soins prénataux</w:t>
      </w:r>
    </w:p>
    <w:p w:rsidR="005A4B82" w:rsidRPr="005A4B82" w:rsidRDefault="005A4B82" w:rsidP="005A4B82">
      <w:pPr>
        <w:pStyle w:val="SingleTxt"/>
        <w:spacing w:after="0" w:line="120" w:lineRule="exact"/>
        <w:rPr>
          <w:sz w:val="10"/>
          <w:lang w:val="fr-FR"/>
        </w:rPr>
      </w:pPr>
    </w:p>
    <w:p w:rsidR="00E15507" w:rsidRPr="005D6CD4" w:rsidRDefault="005A4B82" w:rsidP="0012256D">
      <w:pPr>
        <w:pStyle w:val="SingleTxt"/>
        <w:rPr>
          <w:lang w:val="fr-FR"/>
        </w:rPr>
      </w:pPr>
      <w:r>
        <w:rPr>
          <w:bCs/>
          <w:lang w:val="fr-FR"/>
        </w:rPr>
        <w:tab/>
      </w:r>
      <w:r w:rsidR="00E15507" w:rsidRPr="005D6CD4">
        <w:rPr>
          <w:bCs/>
          <w:lang w:val="fr-FR"/>
        </w:rPr>
        <w:t>Les soins prénataux</w:t>
      </w:r>
      <w:r w:rsidR="00E15507" w:rsidRPr="005D6CD4">
        <w:rPr>
          <w:lang w:val="fr-FR"/>
        </w:rPr>
        <w:t xml:space="preserve"> sont une condition nécessaire</w:t>
      </w:r>
      <w:r w:rsidR="00E15507">
        <w:rPr>
          <w:lang w:val="fr-FR"/>
        </w:rPr>
        <w:t xml:space="preserve"> </w:t>
      </w:r>
      <w:r w:rsidR="00E15507" w:rsidRPr="005D6CD4">
        <w:rPr>
          <w:lang w:val="fr-FR"/>
        </w:rPr>
        <w:t xml:space="preserve">pour la bonne santé de la femme et pour un accouchement sans risques. Par le passé, les efforts du </w:t>
      </w:r>
      <w:r w:rsidR="00E15507">
        <w:rPr>
          <w:lang w:val="fr-FR"/>
        </w:rPr>
        <w:t>G</w:t>
      </w:r>
      <w:r w:rsidR="00E15507" w:rsidRPr="005D6CD4">
        <w:rPr>
          <w:lang w:val="fr-FR"/>
        </w:rPr>
        <w:t>ouvernement en vue d</w:t>
      </w:r>
      <w:r w:rsidR="000A3D87">
        <w:rPr>
          <w:lang w:val="fr-FR"/>
        </w:rPr>
        <w:t>’</w:t>
      </w:r>
      <w:r w:rsidR="00E15507" w:rsidRPr="005D6CD4">
        <w:rPr>
          <w:lang w:val="fr-FR"/>
        </w:rPr>
        <w:t xml:space="preserve">assurer des soins de santé aux femmes ont principalement porté sur les soins anténataux et néonataux. Le bas niveau de scolarisation et la mauvaise éducation sexuelle des femmes les empêchent également de bien maîtriser les questions </w:t>
      </w:r>
      <w:r w:rsidR="00E15507">
        <w:rPr>
          <w:lang w:val="fr-FR"/>
        </w:rPr>
        <w:t>de santé en matière de reproduction</w:t>
      </w:r>
      <w:r w:rsidR="00E15507" w:rsidRPr="005D6CD4">
        <w:rPr>
          <w:lang w:val="fr-FR"/>
        </w:rPr>
        <w:t xml:space="preserve">. </w:t>
      </w:r>
    </w:p>
    <w:p w:rsidR="00E15507" w:rsidRPr="005D6CD4" w:rsidRDefault="005A4B82" w:rsidP="0012256D">
      <w:pPr>
        <w:pStyle w:val="SingleTxt"/>
        <w:rPr>
          <w:lang w:val="fr-FR"/>
        </w:rPr>
      </w:pPr>
      <w:r>
        <w:rPr>
          <w:lang w:val="fr-FR"/>
        </w:rPr>
        <w:tab/>
      </w:r>
      <w:r w:rsidR="00E15507" w:rsidRPr="005D6CD4">
        <w:rPr>
          <w:lang w:val="fr-FR"/>
        </w:rPr>
        <w:t xml:space="preserve">Toutefois, le </w:t>
      </w:r>
      <w:r w:rsidR="00E15507">
        <w:rPr>
          <w:lang w:val="fr-FR"/>
        </w:rPr>
        <w:t>G</w:t>
      </w:r>
      <w:r w:rsidR="00E15507" w:rsidRPr="005D6CD4">
        <w:rPr>
          <w:lang w:val="fr-FR"/>
        </w:rPr>
        <w:t xml:space="preserve">ouvernement a mis au point, par le biais du </w:t>
      </w:r>
      <w:r w:rsidR="00E15507">
        <w:rPr>
          <w:lang w:val="fr-FR"/>
        </w:rPr>
        <w:t>ministère</w:t>
      </w:r>
      <w:r w:rsidR="00E15507" w:rsidRPr="005D6CD4">
        <w:rPr>
          <w:lang w:val="fr-FR"/>
        </w:rPr>
        <w:t xml:space="preserve"> fédéral de la </w:t>
      </w:r>
      <w:r w:rsidR="00E15507">
        <w:rPr>
          <w:lang w:val="fr-FR"/>
        </w:rPr>
        <w:t>S</w:t>
      </w:r>
      <w:r w:rsidR="00E15507" w:rsidRPr="005D6CD4">
        <w:rPr>
          <w:lang w:val="fr-FR"/>
        </w:rPr>
        <w:t>anté, des</w:t>
      </w:r>
      <w:r w:rsidR="00E15507">
        <w:rPr>
          <w:lang w:val="fr-FR"/>
        </w:rPr>
        <w:t xml:space="preserve"> </w:t>
      </w:r>
      <w:r w:rsidR="00E15507" w:rsidRPr="005D6CD4">
        <w:rPr>
          <w:lang w:val="fr-FR"/>
        </w:rPr>
        <w:t xml:space="preserve">politiques spécifiques pour améliorer la </w:t>
      </w:r>
      <w:r w:rsidR="00E15507">
        <w:rPr>
          <w:lang w:val="fr-FR"/>
        </w:rPr>
        <w:t>santé en matière de reproduction</w:t>
      </w:r>
      <w:r w:rsidR="00E15507" w:rsidRPr="005D6CD4">
        <w:rPr>
          <w:lang w:val="fr-FR"/>
        </w:rPr>
        <w:t xml:space="preserve"> de la femme nigériane. En particulier, la Politique et la stratégie nationale de </w:t>
      </w:r>
      <w:r w:rsidR="00E15507">
        <w:rPr>
          <w:lang w:val="fr-FR"/>
        </w:rPr>
        <w:t>santé en matière de reproduction</w:t>
      </w:r>
      <w:r w:rsidR="00E15507" w:rsidRPr="005D6CD4">
        <w:rPr>
          <w:lang w:val="fr-FR"/>
        </w:rPr>
        <w:t xml:space="preserve"> de 2001 sont conçues pour améliorer la qualité de la </w:t>
      </w:r>
      <w:r w:rsidR="00E15507">
        <w:rPr>
          <w:lang w:val="fr-FR"/>
        </w:rPr>
        <w:t>santé en matière de reproduction</w:t>
      </w:r>
      <w:r w:rsidR="00E15507" w:rsidRPr="005D6CD4">
        <w:rPr>
          <w:lang w:val="fr-FR"/>
        </w:rPr>
        <w:t xml:space="preserve"> et sexuelle de tous les Nigérians. Le Cadre et le plan stratégiques</w:t>
      </w:r>
      <w:r w:rsidR="00E15507">
        <w:rPr>
          <w:lang w:val="fr-FR"/>
        </w:rPr>
        <w:t xml:space="preserve"> </w:t>
      </w:r>
      <w:r w:rsidR="00E15507" w:rsidRPr="005D6CD4">
        <w:rPr>
          <w:lang w:val="fr-FR"/>
        </w:rPr>
        <w:t xml:space="preserve">nationaux en matière de </w:t>
      </w:r>
      <w:r w:rsidR="00E15507">
        <w:rPr>
          <w:lang w:val="fr-FR"/>
        </w:rPr>
        <w:t>santé en matière de reproduction</w:t>
      </w:r>
      <w:r w:rsidR="00E15507" w:rsidRPr="005D6CD4">
        <w:rPr>
          <w:lang w:val="fr-FR"/>
        </w:rPr>
        <w:t xml:space="preserve"> (2002-2006) complète</w:t>
      </w:r>
      <w:r w:rsidR="00E15507">
        <w:rPr>
          <w:lang w:val="fr-FR"/>
        </w:rPr>
        <w:t>nt</w:t>
      </w:r>
      <w:r w:rsidR="00E15507" w:rsidRPr="005D6CD4">
        <w:rPr>
          <w:lang w:val="fr-FR"/>
        </w:rPr>
        <w:t xml:space="preserve"> ces documents. Des programmes ont été conçus dans le Cadre stratégique d</w:t>
      </w:r>
      <w:r w:rsidR="000A3D87">
        <w:rPr>
          <w:lang w:val="fr-FR"/>
        </w:rPr>
        <w:t>’</w:t>
      </w:r>
      <w:r w:rsidR="00E15507" w:rsidRPr="005D6CD4">
        <w:rPr>
          <w:lang w:val="fr-FR"/>
        </w:rPr>
        <w:t>action pour la maternité sans risques, la planification familiale, les infections sexuellement transmissibles, le VIH/</w:t>
      </w:r>
      <w:r w:rsidR="00940485">
        <w:rPr>
          <w:lang w:val="fr-FR"/>
        </w:rPr>
        <w:t>SIDA</w:t>
      </w:r>
      <w:r w:rsidR="00E15507" w:rsidRPr="005D6CD4">
        <w:rPr>
          <w:lang w:val="fr-FR"/>
        </w:rPr>
        <w:t xml:space="preserve">, la </w:t>
      </w:r>
      <w:r w:rsidR="00E15507">
        <w:rPr>
          <w:lang w:val="fr-FR"/>
        </w:rPr>
        <w:t>santé en matière de reproduction</w:t>
      </w:r>
      <w:r w:rsidR="00E15507" w:rsidRPr="005D6CD4">
        <w:rPr>
          <w:lang w:val="fr-FR"/>
        </w:rPr>
        <w:t xml:space="preserve"> des adolescents, les pratiques nocives (les mutilations génitales féminines etc.), les droits </w:t>
      </w:r>
      <w:r w:rsidR="00E15507">
        <w:rPr>
          <w:lang w:val="fr-FR"/>
        </w:rPr>
        <w:t xml:space="preserve">en matière de  procréation </w:t>
      </w:r>
      <w:r w:rsidR="00E15507" w:rsidRPr="005D6CD4">
        <w:rPr>
          <w:lang w:val="fr-FR"/>
        </w:rPr>
        <w:t>et les questions d</w:t>
      </w:r>
      <w:r w:rsidR="000A3D87">
        <w:rPr>
          <w:lang w:val="fr-FR"/>
        </w:rPr>
        <w:t>’</w:t>
      </w:r>
      <w:r w:rsidR="00E15507" w:rsidRPr="005D6CD4">
        <w:rPr>
          <w:lang w:val="fr-FR"/>
        </w:rPr>
        <w:t>égalité entre les sexes, les cancers du système reproductif, l</w:t>
      </w:r>
      <w:r w:rsidR="000A3D87">
        <w:rPr>
          <w:lang w:val="fr-FR"/>
        </w:rPr>
        <w:t>’</w:t>
      </w:r>
      <w:r w:rsidR="00E15507" w:rsidRPr="005D6CD4">
        <w:rPr>
          <w:lang w:val="fr-FR"/>
        </w:rPr>
        <w:t>infertilité et le dysfonctionnement sexuel, la ménopause et l</w:t>
      </w:r>
      <w:r w:rsidR="000A3D87">
        <w:rPr>
          <w:lang w:val="fr-FR"/>
        </w:rPr>
        <w:t>’</w:t>
      </w:r>
      <w:r w:rsidR="00E15507" w:rsidRPr="005D6CD4">
        <w:rPr>
          <w:lang w:val="fr-FR"/>
        </w:rPr>
        <w:t>andropause entre autres. Toutefois, les données et statistiques permettant d</w:t>
      </w:r>
      <w:r w:rsidR="000A3D87">
        <w:rPr>
          <w:lang w:val="fr-FR"/>
        </w:rPr>
        <w:t>’</w:t>
      </w:r>
      <w:r w:rsidR="00E15507" w:rsidRPr="005D6CD4">
        <w:rPr>
          <w:lang w:val="fr-FR"/>
        </w:rPr>
        <w:t xml:space="preserve">orienter de manière efficiente la planification en faveur de la santé de la femme sont encore peu disponibles. </w:t>
      </w:r>
    </w:p>
    <w:p w:rsidR="00E15507" w:rsidRDefault="005A4B82" w:rsidP="005A4B82">
      <w:pPr>
        <w:pStyle w:val="SingleTxt"/>
        <w:rPr>
          <w:lang w:val="fr-FR"/>
        </w:rPr>
      </w:pPr>
      <w:r>
        <w:rPr>
          <w:lang w:val="fr-FR"/>
        </w:rPr>
        <w:tab/>
      </w:r>
      <w:r w:rsidR="00E15507" w:rsidRPr="005D6CD4">
        <w:rPr>
          <w:lang w:val="fr-FR"/>
        </w:rPr>
        <w:t>Par ailleurs, les femmes enceintes bénéficient de la gratuité des soins prénataux dans bon nombre d</w:t>
      </w:r>
      <w:r w:rsidR="000A3D87">
        <w:rPr>
          <w:lang w:val="fr-FR"/>
        </w:rPr>
        <w:t>’</w:t>
      </w:r>
      <w:r w:rsidR="00E15507" w:rsidRPr="005D6CD4">
        <w:rPr>
          <w:lang w:val="fr-FR"/>
        </w:rPr>
        <w:t>États de la Fédération. Le congé de maternité est passé de 3 à 4 mois dans l</w:t>
      </w:r>
      <w:r w:rsidR="000A3D87">
        <w:rPr>
          <w:lang w:val="fr-FR"/>
        </w:rPr>
        <w:t>’</w:t>
      </w:r>
      <w:r w:rsidR="00E15507" w:rsidRPr="005D6CD4">
        <w:rPr>
          <w:lang w:val="fr-FR"/>
        </w:rPr>
        <w:t>État de Cross River.</w:t>
      </w:r>
    </w:p>
    <w:p w:rsidR="005A4B82" w:rsidRPr="005A4B82" w:rsidRDefault="005A4B82" w:rsidP="005A4B82">
      <w:pPr>
        <w:pStyle w:val="SingleTxt"/>
        <w:spacing w:after="0" w:line="120" w:lineRule="exact"/>
        <w:rPr>
          <w:sz w:val="10"/>
          <w:lang w:val="fr-FR"/>
        </w:rPr>
      </w:pPr>
    </w:p>
    <w:p w:rsidR="00E15507" w:rsidRDefault="005A4B82" w:rsidP="005A4B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E15507" w:rsidRPr="005D6CD4">
        <w:rPr>
          <w:lang w:val="fr-FR"/>
        </w:rPr>
        <w:t>12.7</w:t>
      </w:r>
      <w:r w:rsidR="00E15507" w:rsidRPr="005D6CD4">
        <w:rPr>
          <w:lang w:val="fr-FR"/>
        </w:rPr>
        <w:tab/>
        <w:t>Services de planification familiale</w:t>
      </w:r>
    </w:p>
    <w:p w:rsidR="005A4B82" w:rsidRPr="005A4B82" w:rsidRDefault="005A4B82" w:rsidP="005A4B82">
      <w:pPr>
        <w:pStyle w:val="SingleTxt"/>
        <w:spacing w:after="0" w:line="120" w:lineRule="exact"/>
        <w:rPr>
          <w:sz w:val="10"/>
          <w:lang w:val="fr-FR"/>
        </w:rPr>
      </w:pPr>
    </w:p>
    <w:p w:rsidR="00E15507" w:rsidRDefault="005A4B82" w:rsidP="005A4B82">
      <w:pPr>
        <w:pStyle w:val="SingleTxt"/>
        <w:rPr>
          <w:lang w:val="fr-FR"/>
        </w:rPr>
      </w:pPr>
      <w:r>
        <w:rPr>
          <w:lang w:val="fr-FR"/>
        </w:rPr>
        <w:tab/>
      </w:r>
      <w:r w:rsidR="00E15507" w:rsidRPr="005D6CD4">
        <w:rPr>
          <w:lang w:val="fr-FR"/>
        </w:rPr>
        <w:t xml:space="preserve">Tous les centres de </w:t>
      </w:r>
      <w:r w:rsidR="00E15507">
        <w:rPr>
          <w:lang w:val="fr-FR"/>
        </w:rPr>
        <w:t xml:space="preserve">soins de </w:t>
      </w:r>
      <w:r w:rsidR="00E15507" w:rsidRPr="005D6CD4">
        <w:rPr>
          <w:lang w:val="fr-FR"/>
        </w:rPr>
        <w:t>santé tertiaire</w:t>
      </w:r>
      <w:r w:rsidR="00E15507">
        <w:rPr>
          <w:lang w:val="fr-FR"/>
        </w:rPr>
        <w:t>s</w:t>
      </w:r>
      <w:r w:rsidR="00E15507" w:rsidRPr="005D6CD4">
        <w:rPr>
          <w:lang w:val="fr-FR"/>
        </w:rPr>
        <w:t xml:space="preserve"> (hôpitaux universitaires et les centres médicaux fédéraux) du </w:t>
      </w:r>
      <w:r w:rsidR="00E15507">
        <w:rPr>
          <w:lang w:val="fr-FR"/>
        </w:rPr>
        <w:t>Nigéria</w:t>
      </w:r>
      <w:r w:rsidR="00E15507" w:rsidRPr="005D6CD4">
        <w:rPr>
          <w:lang w:val="fr-FR"/>
        </w:rPr>
        <w:t xml:space="preserve"> disposent d</w:t>
      </w:r>
      <w:r w:rsidR="000A3D87">
        <w:rPr>
          <w:lang w:val="fr-FR"/>
        </w:rPr>
        <w:t>’</w:t>
      </w:r>
      <w:r w:rsidR="00E15507" w:rsidRPr="005D6CD4">
        <w:rPr>
          <w:lang w:val="fr-FR"/>
        </w:rPr>
        <w:t xml:space="preserve">un service de </w:t>
      </w:r>
      <w:r w:rsidR="00E15507" w:rsidRPr="005D6CD4">
        <w:rPr>
          <w:bCs/>
          <w:lang w:val="fr-FR"/>
        </w:rPr>
        <w:t>planification familiale</w:t>
      </w:r>
      <w:r w:rsidR="00E15507" w:rsidRPr="005D6CD4">
        <w:rPr>
          <w:lang w:val="fr-FR"/>
        </w:rPr>
        <w:t xml:space="preserve">. On en trouve dans la plupart des centres de </w:t>
      </w:r>
      <w:r w:rsidR="00E15507">
        <w:rPr>
          <w:lang w:val="fr-FR"/>
        </w:rPr>
        <w:t xml:space="preserve">soins de </w:t>
      </w:r>
      <w:r w:rsidR="00E15507" w:rsidRPr="005D6CD4">
        <w:rPr>
          <w:lang w:val="fr-FR"/>
        </w:rPr>
        <w:t>santé secondaire</w:t>
      </w:r>
      <w:r w:rsidR="00E15507">
        <w:rPr>
          <w:lang w:val="fr-FR"/>
        </w:rPr>
        <w:t>s</w:t>
      </w:r>
      <w:r w:rsidR="00E15507" w:rsidRPr="005D6CD4">
        <w:rPr>
          <w:lang w:val="fr-FR"/>
        </w:rPr>
        <w:t xml:space="preserve">. Des documents montrent cependant que les facteurs culturels et religieux expliquent en grande partie la sous-utilisation des services modernes de </w:t>
      </w:r>
      <w:r w:rsidR="00E15507" w:rsidRPr="005D6CD4">
        <w:rPr>
          <w:bCs/>
          <w:lang w:val="fr-FR"/>
        </w:rPr>
        <w:t>planification familiale</w:t>
      </w:r>
      <w:r w:rsidR="00E15507" w:rsidRPr="005D6CD4">
        <w:rPr>
          <w:lang w:val="fr-FR"/>
        </w:rPr>
        <w:t xml:space="preserve"> au </w:t>
      </w:r>
      <w:r w:rsidR="00E15507">
        <w:rPr>
          <w:lang w:val="fr-FR"/>
        </w:rPr>
        <w:t>Nigéria</w:t>
      </w:r>
      <w:r w:rsidR="00E15507" w:rsidRPr="005D6CD4">
        <w:rPr>
          <w:lang w:val="fr-FR"/>
        </w:rPr>
        <w:t>. Le taux d</w:t>
      </w:r>
      <w:r w:rsidR="000A3D87">
        <w:rPr>
          <w:lang w:val="fr-FR"/>
        </w:rPr>
        <w:t>’</w:t>
      </w:r>
      <w:r w:rsidR="00E15507">
        <w:rPr>
          <w:lang w:val="fr-FR"/>
        </w:rPr>
        <w:t xml:space="preserve">utilisation </w:t>
      </w:r>
      <w:r w:rsidR="00E15507" w:rsidRPr="005D6CD4">
        <w:rPr>
          <w:lang w:val="fr-FR"/>
        </w:rPr>
        <w:t>des méthodes contraceptives est longtemps demeuré bas comme l</w:t>
      </w:r>
      <w:r w:rsidR="000A3D87">
        <w:rPr>
          <w:lang w:val="fr-FR"/>
        </w:rPr>
        <w:t>’</w:t>
      </w:r>
      <w:r w:rsidR="00E15507" w:rsidRPr="005D6CD4">
        <w:rPr>
          <w:lang w:val="fr-FR"/>
        </w:rPr>
        <w:t xml:space="preserve">indique le </w:t>
      </w:r>
      <w:r w:rsidR="00E15507">
        <w:rPr>
          <w:lang w:val="fr-FR"/>
        </w:rPr>
        <w:t>Tableau</w:t>
      </w:r>
      <w:r w:rsidR="00E15507" w:rsidRPr="005D6CD4">
        <w:rPr>
          <w:lang w:val="fr-FR"/>
        </w:rPr>
        <w:t xml:space="preserve"> 12.</w:t>
      </w:r>
      <w:r w:rsidR="00E15507">
        <w:rPr>
          <w:lang w:val="fr-FR"/>
        </w:rPr>
        <w:t>2</w:t>
      </w:r>
      <w:r w:rsidR="00E15507" w:rsidRPr="005D6CD4">
        <w:rPr>
          <w:lang w:val="fr-FR"/>
        </w:rPr>
        <w:t>.</w:t>
      </w:r>
    </w:p>
    <w:p w:rsidR="00750330" w:rsidRDefault="00750330" w:rsidP="00750330">
      <w:pPr>
        <w:pStyle w:val="SingleTxt"/>
        <w:jc w:val="left"/>
        <w:rPr>
          <w:b/>
          <w:lang w:val="fr-FR"/>
        </w:rPr>
      </w:pPr>
      <w:r w:rsidRPr="00750330">
        <w:rPr>
          <w:lang w:val="fr-FR"/>
        </w:rPr>
        <w:t>Tableau 12.2</w:t>
      </w:r>
      <w:r>
        <w:rPr>
          <w:lang w:val="fr-FR"/>
        </w:rPr>
        <w:br/>
      </w:r>
      <w:r w:rsidRPr="00750330">
        <w:rPr>
          <w:b/>
          <w:lang w:val="fr-FR"/>
        </w:rPr>
        <w:t>Taux d’utilisation de la contraception  par méthode</w:t>
      </w:r>
    </w:p>
    <w:p w:rsidR="00750330" w:rsidRPr="00750330" w:rsidRDefault="00750330" w:rsidP="00750330">
      <w:pPr>
        <w:pStyle w:val="SingleTxt"/>
        <w:spacing w:after="0" w:line="120" w:lineRule="exact"/>
        <w:jc w:val="left"/>
        <w:rPr>
          <w:b/>
          <w:sz w:val="10"/>
          <w:lang w:val="fr-FR"/>
        </w:rPr>
      </w:pPr>
    </w:p>
    <w:tbl>
      <w:tblPr>
        <w:tblW w:w="0" w:type="auto"/>
        <w:tblInd w:w="1260" w:type="dxa"/>
        <w:tblLayout w:type="fixed"/>
        <w:tblCellMar>
          <w:left w:w="0" w:type="dxa"/>
          <w:right w:w="0" w:type="dxa"/>
        </w:tblCellMar>
        <w:tblLook w:val="0000"/>
      </w:tblPr>
      <w:tblGrid>
        <w:gridCol w:w="3660"/>
        <w:gridCol w:w="1650"/>
      </w:tblGrid>
      <w:tr w:rsidR="00750330" w:rsidRPr="00750330">
        <w:tblPrEx>
          <w:tblCellMar>
            <w:top w:w="0" w:type="dxa"/>
            <w:bottom w:w="0" w:type="dxa"/>
          </w:tblCellMar>
        </w:tblPrEx>
        <w:trPr>
          <w:tblHeader/>
        </w:trPr>
        <w:tc>
          <w:tcPr>
            <w:tcW w:w="3660" w:type="dxa"/>
            <w:tcBorders>
              <w:top w:val="single" w:sz="4" w:space="0" w:color="auto"/>
              <w:bottom w:val="single" w:sz="12" w:space="0" w:color="auto"/>
            </w:tcBorders>
            <w:shd w:val="clear" w:color="auto" w:fill="auto"/>
          </w:tcPr>
          <w:p w:rsidR="00750330" w:rsidRPr="00750330" w:rsidRDefault="00750330" w:rsidP="00750330">
            <w:pPr>
              <w:spacing w:before="80" w:after="80" w:line="160" w:lineRule="exact"/>
              <w:ind w:right="43"/>
              <w:rPr>
                <w:sz w:val="14"/>
                <w:szCs w:val="14"/>
                <w:lang w:val="fr-FR"/>
              </w:rPr>
            </w:pPr>
            <w:r w:rsidRPr="00750330">
              <w:rPr>
                <w:sz w:val="14"/>
                <w:szCs w:val="14"/>
                <w:lang w:val="fr-FR"/>
              </w:rPr>
              <w:t xml:space="preserve">Méthode de contraception </w:t>
            </w:r>
          </w:p>
        </w:tc>
        <w:tc>
          <w:tcPr>
            <w:tcW w:w="1650" w:type="dxa"/>
            <w:tcBorders>
              <w:top w:val="single" w:sz="4" w:space="0" w:color="auto"/>
              <w:bottom w:val="single" w:sz="12" w:space="0" w:color="auto"/>
            </w:tcBorders>
            <w:shd w:val="clear" w:color="auto" w:fill="auto"/>
          </w:tcPr>
          <w:p w:rsidR="00750330" w:rsidRPr="00750330" w:rsidRDefault="00750330" w:rsidP="00750330">
            <w:pPr>
              <w:spacing w:before="80" w:after="80" w:line="160" w:lineRule="exact"/>
              <w:ind w:right="43"/>
              <w:jc w:val="right"/>
              <w:rPr>
                <w:sz w:val="14"/>
                <w:szCs w:val="14"/>
                <w:lang w:val="fr-FR"/>
              </w:rPr>
            </w:pPr>
            <w:r w:rsidRPr="00750330">
              <w:rPr>
                <w:sz w:val="14"/>
                <w:szCs w:val="14"/>
                <w:lang w:val="fr-FR"/>
              </w:rPr>
              <w:t>Taux d’utilisation (%)</w:t>
            </w:r>
          </w:p>
        </w:tc>
      </w:tr>
      <w:tr w:rsidR="00750330" w:rsidRPr="00750330">
        <w:tblPrEx>
          <w:tblCellMar>
            <w:top w:w="0" w:type="dxa"/>
            <w:bottom w:w="0" w:type="dxa"/>
          </w:tblCellMar>
        </w:tblPrEx>
        <w:trPr>
          <w:trHeight w:hRule="exact" w:val="115"/>
          <w:tblHeader/>
        </w:trPr>
        <w:tc>
          <w:tcPr>
            <w:tcW w:w="3660" w:type="dxa"/>
            <w:tcBorders>
              <w:top w:val="single" w:sz="12" w:space="0" w:color="auto"/>
            </w:tcBorders>
            <w:shd w:val="clear" w:color="auto" w:fill="auto"/>
            <w:vAlign w:val="bottom"/>
          </w:tcPr>
          <w:p w:rsidR="00750330" w:rsidRPr="00750330" w:rsidRDefault="00750330" w:rsidP="00750330">
            <w:pPr>
              <w:tabs>
                <w:tab w:val="left" w:pos="288"/>
                <w:tab w:val="left" w:pos="576"/>
                <w:tab w:val="left" w:pos="864"/>
                <w:tab w:val="left" w:pos="1152"/>
              </w:tabs>
              <w:suppressAutoHyphens/>
              <w:spacing w:before="40" w:after="40" w:line="210" w:lineRule="exact"/>
              <w:ind w:right="43"/>
              <w:rPr>
                <w:sz w:val="17"/>
                <w:lang w:val="fr-FR"/>
              </w:rPr>
            </w:pPr>
          </w:p>
        </w:tc>
        <w:tc>
          <w:tcPr>
            <w:tcW w:w="1650" w:type="dxa"/>
            <w:tcBorders>
              <w:top w:val="single" w:sz="12" w:space="0" w:color="auto"/>
            </w:tcBorders>
            <w:shd w:val="clear" w:color="auto" w:fill="auto"/>
            <w:vAlign w:val="bottom"/>
          </w:tcPr>
          <w:p w:rsidR="00750330" w:rsidRPr="00750330" w:rsidRDefault="00750330" w:rsidP="00750330">
            <w:pPr>
              <w:tabs>
                <w:tab w:val="left" w:pos="288"/>
                <w:tab w:val="left" w:pos="576"/>
                <w:tab w:val="left" w:pos="864"/>
                <w:tab w:val="left" w:pos="1152"/>
              </w:tabs>
              <w:suppressAutoHyphens/>
              <w:spacing w:before="40" w:after="40" w:line="210" w:lineRule="exact"/>
              <w:ind w:right="43"/>
              <w:jc w:val="right"/>
              <w:rPr>
                <w:sz w:val="17"/>
                <w:lang w:val="fr-FR"/>
              </w:rPr>
            </w:pPr>
          </w:p>
        </w:tc>
      </w:tr>
      <w:tr w:rsidR="00750330" w:rsidRPr="00750330">
        <w:tblPrEx>
          <w:tblCellMar>
            <w:top w:w="0" w:type="dxa"/>
            <w:bottom w:w="0" w:type="dxa"/>
          </w:tblCellMar>
        </w:tblPrEx>
        <w:tc>
          <w:tcPr>
            <w:tcW w:w="3660" w:type="dxa"/>
            <w:shd w:val="clear" w:color="auto" w:fill="auto"/>
          </w:tcPr>
          <w:p w:rsidR="00750330" w:rsidRPr="00750330" w:rsidRDefault="00750330" w:rsidP="00750330">
            <w:pPr>
              <w:spacing w:before="40" w:after="40" w:line="210" w:lineRule="exact"/>
              <w:ind w:right="43"/>
              <w:rPr>
                <w:sz w:val="17"/>
                <w:szCs w:val="17"/>
                <w:lang w:val="fr-FR"/>
              </w:rPr>
            </w:pPr>
            <w:r w:rsidRPr="00750330">
              <w:rPr>
                <w:sz w:val="17"/>
                <w:szCs w:val="17"/>
                <w:lang w:val="fr-FR"/>
              </w:rPr>
              <w:t>Toute méthode</w:t>
            </w:r>
          </w:p>
        </w:tc>
        <w:tc>
          <w:tcPr>
            <w:tcW w:w="1650" w:type="dxa"/>
            <w:shd w:val="clear" w:color="auto" w:fill="auto"/>
          </w:tcPr>
          <w:p w:rsidR="00750330" w:rsidRPr="00750330" w:rsidRDefault="00750330" w:rsidP="00750330">
            <w:pPr>
              <w:spacing w:before="40" w:after="40" w:line="210" w:lineRule="exact"/>
              <w:ind w:right="43"/>
              <w:jc w:val="right"/>
              <w:rPr>
                <w:sz w:val="17"/>
                <w:szCs w:val="17"/>
                <w:lang w:val="fr-FR"/>
              </w:rPr>
            </w:pPr>
            <w:r w:rsidRPr="00750330">
              <w:rPr>
                <w:sz w:val="17"/>
                <w:szCs w:val="17"/>
                <w:lang w:val="fr-FR"/>
              </w:rPr>
              <w:t>13</w:t>
            </w:r>
          </w:p>
        </w:tc>
      </w:tr>
      <w:tr w:rsidR="00750330" w:rsidRPr="00750330">
        <w:tblPrEx>
          <w:tblCellMar>
            <w:top w:w="0" w:type="dxa"/>
            <w:bottom w:w="0" w:type="dxa"/>
          </w:tblCellMar>
        </w:tblPrEx>
        <w:tc>
          <w:tcPr>
            <w:tcW w:w="3660" w:type="dxa"/>
            <w:shd w:val="clear" w:color="auto" w:fill="auto"/>
          </w:tcPr>
          <w:p w:rsidR="00750330" w:rsidRPr="00750330" w:rsidRDefault="00750330" w:rsidP="00750330">
            <w:pPr>
              <w:spacing w:before="40" w:after="40" w:line="210" w:lineRule="exact"/>
              <w:ind w:right="43"/>
              <w:rPr>
                <w:sz w:val="17"/>
                <w:szCs w:val="17"/>
                <w:lang w:val="fr-FR"/>
              </w:rPr>
            </w:pPr>
            <w:r w:rsidRPr="00750330">
              <w:rPr>
                <w:sz w:val="17"/>
                <w:szCs w:val="17"/>
                <w:lang w:val="fr-FR"/>
              </w:rPr>
              <w:t xml:space="preserve">Toute méthode moderne </w:t>
            </w:r>
          </w:p>
        </w:tc>
        <w:tc>
          <w:tcPr>
            <w:tcW w:w="1650" w:type="dxa"/>
            <w:shd w:val="clear" w:color="auto" w:fill="auto"/>
          </w:tcPr>
          <w:p w:rsidR="00750330" w:rsidRPr="00750330" w:rsidRDefault="00750330" w:rsidP="00750330">
            <w:pPr>
              <w:spacing w:before="40" w:after="40" w:line="210" w:lineRule="exact"/>
              <w:ind w:right="43"/>
              <w:jc w:val="right"/>
              <w:rPr>
                <w:sz w:val="17"/>
                <w:szCs w:val="17"/>
                <w:lang w:val="fr-FR"/>
              </w:rPr>
            </w:pPr>
            <w:r w:rsidRPr="00750330">
              <w:rPr>
                <w:sz w:val="17"/>
                <w:szCs w:val="17"/>
                <w:lang w:val="fr-FR"/>
              </w:rPr>
              <w:t>8</w:t>
            </w:r>
          </w:p>
        </w:tc>
      </w:tr>
      <w:tr w:rsidR="00750330" w:rsidRPr="00750330">
        <w:tblPrEx>
          <w:tblCellMar>
            <w:top w:w="0" w:type="dxa"/>
            <w:bottom w:w="0" w:type="dxa"/>
          </w:tblCellMar>
        </w:tblPrEx>
        <w:tc>
          <w:tcPr>
            <w:tcW w:w="3660" w:type="dxa"/>
            <w:shd w:val="clear" w:color="auto" w:fill="auto"/>
          </w:tcPr>
          <w:p w:rsidR="00750330" w:rsidRPr="00750330" w:rsidRDefault="00750330" w:rsidP="00750330">
            <w:pPr>
              <w:spacing w:before="40" w:after="40" w:line="210" w:lineRule="exact"/>
              <w:ind w:right="43"/>
              <w:rPr>
                <w:sz w:val="17"/>
                <w:szCs w:val="17"/>
                <w:lang w:val="fr-FR"/>
              </w:rPr>
            </w:pPr>
            <w:r w:rsidRPr="00750330">
              <w:rPr>
                <w:sz w:val="17"/>
                <w:szCs w:val="17"/>
                <w:lang w:val="fr-FR"/>
              </w:rPr>
              <w:t>Pilule</w:t>
            </w:r>
          </w:p>
        </w:tc>
        <w:tc>
          <w:tcPr>
            <w:tcW w:w="1650" w:type="dxa"/>
            <w:shd w:val="clear" w:color="auto" w:fill="auto"/>
          </w:tcPr>
          <w:p w:rsidR="00750330" w:rsidRPr="00750330" w:rsidRDefault="00750330" w:rsidP="00750330">
            <w:pPr>
              <w:spacing w:before="40" w:after="40" w:line="210" w:lineRule="exact"/>
              <w:ind w:right="43"/>
              <w:jc w:val="right"/>
              <w:rPr>
                <w:sz w:val="17"/>
                <w:szCs w:val="17"/>
                <w:lang w:val="fr-FR"/>
              </w:rPr>
            </w:pPr>
            <w:r w:rsidRPr="00750330">
              <w:rPr>
                <w:sz w:val="17"/>
                <w:szCs w:val="17"/>
                <w:lang w:val="fr-FR"/>
              </w:rPr>
              <w:t>2</w:t>
            </w:r>
          </w:p>
        </w:tc>
      </w:tr>
      <w:tr w:rsidR="00750330" w:rsidRPr="00750330">
        <w:tblPrEx>
          <w:tblCellMar>
            <w:top w:w="0" w:type="dxa"/>
            <w:bottom w:w="0" w:type="dxa"/>
          </w:tblCellMar>
        </w:tblPrEx>
        <w:tc>
          <w:tcPr>
            <w:tcW w:w="3660" w:type="dxa"/>
            <w:shd w:val="clear" w:color="auto" w:fill="auto"/>
          </w:tcPr>
          <w:p w:rsidR="00750330" w:rsidRPr="00750330" w:rsidRDefault="00750330" w:rsidP="00750330">
            <w:pPr>
              <w:spacing w:before="40" w:after="40" w:line="210" w:lineRule="exact"/>
              <w:ind w:right="43"/>
              <w:rPr>
                <w:sz w:val="17"/>
                <w:szCs w:val="17"/>
                <w:lang w:val="fr-FR"/>
              </w:rPr>
            </w:pPr>
            <w:r w:rsidRPr="00750330">
              <w:rPr>
                <w:sz w:val="17"/>
                <w:szCs w:val="17"/>
                <w:lang w:val="fr-FR"/>
              </w:rPr>
              <w:t>DIU</w:t>
            </w:r>
          </w:p>
        </w:tc>
        <w:tc>
          <w:tcPr>
            <w:tcW w:w="1650" w:type="dxa"/>
            <w:shd w:val="clear" w:color="auto" w:fill="auto"/>
          </w:tcPr>
          <w:p w:rsidR="00750330" w:rsidRPr="00750330" w:rsidRDefault="00750330" w:rsidP="00750330">
            <w:pPr>
              <w:spacing w:before="40" w:after="40" w:line="210" w:lineRule="exact"/>
              <w:ind w:right="43"/>
              <w:jc w:val="right"/>
              <w:rPr>
                <w:sz w:val="17"/>
                <w:szCs w:val="17"/>
                <w:lang w:val="fr-FR"/>
              </w:rPr>
            </w:pPr>
            <w:r w:rsidRPr="00750330">
              <w:rPr>
                <w:sz w:val="17"/>
                <w:szCs w:val="17"/>
                <w:lang w:val="fr-FR"/>
              </w:rPr>
              <w:t>0,7</w:t>
            </w:r>
          </w:p>
        </w:tc>
      </w:tr>
      <w:tr w:rsidR="00750330" w:rsidRPr="00750330">
        <w:tblPrEx>
          <w:tblCellMar>
            <w:top w:w="0" w:type="dxa"/>
            <w:bottom w:w="0" w:type="dxa"/>
          </w:tblCellMar>
        </w:tblPrEx>
        <w:tc>
          <w:tcPr>
            <w:tcW w:w="3660" w:type="dxa"/>
            <w:shd w:val="clear" w:color="auto" w:fill="auto"/>
          </w:tcPr>
          <w:p w:rsidR="00750330" w:rsidRPr="00750330" w:rsidRDefault="00750330" w:rsidP="00750330">
            <w:pPr>
              <w:spacing w:before="40" w:after="40" w:line="210" w:lineRule="exact"/>
              <w:ind w:right="43"/>
              <w:rPr>
                <w:sz w:val="17"/>
                <w:szCs w:val="17"/>
                <w:lang w:val="fr-FR"/>
              </w:rPr>
            </w:pPr>
            <w:r w:rsidRPr="00750330">
              <w:rPr>
                <w:sz w:val="17"/>
                <w:szCs w:val="17"/>
                <w:lang w:val="fr-FR"/>
              </w:rPr>
              <w:t>Injectables</w:t>
            </w:r>
          </w:p>
        </w:tc>
        <w:tc>
          <w:tcPr>
            <w:tcW w:w="1650" w:type="dxa"/>
            <w:shd w:val="clear" w:color="auto" w:fill="auto"/>
          </w:tcPr>
          <w:p w:rsidR="00750330" w:rsidRPr="00750330" w:rsidRDefault="00750330" w:rsidP="00750330">
            <w:pPr>
              <w:spacing w:before="40" w:after="40" w:line="210" w:lineRule="exact"/>
              <w:ind w:right="43"/>
              <w:jc w:val="right"/>
              <w:rPr>
                <w:sz w:val="17"/>
                <w:szCs w:val="17"/>
                <w:lang w:val="fr-FR"/>
              </w:rPr>
            </w:pPr>
            <w:r w:rsidRPr="00750330">
              <w:rPr>
                <w:sz w:val="17"/>
                <w:szCs w:val="17"/>
                <w:lang w:val="fr-FR"/>
              </w:rPr>
              <w:t>2</w:t>
            </w:r>
          </w:p>
        </w:tc>
      </w:tr>
      <w:tr w:rsidR="00750330" w:rsidRPr="00750330">
        <w:tblPrEx>
          <w:tblCellMar>
            <w:top w:w="0" w:type="dxa"/>
            <w:bottom w:w="0" w:type="dxa"/>
          </w:tblCellMar>
        </w:tblPrEx>
        <w:tc>
          <w:tcPr>
            <w:tcW w:w="3660" w:type="dxa"/>
            <w:shd w:val="clear" w:color="auto" w:fill="auto"/>
          </w:tcPr>
          <w:p w:rsidR="00750330" w:rsidRPr="00750330" w:rsidRDefault="00750330" w:rsidP="00750330">
            <w:pPr>
              <w:spacing w:before="40" w:after="40" w:line="210" w:lineRule="exact"/>
              <w:ind w:right="43"/>
              <w:rPr>
                <w:sz w:val="17"/>
                <w:szCs w:val="17"/>
                <w:lang w:val="fr-FR"/>
              </w:rPr>
            </w:pPr>
            <w:r w:rsidRPr="00750330">
              <w:rPr>
                <w:sz w:val="17"/>
                <w:szCs w:val="17"/>
                <w:lang w:val="fr-FR"/>
              </w:rPr>
              <w:t>Préservatif masculin</w:t>
            </w:r>
          </w:p>
        </w:tc>
        <w:tc>
          <w:tcPr>
            <w:tcW w:w="1650" w:type="dxa"/>
            <w:shd w:val="clear" w:color="auto" w:fill="auto"/>
          </w:tcPr>
          <w:p w:rsidR="00750330" w:rsidRPr="00750330" w:rsidRDefault="00750330" w:rsidP="00750330">
            <w:pPr>
              <w:spacing w:before="40" w:after="40" w:line="210" w:lineRule="exact"/>
              <w:ind w:right="43"/>
              <w:jc w:val="right"/>
              <w:rPr>
                <w:sz w:val="17"/>
                <w:szCs w:val="17"/>
                <w:lang w:val="fr-FR"/>
              </w:rPr>
            </w:pPr>
            <w:r w:rsidRPr="00750330">
              <w:rPr>
                <w:sz w:val="17"/>
                <w:szCs w:val="17"/>
                <w:lang w:val="fr-FR"/>
              </w:rPr>
              <w:t>2</w:t>
            </w:r>
          </w:p>
        </w:tc>
      </w:tr>
      <w:tr w:rsidR="00750330" w:rsidRPr="00750330">
        <w:tblPrEx>
          <w:tblCellMar>
            <w:top w:w="0" w:type="dxa"/>
            <w:bottom w:w="0" w:type="dxa"/>
          </w:tblCellMar>
        </w:tblPrEx>
        <w:tc>
          <w:tcPr>
            <w:tcW w:w="3660" w:type="dxa"/>
            <w:shd w:val="clear" w:color="auto" w:fill="auto"/>
          </w:tcPr>
          <w:p w:rsidR="00750330" w:rsidRPr="00750330" w:rsidRDefault="00750330" w:rsidP="00750330">
            <w:pPr>
              <w:spacing w:before="40" w:after="40" w:line="210" w:lineRule="exact"/>
              <w:ind w:right="43"/>
              <w:rPr>
                <w:sz w:val="17"/>
                <w:szCs w:val="17"/>
                <w:lang w:val="fr-FR"/>
              </w:rPr>
            </w:pPr>
            <w:r w:rsidRPr="00750330">
              <w:rPr>
                <w:sz w:val="17"/>
                <w:szCs w:val="17"/>
                <w:lang w:val="fr-FR"/>
              </w:rPr>
              <w:t xml:space="preserve">Toute méthode traditionnelle </w:t>
            </w:r>
          </w:p>
        </w:tc>
        <w:tc>
          <w:tcPr>
            <w:tcW w:w="1650" w:type="dxa"/>
            <w:shd w:val="clear" w:color="auto" w:fill="auto"/>
          </w:tcPr>
          <w:p w:rsidR="00750330" w:rsidRPr="00750330" w:rsidRDefault="00750330" w:rsidP="00750330">
            <w:pPr>
              <w:spacing w:before="40" w:after="40" w:line="210" w:lineRule="exact"/>
              <w:ind w:right="43"/>
              <w:jc w:val="right"/>
              <w:rPr>
                <w:sz w:val="17"/>
                <w:szCs w:val="17"/>
                <w:lang w:val="fr-FR"/>
              </w:rPr>
            </w:pPr>
            <w:r w:rsidRPr="00750330">
              <w:rPr>
                <w:sz w:val="17"/>
                <w:szCs w:val="17"/>
                <w:lang w:val="fr-FR"/>
              </w:rPr>
              <w:t>4</w:t>
            </w:r>
          </w:p>
        </w:tc>
      </w:tr>
      <w:tr w:rsidR="00750330" w:rsidRPr="00750330">
        <w:tblPrEx>
          <w:tblCellMar>
            <w:top w:w="0" w:type="dxa"/>
            <w:bottom w:w="0" w:type="dxa"/>
          </w:tblCellMar>
        </w:tblPrEx>
        <w:tc>
          <w:tcPr>
            <w:tcW w:w="3660" w:type="dxa"/>
            <w:tcBorders>
              <w:bottom w:val="single" w:sz="12" w:space="0" w:color="auto"/>
            </w:tcBorders>
            <w:shd w:val="clear" w:color="auto" w:fill="auto"/>
          </w:tcPr>
          <w:p w:rsidR="00750330" w:rsidRPr="00750330" w:rsidRDefault="00750330" w:rsidP="00750330">
            <w:pPr>
              <w:spacing w:before="40" w:after="40" w:line="210" w:lineRule="exact"/>
              <w:ind w:right="43"/>
              <w:rPr>
                <w:sz w:val="17"/>
                <w:szCs w:val="17"/>
                <w:lang w:val="fr-FR"/>
              </w:rPr>
            </w:pPr>
            <w:r w:rsidRPr="00750330">
              <w:rPr>
                <w:sz w:val="17"/>
                <w:szCs w:val="17"/>
                <w:lang w:val="fr-FR"/>
              </w:rPr>
              <w:t>Besoins de planification familiale non satisfaits</w:t>
            </w:r>
          </w:p>
        </w:tc>
        <w:tc>
          <w:tcPr>
            <w:tcW w:w="1650" w:type="dxa"/>
            <w:tcBorders>
              <w:bottom w:val="single" w:sz="12" w:space="0" w:color="auto"/>
            </w:tcBorders>
            <w:shd w:val="clear" w:color="auto" w:fill="auto"/>
          </w:tcPr>
          <w:p w:rsidR="00750330" w:rsidRPr="00750330" w:rsidRDefault="00750330" w:rsidP="00750330">
            <w:pPr>
              <w:spacing w:before="40" w:after="40" w:line="210" w:lineRule="exact"/>
              <w:ind w:right="43"/>
              <w:jc w:val="right"/>
              <w:rPr>
                <w:sz w:val="17"/>
                <w:szCs w:val="17"/>
                <w:lang w:val="fr-FR"/>
              </w:rPr>
            </w:pPr>
            <w:r w:rsidRPr="00750330">
              <w:rPr>
                <w:sz w:val="17"/>
                <w:szCs w:val="17"/>
                <w:lang w:val="fr-FR"/>
              </w:rPr>
              <w:t>7 %</w:t>
            </w:r>
          </w:p>
        </w:tc>
      </w:tr>
    </w:tbl>
    <w:p w:rsidR="00750330" w:rsidRPr="00750330" w:rsidRDefault="00750330" w:rsidP="00750330">
      <w:pPr>
        <w:pStyle w:val="SingleTxt"/>
        <w:spacing w:after="0" w:line="120" w:lineRule="exact"/>
        <w:rPr>
          <w:sz w:val="10"/>
          <w:lang w:val="fr-FR"/>
        </w:rPr>
      </w:pPr>
    </w:p>
    <w:p w:rsidR="00750330" w:rsidRPr="00750330" w:rsidRDefault="00750330" w:rsidP="005A4B82">
      <w:pPr>
        <w:pStyle w:val="SingleTxt"/>
        <w:rPr>
          <w:sz w:val="17"/>
          <w:szCs w:val="17"/>
          <w:lang w:val="fr-FR"/>
        </w:rPr>
      </w:pPr>
      <w:r w:rsidRPr="00750330">
        <w:rPr>
          <w:i/>
          <w:sz w:val="17"/>
          <w:szCs w:val="17"/>
          <w:lang w:val="fr-FR"/>
        </w:rPr>
        <w:t>Source</w:t>
      </w:r>
      <w:r w:rsidRPr="00750330">
        <w:rPr>
          <w:sz w:val="17"/>
          <w:szCs w:val="17"/>
          <w:lang w:val="fr-FR"/>
        </w:rPr>
        <w:t>: Enquête nationale sur la démographie et la santé, 2003</w:t>
      </w:r>
    </w:p>
    <w:p w:rsidR="00750330" w:rsidRPr="00750330" w:rsidRDefault="00750330" w:rsidP="00750330">
      <w:pPr>
        <w:pStyle w:val="SingleTxt"/>
        <w:spacing w:after="0" w:line="120" w:lineRule="exact"/>
        <w:rPr>
          <w:b/>
          <w:bCs/>
          <w:sz w:val="10"/>
          <w:lang w:val="fr-FR"/>
        </w:rPr>
      </w:pPr>
    </w:p>
    <w:p w:rsidR="00E15507" w:rsidRDefault="00750330" w:rsidP="007503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E15507" w:rsidRPr="005D6CD4">
        <w:rPr>
          <w:lang w:val="fr-FR"/>
        </w:rPr>
        <w:t>12.8</w:t>
      </w:r>
      <w:r>
        <w:rPr>
          <w:lang w:val="fr-FR"/>
        </w:rPr>
        <w:tab/>
      </w:r>
      <w:r w:rsidR="00E15507" w:rsidRPr="005D6CD4">
        <w:rPr>
          <w:lang w:val="fr-FR"/>
        </w:rPr>
        <w:t>VIH/</w:t>
      </w:r>
      <w:r>
        <w:rPr>
          <w:lang w:val="fr-FR"/>
        </w:rPr>
        <w:t>sida</w:t>
      </w:r>
    </w:p>
    <w:p w:rsidR="00750330" w:rsidRPr="00750330" w:rsidRDefault="00750330" w:rsidP="00750330">
      <w:pPr>
        <w:pStyle w:val="SingleTxt"/>
        <w:spacing w:after="0" w:line="120" w:lineRule="exact"/>
        <w:rPr>
          <w:sz w:val="10"/>
          <w:lang w:val="fr-FR"/>
        </w:rPr>
      </w:pPr>
    </w:p>
    <w:p w:rsidR="00E15507" w:rsidRPr="005D6CD4" w:rsidRDefault="00750330" w:rsidP="00AC2642">
      <w:pPr>
        <w:pStyle w:val="SingleTxt"/>
        <w:rPr>
          <w:lang w:val="fr-FR"/>
        </w:rPr>
      </w:pPr>
      <w:r>
        <w:rPr>
          <w:lang w:val="fr-FR"/>
        </w:rPr>
        <w:tab/>
      </w:r>
      <w:r w:rsidR="00E15507" w:rsidRPr="005D6CD4">
        <w:rPr>
          <w:lang w:val="fr-FR"/>
        </w:rPr>
        <w:t>Véritable fléau pour le développement et la santé, le VIH/</w:t>
      </w:r>
      <w:r>
        <w:rPr>
          <w:lang w:val="fr-FR"/>
        </w:rPr>
        <w:t>sida</w:t>
      </w:r>
      <w:r w:rsidR="00E15507" w:rsidRPr="005D6CD4">
        <w:rPr>
          <w:lang w:val="fr-FR"/>
        </w:rPr>
        <w:t xml:space="preserve"> représente une grave menace pour la vie de bon nombre d</w:t>
      </w:r>
      <w:r w:rsidR="000A3D87">
        <w:rPr>
          <w:lang w:val="fr-FR"/>
        </w:rPr>
        <w:t>’</w:t>
      </w:r>
      <w:r w:rsidR="00E15507" w:rsidRPr="005D6CD4">
        <w:rPr>
          <w:lang w:val="fr-FR"/>
        </w:rPr>
        <w:t xml:space="preserve">Africains. Au </w:t>
      </w:r>
      <w:r w:rsidR="00E15507">
        <w:rPr>
          <w:lang w:val="fr-FR"/>
        </w:rPr>
        <w:t>Nigéria</w:t>
      </w:r>
      <w:r w:rsidR="00E15507" w:rsidRPr="005D6CD4">
        <w:rPr>
          <w:lang w:val="fr-FR"/>
        </w:rPr>
        <w:t xml:space="preserve"> comme dans de nombreuses régions du monde, l</w:t>
      </w:r>
      <w:r w:rsidR="000A3D87">
        <w:rPr>
          <w:lang w:val="fr-FR"/>
        </w:rPr>
        <w:t>’</w:t>
      </w:r>
      <w:r w:rsidR="00E15507" w:rsidRPr="005D6CD4">
        <w:rPr>
          <w:lang w:val="fr-FR"/>
        </w:rPr>
        <w:t>inégalité des sexes continue à rendre les femmes et les filles plus vulnérables aux maladies que leurs partenaires masculins. Les statistiques disponibles montrent cependant que le</w:t>
      </w:r>
      <w:r w:rsidR="00E15507">
        <w:rPr>
          <w:lang w:val="fr-FR"/>
        </w:rPr>
        <w:t xml:space="preserve"> Nigéria</w:t>
      </w:r>
      <w:r w:rsidR="00E15507" w:rsidRPr="005D6CD4">
        <w:rPr>
          <w:lang w:val="fr-FR"/>
        </w:rPr>
        <w:t xml:space="preserve"> enregistre actuellement du succès</w:t>
      </w:r>
      <w:r w:rsidR="00E15507">
        <w:rPr>
          <w:lang w:val="fr-FR"/>
        </w:rPr>
        <w:t xml:space="preserve"> </w:t>
      </w:r>
      <w:r w:rsidR="00E15507" w:rsidRPr="005D6CD4">
        <w:rPr>
          <w:lang w:val="fr-FR"/>
        </w:rPr>
        <w:t>dans ses efforts de lutte contre l</w:t>
      </w:r>
      <w:r w:rsidR="000A3D87">
        <w:rPr>
          <w:lang w:val="fr-FR"/>
        </w:rPr>
        <w:t>’</w:t>
      </w:r>
      <w:r w:rsidR="00E15507" w:rsidRPr="005D6CD4">
        <w:rPr>
          <w:lang w:val="fr-FR"/>
        </w:rPr>
        <w:t>épidémie. Le taux de prévalence du VIH est passé de 5,6</w:t>
      </w:r>
      <w:r w:rsidR="00E15507">
        <w:rPr>
          <w:lang w:val="fr-FR"/>
        </w:rPr>
        <w:t> </w:t>
      </w:r>
      <w:r w:rsidR="00E15507" w:rsidRPr="005D6CD4">
        <w:rPr>
          <w:lang w:val="fr-FR"/>
        </w:rPr>
        <w:t>% en 2001 à 5</w:t>
      </w:r>
      <w:r w:rsidR="00E15507">
        <w:rPr>
          <w:lang w:val="fr-FR"/>
        </w:rPr>
        <w:t> </w:t>
      </w:r>
      <w:r w:rsidR="00E15507" w:rsidRPr="005D6CD4">
        <w:rPr>
          <w:lang w:val="fr-FR"/>
        </w:rPr>
        <w:t>% en 2003. Il a encore baissé en 2005 passant à 4,4</w:t>
      </w:r>
      <w:r w:rsidR="00E15507">
        <w:rPr>
          <w:lang w:val="fr-FR"/>
        </w:rPr>
        <w:t> </w:t>
      </w:r>
      <w:r w:rsidR="00E15507" w:rsidRPr="005D6CD4">
        <w:rPr>
          <w:lang w:val="fr-FR"/>
        </w:rPr>
        <w:t>%. Cette baisse résulte d</w:t>
      </w:r>
      <w:r w:rsidR="000A3D87">
        <w:rPr>
          <w:lang w:val="fr-FR"/>
        </w:rPr>
        <w:t>’</w:t>
      </w:r>
      <w:r w:rsidR="00E15507" w:rsidRPr="005D6CD4">
        <w:rPr>
          <w:lang w:val="fr-FR"/>
        </w:rPr>
        <w:t>un certain nombre de programmes, de campagnes de plaidoyer et de sensibilisation, de la planification familiale, de l</w:t>
      </w:r>
      <w:r w:rsidR="000A3D87">
        <w:rPr>
          <w:lang w:val="fr-FR"/>
        </w:rPr>
        <w:t>’</w:t>
      </w:r>
      <w:r w:rsidR="00E15507" w:rsidRPr="005D6CD4">
        <w:rPr>
          <w:lang w:val="fr-FR"/>
        </w:rPr>
        <w:t>éducation sexuelle, de la prise en charge psychosociale de</w:t>
      </w:r>
      <w:r w:rsidR="00E15507">
        <w:rPr>
          <w:lang w:val="fr-FR"/>
        </w:rPr>
        <w:t xml:space="preserve">s personnes </w:t>
      </w:r>
      <w:r w:rsidR="00E15507" w:rsidRPr="005D6CD4">
        <w:rPr>
          <w:lang w:val="fr-FR"/>
        </w:rPr>
        <w:t>déjà infecté</w:t>
      </w:r>
      <w:r w:rsidR="00E15507">
        <w:rPr>
          <w:lang w:val="fr-FR"/>
        </w:rPr>
        <w:t>e</w:t>
      </w:r>
      <w:r w:rsidR="00E15507" w:rsidRPr="005D6CD4">
        <w:rPr>
          <w:lang w:val="fr-FR"/>
        </w:rPr>
        <w:t>s ou affecté</w:t>
      </w:r>
      <w:r w:rsidR="00E15507">
        <w:rPr>
          <w:lang w:val="fr-FR"/>
        </w:rPr>
        <w:t>e</w:t>
      </w:r>
      <w:r w:rsidR="00E15507" w:rsidRPr="005D6CD4">
        <w:rPr>
          <w:lang w:val="fr-FR"/>
        </w:rPr>
        <w:t>s par le VIH/</w:t>
      </w:r>
      <w:r w:rsidR="00940485">
        <w:rPr>
          <w:lang w:val="fr-FR"/>
        </w:rPr>
        <w:t>SIDA</w:t>
      </w:r>
      <w:r w:rsidR="00E15507" w:rsidRPr="005D6CD4">
        <w:rPr>
          <w:lang w:val="fr-FR"/>
        </w:rPr>
        <w:t xml:space="preserve"> et des soins </w:t>
      </w:r>
      <w:r w:rsidR="00E15507">
        <w:rPr>
          <w:lang w:val="fr-FR"/>
        </w:rPr>
        <w:t>fournis</w:t>
      </w:r>
      <w:r w:rsidR="00E15507" w:rsidRPr="005D6CD4">
        <w:rPr>
          <w:lang w:val="fr-FR"/>
        </w:rPr>
        <w:t xml:space="preserve"> à ce</w:t>
      </w:r>
      <w:r w:rsidR="00E15507">
        <w:rPr>
          <w:lang w:val="fr-FR"/>
        </w:rPr>
        <w:t>s personnes</w:t>
      </w:r>
      <w:r w:rsidR="00E15507" w:rsidRPr="005D6CD4">
        <w:rPr>
          <w:lang w:val="fr-FR"/>
        </w:rPr>
        <w:t xml:space="preserve">. </w:t>
      </w:r>
    </w:p>
    <w:p w:rsidR="00E15507" w:rsidRPr="005D6CD4" w:rsidRDefault="00E15507" w:rsidP="00AC2642">
      <w:pPr>
        <w:pStyle w:val="SingleTxt"/>
        <w:rPr>
          <w:b/>
          <w:bCs/>
          <w:lang w:val="fr-FR"/>
        </w:rPr>
      </w:pPr>
      <w:r w:rsidRPr="005D6CD4">
        <w:rPr>
          <w:b/>
          <w:bCs/>
          <w:lang w:val="fr-FR"/>
        </w:rPr>
        <w:t xml:space="preserve">12.8.1 </w:t>
      </w:r>
      <w:r w:rsidR="00750330">
        <w:rPr>
          <w:b/>
          <w:bCs/>
          <w:lang w:val="fr-FR"/>
        </w:rPr>
        <w:t xml:space="preserve"> </w:t>
      </w:r>
      <w:r w:rsidRPr="005D6CD4">
        <w:rPr>
          <w:b/>
          <w:bCs/>
          <w:lang w:val="fr-FR"/>
        </w:rPr>
        <w:t>Interventions spéciales en matière de VIH/</w:t>
      </w:r>
      <w:r w:rsidR="00940485">
        <w:rPr>
          <w:b/>
          <w:bCs/>
          <w:lang w:val="fr-FR"/>
        </w:rPr>
        <w:t>SIDA</w:t>
      </w:r>
    </w:p>
    <w:p w:rsidR="00E15507" w:rsidRPr="005D6CD4" w:rsidRDefault="00750330" w:rsidP="00AC2642">
      <w:pPr>
        <w:pStyle w:val="SingleTxt"/>
        <w:rPr>
          <w:b/>
          <w:bCs/>
          <w:lang w:val="fr-FR"/>
        </w:rPr>
      </w:pPr>
      <w:r>
        <w:rPr>
          <w:lang w:val="fr-FR"/>
        </w:rPr>
        <w:tab/>
      </w:r>
      <w:r w:rsidR="00E15507" w:rsidRPr="005D6CD4">
        <w:rPr>
          <w:lang w:val="fr-FR"/>
        </w:rPr>
        <w:t>La création de</w:t>
      </w:r>
      <w:r w:rsidR="00E15507">
        <w:rPr>
          <w:lang w:val="fr-FR"/>
        </w:rPr>
        <w:t>s</w:t>
      </w:r>
      <w:r w:rsidR="00E15507" w:rsidRPr="005D6CD4">
        <w:rPr>
          <w:lang w:val="fr-FR"/>
        </w:rPr>
        <w:t xml:space="preserve"> </w:t>
      </w:r>
      <w:r w:rsidR="00E15507">
        <w:rPr>
          <w:lang w:val="fr-FR"/>
        </w:rPr>
        <w:t xml:space="preserve">comités </w:t>
      </w:r>
      <w:r w:rsidR="00E15507" w:rsidRPr="005D6CD4">
        <w:rPr>
          <w:lang w:val="fr-FR"/>
        </w:rPr>
        <w:t xml:space="preserve">NACA, SACA, LACA </w:t>
      </w:r>
      <w:r w:rsidR="00E15507">
        <w:rPr>
          <w:lang w:val="fr-FR"/>
        </w:rPr>
        <w:t xml:space="preserve">et CACA </w:t>
      </w:r>
      <w:r w:rsidR="00E15507" w:rsidRPr="005D6CD4">
        <w:rPr>
          <w:lang w:val="fr-FR"/>
        </w:rPr>
        <w:t xml:space="preserve">au niveau fédéral, des </w:t>
      </w:r>
      <w:r w:rsidR="00E15507" w:rsidRPr="005D6CD4">
        <w:rPr>
          <w:rFonts w:ascii="TimesNewRoman" w:hAnsi="TimesNewRoman" w:cs="TimesNewRoman"/>
          <w:lang w:val="fr-FR"/>
        </w:rPr>
        <w:t>É</w:t>
      </w:r>
      <w:r w:rsidR="00E15507" w:rsidRPr="005D6CD4">
        <w:rPr>
          <w:lang w:val="fr-FR"/>
        </w:rPr>
        <w:t>tats</w:t>
      </w:r>
      <w:r w:rsidR="00E15507">
        <w:rPr>
          <w:lang w:val="fr-FR"/>
        </w:rPr>
        <w:t>, des collectivités locales et des communautés</w:t>
      </w:r>
      <w:r w:rsidR="00E15507" w:rsidRPr="005D6CD4">
        <w:rPr>
          <w:lang w:val="fr-FR"/>
        </w:rPr>
        <w:t xml:space="preserve"> fait partie des stratégies d</w:t>
      </w:r>
      <w:r w:rsidR="000A3D87">
        <w:rPr>
          <w:lang w:val="fr-FR"/>
        </w:rPr>
        <w:t>’</w:t>
      </w:r>
      <w:r w:rsidR="00E15507" w:rsidRPr="005D6CD4">
        <w:rPr>
          <w:lang w:val="fr-FR"/>
        </w:rPr>
        <w:t>intervention les plus agressives amorcées par le</w:t>
      </w:r>
      <w:r w:rsidR="00E15507">
        <w:rPr>
          <w:lang w:val="fr-FR"/>
        </w:rPr>
        <w:t xml:space="preserve"> Gouvernement</w:t>
      </w:r>
      <w:r w:rsidR="00E15507" w:rsidRPr="005D6CD4">
        <w:rPr>
          <w:lang w:val="fr-FR"/>
        </w:rPr>
        <w:t xml:space="preserve"> nigérian pour contenir la propagation du VIH/</w:t>
      </w:r>
      <w:r w:rsidR="00940485">
        <w:rPr>
          <w:lang w:val="fr-FR"/>
        </w:rPr>
        <w:t>SIDA</w:t>
      </w:r>
      <w:r w:rsidR="00E15507" w:rsidRPr="005D6CD4">
        <w:rPr>
          <w:lang w:val="fr-FR"/>
        </w:rPr>
        <w:t xml:space="preserve"> dans le pays. </w:t>
      </w:r>
      <w:r w:rsidR="00E15507">
        <w:rPr>
          <w:lang w:val="fr-FR"/>
        </w:rPr>
        <w:t xml:space="preserve">Ces </w:t>
      </w:r>
      <w:r w:rsidR="00E15507" w:rsidRPr="005D6CD4">
        <w:rPr>
          <w:lang w:val="fr-FR"/>
        </w:rPr>
        <w:t>comité</w:t>
      </w:r>
      <w:r w:rsidR="00E15507">
        <w:rPr>
          <w:lang w:val="fr-FR"/>
        </w:rPr>
        <w:t>s</w:t>
      </w:r>
      <w:r w:rsidR="00E15507" w:rsidRPr="005D6CD4">
        <w:rPr>
          <w:lang w:val="fr-FR"/>
        </w:rPr>
        <w:t xml:space="preserve"> mène</w:t>
      </w:r>
      <w:r w:rsidR="00E15507">
        <w:rPr>
          <w:lang w:val="fr-FR"/>
        </w:rPr>
        <w:t>nt</w:t>
      </w:r>
      <w:r w:rsidR="00E15507" w:rsidRPr="005D6CD4">
        <w:rPr>
          <w:lang w:val="fr-FR"/>
        </w:rPr>
        <w:t xml:space="preserve"> des campagnes visant à arrêter la propagation du VIH/</w:t>
      </w:r>
      <w:r w:rsidR="00940485">
        <w:rPr>
          <w:lang w:val="fr-FR"/>
        </w:rPr>
        <w:t>SIDA</w:t>
      </w:r>
      <w:r w:rsidR="00E15507" w:rsidRPr="005D6CD4">
        <w:rPr>
          <w:lang w:val="fr-FR"/>
        </w:rPr>
        <w:t xml:space="preserve">. </w:t>
      </w:r>
    </w:p>
    <w:p w:rsidR="00E15507" w:rsidRPr="005D6CD4" w:rsidRDefault="00750330" w:rsidP="00AC2642">
      <w:pPr>
        <w:pStyle w:val="SingleTxt"/>
        <w:rPr>
          <w:lang w:val="fr-FR"/>
        </w:rPr>
      </w:pPr>
      <w:r>
        <w:rPr>
          <w:lang w:val="fr-FR"/>
        </w:rPr>
        <w:tab/>
      </w:r>
      <w:r w:rsidR="00E15507" w:rsidRPr="005D6CD4">
        <w:rPr>
          <w:lang w:val="fr-FR"/>
        </w:rPr>
        <w:t>Les autres interventions gouvernementales</w:t>
      </w:r>
      <w:r w:rsidR="00E15507">
        <w:rPr>
          <w:lang w:val="fr-FR"/>
        </w:rPr>
        <w:t xml:space="preserve"> </w:t>
      </w:r>
      <w:r w:rsidR="00E15507" w:rsidRPr="005D6CD4">
        <w:rPr>
          <w:lang w:val="fr-FR"/>
        </w:rPr>
        <w:t>visant à arrêter la propagation du VIH/</w:t>
      </w:r>
      <w:r w:rsidR="00940485">
        <w:rPr>
          <w:lang w:val="fr-FR"/>
        </w:rPr>
        <w:t>SIDA</w:t>
      </w:r>
      <w:r w:rsidR="00E15507" w:rsidRPr="005D6CD4">
        <w:rPr>
          <w:lang w:val="fr-FR"/>
        </w:rPr>
        <w:t xml:space="preserve"> sont présentées ci-dessous : </w:t>
      </w:r>
    </w:p>
    <w:p w:rsidR="00E15507" w:rsidRPr="005D6CD4" w:rsidRDefault="00750330" w:rsidP="00750330">
      <w:pPr>
        <w:pStyle w:val="SingleTxt"/>
        <w:numPr>
          <w:ilvl w:val="0"/>
          <w:numId w:val="31"/>
        </w:numPr>
        <w:rPr>
          <w:i/>
          <w:iCs/>
          <w:lang w:val="fr-FR"/>
        </w:rPr>
      </w:pPr>
      <w:r>
        <w:rPr>
          <w:i/>
          <w:iCs/>
          <w:lang w:val="fr-FR"/>
        </w:rPr>
        <w:tab/>
      </w:r>
      <w:r w:rsidR="00E15507" w:rsidRPr="005D6CD4">
        <w:rPr>
          <w:i/>
          <w:iCs/>
          <w:lang w:val="fr-FR"/>
        </w:rPr>
        <w:t xml:space="preserve">Le Programme national de lutte contre le </w:t>
      </w:r>
      <w:r w:rsidR="00940485">
        <w:rPr>
          <w:i/>
          <w:iCs/>
          <w:lang w:val="fr-FR"/>
        </w:rPr>
        <w:t>SIDA</w:t>
      </w:r>
      <w:r w:rsidR="00E15507">
        <w:rPr>
          <w:i/>
          <w:iCs/>
          <w:lang w:val="fr-FR"/>
        </w:rPr>
        <w:t xml:space="preserve">/MST </w:t>
      </w:r>
      <w:r w:rsidR="00E15507" w:rsidRPr="005D6CD4">
        <w:rPr>
          <w:i/>
          <w:iCs/>
          <w:lang w:val="fr-FR"/>
        </w:rPr>
        <w:t>est chargé de la prévention, de la lutte et de la diffusion des informations sanitaires sur le</w:t>
      </w:r>
      <w:r w:rsidR="00E15507">
        <w:rPr>
          <w:i/>
          <w:iCs/>
          <w:lang w:val="fr-FR"/>
        </w:rPr>
        <w:t xml:space="preserve"> </w:t>
      </w:r>
      <w:r w:rsidR="00E15507" w:rsidRPr="005D6CD4">
        <w:rPr>
          <w:i/>
          <w:iCs/>
          <w:lang w:val="fr-FR"/>
        </w:rPr>
        <w:t>VIH/</w:t>
      </w:r>
      <w:r w:rsidR="00940485">
        <w:rPr>
          <w:i/>
          <w:iCs/>
          <w:lang w:val="fr-FR"/>
        </w:rPr>
        <w:t>SIDA</w:t>
      </w:r>
      <w:r w:rsidR="00E15507" w:rsidRPr="005D6CD4">
        <w:rPr>
          <w:i/>
          <w:iCs/>
          <w:lang w:val="fr-FR"/>
        </w:rPr>
        <w:t xml:space="preserve"> au</w:t>
      </w:r>
      <w:r w:rsidR="00E15507">
        <w:rPr>
          <w:i/>
          <w:iCs/>
          <w:lang w:val="fr-FR"/>
        </w:rPr>
        <w:t xml:space="preserve"> Nigéria</w:t>
      </w:r>
      <w:r w:rsidR="00E15507" w:rsidRPr="005D6CD4">
        <w:rPr>
          <w:i/>
          <w:iCs/>
          <w:lang w:val="fr-FR"/>
        </w:rPr>
        <w:t>. Il s</w:t>
      </w:r>
      <w:r w:rsidR="000A3D87">
        <w:rPr>
          <w:i/>
          <w:iCs/>
          <w:lang w:val="fr-FR"/>
        </w:rPr>
        <w:t>’</w:t>
      </w:r>
      <w:r w:rsidR="00E15507" w:rsidRPr="005D6CD4">
        <w:rPr>
          <w:i/>
          <w:iCs/>
          <w:lang w:val="fr-FR"/>
        </w:rPr>
        <w:t>agit de la contribution du secteur de la santé aux interventions multisectorielles contre le VIH/</w:t>
      </w:r>
      <w:r w:rsidR="00940485">
        <w:rPr>
          <w:i/>
          <w:iCs/>
          <w:lang w:val="fr-FR"/>
        </w:rPr>
        <w:t>SIDA</w:t>
      </w:r>
      <w:r w:rsidR="00E15507" w:rsidRPr="005D6CD4">
        <w:rPr>
          <w:i/>
          <w:iCs/>
          <w:lang w:val="fr-FR"/>
        </w:rPr>
        <w:t>. Il</w:t>
      </w:r>
      <w:r w:rsidR="00E15507">
        <w:rPr>
          <w:i/>
          <w:iCs/>
          <w:lang w:val="fr-FR"/>
        </w:rPr>
        <w:t xml:space="preserve"> </w:t>
      </w:r>
      <w:r w:rsidR="00E15507" w:rsidRPr="005D6CD4">
        <w:rPr>
          <w:i/>
          <w:iCs/>
          <w:lang w:val="fr-FR"/>
        </w:rPr>
        <w:t>s</w:t>
      </w:r>
      <w:r w:rsidR="000A3D87">
        <w:rPr>
          <w:i/>
          <w:iCs/>
          <w:lang w:val="fr-FR"/>
        </w:rPr>
        <w:t>’</w:t>
      </w:r>
      <w:r w:rsidR="00E15507" w:rsidRPr="005D6CD4">
        <w:rPr>
          <w:i/>
          <w:iCs/>
          <w:lang w:val="fr-FR"/>
        </w:rPr>
        <w:t>occupe de près de 80</w:t>
      </w:r>
      <w:r w:rsidR="00E15507">
        <w:rPr>
          <w:i/>
          <w:iCs/>
          <w:lang w:val="fr-FR"/>
        </w:rPr>
        <w:t> </w:t>
      </w:r>
      <w:r w:rsidR="00E15507" w:rsidRPr="005D6CD4">
        <w:rPr>
          <w:i/>
          <w:iCs/>
          <w:lang w:val="fr-FR"/>
        </w:rPr>
        <w:t>% des aspects cruciaux de la prévention, du traitement et d</w:t>
      </w:r>
      <w:r w:rsidR="00E15507">
        <w:rPr>
          <w:i/>
          <w:iCs/>
          <w:lang w:val="fr-FR"/>
        </w:rPr>
        <w:t>e l</w:t>
      </w:r>
      <w:r w:rsidR="000A3D87">
        <w:rPr>
          <w:i/>
          <w:iCs/>
          <w:lang w:val="fr-FR"/>
        </w:rPr>
        <w:t>’</w:t>
      </w:r>
      <w:r w:rsidR="00E15507" w:rsidRPr="005D6CD4">
        <w:rPr>
          <w:i/>
          <w:iCs/>
          <w:lang w:val="fr-FR"/>
        </w:rPr>
        <w:t>appui aux personnes vivant avec le VIH/</w:t>
      </w:r>
      <w:r w:rsidR="00940485">
        <w:rPr>
          <w:i/>
          <w:iCs/>
          <w:lang w:val="fr-FR"/>
        </w:rPr>
        <w:t>SIDA</w:t>
      </w:r>
      <w:r w:rsidR="00E15507" w:rsidRPr="005D6CD4">
        <w:rPr>
          <w:i/>
          <w:iCs/>
          <w:lang w:val="fr-FR"/>
        </w:rPr>
        <w:t xml:space="preserve"> ou affectées par cette pandémie. Il collabore avec les autres ministères concernés par les problèmes de santé, les organismes gouvernementaux, les partenaires internationaux de</w:t>
      </w:r>
      <w:r w:rsidR="00E15507">
        <w:rPr>
          <w:i/>
          <w:iCs/>
          <w:lang w:val="fr-FR"/>
        </w:rPr>
        <w:t xml:space="preserve"> </w:t>
      </w:r>
      <w:r w:rsidR="00E15507" w:rsidRPr="005D6CD4">
        <w:rPr>
          <w:i/>
          <w:iCs/>
          <w:lang w:val="fr-FR"/>
        </w:rPr>
        <w:t>développement et les bailleurs de fonds pour la plupart de ses activités.</w:t>
      </w:r>
    </w:p>
    <w:p w:rsidR="00E15507" w:rsidRPr="005D6CD4" w:rsidRDefault="00750330" w:rsidP="00750330">
      <w:pPr>
        <w:pStyle w:val="SingleTxt"/>
        <w:numPr>
          <w:ilvl w:val="0"/>
          <w:numId w:val="31"/>
        </w:numPr>
        <w:rPr>
          <w:i/>
          <w:iCs/>
          <w:lang w:val="fr-FR"/>
        </w:rPr>
      </w:pPr>
      <w:r>
        <w:rPr>
          <w:i/>
          <w:iCs/>
          <w:lang w:val="fr-FR"/>
        </w:rPr>
        <w:tab/>
      </w:r>
      <w:r w:rsidR="00E15507" w:rsidRPr="005D6CD4">
        <w:rPr>
          <w:i/>
          <w:iCs/>
          <w:lang w:val="fr-FR"/>
        </w:rPr>
        <w:t>Le Programme national de thérapie antirétrovirale a débuté en 2001 avec pour but de ne prendre en charge que 10</w:t>
      </w:r>
      <w:r w:rsidR="00E15507">
        <w:rPr>
          <w:i/>
          <w:iCs/>
          <w:lang w:val="fr-FR"/>
        </w:rPr>
        <w:t> </w:t>
      </w:r>
      <w:r w:rsidR="00E15507" w:rsidRPr="005D6CD4">
        <w:rPr>
          <w:i/>
          <w:iCs/>
          <w:lang w:val="fr-FR"/>
        </w:rPr>
        <w:t>000 personnes adultes et 5</w:t>
      </w:r>
      <w:r w:rsidR="00E15507">
        <w:rPr>
          <w:i/>
          <w:iCs/>
          <w:lang w:val="fr-FR"/>
        </w:rPr>
        <w:t> </w:t>
      </w:r>
      <w:r w:rsidR="00E15507" w:rsidRPr="005D6CD4">
        <w:rPr>
          <w:i/>
          <w:iCs/>
          <w:lang w:val="fr-FR"/>
        </w:rPr>
        <w:t>000 enfants, mais aujourd</w:t>
      </w:r>
      <w:r w:rsidR="000A3D87">
        <w:rPr>
          <w:i/>
          <w:iCs/>
          <w:lang w:val="fr-FR"/>
        </w:rPr>
        <w:t>’</w:t>
      </w:r>
      <w:r w:rsidR="00E15507" w:rsidRPr="005D6CD4">
        <w:rPr>
          <w:i/>
          <w:iCs/>
          <w:lang w:val="fr-FR"/>
        </w:rPr>
        <w:t>hui, grâce au soutien des organis</w:t>
      </w:r>
      <w:r w:rsidR="00E15507">
        <w:rPr>
          <w:i/>
          <w:iCs/>
          <w:lang w:val="fr-FR"/>
        </w:rPr>
        <w:t xml:space="preserve">ations </w:t>
      </w:r>
      <w:r w:rsidR="00E15507" w:rsidRPr="005D6CD4">
        <w:rPr>
          <w:i/>
          <w:iCs/>
          <w:lang w:val="fr-FR"/>
        </w:rPr>
        <w:t>internationa</w:t>
      </w:r>
      <w:r w:rsidR="00E15507">
        <w:rPr>
          <w:i/>
          <w:iCs/>
          <w:lang w:val="fr-FR"/>
        </w:rPr>
        <w:t>les et des partenaires de</w:t>
      </w:r>
      <w:r w:rsidR="00E15507" w:rsidRPr="005D6CD4">
        <w:rPr>
          <w:i/>
          <w:iCs/>
          <w:lang w:val="fr-FR"/>
        </w:rPr>
        <w:t xml:space="preserve"> développement, en particulier du</w:t>
      </w:r>
      <w:r w:rsidR="00E15507">
        <w:rPr>
          <w:i/>
          <w:iCs/>
          <w:lang w:val="fr-FR"/>
        </w:rPr>
        <w:t xml:space="preserve"> </w:t>
      </w:r>
      <w:r w:rsidR="00E15507" w:rsidRPr="005D6CD4">
        <w:rPr>
          <w:i/>
          <w:iCs/>
          <w:lang w:val="fr-FR"/>
        </w:rPr>
        <w:t>projet PEPFAR et de GFATM, les services ART sont maintenant disponibles sur plus de</w:t>
      </w:r>
      <w:r w:rsidR="00E15507">
        <w:rPr>
          <w:i/>
          <w:iCs/>
          <w:lang w:val="fr-FR"/>
        </w:rPr>
        <w:t xml:space="preserve"> </w:t>
      </w:r>
      <w:r w:rsidR="00E15507" w:rsidRPr="005D6CD4">
        <w:rPr>
          <w:i/>
          <w:iCs/>
          <w:lang w:val="fr-FR"/>
        </w:rPr>
        <w:t>67 sites où plus de 50</w:t>
      </w:r>
      <w:r w:rsidR="00E15507">
        <w:rPr>
          <w:i/>
          <w:iCs/>
          <w:lang w:val="fr-FR"/>
        </w:rPr>
        <w:t> </w:t>
      </w:r>
      <w:r w:rsidR="00E15507" w:rsidRPr="005D6CD4">
        <w:rPr>
          <w:i/>
          <w:iCs/>
          <w:lang w:val="fr-FR"/>
        </w:rPr>
        <w:t>000 personnes vivant avec le VIH/</w:t>
      </w:r>
      <w:r w:rsidR="00940485">
        <w:rPr>
          <w:i/>
          <w:iCs/>
          <w:lang w:val="fr-FR"/>
        </w:rPr>
        <w:t>SIDA</w:t>
      </w:r>
      <w:r w:rsidR="00E15507" w:rsidRPr="005D6CD4">
        <w:rPr>
          <w:i/>
          <w:iCs/>
          <w:lang w:val="fr-FR"/>
        </w:rPr>
        <w:t xml:space="preserve"> ont accès aux antirétroviraux. En juin 2005, le Président de la</w:t>
      </w:r>
      <w:r w:rsidR="00E15507">
        <w:rPr>
          <w:i/>
          <w:iCs/>
          <w:lang w:val="fr-FR"/>
        </w:rPr>
        <w:t xml:space="preserve"> </w:t>
      </w:r>
      <w:r w:rsidR="00E15507" w:rsidRPr="005D6CD4">
        <w:rPr>
          <w:i/>
          <w:iCs/>
          <w:lang w:val="fr-FR"/>
        </w:rPr>
        <w:t xml:space="preserve">République fédérale du </w:t>
      </w:r>
      <w:r w:rsidR="00E15507">
        <w:rPr>
          <w:i/>
          <w:iCs/>
          <w:lang w:val="fr-FR"/>
        </w:rPr>
        <w:t>Nigéria</w:t>
      </w:r>
      <w:r w:rsidR="00E15507" w:rsidRPr="005D6CD4">
        <w:rPr>
          <w:i/>
          <w:iCs/>
          <w:lang w:val="fr-FR"/>
        </w:rPr>
        <w:t xml:space="preserve"> a instruit le </w:t>
      </w:r>
      <w:r w:rsidR="00E15507">
        <w:rPr>
          <w:i/>
          <w:iCs/>
          <w:lang w:val="fr-FR"/>
        </w:rPr>
        <w:t>ministère</w:t>
      </w:r>
      <w:r w:rsidR="00E15507" w:rsidRPr="005D6CD4">
        <w:rPr>
          <w:i/>
          <w:iCs/>
          <w:lang w:val="fr-FR"/>
        </w:rPr>
        <w:t xml:space="preserve"> fédéral de la </w:t>
      </w:r>
      <w:r w:rsidR="00E15507">
        <w:rPr>
          <w:i/>
          <w:iCs/>
          <w:lang w:val="fr-FR"/>
        </w:rPr>
        <w:t>S</w:t>
      </w:r>
      <w:r w:rsidR="00E15507" w:rsidRPr="005D6CD4">
        <w:rPr>
          <w:i/>
          <w:iCs/>
          <w:lang w:val="fr-FR"/>
        </w:rPr>
        <w:t>anté et les autres parties prenantes de permettre à 250</w:t>
      </w:r>
      <w:r w:rsidR="00E15507">
        <w:rPr>
          <w:i/>
          <w:iCs/>
          <w:lang w:val="fr-FR"/>
        </w:rPr>
        <w:t> </w:t>
      </w:r>
      <w:r w:rsidR="00E15507" w:rsidRPr="005D6CD4">
        <w:rPr>
          <w:i/>
          <w:iCs/>
          <w:lang w:val="fr-FR"/>
        </w:rPr>
        <w:t>000 personnes vivant avec le VIH/</w:t>
      </w:r>
      <w:r w:rsidR="00940485">
        <w:rPr>
          <w:i/>
          <w:iCs/>
          <w:lang w:val="fr-FR"/>
        </w:rPr>
        <w:t>SIDA</w:t>
      </w:r>
      <w:r w:rsidR="00E15507" w:rsidRPr="005D6CD4">
        <w:rPr>
          <w:i/>
          <w:iCs/>
          <w:lang w:val="fr-FR"/>
        </w:rPr>
        <w:t xml:space="preserve"> d</w:t>
      </w:r>
      <w:r w:rsidR="000A3D87">
        <w:rPr>
          <w:i/>
          <w:iCs/>
          <w:lang w:val="fr-FR"/>
        </w:rPr>
        <w:t>’</w:t>
      </w:r>
      <w:r w:rsidR="00E15507" w:rsidRPr="005D6CD4">
        <w:rPr>
          <w:i/>
          <w:iCs/>
          <w:lang w:val="fr-FR"/>
        </w:rPr>
        <w:t>avoir accès aux antirétroviraux d</w:t>
      </w:r>
      <w:r w:rsidR="000A3D87">
        <w:rPr>
          <w:i/>
          <w:iCs/>
          <w:lang w:val="fr-FR"/>
        </w:rPr>
        <w:t>’</w:t>
      </w:r>
      <w:r w:rsidR="00E15507" w:rsidRPr="005D6CD4">
        <w:rPr>
          <w:i/>
          <w:iCs/>
          <w:lang w:val="fr-FR"/>
        </w:rPr>
        <w:t xml:space="preserve">ici juin 2006. Pour exécuter ces instructions, le </w:t>
      </w:r>
      <w:r w:rsidR="00E15507">
        <w:rPr>
          <w:i/>
          <w:iCs/>
          <w:lang w:val="fr-FR"/>
        </w:rPr>
        <w:t>m</w:t>
      </w:r>
      <w:r w:rsidR="00E15507" w:rsidRPr="005D6CD4">
        <w:rPr>
          <w:i/>
          <w:iCs/>
          <w:lang w:val="fr-FR"/>
        </w:rPr>
        <w:t xml:space="preserve">inistre de la </w:t>
      </w:r>
      <w:r w:rsidR="00E15507">
        <w:rPr>
          <w:i/>
          <w:iCs/>
          <w:lang w:val="fr-FR"/>
        </w:rPr>
        <w:t>S</w:t>
      </w:r>
      <w:r w:rsidR="00E15507" w:rsidRPr="005D6CD4">
        <w:rPr>
          <w:i/>
          <w:iCs/>
          <w:lang w:val="fr-FR"/>
        </w:rPr>
        <w:t>anté a</w:t>
      </w:r>
      <w:r w:rsidR="00E15507">
        <w:rPr>
          <w:i/>
          <w:iCs/>
          <w:lang w:val="fr-FR"/>
        </w:rPr>
        <w:t xml:space="preserve"> </w:t>
      </w:r>
      <w:r w:rsidR="00E15507" w:rsidRPr="005D6CD4">
        <w:rPr>
          <w:i/>
          <w:iCs/>
          <w:lang w:val="fr-FR"/>
        </w:rPr>
        <w:t xml:space="preserve">installé le Groupe de travail présidentiel ainsi que le Groupe de travail présidentiel élargi pour </w:t>
      </w:r>
      <w:r w:rsidR="00E15507">
        <w:rPr>
          <w:i/>
          <w:iCs/>
          <w:lang w:val="fr-FR"/>
        </w:rPr>
        <w:t>donner suite aux instructions du Président</w:t>
      </w:r>
      <w:r w:rsidR="00E15507" w:rsidRPr="005D6CD4">
        <w:rPr>
          <w:i/>
          <w:iCs/>
          <w:lang w:val="fr-FR"/>
        </w:rPr>
        <w:t>. Les deux groupes ont mis au point un plan d</w:t>
      </w:r>
      <w:r w:rsidR="000A3D87">
        <w:rPr>
          <w:i/>
          <w:iCs/>
          <w:lang w:val="fr-FR"/>
        </w:rPr>
        <w:t>’</w:t>
      </w:r>
      <w:r w:rsidR="00E15507" w:rsidRPr="005D6CD4">
        <w:rPr>
          <w:i/>
          <w:iCs/>
          <w:lang w:val="fr-FR"/>
        </w:rPr>
        <w:t>action</w:t>
      </w:r>
      <w:r w:rsidR="00E15507">
        <w:rPr>
          <w:i/>
          <w:iCs/>
          <w:lang w:val="fr-FR"/>
        </w:rPr>
        <w:t xml:space="preserve"> </w:t>
      </w:r>
      <w:r w:rsidR="00E15507" w:rsidRPr="005D6CD4">
        <w:rPr>
          <w:i/>
          <w:iCs/>
          <w:lang w:val="fr-FR"/>
        </w:rPr>
        <w:t>pour la réalisation de la mission avec un coût estimé à près de</w:t>
      </w:r>
      <w:r w:rsidR="00E15507">
        <w:rPr>
          <w:i/>
          <w:iCs/>
          <w:lang w:val="fr-FR"/>
        </w:rPr>
        <w:t xml:space="preserve"> </w:t>
      </w:r>
      <w:r w:rsidR="00E15507" w:rsidRPr="005D6CD4">
        <w:rPr>
          <w:i/>
          <w:iCs/>
          <w:lang w:val="fr-FR"/>
        </w:rPr>
        <w:t>27 milliards de nairas.</w:t>
      </w:r>
    </w:p>
    <w:p w:rsidR="00E15507" w:rsidRPr="006A6C6B" w:rsidRDefault="006A6C6B" w:rsidP="009546E1">
      <w:pPr>
        <w:pStyle w:val="SingleTxt"/>
        <w:numPr>
          <w:ilvl w:val="0"/>
          <w:numId w:val="31"/>
        </w:numPr>
        <w:tabs>
          <w:tab w:val="clear" w:pos="1987"/>
        </w:tabs>
        <w:ind w:left="1800" w:hanging="540"/>
        <w:rPr>
          <w:iCs/>
          <w:lang w:val="fr-FR"/>
        </w:rPr>
      </w:pPr>
      <w:r>
        <w:rPr>
          <w:b/>
          <w:bCs/>
          <w:iCs/>
          <w:lang w:val="fr-FR"/>
        </w:rPr>
        <w:tab/>
      </w:r>
      <w:r w:rsidR="00E15507" w:rsidRPr="006A6C6B">
        <w:rPr>
          <w:bCs/>
          <w:iCs/>
          <w:lang w:val="fr-FR"/>
        </w:rPr>
        <w:t xml:space="preserve">Le </w:t>
      </w:r>
      <w:r w:rsidR="00E15507" w:rsidRPr="006A6C6B">
        <w:rPr>
          <w:iCs/>
          <w:lang w:val="fr-FR"/>
        </w:rPr>
        <w:t>programme</w:t>
      </w:r>
      <w:r w:rsidR="00E15507" w:rsidRPr="006A6C6B">
        <w:rPr>
          <w:bCs/>
          <w:iCs/>
          <w:lang w:val="fr-FR"/>
        </w:rPr>
        <w:t xml:space="preserve"> de prévention de la transmission de la mère à l</w:t>
      </w:r>
      <w:r w:rsidR="000A3D87" w:rsidRPr="006A6C6B">
        <w:rPr>
          <w:bCs/>
          <w:iCs/>
          <w:lang w:val="fr-FR"/>
        </w:rPr>
        <w:t>’</w:t>
      </w:r>
      <w:r w:rsidR="00E15507" w:rsidRPr="006A6C6B">
        <w:rPr>
          <w:bCs/>
          <w:iCs/>
          <w:lang w:val="fr-FR"/>
        </w:rPr>
        <w:t>enfant (PTME)</w:t>
      </w:r>
      <w:r w:rsidR="00E15507" w:rsidRPr="006A6C6B">
        <w:rPr>
          <w:iCs/>
          <w:lang w:val="fr-FR"/>
        </w:rPr>
        <w:t xml:space="preserve"> qui a commencé sur six sites tertiaires en 2002 s</w:t>
      </w:r>
      <w:r w:rsidR="000A3D87" w:rsidRPr="006A6C6B">
        <w:rPr>
          <w:iCs/>
          <w:lang w:val="fr-FR"/>
        </w:rPr>
        <w:t>’</w:t>
      </w:r>
      <w:r w:rsidR="00E15507" w:rsidRPr="006A6C6B">
        <w:rPr>
          <w:iCs/>
          <w:lang w:val="fr-FR"/>
        </w:rPr>
        <w:t xml:space="preserve">est étendu à 45 sites et près de 42 000 femmes enceintes ont bénéficié du programme. </w:t>
      </w:r>
    </w:p>
    <w:p w:rsidR="00E15507" w:rsidRPr="006A6C6B" w:rsidRDefault="00E15507" w:rsidP="009546E1">
      <w:pPr>
        <w:pStyle w:val="SingleTxt"/>
        <w:numPr>
          <w:ilvl w:val="1"/>
          <w:numId w:val="31"/>
        </w:numPr>
        <w:tabs>
          <w:tab w:val="clear" w:pos="2707"/>
        </w:tabs>
        <w:ind w:left="2250" w:hanging="450"/>
        <w:rPr>
          <w:iCs/>
          <w:lang w:val="fr-FR"/>
        </w:rPr>
      </w:pPr>
      <w:r w:rsidRPr="006A6C6B">
        <w:rPr>
          <w:iCs/>
          <w:lang w:val="fr-FR"/>
        </w:rPr>
        <w:t xml:space="preserve">En mars 2005, un projet de manuel de formation à la PTME a été mis au point. </w:t>
      </w:r>
      <w:r w:rsidRPr="006A6C6B">
        <w:rPr>
          <w:bCs/>
          <w:iCs/>
          <w:lang w:val="fr-FR"/>
        </w:rPr>
        <w:t xml:space="preserve">Le </w:t>
      </w:r>
      <w:r w:rsidRPr="006A6C6B">
        <w:rPr>
          <w:iCs/>
          <w:lang w:val="fr-FR"/>
        </w:rPr>
        <w:t>programme</w:t>
      </w:r>
      <w:r w:rsidRPr="006A6C6B">
        <w:rPr>
          <w:bCs/>
          <w:iCs/>
          <w:lang w:val="fr-FR"/>
        </w:rPr>
        <w:t xml:space="preserve"> de PTME a été </w:t>
      </w:r>
      <w:r w:rsidRPr="006A6C6B">
        <w:rPr>
          <w:iCs/>
          <w:lang w:val="fr-FR"/>
        </w:rPr>
        <w:t>testé en mai et en juin 2005</w:t>
      </w:r>
      <w:r w:rsidR="00D17E6C" w:rsidRPr="006A6C6B">
        <w:rPr>
          <w:iCs/>
          <w:lang w:val="fr-FR"/>
        </w:rPr>
        <w:t>;</w:t>
      </w:r>
    </w:p>
    <w:p w:rsidR="00E15507" w:rsidRPr="006A6C6B" w:rsidRDefault="00E15507" w:rsidP="009546E1">
      <w:pPr>
        <w:pStyle w:val="SingleTxt"/>
        <w:numPr>
          <w:ilvl w:val="1"/>
          <w:numId w:val="31"/>
        </w:numPr>
        <w:tabs>
          <w:tab w:val="clear" w:pos="2707"/>
        </w:tabs>
        <w:ind w:left="2250" w:hanging="450"/>
        <w:rPr>
          <w:iCs/>
          <w:lang w:val="fr-FR"/>
        </w:rPr>
      </w:pPr>
      <w:r w:rsidRPr="006A6C6B">
        <w:rPr>
          <w:iCs/>
          <w:lang w:val="fr-FR"/>
        </w:rPr>
        <w:t>La formation a été menée sur les sites disposant d</w:t>
      </w:r>
      <w:r w:rsidR="000A3D87" w:rsidRPr="006A6C6B">
        <w:rPr>
          <w:iCs/>
          <w:lang w:val="fr-FR"/>
        </w:rPr>
        <w:t>’</w:t>
      </w:r>
      <w:r w:rsidRPr="006A6C6B">
        <w:rPr>
          <w:iCs/>
          <w:lang w:val="fr-FR"/>
        </w:rPr>
        <w:t>antirétroviraux, mais n</w:t>
      </w:r>
      <w:r w:rsidR="000A3D87" w:rsidRPr="006A6C6B">
        <w:rPr>
          <w:iCs/>
          <w:lang w:val="fr-FR"/>
        </w:rPr>
        <w:t>’</w:t>
      </w:r>
      <w:r w:rsidRPr="006A6C6B">
        <w:rPr>
          <w:iCs/>
          <w:lang w:val="fr-FR"/>
        </w:rPr>
        <w:t xml:space="preserve">ayant pas de services </w:t>
      </w:r>
      <w:r w:rsidRPr="006A6C6B">
        <w:rPr>
          <w:bCs/>
          <w:iCs/>
          <w:lang w:val="fr-FR"/>
        </w:rPr>
        <w:t xml:space="preserve">de PTME </w:t>
      </w:r>
      <w:r w:rsidRPr="006A6C6B">
        <w:rPr>
          <w:iCs/>
          <w:lang w:val="fr-FR"/>
        </w:rPr>
        <w:t>et au total, 90 agents de santé ont été formés dans 14 formations sanitaires. Cinq cent agents de santé ont également été formés sur des sites secondaires au système d</w:t>
      </w:r>
      <w:r w:rsidR="000A3D87" w:rsidRPr="006A6C6B">
        <w:rPr>
          <w:iCs/>
          <w:lang w:val="fr-FR"/>
        </w:rPr>
        <w:t>’</w:t>
      </w:r>
      <w:r w:rsidRPr="006A6C6B">
        <w:rPr>
          <w:iCs/>
          <w:lang w:val="fr-FR"/>
        </w:rPr>
        <w:t xml:space="preserve">information sur la manière de gérer </w:t>
      </w:r>
      <w:r w:rsidRPr="006A6C6B">
        <w:rPr>
          <w:bCs/>
          <w:iCs/>
          <w:lang w:val="fr-FR"/>
        </w:rPr>
        <w:t>la PTME</w:t>
      </w:r>
      <w:r w:rsidRPr="006A6C6B">
        <w:rPr>
          <w:iCs/>
          <w:lang w:val="fr-FR"/>
        </w:rPr>
        <w:t xml:space="preserve">. Les orientations </w:t>
      </w:r>
      <w:r w:rsidRPr="006A6C6B">
        <w:rPr>
          <w:bCs/>
          <w:iCs/>
          <w:lang w:val="fr-FR"/>
        </w:rPr>
        <w:t xml:space="preserve">de la PTME </w:t>
      </w:r>
      <w:r w:rsidRPr="006A6C6B">
        <w:rPr>
          <w:iCs/>
          <w:lang w:val="fr-FR"/>
        </w:rPr>
        <w:t>ont été imprimées</w:t>
      </w:r>
      <w:r w:rsidR="00D17E6C" w:rsidRPr="006A6C6B">
        <w:rPr>
          <w:iCs/>
          <w:lang w:val="fr-FR"/>
        </w:rPr>
        <w:t>;</w:t>
      </w:r>
      <w:r w:rsidRPr="006A6C6B">
        <w:rPr>
          <w:iCs/>
          <w:lang w:val="fr-FR"/>
        </w:rPr>
        <w:t xml:space="preserve"> </w:t>
      </w:r>
    </w:p>
    <w:p w:rsidR="00E15507" w:rsidRPr="006A6C6B" w:rsidRDefault="00E15507" w:rsidP="009546E1">
      <w:pPr>
        <w:pStyle w:val="SingleTxt"/>
        <w:numPr>
          <w:ilvl w:val="1"/>
          <w:numId w:val="31"/>
        </w:numPr>
        <w:tabs>
          <w:tab w:val="clear" w:pos="2707"/>
        </w:tabs>
        <w:ind w:left="2250" w:hanging="450"/>
        <w:rPr>
          <w:iCs/>
          <w:lang w:val="fr-FR"/>
        </w:rPr>
      </w:pPr>
      <w:r w:rsidRPr="006A6C6B">
        <w:rPr>
          <w:iCs/>
          <w:lang w:val="fr-FR"/>
        </w:rPr>
        <w:t>En mai 2005, un atelier de formation sur la sensibilisation sur le programme d</w:t>
      </w:r>
      <w:r w:rsidR="000A3D87" w:rsidRPr="006A6C6B">
        <w:rPr>
          <w:iCs/>
          <w:lang w:val="fr-FR"/>
        </w:rPr>
        <w:t>’</w:t>
      </w:r>
      <w:r w:rsidRPr="006A6C6B">
        <w:rPr>
          <w:iCs/>
          <w:lang w:val="fr-FR"/>
        </w:rPr>
        <w:t>antirétroviraux a été organisé pour les médias. En juillet 2005, les matériels d</w:t>
      </w:r>
      <w:r w:rsidR="000A3D87" w:rsidRPr="006A6C6B">
        <w:rPr>
          <w:iCs/>
          <w:lang w:val="fr-FR"/>
        </w:rPr>
        <w:t>’</w:t>
      </w:r>
      <w:r w:rsidRPr="006A6C6B">
        <w:rPr>
          <w:iCs/>
          <w:lang w:val="fr-FR"/>
        </w:rPr>
        <w:t>éducation sanitaire sur le programme</w:t>
      </w:r>
      <w:r w:rsidRPr="006A6C6B">
        <w:rPr>
          <w:bCs/>
          <w:iCs/>
          <w:lang w:val="fr-FR"/>
        </w:rPr>
        <w:t xml:space="preserve"> de PTME </w:t>
      </w:r>
      <w:r w:rsidRPr="006A6C6B">
        <w:rPr>
          <w:iCs/>
          <w:lang w:val="fr-FR"/>
        </w:rPr>
        <w:t>ont été édités en langues Igbo, Hausa et Yoruba pour 11 régions ciblées</w:t>
      </w:r>
      <w:r w:rsidR="00D17E6C" w:rsidRPr="006A6C6B">
        <w:rPr>
          <w:iCs/>
          <w:lang w:val="fr-FR"/>
        </w:rPr>
        <w:t>;</w:t>
      </w:r>
      <w:r w:rsidRPr="006A6C6B">
        <w:rPr>
          <w:iCs/>
          <w:lang w:val="fr-FR"/>
        </w:rPr>
        <w:t xml:space="preserve"> </w:t>
      </w:r>
    </w:p>
    <w:p w:rsidR="00E15507" w:rsidRPr="006A6C6B" w:rsidRDefault="00E15507" w:rsidP="009546E1">
      <w:pPr>
        <w:pStyle w:val="SingleTxt"/>
        <w:numPr>
          <w:ilvl w:val="1"/>
          <w:numId w:val="31"/>
        </w:numPr>
        <w:tabs>
          <w:tab w:val="clear" w:pos="2707"/>
        </w:tabs>
        <w:ind w:left="2250" w:hanging="450"/>
        <w:rPr>
          <w:iCs/>
          <w:lang w:val="fr-FR"/>
        </w:rPr>
      </w:pPr>
      <w:r w:rsidRPr="006A6C6B">
        <w:rPr>
          <w:iCs/>
          <w:lang w:val="fr-FR"/>
        </w:rPr>
        <w:t>Des projets de spots publicitaires sur le programme d</w:t>
      </w:r>
      <w:r w:rsidR="000A3D87" w:rsidRPr="006A6C6B">
        <w:rPr>
          <w:iCs/>
          <w:lang w:val="fr-FR"/>
        </w:rPr>
        <w:t>’</w:t>
      </w:r>
      <w:r w:rsidRPr="006A6C6B">
        <w:rPr>
          <w:iCs/>
          <w:lang w:val="fr-FR"/>
        </w:rPr>
        <w:t xml:space="preserve">antirétroviraux au Nigéria ont été finalisés en août et le Programme national </w:t>
      </w:r>
      <w:r w:rsidRPr="006A6C6B">
        <w:rPr>
          <w:bCs/>
          <w:iCs/>
          <w:lang w:val="fr-FR"/>
        </w:rPr>
        <w:t>de PTME a été é</w:t>
      </w:r>
      <w:r w:rsidRPr="006A6C6B">
        <w:rPr>
          <w:iCs/>
          <w:lang w:val="fr-FR"/>
        </w:rPr>
        <w:t xml:space="preserve">valué. </w:t>
      </w:r>
    </w:p>
    <w:p w:rsidR="00E15507" w:rsidRPr="006A6C6B" w:rsidRDefault="006A6C6B" w:rsidP="009546E1">
      <w:pPr>
        <w:pStyle w:val="SingleTxt"/>
        <w:numPr>
          <w:ilvl w:val="2"/>
          <w:numId w:val="31"/>
        </w:numPr>
        <w:tabs>
          <w:tab w:val="clear" w:pos="3427"/>
        </w:tabs>
        <w:ind w:left="1800" w:hanging="540"/>
        <w:rPr>
          <w:iCs/>
          <w:lang w:val="fr-FR"/>
        </w:rPr>
      </w:pPr>
      <w:r>
        <w:rPr>
          <w:bCs/>
          <w:iCs/>
          <w:lang w:val="fr-FR"/>
        </w:rPr>
        <w:tab/>
      </w:r>
      <w:r w:rsidR="00E15507" w:rsidRPr="006A6C6B">
        <w:rPr>
          <w:bCs/>
          <w:iCs/>
          <w:lang w:val="fr-FR"/>
        </w:rPr>
        <w:t xml:space="preserve">Un programme de dépistage et de prise en charge psychosociale (HCT) a été également mis en place. Le Programme national de lutte contre le </w:t>
      </w:r>
      <w:r w:rsidR="00940485" w:rsidRPr="006A6C6B">
        <w:rPr>
          <w:bCs/>
          <w:iCs/>
          <w:lang w:val="fr-FR"/>
        </w:rPr>
        <w:t>SIDA</w:t>
      </w:r>
      <w:r w:rsidR="00E15507" w:rsidRPr="006A6C6B">
        <w:rPr>
          <w:bCs/>
          <w:i/>
          <w:iCs/>
          <w:lang w:val="fr-FR"/>
        </w:rPr>
        <w:t xml:space="preserve"> </w:t>
      </w:r>
      <w:r w:rsidR="00E15507" w:rsidRPr="006A6C6B">
        <w:rPr>
          <w:iCs/>
          <w:lang w:val="fr-FR"/>
        </w:rPr>
        <w:t>a organisé deux séries d</w:t>
      </w:r>
      <w:r w:rsidR="000A3D87" w:rsidRPr="006A6C6B">
        <w:rPr>
          <w:iCs/>
          <w:lang w:val="fr-FR"/>
        </w:rPr>
        <w:t>’</w:t>
      </w:r>
      <w:r w:rsidR="00E15507" w:rsidRPr="006A6C6B">
        <w:rPr>
          <w:iCs/>
          <w:lang w:val="fr-FR"/>
        </w:rPr>
        <w:t>atelier en mars et en juillet 2005 à Benin et Owerri. Au total, 106 agents de santé ont été formés, dont 49 sur le VIH/</w:t>
      </w:r>
      <w:r w:rsidR="00940485" w:rsidRPr="006A6C6B">
        <w:rPr>
          <w:iCs/>
          <w:lang w:val="fr-FR"/>
        </w:rPr>
        <w:t>SIDA</w:t>
      </w:r>
      <w:r w:rsidR="00E15507" w:rsidRPr="006A6C6B">
        <w:rPr>
          <w:iCs/>
          <w:lang w:val="fr-FR"/>
        </w:rPr>
        <w:t xml:space="preserve"> et 57 sur le </w:t>
      </w:r>
      <w:r w:rsidR="00E15507" w:rsidRPr="006A6C6B">
        <w:rPr>
          <w:bCs/>
          <w:iCs/>
          <w:lang w:val="fr-FR"/>
        </w:rPr>
        <w:t xml:space="preserve">dépistage et la prise en charge psychosociale </w:t>
      </w:r>
      <w:r w:rsidR="00E15507" w:rsidRPr="006A6C6B">
        <w:rPr>
          <w:iCs/>
          <w:lang w:val="fr-FR"/>
        </w:rPr>
        <w:t>en vue de la PTME</w:t>
      </w:r>
      <w:r w:rsidR="00E15507" w:rsidRPr="006A6C6B">
        <w:rPr>
          <w:bCs/>
          <w:iCs/>
          <w:lang w:val="fr-FR"/>
        </w:rPr>
        <w:t>,</w:t>
      </w:r>
      <w:r w:rsidR="00E15507" w:rsidRPr="006A6C6B">
        <w:rPr>
          <w:iCs/>
          <w:lang w:val="fr-FR"/>
        </w:rPr>
        <w:t xml:space="preserve"> en juillet. Une réunion des parties prenantes a été tenue sur le </w:t>
      </w:r>
      <w:r w:rsidR="00E15507" w:rsidRPr="006A6C6B">
        <w:rPr>
          <w:bCs/>
          <w:iCs/>
          <w:lang w:val="fr-FR"/>
        </w:rPr>
        <w:t>dépistage et la prise en charge psychosociale</w:t>
      </w:r>
      <w:r w:rsidR="00E15507" w:rsidRPr="006A6C6B">
        <w:rPr>
          <w:iCs/>
          <w:lang w:val="fr-FR"/>
        </w:rPr>
        <w:t xml:space="preserve">. </w:t>
      </w:r>
    </w:p>
    <w:p w:rsidR="00E15507" w:rsidRPr="006A6C6B" w:rsidRDefault="00E15507" w:rsidP="009546E1">
      <w:pPr>
        <w:pStyle w:val="SingleTxt"/>
        <w:numPr>
          <w:ilvl w:val="2"/>
          <w:numId w:val="31"/>
        </w:numPr>
        <w:tabs>
          <w:tab w:val="clear" w:pos="3427"/>
        </w:tabs>
        <w:ind w:left="1710" w:hanging="450"/>
        <w:rPr>
          <w:iCs/>
          <w:lang w:val="fr-FR"/>
        </w:rPr>
      </w:pPr>
      <w:r w:rsidRPr="006A6C6B">
        <w:rPr>
          <w:bCs/>
          <w:iCs/>
          <w:lang w:val="fr-FR"/>
        </w:rPr>
        <w:t xml:space="preserve">Pour lutter contre la propagation de la pandémie, une composante </w:t>
      </w:r>
      <w:r w:rsidRPr="006A6C6B">
        <w:rPr>
          <w:rFonts w:ascii="TimesNewRoman" w:hAnsi="TimesNewRoman" w:cs="TimesNewRoman"/>
          <w:bCs/>
          <w:iCs/>
          <w:lang w:val="fr-FR"/>
        </w:rPr>
        <w:t>É</w:t>
      </w:r>
      <w:r w:rsidRPr="006A6C6B">
        <w:rPr>
          <w:bCs/>
          <w:iCs/>
          <w:lang w:val="fr-FR"/>
        </w:rPr>
        <w:t>pidémiologie, recherche et surveillance</w:t>
      </w:r>
      <w:r w:rsidRPr="006A6C6B">
        <w:rPr>
          <w:bCs/>
          <w:i/>
          <w:iCs/>
          <w:lang w:val="fr-FR"/>
        </w:rPr>
        <w:t xml:space="preserve"> </w:t>
      </w:r>
      <w:r w:rsidRPr="006A6C6B">
        <w:rPr>
          <w:bCs/>
          <w:iCs/>
          <w:lang w:val="fr-FR"/>
        </w:rPr>
        <w:t xml:space="preserve">a également été introduite. En </w:t>
      </w:r>
      <w:r w:rsidRPr="006A6C6B">
        <w:rPr>
          <w:iCs/>
          <w:lang w:val="fr-FR"/>
        </w:rPr>
        <w:t>collaboration avec l</w:t>
      </w:r>
      <w:r w:rsidR="000A3D87" w:rsidRPr="006A6C6B">
        <w:rPr>
          <w:iCs/>
          <w:lang w:val="fr-FR"/>
        </w:rPr>
        <w:t>’</w:t>
      </w:r>
      <w:r w:rsidRPr="006A6C6B">
        <w:rPr>
          <w:iCs/>
          <w:lang w:val="fr-FR"/>
        </w:rPr>
        <w:t>OMS, le DFID, le CDC et d</w:t>
      </w:r>
      <w:r w:rsidR="000A3D87" w:rsidRPr="006A6C6B">
        <w:rPr>
          <w:iCs/>
          <w:lang w:val="fr-FR"/>
        </w:rPr>
        <w:t>’</w:t>
      </w:r>
      <w:r w:rsidRPr="006A6C6B">
        <w:rPr>
          <w:iCs/>
          <w:lang w:val="fr-FR"/>
        </w:rPr>
        <w:t>autres partenaires de développement, les enquêtes suivantes ont été menées dans le cadre de cette composante en 2005 : l</w:t>
      </w:r>
      <w:r w:rsidR="000A3D87" w:rsidRPr="006A6C6B">
        <w:rPr>
          <w:iCs/>
          <w:lang w:val="fr-FR"/>
        </w:rPr>
        <w:t>’</w:t>
      </w:r>
      <w:r w:rsidRPr="006A6C6B">
        <w:rPr>
          <w:iCs/>
          <w:lang w:val="fr-FR"/>
        </w:rPr>
        <w:t>Enquête nationale de surveillance de la séroprévalence VIH/syphilis, l</w:t>
      </w:r>
      <w:r w:rsidR="000A3D87" w:rsidRPr="006A6C6B">
        <w:rPr>
          <w:iCs/>
          <w:lang w:val="fr-FR"/>
        </w:rPr>
        <w:t>’</w:t>
      </w:r>
      <w:r w:rsidRPr="006A6C6B">
        <w:rPr>
          <w:iCs/>
          <w:lang w:val="fr-FR"/>
        </w:rPr>
        <w:t>Enquête nationale sur le VIH/</w:t>
      </w:r>
      <w:r w:rsidR="00940485" w:rsidRPr="006A6C6B">
        <w:rPr>
          <w:iCs/>
          <w:lang w:val="fr-FR"/>
        </w:rPr>
        <w:t>SIDA</w:t>
      </w:r>
      <w:r w:rsidRPr="006A6C6B">
        <w:rPr>
          <w:iCs/>
          <w:lang w:val="fr-FR"/>
        </w:rPr>
        <w:t xml:space="preserve"> et la santé en matière de reproduction, l</w:t>
      </w:r>
      <w:r w:rsidR="000A3D87" w:rsidRPr="006A6C6B">
        <w:rPr>
          <w:iCs/>
          <w:lang w:val="fr-FR"/>
        </w:rPr>
        <w:t>’</w:t>
      </w:r>
      <w:r w:rsidRPr="006A6C6B">
        <w:rPr>
          <w:iCs/>
          <w:lang w:val="fr-FR"/>
        </w:rPr>
        <w:t>Enquête sur la surveillance des comportements de quelques groupes à risques élevés et une l</w:t>
      </w:r>
      <w:r w:rsidR="000A3D87" w:rsidRPr="006A6C6B">
        <w:rPr>
          <w:iCs/>
          <w:lang w:val="fr-FR"/>
        </w:rPr>
        <w:t>’</w:t>
      </w:r>
      <w:r w:rsidRPr="006A6C6B">
        <w:rPr>
          <w:iCs/>
          <w:lang w:val="fr-FR"/>
        </w:rPr>
        <w:t>Enquête intégrée de surveillance des comportements de quelques groupes à risques élevés.</w:t>
      </w:r>
    </w:p>
    <w:p w:rsidR="00E15507" w:rsidRPr="006A6C6B" w:rsidRDefault="00E15507" w:rsidP="009546E1">
      <w:pPr>
        <w:pStyle w:val="SingleTxt"/>
        <w:numPr>
          <w:ilvl w:val="2"/>
          <w:numId w:val="31"/>
        </w:numPr>
        <w:ind w:left="1710" w:hanging="450"/>
        <w:rPr>
          <w:bCs/>
          <w:i/>
          <w:lang w:val="fr-FR"/>
        </w:rPr>
      </w:pPr>
      <w:r w:rsidRPr="006A6C6B">
        <w:rPr>
          <w:bCs/>
          <w:iCs/>
          <w:lang w:val="fr-FR"/>
        </w:rPr>
        <w:t xml:space="preserve">La composante Laboratoire et sécurité du sang donne des orientations et des outils </w:t>
      </w:r>
      <w:r w:rsidRPr="006A6C6B">
        <w:rPr>
          <w:iCs/>
          <w:lang w:val="fr-FR"/>
        </w:rPr>
        <w:t>techniques au projet du système logistique national d</w:t>
      </w:r>
      <w:r w:rsidR="000A3D87" w:rsidRPr="006A6C6B">
        <w:rPr>
          <w:iCs/>
          <w:lang w:val="fr-FR"/>
        </w:rPr>
        <w:t>’</w:t>
      </w:r>
      <w:r w:rsidRPr="006A6C6B">
        <w:rPr>
          <w:iCs/>
          <w:lang w:val="fr-FR"/>
        </w:rPr>
        <w:t>approvisionnement en matériels de dépistage du VIH et en antirétroviraux. Elle est également activement engagée dans le processus actuel de coordination pour la mise au point d</w:t>
      </w:r>
      <w:r w:rsidR="000A3D87" w:rsidRPr="006A6C6B">
        <w:rPr>
          <w:iCs/>
          <w:lang w:val="fr-FR"/>
        </w:rPr>
        <w:t>’</w:t>
      </w:r>
      <w:r w:rsidRPr="006A6C6B">
        <w:rPr>
          <w:iCs/>
          <w:lang w:val="fr-FR"/>
        </w:rPr>
        <w:t>algorithmes de combinaison indépendants de la chaîne de froid pour un dépistage rapide du VIH pour le pays.</w:t>
      </w:r>
    </w:p>
    <w:p w:rsidR="006A6C6B" w:rsidRDefault="006A6C6B" w:rsidP="006A6C6B">
      <w:pPr>
        <w:pStyle w:val="SingleTxt"/>
        <w:rPr>
          <w:iCs/>
          <w:lang w:val="fr-FR"/>
        </w:rPr>
      </w:pPr>
      <w:r>
        <w:rPr>
          <w:iCs/>
          <w:noProof/>
          <w:w w:val="100"/>
          <w:lang w:val="en-US"/>
        </w:rPr>
        <w:pict>
          <v:shape id="_x0000_s2154" type="#_x0000_t202" style="position:absolute;left:0;text-align:left;margin-left:61.3pt;margin-top:.1pt;width:423pt;height:207pt;z-index:16">
            <v:textbox>
              <w:txbxContent>
                <w:p w:rsidR="00D32F3D" w:rsidRDefault="00D32F3D">
                  <w:pPr>
                    <w:rPr>
                      <w:b/>
                    </w:rPr>
                  </w:pPr>
                  <w:r w:rsidRPr="006A6C6B">
                    <w:rPr>
                      <w:b/>
                    </w:rPr>
                    <w:t>Encadré 12.2</w:t>
                  </w:r>
                </w:p>
                <w:p w:rsidR="00D32F3D" w:rsidRDefault="00D32F3D">
                  <w:pPr>
                    <w:rPr>
                      <w:b/>
                    </w:rPr>
                  </w:pPr>
                </w:p>
                <w:p w:rsidR="00D32F3D" w:rsidRPr="00F06017" w:rsidRDefault="00D32F3D" w:rsidP="00F06017">
                  <w:pPr>
                    <w:tabs>
                      <w:tab w:val="left" w:pos="270"/>
                    </w:tabs>
                  </w:pPr>
                  <w:r w:rsidRPr="006A6C6B">
                    <w:rPr>
                      <w:b/>
                    </w:rPr>
                    <w:t>•</w:t>
                  </w:r>
                  <w:r>
                    <w:rPr>
                      <w:b/>
                    </w:rPr>
                    <w:tab/>
                  </w:r>
                  <w:r w:rsidRPr="00F06017">
                    <w:t>En 2005, des fonds ont été alloués, mais n’ont pas été décaissés.</w:t>
                  </w:r>
                </w:p>
                <w:p w:rsidR="00D32F3D" w:rsidRPr="00F06017" w:rsidRDefault="00D32F3D" w:rsidP="00F06017">
                  <w:pPr>
                    <w:tabs>
                      <w:tab w:val="left" w:pos="270"/>
                    </w:tabs>
                    <w:ind w:left="270" w:hanging="270"/>
                  </w:pPr>
                  <w:r w:rsidRPr="00F06017">
                    <w:t xml:space="preserve">• </w:t>
                  </w:r>
                  <w:r w:rsidRPr="00F06017">
                    <w:tab/>
                    <w:t xml:space="preserve">En 2006, seulement un peu plus de 4 millions de dollars ont été alloués et ont surtout été décaissés pour les différents services de santé maternelle contribuant à la réalisation des OMD. Il s’agit de : </w:t>
                  </w:r>
                </w:p>
                <w:p w:rsidR="00D32F3D" w:rsidRPr="00F06017" w:rsidRDefault="00D32F3D" w:rsidP="00F06017">
                  <w:pPr>
                    <w:ind w:left="270" w:hanging="270"/>
                  </w:pPr>
                  <w:r w:rsidRPr="00F06017">
                    <w:tab/>
                  </w:r>
                  <w:r w:rsidRPr="00F06017">
                    <w:softHyphen/>
                  </w:r>
                  <w:r w:rsidRPr="00F06017">
                    <w:tab/>
                    <w:t>2,5 millions de nairas (qui attendent d’être débloqués) en vue de la réalisation des</w:t>
                  </w:r>
                  <w:r w:rsidRPr="00F06017">
                    <w:br/>
                  </w:r>
                  <w:r w:rsidRPr="00F06017">
                    <w:tab/>
                    <w:t xml:space="preserve">OMD dans cinq États (Taraba, Yobe, Zamfara, Katsina, Gombe, Kebbi). </w:t>
                  </w:r>
                </w:p>
                <w:p w:rsidR="00D32F3D" w:rsidRPr="00F06017" w:rsidRDefault="00D32F3D" w:rsidP="00F06017">
                  <w:pPr>
                    <w:tabs>
                      <w:tab w:val="left" w:pos="270"/>
                    </w:tabs>
                    <w:ind w:left="270" w:hanging="270"/>
                  </w:pPr>
                  <w:r w:rsidRPr="00F06017">
                    <w:tab/>
                  </w:r>
                  <w:r w:rsidRPr="00F06017">
                    <w:softHyphen/>
                  </w:r>
                  <w:r w:rsidRPr="00F06017">
                    <w:tab/>
                    <w:t>75 millions de nairas (550 000 dollars) débloqués pour la formation des médecins, des</w:t>
                  </w:r>
                  <w:r>
                    <w:br/>
                  </w:r>
                  <w:r>
                    <w:tab/>
                  </w:r>
                  <w:r w:rsidRPr="00F06017">
                    <w:t>infirmiers et des sages-femmes aux techniques améliorées de sauvetage.</w:t>
                  </w:r>
                </w:p>
                <w:p w:rsidR="00D32F3D" w:rsidRDefault="00D32F3D" w:rsidP="00F06017">
                  <w:pPr>
                    <w:tabs>
                      <w:tab w:val="left" w:pos="270"/>
                    </w:tabs>
                    <w:ind w:left="270" w:hanging="270"/>
                  </w:pPr>
                  <w:r w:rsidRPr="00F06017">
                    <w:tab/>
                  </w:r>
                  <w:r w:rsidRPr="00F06017">
                    <w:softHyphen/>
                  </w:r>
                  <w:r w:rsidRPr="00F06017">
                    <w:tab/>
                    <w:t xml:space="preserve">200 millions de nairas devant être débloqués pendant les 3e et 4e trimestres de </w:t>
                  </w:r>
                  <w:r>
                    <w:br/>
                  </w:r>
                  <w:r>
                    <w:tab/>
                  </w:r>
                  <w:r w:rsidRPr="00F06017">
                    <w:t xml:space="preserve">pour l’approvisionnement en médicaments et en matériel et pour la formation du </w:t>
                  </w:r>
                  <w:r>
                    <w:br/>
                  </w:r>
                  <w:r>
                    <w:tab/>
                  </w:r>
                  <w:r w:rsidRPr="00F06017">
                    <w:t>personnel de santé et l’encadrement.</w:t>
                  </w:r>
                </w:p>
                <w:p w:rsidR="00D32F3D" w:rsidRPr="00F06017" w:rsidRDefault="00D32F3D" w:rsidP="00F06017">
                  <w:pPr>
                    <w:tabs>
                      <w:tab w:val="left" w:pos="270"/>
                    </w:tabs>
                    <w:ind w:left="270" w:hanging="270"/>
                  </w:pPr>
                  <w:r>
                    <w:tab/>
                  </w:r>
                  <w:r>
                    <w:softHyphen/>
                  </w:r>
                  <w:r>
                    <w:tab/>
                  </w:r>
                  <w:r w:rsidRPr="00F06017">
                    <w:t>250 millions de nairas débloqués pour l’approvisionnement en matériels</w:t>
                  </w:r>
                  <w:r>
                    <w:br/>
                  </w:r>
                  <w:r>
                    <w:tab/>
                  </w:r>
                  <w:r w:rsidRPr="00F06017">
                    <w:t xml:space="preserve">d’accouchement, en matériels nécessaires pour la mère et en d’autres équipements </w:t>
                  </w:r>
                  <w:r>
                    <w:br/>
                  </w:r>
                  <w:r>
                    <w:tab/>
                  </w:r>
                  <w:r w:rsidRPr="00F06017">
                    <w:t>hospitaliers.</w:t>
                  </w:r>
                </w:p>
              </w:txbxContent>
            </v:textbox>
          </v:shape>
        </w:pict>
      </w:r>
    </w:p>
    <w:p w:rsidR="006A6C6B" w:rsidRDefault="006A6C6B" w:rsidP="006A6C6B">
      <w:pPr>
        <w:pStyle w:val="SingleTxt"/>
        <w:rPr>
          <w:iCs/>
          <w:lang w:val="fr-FR"/>
        </w:rPr>
      </w:pPr>
    </w:p>
    <w:p w:rsidR="006A6C6B" w:rsidRDefault="006A6C6B" w:rsidP="006A6C6B">
      <w:pPr>
        <w:pStyle w:val="SingleTxt"/>
        <w:rPr>
          <w:iCs/>
          <w:lang w:val="fr-FR"/>
        </w:rPr>
      </w:pPr>
    </w:p>
    <w:p w:rsidR="006A6C6B" w:rsidRDefault="006A6C6B" w:rsidP="006A6C6B">
      <w:pPr>
        <w:pStyle w:val="SingleTxt"/>
        <w:rPr>
          <w:iCs/>
          <w:lang w:val="fr-FR"/>
        </w:rPr>
      </w:pPr>
    </w:p>
    <w:p w:rsidR="006A6C6B" w:rsidRDefault="006A6C6B" w:rsidP="006A6C6B">
      <w:pPr>
        <w:pStyle w:val="SingleTxt"/>
        <w:rPr>
          <w:iCs/>
          <w:lang w:val="fr-FR"/>
        </w:rPr>
      </w:pPr>
    </w:p>
    <w:p w:rsidR="006A6C6B" w:rsidRDefault="006A6C6B" w:rsidP="006A6C6B">
      <w:pPr>
        <w:pStyle w:val="SingleTxt"/>
        <w:rPr>
          <w:iCs/>
          <w:lang w:val="fr-FR"/>
        </w:rPr>
      </w:pPr>
    </w:p>
    <w:p w:rsidR="006A6C6B" w:rsidRDefault="006A6C6B" w:rsidP="006A6C6B">
      <w:pPr>
        <w:pStyle w:val="SingleTxt"/>
        <w:rPr>
          <w:iCs/>
          <w:lang w:val="fr-FR"/>
        </w:rPr>
      </w:pPr>
    </w:p>
    <w:p w:rsidR="006A6C6B" w:rsidRDefault="006A6C6B" w:rsidP="006A6C6B">
      <w:pPr>
        <w:pStyle w:val="SingleTxt"/>
        <w:rPr>
          <w:iCs/>
          <w:lang w:val="fr-FR"/>
        </w:rPr>
      </w:pPr>
    </w:p>
    <w:p w:rsidR="006A6C6B" w:rsidRDefault="006A6C6B" w:rsidP="006A6C6B">
      <w:pPr>
        <w:pStyle w:val="SingleTxt"/>
        <w:rPr>
          <w:iCs/>
          <w:lang w:val="fr-FR"/>
        </w:rPr>
      </w:pPr>
    </w:p>
    <w:p w:rsidR="006A6C6B" w:rsidRDefault="006A6C6B" w:rsidP="006A6C6B">
      <w:pPr>
        <w:pStyle w:val="SingleTxt"/>
        <w:rPr>
          <w:iCs/>
          <w:lang w:val="fr-FR"/>
        </w:rPr>
      </w:pPr>
    </w:p>
    <w:p w:rsidR="006A6C6B" w:rsidRDefault="006A6C6B" w:rsidP="006A6C6B">
      <w:pPr>
        <w:pStyle w:val="SingleTxt"/>
        <w:rPr>
          <w:iCs/>
          <w:lang w:val="fr-FR"/>
        </w:rPr>
      </w:pPr>
    </w:p>
    <w:p w:rsidR="00E15507" w:rsidRDefault="00F06017" w:rsidP="00F060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E15507" w:rsidRPr="005D6CD4">
        <w:rPr>
          <w:lang w:val="fr-FR"/>
        </w:rPr>
        <w:t xml:space="preserve">12. 9 </w:t>
      </w:r>
      <w:r>
        <w:rPr>
          <w:lang w:val="fr-FR"/>
        </w:rPr>
        <w:tab/>
      </w:r>
      <w:r w:rsidR="00E15507" w:rsidRPr="005D6CD4">
        <w:rPr>
          <w:lang w:val="fr-FR"/>
        </w:rPr>
        <w:t>Allocation des ressources nécessaires pour</w:t>
      </w:r>
      <w:r w:rsidR="00E15507">
        <w:rPr>
          <w:lang w:val="fr-FR"/>
        </w:rPr>
        <w:t xml:space="preserve"> </w:t>
      </w:r>
      <w:r w:rsidR="00E15507" w:rsidRPr="005D6CD4">
        <w:rPr>
          <w:lang w:val="fr-FR"/>
        </w:rPr>
        <w:t>l</w:t>
      </w:r>
      <w:r w:rsidR="000A3D87">
        <w:rPr>
          <w:lang w:val="fr-FR"/>
        </w:rPr>
        <w:t>’</w:t>
      </w:r>
      <w:r w:rsidR="00E15507" w:rsidRPr="005D6CD4">
        <w:rPr>
          <w:lang w:val="fr-FR"/>
        </w:rPr>
        <w:t>amélioration de la santé de la femme et la réduction de la mortalité maternelle et infantile.</w:t>
      </w:r>
      <w:r w:rsidR="00E15507">
        <w:rPr>
          <w:lang w:val="fr-FR"/>
        </w:rPr>
        <w:t xml:space="preserve"> </w:t>
      </w:r>
    </w:p>
    <w:p w:rsidR="00F06017" w:rsidRPr="00F06017" w:rsidRDefault="00F06017" w:rsidP="00F06017">
      <w:pPr>
        <w:pStyle w:val="SingleTxt"/>
        <w:spacing w:after="0" w:line="120" w:lineRule="exact"/>
        <w:rPr>
          <w:sz w:val="10"/>
          <w:lang w:val="fr-FR"/>
        </w:rPr>
      </w:pPr>
    </w:p>
    <w:p w:rsidR="00E15507" w:rsidRPr="005D6CD4" w:rsidRDefault="00F06017" w:rsidP="00F06017">
      <w:pPr>
        <w:pStyle w:val="SingleTxt"/>
        <w:rPr>
          <w:lang w:val="fr-FR"/>
        </w:rPr>
      </w:pPr>
      <w:r>
        <w:rPr>
          <w:lang w:val="fr-FR"/>
        </w:rPr>
        <w:tab/>
      </w:r>
      <w:r w:rsidR="00E15507" w:rsidRPr="005D6CD4">
        <w:rPr>
          <w:lang w:val="fr-FR"/>
        </w:rPr>
        <w:t xml:space="preserve">Depuis que la politique nationale de </w:t>
      </w:r>
      <w:r w:rsidR="00E15507">
        <w:rPr>
          <w:lang w:val="fr-FR"/>
        </w:rPr>
        <w:t>santé en matière de reproduction</w:t>
      </w:r>
      <w:r w:rsidR="00E15507" w:rsidRPr="005D6CD4">
        <w:rPr>
          <w:lang w:val="fr-FR"/>
        </w:rPr>
        <w:t xml:space="preserve"> a été finalisée, des ressources ont été engagées au profit de programmes et services qui concourent à réduire la mortalité maternelle. Comme l</w:t>
      </w:r>
      <w:r w:rsidR="000A3D87">
        <w:rPr>
          <w:lang w:val="fr-FR"/>
        </w:rPr>
        <w:t>’</w:t>
      </w:r>
      <w:r w:rsidR="00E15507" w:rsidRPr="005D6CD4">
        <w:rPr>
          <w:lang w:val="fr-FR"/>
        </w:rPr>
        <w:t>indique l</w:t>
      </w:r>
      <w:r w:rsidR="000A3D87">
        <w:rPr>
          <w:lang w:val="fr-FR"/>
        </w:rPr>
        <w:t>’</w:t>
      </w:r>
      <w:r w:rsidR="00E15507">
        <w:rPr>
          <w:lang w:val="fr-FR"/>
        </w:rPr>
        <w:t>E</w:t>
      </w:r>
      <w:r w:rsidR="00E15507" w:rsidRPr="005D6CD4">
        <w:rPr>
          <w:lang w:val="fr-FR"/>
        </w:rPr>
        <w:t xml:space="preserve">ncadré 12.2, le niveau des fonds engagés pour la santé de la femme est encore faible. En 2004, les </w:t>
      </w:r>
      <w:r w:rsidR="00E15507">
        <w:rPr>
          <w:lang w:val="fr-FR"/>
        </w:rPr>
        <w:t>crédits</w:t>
      </w:r>
      <w:r w:rsidR="00E15507" w:rsidRPr="005D6CD4">
        <w:rPr>
          <w:lang w:val="fr-FR"/>
        </w:rPr>
        <w:t xml:space="preserve"> budgétaires s</w:t>
      </w:r>
      <w:r w:rsidR="000A3D87">
        <w:rPr>
          <w:lang w:val="fr-FR"/>
        </w:rPr>
        <w:t>’</w:t>
      </w:r>
      <w:r w:rsidR="00E15507" w:rsidRPr="005D6CD4">
        <w:rPr>
          <w:lang w:val="fr-FR"/>
        </w:rPr>
        <w:t xml:space="preserve">élevaient à 100 millions </w:t>
      </w:r>
      <w:r w:rsidR="00E15507" w:rsidRPr="005D6CD4">
        <w:rPr>
          <w:iCs/>
          <w:lang w:val="fr-FR"/>
        </w:rPr>
        <w:t>de nairas</w:t>
      </w:r>
      <w:r w:rsidR="00E15507" w:rsidRPr="005D6CD4">
        <w:rPr>
          <w:lang w:val="fr-FR"/>
        </w:rPr>
        <w:t xml:space="preserve"> (environ 750</w:t>
      </w:r>
      <w:r w:rsidR="00E15507">
        <w:rPr>
          <w:lang w:val="fr-FR"/>
        </w:rPr>
        <w:t> </w:t>
      </w:r>
      <w:r w:rsidR="00E15507" w:rsidRPr="005D6CD4">
        <w:rPr>
          <w:lang w:val="fr-FR"/>
        </w:rPr>
        <w:t>000 dollars), mais seulement 60 millions ont été décaissés (450</w:t>
      </w:r>
      <w:r w:rsidR="00E15507">
        <w:rPr>
          <w:lang w:val="fr-FR"/>
        </w:rPr>
        <w:t> </w:t>
      </w:r>
      <w:r w:rsidR="00E15507" w:rsidRPr="005D6CD4">
        <w:rPr>
          <w:lang w:val="fr-FR"/>
        </w:rPr>
        <w:t>000 dollars).</w:t>
      </w:r>
    </w:p>
    <w:p w:rsidR="00F06017" w:rsidRPr="00F06017" w:rsidRDefault="00F06017" w:rsidP="00F06017">
      <w:pPr>
        <w:pStyle w:val="SingleTxt"/>
        <w:spacing w:after="0" w:line="120" w:lineRule="exact"/>
        <w:rPr>
          <w:sz w:val="10"/>
          <w:lang w:val="fr-FR"/>
        </w:rPr>
      </w:pPr>
    </w:p>
    <w:p w:rsidR="00E15507" w:rsidRDefault="00F06017" w:rsidP="00F060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ru-RU"/>
        </w:rPr>
      </w:pPr>
      <w:r>
        <w:rPr>
          <w:lang w:val="fr-FR"/>
        </w:rPr>
        <w:tab/>
      </w:r>
      <w:r w:rsidR="00E15507" w:rsidRPr="005D6CD4">
        <w:rPr>
          <w:lang w:val="fr-FR"/>
        </w:rPr>
        <w:t xml:space="preserve">12.10 </w:t>
      </w:r>
      <w:r>
        <w:rPr>
          <w:lang w:val="fr-FR"/>
        </w:rPr>
        <w:tab/>
      </w:r>
      <w:r w:rsidR="00E15507" w:rsidRPr="005D6CD4">
        <w:rPr>
          <w:lang w:val="fr-FR"/>
        </w:rPr>
        <w:t>Mesures visant à améliorer l</w:t>
      </w:r>
      <w:r w:rsidR="000A3D87">
        <w:rPr>
          <w:lang w:val="fr-FR"/>
        </w:rPr>
        <w:t>’</w:t>
      </w:r>
      <w:r w:rsidR="00E15507" w:rsidRPr="005D6CD4">
        <w:rPr>
          <w:lang w:val="fr-FR"/>
        </w:rPr>
        <w:t>accès des jeunes filles aux soins de santé.</w:t>
      </w:r>
    </w:p>
    <w:p w:rsidR="00F06017" w:rsidRPr="00F06017" w:rsidRDefault="00F06017" w:rsidP="00F06017">
      <w:pPr>
        <w:pStyle w:val="SingleTxt"/>
        <w:spacing w:after="0" w:line="120" w:lineRule="exact"/>
        <w:rPr>
          <w:sz w:val="10"/>
          <w:lang w:val="ru-RU"/>
        </w:rPr>
      </w:pPr>
    </w:p>
    <w:p w:rsidR="00E15507" w:rsidRPr="005D6CD4" w:rsidRDefault="00E15507" w:rsidP="00AC2642">
      <w:pPr>
        <w:pStyle w:val="SingleTxt"/>
        <w:rPr>
          <w:lang w:val="fr-FR"/>
        </w:rPr>
      </w:pPr>
      <w:r w:rsidRPr="005D6CD4">
        <w:rPr>
          <w:b/>
          <w:bCs/>
          <w:lang w:val="fr-FR"/>
        </w:rPr>
        <w:t>12.10.1</w:t>
      </w:r>
      <w:r w:rsidRPr="005D6CD4">
        <w:rPr>
          <w:lang w:val="fr-FR"/>
        </w:rPr>
        <w:t xml:space="preserve"> </w:t>
      </w:r>
      <w:r w:rsidR="00F06017">
        <w:rPr>
          <w:lang w:val="ru-RU"/>
        </w:rPr>
        <w:t xml:space="preserve"> </w:t>
      </w:r>
      <w:r w:rsidRPr="005D6CD4">
        <w:rPr>
          <w:lang w:val="fr-FR"/>
        </w:rPr>
        <w:t xml:space="preserve">De manière proactive, le </w:t>
      </w:r>
      <w:r>
        <w:rPr>
          <w:lang w:val="fr-FR"/>
        </w:rPr>
        <w:t>G</w:t>
      </w:r>
      <w:r w:rsidRPr="005D6CD4">
        <w:rPr>
          <w:lang w:val="fr-FR"/>
        </w:rPr>
        <w:t xml:space="preserve">ouvernement a de plus en plus porté son attention sur la </w:t>
      </w:r>
      <w:r>
        <w:rPr>
          <w:lang w:val="fr-FR"/>
        </w:rPr>
        <w:t>santé en matière de reproduction</w:t>
      </w:r>
      <w:r w:rsidRPr="005D6CD4">
        <w:rPr>
          <w:lang w:val="fr-FR"/>
        </w:rPr>
        <w:t xml:space="preserve"> des adolescent</w:t>
      </w:r>
      <w:r>
        <w:rPr>
          <w:lang w:val="fr-FR"/>
        </w:rPr>
        <w:t>e</w:t>
      </w:r>
      <w:r w:rsidRPr="005D6CD4">
        <w:rPr>
          <w:lang w:val="fr-FR"/>
        </w:rPr>
        <w:t xml:space="preserve">s au cours de ces dernières années au </w:t>
      </w:r>
      <w:r>
        <w:rPr>
          <w:lang w:val="fr-FR"/>
        </w:rPr>
        <w:t>Nigéria</w:t>
      </w:r>
      <w:r w:rsidRPr="005D6CD4">
        <w:rPr>
          <w:lang w:val="fr-FR"/>
        </w:rPr>
        <w:t>. La Politique nationale de santé de l</w:t>
      </w:r>
      <w:r w:rsidR="000A3D87">
        <w:rPr>
          <w:lang w:val="fr-FR"/>
        </w:rPr>
        <w:t>’</w:t>
      </w:r>
      <w:r w:rsidRPr="005D6CD4">
        <w:rPr>
          <w:lang w:val="fr-FR"/>
        </w:rPr>
        <w:t xml:space="preserve">adolescent définit celui-ci comme toute personne âgée </w:t>
      </w:r>
      <w:r>
        <w:rPr>
          <w:lang w:val="fr-FR"/>
        </w:rPr>
        <w:t>de</w:t>
      </w:r>
      <w:r w:rsidRPr="005D6CD4">
        <w:rPr>
          <w:lang w:val="fr-FR"/>
        </w:rPr>
        <w:t xml:space="preserve"> 10 </w:t>
      </w:r>
      <w:r>
        <w:rPr>
          <w:lang w:val="fr-FR"/>
        </w:rPr>
        <w:t>à</w:t>
      </w:r>
      <w:r w:rsidRPr="005D6CD4">
        <w:rPr>
          <w:lang w:val="fr-FR"/>
        </w:rPr>
        <w:t xml:space="preserve"> 24 ans.</w:t>
      </w:r>
      <w:r>
        <w:rPr>
          <w:lang w:val="fr-FR"/>
        </w:rPr>
        <w:t xml:space="preserve"> </w:t>
      </w:r>
      <w:r w:rsidRPr="005D6CD4">
        <w:rPr>
          <w:lang w:val="fr-FR"/>
        </w:rPr>
        <w:t>Des objectifs politiques spécifiques visent notamment la création d</w:t>
      </w:r>
      <w:r w:rsidR="000A3D87">
        <w:rPr>
          <w:lang w:val="fr-FR"/>
        </w:rPr>
        <w:t>’</w:t>
      </w:r>
      <w:r w:rsidRPr="005D6CD4">
        <w:rPr>
          <w:lang w:val="fr-FR"/>
        </w:rPr>
        <w:t>un climat favorable à l</w:t>
      </w:r>
      <w:r w:rsidR="000A3D87">
        <w:rPr>
          <w:lang w:val="fr-FR"/>
        </w:rPr>
        <w:t>’</w:t>
      </w:r>
      <w:r w:rsidRPr="005D6CD4">
        <w:rPr>
          <w:lang w:val="fr-FR"/>
        </w:rPr>
        <w:t>adoption de politiques et de lois répondant aux besoins en santé des adolescents. La Politique et la stratégie nationales de</w:t>
      </w:r>
      <w:r>
        <w:rPr>
          <w:lang w:val="fr-FR"/>
        </w:rPr>
        <w:t xml:space="preserve"> santé en matière de reproduction</w:t>
      </w:r>
      <w:r w:rsidRPr="005D6CD4">
        <w:rPr>
          <w:lang w:val="fr-FR"/>
        </w:rPr>
        <w:t xml:space="preserve"> réaffirment que toute personne, y compris les adolescents, a droit à la </w:t>
      </w:r>
      <w:r>
        <w:rPr>
          <w:lang w:val="fr-FR"/>
        </w:rPr>
        <w:t>santé en matière de reproduction</w:t>
      </w:r>
      <w:r w:rsidRPr="005D6CD4">
        <w:rPr>
          <w:lang w:val="fr-FR"/>
        </w:rPr>
        <w:t xml:space="preserve">. Une attention particulière est accordée aux problèmes de </w:t>
      </w:r>
      <w:r>
        <w:rPr>
          <w:lang w:val="fr-FR"/>
        </w:rPr>
        <w:t>santé en matière de reproduction</w:t>
      </w:r>
      <w:r w:rsidRPr="005D6CD4">
        <w:rPr>
          <w:lang w:val="fr-FR"/>
        </w:rPr>
        <w:t xml:space="preserve"> des jeunes et des adolescent</w:t>
      </w:r>
      <w:r>
        <w:rPr>
          <w:lang w:val="fr-FR"/>
        </w:rPr>
        <w:t>e</w:t>
      </w:r>
      <w:r w:rsidRPr="005D6CD4">
        <w:rPr>
          <w:lang w:val="fr-FR"/>
        </w:rPr>
        <w:t xml:space="preserve">s, la situation actuelle en la matière étant considérée comme </w:t>
      </w:r>
      <w:r w:rsidR="00F06017">
        <w:rPr>
          <w:lang w:val="ru-RU"/>
        </w:rPr>
        <w:t>«</w:t>
      </w:r>
      <w:r w:rsidR="00D17E6C">
        <w:rPr>
          <w:rFonts w:ascii="TimesNewRoman" w:hAnsi="TimesNewRoman" w:cs="TimesNewRoman"/>
          <w:lang w:val="fr-FR"/>
        </w:rPr>
        <w:t> </w:t>
      </w:r>
      <w:r w:rsidRPr="005D6CD4">
        <w:rPr>
          <w:lang w:val="fr-FR"/>
        </w:rPr>
        <w:t>mauvaise</w:t>
      </w:r>
      <w:r w:rsidR="000A3D87">
        <w:rPr>
          <w:lang w:val="fr-FR"/>
        </w:rPr>
        <w:t> »</w:t>
      </w:r>
      <w:r w:rsidRPr="005D6CD4">
        <w:rPr>
          <w:lang w:val="fr-FR"/>
        </w:rPr>
        <w:t xml:space="preserve">. </w:t>
      </w:r>
    </w:p>
    <w:p w:rsidR="00E15507" w:rsidRPr="005D6CD4" w:rsidRDefault="00F06017" w:rsidP="00AC2642">
      <w:pPr>
        <w:pStyle w:val="SingleTxt"/>
        <w:rPr>
          <w:lang w:val="fr-FR"/>
        </w:rPr>
      </w:pPr>
      <w:r>
        <w:rPr>
          <w:lang w:val="ru-RU"/>
        </w:rPr>
        <w:tab/>
      </w:r>
      <w:r w:rsidR="00E15507" w:rsidRPr="005D6CD4">
        <w:rPr>
          <w:lang w:val="fr-FR"/>
        </w:rPr>
        <w:t xml:space="preserve">Les objectifs du </w:t>
      </w:r>
      <w:r w:rsidR="00E15507">
        <w:rPr>
          <w:lang w:val="fr-FR"/>
        </w:rPr>
        <w:t>G</w:t>
      </w:r>
      <w:r w:rsidR="00E15507" w:rsidRPr="005D6CD4">
        <w:rPr>
          <w:lang w:val="fr-FR"/>
        </w:rPr>
        <w:t xml:space="preserve">ouvernement en matière de </w:t>
      </w:r>
      <w:r w:rsidR="00E15507">
        <w:rPr>
          <w:lang w:val="fr-FR"/>
        </w:rPr>
        <w:t>santé en matière de reproduction</w:t>
      </w:r>
      <w:r w:rsidR="00E15507" w:rsidRPr="005D6CD4">
        <w:rPr>
          <w:lang w:val="fr-FR"/>
        </w:rPr>
        <w:t xml:space="preserve"> tels que définis dans cette politique sont les suivants :</w:t>
      </w:r>
    </w:p>
    <w:p w:rsidR="00E15507" w:rsidRPr="005D6CD4" w:rsidRDefault="00F06017" w:rsidP="00F06017">
      <w:pPr>
        <w:pStyle w:val="SingleTxt"/>
        <w:numPr>
          <w:ilvl w:val="0"/>
          <w:numId w:val="32"/>
        </w:numPr>
        <w:rPr>
          <w:lang w:val="fr-FR"/>
        </w:rPr>
      </w:pPr>
      <w:r>
        <w:rPr>
          <w:lang w:val="ru-RU"/>
        </w:rPr>
        <w:tab/>
      </w:r>
      <w:r w:rsidR="00E15507" w:rsidRPr="005D6CD4">
        <w:rPr>
          <w:lang w:val="fr-FR"/>
        </w:rPr>
        <w:t>Augmenter le nombre de jeunes ayant accès à des</w:t>
      </w:r>
      <w:r w:rsidR="00E15507">
        <w:rPr>
          <w:lang w:val="fr-FR"/>
        </w:rPr>
        <w:t xml:space="preserve"> </w:t>
      </w:r>
      <w:r w:rsidR="00E15507" w:rsidRPr="005D6CD4">
        <w:rPr>
          <w:lang w:val="fr-FR"/>
        </w:rPr>
        <w:t xml:space="preserve">informations et services précis et complets en </w:t>
      </w:r>
      <w:r w:rsidR="00E15507">
        <w:rPr>
          <w:lang w:val="fr-FR"/>
        </w:rPr>
        <w:t>santé en matière de reproduction</w:t>
      </w:r>
      <w:r w:rsidR="00D17E6C">
        <w:rPr>
          <w:lang w:val="fr-FR"/>
        </w:rPr>
        <w:t>;</w:t>
      </w:r>
      <w:r w:rsidR="00E15507" w:rsidRPr="005D6CD4">
        <w:rPr>
          <w:lang w:val="fr-FR"/>
        </w:rPr>
        <w:t xml:space="preserve"> </w:t>
      </w:r>
    </w:p>
    <w:p w:rsidR="00E15507" w:rsidRPr="005D6CD4" w:rsidRDefault="00F06017" w:rsidP="00F06017">
      <w:pPr>
        <w:pStyle w:val="SingleTxt"/>
        <w:numPr>
          <w:ilvl w:val="0"/>
          <w:numId w:val="32"/>
        </w:numPr>
        <w:rPr>
          <w:lang w:val="fr-FR"/>
        </w:rPr>
      </w:pPr>
      <w:r>
        <w:rPr>
          <w:lang w:val="ru-RU"/>
        </w:rPr>
        <w:tab/>
      </w:r>
      <w:r w:rsidR="00E15507" w:rsidRPr="005D6CD4">
        <w:rPr>
          <w:lang w:val="fr-FR"/>
        </w:rPr>
        <w:t>Prendre l</w:t>
      </w:r>
      <w:r w:rsidR="000A3D87">
        <w:rPr>
          <w:lang w:val="fr-FR"/>
        </w:rPr>
        <w:t>’</w:t>
      </w:r>
      <w:r w:rsidR="00E15507" w:rsidRPr="005D6CD4">
        <w:rPr>
          <w:lang w:val="fr-FR"/>
        </w:rPr>
        <w:t>initiative et soutenir l</w:t>
      </w:r>
      <w:r w:rsidR="000A3D87">
        <w:rPr>
          <w:lang w:val="fr-FR"/>
        </w:rPr>
        <w:t>’</w:t>
      </w:r>
      <w:r w:rsidR="00E15507" w:rsidRPr="005D6CD4">
        <w:rPr>
          <w:lang w:val="fr-FR"/>
        </w:rPr>
        <w:t>adoption et la révision des lois sur la santé de l</w:t>
      </w:r>
      <w:r w:rsidR="000A3D87">
        <w:rPr>
          <w:lang w:val="fr-FR"/>
        </w:rPr>
        <w:t>’</w:t>
      </w:r>
      <w:r w:rsidR="00E15507" w:rsidRPr="005D6CD4">
        <w:rPr>
          <w:lang w:val="fr-FR"/>
        </w:rPr>
        <w:t>adolescent</w:t>
      </w:r>
      <w:r w:rsidR="00E15507">
        <w:rPr>
          <w:lang w:val="fr-FR"/>
        </w:rPr>
        <w:t>e</w:t>
      </w:r>
      <w:r w:rsidR="00E15507" w:rsidRPr="005D6CD4">
        <w:rPr>
          <w:lang w:val="fr-FR"/>
        </w:rPr>
        <w:t>.</w:t>
      </w:r>
    </w:p>
    <w:p w:rsidR="00E15507" w:rsidRPr="005D6CD4" w:rsidRDefault="00E15507" w:rsidP="00AC2642">
      <w:pPr>
        <w:pStyle w:val="SingleTxt"/>
        <w:rPr>
          <w:lang w:val="fr-FR"/>
        </w:rPr>
      </w:pPr>
      <w:r w:rsidRPr="005D6CD4">
        <w:rPr>
          <w:b/>
          <w:bCs/>
          <w:lang w:val="fr-FR"/>
        </w:rPr>
        <w:t>12.10.2</w:t>
      </w:r>
      <w:r w:rsidRPr="005D6CD4">
        <w:rPr>
          <w:lang w:val="fr-FR"/>
        </w:rPr>
        <w:t xml:space="preserve"> Le Plan d</w:t>
      </w:r>
      <w:r w:rsidR="000A3D87">
        <w:rPr>
          <w:lang w:val="fr-FR"/>
        </w:rPr>
        <w:t>’</w:t>
      </w:r>
      <w:r w:rsidRPr="005D6CD4">
        <w:rPr>
          <w:lang w:val="fr-FR"/>
        </w:rPr>
        <w:t xml:space="preserve">action politique et stratégique du </w:t>
      </w:r>
      <w:r>
        <w:rPr>
          <w:lang w:val="fr-FR"/>
        </w:rPr>
        <w:t>Nigéria</w:t>
      </w:r>
      <w:r w:rsidRPr="005D6CD4">
        <w:rPr>
          <w:lang w:val="fr-FR"/>
        </w:rPr>
        <w:t xml:space="preserve"> sur les jeunes reconnaît également que ceux-ci représentent la catégorie la plus active et la plus vulnérable de la population. La composante santé de cette politique vise à</w:t>
      </w:r>
      <w:r>
        <w:rPr>
          <w:lang w:val="fr-FR"/>
        </w:rPr>
        <w:t xml:space="preserve"> </w:t>
      </w:r>
      <w:r w:rsidR="00D17E6C">
        <w:rPr>
          <w:rFonts w:ascii="TimesNewRoman" w:hAnsi="TimesNewRoman" w:cs="TimesNewRoman"/>
          <w:lang w:val="fr-FR"/>
        </w:rPr>
        <w:t>“ </w:t>
      </w:r>
      <w:r w:rsidRPr="005D6CD4">
        <w:rPr>
          <w:lang w:val="fr-FR"/>
        </w:rPr>
        <w:t>trouver des solutions aux problèmes des jeunes tels que l</w:t>
      </w:r>
      <w:r w:rsidR="000A3D87">
        <w:rPr>
          <w:lang w:val="fr-FR"/>
        </w:rPr>
        <w:t>’</w:t>
      </w:r>
      <w:r w:rsidRPr="005D6CD4">
        <w:rPr>
          <w:lang w:val="fr-FR"/>
        </w:rPr>
        <w:t xml:space="preserve">abus de drogue, la toxicomanie, la grossesse </w:t>
      </w:r>
      <w:r>
        <w:rPr>
          <w:lang w:val="fr-FR"/>
        </w:rPr>
        <w:t xml:space="preserve">des adolescentes </w:t>
      </w:r>
      <w:r w:rsidRPr="005D6CD4">
        <w:rPr>
          <w:lang w:val="fr-FR"/>
        </w:rPr>
        <w:t>et les maladies sexuellement transmissibles</w:t>
      </w:r>
      <w:r w:rsidR="000A3D87">
        <w:rPr>
          <w:lang w:val="fr-FR"/>
        </w:rPr>
        <w:t> »</w:t>
      </w:r>
      <w:r w:rsidRPr="005D6CD4">
        <w:rPr>
          <w:lang w:val="fr-FR"/>
        </w:rPr>
        <w:t>.</w:t>
      </w:r>
    </w:p>
    <w:p w:rsidR="00E15507" w:rsidRPr="00F06017" w:rsidRDefault="00F06017" w:rsidP="00AC2642">
      <w:pPr>
        <w:pStyle w:val="SingleTxt"/>
        <w:rPr>
          <w:lang w:val="fr-FR"/>
        </w:rPr>
      </w:pPr>
      <w:r>
        <w:rPr>
          <w:b/>
          <w:bCs/>
          <w:i/>
          <w:iCs/>
          <w:lang w:val="ru-RU"/>
        </w:rPr>
        <w:tab/>
      </w:r>
      <w:r w:rsidR="00E15507" w:rsidRPr="00F06017">
        <w:rPr>
          <w:bCs/>
          <w:i/>
          <w:iCs/>
          <w:lang w:val="fr-FR"/>
        </w:rPr>
        <w:t>Par ailleurs, en 2001, la réaction du Nigéria au VIH/</w:t>
      </w:r>
      <w:r w:rsidR="00940485" w:rsidRPr="00F06017">
        <w:rPr>
          <w:bCs/>
          <w:i/>
          <w:iCs/>
          <w:lang w:val="fr-FR"/>
        </w:rPr>
        <w:t>SIDA</w:t>
      </w:r>
      <w:r w:rsidR="00E15507" w:rsidRPr="00F06017">
        <w:rPr>
          <w:bCs/>
          <w:i/>
          <w:iCs/>
          <w:lang w:val="fr-FR"/>
        </w:rPr>
        <w:t>, qui touche surtout les jeunes, s</w:t>
      </w:r>
      <w:r w:rsidR="000A3D87" w:rsidRPr="00F06017">
        <w:rPr>
          <w:bCs/>
          <w:i/>
          <w:iCs/>
          <w:lang w:val="fr-FR"/>
        </w:rPr>
        <w:t>’</w:t>
      </w:r>
      <w:r w:rsidR="00E15507" w:rsidRPr="00F06017">
        <w:rPr>
          <w:bCs/>
          <w:i/>
          <w:iCs/>
          <w:lang w:val="fr-FR"/>
        </w:rPr>
        <w:t>articulait sur un plan d</w:t>
      </w:r>
      <w:r w:rsidR="000A3D87" w:rsidRPr="00F06017">
        <w:rPr>
          <w:bCs/>
          <w:i/>
          <w:iCs/>
          <w:lang w:val="fr-FR"/>
        </w:rPr>
        <w:t>’</w:t>
      </w:r>
      <w:r w:rsidR="00E15507" w:rsidRPr="00F06017">
        <w:rPr>
          <w:bCs/>
          <w:i/>
          <w:iCs/>
          <w:lang w:val="fr-FR"/>
        </w:rPr>
        <w:t>action d</w:t>
      </w:r>
      <w:r w:rsidR="000A3D87" w:rsidRPr="00F06017">
        <w:rPr>
          <w:bCs/>
          <w:i/>
          <w:iCs/>
          <w:lang w:val="fr-FR"/>
        </w:rPr>
        <w:t>’</w:t>
      </w:r>
      <w:r w:rsidR="00E15507" w:rsidRPr="00F06017">
        <w:rPr>
          <w:bCs/>
          <w:i/>
          <w:iCs/>
          <w:lang w:val="fr-FR"/>
        </w:rPr>
        <w:t>urgence contre le VIH/</w:t>
      </w:r>
      <w:r w:rsidR="00940485" w:rsidRPr="00F06017">
        <w:rPr>
          <w:bCs/>
          <w:i/>
          <w:iCs/>
          <w:lang w:val="fr-FR"/>
        </w:rPr>
        <w:t>SIDA</w:t>
      </w:r>
      <w:r w:rsidR="00E15507" w:rsidRPr="00F06017">
        <w:rPr>
          <w:bCs/>
          <w:i/>
          <w:iCs/>
          <w:lang w:val="fr-FR"/>
        </w:rPr>
        <w:t xml:space="preserve"> de 3 ans. Dans le cadre de ce plan d</w:t>
      </w:r>
      <w:r w:rsidR="000A3D87" w:rsidRPr="00F06017">
        <w:rPr>
          <w:bCs/>
          <w:i/>
          <w:iCs/>
          <w:lang w:val="fr-FR"/>
        </w:rPr>
        <w:t>’</w:t>
      </w:r>
      <w:r w:rsidR="00E15507" w:rsidRPr="00F06017">
        <w:rPr>
          <w:bCs/>
          <w:i/>
          <w:iCs/>
          <w:lang w:val="fr-FR"/>
        </w:rPr>
        <w:t>action, tel que défini dans la Stratégie 5.1, la création de services de santé spécialisés pour jeunes à travers le pays est envisagée (5.1.1.28) dans le but de réduire la transmission du VIH/</w:t>
      </w:r>
      <w:r w:rsidR="00940485" w:rsidRPr="00F06017">
        <w:rPr>
          <w:bCs/>
          <w:i/>
          <w:iCs/>
          <w:lang w:val="fr-FR"/>
        </w:rPr>
        <w:t>SIDA</w:t>
      </w:r>
      <w:r w:rsidR="00E15507" w:rsidRPr="00F06017">
        <w:rPr>
          <w:bCs/>
          <w:i/>
          <w:iCs/>
          <w:lang w:val="fr-FR"/>
        </w:rPr>
        <w:t xml:space="preserve"> chez les jeunes à risques élevés tant à l</w:t>
      </w:r>
      <w:r w:rsidR="000A3D87" w:rsidRPr="00F06017">
        <w:rPr>
          <w:bCs/>
          <w:i/>
          <w:iCs/>
          <w:lang w:val="fr-FR"/>
        </w:rPr>
        <w:t>’</w:t>
      </w:r>
      <w:r w:rsidR="00E15507" w:rsidRPr="00F06017">
        <w:rPr>
          <w:bCs/>
          <w:i/>
          <w:iCs/>
          <w:lang w:val="fr-FR"/>
        </w:rPr>
        <w:t>intérieur qu</w:t>
      </w:r>
      <w:r w:rsidR="000A3D87" w:rsidRPr="00F06017">
        <w:rPr>
          <w:bCs/>
          <w:i/>
          <w:iCs/>
          <w:lang w:val="fr-FR"/>
        </w:rPr>
        <w:t>’</w:t>
      </w:r>
      <w:r w:rsidR="00E15507" w:rsidRPr="00F06017">
        <w:rPr>
          <w:bCs/>
          <w:i/>
          <w:iCs/>
          <w:lang w:val="fr-FR"/>
        </w:rPr>
        <w:t>à l</w:t>
      </w:r>
      <w:r w:rsidR="000A3D87" w:rsidRPr="00F06017">
        <w:rPr>
          <w:bCs/>
          <w:i/>
          <w:iCs/>
          <w:lang w:val="fr-FR"/>
        </w:rPr>
        <w:t>’</w:t>
      </w:r>
      <w:r w:rsidR="00E15507" w:rsidRPr="00F06017">
        <w:rPr>
          <w:bCs/>
          <w:i/>
          <w:iCs/>
          <w:lang w:val="fr-FR"/>
        </w:rPr>
        <w:t>extérieur du système scolaire. Nombre d</w:t>
      </w:r>
      <w:r w:rsidR="000A3D87" w:rsidRPr="00F06017">
        <w:rPr>
          <w:bCs/>
          <w:i/>
          <w:iCs/>
          <w:lang w:val="fr-FR"/>
        </w:rPr>
        <w:t>’</w:t>
      </w:r>
      <w:r w:rsidR="00E15507" w:rsidRPr="00F06017">
        <w:rPr>
          <w:bCs/>
          <w:i/>
          <w:iCs/>
          <w:lang w:val="fr-FR"/>
        </w:rPr>
        <w:t>organisations locales travaillent pour améliorer la situation de la santé des adolescents dans le pays. Des structures faîtières comme la Nigerian Association for Promotion of Adolescent Health and Development (NAPHAD), le Nigeria Network of NGOs on Population and Reproductive Health (NINPREH) et la Civil Society for VIH\AIDS in Nigeria (CiSHAN) ont été créées pour coordonner les activités des organisations non gouvernementales (y compris les ONG intéressées par les problèmes des jeunes) sur la santé et l</w:t>
      </w:r>
      <w:r w:rsidR="000A3D87" w:rsidRPr="00F06017">
        <w:rPr>
          <w:bCs/>
          <w:i/>
          <w:iCs/>
          <w:lang w:val="fr-FR"/>
        </w:rPr>
        <w:t>’</w:t>
      </w:r>
      <w:r w:rsidR="00E15507" w:rsidRPr="00F06017">
        <w:rPr>
          <w:bCs/>
          <w:i/>
          <w:iCs/>
          <w:lang w:val="fr-FR"/>
        </w:rPr>
        <w:t>épanouissement des adolescents.</w:t>
      </w:r>
      <w:r w:rsidR="00E15507" w:rsidRPr="00F06017">
        <w:rPr>
          <w:lang w:val="fr-FR"/>
        </w:rPr>
        <w:t xml:space="preserve"> </w:t>
      </w:r>
    </w:p>
    <w:p w:rsidR="00E15507" w:rsidRPr="005D6CD4" w:rsidRDefault="00F06017" w:rsidP="00AC2642">
      <w:pPr>
        <w:pStyle w:val="SingleTxt"/>
        <w:rPr>
          <w:lang w:val="fr-FR"/>
        </w:rPr>
      </w:pPr>
      <w:r>
        <w:rPr>
          <w:lang w:val="ru-RU"/>
        </w:rPr>
        <w:tab/>
      </w:r>
      <w:r w:rsidR="00E15507" w:rsidRPr="005D6CD4">
        <w:rPr>
          <w:lang w:val="fr-FR"/>
        </w:rPr>
        <w:t xml:space="preserve">Les ONG actives dans le domaine de la </w:t>
      </w:r>
      <w:r w:rsidR="00E15507">
        <w:rPr>
          <w:lang w:val="fr-FR"/>
        </w:rPr>
        <w:t>santé en matière de reproduction</w:t>
      </w:r>
      <w:r w:rsidR="00E15507" w:rsidRPr="005D6CD4">
        <w:rPr>
          <w:lang w:val="fr-FR"/>
        </w:rPr>
        <w:t xml:space="preserve"> des adolescent</w:t>
      </w:r>
      <w:r w:rsidR="00E15507">
        <w:rPr>
          <w:lang w:val="fr-FR"/>
        </w:rPr>
        <w:t>e</w:t>
      </w:r>
      <w:r w:rsidR="00E15507" w:rsidRPr="005D6CD4">
        <w:rPr>
          <w:lang w:val="fr-FR"/>
        </w:rPr>
        <w:t xml:space="preserve">s sont les suivantes : </w:t>
      </w:r>
      <w:r w:rsidR="00E15507" w:rsidRPr="005D6CD4">
        <w:rPr>
          <w:i/>
          <w:lang w:val="fr-FR"/>
        </w:rPr>
        <w:t>Action Health Incorporated</w:t>
      </w:r>
      <w:r w:rsidR="00E15507" w:rsidRPr="005D6CD4">
        <w:rPr>
          <w:lang w:val="fr-FR"/>
        </w:rPr>
        <w:t xml:space="preserve"> </w:t>
      </w:r>
      <w:r w:rsidR="00E15507" w:rsidRPr="005D6CD4">
        <w:rPr>
          <w:i/>
          <w:lang w:val="fr-FR"/>
        </w:rPr>
        <w:t>(AHI),</w:t>
      </w:r>
      <w:r w:rsidR="00E15507" w:rsidRPr="005D6CD4">
        <w:rPr>
          <w:lang w:val="fr-FR"/>
        </w:rPr>
        <w:t xml:space="preserve"> </w:t>
      </w:r>
      <w:r w:rsidR="00E15507" w:rsidRPr="005D6CD4">
        <w:rPr>
          <w:i/>
          <w:lang w:val="fr-FR"/>
        </w:rPr>
        <w:t>Girls</w:t>
      </w:r>
      <w:r w:rsidR="000A3D87">
        <w:rPr>
          <w:i/>
          <w:lang w:val="fr-FR"/>
        </w:rPr>
        <w:t>’</w:t>
      </w:r>
      <w:r w:rsidR="00E15507" w:rsidRPr="005D6CD4">
        <w:rPr>
          <w:i/>
          <w:lang w:val="fr-FR"/>
        </w:rPr>
        <w:t xml:space="preserve"> Power Initiative</w:t>
      </w:r>
      <w:r w:rsidR="00E15507" w:rsidRPr="005D6CD4">
        <w:rPr>
          <w:lang w:val="fr-FR"/>
        </w:rPr>
        <w:t xml:space="preserve"> </w:t>
      </w:r>
      <w:r w:rsidR="00E15507" w:rsidRPr="005D6CD4">
        <w:rPr>
          <w:i/>
          <w:lang w:val="fr-FR"/>
        </w:rPr>
        <w:t>(GPI),</w:t>
      </w:r>
      <w:r w:rsidR="00E15507" w:rsidRPr="005D6CD4">
        <w:rPr>
          <w:lang w:val="fr-FR"/>
        </w:rPr>
        <w:t xml:space="preserve"> </w:t>
      </w:r>
      <w:r w:rsidR="00E15507" w:rsidRPr="005D6CD4">
        <w:rPr>
          <w:i/>
          <w:lang w:val="fr-FR"/>
        </w:rPr>
        <w:t>Adolescent Health Information Projects</w:t>
      </w:r>
      <w:r w:rsidR="00E15507" w:rsidRPr="005D6CD4">
        <w:rPr>
          <w:lang w:val="fr-FR"/>
        </w:rPr>
        <w:t xml:space="preserve"> (AHIP), etc. </w:t>
      </w:r>
    </w:p>
    <w:p w:rsidR="00E15507" w:rsidRPr="005D6CD4" w:rsidRDefault="00E15507" w:rsidP="009546E1">
      <w:pPr>
        <w:pStyle w:val="SingleTxt"/>
        <w:numPr>
          <w:ilvl w:val="0"/>
          <w:numId w:val="33"/>
        </w:numPr>
        <w:tabs>
          <w:tab w:val="clear" w:pos="1987"/>
        </w:tabs>
        <w:ind w:left="1710" w:hanging="450"/>
        <w:rPr>
          <w:lang w:val="fr-FR"/>
        </w:rPr>
      </w:pPr>
      <w:r w:rsidRPr="005D6CD4">
        <w:rPr>
          <w:i/>
          <w:lang w:val="fr-FR"/>
        </w:rPr>
        <w:t xml:space="preserve">AHI </w:t>
      </w:r>
      <w:r w:rsidRPr="005D6CD4">
        <w:rPr>
          <w:lang w:val="fr-FR"/>
        </w:rPr>
        <w:t>travaille pour l</w:t>
      </w:r>
      <w:r w:rsidR="000A3D87">
        <w:rPr>
          <w:lang w:val="fr-FR"/>
        </w:rPr>
        <w:t>’</w:t>
      </w:r>
      <w:r w:rsidRPr="005D6CD4">
        <w:rPr>
          <w:lang w:val="fr-FR"/>
        </w:rPr>
        <w:t>amélioration</w:t>
      </w:r>
      <w:r>
        <w:rPr>
          <w:lang w:val="fr-FR"/>
        </w:rPr>
        <w:t xml:space="preserve"> </w:t>
      </w:r>
      <w:r w:rsidRPr="005D6CD4">
        <w:rPr>
          <w:lang w:val="fr-FR"/>
        </w:rPr>
        <w:t>de la santé et du bien-être de</w:t>
      </w:r>
      <w:r>
        <w:rPr>
          <w:lang w:val="fr-FR"/>
        </w:rPr>
        <w:t xml:space="preserve">s </w:t>
      </w:r>
      <w:r w:rsidRPr="005D6CD4">
        <w:rPr>
          <w:lang w:val="fr-FR"/>
        </w:rPr>
        <w:t>adolescent</w:t>
      </w:r>
      <w:r>
        <w:rPr>
          <w:lang w:val="fr-FR"/>
        </w:rPr>
        <w:t>s</w:t>
      </w:r>
      <w:r w:rsidRPr="005D6CD4">
        <w:rPr>
          <w:lang w:val="fr-FR"/>
        </w:rPr>
        <w:t>. Parmi les réalisations de cette organisation, il y a la création d</w:t>
      </w:r>
      <w:r w:rsidR="000A3D87">
        <w:rPr>
          <w:lang w:val="fr-FR"/>
        </w:rPr>
        <w:t>’</w:t>
      </w:r>
      <w:r w:rsidRPr="005D6CD4">
        <w:rPr>
          <w:lang w:val="fr-FR"/>
        </w:rPr>
        <w:t>un centre de jeunesse qui met chaque mois à la disposition de plus de</w:t>
      </w:r>
      <w:r>
        <w:rPr>
          <w:lang w:val="fr-FR"/>
        </w:rPr>
        <w:t xml:space="preserve"> </w:t>
      </w:r>
      <w:r w:rsidRPr="005D6CD4">
        <w:rPr>
          <w:lang w:val="fr-FR"/>
        </w:rPr>
        <w:t>1</w:t>
      </w:r>
      <w:r>
        <w:rPr>
          <w:lang w:val="fr-FR"/>
        </w:rPr>
        <w:t> </w:t>
      </w:r>
      <w:r w:rsidRPr="005D6CD4">
        <w:rPr>
          <w:lang w:val="fr-FR"/>
        </w:rPr>
        <w:t>000 jeunes des</w:t>
      </w:r>
      <w:r>
        <w:rPr>
          <w:lang w:val="fr-FR"/>
        </w:rPr>
        <w:t xml:space="preserve"> </w:t>
      </w:r>
      <w:r w:rsidRPr="005D6CD4">
        <w:rPr>
          <w:lang w:val="fr-FR"/>
        </w:rPr>
        <w:t xml:space="preserve">informations correspondant à leur âge. </w:t>
      </w:r>
    </w:p>
    <w:p w:rsidR="00E15507" w:rsidRPr="005D6CD4" w:rsidRDefault="00E15507" w:rsidP="009546E1">
      <w:pPr>
        <w:pStyle w:val="SingleTxt"/>
        <w:numPr>
          <w:ilvl w:val="0"/>
          <w:numId w:val="33"/>
        </w:numPr>
        <w:tabs>
          <w:tab w:val="clear" w:pos="1987"/>
        </w:tabs>
        <w:ind w:left="1710" w:hanging="450"/>
        <w:rPr>
          <w:lang w:val="fr-FR"/>
        </w:rPr>
      </w:pPr>
      <w:r w:rsidRPr="005D6CD4">
        <w:rPr>
          <w:lang w:val="fr-FR"/>
        </w:rPr>
        <w:t>Le centre gère un</w:t>
      </w:r>
      <w:r>
        <w:rPr>
          <w:lang w:val="fr-FR"/>
        </w:rPr>
        <w:t xml:space="preserve"> c</w:t>
      </w:r>
      <w:r w:rsidRPr="005D6CD4">
        <w:rPr>
          <w:lang w:val="fr-FR"/>
        </w:rPr>
        <w:t>e</w:t>
      </w:r>
      <w:r>
        <w:rPr>
          <w:lang w:val="fr-FR"/>
        </w:rPr>
        <w:t>ntre de santé</w:t>
      </w:r>
      <w:r w:rsidRPr="005D6CD4">
        <w:rPr>
          <w:lang w:val="fr-FR"/>
        </w:rPr>
        <w:t xml:space="preserve"> pour adolescents qui fournit chaque année des services de </w:t>
      </w:r>
      <w:r>
        <w:rPr>
          <w:lang w:val="fr-FR"/>
        </w:rPr>
        <w:t>santé en matière de reproduction</w:t>
      </w:r>
      <w:r w:rsidRPr="005D6CD4">
        <w:rPr>
          <w:lang w:val="fr-FR"/>
        </w:rPr>
        <w:t xml:space="preserve"> et sexuelle à plus de</w:t>
      </w:r>
      <w:r>
        <w:rPr>
          <w:lang w:val="fr-FR"/>
        </w:rPr>
        <w:t xml:space="preserve"> </w:t>
      </w:r>
      <w:r w:rsidRPr="005D6CD4">
        <w:rPr>
          <w:lang w:val="fr-FR"/>
        </w:rPr>
        <w:t>3</w:t>
      </w:r>
      <w:r>
        <w:rPr>
          <w:lang w:val="fr-FR"/>
        </w:rPr>
        <w:t> </w:t>
      </w:r>
      <w:r w:rsidRPr="005D6CD4">
        <w:rPr>
          <w:lang w:val="fr-FR"/>
        </w:rPr>
        <w:t>000 jeunes.</w:t>
      </w:r>
    </w:p>
    <w:p w:rsidR="00E15507" w:rsidRPr="005D6CD4" w:rsidRDefault="00E15507" w:rsidP="009546E1">
      <w:pPr>
        <w:pStyle w:val="SingleTxt"/>
        <w:numPr>
          <w:ilvl w:val="0"/>
          <w:numId w:val="33"/>
        </w:numPr>
        <w:tabs>
          <w:tab w:val="clear" w:pos="1987"/>
        </w:tabs>
        <w:ind w:left="1710" w:hanging="450"/>
        <w:rPr>
          <w:lang w:val="fr-FR"/>
        </w:rPr>
      </w:pPr>
      <w:r w:rsidRPr="001D22E9">
        <w:rPr>
          <w:i/>
          <w:lang w:val="fr-FR"/>
        </w:rPr>
        <w:t>AHI</w:t>
      </w:r>
      <w:r w:rsidRPr="005D6CD4">
        <w:rPr>
          <w:lang w:val="fr-FR"/>
        </w:rPr>
        <w:t xml:space="preserve"> a facilité la création des services de santé pour jeunes dans les </w:t>
      </w:r>
      <w:r w:rsidRPr="005D6CD4">
        <w:rPr>
          <w:rFonts w:ascii="TimesNewRoman" w:hAnsi="TimesNewRoman" w:cs="TimesNewRoman"/>
          <w:lang w:val="fr-FR"/>
        </w:rPr>
        <w:t>É</w:t>
      </w:r>
      <w:r w:rsidRPr="005D6CD4">
        <w:rPr>
          <w:lang w:val="fr-FR"/>
        </w:rPr>
        <w:t>tats tels que Lagos, Akwa Ibom, B</w:t>
      </w:r>
      <w:r>
        <w:rPr>
          <w:lang w:val="fr-FR"/>
        </w:rPr>
        <w:t>é</w:t>
      </w:r>
      <w:r w:rsidRPr="005D6CD4">
        <w:rPr>
          <w:lang w:val="fr-FR"/>
        </w:rPr>
        <w:t>n</w:t>
      </w:r>
      <w:r>
        <w:rPr>
          <w:lang w:val="fr-FR"/>
        </w:rPr>
        <w:t>o</w:t>
      </w:r>
      <w:r w:rsidRPr="005D6CD4">
        <w:rPr>
          <w:lang w:val="fr-FR"/>
        </w:rPr>
        <w:t>u</w:t>
      </w:r>
      <w:r>
        <w:rPr>
          <w:lang w:val="fr-FR"/>
        </w:rPr>
        <w:t>é</w:t>
      </w:r>
      <w:r w:rsidRPr="005D6CD4">
        <w:rPr>
          <w:lang w:val="fr-FR"/>
        </w:rPr>
        <w:t>, Ebonyi, Bauchi, Borno, Kaduna et Nasarawa. Le projet</w:t>
      </w:r>
      <w:r>
        <w:rPr>
          <w:lang w:val="fr-FR"/>
        </w:rPr>
        <w:t>,</w:t>
      </w:r>
      <w:r w:rsidRPr="005D6CD4">
        <w:rPr>
          <w:lang w:val="fr-FR"/>
        </w:rPr>
        <w:t xml:space="preserve"> actuellement mis en œuvre dans les</w:t>
      </w:r>
      <w:r w:rsidRPr="005D6CD4">
        <w:rPr>
          <w:rFonts w:ascii="TimesNewRoman" w:hAnsi="TimesNewRoman" w:cs="TimesNewRoman"/>
          <w:lang w:val="fr-FR"/>
        </w:rPr>
        <w:t xml:space="preserve"> É</w:t>
      </w:r>
      <w:r w:rsidRPr="005D6CD4">
        <w:rPr>
          <w:lang w:val="fr-FR"/>
        </w:rPr>
        <w:t>tats de Bauchi, Borno, Kaduna et Nasarawa, avec l</w:t>
      </w:r>
      <w:r w:rsidR="000A3D87">
        <w:rPr>
          <w:lang w:val="fr-FR"/>
        </w:rPr>
        <w:t>’</w:t>
      </w:r>
      <w:r w:rsidRPr="005D6CD4">
        <w:rPr>
          <w:lang w:val="fr-FR"/>
        </w:rPr>
        <w:t>appui de</w:t>
      </w:r>
      <w:r>
        <w:rPr>
          <w:lang w:val="fr-FR"/>
        </w:rPr>
        <w:t xml:space="preserve"> la Fondation </w:t>
      </w:r>
      <w:r w:rsidRPr="00D042A5">
        <w:rPr>
          <w:lang w:val="fr-FR"/>
        </w:rPr>
        <w:t>Packard</w:t>
      </w:r>
      <w:r w:rsidRPr="005D6CD4">
        <w:rPr>
          <w:i/>
          <w:lang w:val="fr-FR"/>
        </w:rPr>
        <w:t>,</w:t>
      </w:r>
      <w:r>
        <w:rPr>
          <w:i/>
          <w:lang w:val="fr-FR"/>
        </w:rPr>
        <w:t xml:space="preserve"> </w:t>
      </w:r>
      <w:r w:rsidRPr="005D6CD4">
        <w:rPr>
          <w:lang w:val="fr-FR"/>
        </w:rPr>
        <w:t>a permis de fournir (de 2001 à ce jour) à plus de 70</w:t>
      </w:r>
      <w:r>
        <w:rPr>
          <w:lang w:val="fr-FR"/>
        </w:rPr>
        <w:t> </w:t>
      </w:r>
      <w:r w:rsidRPr="005D6CD4">
        <w:rPr>
          <w:lang w:val="fr-FR"/>
        </w:rPr>
        <w:t xml:space="preserve">000 jeunes des informations et des soins de </w:t>
      </w:r>
      <w:r>
        <w:rPr>
          <w:lang w:val="fr-FR"/>
        </w:rPr>
        <w:t>santé en matière de reproduction</w:t>
      </w:r>
      <w:r w:rsidRPr="005D6CD4">
        <w:rPr>
          <w:lang w:val="fr-FR"/>
        </w:rPr>
        <w:t xml:space="preserve"> et sexuelle adaptées, par le biais d</w:t>
      </w:r>
      <w:r w:rsidR="000A3D87">
        <w:rPr>
          <w:lang w:val="fr-FR"/>
        </w:rPr>
        <w:t>’</w:t>
      </w:r>
      <w:r w:rsidRPr="005D6CD4">
        <w:rPr>
          <w:lang w:val="fr-FR"/>
        </w:rPr>
        <w:t>actions de 7</w:t>
      </w:r>
      <w:r w:rsidR="00F06017">
        <w:rPr>
          <w:lang w:val="ru-RU"/>
        </w:rPr>
        <w:t> </w:t>
      </w:r>
      <w:r w:rsidRPr="005D6CD4">
        <w:rPr>
          <w:lang w:val="fr-FR"/>
        </w:rPr>
        <w:t>ONG, 7 hôpitaux publi</w:t>
      </w:r>
      <w:r>
        <w:rPr>
          <w:lang w:val="fr-FR"/>
        </w:rPr>
        <w:t>c</w:t>
      </w:r>
      <w:r w:rsidRPr="005D6CD4">
        <w:rPr>
          <w:lang w:val="fr-FR"/>
        </w:rPr>
        <w:t>s et 1 programme scolaire d</w:t>
      </w:r>
      <w:r w:rsidR="000A3D87">
        <w:rPr>
          <w:lang w:val="fr-FR"/>
        </w:rPr>
        <w:t>’</w:t>
      </w:r>
      <w:r w:rsidRPr="005D6CD4">
        <w:rPr>
          <w:lang w:val="fr-FR"/>
        </w:rPr>
        <w:t>éducation par les pairs.</w:t>
      </w:r>
    </w:p>
    <w:p w:rsidR="00E15507" w:rsidRPr="005D6CD4" w:rsidRDefault="00E15507" w:rsidP="009546E1">
      <w:pPr>
        <w:pStyle w:val="SingleTxt"/>
        <w:numPr>
          <w:ilvl w:val="0"/>
          <w:numId w:val="33"/>
        </w:numPr>
        <w:tabs>
          <w:tab w:val="clear" w:pos="1987"/>
        </w:tabs>
        <w:ind w:left="1710" w:hanging="450"/>
        <w:rPr>
          <w:lang w:val="fr-FR"/>
        </w:rPr>
      </w:pPr>
      <w:r w:rsidRPr="005D6CD4">
        <w:rPr>
          <w:lang w:val="fr-FR"/>
        </w:rPr>
        <w:t>Le centre a formé des</w:t>
      </w:r>
      <w:r>
        <w:rPr>
          <w:lang w:val="fr-FR"/>
        </w:rPr>
        <w:t xml:space="preserve"> </w:t>
      </w:r>
      <w:r w:rsidRPr="005D6CD4">
        <w:rPr>
          <w:lang w:val="fr-FR"/>
        </w:rPr>
        <w:t>instructeurs principaux et des enseignants sur la mise en œuvre du programme</w:t>
      </w:r>
      <w:r>
        <w:rPr>
          <w:lang w:val="fr-FR"/>
        </w:rPr>
        <w:t xml:space="preserve"> national sur la vie familiale et la sensibilisation au VIH/</w:t>
      </w:r>
      <w:r w:rsidR="00940485">
        <w:rPr>
          <w:lang w:val="fr-FR"/>
        </w:rPr>
        <w:t>SIDA</w:t>
      </w:r>
      <w:r>
        <w:rPr>
          <w:lang w:val="fr-FR"/>
        </w:rPr>
        <w:t xml:space="preserve"> </w:t>
      </w:r>
      <w:r w:rsidRPr="005D6CD4">
        <w:rPr>
          <w:lang w:val="fr-FR"/>
        </w:rPr>
        <w:t>de la manière suivante :</w:t>
      </w:r>
    </w:p>
    <w:p w:rsidR="00E15507" w:rsidRPr="005D6CD4" w:rsidRDefault="00E15507" w:rsidP="009546E1">
      <w:pPr>
        <w:pStyle w:val="SingleTxt"/>
        <w:numPr>
          <w:ilvl w:val="1"/>
          <w:numId w:val="33"/>
        </w:numPr>
        <w:tabs>
          <w:tab w:val="clear" w:pos="2707"/>
        </w:tabs>
        <w:ind w:left="2250" w:hanging="540"/>
        <w:rPr>
          <w:lang w:val="fr-FR"/>
        </w:rPr>
      </w:pPr>
      <w:r w:rsidRPr="005D6CD4">
        <w:rPr>
          <w:lang w:val="fr-FR"/>
        </w:rPr>
        <w:t>45 instructeurs principaux nationaux</w:t>
      </w:r>
      <w:r>
        <w:rPr>
          <w:lang w:val="fr-FR"/>
        </w:rPr>
        <w:t xml:space="preserve"> </w:t>
      </w:r>
      <w:r w:rsidRPr="005D6CD4">
        <w:rPr>
          <w:lang w:val="fr-FR"/>
        </w:rPr>
        <w:t xml:space="preserve">pour le compte du </w:t>
      </w:r>
      <w:r>
        <w:rPr>
          <w:lang w:val="fr-FR"/>
        </w:rPr>
        <w:t>ministère</w:t>
      </w:r>
      <w:r w:rsidRPr="005D6CD4">
        <w:rPr>
          <w:lang w:val="fr-FR"/>
        </w:rPr>
        <w:t xml:space="preserve"> fédéral de l</w:t>
      </w:r>
      <w:r w:rsidR="000A3D87">
        <w:rPr>
          <w:lang w:val="fr-FR"/>
        </w:rPr>
        <w:t>’</w:t>
      </w:r>
      <w:r>
        <w:rPr>
          <w:lang w:val="fr-FR"/>
        </w:rPr>
        <w:t>É</w:t>
      </w:r>
      <w:r w:rsidRPr="005D6CD4">
        <w:rPr>
          <w:lang w:val="fr-FR"/>
        </w:rPr>
        <w:t>ducation</w:t>
      </w:r>
      <w:r w:rsidR="00D17E6C">
        <w:rPr>
          <w:lang w:val="fr-FR"/>
        </w:rPr>
        <w:t>;</w:t>
      </w:r>
    </w:p>
    <w:p w:rsidR="00E15507" w:rsidRPr="005D6CD4" w:rsidRDefault="00E15507" w:rsidP="009546E1">
      <w:pPr>
        <w:pStyle w:val="SingleTxt"/>
        <w:numPr>
          <w:ilvl w:val="1"/>
          <w:numId w:val="33"/>
        </w:numPr>
        <w:tabs>
          <w:tab w:val="clear" w:pos="2707"/>
        </w:tabs>
        <w:ind w:left="2250" w:hanging="540"/>
        <w:rPr>
          <w:lang w:val="fr-FR"/>
        </w:rPr>
      </w:pPr>
      <w:r w:rsidRPr="005D6CD4">
        <w:rPr>
          <w:lang w:val="fr-FR"/>
        </w:rPr>
        <w:t xml:space="preserve">40 enseignants des établissements publics fédéraux pour le compte du </w:t>
      </w:r>
      <w:r>
        <w:rPr>
          <w:lang w:val="fr-FR"/>
        </w:rPr>
        <w:t>ministère</w:t>
      </w:r>
      <w:r w:rsidRPr="005D6CD4">
        <w:rPr>
          <w:lang w:val="fr-FR"/>
        </w:rPr>
        <w:t xml:space="preserve"> fédéral de l</w:t>
      </w:r>
      <w:r w:rsidR="000A3D87">
        <w:rPr>
          <w:lang w:val="fr-FR"/>
        </w:rPr>
        <w:t>’</w:t>
      </w:r>
      <w:r>
        <w:rPr>
          <w:lang w:val="fr-FR"/>
        </w:rPr>
        <w:t>É</w:t>
      </w:r>
      <w:r w:rsidRPr="005D6CD4">
        <w:rPr>
          <w:lang w:val="fr-FR"/>
        </w:rPr>
        <w:t>ducation</w:t>
      </w:r>
      <w:r w:rsidR="00D17E6C">
        <w:rPr>
          <w:lang w:val="fr-FR"/>
        </w:rPr>
        <w:t>;</w:t>
      </w:r>
    </w:p>
    <w:p w:rsidR="00E15507" w:rsidRPr="005D6CD4" w:rsidRDefault="00E15507" w:rsidP="009546E1">
      <w:pPr>
        <w:pStyle w:val="SingleTxt"/>
        <w:numPr>
          <w:ilvl w:val="1"/>
          <w:numId w:val="33"/>
        </w:numPr>
        <w:tabs>
          <w:tab w:val="clear" w:pos="2707"/>
        </w:tabs>
        <w:ind w:left="2250" w:hanging="540"/>
        <w:rPr>
          <w:lang w:val="fr-FR"/>
        </w:rPr>
      </w:pPr>
      <w:r w:rsidRPr="005D6CD4">
        <w:rPr>
          <w:lang w:val="fr-FR"/>
        </w:rPr>
        <w:t>34</w:t>
      </w:r>
      <w:r>
        <w:rPr>
          <w:lang w:val="fr-FR"/>
        </w:rPr>
        <w:t xml:space="preserve"> </w:t>
      </w:r>
      <w:r w:rsidRPr="005D6CD4">
        <w:rPr>
          <w:lang w:val="fr-FR"/>
        </w:rPr>
        <w:t>agents de zone VIH/</w:t>
      </w:r>
      <w:r w:rsidR="00940485">
        <w:rPr>
          <w:lang w:val="fr-FR"/>
        </w:rPr>
        <w:t>SIDA</w:t>
      </w:r>
      <w:r w:rsidRPr="005D6CD4">
        <w:rPr>
          <w:lang w:val="fr-FR"/>
        </w:rPr>
        <w:t xml:space="preserve"> de 16 </w:t>
      </w:r>
      <w:r>
        <w:rPr>
          <w:lang w:val="fr-FR"/>
        </w:rPr>
        <w:t>É</w:t>
      </w:r>
      <w:r w:rsidRPr="005D6CD4">
        <w:rPr>
          <w:lang w:val="fr-FR"/>
        </w:rPr>
        <w:t>tats</w:t>
      </w:r>
      <w:r>
        <w:rPr>
          <w:lang w:val="fr-FR"/>
        </w:rPr>
        <w:t xml:space="preserve"> </w:t>
      </w:r>
      <w:r w:rsidRPr="005D6CD4">
        <w:rPr>
          <w:lang w:val="fr-FR"/>
        </w:rPr>
        <w:t xml:space="preserve">pour le compte de </w:t>
      </w:r>
      <w:r w:rsidRPr="007E4620">
        <w:rPr>
          <w:lang w:val="fr-FR"/>
        </w:rPr>
        <w:t>Capacity for Universal Basic Education (CUBE)/British Council)</w:t>
      </w:r>
      <w:r w:rsidR="00D17E6C">
        <w:rPr>
          <w:lang w:val="fr-FR"/>
        </w:rPr>
        <w:t>;</w:t>
      </w:r>
    </w:p>
    <w:p w:rsidR="00E15507" w:rsidRPr="005D6CD4" w:rsidRDefault="00E15507" w:rsidP="009546E1">
      <w:pPr>
        <w:pStyle w:val="SingleTxt"/>
        <w:numPr>
          <w:ilvl w:val="1"/>
          <w:numId w:val="33"/>
        </w:numPr>
        <w:tabs>
          <w:tab w:val="clear" w:pos="2707"/>
        </w:tabs>
        <w:ind w:left="2250" w:hanging="540"/>
        <w:rPr>
          <w:lang w:val="fr-FR"/>
        </w:rPr>
      </w:pPr>
      <w:r w:rsidRPr="005D6CD4">
        <w:rPr>
          <w:lang w:val="fr-FR"/>
        </w:rPr>
        <w:t>137 instructeurs principaux de 15</w:t>
      </w:r>
      <w:r w:rsidRPr="005D6CD4">
        <w:rPr>
          <w:rFonts w:ascii="TimesNewRoman" w:hAnsi="TimesNewRoman" w:cs="TimesNewRoman"/>
          <w:lang w:val="fr-FR"/>
        </w:rPr>
        <w:t xml:space="preserve"> É</w:t>
      </w:r>
      <w:r w:rsidRPr="005D6CD4">
        <w:rPr>
          <w:lang w:val="fr-FR"/>
        </w:rPr>
        <w:t>tats</w:t>
      </w:r>
      <w:r>
        <w:rPr>
          <w:lang w:val="fr-FR"/>
        </w:rPr>
        <w:t xml:space="preserve"> </w:t>
      </w:r>
      <w:r w:rsidRPr="005D6CD4">
        <w:rPr>
          <w:lang w:val="fr-FR"/>
        </w:rPr>
        <w:t xml:space="preserve"> pour le compte du Fonds des Nations Unies pour la population</w:t>
      </w:r>
      <w:r w:rsidR="00D17E6C">
        <w:rPr>
          <w:lang w:val="fr-FR"/>
        </w:rPr>
        <w:t>;</w:t>
      </w:r>
    </w:p>
    <w:p w:rsidR="00E15507" w:rsidRPr="005D6CD4" w:rsidRDefault="00E15507" w:rsidP="009546E1">
      <w:pPr>
        <w:pStyle w:val="SingleTxt"/>
        <w:numPr>
          <w:ilvl w:val="1"/>
          <w:numId w:val="33"/>
        </w:numPr>
        <w:tabs>
          <w:tab w:val="clear" w:pos="2707"/>
        </w:tabs>
        <w:ind w:left="2250" w:hanging="540"/>
        <w:rPr>
          <w:lang w:val="fr-FR"/>
        </w:rPr>
      </w:pPr>
      <w:r w:rsidRPr="005D6CD4">
        <w:rPr>
          <w:lang w:val="fr-FR"/>
        </w:rPr>
        <w:t>1</w:t>
      </w:r>
      <w:r>
        <w:rPr>
          <w:lang w:val="fr-FR"/>
        </w:rPr>
        <w:t> </w:t>
      </w:r>
      <w:r w:rsidRPr="005D6CD4">
        <w:rPr>
          <w:lang w:val="fr-FR"/>
        </w:rPr>
        <w:t>400 (90</w:t>
      </w:r>
      <w:r>
        <w:rPr>
          <w:lang w:val="fr-FR"/>
        </w:rPr>
        <w:t> </w:t>
      </w:r>
      <w:r w:rsidRPr="005D6CD4">
        <w:rPr>
          <w:lang w:val="fr-FR"/>
        </w:rPr>
        <w:t>%) enseignants sujets porteurs dans l</w:t>
      </w:r>
      <w:r w:rsidR="000A3D87">
        <w:rPr>
          <w:lang w:val="fr-FR"/>
        </w:rPr>
        <w:t>’</w:t>
      </w:r>
      <w:r w:rsidRPr="005D6CD4">
        <w:rPr>
          <w:rFonts w:ascii="TimesNewRoman" w:hAnsi="TimesNewRoman" w:cs="TimesNewRoman"/>
          <w:lang w:val="fr-FR"/>
        </w:rPr>
        <w:t>É</w:t>
      </w:r>
      <w:r w:rsidRPr="005D6CD4">
        <w:rPr>
          <w:lang w:val="fr-FR"/>
        </w:rPr>
        <w:t xml:space="preserve">tat de Lagos pour le compte du </w:t>
      </w:r>
      <w:r>
        <w:rPr>
          <w:lang w:val="fr-FR"/>
        </w:rPr>
        <w:t>ministère</w:t>
      </w:r>
      <w:r w:rsidRPr="005D6CD4">
        <w:rPr>
          <w:lang w:val="fr-FR"/>
        </w:rPr>
        <w:t xml:space="preserve"> de l</w:t>
      </w:r>
      <w:r w:rsidR="000A3D87">
        <w:rPr>
          <w:lang w:val="fr-FR"/>
        </w:rPr>
        <w:t>’</w:t>
      </w:r>
      <w:r>
        <w:rPr>
          <w:lang w:val="fr-FR"/>
        </w:rPr>
        <w:t>É</w:t>
      </w:r>
      <w:r w:rsidRPr="005D6CD4">
        <w:rPr>
          <w:lang w:val="fr-FR"/>
        </w:rPr>
        <w:t>ducation et plus de 60 gestionnaires de programme des ONG, agents de jeunesse et agents de santé dans divers aspects des services et programmes de santé pour jeunes.</w:t>
      </w:r>
    </w:p>
    <w:p w:rsidR="00E15507" w:rsidRPr="005D6CD4" w:rsidRDefault="00E15507" w:rsidP="009546E1">
      <w:pPr>
        <w:pStyle w:val="SingleTxt"/>
        <w:numPr>
          <w:ilvl w:val="2"/>
          <w:numId w:val="33"/>
        </w:numPr>
        <w:tabs>
          <w:tab w:val="clear" w:pos="3427"/>
        </w:tabs>
        <w:ind w:left="1710" w:hanging="450"/>
        <w:rPr>
          <w:lang w:val="fr-FR"/>
        </w:rPr>
      </w:pPr>
      <w:r w:rsidRPr="005D6CD4">
        <w:rPr>
          <w:i/>
          <w:lang w:val="fr-FR"/>
        </w:rPr>
        <w:t>AHIP</w:t>
      </w:r>
      <w:r w:rsidRPr="005D6CD4">
        <w:rPr>
          <w:lang w:val="fr-FR"/>
        </w:rPr>
        <w:t xml:space="preserve"> met en œuvre divers programmes destinés à améliorer la santé</w:t>
      </w:r>
      <w:r>
        <w:rPr>
          <w:lang w:val="fr-FR"/>
        </w:rPr>
        <w:t xml:space="preserve"> </w:t>
      </w:r>
      <w:r w:rsidRPr="005D6CD4">
        <w:rPr>
          <w:lang w:val="fr-FR"/>
        </w:rPr>
        <w:t>et l</w:t>
      </w:r>
      <w:r w:rsidR="000A3D87">
        <w:rPr>
          <w:lang w:val="fr-FR"/>
        </w:rPr>
        <w:t>’</w:t>
      </w:r>
      <w:r w:rsidRPr="005D6CD4">
        <w:rPr>
          <w:lang w:val="fr-FR"/>
        </w:rPr>
        <w:t>épanouissement des adolescents tels que le programme d</w:t>
      </w:r>
      <w:r w:rsidR="000A3D87">
        <w:rPr>
          <w:lang w:val="fr-FR"/>
        </w:rPr>
        <w:t>’</w:t>
      </w:r>
      <w:r w:rsidRPr="005D6CD4">
        <w:rPr>
          <w:lang w:val="fr-FR"/>
        </w:rPr>
        <w:t xml:space="preserve">activités sportives entre les pairs connus sous le nom de </w:t>
      </w:r>
      <w:r w:rsidRPr="005D6CD4">
        <w:rPr>
          <w:i/>
          <w:lang w:val="fr-FR"/>
        </w:rPr>
        <w:t>edutainment</w:t>
      </w:r>
      <w:r w:rsidRPr="005D6CD4">
        <w:rPr>
          <w:lang w:val="fr-FR"/>
        </w:rPr>
        <w:t xml:space="preserve"> à Kano. Le centre travaille actuellement avec les autorités publiques de l</w:t>
      </w:r>
      <w:r w:rsidR="000A3D87">
        <w:rPr>
          <w:lang w:val="fr-FR"/>
        </w:rPr>
        <w:t>’</w:t>
      </w:r>
      <w:r w:rsidRPr="005D6CD4">
        <w:rPr>
          <w:rFonts w:ascii="TimesNewRoman" w:hAnsi="TimesNewRoman"/>
          <w:lang w:val="fr-FR"/>
        </w:rPr>
        <w:t>É</w:t>
      </w:r>
      <w:r w:rsidRPr="005D6CD4">
        <w:rPr>
          <w:lang w:val="fr-FR"/>
        </w:rPr>
        <w:t>tat de Kano pour adapter le programme</w:t>
      </w:r>
      <w:r>
        <w:rPr>
          <w:lang w:val="fr-FR"/>
        </w:rPr>
        <w:t xml:space="preserve"> national sur la vie familiale et la sensibilisation au VIH/</w:t>
      </w:r>
      <w:r w:rsidR="00940485">
        <w:rPr>
          <w:lang w:val="fr-FR"/>
        </w:rPr>
        <w:t>SIDA</w:t>
      </w:r>
      <w:r>
        <w:rPr>
          <w:lang w:val="fr-FR"/>
        </w:rPr>
        <w:t xml:space="preserve"> </w:t>
      </w:r>
      <w:r w:rsidRPr="005D6CD4">
        <w:rPr>
          <w:lang w:val="fr-FR"/>
        </w:rPr>
        <w:t>aux réalités locales.</w:t>
      </w:r>
    </w:p>
    <w:p w:rsidR="00E15507" w:rsidRPr="005D6CD4" w:rsidRDefault="00E15507" w:rsidP="009546E1">
      <w:pPr>
        <w:pStyle w:val="SingleTxt"/>
        <w:numPr>
          <w:ilvl w:val="2"/>
          <w:numId w:val="33"/>
        </w:numPr>
        <w:tabs>
          <w:tab w:val="clear" w:pos="3427"/>
        </w:tabs>
        <w:ind w:left="1710" w:hanging="450"/>
        <w:rPr>
          <w:lang w:val="fr-FR"/>
        </w:rPr>
      </w:pPr>
      <w:r w:rsidRPr="005D6CD4">
        <w:rPr>
          <w:i/>
          <w:lang w:val="fr-FR"/>
        </w:rPr>
        <w:t>Youth, Adolescent Reflection and Action Centre</w:t>
      </w:r>
      <w:r w:rsidRPr="005D6CD4">
        <w:rPr>
          <w:lang w:val="fr-FR"/>
        </w:rPr>
        <w:t xml:space="preserve"> s</w:t>
      </w:r>
      <w:r w:rsidR="000A3D87">
        <w:rPr>
          <w:lang w:val="fr-FR"/>
        </w:rPr>
        <w:t>’</w:t>
      </w:r>
      <w:r w:rsidRPr="005D6CD4">
        <w:rPr>
          <w:lang w:val="fr-FR"/>
        </w:rPr>
        <w:t>intéresse à l</w:t>
      </w:r>
      <w:r w:rsidR="000A3D87">
        <w:rPr>
          <w:lang w:val="fr-FR"/>
        </w:rPr>
        <w:t>’</w:t>
      </w:r>
      <w:r w:rsidRPr="005D6CD4">
        <w:rPr>
          <w:lang w:val="fr-FR"/>
        </w:rPr>
        <w:t>intégration de l</w:t>
      </w:r>
      <w:r w:rsidR="000A3D87">
        <w:rPr>
          <w:lang w:val="fr-FR"/>
        </w:rPr>
        <w:t>’</w:t>
      </w:r>
      <w:r w:rsidRPr="005D6CD4">
        <w:rPr>
          <w:lang w:val="fr-FR"/>
        </w:rPr>
        <w:t xml:space="preserve">éducation sexuelle </w:t>
      </w:r>
      <w:r>
        <w:rPr>
          <w:lang w:val="fr-FR"/>
        </w:rPr>
        <w:t xml:space="preserve">aux </w:t>
      </w:r>
      <w:r w:rsidRPr="005D6CD4">
        <w:rPr>
          <w:lang w:val="fr-FR"/>
        </w:rPr>
        <w:t>programmes scolaires par la formation et l</w:t>
      </w:r>
      <w:r w:rsidR="000A3D87">
        <w:rPr>
          <w:lang w:val="fr-FR"/>
        </w:rPr>
        <w:t>’</w:t>
      </w:r>
      <w:r w:rsidRPr="005D6CD4">
        <w:rPr>
          <w:lang w:val="fr-FR"/>
        </w:rPr>
        <w:t>utilisation du téléphone portable.</w:t>
      </w:r>
    </w:p>
    <w:p w:rsidR="00E15507" w:rsidRPr="005D6CD4" w:rsidRDefault="00E15507" w:rsidP="009546E1">
      <w:pPr>
        <w:pStyle w:val="SingleTxt"/>
        <w:numPr>
          <w:ilvl w:val="2"/>
          <w:numId w:val="33"/>
        </w:numPr>
        <w:tabs>
          <w:tab w:val="clear" w:pos="3427"/>
        </w:tabs>
        <w:ind w:left="1710" w:hanging="450"/>
        <w:rPr>
          <w:b/>
          <w:bCs/>
          <w:lang w:val="fr-FR"/>
        </w:rPr>
      </w:pPr>
      <w:r w:rsidRPr="005D6CD4">
        <w:rPr>
          <w:i/>
          <w:lang w:val="fr-FR"/>
        </w:rPr>
        <w:t>Global Health Awareness Research Foundation</w:t>
      </w:r>
      <w:r w:rsidRPr="005D6CD4">
        <w:rPr>
          <w:lang w:val="fr-FR"/>
        </w:rPr>
        <w:t xml:space="preserve"> met en œuvre le </w:t>
      </w:r>
      <w:r>
        <w:rPr>
          <w:lang w:val="fr-FR"/>
        </w:rPr>
        <w:t>p</w:t>
      </w:r>
      <w:r w:rsidRPr="005D6CD4">
        <w:rPr>
          <w:lang w:val="fr-FR"/>
        </w:rPr>
        <w:t xml:space="preserve">rogramme national </w:t>
      </w:r>
      <w:r>
        <w:rPr>
          <w:lang w:val="fr-FR"/>
        </w:rPr>
        <w:t xml:space="preserve">sur la </w:t>
      </w:r>
      <w:r w:rsidRPr="005D6CD4">
        <w:rPr>
          <w:lang w:val="fr-FR"/>
        </w:rPr>
        <w:t xml:space="preserve">vie familiale et </w:t>
      </w:r>
      <w:r>
        <w:rPr>
          <w:lang w:val="fr-FR"/>
        </w:rPr>
        <w:t xml:space="preserve">la sensibilisation au </w:t>
      </w:r>
      <w:r w:rsidRPr="005D6CD4">
        <w:rPr>
          <w:lang w:val="fr-FR"/>
        </w:rPr>
        <w:t>VIH/</w:t>
      </w:r>
      <w:r w:rsidR="00940485">
        <w:rPr>
          <w:lang w:val="fr-FR"/>
        </w:rPr>
        <w:t>SIDA</w:t>
      </w:r>
      <w:r w:rsidRPr="005D6CD4">
        <w:rPr>
          <w:lang w:val="fr-FR"/>
        </w:rPr>
        <w:t xml:space="preserve"> dans les écoles par la formation des enseignants, des pairs éducateurs et la création des</w:t>
      </w:r>
      <w:r>
        <w:rPr>
          <w:lang w:val="fr-FR"/>
        </w:rPr>
        <w:t xml:space="preserve"> </w:t>
      </w:r>
      <w:r w:rsidRPr="005D6CD4">
        <w:rPr>
          <w:lang w:val="fr-FR"/>
        </w:rPr>
        <w:t>clubs de pairs éducateurs dans les établissements scolaires. Il offre également des services de prise en charge psychosociale accessibles à l</w:t>
      </w:r>
      <w:r w:rsidR="000A3D87">
        <w:rPr>
          <w:lang w:val="fr-FR"/>
        </w:rPr>
        <w:t>’</w:t>
      </w:r>
      <w:r w:rsidRPr="005D6CD4">
        <w:rPr>
          <w:lang w:val="fr-FR"/>
        </w:rPr>
        <w:t>aide du téléphone portable.</w:t>
      </w:r>
    </w:p>
    <w:p w:rsidR="00E15507" w:rsidRPr="005D6CD4" w:rsidRDefault="00E15507" w:rsidP="009546E1">
      <w:pPr>
        <w:pStyle w:val="SingleTxt"/>
        <w:numPr>
          <w:ilvl w:val="2"/>
          <w:numId w:val="33"/>
        </w:numPr>
        <w:tabs>
          <w:tab w:val="clear" w:pos="3427"/>
        </w:tabs>
        <w:ind w:left="1710" w:hanging="450"/>
        <w:rPr>
          <w:lang w:val="fr-FR"/>
        </w:rPr>
      </w:pPr>
      <w:r w:rsidRPr="005D6CD4">
        <w:rPr>
          <w:i/>
          <w:lang w:val="fr-FR"/>
        </w:rPr>
        <w:t>Girls</w:t>
      </w:r>
      <w:r w:rsidR="000A3D87">
        <w:rPr>
          <w:i/>
          <w:lang w:val="fr-FR"/>
        </w:rPr>
        <w:t>’</w:t>
      </w:r>
      <w:r w:rsidRPr="005D6CD4">
        <w:rPr>
          <w:i/>
          <w:lang w:val="fr-FR"/>
        </w:rPr>
        <w:t xml:space="preserve"> Power Initiative</w:t>
      </w:r>
      <w:r w:rsidRPr="005D6CD4">
        <w:rPr>
          <w:lang w:val="fr-FR"/>
        </w:rPr>
        <w:t xml:space="preserve"> est également engagée dans la mise en œuvre du </w:t>
      </w:r>
      <w:r>
        <w:rPr>
          <w:lang w:val="fr-FR"/>
        </w:rPr>
        <w:t>p</w:t>
      </w:r>
      <w:r w:rsidRPr="005D6CD4">
        <w:rPr>
          <w:lang w:val="fr-FR"/>
        </w:rPr>
        <w:t xml:space="preserve">rogramme national </w:t>
      </w:r>
      <w:r>
        <w:rPr>
          <w:lang w:val="fr-FR"/>
        </w:rPr>
        <w:t xml:space="preserve">sur la vie </w:t>
      </w:r>
      <w:r w:rsidRPr="005D6CD4">
        <w:rPr>
          <w:lang w:val="fr-FR"/>
        </w:rPr>
        <w:t xml:space="preserve">familiale et </w:t>
      </w:r>
      <w:r>
        <w:rPr>
          <w:lang w:val="fr-FR"/>
        </w:rPr>
        <w:t xml:space="preserve">la sensibilisation au </w:t>
      </w:r>
      <w:r w:rsidRPr="005D6CD4">
        <w:rPr>
          <w:lang w:val="fr-FR"/>
        </w:rPr>
        <w:t>VIH/</w:t>
      </w:r>
      <w:r w:rsidR="00940485">
        <w:rPr>
          <w:lang w:val="fr-FR"/>
        </w:rPr>
        <w:t>SIDA</w:t>
      </w:r>
      <w:r w:rsidRPr="005D6CD4">
        <w:rPr>
          <w:lang w:val="fr-FR"/>
        </w:rPr>
        <w:t xml:space="preserve"> et forme les enseignants et les diplômés des écoles normales. Elle gère des écoles de formation à l</w:t>
      </w:r>
      <w:r w:rsidR="000A3D87">
        <w:rPr>
          <w:lang w:val="fr-FR"/>
        </w:rPr>
        <w:t>’</w:t>
      </w:r>
      <w:r w:rsidRPr="005D6CD4">
        <w:rPr>
          <w:lang w:val="fr-FR"/>
        </w:rPr>
        <w:t>informatique et de formation professionnelle formelle, concourant à la promotion de la jeune fille dans les communautés.</w:t>
      </w:r>
    </w:p>
    <w:p w:rsidR="00E15507" w:rsidRPr="00F06017" w:rsidRDefault="00E15507" w:rsidP="009546E1">
      <w:pPr>
        <w:pStyle w:val="SingleTxt"/>
        <w:numPr>
          <w:ilvl w:val="2"/>
          <w:numId w:val="33"/>
        </w:numPr>
        <w:tabs>
          <w:tab w:val="clear" w:pos="3427"/>
        </w:tabs>
        <w:ind w:left="1710" w:hanging="450"/>
        <w:rPr>
          <w:lang w:val="fr-FR"/>
        </w:rPr>
      </w:pPr>
      <w:r w:rsidRPr="005D6CD4">
        <w:rPr>
          <w:i/>
          <w:lang w:val="fr-FR"/>
        </w:rPr>
        <w:t>Education as Vaccine Against AIDS</w:t>
      </w:r>
      <w:r w:rsidRPr="005D6CD4">
        <w:rPr>
          <w:lang w:val="fr-FR"/>
        </w:rPr>
        <w:t>, une ONG basée à Abuja gère un programme destiné aux jeunes dans les écoles et abrite les</w:t>
      </w:r>
      <w:r>
        <w:rPr>
          <w:lang w:val="fr-FR"/>
        </w:rPr>
        <w:t xml:space="preserve"> </w:t>
      </w:r>
      <w:r w:rsidRPr="005D6CD4">
        <w:rPr>
          <w:lang w:val="fr-FR"/>
        </w:rPr>
        <w:t xml:space="preserve">centres de dépistage volontaire du </w:t>
      </w:r>
      <w:r w:rsidR="00940485">
        <w:rPr>
          <w:lang w:val="fr-FR"/>
        </w:rPr>
        <w:t>SIDA</w:t>
      </w:r>
      <w:r w:rsidRPr="005D6CD4">
        <w:rPr>
          <w:lang w:val="fr-FR"/>
        </w:rPr>
        <w:t xml:space="preserve"> et de prise en charge psychosociale </w:t>
      </w:r>
      <w:r w:rsidRPr="005D6CD4">
        <w:rPr>
          <w:i/>
          <w:lang w:val="fr-FR"/>
        </w:rPr>
        <w:t>V-mobile/NACA AIDS</w:t>
      </w:r>
      <w:r w:rsidRPr="005D6CD4">
        <w:rPr>
          <w:lang w:val="fr-FR"/>
        </w:rPr>
        <w:t>.</w:t>
      </w:r>
    </w:p>
    <w:p w:rsidR="00F06017" w:rsidRPr="00F06017" w:rsidRDefault="00F06017" w:rsidP="00F06017">
      <w:pPr>
        <w:pStyle w:val="SingleTxt"/>
        <w:spacing w:after="0" w:line="120" w:lineRule="exact"/>
        <w:rPr>
          <w:sz w:val="10"/>
          <w:lang w:val="fr-FR"/>
        </w:rPr>
      </w:pPr>
    </w:p>
    <w:p w:rsidR="00E15507" w:rsidRDefault="00F06017" w:rsidP="00F060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ru-RU"/>
        </w:rPr>
      </w:pPr>
      <w:r>
        <w:rPr>
          <w:lang w:val="ru-RU"/>
        </w:rPr>
        <w:tab/>
      </w:r>
      <w:r w:rsidR="00E15507" w:rsidRPr="005D6CD4">
        <w:rPr>
          <w:lang w:val="fr-FR"/>
        </w:rPr>
        <w:t>12.11</w:t>
      </w:r>
      <w:r>
        <w:rPr>
          <w:lang w:val="ru-RU"/>
        </w:rPr>
        <w:tab/>
      </w:r>
      <w:r w:rsidR="00E15507" w:rsidRPr="005D6CD4">
        <w:rPr>
          <w:lang w:val="fr-FR"/>
        </w:rPr>
        <w:t>Principales réalisations dans le secteur de la santé entre 2005 et 2006</w:t>
      </w:r>
    </w:p>
    <w:p w:rsidR="00F06017" w:rsidRPr="00F06017" w:rsidRDefault="00F06017" w:rsidP="00F06017">
      <w:pPr>
        <w:pStyle w:val="SingleTxt"/>
        <w:spacing w:after="0" w:line="120" w:lineRule="exact"/>
        <w:rPr>
          <w:sz w:val="10"/>
          <w:lang w:val="ru-RU"/>
        </w:rPr>
      </w:pPr>
    </w:p>
    <w:p w:rsidR="00E15507" w:rsidRPr="00B91F8B" w:rsidRDefault="00E15507" w:rsidP="009546E1">
      <w:pPr>
        <w:pStyle w:val="SingleTxt"/>
        <w:numPr>
          <w:ilvl w:val="0"/>
          <w:numId w:val="34"/>
        </w:numPr>
        <w:tabs>
          <w:tab w:val="clear" w:pos="1987"/>
        </w:tabs>
        <w:ind w:left="1710" w:hanging="450"/>
        <w:rPr>
          <w:iCs/>
          <w:lang w:val="fr-FR"/>
        </w:rPr>
      </w:pPr>
      <w:r w:rsidRPr="00B91F8B">
        <w:rPr>
          <w:iCs/>
          <w:lang w:val="fr-FR"/>
        </w:rPr>
        <w:t>La Journée des mutilations génitales féminines (MGF) a été célébrée le 6</w:t>
      </w:r>
      <w:r w:rsidR="00B91F8B" w:rsidRPr="00B91F8B">
        <w:rPr>
          <w:iCs/>
          <w:lang w:val="ru-RU"/>
        </w:rPr>
        <w:t> </w:t>
      </w:r>
      <w:r w:rsidRPr="00B91F8B">
        <w:rPr>
          <w:iCs/>
          <w:lang w:val="fr-FR"/>
        </w:rPr>
        <w:t>février 2005. Environ 120 infirmiers moniteurs ont été informés sur l</w:t>
      </w:r>
      <w:r w:rsidR="000A3D87" w:rsidRPr="00B91F8B">
        <w:rPr>
          <w:iCs/>
          <w:lang w:val="fr-FR"/>
        </w:rPr>
        <w:t>’</w:t>
      </w:r>
      <w:r w:rsidRPr="00B91F8B">
        <w:rPr>
          <w:iCs/>
          <w:lang w:val="fr-FR"/>
        </w:rPr>
        <w:t>intégration de la prévention et de la gestion des MGF au programme des écoles de formation des infirmiers, des sages-femmes, des infirmiers de la santé publique et des responsables de santé communautaire dans quatre zones de santé, à savoir le Sud-est, le Sud-ouest, le Nord-est et le Sud-sud.</w:t>
      </w:r>
    </w:p>
    <w:p w:rsidR="00E15507" w:rsidRPr="00B91F8B" w:rsidRDefault="00E15507" w:rsidP="009546E1">
      <w:pPr>
        <w:pStyle w:val="SingleTxt"/>
        <w:numPr>
          <w:ilvl w:val="0"/>
          <w:numId w:val="34"/>
        </w:numPr>
        <w:tabs>
          <w:tab w:val="clear" w:pos="1987"/>
        </w:tabs>
        <w:ind w:left="1710" w:hanging="450"/>
        <w:rPr>
          <w:iCs/>
          <w:lang w:val="fr-FR"/>
        </w:rPr>
      </w:pPr>
      <w:r w:rsidRPr="00B91F8B">
        <w:rPr>
          <w:iCs/>
          <w:lang w:val="fr-FR"/>
        </w:rPr>
        <w:t>L</w:t>
      </w:r>
      <w:r w:rsidR="000A3D87" w:rsidRPr="00B91F8B">
        <w:rPr>
          <w:iCs/>
          <w:lang w:val="fr-FR"/>
        </w:rPr>
        <w:t>’</w:t>
      </w:r>
      <w:r w:rsidRPr="00B91F8B">
        <w:rPr>
          <w:iCs/>
          <w:lang w:val="fr-FR"/>
        </w:rPr>
        <w:t>abécédaire d</w:t>
      </w:r>
      <w:r w:rsidR="000A3D87" w:rsidRPr="00B91F8B">
        <w:rPr>
          <w:iCs/>
          <w:lang w:val="fr-FR"/>
        </w:rPr>
        <w:t>’</w:t>
      </w:r>
      <w:r w:rsidRPr="00B91F8B">
        <w:rPr>
          <w:iCs/>
          <w:lang w:val="fr-FR"/>
        </w:rPr>
        <w:t>alphabétisation fonctionnelle des femmes pour la santé a été intégré dans le Programme national d</w:t>
      </w:r>
      <w:r w:rsidR="000A3D87" w:rsidRPr="00B91F8B">
        <w:rPr>
          <w:iCs/>
          <w:lang w:val="fr-FR"/>
        </w:rPr>
        <w:t>’</w:t>
      </w:r>
      <w:r w:rsidRPr="00B91F8B">
        <w:rPr>
          <w:iCs/>
          <w:lang w:val="fr-FR"/>
        </w:rPr>
        <w:t>alphabétisation de masse du ministère fédérale de l</w:t>
      </w:r>
      <w:r w:rsidR="000A3D87" w:rsidRPr="00B91F8B">
        <w:rPr>
          <w:iCs/>
          <w:lang w:val="fr-FR"/>
        </w:rPr>
        <w:t>’</w:t>
      </w:r>
      <w:r w:rsidRPr="00B91F8B">
        <w:rPr>
          <w:iCs/>
          <w:lang w:val="fr-FR"/>
        </w:rPr>
        <w:t>Éducation. L</w:t>
      </w:r>
      <w:r w:rsidR="000A3D87" w:rsidRPr="00B91F8B">
        <w:rPr>
          <w:iCs/>
          <w:lang w:val="fr-FR"/>
        </w:rPr>
        <w:t>’</w:t>
      </w:r>
      <w:r w:rsidRPr="00B91F8B">
        <w:rPr>
          <w:iCs/>
          <w:lang w:val="fr-FR"/>
        </w:rPr>
        <w:t>essai pilote d</w:t>
      </w:r>
      <w:r w:rsidR="000A3D87" w:rsidRPr="00B91F8B">
        <w:rPr>
          <w:iCs/>
          <w:lang w:val="fr-FR"/>
        </w:rPr>
        <w:t>’</w:t>
      </w:r>
      <w:r w:rsidRPr="00B91F8B">
        <w:rPr>
          <w:iCs/>
          <w:lang w:val="fr-FR"/>
        </w:rPr>
        <w:t xml:space="preserve">alphabétisation fonctionnelle des femmes pour la santé a été effectué dans les </w:t>
      </w:r>
      <w:r w:rsidRPr="00B91F8B">
        <w:rPr>
          <w:rFonts w:ascii="TimesNewRoman" w:hAnsi="TimesNewRoman"/>
          <w:iCs/>
          <w:lang w:val="fr-FR"/>
        </w:rPr>
        <w:t>É</w:t>
      </w:r>
      <w:r w:rsidRPr="00B91F8B">
        <w:rPr>
          <w:iCs/>
          <w:lang w:val="fr-FR"/>
        </w:rPr>
        <w:t>tats du Niger et d</w:t>
      </w:r>
      <w:r w:rsidR="000A3D87" w:rsidRPr="00B91F8B">
        <w:rPr>
          <w:iCs/>
          <w:lang w:val="fr-FR"/>
        </w:rPr>
        <w:t>’</w:t>
      </w:r>
      <w:r w:rsidRPr="00B91F8B">
        <w:rPr>
          <w:iCs/>
          <w:lang w:val="fr-FR"/>
        </w:rPr>
        <w:t>Oyo.</w:t>
      </w:r>
    </w:p>
    <w:p w:rsidR="00E15507" w:rsidRPr="00B91F8B" w:rsidRDefault="00E15507" w:rsidP="009546E1">
      <w:pPr>
        <w:pStyle w:val="SingleTxt"/>
        <w:numPr>
          <w:ilvl w:val="0"/>
          <w:numId w:val="34"/>
        </w:numPr>
        <w:tabs>
          <w:tab w:val="clear" w:pos="1987"/>
        </w:tabs>
        <w:ind w:left="1710" w:hanging="450"/>
        <w:rPr>
          <w:iCs/>
          <w:lang w:val="fr-FR"/>
        </w:rPr>
      </w:pPr>
      <w:r w:rsidRPr="00B91F8B">
        <w:rPr>
          <w:iCs/>
          <w:lang w:val="fr-FR"/>
        </w:rPr>
        <w:t>Le Projet de cadre stratégique et de plan d</w:t>
      </w:r>
      <w:r w:rsidR="000A3D87" w:rsidRPr="00B91F8B">
        <w:rPr>
          <w:iCs/>
          <w:lang w:val="fr-FR"/>
        </w:rPr>
        <w:t>’</w:t>
      </w:r>
      <w:r w:rsidRPr="00B91F8B">
        <w:rPr>
          <w:iCs/>
          <w:lang w:val="fr-FR"/>
        </w:rPr>
        <w:t>action pour l</w:t>
      </w:r>
      <w:r w:rsidR="000A3D87" w:rsidRPr="00B91F8B">
        <w:rPr>
          <w:iCs/>
          <w:lang w:val="fr-FR"/>
        </w:rPr>
        <w:t>’</w:t>
      </w:r>
      <w:r w:rsidRPr="00B91F8B">
        <w:rPr>
          <w:iCs/>
          <w:lang w:val="fr-FR"/>
        </w:rPr>
        <w:t>éradication de la fistule vésico-vaginale a été finalisé et une tournée de plaidoyer et de sensibilisation a été effectuée dans</w:t>
      </w:r>
      <w:r w:rsidRPr="00B91F8B">
        <w:rPr>
          <w:rFonts w:ascii="TimesNewRoman" w:hAnsi="TimesNewRoman"/>
          <w:iCs/>
          <w:lang w:val="fr-FR"/>
        </w:rPr>
        <w:t xml:space="preserve"> </w:t>
      </w:r>
      <w:r w:rsidRPr="00B91F8B">
        <w:rPr>
          <w:iCs/>
          <w:lang w:val="fr-FR"/>
        </w:rPr>
        <w:t xml:space="preserve">les </w:t>
      </w:r>
      <w:r w:rsidRPr="00B91F8B">
        <w:rPr>
          <w:rFonts w:ascii="TimesNewRoman" w:hAnsi="TimesNewRoman"/>
          <w:iCs/>
          <w:lang w:val="fr-FR"/>
        </w:rPr>
        <w:t>É</w:t>
      </w:r>
      <w:r w:rsidRPr="00B91F8B">
        <w:rPr>
          <w:iCs/>
          <w:lang w:val="fr-FR"/>
        </w:rPr>
        <w:t>tats à fort taux de prévalence comme Kano, Sokoto, Kebbi et Katsina. Durant cette période, 545 malades ont subi une chirurgie réparatrice.</w:t>
      </w:r>
    </w:p>
    <w:p w:rsidR="00E15507" w:rsidRPr="00B91F8B" w:rsidRDefault="00E15507" w:rsidP="009546E1">
      <w:pPr>
        <w:pStyle w:val="SingleTxt"/>
        <w:numPr>
          <w:ilvl w:val="0"/>
          <w:numId w:val="34"/>
        </w:numPr>
        <w:tabs>
          <w:tab w:val="clear" w:pos="1987"/>
        </w:tabs>
        <w:ind w:left="1710" w:hanging="450"/>
        <w:rPr>
          <w:iCs/>
          <w:lang w:val="fr-FR"/>
        </w:rPr>
      </w:pPr>
      <w:r w:rsidRPr="00B91F8B">
        <w:rPr>
          <w:iCs/>
          <w:lang w:val="fr-FR"/>
        </w:rPr>
        <w:t>Dix hectares de terrain ont également été acquis sur le Territoire de la capitale fédérale à Abuja pour la création, grâce à l</w:t>
      </w:r>
      <w:r w:rsidR="000A3D87" w:rsidRPr="00B91F8B">
        <w:rPr>
          <w:iCs/>
          <w:lang w:val="fr-FR"/>
        </w:rPr>
        <w:t>’</w:t>
      </w:r>
      <w:r w:rsidRPr="00B91F8B">
        <w:rPr>
          <w:iCs/>
          <w:lang w:val="fr-FR"/>
        </w:rPr>
        <w:t>aide japonaise, d</w:t>
      </w:r>
      <w:r w:rsidR="000A3D87" w:rsidRPr="00B91F8B">
        <w:rPr>
          <w:iCs/>
          <w:lang w:val="fr-FR"/>
        </w:rPr>
        <w:t>’</w:t>
      </w:r>
      <w:r w:rsidRPr="00B91F8B">
        <w:rPr>
          <w:iCs/>
          <w:lang w:val="fr-FR"/>
        </w:rPr>
        <w:t xml:space="preserve">un centre de formation, de traitement et de réinsertion des personnes affectées par la fistule vésico-vaginale dans la commune de Kwali à Abuja. </w:t>
      </w:r>
    </w:p>
    <w:p w:rsidR="00E15507" w:rsidRPr="00B91F8B" w:rsidRDefault="00E15507" w:rsidP="009546E1">
      <w:pPr>
        <w:pStyle w:val="SingleTxt"/>
        <w:numPr>
          <w:ilvl w:val="0"/>
          <w:numId w:val="34"/>
        </w:numPr>
        <w:tabs>
          <w:tab w:val="clear" w:pos="1987"/>
        </w:tabs>
        <w:ind w:left="1710" w:hanging="450"/>
        <w:rPr>
          <w:bCs/>
          <w:iCs/>
          <w:lang w:val="fr-FR"/>
        </w:rPr>
      </w:pPr>
      <w:r w:rsidRPr="00B91F8B">
        <w:rPr>
          <w:bCs/>
          <w:iCs/>
          <w:lang w:val="fr-FR"/>
        </w:rPr>
        <w:t>En février 2006, le ministère fédéral de la Condition de la femme a mené une enquête sur les besoins des centres de prise en charge de la fistule vésico-vaginale dans le pays, en vue de doter les femmes et ces centres d</w:t>
      </w:r>
      <w:r w:rsidR="000A3D87" w:rsidRPr="00B91F8B">
        <w:rPr>
          <w:bCs/>
          <w:iCs/>
          <w:lang w:val="fr-FR"/>
        </w:rPr>
        <w:t>’</w:t>
      </w:r>
      <w:r w:rsidRPr="00B91F8B">
        <w:rPr>
          <w:bCs/>
          <w:iCs/>
          <w:lang w:val="fr-FR"/>
        </w:rPr>
        <w:t>équipements et d</w:t>
      </w:r>
      <w:r w:rsidR="000A3D87" w:rsidRPr="00B91F8B">
        <w:rPr>
          <w:bCs/>
          <w:iCs/>
          <w:lang w:val="fr-FR"/>
        </w:rPr>
        <w:t>’</w:t>
      </w:r>
      <w:r w:rsidRPr="00B91F8B">
        <w:rPr>
          <w:bCs/>
          <w:iCs/>
          <w:lang w:val="fr-FR"/>
        </w:rPr>
        <w:t>autres ressources.</w:t>
      </w:r>
    </w:p>
    <w:p w:rsidR="00E15507" w:rsidRPr="00B91F8B" w:rsidRDefault="00E15507" w:rsidP="009546E1">
      <w:pPr>
        <w:pStyle w:val="SingleTxt"/>
        <w:numPr>
          <w:ilvl w:val="0"/>
          <w:numId w:val="34"/>
        </w:numPr>
        <w:tabs>
          <w:tab w:val="clear" w:pos="1987"/>
        </w:tabs>
        <w:ind w:left="1710" w:hanging="450"/>
        <w:rPr>
          <w:bCs/>
          <w:iCs/>
          <w:lang w:val="fr-FR"/>
        </w:rPr>
      </w:pPr>
      <w:r w:rsidRPr="00B91F8B">
        <w:rPr>
          <w:bCs/>
          <w:i/>
          <w:iCs/>
          <w:lang w:val="fr-FR"/>
        </w:rPr>
        <w:t>Baby Friendly Initiative</w:t>
      </w:r>
      <w:r w:rsidRPr="00B91F8B">
        <w:rPr>
          <w:bCs/>
          <w:iCs/>
          <w:lang w:val="fr-FR"/>
        </w:rPr>
        <w:t xml:space="preserve"> </w:t>
      </w:r>
      <w:r w:rsidRPr="00B91F8B">
        <w:rPr>
          <w:bCs/>
          <w:i/>
          <w:iCs/>
          <w:lang w:val="fr-FR"/>
        </w:rPr>
        <w:t>(BFI)</w:t>
      </w:r>
      <w:r w:rsidRPr="00B91F8B">
        <w:rPr>
          <w:bCs/>
          <w:iCs/>
          <w:lang w:val="fr-FR"/>
        </w:rPr>
        <w:t xml:space="preserve"> est un autre programme qui encourage les femmes à utiliser le lait maternel. L</w:t>
      </w:r>
      <w:r w:rsidR="000A3D87" w:rsidRPr="00B91F8B">
        <w:rPr>
          <w:bCs/>
          <w:iCs/>
          <w:lang w:val="fr-FR"/>
        </w:rPr>
        <w:t>’</w:t>
      </w:r>
      <w:r w:rsidRPr="00B91F8B">
        <w:rPr>
          <w:bCs/>
          <w:iCs/>
          <w:lang w:val="fr-FR"/>
        </w:rPr>
        <w:t>initiative a lancé des programmes sur l</w:t>
      </w:r>
      <w:r w:rsidR="000A3D87" w:rsidRPr="00B91F8B">
        <w:rPr>
          <w:bCs/>
          <w:iCs/>
          <w:lang w:val="fr-FR"/>
        </w:rPr>
        <w:t>’</w:t>
      </w:r>
      <w:r w:rsidRPr="00B91F8B">
        <w:rPr>
          <w:bCs/>
          <w:iCs/>
          <w:lang w:val="fr-FR"/>
        </w:rPr>
        <w:t>utilisation du lait maternel comme la présentation de la machine à écraser aux groupes de soutien établis et agréés et la reconnaissance des institutions sanitaires accordant de meilleurs soins au bébé, à savoir FMC Keffi, Nasarawa au Centre-nord du Nigéria et le ministère de la Santé d</w:t>
      </w:r>
      <w:r w:rsidR="000A3D87" w:rsidRPr="00B91F8B">
        <w:rPr>
          <w:bCs/>
          <w:iCs/>
          <w:lang w:val="fr-FR"/>
        </w:rPr>
        <w:t>’</w:t>
      </w:r>
      <w:r w:rsidRPr="00B91F8B">
        <w:rPr>
          <w:bCs/>
          <w:iCs/>
          <w:lang w:val="fr-FR"/>
        </w:rPr>
        <w:t xml:space="preserve">Enugu au Sud-est du Nigéria, les débats radiotélévisés organisés par le Coordonnateur de </w:t>
      </w:r>
      <w:r w:rsidRPr="00B91F8B">
        <w:rPr>
          <w:bCs/>
          <w:i/>
          <w:iCs/>
          <w:lang w:val="fr-FR"/>
        </w:rPr>
        <w:t>Baby Friendly Initiative</w:t>
      </w:r>
      <w:r w:rsidRPr="00B91F8B">
        <w:rPr>
          <w:bCs/>
          <w:iCs/>
          <w:lang w:val="fr-FR"/>
        </w:rPr>
        <w:t xml:space="preserve"> et la création de crèches dans un certain nombre de localités.</w:t>
      </w:r>
    </w:p>
    <w:p w:rsidR="00E15507" w:rsidRPr="00B91F8B" w:rsidRDefault="00E15507" w:rsidP="009546E1">
      <w:pPr>
        <w:pStyle w:val="SingleTxt"/>
        <w:numPr>
          <w:ilvl w:val="0"/>
          <w:numId w:val="34"/>
        </w:numPr>
        <w:tabs>
          <w:tab w:val="clear" w:pos="1987"/>
        </w:tabs>
        <w:ind w:left="1710" w:hanging="450"/>
        <w:rPr>
          <w:bCs/>
          <w:iCs/>
          <w:lang w:val="fr-FR"/>
        </w:rPr>
      </w:pPr>
      <w:r w:rsidRPr="00B91F8B">
        <w:rPr>
          <w:bCs/>
          <w:iCs/>
          <w:lang w:val="fr-FR"/>
        </w:rPr>
        <w:t>Le ministère fédéral de la Santé/BFI en collaboration avec l</w:t>
      </w:r>
      <w:r w:rsidR="000A3D87" w:rsidRPr="00B91F8B">
        <w:rPr>
          <w:bCs/>
          <w:iCs/>
          <w:lang w:val="fr-FR"/>
        </w:rPr>
        <w:t>’</w:t>
      </w:r>
      <w:r w:rsidRPr="00B91F8B">
        <w:rPr>
          <w:bCs/>
          <w:iCs/>
          <w:lang w:val="fr-FR"/>
        </w:rPr>
        <w:t>UNICEF a formé 108 agents de santé comme conseillers en matière d</w:t>
      </w:r>
      <w:r w:rsidR="000A3D87" w:rsidRPr="00B91F8B">
        <w:rPr>
          <w:bCs/>
          <w:iCs/>
          <w:lang w:val="fr-FR"/>
        </w:rPr>
        <w:t>’</w:t>
      </w:r>
      <w:r w:rsidRPr="00B91F8B">
        <w:rPr>
          <w:bCs/>
          <w:iCs/>
          <w:lang w:val="fr-FR"/>
        </w:rPr>
        <w:t>alimentation de l</w:t>
      </w:r>
      <w:r w:rsidR="000A3D87" w:rsidRPr="00B91F8B">
        <w:rPr>
          <w:bCs/>
          <w:iCs/>
          <w:lang w:val="fr-FR"/>
        </w:rPr>
        <w:t>’</w:t>
      </w:r>
      <w:r w:rsidRPr="00B91F8B">
        <w:rPr>
          <w:bCs/>
          <w:iCs/>
          <w:lang w:val="fr-FR"/>
        </w:rPr>
        <w:t>enfant entre avril et juin 2005, en vue d</w:t>
      </w:r>
      <w:r w:rsidR="000A3D87" w:rsidRPr="00B91F8B">
        <w:rPr>
          <w:bCs/>
          <w:iCs/>
          <w:lang w:val="fr-FR"/>
        </w:rPr>
        <w:t>’</w:t>
      </w:r>
      <w:r w:rsidRPr="00B91F8B">
        <w:rPr>
          <w:bCs/>
          <w:iCs/>
          <w:lang w:val="fr-FR"/>
        </w:rPr>
        <w:t>accroître leur nombre dans les centres de PTME au Nigéria. L</w:t>
      </w:r>
      <w:r w:rsidR="000A3D87" w:rsidRPr="00B91F8B">
        <w:rPr>
          <w:bCs/>
          <w:iCs/>
          <w:lang w:val="fr-FR"/>
        </w:rPr>
        <w:t>’</w:t>
      </w:r>
      <w:r w:rsidRPr="00B91F8B">
        <w:rPr>
          <w:bCs/>
          <w:iCs/>
          <w:lang w:val="fr-FR"/>
        </w:rPr>
        <w:t>objectif est de leur permettre d</w:t>
      </w:r>
      <w:r w:rsidR="000A3D87" w:rsidRPr="00B91F8B">
        <w:rPr>
          <w:bCs/>
          <w:iCs/>
          <w:lang w:val="fr-FR"/>
        </w:rPr>
        <w:t>’</w:t>
      </w:r>
      <w:r w:rsidRPr="00B91F8B">
        <w:rPr>
          <w:bCs/>
          <w:iCs/>
          <w:lang w:val="fr-FR"/>
        </w:rPr>
        <w:t>acquérir des techniques par lesquelles ils pourront conseiller les mères séropositives de décider en toute connaissance de cause de l</w:t>
      </w:r>
      <w:r w:rsidR="000A3D87" w:rsidRPr="00B91F8B">
        <w:rPr>
          <w:bCs/>
          <w:iCs/>
          <w:lang w:val="fr-FR"/>
        </w:rPr>
        <w:t>’</w:t>
      </w:r>
      <w:r w:rsidRPr="00B91F8B">
        <w:rPr>
          <w:bCs/>
          <w:iCs/>
          <w:lang w:val="fr-FR"/>
        </w:rPr>
        <w:t>alimentation de l</w:t>
      </w:r>
      <w:r w:rsidR="000A3D87" w:rsidRPr="00B91F8B">
        <w:rPr>
          <w:bCs/>
          <w:iCs/>
          <w:lang w:val="fr-FR"/>
        </w:rPr>
        <w:t>’</w:t>
      </w:r>
      <w:r w:rsidRPr="00B91F8B">
        <w:rPr>
          <w:bCs/>
          <w:iCs/>
          <w:lang w:val="fr-FR"/>
        </w:rPr>
        <w:t>enfant dans la mesure où celle-ci constitue le moyen d</w:t>
      </w:r>
      <w:r w:rsidR="000A3D87" w:rsidRPr="00B91F8B">
        <w:rPr>
          <w:bCs/>
          <w:iCs/>
          <w:lang w:val="fr-FR"/>
        </w:rPr>
        <w:t>’</w:t>
      </w:r>
      <w:r w:rsidRPr="00B91F8B">
        <w:rPr>
          <w:bCs/>
          <w:iCs/>
          <w:lang w:val="fr-FR"/>
        </w:rPr>
        <w:t>intervention le plus efficace pour réduire la transmission de la mère à l</w:t>
      </w:r>
      <w:r w:rsidR="000A3D87" w:rsidRPr="00B91F8B">
        <w:rPr>
          <w:bCs/>
          <w:iCs/>
          <w:lang w:val="fr-FR"/>
        </w:rPr>
        <w:t>’</w:t>
      </w:r>
      <w:r w:rsidRPr="00B91F8B">
        <w:rPr>
          <w:bCs/>
          <w:iCs/>
          <w:lang w:val="fr-FR"/>
        </w:rPr>
        <w:t>enfant. Vingt-huit conseillers ont également été formés, y compris, en octobre 2005, des conseillers en alimentation de l</w:t>
      </w:r>
      <w:r w:rsidR="000A3D87" w:rsidRPr="00B91F8B">
        <w:rPr>
          <w:bCs/>
          <w:iCs/>
          <w:lang w:val="fr-FR"/>
        </w:rPr>
        <w:t>’</w:t>
      </w:r>
      <w:r w:rsidRPr="00B91F8B">
        <w:rPr>
          <w:bCs/>
          <w:iCs/>
          <w:lang w:val="fr-FR"/>
        </w:rPr>
        <w:t xml:space="preserve">enfant issus de divers centres de PTME, de </w:t>
      </w:r>
      <w:r w:rsidRPr="00B91F8B">
        <w:rPr>
          <w:bCs/>
          <w:i/>
          <w:iCs/>
          <w:lang w:val="fr-FR"/>
        </w:rPr>
        <w:t>PLWH/AIDS and Artists</w:t>
      </w:r>
      <w:r w:rsidRPr="00B91F8B">
        <w:rPr>
          <w:bCs/>
          <w:iCs/>
          <w:lang w:val="fr-FR"/>
        </w:rPr>
        <w:t>, afin d</w:t>
      </w:r>
      <w:r w:rsidR="000A3D87" w:rsidRPr="00B91F8B">
        <w:rPr>
          <w:bCs/>
          <w:iCs/>
          <w:lang w:val="fr-FR"/>
        </w:rPr>
        <w:t>’</w:t>
      </w:r>
      <w:r w:rsidRPr="00B91F8B">
        <w:rPr>
          <w:bCs/>
          <w:iCs/>
          <w:lang w:val="fr-FR"/>
        </w:rPr>
        <w:t xml:space="preserve">accroître leurs techniques de prise en charge. </w:t>
      </w:r>
    </w:p>
    <w:p w:rsidR="00E15507" w:rsidRPr="00B91F8B" w:rsidRDefault="00E15507" w:rsidP="009546E1">
      <w:pPr>
        <w:pStyle w:val="SingleTxt"/>
        <w:numPr>
          <w:ilvl w:val="0"/>
          <w:numId w:val="34"/>
        </w:numPr>
        <w:tabs>
          <w:tab w:val="clear" w:pos="1987"/>
        </w:tabs>
        <w:ind w:left="1710" w:hanging="450"/>
        <w:rPr>
          <w:bCs/>
          <w:iCs/>
          <w:lang w:val="fr-FR"/>
        </w:rPr>
      </w:pPr>
      <w:r w:rsidRPr="00B91F8B">
        <w:rPr>
          <w:bCs/>
          <w:iCs/>
          <w:lang w:val="fr-FR"/>
        </w:rPr>
        <w:t>L</w:t>
      </w:r>
      <w:r w:rsidR="000A3D87" w:rsidRPr="00B91F8B">
        <w:rPr>
          <w:bCs/>
          <w:iCs/>
          <w:lang w:val="fr-FR"/>
        </w:rPr>
        <w:t>’</w:t>
      </w:r>
      <w:r w:rsidRPr="00B91F8B">
        <w:rPr>
          <w:bCs/>
          <w:iCs/>
          <w:lang w:val="fr-FR"/>
        </w:rPr>
        <w:t>initiative BFI, en collaboration avec l</w:t>
      </w:r>
      <w:r w:rsidR="000A3D87" w:rsidRPr="00B91F8B">
        <w:rPr>
          <w:bCs/>
          <w:iCs/>
          <w:lang w:val="fr-FR"/>
        </w:rPr>
        <w:t>’</w:t>
      </w:r>
      <w:r w:rsidRPr="00B91F8B">
        <w:rPr>
          <w:bCs/>
          <w:iCs/>
          <w:lang w:val="fr-FR"/>
        </w:rPr>
        <w:t>UNICEF, a organisé un atelier de 5 jours en 2005 pour intégrer les conseils sur le VIH et l</w:t>
      </w:r>
      <w:r w:rsidR="000A3D87" w:rsidRPr="00B91F8B">
        <w:rPr>
          <w:bCs/>
          <w:iCs/>
          <w:lang w:val="fr-FR"/>
        </w:rPr>
        <w:t>’</w:t>
      </w:r>
      <w:r w:rsidRPr="00B91F8B">
        <w:rPr>
          <w:bCs/>
          <w:iCs/>
          <w:lang w:val="fr-FR"/>
        </w:rPr>
        <w:t>alimentation de l</w:t>
      </w:r>
      <w:r w:rsidR="000A3D87" w:rsidRPr="00B91F8B">
        <w:rPr>
          <w:bCs/>
          <w:iCs/>
          <w:lang w:val="fr-FR"/>
        </w:rPr>
        <w:t>’</w:t>
      </w:r>
      <w:r w:rsidRPr="00B91F8B">
        <w:rPr>
          <w:bCs/>
          <w:iCs/>
          <w:lang w:val="fr-FR"/>
        </w:rPr>
        <w:t>enfant au programme des écoles d</w:t>
      </w:r>
      <w:r w:rsidR="000A3D87" w:rsidRPr="00B91F8B">
        <w:rPr>
          <w:bCs/>
          <w:iCs/>
          <w:lang w:val="fr-FR"/>
        </w:rPr>
        <w:t>’</w:t>
      </w:r>
      <w:r w:rsidRPr="00B91F8B">
        <w:rPr>
          <w:bCs/>
          <w:iCs/>
          <w:lang w:val="fr-FR"/>
        </w:rPr>
        <w:t>infirmiers et de sages-femmes. Les participants sont issus des écoles qui mettent en œuvre le programme des infirmiers moniteurs, du Conseil des infirmiers et des sages-femmes, de l</w:t>
      </w:r>
      <w:r w:rsidR="000A3D87" w:rsidRPr="00B91F8B">
        <w:rPr>
          <w:bCs/>
          <w:iCs/>
          <w:lang w:val="fr-FR"/>
        </w:rPr>
        <w:t>’</w:t>
      </w:r>
      <w:r w:rsidRPr="00B91F8B">
        <w:rPr>
          <w:bCs/>
          <w:iCs/>
          <w:lang w:val="fr-FR"/>
        </w:rPr>
        <w:t>Association des infirmiers et sages-femmes et du Sous-comité dudit conseil. Vingt-huit participants ont été formés.</w:t>
      </w:r>
    </w:p>
    <w:p w:rsidR="00E15507" w:rsidRPr="00B91F8B" w:rsidRDefault="00E15507" w:rsidP="009546E1">
      <w:pPr>
        <w:pStyle w:val="SingleTxt"/>
        <w:numPr>
          <w:ilvl w:val="0"/>
          <w:numId w:val="34"/>
        </w:numPr>
        <w:tabs>
          <w:tab w:val="clear" w:pos="1987"/>
        </w:tabs>
        <w:ind w:left="1710" w:hanging="450"/>
        <w:rPr>
          <w:b/>
          <w:bCs/>
          <w:i/>
          <w:iCs/>
          <w:lang w:val="fr-FR"/>
        </w:rPr>
      </w:pPr>
      <w:r w:rsidRPr="00B91F8B">
        <w:rPr>
          <w:bCs/>
          <w:iCs/>
          <w:lang w:val="fr-FR"/>
        </w:rPr>
        <w:t>Le Nigéria est le premier pays de l</w:t>
      </w:r>
      <w:r w:rsidR="000A3D87" w:rsidRPr="00B91F8B">
        <w:rPr>
          <w:bCs/>
          <w:iCs/>
          <w:lang w:val="fr-FR"/>
        </w:rPr>
        <w:t>’</w:t>
      </w:r>
      <w:r w:rsidRPr="00B91F8B">
        <w:rPr>
          <w:bCs/>
          <w:iCs/>
          <w:lang w:val="fr-FR"/>
        </w:rPr>
        <w:t>Afrique de l</w:t>
      </w:r>
      <w:r w:rsidR="000A3D87" w:rsidRPr="00B91F8B">
        <w:rPr>
          <w:bCs/>
          <w:iCs/>
          <w:lang w:val="fr-FR"/>
        </w:rPr>
        <w:t>’</w:t>
      </w:r>
      <w:r w:rsidRPr="00B91F8B">
        <w:rPr>
          <w:bCs/>
          <w:iCs/>
          <w:lang w:val="fr-FR"/>
        </w:rPr>
        <w:t>Ouest où 98 % des ménages ont accès au sel iodé (IDD-USI, Zaria (Nigeria) 2006). Il s</w:t>
      </w:r>
      <w:r w:rsidR="000A3D87" w:rsidRPr="00B91F8B">
        <w:rPr>
          <w:bCs/>
          <w:iCs/>
          <w:lang w:val="fr-FR"/>
        </w:rPr>
        <w:t>’</w:t>
      </w:r>
      <w:r w:rsidRPr="00B91F8B">
        <w:rPr>
          <w:bCs/>
          <w:iCs/>
          <w:lang w:val="fr-FR"/>
        </w:rPr>
        <w:t>agit d</w:t>
      </w:r>
      <w:r w:rsidR="000A3D87" w:rsidRPr="00B91F8B">
        <w:rPr>
          <w:bCs/>
          <w:iCs/>
          <w:lang w:val="fr-FR"/>
        </w:rPr>
        <w:t>’</w:t>
      </w:r>
      <w:r w:rsidRPr="00B91F8B">
        <w:rPr>
          <w:bCs/>
          <w:iCs/>
          <w:lang w:val="fr-FR"/>
        </w:rPr>
        <w:t>un acquis important pour les femmes dans la mesure où la plupart de personnes qui souffrent de goitre au Nigéria sont des femmes.</w:t>
      </w:r>
      <w:r w:rsidRPr="005D6CD4">
        <w:rPr>
          <w:b/>
          <w:bCs/>
          <w:iCs/>
          <w:lang w:val="fr-FR"/>
        </w:rPr>
        <w:t xml:space="preserve"> </w:t>
      </w:r>
    </w:p>
    <w:p w:rsidR="00B91F8B" w:rsidRPr="00B91F8B" w:rsidRDefault="00B91F8B" w:rsidP="00B91F8B">
      <w:pPr>
        <w:pStyle w:val="SingleTxt"/>
        <w:spacing w:after="0" w:line="120" w:lineRule="exact"/>
        <w:rPr>
          <w:sz w:val="10"/>
          <w:lang w:val="fr-FR"/>
        </w:rPr>
      </w:pPr>
    </w:p>
    <w:p w:rsidR="00E15507" w:rsidRDefault="00B91F8B" w:rsidP="00B91F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ru-RU"/>
        </w:rPr>
      </w:pPr>
      <w:r>
        <w:rPr>
          <w:lang w:val="ru-RU"/>
        </w:rPr>
        <w:tab/>
      </w:r>
      <w:r w:rsidR="00E15507" w:rsidRPr="005D6CD4">
        <w:rPr>
          <w:lang w:val="fr-FR"/>
        </w:rPr>
        <w:t>12.12</w:t>
      </w:r>
      <w:r>
        <w:rPr>
          <w:lang w:val="ru-RU"/>
        </w:rPr>
        <w:tab/>
      </w:r>
      <w:r w:rsidR="00E15507" w:rsidRPr="005D6CD4">
        <w:rPr>
          <w:lang w:val="fr-FR"/>
        </w:rPr>
        <w:t>Défis</w:t>
      </w:r>
    </w:p>
    <w:p w:rsidR="00B91F8B" w:rsidRPr="00B91F8B" w:rsidRDefault="00B91F8B" w:rsidP="00B91F8B">
      <w:pPr>
        <w:pStyle w:val="SingleTxt"/>
        <w:spacing w:after="0" w:line="120" w:lineRule="exact"/>
        <w:rPr>
          <w:sz w:val="10"/>
          <w:lang w:val="ru-RU"/>
        </w:rPr>
      </w:pPr>
    </w:p>
    <w:p w:rsidR="00E15507" w:rsidRPr="00B91F8B" w:rsidRDefault="00B91F8B" w:rsidP="00AC2642">
      <w:pPr>
        <w:pStyle w:val="SingleTxt"/>
        <w:rPr>
          <w:i/>
          <w:lang w:val="fr-FR"/>
        </w:rPr>
      </w:pPr>
      <w:r>
        <w:rPr>
          <w:i/>
          <w:lang w:val="ru-RU"/>
        </w:rPr>
        <w:tab/>
      </w:r>
      <w:r w:rsidR="00E15507" w:rsidRPr="00B91F8B">
        <w:rPr>
          <w:i/>
          <w:lang w:val="fr-FR"/>
        </w:rPr>
        <w:t>La pauvreté constitue un problème grave pour la santé des femmes et des enfants au Nigéria. Elle explique les nombreux cas de carence nutritionnelle qui entraînent différentes sortes de maladies, en particulier chez les femmes enceintes et chez les enfants, d</w:t>
      </w:r>
      <w:r w:rsidR="000A3D87" w:rsidRPr="00B91F8B">
        <w:rPr>
          <w:i/>
          <w:lang w:val="fr-FR"/>
        </w:rPr>
        <w:t>’</w:t>
      </w:r>
      <w:r w:rsidR="00E15507" w:rsidRPr="00B91F8B">
        <w:rPr>
          <w:i/>
          <w:lang w:val="fr-FR"/>
        </w:rPr>
        <w:t>où l</w:t>
      </w:r>
      <w:r w:rsidR="000A3D87" w:rsidRPr="00B91F8B">
        <w:rPr>
          <w:i/>
          <w:lang w:val="fr-FR"/>
        </w:rPr>
        <w:t>’</w:t>
      </w:r>
      <w:r w:rsidR="00E15507" w:rsidRPr="00B91F8B">
        <w:rPr>
          <w:i/>
          <w:lang w:val="fr-FR"/>
        </w:rPr>
        <w:t>adoption de la Politique nationale de l</w:t>
      </w:r>
      <w:r w:rsidR="000A3D87" w:rsidRPr="00B91F8B">
        <w:rPr>
          <w:i/>
          <w:lang w:val="fr-FR"/>
        </w:rPr>
        <w:t>’</w:t>
      </w:r>
      <w:r w:rsidR="00E15507" w:rsidRPr="00B91F8B">
        <w:rPr>
          <w:i/>
          <w:lang w:val="fr-FR"/>
        </w:rPr>
        <w:t xml:space="preserve">alimentation et de la nutrition (2001) et des Orientations nationales sur la lutte contre les carences en micronutriments au Nigéria (2005). </w:t>
      </w:r>
    </w:p>
    <w:p w:rsidR="00E15507" w:rsidRPr="00B91F8B" w:rsidRDefault="00B91F8B" w:rsidP="00AC2642">
      <w:pPr>
        <w:pStyle w:val="SingleTxt"/>
        <w:rPr>
          <w:i/>
          <w:lang w:val="fr-FR"/>
        </w:rPr>
      </w:pPr>
      <w:r>
        <w:rPr>
          <w:i/>
          <w:lang w:val="ru-RU"/>
        </w:rPr>
        <w:tab/>
      </w:r>
      <w:r w:rsidR="00E15507" w:rsidRPr="00B91F8B">
        <w:rPr>
          <w:i/>
          <w:lang w:val="fr-FR"/>
        </w:rPr>
        <w:t>L</w:t>
      </w:r>
      <w:r w:rsidR="000A3D87" w:rsidRPr="00B91F8B">
        <w:rPr>
          <w:i/>
          <w:lang w:val="fr-FR"/>
        </w:rPr>
        <w:t>’</w:t>
      </w:r>
      <w:r w:rsidR="00E15507" w:rsidRPr="00B91F8B">
        <w:rPr>
          <w:i/>
          <w:lang w:val="fr-FR"/>
        </w:rPr>
        <w:t>autre obstacle est constitué par les pratiques traditionnelles, en particulier les MGF qui nuisent aux femmes, mettent leur santé en danger et les rend vulnérables au VIH/</w:t>
      </w:r>
      <w:r w:rsidR="00940485" w:rsidRPr="00B91F8B">
        <w:rPr>
          <w:i/>
          <w:lang w:val="fr-FR"/>
        </w:rPr>
        <w:t>SIDA</w:t>
      </w:r>
      <w:r w:rsidR="00E15507" w:rsidRPr="00B91F8B">
        <w:rPr>
          <w:i/>
          <w:lang w:val="fr-FR"/>
        </w:rPr>
        <w:t>. Le Gouvernement a aussi investi énormément pour soutenir la Politique nationale et le plan d</w:t>
      </w:r>
      <w:r w:rsidR="000A3D87" w:rsidRPr="00B91F8B">
        <w:rPr>
          <w:i/>
          <w:lang w:val="fr-FR"/>
        </w:rPr>
        <w:t>’</w:t>
      </w:r>
      <w:r w:rsidR="00E15507" w:rsidRPr="00B91F8B">
        <w:rPr>
          <w:i/>
          <w:lang w:val="fr-FR"/>
        </w:rPr>
        <w:t>action sur l</w:t>
      </w:r>
      <w:r w:rsidR="000A3D87" w:rsidRPr="00B91F8B">
        <w:rPr>
          <w:i/>
          <w:lang w:val="fr-FR"/>
        </w:rPr>
        <w:t>’</w:t>
      </w:r>
      <w:r w:rsidR="00E15507" w:rsidRPr="00B91F8B">
        <w:rPr>
          <w:i/>
          <w:lang w:val="fr-FR"/>
        </w:rPr>
        <w:t xml:space="preserve">élimination de la pratique des MGF au Nigéria (2002) au moment où onze </w:t>
      </w:r>
      <w:r w:rsidR="00E15507" w:rsidRPr="00B91F8B">
        <w:rPr>
          <w:rFonts w:ascii="TimesNewRoman" w:hAnsi="TimesNewRoman"/>
          <w:i/>
          <w:lang w:val="fr-FR"/>
        </w:rPr>
        <w:t>É</w:t>
      </w:r>
      <w:r w:rsidR="00E15507" w:rsidRPr="00B91F8B">
        <w:rPr>
          <w:i/>
          <w:lang w:val="fr-FR"/>
        </w:rPr>
        <w:t>tats ont adopté des lois l</w:t>
      </w:r>
      <w:r w:rsidR="000A3D87" w:rsidRPr="00B91F8B">
        <w:rPr>
          <w:i/>
          <w:lang w:val="fr-FR"/>
        </w:rPr>
        <w:t>’</w:t>
      </w:r>
      <w:r w:rsidR="00E15507" w:rsidRPr="00B91F8B">
        <w:rPr>
          <w:i/>
          <w:lang w:val="fr-FR"/>
        </w:rPr>
        <w:t>interdisant. Parmi les autres défis, il y a le manque d</w:t>
      </w:r>
      <w:r w:rsidR="000A3D87" w:rsidRPr="00B91F8B">
        <w:rPr>
          <w:i/>
          <w:lang w:val="fr-FR"/>
        </w:rPr>
        <w:t>’</w:t>
      </w:r>
      <w:r w:rsidR="00E15507" w:rsidRPr="00B91F8B">
        <w:rPr>
          <w:i/>
          <w:lang w:val="fr-FR"/>
        </w:rPr>
        <w:t xml:space="preserve">accès aux services de santé appropriés, en particulier dans les zones rurales. </w:t>
      </w:r>
    </w:p>
    <w:p w:rsidR="00E15507" w:rsidRPr="005D6CD4" w:rsidRDefault="00B91F8B" w:rsidP="00AC2642">
      <w:pPr>
        <w:pStyle w:val="SingleTxt"/>
        <w:rPr>
          <w:lang w:val="fr-FR"/>
        </w:rPr>
      </w:pPr>
      <w:r>
        <w:rPr>
          <w:lang w:val="ru-RU"/>
        </w:rPr>
        <w:tab/>
      </w:r>
      <w:r w:rsidR="00E15507" w:rsidRPr="005D6CD4">
        <w:rPr>
          <w:lang w:val="fr-FR"/>
        </w:rPr>
        <w:t>Il n</w:t>
      </w:r>
      <w:r w:rsidR="000A3D87">
        <w:rPr>
          <w:lang w:val="fr-FR"/>
        </w:rPr>
        <w:t>’</w:t>
      </w:r>
      <w:r w:rsidR="00E15507" w:rsidRPr="005D6CD4">
        <w:rPr>
          <w:lang w:val="fr-FR"/>
        </w:rPr>
        <w:t>y a pas de lois facilitant l</w:t>
      </w:r>
      <w:r w:rsidR="000A3D87">
        <w:rPr>
          <w:lang w:val="fr-FR"/>
        </w:rPr>
        <w:t>’</w:t>
      </w:r>
      <w:r w:rsidR="00E15507" w:rsidRPr="005D6CD4">
        <w:rPr>
          <w:lang w:val="fr-FR"/>
        </w:rPr>
        <w:t xml:space="preserve">accès aux contraceptifs et reconnaissant le droit à la confidentialité des usagers des services de </w:t>
      </w:r>
      <w:r w:rsidR="00E15507">
        <w:rPr>
          <w:lang w:val="fr-FR"/>
        </w:rPr>
        <w:t>santé en matière de reproduction</w:t>
      </w:r>
      <w:r w:rsidR="00E15507" w:rsidRPr="005D6CD4">
        <w:rPr>
          <w:lang w:val="fr-FR"/>
        </w:rPr>
        <w:t>, en particulier des adolescents. Il y a aussi diverses formes de préjugés dont font montre les agents de santé et qui limitent l</w:t>
      </w:r>
      <w:r w:rsidR="000A3D87">
        <w:rPr>
          <w:lang w:val="fr-FR"/>
        </w:rPr>
        <w:t>’</w:t>
      </w:r>
      <w:r w:rsidR="00E15507" w:rsidRPr="005D6CD4">
        <w:rPr>
          <w:lang w:val="fr-FR"/>
        </w:rPr>
        <w:t>accès de</w:t>
      </w:r>
      <w:r w:rsidR="00E15507">
        <w:rPr>
          <w:lang w:val="fr-FR"/>
        </w:rPr>
        <w:t>s</w:t>
      </w:r>
      <w:r w:rsidR="00E15507" w:rsidRPr="005D6CD4">
        <w:rPr>
          <w:lang w:val="fr-FR"/>
        </w:rPr>
        <w:t xml:space="preserve"> jeunes aux soins de santé.</w:t>
      </w:r>
      <w:r w:rsidR="00E15507">
        <w:rPr>
          <w:lang w:val="fr-FR"/>
        </w:rPr>
        <w:t xml:space="preserve"> </w:t>
      </w:r>
      <w:r w:rsidR="00E15507" w:rsidRPr="005D6CD4">
        <w:rPr>
          <w:lang w:val="fr-FR"/>
        </w:rPr>
        <w:t>Toutefois, il y a quelques formations sanitaires favorables aux jeunes dans certaines parties du pays, malgré leur insuffisance en nombre. Certaines ONG ont créé des centres de santé fonctionnels pour jeunes et des</w:t>
      </w:r>
      <w:r w:rsidR="00E15507">
        <w:rPr>
          <w:lang w:val="fr-FR"/>
        </w:rPr>
        <w:t xml:space="preserve"> </w:t>
      </w:r>
      <w:r w:rsidR="00E15507" w:rsidRPr="005D6CD4">
        <w:rPr>
          <w:lang w:val="fr-FR"/>
        </w:rPr>
        <w:t>adolescents, en vue de satisfaire leurs besoins de santé.</w:t>
      </w:r>
    </w:p>
    <w:p w:rsidR="00E15507" w:rsidRDefault="00B91F8B" w:rsidP="00B91F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ru-RU"/>
        </w:rPr>
      </w:pPr>
      <w:r>
        <w:rPr>
          <w:lang w:val="fr-FR"/>
        </w:rPr>
        <w:br w:type="page"/>
      </w:r>
      <w:r>
        <w:rPr>
          <w:lang w:val="ru-RU"/>
        </w:rPr>
        <w:tab/>
      </w:r>
      <w:r>
        <w:rPr>
          <w:lang w:val="ru-RU"/>
        </w:rPr>
        <w:tab/>
      </w:r>
      <w:r w:rsidR="00E15507">
        <w:rPr>
          <w:lang w:val="fr-FR"/>
        </w:rPr>
        <w:t>Article 13</w:t>
      </w:r>
      <w:r>
        <w:rPr>
          <w:lang w:val="ru-RU"/>
        </w:rPr>
        <w:br/>
      </w:r>
      <w:r w:rsidR="00E15507">
        <w:rPr>
          <w:lang w:val="fr-FR"/>
        </w:rPr>
        <w:t xml:space="preserve">Droits économiques et sociaux </w:t>
      </w:r>
    </w:p>
    <w:p w:rsidR="00B91F8B" w:rsidRPr="00B91F8B" w:rsidRDefault="00B91F8B" w:rsidP="00B91F8B">
      <w:pPr>
        <w:pStyle w:val="SingleTxt"/>
        <w:spacing w:after="0" w:line="120" w:lineRule="exact"/>
        <w:rPr>
          <w:sz w:val="10"/>
          <w:lang w:val="ru-RU"/>
        </w:rPr>
      </w:pPr>
    </w:p>
    <w:p w:rsidR="00B91F8B" w:rsidRPr="00B91F8B" w:rsidRDefault="00B91F8B" w:rsidP="00B91F8B">
      <w:pPr>
        <w:pStyle w:val="SingleTxt"/>
        <w:spacing w:after="0" w:line="120" w:lineRule="exact"/>
        <w:rPr>
          <w:sz w:val="10"/>
          <w:lang w:val="ru-RU"/>
        </w:rPr>
      </w:pPr>
    </w:p>
    <w:p w:rsidR="00E15507" w:rsidRDefault="00B91F8B" w:rsidP="00B91F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ru-RU"/>
        </w:rPr>
      </w:pPr>
      <w:r>
        <w:rPr>
          <w:lang w:val="ru-RU"/>
        </w:rPr>
        <w:tab/>
      </w:r>
      <w:r w:rsidR="00E15507" w:rsidRPr="005D6CD4">
        <w:rPr>
          <w:lang w:val="fr-FR"/>
        </w:rPr>
        <w:t>13.0</w:t>
      </w:r>
      <w:r w:rsidR="00E15507" w:rsidRPr="005D6CD4">
        <w:rPr>
          <w:lang w:val="fr-FR"/>
        </w:rPr>
        <w:tab/>
        <w:t>Mesures juridiques et autres</w:t>
      </w:r>
    </w:p>
    <w:p w:rsidR="00B91F8B" w:rsidRPr="00B91F8B" w:rsidRDefault="00B91F8B" w:rsidP="00B91F8B">
      <w:pPr>
        <w:pStyle w:val="SingleTxt"/>
        <w:spacing w:after="0" w:line="120" w:lineRule="exact"/>
        <w:rPr>
          <w:sz w:val="10"/>
          <w:lang w:val="ru-RU"/>
        </w:rPr>
      </w:pPr>
    </w:p>
    <w:p w:rsidR="00E15507" w:rsidRDefault="00B91F8B" w:rsidP="00B91F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rPr>
          <w:b w:val="0"/>
          <w:lang w:val="ru-RU"/>
        </w:rPr>
      </w:pPr>
      <w:r>
        <w:rPr>
          <w:lang w:val="ru-RU"/>
        </w:rPr>
        <w:tab/>
      </w:r>
      <w:r w:rsidR="00E15507" w:rsidRPr="005D6CD4">
        <w:rPr>
          <w:lang w:val="fr-FR"/>
        </w:rPr>
        <w:t xml:space="preserve">13.1 </w:t>
      </w:r>
      <w:r>
        <w:rPr>
          <w:lang w:val="ru-RU"/>
        </w:rPr>
        <w:tab/>
      </w:r>
      <w:r w:rsidR="00E15507" w:rsidRPr="00B91F8B">
        <w:rPr>
          <w:b w:val="0"/>
          <w:lang w:val="fr-FR"/>
        </w:rPr>
        <w:t xml:space="preserve">Les articles 13 – 18 de la Constitution de 1999 prévoient la promotion des droits économiques et sociaux des femmes. Les programmes </w:t>
      </w:r>
      <w:r w:rsidR="00E15507" w:rsidRPr="00B91F8B">
        <w:rPr>
          <w:b w:val="0"/>
          <w:i/>
          <w:lang w:val="fr-FR"/>
        </w:rPr>
        <w:t>NEEDS, SEEDS, LEEDS et FEEDS,</w:t>
      </w:r>
      <w:r w:rsidR="00E15507" w:rsidRPr="00B91F8B">
        <w:rPr>
          <w:b w:val="0"/>
          <w:lang w:val="fr-FR"/>
        </w:rPr>
        <w:t xml:space="preserve"> qui ont été lancés par les diverses instances gouvernementales en 2004, visent à réduire la pauvreté et l</w:t>
      </w:r>
      <w:r w:rsidR="000A3D87" w:rsidRPr="00B91F8B">
        <w:rPr>
          <w:b w:val="0"/>
          <w:lang w:val="fr-FR"/>
        </w:rPr>
        <w:t>’</w:t>
      </w:r>
      <w:r w:rsidR="00E15507" w:rsidRPr="00B91F8B">
        <w:rPr>
          <w:b w:val="0"/>
          <w:lang w:val="fr-FR"/>
        </w:rPr>
        <w:t xml:space="preserve">inégalité et à intégrer les préoccupations et le point de vue des femmes dans tous les programmes et politiques. </w:t>
      </w:r>
    </w:p>
    <w:p w:rsidR="00B91F8B" w:rsidRPr="00B91F8B" w:rsidRDefault="00B91F8B" w:rsidP="00B91F8B">
      <w:pPr>
        <w:pStyle w:val="SingleTxt"/>
        <w:spacing w:after="0" w:line="120" w:lineRule="exact"/>
        <w:rPr>
          <w:sz w:val="10"/>
          <w:lang w:val="ru-RU"/>
        </w:rPr>
      </w:pPr>
    </w:p>
    <w:p w:rsidR="00E15507" w:rsidRDefault="00B91F8B" w:rsidP="00AC2642">
      <w:pPr>
        <w:pStyle w:val="SingleTxt"/>
        <w:rPr>
          <w:lang w:val="ru-RU"/>
        </w:rPr>
      </w:pPr>
      <w:r>
        <w:rPr>
          <w:lang w:val="ru-RU"/>
        </w:rPr>
        <w:tab/>
      </w:r>
      <w:r w:rsidR="00E15507" w:rsidRPr="005D6CD4">
        <w:rPr>
          <w:lang w:val="fr-FR"/>
        </w:rPr>
        <w:t xml:space="preserve">En mars 2006, le </w:t>
      </w:r>
      <w:r w:rsidR="00E15507">
        <w:rPr>
          <w:lang w:val="fr-FR"/>
        </w:rPr>
        <w:t>G</w:t>
      </w:r>
      <w:r w:rsidR="00E15507" w:rsidRPr="005D6CD4">
        <w:rPr>
          <w:lang w:val="fr-FR"/>
        </w:rPr>
        <w:t>ouvernement fédéral, par le biais de la Commission nationale de la population, a réalisé en collaboration avec les partenaires d</w:t>
      </w:r>
      <w:r w:rsidR="00E15507">
        <w:rPr>
          <w:lang w:val="fr-FR"/>
        </w:rPr>
        <w:t>e</w:t>
      </w:r>
      <w:r w:rsidR="00E15507" w:rsidRPr="005D6CD4">
        <w:rPr>
          <w:lang w:val="fr-FR"/>
        </w:rPr>
        <w:t xml:space="preserve"> développement un</w:t>
      </w:r>
      <w:r w:rsidR="00E15507">
        <w:rPr>
          <w:lang w:val="fr-FR"/>
        </w:rPr>
        <w:t xml:space="preserve"> </w:t>
      </w:r>
      <w:r w:rsidR="00E15507" w:rsidRPr="005D6CD4">
        <w:rPr>
          <w:lang w:val="fr-FR"/>
        </w:rPr>
        <w:t>recensement général de la population et de l</w:t>
      </w:r>
      <w:r w:rsidR="000A3D87">
        <w:rPr>
          <w:lang w:val="fr-FR"/>
        </w:rPr>
        <w:t>’</w:t>
      </w:r>
      <w:r w:rsidR="00E15507" w:rsidRPr="005D6CD4">
        <w:rPr>
          <w:lang w:val="fr-FR"/>
        </w:rPr>
        <w:t>habitat, afin de déterminer le nombre réel de maisons et de personnes par sexe, en vue d</w:t>
      </w:r>
      <w:r w:rsidR="000A3D87">
        <w:rPr>
          <w:lang w:val="fr-FR"/>
        </w:rPr>
        <w:t>’</w:t>
      </w:r>
      <w:r w:rsidR="00E15507" w:rsidRPr="005D6CD4">
        <w:rPr>
          <w:lang w:val="fr-FR"/>
        </w:rPr>
        <w:t xml:space="preserve">une planification </w:t>
      </w:r>
      <w:r w:rsidR="00E15507">
        <w:rPr>
          <w:lang w:val="fr-FR"/>
        </w:rPr>
        <w:t>durable en matière d</w:t>
      </w:r>
      <w:r w:rsidR="000A3D87">
        <w:rPr>
          <w:lang w:val="fr-FR"/>
        </w:rPr>
        <w:t>’</w:t>
      </w:r>
      <w:r w:rsidR="00E15507" w:rsidRPr="005D6CD4">
        <w:rPr>
          <w:lang w:val="fr-FR"/>
        </w:rPr>
        <w:t>infrastructure</w:t>
      </w:r>
      <w:r w:rsidR="00E15507">
        <w:rPr>
          <w:lang w:val="fr-FR"/>
        </w:rPr>
        <w:t xml:space="preserve">s de </w:t>
      </w:r>
      <w:r w:rsidR="00E15507" w:rsidRPr="005D6CD4">
        <w:rPr>
          <w:lang w:val="fr-FR"/>
        </w:rPr>
        <w:t>développement économique.</w:t>
      </w:r>
    </w:p>
    <w:p w:rsidR="00B91F8B" w:rsidRPr="00B91F8B" w:rsidRDefault="00B91F8B" w:rsidP="00B91F8B">
      <w:pPr>
        <w:pStyle w:val="SingleTxt"/>
        <w:spacing w:after="0" w:line="120" w:lineRule="exact"/>
        <w:rPr>
          <w:sz w:val="10"/>
          <w:lang w:val="ru-RU"/>
        </w:rPr>
      </w:pPr>
    </w:p>
    <w:p w:rsidR="00E15507" w:rsidRDefault="00B91F8B" w:rsidP="00B91F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ru-RU"/>
        </w:rPr>
      </w:pPr>
      <w:r>
        <w:rPr>
          <w:lang w:val="ru-RU"/>
        </w:rPr>
        <w:tab/>
      </w:r>
      <w:r w:rsidR="00E15507" w:rsidRPr="005D6CD4">
        <w:rPr>
          <w:lang w:val="fr-FR"/>
        </w:rPr>
        <w:t xml:space="preserve">13.2 </w:t>
      </w:r>
      <w:r>
        <w:rPr>
          <w:lang w:val="ru-RU"/>
        </w:rPr>
        <w:tab/>
      </w:r>
      <w:r w:rsidR="00E15507" w:rsidRPr="005D6CD4">
        <w:rPr>
          <w:lang w:val="fr-FR"/>
        </w:rPr>
        <w:t>Progrès réel</w:t>
      </w:r>
      <w:r w:rsidR="00E15507">
        <w:rPr>
          <w:lang w:val="fr-FR"/>
        </w:rPr>
        <w:t>s</w:t>
      </w:r>
      <w:r w:rsidR="00E15507" w:rsidRPr="005D6CD4">
        <w:rPr>
          <w:lang w:val="fr-FR"/>
        </w:rPr>
        <w:t xml:space="preserve"> enregistré</w:t>
      </w:r>
      <w:r w:rsidR="00E15507">
        <w:rPr>
          <w:lang w:val="fr-FR"/>
        </w:rPr>
        <w:t>s</w:t>
      </w:r>
    </w:p>
    <w:p w:rsidR="00B91F8B" w:rsidRPr="00B91F8B" w:rsidRDefault="00B91F8B" w:rsidP="00B91F8B">
      <w:pPr>
        <w:pStyle w:val="SingleTxt"/>
        <w:spacing w:after="0" w:line="120" w:lineRule="exact"/>
        <w:rPr>
          <w:sz w:val="10"/>
          <w:lang w:val="ru-RU"/>
        </w:rPr>
      </w:pPr>
    </w:p>
    <w:p w:rsidR="00E15507" w:rsidRPr="005D6CD4" w:rsidRDefault="00B91F8B" w:rsidP="00AC2642">
      <w:pPr>
        <w:pStyle w:val="SingleTxt"/>
        <w:rPr>
          <w:lang w:val="fr-FR"/>
        </w:rPr>
      </w:pPr>
      <w:r>
        <w:rPr>
          <w:lang w:val="ru-RU"/>
        </w:rPr>
        <w:tab/>
      </w:r>
      <w:r w:rsidR="00E15507" w:rsidRPr="005D6CD4">
        <w:rPr>
          <w:lang w:val="fr-FR"/>
        </w:rPr>
        <w:t>Les ministères fédéraux et étatiques de</w:t>
      </w:r>
      <w:r w:rsidR="00E15507">
        <w:rPr>
          <w:lang w:val="fr-FR"/>
        </w:rPr>
        <w:t xml:space="preserve"> la Condition de la femme </w:t>
      </w:r>
      <w:r w:rsidR="00E15507" w:rsidRPr="005D6CD4">
        <w:rPr>
          <w:lang w:val="fr-FR"/>
        </w:rPr>
        <w:t>ont enregistré d</w:t>
      </w:r>
      <w:r w:rsidR="000A3D87">
        <w:rPr>
          <w:lang w:val="fr-FR"/>
        </w:rPr>
        <w:t>’</w:t>
      </w:r>
      <w:r w:rsidR="00E15507" w:rsidRPr="005D6CD4">
        <w:rPr>
          <w:lang w:val="fr-FR"/>
        </w:rPr>
        <w:t>importants succès dans la promotion des droits économiques et sociaux de la femme grâce à divers programmes d</w:t>
      </w:r>
      <w:r w:rsidR="000A3D87">
        <w:rPr>
          <w:lang w:val="fr-FR"/>
        </w:rPr>
        <w:t>’</w:t>
      </w:r>
      <w:r w:rsidR="00E15507" w:rsidRPr="005D6CD4">
        <w:rPr>
          <w:lang w:val="fr-FR"/>
        </w:rPr>
        <w:t>acquisition de techniques, des systèmes de microcrédit, des</w:t>
      </w:r>
      <w:r w:rsidR="00E15507">
        <w:rPr>
          <w:lang w:val="fr-FR"/>
        </w:rPr>
        <w:t xml:space="preserve"> </w:t>
      </w:r>
      <w:r w:rsidR="00E15507" w:rsidRPr="005D6CD4">
        <w:rPr>
          <w:lang w:val="fr-FR"/>
        </w:rPr>
        <w:t>campagnes de sensibilisation sur des sujets pertinents et d</w:t>
      </w:r>
      <w:r w:rsidR="000A3D87">
        <w:rPr>
          <w:lang w:val="fr-FR"/>
        </w:rPr>
        <w:t>’</w:t>
      </w:r>
      <w:r w:rsidR="00E15507" w:rsidRPr="005D6CD4">
        <w:rPr>
          <w:lang w:val="fr-FR"/>
        </w:rPr>
        <w:t>intérêt</w:t>
      </w:r>
      <w:r w:rsidR="00E15507">
        <w:rPr>
          <w:lang w:val="fr-FR"/>
        </w:rPr>
        <w:t xml:space="preserve"> </w:t>
      </w:r>
      <w:r w:rsidR="00E15507" w:rsidRPr="005D6CD4">
        <w:rPr>
          <w:lang w:val="fr-FR"/>
        </w:rPr>
        <w:t xml:space="preserve">pour les femmes. </w:t>
      </w:r>
      <w:r w:rsidR="00E15507">
        <w:rPr>
          <w:lang w:val="fr-FR"/>
        </w:rPr>
        <w:t>Les activités ci-après, menées par le ministère fédéral de la Condition de la femme et les ministères étatiques de la Condition de la femme</w:t>
      </w:r>
      <w:r w:rsidR="00E15507" w:rsidRPr="005D6CD4">
        <w:rPr>
          <w:lang w:val="fr-FR"/>
        </w:rPr>
        <w:t>, les ONG et les partenaires d</w:t>
      </w:r>
      <w:r w:rsidR="00E15507">
        <w:rPr>
          <w:lang w:val="fr-FR"/>
        </w:rPr>
        <w:t>e</w:t>
      </w:r>
      <w:r w:rsidR="00E15507" w:rsidRPr="005D6CD4">
        <w:rPr>
          <w:lang w:val="fr-FR"/>
        </w:rPr>
        <w:t xml:space="preserve"> développement</w:t>
      </w:r>
      <w:r w:rsidR="00E15507">
        <w:rPr>
          <w:lang w:val="fr-FR"/>
        </w:rPr>
        <w:t>,</w:t>
      </w:r>
      <w:r w:rsidR="00E15507" w:rsidRPr="005D6CD4">
        <w:rPr>
          <w:lang w:val="fr-FR"/>
        </w:rPr>
        <w:t xml:space="preserve"> ont aidé à promouvoir et à protég</w:t>
      </w:r>
      <w:r w:rsidR="00E15507">
        <w:rPr>
          <w:lang w:val="fr-FR"/>
        </w:rPr>
        <w:t xml:space="preserve">er </w:t>
      </w:r>
      <w:r w:rsidR="00E15507" w:rsidRPr="005D6CD4">
        <w:rPr>
          <w:lang w:val="fr-FR"/>
        </w:rPr>
        <w:t>les droits économiques et sociaux des femmes</w:t>
      </w:r>
      <w:r w:rsidR="00E15507">
        <w:rPr>
          <w:lang w:val="fr-FR"/>
        </w:rPr>
        <w:t> :</w:t>
      </w:r>
    </w:p>
    <w:p w:rsidR="00E15507" w:rsidRPr="005D6CD4" w:rsidRDefault="00B91F8B" w:rsidP="00B91F8B">
      <w:pPr>
        <w:pStyle w:val="SingleTxt"/>
        <w:numPr>
          <w:ilvl w:val="0"/>
          <w:numId w:val="35"/>
        </w:numPr>
        <w:rPr>
          <w:i/>
          <w:iCs/>
          <w:lang w:val="fr-FR"/>
        </w:rPr>
      </w:pPr>
      <w:r>
        <w:rPr>
          <w:i/>
          <w:iCs/>
          <w:lang w:val="ru-RU"/>
        </w:rPr>
        <w:tab/>
      </w:r>
      <w:r w:rsidR="00E15507" w:rsidRPr="005D6CD4">
        <w:rPr>
          <w:i/>
          <w:iCs/>
          <w:lang w:val="fr-FR"/>
        </w:rPr>
        <w:t>La distribution des outils agricoles et des matériels de transformation des produits alimentaires</w:t>
      </w:r>
      <w:r w:rsidR="00E15507">
        <w:rPr>
          <w:i/>
          <w:iCs/>
          <w:lang w:val="fr-FR"/>
        </w:rPr>
        <w:t xml:space="preserve"> </w:t>
      </w:r>
      <w:r w:rsidR="00E15507" w:rsidRPr="005D6CD4">
        <w:rPr>
          <w:i/>
          <w:iCs/>
          <w:lang w:val="fr-FR"/>
        </w:rPr>
        <w:t xml:space="preserve">dans 20 </w:t>
      </w:r>
      <w:r w:rsidR="00E15507" w:rsidRPr="005D6CD4">
        <w:rPr>
          <w:rFonts w:ascii="TimesNewRoman" w:hAnsi="TimesNewRoman"/>
          <w:i/>
          <w:iCs/>
          <w:lang w:val="fr-FR"/>
        </w:rPr>
        <w:t>É</w:t>
      </w:r>
      <w:r w:rsidR="00E15507" w:rsidRPr="005D6CD4">
        <w:rPr>
          <w:i/>
          <w:iCs/>
          <w:lang w:val="fr-FR"/>
        </w:rPr>
        <w:t xml:space="preserve">tats par le biais des ministères </w:t>
      </w:r>
      <w:r w:rsidR="00E15507">
        <w:rPr>
          <w:i/>
          <w:iCs/>
          <w:lang w:val="fr-FR"/>
        </w:rPr>
        <w:t>étatiques de la Condition de la femme,</w:t>
      </w:r>
      <w:r w:rsidR="00E15507" w:rsidRPr="005D6CD4">
        <w:rPr>
          <w:i/>
          <w:iCs/>
          <w:lang w:val="fr-FR"/>
        </w:rPr>
        <w:t xml:space="preserve"> dans le cadre de la célébration de l</w:t>
      </w:r>
      <w:r w:rsidR="000A3D87">
        <w:rPr>
          <w:i/>
          <w:iCs/>
          <w:lang w:val="fr-FR"/>
        </w:rPr>
        <w:t>’</w:t>
      </w:r>
      <w:r w:rsidR="00E15507" w:rsidRPr="005D6CD4">
        <w:rPr>
          <w:i/>
          <w:iCs/>
          <w:lang w:val="fr-FR"/>
        </w:rPr>
        <w:t xml:space="preserve">édition 2006 de la </w:t>
      </w:r>
      <w:r w:rsidR="00E15507">
        <w:rPr>
          <w:i/>
          <w:iCs/>
          <w:lang w:val="fr-FR"/>
        </w:rPr>
        <w:t>J</w:t>
      </w:r>
      <w:r w:rsidR="00E15507" w:rsidRPr="005D6CD4">
        <w:rPr>
          <w:i/>
          <w:iCs/>
          <w:lang w:val="fr-FR"/>
        </w:rPr>
        <w:t>ournée internationale de la femme. D</w:t>
      </w:r>
      <w:r w:rsidR="000A3D87">
        <w:rPr>
          <w:i/>
          <w:iCs/>
          <w:lang w:val="fr-FR"/>
        </w:rPr>
        <w:t>’</w:t>
      </w:r>
      <w:r w:rsidR="00E15507" w:rsidRPr="005D6CD4">
        <w:rPr>
          <w:i/>
          <w:iCs/>
          <w:lang w:val="fr-FR"/>
        </w:rPr>
        <w:t xml:space="preserve">autres </w:t>
      </w:r>
      <w:r w:rsidR="00E15507" w:rsidRPr="005D6CD4">
        <w:rPr>
          <w:rFonts w:ascii="TimesNewRoman" w:hAnsi="TimesNewRoman"/>
          <w:i/>
          <w:iCs/>
          <w:lang w:val="fr-FR"/>
        </w:rPr>
        <w:t>É</w:t>
      </w:r>
      <w:r w:rsidR="00E15507" w:rsidRPr="005D6CD4">
        <w:rPr>
          <w:i/>
          <w:iCs/>
          <w:lang w:val="fr-FR"/>
        </w:rPr>
        <w:t>tats devront bénéficier de la seconde phase du</w:t>
      </w:r>
      <w:r w:rsidR="00E15507">
        <w:rPr>
          <w:i/>
          <w:iCs/>
          <w:lang w:val="fr-FR"/>
        </w:rPr>
        <w:t xml:space="preserve"> </w:t>
      </w:r>
      <w:r w:rsidR="00E15507" w:rsidRPr="005D6CD4">
        <w:rPr>
          <w:i/>
          <w:iCs/>
          <w:lang w:val="fr-FR"/>
        </w:rPr>
        <w:t xml:space="preserve">projet. </w:t>
      </w:r>
    </w:p>
    <w:p w:rsidR="00E15507" w:rsidRPr="005D6CD4" w:rsidRDefault="00B91F8B" w:rsidP="00B91F8B">
      <w:pPr>
        <w:pStyle w:val="SingleTxt"/>
        <w:numPr>
          <w:ilvl w:val="0"/>
          <w:numId w:val="35"/>
        </w:numPr>
        <w:rPr>
          <w:i/>
          <w:iCs/>
          <w:lang w:val="fr-FR"/>
        </w:rPr>
      </w:pPr>
      <w:r>
        <w:rPr>
          <w:i/>
          <w:iCs/>
          <w:lang w:val="ru-RU"/>
        </w:rPr>
        <w:tab/>
      </w:r>
      <w:r w:rsidR="00E15507" w:rsidRPr="005D6CD4">
        <w:rPr>
          <w:i/>
          <w:iCs/>
          <w:lang w:val="fr-FR"/>
        </w:rPr>
        <w:t>Le recensement des</w:t>
      </w:r>
      <w:r w:rsidR="00E15507">
        <w:rPr>
          <w:i/>
          <w:iCs/>
          <w:lang w:val="fr-FR"/>
        </w:rPr>
        <w:t xml:space="preserve"> </w:t>
      </w:r>
      <w:r w:rsidR="00E15507" w:rsidRPr="005D6CD4">
        <w:rPr>
          <w:i/>
          <w:iCs/>
          <w:lang w:val="fr-FR"/>
        </w:rPr>
        <w:t>coopératives de femmes viables, par le biais d</w:t>
      </w:r>
      <w:r w:rsidR="000A3D87">
        <w:rPr>
          <w:i/>
          <w:iCs/>
          <w:lang w:val="fr-FR"/>
        </w:rPr>
        <w:t>’</w:t>
      </w:r>
      <w:r w:rsidR="00E15507" w:rsidRPr="005D6CD4">
        <w:rPr>
          <w:i/>
          <w:iCs/>
          <w:lang w:val="fr-FR"/>
        </w:rPr>
        <w:t xml:space="preserve">une enquête nationale menée par </w:t>
      </w:r>
      <w:r w:rsidR="00E15507">
        <w:rPr>
          <w:i/>
          <w:iCs/>
          <w:lang w:val="fr-FR"/>
        </w:rPr>
        <w:t>le ministère fédéral de la Condition de la femme</w:t>
      </w:r>
      <w:r w:rsidR="00E15507" w:rsidRPr="005D6CD4">
        <w:rPr>
          <w:i/>
          <w:iCs/>
          <w:lang w:val="fr-FR"/>
        </w:rPr>
        <w:t>, se poursuit.</w:t>
      </w:r>
    </w:p>
    <w:p w:rsidR="00E15507" w:rsidRPr="005D6CD4" w:rsidRDefault="00B91F8B" w:rsidP="00B91F8B">
      <w:pPr>
        <w:pStyle w:val="SingleTxt"/>
        <w:numPr>
          <w:ilvl w:val="0"/>
          <w:numId w:val="35"/>
        </w:numPr>
        <w:rPr>
          <w:i/>
          <w:iCs/>
          <w:lang w:val="fr-FR"/>
        </w:rPr>
      </w:pPr>
      <w:r>
        <w:rPr>
          <w:i/>
          <w:iCs/>
          <w:lang w:val="ru-RU"/>
        </w:rPr>
        <w:tab/>
      </w:r>
      <w:r w:rsidR="00E15507" w:rsidRPr="005D6CD4">
        <w:rPr>
          <w:i/>
          <w:iCs/>
          <w:lang w:val="fr-FR"/>
        </w:rPr>
        <w:t xml:space="preserve">Le </w:t>
      </w:r>
      <w:r w:rsidR="00E15507">
        <w:rPr>
          <w:i/>
          <w:iCs/>
          <w:lang w:val="fr-FR"/>
        </w:rPr>
        <w:t>G</w:t>
      </w:r>
      <w:r w:rsidR="00E15507" w:rsidRPr="005D6CD4">
        <w:rPr>
          <w:i/>
          <w:iCs/>
          <w:lang w:val="fr-FR"/>
        </w:rPr>
        <w:t>ouvernement a redynamisé le Programme national d</w:t>
      </w:r>
      <w:r w:rsidR="000A3D87">
        <w:rPr>
          <w:i/>
          <w:iCs/>
          <w:lang w:val="fr-FR"/>
        </w:rPr>
        <w:t>’</w:t>
      </w:r>
      <w:r w:rsidR="00E15507" w:rsidRPr="005D6CD4">
        <w:rPr>
          <w:i/>
          <w:iCs/>
          <w:lang w:val="fr-FR"/>
        </w:rPr>
        <w:t>éradication de la pauvreté en vue de faciliter l</w:t>
      </w:r>
      <w:r w:rsidR="000A3D87">
        <w:rPr>
          <w:i/>
          <w:iCs/>
          <w:lang w:val="fr-FR"/>
        </w:rPr>
        <w:t>’</w:t>
      </w:r>
      <w:r w:rsidR="00E15507" w:rsidRPr="005D6CD4">
        <w:rPr>
          <w:i/>
          <w:iCs/>
          <w:lang w:val="fr-FR"/>
        </w:rPr>
        <w:t>accès des femmes au crédit pour la création de petites entreprises. Ces crédits ont un taux d</w:t>
      </w:r>
      <w:r w:rsidR="000A3D87">
        <w:rPr>
          <w:i/>
          <w:iCs/>
          <w:lang w:val="fr-FR"/>
        </w:rPr>
        <w:t>’</w:t>
      </w:r>
      <w:r w:rsidR="00E15507" w:rsidRPr="005D6CD4">
        <w:rPr>
          <w:i/>
          <w:iCs/>
          <w:lang w:val="fr-FR"/>
        </w:rPr>
        <w:t>intérêt faible d</w:t>
      </w:r>
      <w:r w:rsidR="000A3D87">
        <w:rPr>
          <w:i/>
          <w:iCs/>
          <w:lang w:val="fr-FR"/>
        </w:rPr>
        <w:t>’</w:t>
      </w:r>
      <w:r w:rsidR="00E15507" w:rsidRPr="005D6CD4">
        <w:rPr>
          <w:i/>
          <w:iCs/>
          <w:lang w:val="fr-FR"/>
        </w:rPr>
        <w:t>environ 5</w:t>
      </w:r>
      <w:r w:rsidR="00E15507">
        <w:rPr>
          <w:i/>
          <w:iCs/>
          <w:lang w:val="fr-FR"/>
        </w:rPr>
        <w:t> </w:t>
      </w:r>
      <w:r w:rsidR="00E15507" w:rsidRPr="005D6CD4">
        <w:rPr>
          <w:i/>
          <w:iCs/>
          <w:lang w:val="fr-FR"/>
        </w:rPr>
        <w:t>% contre un taux élevé de</w:t>
      </w:r>
      <w:r w:rsidR="00E15507">
        <w:rPr>
          <w:i/>
          <w:iCs/>
          <w:lang w:val="fr-FR"/>
        </w:rPr>
        <w:t xml:space="preserve"> </w:t>
      </w:r>
      <w:r w:rsidR="00E15507" w:rsidRPr="005D6CD4">
        <w:rPr>
          <w:i/>
          <w:iCs/>
          <w:lang w:val="fr-FR"/>
        </w:rPr>
        <w:t>12,5</w:t>
      </w:r>
      <w:r w:rsidR="00E15507">
        <w:rPr>
          <w:i/>
          <w:iCs/>
          <w:lang w:val="fr-FR"/>
        </w:rPr>
        <w:t xml:space="preserve"> </w:t>
      </w:r>
      <w:r w:rsidR="00E15507" w:rsidRPr="005D6CD4">
        <w:rPr>
          <w:i/>
          <w:iCs/>
          <w:lang w:val="fr-FR"/>
        </w:rPr>
        <w:t>à</w:t>
      </w:r>
      <w:r w:rsidR="00E15507">
        <w:rPr>
          <w:i/>
          <w:iCs/>
          <w:lang w:val="fr-FR"/>
        </w:rPr>
        <w:t xml:space="preserve"> </w:t>
      </w:r>
      <w:r w:rsidR="00E15507" w:rsidRPr="005D6CD4">
        <w:rPr>
          <w:i/>
          <w:iCs/>
          <w:lang w:val="fr-FR"/>
        </w:rPr>
        <w:t>15</w:t>
      </w:r>
      <w:r w:rsidR="00E15507">
        <w:rPr>
          <w:i/>
          <w:iCs/>
          <w:lang w:val="fr-FR"/>
        </w:rPr>
        <w:t> </w:t>
      </w:r>
      <w:r w:rsidR="00E15507" w:rsidRPr="005D6CD4">
        <w:rPr>
          <w:i/>
          <w:iCs/>
          <w:lang w:val="fr-FR"/>
        </w:rPr>
        <w:t>%</w:t>
      </w:r>
      <w:r w:rsidR="00E15507">
        <w:rPr>
          <w:i/>
          <w:iCs/>
          <w:lang w:val="fr-FR"/>
        </w:rPr>
        <w:t xml:space="preserve"> </w:t>
      </w:r>
      <w:r w:rsidR="00E15507" w:rsidRPr="005D6CD4">
        <w:rPr>
          <w:i/>
          <w:iCs/>
          <w:lang w:val="fr-FR"/>
        </w:rPr>
        <w:t>appliqué par les banques commerciales.</w:t>
      </w:r>
    </w:p>
    <w:p w:rsidR="00E15507" w:rsidRPr="005D6CD4" w:rsidRDefault="00B91F8B" w:rsidP="00B91F8B">
      <w:pPr>
        <w:pStyle w:val="SingleTxt"/>
        <w:numPr>
          <w:ilvl w:val="0"/>
          <w:numId w:val="35"/>
        </w:numPr>
        <w:rPr>
          <w:i/>
          <w:iCs/>
          <w:lang w:val="fr-FR"/>
        </w:rPr>
      </w:pPr>
      <w:r>
        <w:rPr>
          <w:i/>
          <w:iCs/>
          <w:lang w:val="ru-RU"/>
        </w:rPr>
        <w:tab/>
      </w:r>
      <w:r w:rsidR="00E15507" w:rsidRPr="005D6CD4">
        <w:rPr>
          <w:i/>
          <w:iCs/>
          <w:lang w:val="fr-FR"/>
        </w:rPr>
        <w:t>Au titre de la saison agricole 2006, le</w:t>
      </w:r>
      <w:r w:rsidR="00E15507">
        <w:rPr>
          <w:i/>
          <w:iCs/>
          <w:lang w:val="fr-FR"/>
        </w:rPr>
        <w:t xml:space="preserve"> m</w:t>
      </w:r>
      <w:r w:rsidR="00E15507" w:rsidRPr="005D6CD4">
        <w:rPr>
          <w:i/>
          <w:iCs/>
          <w:lang w:val="fr-FR"/>
        </w:rPr>
        <w:t>inistère</w:t>
      </w:r>
      <w:r w:rsidR="00E15507">
        <w:rPr>
          <w:i/>
          <w:iCs/>
          <w:lang w:val="fr-FR"/>
        </w:rPr>
        <w:t xml:space="preserve"> </w:t>
      </w:r>
      <w:r w:rsidR="00E15507" w:rsidRPr="005D6CD4">
        <w:rPr>
          <w:i/>
          <w:iCs/>
          <w:lang w:val="fr-FR"/>
        </w:rPr>
        <w:t xml:space="preserve">fédéral des </w:t>
      </w:r>
      <w:r w:rsidR="00E15507">
        <w:rPr>
          <w:i/>
          <w:iCs/>
          <w:lang w:val="fr-FR"/>
        </w:rPr>
        <w:t>F</w:t>
      </w:r>
      <w:r w:rsidR="00E15507" w:rsidRPr="005D6CD4">
        <w:rPr>
          <w:i/>
          <w:iCs/>
          <w:lang w:val="fr-FR"/>
        </w:rPr>
        <w:t>inances</w:t>
      </w:r>
      <w:r w:rsidR="00E15507">
        <w:rPr>
          <w:i/>
          <w:iCs/>
          <w:lang w:val="fr-FR"/>
        </w:rPr>
        <w:t xml:space="preserve"> </w:t>
      </w:r>
      <w:r w:rsidR="00E15507" w:rsidRPr="005D6CD4">
        <w:rPr>
          <w:i/>
          <w:iCs/>
          <w:lang w:val="fr-FR"/>
        </w:rPr>
        <w:t>met,</w:t>
      </w:r>
      <w:r w:rsidR="00E15507">
        <w:rPr>
          <w:i/>
          <w:iCs/>
          <w:lang w:val="fr-FR"/>
        </w:rPr>
        <w:t xml:space="preserve"> </w:t>
      </w:r>
      <w:r w:rsidR="00E15507" w:rsidRPr="005D6CD4">
        <w:rPr>
          <w:i/>
          <w:iCs/>
          <w:lang w:val="fr-FR"/>
        </w:rPr>
        <w:t>par l</w:t>
      </w:r>
      <w:r w:rsidR="000A3D87">
        <w:rPr>
          <w:i/>
          <w:iCs/>
          <w:lang w:val="fr-FR"/>
        </w:rPr>
        <w:t>’</w:t>
      </w:r>
      <w:r w:rsidR="00E15507">
        <w:rPr>
          <w:i/>
          <w:iCs/>
          <w:lang w:val="fr-FR"/>
        </w:rPr>
        <w:t xml:space="preserve">intermédiaire </w:t>
      </w:r>
      <w:r w:rsidR="00E15507" w:rsidRPr="005D6CD4">
        <w:rPr>
          <w:i/>
          <w:iCs/>
          <w:lang w:val="fr-FR"/>
        </w:rPr>
        <w:t>de vingt-six grandes banques,</w:t>
      </w:r>
      <w:r w:rsidR="00E15507">
        <w:rPr>
          <w:i/>
          <w:iCs/>
          <w:lang w:val="fr-FR"/>
        </w:rPr>
        <w:t xml:space="preserve"> </w:t>
      </w:r>
      <w:r w:rsidR="00E15507" w:rsidRPr="005D6CD4">
        <w:rPr>
          <w:i/>
          <w:iCs/>
          <w:lang w:val="fr-FR"/>
        </w:rPr>
        <w:t>500</w:t>
      </w:r>
      <w:r w:rsidR="00E15507">
        <w:rPr>
          <w:i/>
          <w:iCs/>
          <w:lang w:val="fr-FR"/>
        </w:rPr>
        <w:t> </w:t>
      </w:r>
      <w:r w:rsidR="00E15507" w:rsidRPr="005D6CD4">
        <w:rPr>
          <w:i/>
          <w:iCs/>
          <w:lang w:val="fr-FR"/>
        </w:rPr>
        <w:t>000</w:t>
      </w:r>
      <w:r w:rsidR="00E15507">
        <w:rPr>
          <w:i/>
          <w:iCs/>
          <w:lang w:val="fr-FR"/>
        </w:rPr>
        <w:t> </w:t>
      </w:r>
      <w:r w:rsidR="00E15507" w:rsidRPr="005D6CD4">
        <w:rPr>
          <w:i/>
          <w:iCs/>
          <w:lang w:val="fr-FR"/>
        </w:rPr>
        <w:t xml:space="preserve">000 </w:t>
      </w:r>
      <w:r w:rsidR="00E15507">
        <w:rPr>
          <w:i/>
          <w:iCs/>
          <w:lang w:val="fr-FR"/>
        </w:rPr>
        <w:t xml:space="preserve">de nairas de crédits </w:t>
      </w:r>
      <w:r w:rsidR="00E15507" w:rsidRPr="005D6CD4">
        <w:rPr>
          <w:i/>
          <w:iCs/>
          <w:lang w:val="fr-FR"/>
        </w:rPr>
        <w:t>à la disposition des femmes engagées dans la production et la transformation des produits agricoles.</w:t>
      </w:r>
    </w:p>
    <w:p w:rsidR="00E15507" w:rsidRPr="005D6CD4" w:rsidRDefault="00B91F8B" w:rsidP="00AC2642">
      <w:pPr>
        <w:pStyle w:val="SingleTxt"/>
        <w:rPr>
          <w:rFonts w:eastAsia="Arial Unicode MS"/>
          <w:lang w:val="fr-FR"/>
        </w:rPr>
      </w:pPr>
      <w:r>
        <w:rPr>
          <w:lang w:val="ru-RU"/>
        </w:rPr>
        <w:tab/>
      </w:r>
      <w:r w:rsidR="00E15507" w:rsidRPr="005D6CD4">
        <w:rPr>
          <w:lang w:val="fr-FR"/>
        </w:rPr>
        <w:t xml:space="preserve">En 2006, </w:t>
      </w:r>
      <w:r w:rsidR="00E15507" w:rsidRPr="00D04ABD">
        <w:rPr>
          <w:rFonts w:eastAsia="Arial Unicode MS"/>
          <w:lang w:val="fr-FR"/>
        </w:rPr>
        <w:t>Access Bank</w:t>
      </w:r>
      <w:r w:rsidR="00E15507" w:rsidRPr="005D6CD4">
        <w:rPr>
          <w:rFonts w:eastAsia="Arial Unicode MS"/>
          <w:lang w:val="fr-FR"/>
        </w:rPr>
        <w:t xml:space="preserve"> et la Société financière internationale ont mis en place un programme d</w:t>
      </w:r>
      <w:r w:rsidR="000A3D87">
        <w:rPr>
          <w:rFonts w:eastAsia="Arial Unicode MS"/>
          <w:lang w:val="fr-FR"/>
        </w:rPr>
        <w:t>’</w:t>
      </w:r>
      <w:r w:rsidR="00E15507" w:rsidRPr="005D6CD4">
        <w:rPr>
          <w:rFonts w:eastAsia="Arial Unicode MS"/>
          <w:lang w:val="fr-FR"/>
        </w:rPr>
        <w:t>entrepreneuriat féminin. Il s</w:t>
      </w:r>
      <w:r w:rsidR="000A3D87">
        <w:rPr>
          <w:rFonts w:eastAsia="Arial Unicode MS"/>
          <w:lang w:val="fr-FR"/>
        </w:rPr>
        <w:t>’</w:t>
      </w:r>
      <w:r w:rsidR="00E15507" w:rsidRPr="005D6CD4">
        <w:rPr>
          <w:rFonts w:eastAsia="Arial Unicode MS"/>
          <w:lang w:val="fr-FR"/>
        </w:rPr>
        <w:t>agit d</w:t>
      </w:r>
      <w:r w:rsidR="000A3D87">
        <w:rPr>
          <w:rFonts w:eastAsia="Arial Unicode MS"/>
          <w:lang w:val="fr-FR"/>
        </w:rPr>
        <w:t>’</w:t>
      </w:r>
      <w:r w:rsidR="00E15507" w:rsidRPr="005D6CD4">
        <w:rPr>
          <w:rFonts w:eastAsia="Arial Unicode MS"/>
          <w:lang w:val="fr-FR"/>
        </w:rPr>
        <w:t>un crédit de 15 millions de dollars destiné à améliorer la capacité managériale des femmes pour leur permettre d</w:t>
      </w:r>
      <w:r w:rsidR="000A3D87">
        <w:rPr>
          <w:rFonts w:eastAsia="Arial Unicode MS"/>
          <w:lang w:val="fr-FR"/>
        </w:rPr>
        <w:t>’</w:t>
      </w:r>
      <w:r w:rsidR="00E15507" w:rsidRPr="005D6CD4">
        <w:rPr>
          <w:rFonts w:eastAsia="Arial Unicode MS"/>
          <w:lang w:val="fr-FR"/>
        </w:rPr>
        <w:t xml:space="preserve">avoir accès aux capitaux. </w:t>
      </w:r>
    </w:p>
    <w:p w:rsidR="00E15507" w:rsidRDefault="00E15507" w:rsidP="00E15507">
      <w:pPr>
        <w:pStyle w:val="DefaultText"/>
        <w:spacing w:line="480" w:lineRule="auto"/>
        <w:ind w:left="357"/>
        <w:jc w:val="both"/>
        <w:rPr>
          <w:rFonts w:eastAsia="Arial Unicode MS"/>
          <w:i/>
          <w:iCs/>
          <w:noProof w:val="0"/>
          <w:szCs w:val="24"/>
          <w:lang w:val="ru-RU"/>
        </w:rPr>
      </w:pPr>
    </w:p>
    <w:p w:rsidR="00B91F8B" w:rsidRDefault="00B91F8B" w:rsidP="00B91F8B">
      <w:pPr>
        <w:pStyle w:val="SingleTxt"/>
        <w:jc w:val="left"/>
        <w:rPr>
          <w:rFonts w:eastAsia="Arial Unicode MS"/>
          <w:b/>
          <w:lang w:val="ru-RU"/>
        </w:rPr>
      </w:pPr>
      <w:r w:rsidRPr="00B91F8B">
        <w:rPr>
          <w:rFonts w:eastAsia="Arial Unicode MS"/>
          <w:lang w:val="ru-RU"/>
        </w:rPr>
        <w:t>Tableau 13.1</w:t>
      </w:r>
      <w:r>
        <w:rPr>
          <w:rFonts w:eastAsia="Arial Unicode MS"/>
          <w:lang w:val="ru-RU"/>
        </w:rPr>
        <w:br/>
      </w:r>
      <w:r w:rsidRPr="00B91F8B">
        <w:rPr>
          <w:rFonts w:eastAsia="Arial Unicode MS"/>
          <w:b/>
          <w:lang w:val="ru-RU"/>
        </w:rPr>
        <w:t>Répartition des bénéficiaires des centres de promotion de la femme par niveau d’instruction</w:t>
      </w:r>
    </w:p>
    <w:p w:rsidR="003E72A3" w:rsidRPr="003E72A3" w:rsidRDefault="003E72A3" w:rsidP="003E72A3">
      <w:pPr>
        <w:pStyle w:val="SingleTxt"/>
        <w:spacing w:after="0" w:line="120" w:lineRule="exact"/>
        <w:jc w:val="left"/>
        <w:rPr>
          <w:rFonts w:eastAsia="Arial Unicode MS"/>
          <w:b/>
          <w:sz w:val="10"/>
          <w:lang w:val="ru-RU"/>
        </w:rPr>
      </w:pPr>
    </w:p>
    <w:tbl>
      <w:tblPr>
        <w:tblW w:w="0" w:type="auto"/>
        <w:tblInd w:w="1260" w:type="dxa"/>
        <w:tblLayout w:type="fixed"/>
        <w:tblCellMar>
          <w:left w:w="0" w:type="dxa"/>
          <w:right w:w="0" w:type="dxa"/>
        </w:tblCellMar>
        <w:tblLook w:val="0000"/>
      </w:tblPr>
      <w:tblGrid>
        <w:gridCol w:w="3660"/>
        <w:gridCol w:w="1470"/>
      </w:tblGrid>
      <w:tr w:rsidR="00B91F8B">
        <w:tblPrEx>
          <w:tblCellMar>
            <w:top w:w="0" w:type="dxa"/>
            <w:bottom w:w="0" w:type="dxa"/>
          </w:tblCellMar>
        </w:tblPrEx>
        <w:tc>
          <w:tcPr>
            <w:tcW w:w="3660" w:type="dxa"/>
            <w:shd w:val="clear" w:color="auto" w:fill="auto"/>
          </w:tcPr>
          <w:p w:rsidR="00B91F8B" w:rsidRPr="00B91F8B" w:rsidRDefault="00B91F8B" w:rsidP="003E72A3">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40" w:after="40"/>
              <w:ind w:right="43"/>
              <w:rPr>
                <w:b/>
                <w:sz w:val="17"/>
                <w:szCs w:val="17"/>
                <w:lang w:val="fr-FR"/>
              </w:rPr>
            </w:pPr>
            <w:r w:rsidRPr="00B91F8B">
              <w:rPr>
                <w:b/>
                <w:sz w:val="17"/>
                <w:szCs w:val="17"/>
                <w:lang w:val="fr-FR"/>
              </w:rPr>
              <w:t>Niveau tertiaire</w:t>
            </w:r>
          </w:p>
        </w:tc>
        <w:tc>
          <w:tcPr>
            <w:tcW w:w="1470" w:type="dxa"/>
            <w:shd w:val="clear" w:color="auto" w:fill="auto"/>
          </w:tcPr>
          <w:p w:rsidR="00B91F8B" w:rsidRPr="00B91F8B" w:rsidRDefault="00B91F8B" w:rsidP="003E72A3">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40" w:after="40"/>
              <w:ind w:right="43"/>
              <w:jc w:val="right"/>
              <w:rPr>
                <w:sz w:val="17"/>
                <w:szCs w:val="17"/>
                <w:lang w:val="fr-FR"/>
              </w:rPr>
            </w:pPr>
            <w:r w:rsidRPr="00B91F8B">
              <w:rPr>
                <w:sz w:val="17"/>
                <w:szCs w:val="17"/>
                <w:lang w:val="fr-FR"/>
              </w:rPr>
              <w:t>22,22 %</w:t>
            </w:r>
          </w:p>
        </w:tc>
      </w:tr>
      <w:tr w:rsidR="00B91F8B">
        <w:tblPrEx>
          <w:tblCellMar>
            <w:top w:w="0" w:type="dxa"/>
            <w:bottom w:w="0" w:type="dxa"/>
          </w:tblCellMar>
        </w:tblPrEx>
        <w:tc>
          <w:tcPr>
            <w:tcW w:w="3660" w:type="dxa"/>
            <w:shd w:val="clear" w:color="auto" w:fill="auto"/>
          </w:tcPr>
          <w:p w:rsidR="00B91F8B" w:rsidRPr="00B91F8B" w:rsidRDefault="00B91F8B" w:rsidP="003E72A3">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40" w:after="40"/>
              <w:ind w:right="43"/>
              <w:rPr>
                <w:b/>
                <w:sz w:val="17"/>
                <w:szCs w:val="17"/>
                <w:lang w:val="fr-FR"/>
              </w:rPr>
            </w:pPr>
            <w:r w:rsidRPr="00B91F8B">
              <w:rPr>
                <w:b/>
                <w:sz w:val="17"/>
                <w:szCs w:val="17"/>
                <w:lang w:val="fr-FR"/>
              </w:rPr>
              <w:t>Niveau secondaire</w:t>
            </w:r>
          </w:p>
        </w:tc>
        <w:tc>
          <w:tcPr>
            <w:tcW w:w="1470" w:type="dxa"/>
            <w:shd w:val="clear" w:color="auto" w:fill="auto"/>
          </w:tcPr>
          <w:p w:rsidR="00B91F8B" w:rsidRPr="00B91F8B" w:rsidRDefault="00B91F8B" w:rsidP="003E72A3">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40" w:after="40"/>
              <w:ind w:right="43"/>
              <w:jc w:val="right"/>
              <w:rPr>
                <w:sz w:val="17"/>
                <w:szCs w:val="17"/>
                <w:lang w:val="fr-FR"/>
              </w:rPr>
            </w:pPr>
            <w:r w:rsidRPr="00B91F8B">
              <w:rPr>
                <w:sz w:val="17"/>
                <w:szCs w:val="17"/>
                <w:lang w:val="fr-FR"/>
              </w:rPr>
              <w:t>50,98 %</w:t>
            </w:r>
          </w:p>
        </w:tc>
      </w:tr>
      <w:tr w:rsidR="00B91F8B">
        <w:tblPrEx>
          <w:tblCellMar>
            <w:top w:w="0" w:type="dxa"/>
            <w:bottom w:w="0" w:type="dxa"/>
          </w:tblCellMar>
        </w:tblPrEx>
        <w:tc>
          <w:tcPr>
            <w:tcW w:w="3660" w:type="dxa"/>
            <w:shd w:val="clear" w:color="auto" w:fill="auto"/>
          </w:tcPr>
          <w:p w:rsidR="00B91F8B" w:rsidRPr="00B91F8B" w:rsidRDefault="00B91F8B" w:rsidP="003E72A3">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40" w:after="40"/>
              <w:ind w:right="43"/>
              <w:rPr>
                <w:b/>
                <w:sz w:val="17"/>
                <w:szCs w:val="17"/>
                <w:lang w:val="fr-FR"/>
              </w:rPr>
            </w:pPr>
            <w:r w:rsidRPr="00B91F8B">
              <w:rPr>
                <w:b/>
                <w:sz w:val="17"/>
                <w:szCs w:val="17"/>
                <w:lang w:val="fr-FR"/>
              </w:rPr>
              <w:t>Niveau primaire</w:t>
            </w:r>
          </w:p>
        </w:tc>
        <w:tc>
          <w:tcPr>
            <w:tcW w:w="1470" w:type="dxa"/>
            <w:shd w:val="clear" w:color="auto" w:fill="auto"/>
          </w:tcPr>
          <w:p w:rsidR="00B91F8B" w:rsidRPr="00B91F8B" w:rsidRDefault="00B91F8B" w:rsidP="003E72A3">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40" w:after="40"/>
              <w:ind w:right="43"/>
              <w:jc w:val="right"/>
              <w:rPr>
                <w:sz w:val="17"/>
                <w:szCs w:val="17"/>
                <w:lang w:val="fr-FR"/>
              </w:rPr>
            </w:pPr>
            <w:r w:rsidRPr="00B91F8B">
              <w:rPr>
                <w:sz w:val="17"/>
                <w:szCs w:val="17"/>
                <w:lang w:val="fr-FR"/>
              </w:rPr>
              <w:t>17,65 %</w:t>
            </w:r>
          </w:p>
        </w:tc>
      </w:tr>
      <w:tr w:rsidR="00B91F8B">
        <w:tblPrEx>
          <w:tblCellMar>
            <w:top w:w="0" w:type="dxa"/>
            <w:bottom w:w="0" w:type="dxa"/>
          </w:tblCellMar>
        </w:tblPrEx>
        <w:tc>
          <w:tcPr>
            <w:tcW w:w="3660" w:type="dxa"/>
            <w:shd w:val="clear" w:color="auto" w:fill="auto"/>
          </w:tcPr>
          <w:p w:rsidR="00B91F8B" w:rsidRPr="00B91F8B" w:rsidRDefault="00B91F8B" w:rsidP="003E72A3">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40" w:after="40"/>
              <w:ind w:right="43"/>
              <w:rPr>
                <w:b/>
                <w:sz w:val="17"/>
                <w:szCs w:val="17"/>
                <w:lang w:val="fr-FR"/>
              </w:rPr>
            </w:pPr>
            <w:r w:rsidRPr="00B91F8B">
              <w:rPr>
                <w:b/>
                <w:sz w:val="17"/>
                <w:szCs w:val="17"/>
                <w:lang w:val="fr-FR"/>
              </w:rPr>
              <w:t>Education coranique ou pour adultes</w:t>
            </w:r>
          </w:p>
        </w:tc>
        <w:tc>
          <w:tcPr>
            <w:tcW w:w="1470" w:type="dxa"/>
            <w:shd w:val="clear" w:color="auto" w:fill="auto"/>
          </w:tcPr>
          <w:p w:rsidR="00B91F8B" w:rsidRPr="00B91F8B" w:rsidRDefault="00B91F8B" w:rsidP="003E72A3">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40" w:after="40"/>
              <w:ind w:right="43"/>
              <w:jc w:val="right"/>
              <w:rPr>
                <w:sz w:val="17"/>
                <w:szCs w:val="17"/>
                <w:lang w:val="fr-FR"/>
              </w:rPr>
            </w:pPr>
            <w:r w:rsidRPr="00B91F8B">
              <w:rPr>
                <w:sz w:val="17"/>
                <w:szCs w:val="17"/>
                <w:lang w:val="fr-FR"/>
              </w:rPr>
              <w:t>3,47 %</w:t>
            </w:r>
          </w:p>
        </w:tc>
      </w:tr>
      <w:tr w:rsidR="00B91F8B">
        <w:tblPrEx>
          <w:tblCellMar>
            <w:top w:w="0" w:type="dxa"/>
            <w:bottom w:w="0" w:type="dxa"/>
          </w:tblCellMar>
        </w:tblPrEx>
        <w:tc>
          <w:tcPr>
            <w:tcW w:w="3660" w:type="dxa"/>
            <w:shd w:val="clear" w:color="auto" w:fill="auto"/>
          </w:tcPr>
          <w:p w:rsidR="00B91F8B" w:rsidRPr="00B91F8B" w:rsidRDefault="00B91F8B" w:rsidP="003E72A3">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40" w:after="40"/>
              <w:ind w:right="43"/>
              <w:rPr>
                <w:b/>
                <w:sz w:val="17"/>
                <w:szCs w:val="17"/>
                <w:lang w:val="fr-FR"/>
              </w:rPr>
            </w:pPr>
            <w:r w:rsidRPr="00B91F8B">
              <w:rPr>
                <w:b/>
                <w:sz w:val="17"/>
                <w:szCs w:val="17"/>
                <w:lang w:val="fr-FR"/>
              </w:rPr>
              <w:t>Analphabètes</w:t>
            </w:r>
          </w:p>
        </w:tc>
        <w:tc>
          <w:tcPr>
            <w:tcW w:w="1470" w:type="dxa"/>
            <w:shd w:val="clear" w:color="auto" w:fill="auto"/>
          </w:tcPr>
          <w:p w:rsidR="00B91F8B" w:rsidRPr="00B91F8B" w:rsidRDefault="00B91F8B" w:rsidP="003E72A3">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40" w:after="40"/>
              <w:ind w:right="43"/>
              <w:jc w:val="right"/>
              <w:rPr>
                <w:sz w:val="17"/>
                <w:szCs w:val="17"/>
                <w:lang w:val="fr-FR"/>
              </w:rPr>
            </w:pPr>
            <w:r w:rsidRPr="00B91F8B">
              <w:rPr>
                <w:sz w:val="17"/>
                <w:szCs w:val="17"/>
                <w:lang w:val="fr-FR"/>
              </w:rPr>
              <w:t>5,88 %</w:t>
            </w:r>
          </w:p>
        </w:tc>
      </w:tr>
    </w:tbl>
    <w:p w:rsidR="00B91F8B" w:rsidRDefault="00B91F8B" w:rsidP="00B91F8B">
      <w:pPr>
        <w:pStyle w:val="SingleTxt"/>
        <w:jc w:val="left"/>
        <w:rPr>
          <w:rFonts w:eastAsia="Arial Unicode MS"/>
          <w:b/>
          <w:lang w:val="ru-RU"/>
        </w:rPr>
      </w:pPr>
    </w:p>
    <w:p w:rsidR="00E15507" w:rsidRPr="003E72A3" w:rsidRDefault="00E15507" w:rsidP="009546E1">
      <w:pPr>
        <w:pStyle w:val="SingleTxt"/>
        <w:numPr>
          <w:ilvl w:val="0"/>
          <w:numId w:val="36"/>
        </w:numPr>
        <w:tabs>
          <w:tab w:val="clear" w:pos="1987"/>
        </w:tabs>
        <w:ind w:left="1710" w:hanging="450"/>
        <w:rPr>
          <w:i/>
          <w:iCs/>
          <w:lang w:val="fr-FR"/>
        </w:rPr>
      </w:pPr>
      <w:r w:rsidRPr="003E72A3">
        <w:rPr>
          <w:i/>
          <w:iCs/>
          <w:lang w:val="fr-FR"/>
        </w:rPr>
        <w:t>Le Centre national pour la promotion de la femme suit et évalue depuis 2002 les centres de promotion de la femme à travers le pays, dans le but de les réorienter en vue d</w:t>
      </w:r>
      <w:r w:rsidR="000A3D87" w:rsidRPr="003E72A3">
        <w:rPr>
          <w:i/>
          <w:iCs/>
          <w:lang w:val="fr-FR"/>
        </w:rPr>
        <w:t>’</w:t>
      </w:r>
      <w:r w:rsidRPr="003E72A3">
        <w:rPr>
          <w:i/>
          <w:iCs/>
          <w:lang w:val="fr-FR"/>
        </w:rPr>
        <w:t>une utilisation optimale de leur capacité. Le rapport initial sur l</w:t>
      </w:r>
      <w:r w:rsidR="000A3D87" w:rsidRPr="003E72A3">
        <w:rPr>
          <w:i/>
          <w:iCs/>
          <w:lang w:val="fr-FR"/>
        </w:rPr>
        <w:t>’</w:t>
      </w:r>
      <w:r w:rsidRPr="003E72A3">
        <w:rPr>
          <w:i/>
          <w:iCs/>
          <w:lang w:val="fr-FR"/>
        </w:rPr>
        <w:t xml:space="preserve">état des lieux concernant 25 </w:t>
      </w:r>
      <w:r w:rsidRPr="003E72A3">
        <w:rPr>
          <w:rFonts w:ascii="TimesNewRoman" w:hAnsi="TimesNewRoman"/>
          <w:i/>
          <w:iCs/>
          <w:lang w:val="fr-FR"/>
        </w:rPr>
        <w:t>É</w:t>
      </w:r>
      <w:r w:rsidRPr="003E72A3">
        <w:rPr>
          <w:i/>
          <w:iCs/>
          <w:lang w:val="fr-FR"/>
        </w:rPr>
        <w:t>tats, qui a été présenté en mars 2005, a permis de rénover et d</w:t>
      </w:r>
      <w:r w:rsidR="000A3D87" w:rsidRPr="003E72A3">
        <w:rPr>
          <w:i/>
          <w:iCs/>
          <w:lang w:val="fr-FR"/>
        </w:rPr>
        <w:t>’</w:t>
      </w:r>
      <w:r w:rsidRPr="003E72A3">
        <w:rPr>
          <w:i/>
          <w:iCs/>
          <w:lang w:val="fr-FR"/>
        </w:rPr>
        <w:t>équiper quelques-uns pour qu</w:t>
      </w:r>
      <w:r w:rsidR="000A3D87" w:rsidRPr="003E72A3">
        <w:rPr>
          <w:i/>
          <w:iCs/>
          <w:lang w:val="fr-FR"/>
        </w:rPr>
        <w:t>’</w:t>
      </w:r>
      <w:r w:rsidRPr="003E72A3">
        <w:rPr>
          <w:i/>
          <w:iCs/>
          <w:lang w:val="fr-FR"/>
        </w:rPr>
        <w:t>ils offrent des formations en couture, broderie, agriculture, cuisine, élevage de la volaille, y compris en matière de prise de conscience sur l</w:t>
      </w:r>
      <w:r w:rsidR="000A3D87" w:rsidRPr="003E72A3">
        <w:rPr>
          <w:i/>
          <w:iCs/>
          <w:lang w:val="fr-FR"/>
        </w:rPr>
        <w:t>’</w:t>
      </w:r>
      <w:r w:rsidRPr="003E72A3">
        <w:rPr>
          <w:i/>
          <w:iCs/>
          <w:lang w:val="fr-FR"/>
        </w:rPr>
        <w:t>égalité des sexes et des droits de l</w:t>
      </w:r>
      <w:r w:rsidR="000A3D87" w:rsidRPr="003E72A3">
        <w:rPr>
          <w:i/>
          <w:iCs/>
          <w:lang w:val="fr-FR"/>
        </w:rPr>
        <w:t>’</w:t>
      </w:r>
      <w:r w:rsidRPr="003E72A3">
        <w:rPr>
          <w:i/>
          <w:iCs/>
          <w:lang w:val="fr-FR"/>
        </w:rPr>
        <w:t>homme. Il en a résulté un soutien accru des femmes instruites et analphabètes.</w:t>
      </w:r>
    </w:p>
    <w:p w:rsidR="00E15507" w:rsidRPr="003E72A3" w:rsidRDefault="00E15507" w:rsidP="009546E1">
      <w:pPr>
        <w:pStyle w:val="SingleTxt"/>
        <w:numPr>
          <w:ilvl w:val="0"/>
          <w:numId w:val="36"/>
        </w:numPr>
        <w:tabs>
          <w:tab w:val="clear" w:pos="1987"/>
        </w:tabs>
        <w:ind w:left="1710" w:hanging="450"/>
        <w:rPr>
          <w:i/>
          <w:lang w:val="fr-FR"/>
        </w:rPr>
      </w:pPr>
      <w:r w:rsidRPr="003E72A3">
        <w:rPr>
          <w:i/>
          <w:lang w:val="fr-FR"/>
        </w:rPr>
        <w:t>Le rapport montre la répartition des bénéficiaires des centres de promotion de la femme par niveau d</w:t>
      </w:r>
      <w:r w:rsidR="000A3D87" w:rsidRPr="003E72A3">
        <w:rPr>
          <w:i/>
          <w:lang w:val="fr-FR"/>
        </w:rPr>
        <w:t>’</w:t>
      </w:r>
      <w:r w:rsidRPr="003E72A3">
        <w:rPr>
          <w:i/>
          <w:lang w:val="fr-FR"/>
        </w:rPr>
        <w:t xml:space="preserve">instruction entre 2002 et 2004. </w:t>
      </w:r>
    </w:p>
    <w:p w:rsidR="00E15507" w:rsidRPr="005D6CD4" w:rsidRDefault="003E72A3" w:rsidP="00AC2642">
      <w:pPr>
        <w:pStyle w:val="SingleTxt"/>
        <w:rPr>
          <w:lang w:val="fr-FR"/>
        </w:rPr>
      </w:pPr>
      <w:r>
        <w:rPr>
          <w:lang w:val="fr-FR"/>
        </w:rPr>
        <w:tab/>
      </w:r>
      <w:r w:rsidR="00E15507" w:rsidRPr="005D6CD4">
        <w:rPr>
          <w:lang w:val="fr-FR"/>
        </w:rPr>
        <w:t xml:space="preserve">Il ressort des chiffres ci-dessus que les centres de promotion de la femme offrent des formations aux femmes de tous les niveaux </w:t>
      </w:r>
      <w:r w:rsidR="00E15507">
        <w:rPr>
          <w:lang w:val="fr-FR"/>
        </w:rPr>
        <w:t>d</w:t>
      </w:r>
      <w:r w:rsidR="000A3D87">
        <w:rPr>
          <w:lang w:val="fr-FR"/>
        </w:rPr>
        <w:t>’</w:t>
      </w:r>
      <w:r w:rsidR="00E15507">
        <w:rPr>
          <w:lang w:val="fr-FR"/>
        </w:rPr>
        <w:t>instruction</w:t>
      </w:r>
      <w:r w:rsidR="00E15507" w:rsidRPr="005D6CD4">
        <w:rPr>
          <w:lang w:val="fr-FR"/>
        </w:rPr>
        <w:t>. Environ 95,43</w:t>
      </w:r>
      <w:r w:rsidR="00E15507">
        <w:rPr>
          <w:lang w:val="fr-FR"/>
        </w:rPr>
        <w:t> </w:t>
      </w:r>
      <w:r w:rsidR="00E15507" w:rsidRPr="005D6CD4">
        <w:rPr>
          <w:lang w:val="fr-FR"/>
        </w:rPr>
        <w:t>% de</w:t>
      </w:r>
      <w:r w:rsidR="00E15507">
        <w:rPr>
          <w:lang w:val="fr-FR"/>
        </w:rPr>
        <w:t>s</w:t>
      </w:r>
      <w:r w:rsidR="00E15507" w:rsidRPr="005D6CD4">
        <w:rPr>
          <w:lang w:val="fr-FR"/>
        </w:rPr>
        <w:t xml:space="preserve"> bénéficiaires ont estimé que les activités de</w:t>
      </w:r>
      <w:r w:rsidR="00E15507">
        <w:rPr>
          <w:lang w:val="fr-FR"/>
        </w:rPr>
        <w:t xml:space="preserve"> ce</w:t>
      </w:r>
      <w:r w:rsidR="00E15507" w:rsidRPr="005D6CD4">
        <w:rPr>
          <w:lang w:val="fr-FR"/>
        </w:rPr>
        <w:t>s centres leur ont été bénéfiques contre 4,5</w:t>
      </w:r>
      <w:r w:rsidR="00E15507">
        <w:rPr>
          <w:lang w:val="fr-FR"/>
        </w:rPr>
        <w:t> </w:t>
      </w:r>
      <w:r w:rsidR="00E15507" w:rsidRPr="005D6CD4">
        <w:rPr>
          <w:lang w:val="fr-FR"/>
        </w:rPr>
        <w:t>% qui estiment qu</w:t>
      </w:r>
      <w:r w:rsidR="000A3D87">
        <w:rPr>
          <w:lang w:val="fr-FR"/>
        </w:rPr>
        <w:t>’</w:t>
      </w:r>
      <w:r w:rsidR="00E15507">
        <w:rPr>
          <w:lang w:val="fr-FR"/>
        </w:rPr>
        <w:t xml:space="preserve">elles </w:t>
      </w:r>
      <w:r w:rsidR="00E15507" w:rsidRPr="005D6CD4">
        <w:rPr>
          <w:lang w:val="fr-FR"/>
        </w:rPr>
        <w:t>n</w:t>
      </w:r>
      <w:r w:rsidR="000A3D87">
        <w:rPr>
          <w:lang w:val="fr-FR"/>
        </w:rPr>
        <w:t>’</w:t>
      </w:r>
      <w:r w:rsidR="00E15507" w:rsidRPr="005D6CD4">
        <w:rPr>
          <w:lang w:val="fr-FR"/>
        </w:rPr>
        <w:t xml:space="preserve">en ont rien </w:t>
      </w:r>
      <w:r w:rsidR="00E15507">
        <w:rPr>
          <w:lang w:val="fr-FR"/>
        </w:rPr>
        <w:t>tiré</w:t>
      </w:r>
      <w:r w:rsidR="00E15507" w:rsidRPr="005D6CD4">
        <w:rPr>
          <w:lang w:val="fr-FR"/>
        </w:rPr>
        <w:t>. Ce</w:t>
      </w:r>
      <w:r w:rsidR="00E15507">
        <w:rPr>
          <w:lang w:val="fr-FR"/>
        </w:rPr>
        <w:t xml:space="preserve">lles </w:t>
      </w:r>
      <w:r w:rsidR="00E15507" w:rsidRPr="005D6CD4">
        <w:rPr>
          <w:lang w:val="fr-FR"/>
        </w:rPr>
        <w:t>qui ont estimé en avoir tiré un avantage ont précisé en quoi celui-ci a consisté, à savoir l</w:t>
      </w:r>
      <w:r w:rsidR="000A3D87">
        <w:rPr>
          <w:lang w:val="fr-FR"/>
        </w:rPr>
        <w:t>’</w:t>
      </w:r>
      <w:r w:rsidR="00E15507" w:rsidRPr="005D6CD4">
        <w:rPr>
          <w:lang w:val="fr-FR"/>
        </w:rPr>
        <w:t>amélioration des aptitudes (58,70</w:t>
      </w:r>
      <w:r w:rsidR="00E15507">
        <w:rPr>
          <w:lang w:val="fr-FR"/>
        </w:rPr>
        <w:t> </w:t>
      </w:r>
      <w:r w:rsidR="00E15507" w:rsidRPr="005D6CD4">
        <w:rPr>
          <w:lang w:val="fr-FR"/>
        </w:rPr>
        <w:t>%), l</w:t>
      </w:r>
      <w:r w:rsidR="000A3D87">
        <w:rPr>
          <w:lang w:val="fr-FR"/>
        </w:rPr>
        <w:t>’</w:t>
      </w:r>
      <w:r w:rsidR="00E15507" w:rsidRPr="005D6CD4">
        <w:rPr>
          <w:lang w:val="fr-FR"/>
        </w:rPr>
        <w:t>augmentation des revenus (22,1</w:t>
      </w:r>
      <w:r w:rsidR="00E15507">
        <w:rPr>
          <w:lang w:val="fr-FR"/>
        </w:rPr>
        <w:t> </w:t>
      </w:r>
      <w:r w:rsidR="00E15507" w:rsidRPr="005D6CD4">
        <w:rPr>
          <w:lang w:val="fr-FR"/>
        </w:rPr>
        <w:t>%) et l</w:t>
      </w:r>
      <w:r w:rsidR="000A3D87">
        <w:rPr>
          <w:lang w:val="fr-FR"/>
        </w:rPr>
        <w:t>’</w:t>
      </w:r>
      <w:r w:rsidR="00E15507" w:rsidRPr="005D6CD4">
        <w:rPr>
          <w:lang w:val="fr-FR"/>
        </w:rPr>
        <w:t>augmentation du niveau d</w:t>
      </w:r>
      <w:r w:rsidR="000A3D87">
        <w:rPr>
          <w:lang w:val="fr-FR"/>
        </w:rPr>
        <w:t>’</w:t>
      </w:r>
      <w:r w:rsidR="00E15507">
        <w:rPr>
          <w:lang w:val="fr-FR"/>
        </w:rPr>
        <w:t>instruction</w:t>
      </w:r>
      <w:r w:rsidR="00E15507" w:rsidRPr="005D6CD4">
        <w:rPr>
          <w:lang w:val="fr-FR"/>
        </w:rPr>
        <w:t xml:space="preserve"> (17,39</w:t>
      </w:r>
      <w:r w:rsidR="00E15507">
        <w:rPr>
          <w:lang w:val="fr-FR"/>
        </w:rPr>
        <w:t> </w:t>
      </w:r>
      <w:r w:rsidR="00E15507" w:rsidRPr="005D6CD4">
        <w:rPr>
          <w:lang w:val="fr-FR"/>
        </w:rPr>
        <w:t xml:space="preserve">%). </w:t>
      </w:r>
    </w:p>
    <w:p w:rsidR="00E15507" w:rsidRPr="005D6CD4" w:rsidRDefault="003E72A3" w:rsidP="003E72A3">
      <w:pPr>
        <w:pStyle w:val="SingleTxt"/>
        <w:numPr>
          <w:ilvl w:val="0"/>
          <w:numId w:val="37"/>
        </w:numPr>
        <w:rPr>
          <w:lang w:val="fr-FR"/>
        </w:rPr>
      </w:pPr>
      <w:r>
        <w:rPr>
          <w:lang w:val="fr-FR"/>
        </w:rPr>
        <w:tab/>
      </w:r>
      <w:r w:rsidR="00E15507" w:rsidRPr="005D6CD4">
        <w:rPr>
          <w:lang w:val="fr-FR"/>
        </w:rPr>
        <w:t>En janvier 2006, le Centre national pour la promotion de la femme a mis au point, avec l</w:t>
      </w:r>
      <w:r w:rsidR="000A3D87">
        <w:rPr>
          <w:lang w:val="fr-FR"/>
        </w:rPr>
        <w:t>’</w:t>
      </w:r>
      <w:r w:rsidR="00E15507" w:rsidRPr="005D6CD4">
        <w:rPr>
          <w:lang w:val="fr-FR"/>
        </w:rPr>
        <w:t>aide de l</w:t>
      </w:r>
      <w:r w:rsidR="000A3D87">
        <w:rPr>
          <w:lang w:val="fr-FR"/>
        </w:rPr>
        <w:t>’</w:t>
      </w:r>
      <w:r w:rsidR="00E15507" w:rsidRPr="005D6CD4">
        <w:rPr>
          <w:lang w:val="fr-FR"/>
        </w:rPr>
        <w:t>Agence internationale pour le développement du Japon, un manuel standardisé de formation professionnelle et de sensibilisation sur l</w:t>
      </w:r>
      <w:r w:rsidR="000A3D87">
        <w:rPr>
          <w:lang w:val="fr-FR"/>
        </w:rPr>
        <w:t>’</w:t>
      </w:r>
      <w:r w:rsidR="00E15507" w:rsidRPr="005D6CD4">
        <w:rPr>
          <w:lang w:val="fr-FR"/>
        </w:rPr>
        <w:t>égalité entre les sexes, afin d</w:t>
      </w:r>
      <w:r w:rsidR="000A3D87">
        <w:rPr>
          <w:lang w:val="fr-FR"/>
        </w:rPr>
        <w:t>’</w:t>
      </w:r>
      <w:r w:rsidR="00E15507" w:rsidRPr="005D6CD4">
        <w:rPr>
          <w:lang w:val="fr-FR"/>
        </w:rPr>
        <w:t>améliorer la formation des femmes</w:t>
      </w:r>
      <w:r w:rsidR="00E15507">
        <w:rPr>
          <w:lang w:val="fr-FR"/>
        </w:rPr>
        <w:t xml:space="preserve"> </w:t>
      </w:r>
      <w:r w:rsidR="00E15507" w:rsidRPr="005D6CD4">
        <w:rPr>
          <w:lang w:val="fr-FR"/>
        </w:rPr>
        <w:t xml:space="preserve">dans tous les centres de promotion de la femme de toutes les 774 collectivités locales de la Fédération. </w:t>
      </w:r>
    </w:p>
    <w:p w:rsidR="00E15507" w:rsidRPr="005D6CD4" w:rsidRDefault="003E72A3" w:rsidP="003E72A3">
      <w:pPr>
        <w:pStyle w:val="SingleTxt"/>
        <w:numPr>
          <w:ilvl w:val="0"/>
          <w:numId w:val="37"/>
        </w:numPr>
        <w:rPr>
          <w:color w:val="000000"/>
          <w:lang w:val="fr-FR"/>
        </w:rPr>
      </w:pPr>
      <w:r>
        <w:rPr>
          <w:lang w:val="fr-FR"/>
        </w:rPr>
        <w:tab/>
      </w:r>
      <w:r w:rsidR="00E15507" w:rsidRPr="005D6CD4">
        <w:rPr>
          <w:lang w:val="fr-FR"/>
        </w:rPr>
        <w:t>L</w:t>
      </w:r>
      <w:r w:rsidR="000A3D87">
        <w:rPr>
          <w:lang w:val="fr-FR"/>
        </w:rPr>
        <w:t>’</w:t>
      </w:r>
      <w:r w:rsidR="00E15507" w:rsidRPr="005D6CD4">
        <w:rPr>
          <w:lang w:val="fr-FR"/>
        </w:rPr>
        <w:t xml:space="preserve">Agence pour le développement des petites et moyennes entreprises du </w:t>
      </w:r>
      <w:r w:rsidR="00E15507">
        <w:rPr>
          <w:lang w:val="fr-FR"/>
        </w:rPr>
        <w:t>Nigéria</w:t>
      </w:r>
      <w:r w:rsidR="00E15507" w:rsidRPr="005D6CD4">
        <w:rPr>
          <w:lang w:val="fr-FR"/>
        </w:rPr>
        <w:t xml:space="preserve"> a été lancée en 2003 pour faciliter l</w:t>
      </w:r>
      <w:r w:rsidR="000A3D87">
        <w:rPr>
          <w:lang w:val="fr-FR"/>
        </w:rPr>
        <w:t>’</w:t>
      </w:r>
      <w:r w:rsidR="00E15507" w:rsidRPr="005D6CD4">
        <w:rPr>
          <w:lang w:val="fr-FR"/>
        </w:rPr>
        <w:t>accès de</w:t>
      </w:r>
      <w:r w:rsidR="00E15507">
        <w:rPr>
          <w:lang w:val="fr-FR"/>
        </w:rPr>
        <w:t xml:space="preserve"> ce</w:t>
      </w:r>
      <w:r w:rsidR="00E15507" w:rsidRPr="005D6CD4">
        <w:rPr>
          <w:lang w:val="fr-FR"/>
        </w:rPr>
        <w:t xml:space="preserve">s entreprises aux capitaux. </w:t>
      </w:r>
    </w:p>
    <w:p w:rsidR="00E15507" w:rsidRPr="005D6CD4" w:rsidRDefault="003E72A3" w:rsidP="003E72A3">
      <w:pPr>
        <w:pStyle w:val="SingleTxt"/>
        <w:numPr>
          <w:ilvl w:val="0"/>
          <w:numId w:val="37"/>
        </w:numPr>
        <w:rPr>
          <w:lang w:val="fr-FR"/>
        </w:rPr>
      </w:pPr>
      <w:r>
        <w:rPr>
          <w:lang w:val="fr-FR"/>
        </w:rPr>
        <w:tab/>
      </w:r>
      <w:r w:rsidR="00E15507" w:rsidRPr="005D6CD4">
        <w:rPr>
          <w:lang w:val="fr-FR"/>
        </w:rPr>
        <w:t xml:space="preserve">Le </w:t>
      </w:r>
      <w:r w:rsidR="00E15507">
        <w:rPr>
          <w:lang w:val="fr-FR"/>
        </w:rPr>
        <w:t>G</w:t>
      </w:r>
      <w:r w:rsidR="00E15507" w:rsidRPr="005D6CD4">
        <w:rPr>
          <w:lang w:val="fr-FR"/>
        </w:rPr>
        <w:t>ouvernement de l</w:t>
      </w:r>
      <w:r w:rsidR="000A3D87">
        <w:rPr>
          <w:lang w:val="fr-FR"/>
        </w:rPr>
        <w:t>’</w:t>
      </w:r>
      <w:r w:rsidR="00E15507" w:rsidRPr="005D6CD4">
        <w:rPr>
          <w:rFonts w:ascii="TimesNewRoman" w:hAnsi="TimesNewRoman"/>
          <w:lang w:val="fr-FR"/>
        </w:rPr>
        <w:t>État d</w:t>
      </w:r>
      <w:r w:rsidR="000A3D87">
        <w:rPr>
          <w:rFonts w:ascii="TimesNewRoman" w:hAnsi="TimesNewRoman" w:hint="eastAsia"/>
          <w:lang w:val="fr-FR"/>
        </w:rPr>
        <w:t>’</w:t>
      </w:r>
      <w:r w:rsidR="00E15507" w:rsidRPr="005D6CD4">
        <w:rPr>
          <w:lang w:val="fr-FR"/>
        </w:rPr>
        <w:t>Ekiti a déboursé 17 millions de nairas, dans le cadre d</w:t>
      </w:r>
      <w:r w:rsidR="000A3D87">
        <w:rPr>
          <w:lang w:val="fr-FR"/>
        </w:rPr>
        <w:t>’</w:t>
      </w:r>
      <w:r w:rsidR="00E15507" w:rsidRPr="005D6CD4">
        <w:rPr>
          <w:lang w:val="fr-FR"/>
        </w:rPr>
        <w:t>un fonds de crédit renouvelable, à 820 groupes de coopératives féminines entre 2003 et 2004, et 160 veuves ont eu accès à 1,5 million de nairas dans le cadre des systèmes de microcrédit.</w:t>
      </w:r>
    </w:p>
    <w:p w:rsidR="00E15507" w:rsidRPr="005D6CD4" w:rsidRDefault="003E72A3" w:rsidP="003E72A3">
      <w:pPr>
        <w:pStyle w:val="SingleTxt"/>
        <w:numPr>
          <w:ilvl w:val="0"/>
          <w:numId w:val="37"/>
        </w:numPr>
        <w:rPr>
          <w:color w:val="000000"/>
          <w:lang w:val="fr-FR"/>
        </w:rPr>
      </w:pPr>
      <w:r>
        <w:rPr>
          <w:color w:val="000000"/>
          <w:lang w:val="fr-FR"/>
        </w:rPr>
        <w:tab/>
      </w:r>
      <w:r w:rsidR="00E15507" w:rsidRPr="005D6CD4">
        <w:rPr>
          <w:color w:val="000000"/>
          <w:lang w:val="fr-FR"/>
        </w:rPr>
        <w:t xml:space="preserve">En 2005, le </w:t>
      </w:r>
      <w:r w:rsidR="00E15507">
        <w:rPr>
          <w:color w:val="000000"/>
          <w:lang w:val="fr-FR"/>
        </w:rPr>
        <w:t>G</w:t>
      </w:r>
      <w:r w:rsidR="00E15507" w:rsidRPr="005D6CD4">
        <w:rPr>
          <w:color w:val="000000"/>
          <w:lang w:val="fr-FR"/>
        </w:rPr>
        <w:t>ouvernement de l</w:t>
      </w:r>
      <w:r w:rsidR="000A3D87">
        <w:rPr>
          <w:color w:val="000000"/>
          <w:lang w:val="fr-FR"/>
        </w:rPr>
        <w:t>’</w:t>
      </w:r>
      <w:r w:rsidR="00E15507" w:rsidRPr="005D6CD4">
        <w:rPr>
          <w:color w:val="000000"/>
          <w:lang w:val="fr-FR"/>
        </w:rPr>
        <w:t>État de Kano a prévu un programme de microcrédit et l</w:t>
      </w:r>
      <w:r w:rsidR="000A3D87">
        <w:rPr>
          <w:color w:val="000000"/>
          <w:lang w:val="fr-FR"/>
        </w:rPr>
        <w:t>’</w:t>
      </w:r>
      <w:r w:rsidR="00E15507" w:rsidRPr="005D6CD4">
        <w:rPr>
          <w:color w:val="000000"/>
          <w:lang w:val="fr-FR"/>
        </w:rPr>
        <w:t>acquisition d</w:t>
      </w:r>
      <w:r w:rsidR="000A3D87">
        <w:rPr>
          <w:color w:val="000000"/>
          <w:lang w:val="fr-FR"/>
        </w:rPr>
        <w:t>’</w:t>
      </w:r>
      <w:r w:rsidR="00E15507" w:rsidRPr="005D6CD4">
        <w:rPr>
          <w:color w:val="000000"/>
          <w:lang w:val="fr-FR"/>
        </w:rPr>
        <w:t xml:space="preserve">aptitudes pour soutenir 200 femmes </w:t>
      </w:r>
      <w:r w:rsidR="00E15507">
        <w:rPr>
          <w:color w:val="000000"/>
          <w:lang w:val="fr-FR"/>
        </w:rPr>
        <w:t xml:space="preserve">atteintes de </w:t>
      </w:r>
      <w:r w:rsidR="00E15507" w:rsidRPr="005D6CD4">
        <w:rPr>
          <w:color w:val="000000"/>
          <w:lang w:val="fr-FR"/>
        </w:rPr>
        <w:t>VIH/</w:t>
      </w:r>
      <w:r w:rsidR="00940485">
        <w:rPr>
          <w:color w:val="000000"/>
          <w:lang w:val="fr-FR"/>
        </w:rPr>
        <w:t>SIDA</w:t>
      </w:r>
      <w:r w:rsidR="00E15507" w:rsidRPr="005D6CD4">
        <w:rPr>
          <w:color w:val="000000"/>
          <w:lang w:val="fr-FR"/>
        </w:rPr>
        <w:t>.</w:t>
      </w:r>
    </w:p>
    <w:p w:rsidR="00E15507" w:rsidRPr="005D6CD4" w:rsidRDefault="003E72A3" w:rsidP="003E72A3">
      <w:pPr>
        <w:pStyle w:val="SingleTxt"/>
        <w:numPr>
          <w:ilvl w:val="0"/>
          <w:numId w:val="37"/>
        </w:numPr>
        <w:rPr>
          <w:lang w:val="fr-FR"/>
        </w:rPr>
      </w:pPr>
      <w:r>
        <w:rPr>
          <w:lang w:val="fr-FR"/>
        </w:rPr>
        <w:tab/>
      </w:r>
      <w:r w:rsidR="00E15507" w:rsidRPr="005D6CD4">
        <w:rPr>
          <w:lang w:val="fr-FR"/>
        </w:rPr>
        <w:t>L</w:t>
      </w:r>
      <w:r w:rsidR="000A3D87">
        <w:rPr>
          <w:lang w:val="fr-FR"/>
        </w:rPr>
        <w:t>’</w:t>
      </w:r>
      <w:r w:rsidR="00E15507" w:rsidRPr="005D6CD4">
        <w:rPr>
          <w:lang w:val="fr-FR"/>
        </w:rPr>
        <w:t>enquête sur l</w:t>
      </w:r>
      <w:r w:rsidR="000A3D87">
        <w:rPr>
          <w:lang w:val="fr-FR"/>
        </w:rPr>
        <w:t>’</w:t>
      </w:r>
      <w:r w:rsidR="00E15507" w:rsidRPr="005D6CD4">
        <w:rPr>
          <w:lang w:val="fr-FR"/>
        </w:rPr>
        <w:t>évaluation des besoins</w:t>
      </w:r>
      <w:r w:rsidR="00E15507">
        <w:rPr>
          <w:lang w:val="fr-FR"/>
        </w:rPr>
        <w:t>,</w:t>
      </w:r>
      <w:r w:rsidR="00E15507" w:rsidRPr="005D6CD4">
        <w:rPr>
          <w:lang w:val="fr-FR"/>
        </w:rPr>
        <w:t xml:space="preserve"> qui a été menée </w:t>
      </w:r>
      <w:r w:rsidR="00E15507">
        <w:rPr>
          <w:lang w:val="fr-FR"/>
        </w:rPr>
        <w:t>par le ministère fédéral de la Condition de la femme e</w:t>
      </w:r>
      <w:r w:rsidR="00E15507" w:rsidRPr="005D6CD4">
        <w:rPr>
          <w:lang w:val="fr-FR"/>
        </w:rPr>
        <w:t>n mars 2006</w:t>
      </w:r>
      <w:r w:rsidR="00E15507">
        <w:rPr>
          <w:lang w:val="fr-FR"/>
        </w:rPr>
        <w:t>,</w:t>
      </w:r>
      <w:r w:rsidR="00E15507" w:rsidRPr="005D6CD4">
        <w:rPr>
          <w:lang w:val="fr-FR"/>
        </w:rPr>
        <w:t xml:space="preserve"> a montré l</w:t>
      </w:r>
      <w:r w:rsidR="000A3D87">
        <w:rPr>
          <w:lang w:val="fr-FR"/>
        </w:rPr>
        <w:t>’</w:t>
      </w:r>
      <w:r w:rsidR="00E15507" w:rsidRPr="005D6CD4">
        <w:rPr>
          <w:lang w:val="fr-FR"/>
        </w:rPr>
        <w:t xml:space="preserve">existence de 16 centres de dépistage de la fistule vésico-vaginale dans 16 États de la </w:t>
      </w:r>
      <w:r w:rsidR="00E15507">
        <w:rPr>
          <w:lang w:val="fr-FR"/>
        </w:rPr>
        <w:t>F</w:t>
      </w:r>
      <w:r w:rsidR="00E15507" w:rsidRPr="005D6CD4">
        <w:rPr>
          <w:lang w:val="fr-FR"/>
        </w:rPr>
        <w:t>édération où cette maladie prédomine. Dans le cadre du suivi, le ministère a lancé des programmes de ré</w:t>
      </w:r>
      <w:r w:rsidR="00E15507">
        <w:rPr>
          <w:lang w:val="fr-FR"/>
        </w:rPr>
        <w:t xml:space="preserve">insertion </w:t>
      </w:r>
      <w:r w:rsidR="00E15507" w:rsidRPr="005D6CD4">
        <w:rPr>
          <w:lang w:val="fr-FR"/>
        </w:rPr>
        <w:t>et de promotion économique des victimes par l</w:t>
      </w:r>
      <w:r w:rsidR="000A3D87">
        <w:rPr>
          <w:lang w:val="fr-FR"/>
        </w:rPr>
        <w:t>’</w:t>
      </w:r>
      <w:r w:rsidR="00E15507" w:rsidRPr="005D6CD4">
        <w:rPr>
          <w:lang w:val="fr-FR"/>
        </w:rPr>
        <w:t>acquisition d</w:t>
      </w:r>
      <w:r w:rsidR="000A3D87">
        <w:rPr>
          <w:lang w:val="fr-FR"/>
        </w:rPr>
        <w:t>’</w:t>
      </w:r>
      <w:r w:rsidR="00E15507" w:rsidRPr="005D6CD4">
        <w:rPr>
          <w:lang w:val="fr-FR"/>
        </w:rPr>
        <w:t xml:space="preserve">aptitudes. </w:t>
      </w:r>
    </w:p>
    <w:p w:rsidR="00E15507" w:rsidRPr="005D6CD4" w:rsidRDefault="003E72A3" w:rsidP="003E72A3">
      <w:pPr>
        <w:pStyle w:val="SingleTxt"/>
        <w:numPr>
          <w:ilvl w:val="0"/>
          <w:numId w:val="37"/>
        </w:numPr>
        <w:rPr>
          <w:lang w:val="fr-FR"/>
        </w:rPr>
      </w:pPr>
      <w:r>
        <w:rPr>
          <w:lang w:val="fr-FR"/>
        </w:rPr>
        <w:tab/>
      </w:r>
      <w:r w:rsidR="00E15507" w:rsidRPr="005D6CD4">
        <w:rPr>
          <w:lang w:val="fr-FR"/>
        </w:rPr>
        <w:t>En 2002,</w:t>
      </w:r>
      <w:r w:rsidR="00E15507">
        <w:rPr>
          <w:lang w:val="fr-FR"/>
        </w:rPr>
        <w:t xml:space="preserve"> </w:t>
      </w:r>
      <w:r w:rsidR="00E15507" w:rsidRPr="00F34E4D">
        <w:rPr>
          <w:lang w:val="fr-FR"/>
        </w:rPr>
        <w:t>le Programme national d</w:t>
      </w:r>
      <w:r w:rsidR="000A3D87">
        <w:rPr>
          <w:lang w:val="fr-FR"/>
        </w:rPr>
        <w:t>’</w:t>
      </w:r>
      <w:r w:rsidR="00E15507" w:rsidRPr="00F34E4D">
        <w:rPr>
          <w:lang w:val="fr-FR"/>
        </w:rPr>
        <w:t>éradication de la pauvreté</w:t>
      </w:r>
      <w:r w:rsidR="00E15507">
        <w:rPr>
          <w:lang w:val="fr-FR"/>
        </w:rPr>
        <w:t xml:space="preserve"> </w:t>
      </w:r>
      <w:r w:rsidR="00E15507" w:rsidRPr="005D6CD4">
        <w:rPr>
          <w:lang w:val="fr-FR"/>
        </w:rPr>
        <w:t xml:space="preserve"> a identifié et réhabilité 10 centres de dépistage de la fistule vésico-vaginale, en mettant à la disposition de chacun un don de 200</w:t>
      </w:r>
      <w:r w:rsidR="00E15507">
        <w:rPr>
          <w:lang w:val="fr-FR"/>
        </w:rPr>
        <w:t> </w:t>
      </w:r>
      <w:r w:rsidR="00E15507" w:rsidRPr="005D6CD4">
        <w:rPr>
          <w:lang w:val="fr-FR"/>
        </w:rPr>
        <w:t>000 nairas pour leur permettre de fonctionner efficacement.</w:t>
      </w:r>
    </w:p>
    <w:p w:rsidR="00E15507" w:rsidRPr="005D6CD4" w:rsidRDefault="003E72A3" w:rsidP="003E72A3">
      <w:pPr>
        <w:pStyle w:val="SingleTxt"/>
        <w:numPr>
          <w:ilvl w:val="0"/>
          <w:numId w:val="37"/>
        </w:numPr>
        <w:rPr>
          <w:lang w:val="fr-FR"/>
        </w:rPr>
      </w:pPr>
      <w:r>
        <w:rPr>
          <w:lang w:val="fr-FR"/>
        </w:rPr>
        <w:tab/>
      </w:r>
      <w:r w:rsidR="00E15507" w:rsidRPr="005D6CD4">
        <w:rPr>
          <w:lang w:val="fr-FR"/>
        </w:rPr>
        <w:t xml:space="preserve">En 2003, le </w:t>
      </w:r>
      <w:r w:rsidR="00E15507">
        <w:rPr>
          <w:lang w:val="fr-FR"/>
        </w:rPr>
        <w:t>G</w:t>
      </w:r>
      <w:r w:rsidR="00E15507" w:rsidRPr="005D6CD4">
        <w:rPr>
          <w:lang w:val="fr-FR"/>
        </w:rPr>
        <w:t xml:space="preserve">ouvernement fédéral a lancé le </w:t>
      </w:r>
      <w:r w:rsidR="00E15507">
        <w:rPr>
          <w:lang w:val="fr-FR"/>
        </w:rPr>
        <w:t>P</w:t>
      </w:r>
      <w:r w:rsidR="00E15507" w:rsidRPr="005D6CD4">
        <w:rPr>
          <w:lang w:val="fr-FR"/>
        </w:rPr>
        <w:t>rogramme national d</w:t>
      </w:r>
      <w:r w:rsidR="000A3D87">
        <w:rPr>
          <w:lang w:val="fr-FR"/>
        </w:rPr>
        <w:t>’</w:t>
      </w:r>
      <w:r w:rsidR="00E15507" w:rsidRPr="005D6CD4">
        <w:rPr>
          <w:lang w:val="fr-FR"/>
        </w:rPr>
        <w:t>assurance maladie pour garantir l</w:t>
      </w:r>
      <w:r w:rsidR="000A3D87">
        <w:rPr>
          <w:lang w:val="fr-FR"/>
        </w:rPr>
        <w:t>’</w:t>
      </w:r>
      <w:r w:rsidR="00E15507" w:rsidRPr="005D6CD4">
        <w:rPr>
          <w:lang w:val="fr-FR"/>
        </w:rPr>
        <w:t>accès au traitement. Dans le cadre du programme, les dépenses de santé des femmes sont subventionnées à concurrence de 10</w:t>
      </w:r>
      <w:r w:rsidR="00E15507">
        <w:rPr>
          <w:lang w:val="fr-FR"/>
        </w:rPr>
        <w:t> </w:t>
      </w:r>
      <w:r w:rsidR="00E15507" w:rsidRPr="005D6CD4">
        <w:rPr>
          <w:lang w:val="fr-FR"/>
        </w:rPr>
        <w:t>%.</w:t>
      </w:r>
      <w:r w:rsidR="00E15507">
        <w:rPr>
          <w:lang w:val="fr-FR"/>
        </w:rPr>
        <w:t xml:space="preserve"> </w:t>
      </w:r>
      <w:r w:rsidR="00E15507" w:rsidRPr="005D6CD4">
        <w:rPr>
          <w:lang w:val="fr-FR"/>
        </w:rPr>
        <w:t xml:space="preserve"> </w:t>
      </w:r>
    </w:p>
    <w:p w:rsidR="00E15507" w:rsidRPr="005D6CD4" w:rsidRDefault="003E72A3" w:rsidP="003E72A3">
      <w:pPr>
        <w:pStyle w:val="SingleTxt"/>
        <w:numPr>
          <w:ilvl w:val="0"/>
          <w:numId w:val="37"/>
        </w:numPr>
        <w:rPr>
          <w:lang w:val="fr-FR"/>
        </w:rPr>
      </w:pPr>
      <w:r>
        <w:rPr>
          <w:lang w:val="fr-FR"/>
        </w:rPr>
        <w:tab/>
      </w:r>
      <w:r w:rsidR="00E15507" w:rsidRPr="005D6CD4">
        <w:rPr>
          <w:lang w:val="fr-FR"/>
        </w:rPr>
        <w:t xml:space="preserve">Le </w:t>
      </w:r>
      <w:r w:rsidR="00E15507">
        <w:rPr>
          <w:lang w:val="fr-FR"/>
        </w:rPr>
        <w:t>ministère</w:t>
      </w:r>
      <w:r w:rsidR="00E15507" w:rsidRPr="005D6CD4">
        <w:rPr>
          <w:lang w:val="fr-FR"/>
        </w:rPr>
        <w:t xml:space="preserve"> fédéral de la </w:t>
      </w:r>
      <w:r w:rsidR="00E15507">
        <w:rPr>
          <w:lang w:val="fr-FR"/>
        </w:rPr>
        <w:t>S</w:t>
      </w:r>
      <w:r w:rsidR="00E15507" w:rsidRPr="005D6CD4">
        <w:rPr>
          <w:lang w:val="fr-FR"/>
        </w:rPr>
        <w:t>anté, en partenariat avec d</w:t>
      </w:r>
      <w:r w:rsidR="000A3D87">
        <w:rPr>
          <w:lang w:val="fr-FR"/>
        </w:rPr>
        <w:t>’</w:t>
      </w:r>
      <w:r w:rsidR="00E15507" w:rsidRPr="005D6CD4">
        <w:rPr>
          <w:lang w:val="fr-FR"/>
        </w:rPr>
        <w:t>autres parties prenantes,</w:t>
      </w:r>
      <w:r w:rsidR="00E15507">
        <w:rPr>
          <w:lang w:val="fr-FR"/>
        </w:rPr>
        <w:t xml:space="preserve"> </w:t>
      </w:r>
      <w:r w:rsidR="00E15507" w:rsidRPr="005D6CD4">
        <w:rPr>
          <w:lang w:val="fr-FR"/>
        </w:rPr>
        <w:t>a choisi des jours spéciaux pour focaliser l</w:t>
      </w:r>
      <w:r w:rsidR="000A3D87">
        <w:rPr>
          <w:lang w:val="fr-FR"/>
        </w:rPr>
        <w:t>’</w:t>
      </w:r>
      <w:r w:rsidR="00E15507" w:rsidRPr="005D6CD4">
        <w:rPr>
          <w:lang w:val="fr-FR"/>
        </w:rPr>
        <w:t>attention sur les questions de santé concernant l</w:t>
      </w:r>
      <w:r w:rsidR="00E15507">
        <w:rPr>
          <w:lang w:val="fr-FR"/>
        </w:rPr>
        <w:t>es</w:t>
      </w:r>
      <w:r w:rsidR="00E15507" w:rsidRPr="005D6CD4">
        <w:rPr>
          <w:lang w:val="fr-FR"/>
        </w:rPr>
        <w:t xml:space="preserve"> femme</w:t>
      </w:r>
      <w:r w:rsidR="00E15507">
        <w:rPr>
          <w:lang w:val="fr-FR"/>
        </w:rPr>
        <w:t>s</w:t>
      </w:r>
      <w:r w:rsidR="00E15507" w:rsidRPr="005D6CD4">
        <w:rPr>
          <w:lang w:val="fr-FR"/>
        </w:rPr>
        <w:t xml:space="preserve"> et l</w:t>
      </w:r>
      <w:r w:rsidR="00E15507">
        <w:rPr>
          <w:lang w:val="fr-FR"/>
        </w:rPr>
        <w:t xml:space="preserve">es </w:t>
      </w:r>
      <w:r w:rsidR="00E15507" w:rsidRPr="005D6CD4">
        <w:rPr>
          <w:lang w:val="fr-FR"/>
        </w:rPr>
        <w:t>fille</w:t>
      </w:r>
      <w:r w:rsidR="00E15507">
        <w:rPr>
          <w:lang w:val="fr-FR"/>
        </w:rPr>
        <w:t>ttes</w:t>
      </w:r>
      <w:r w:rsidR="00E15507" w:rsidRPr="005D6CD4">
        <w:rPr>
          <w:lang w:val="fr-FR"/>
        </w:rPr>
        <w:t>. Il s</w:t>
      </w:r>
      <w:r w:rsidR="000A3D87">
        <w:rPr>
          <w:lang w:val="fr-FR"/>
        </w:rPr>
        <w:t>’</w:t>
      </w:r>
      <w:r w:rsidR="00E15507" w:rsidRPr="005D6CD4">
        <w:rPr>
          <w:lang w:val="fr-FR"/>
        </w:rPr>
        <w:t>agit du 22</w:t>
      </w:r>
      <w:r w:rsidR="00E15507" w:rsidRPr="005D6CD4">
        <w:rPr>
          <w:vertAlign w:val="superscript"/>
          <w:lang w:val="fr-FR"/>
        </w:rPr>
        <w:t xml:space="preserve"> </w:t>
      </w:r>
      <w:r w:rsidR="00E15507" w:rsidRPr="005D6CD4">
        <w:rPr>
          <w:lang w:val="fr-FR"/>
        </w:rPr>
        <w:t xml:space="preserve">mai de chaque année pour la </w:t>
      </w:r>
      <w:r w:rsidR="00E15507">
        <w:rPr>
          <w:lang w:val="fr-FR"/>
        </w:rPr>
        <w:t>J</w:t>
      </w:r>
      <w:r w:rsidR="00E15507" w:rsidRPr="005D6CD4">
        <w:rPr>
          <w:lang w:val="fr-FR"/>
        </w:rPr>
        <w:t>ournée de la maternité sans r</w:t>
      </w:r>
      <w:r w:rsidR="00E15507">
        <w:rPr>
          <w:lang w:val="fr-FR"/>
        </w:rPr>
        <w:t>isques et du 6 février pour la J</w:t>
      </w:r>
      <w:r w:rsidR="00E15507" w:rsidRPr="005D6CD4">
        <w:rPr>
          <w:lang w:val="fr-FR"/>
        </w:rPr>
        <w:t>ournée de</w:t>
      </w:r>
      <w:r w:rsidR="00E15507">
        <w:rPr>
          <w:lang w:val="fr-FR"/>
        </w:rPr>
        <w:t>s MGF</w:t>
      </w:r>
      <w:r w:rsidR="00E15507" w:rsidRPr="005D6CD4">
        <w:rPr>
          <w:lang w:val="fr-FR"/>
        </w:rPr>
        <w:t>.</w:t>
      </w:r>
    </w:p>
    <w:p w:rsidR="00E15507" w:rsidRPr="005D6CD4" w:rsidRDefault="003E72A3" w:rsidP="003E72A3">
      <w:pPr>
        <w:pStyle w:val="SingleTxt"/>
        <w:numPr>
          <w:ilvl w:val="0"/>
          <w:numId w:val="37"/>
        </w:numPr>
        <w:rPr>
          <w:lang w:val="fr-FR"/>
        </w:rPr>
      </w:pPr>
      <w:r>
        <w:rPr>
          <w:lang w:val="fr-FR"/>
        </w:rPr>
        <w:tab/>
      </w:r>
      <w:r w:rsidR="00E15507" w:rsidRPr="005D6CD4">
        <w:rPr>
          <w:lang w:val="fr-FR"/>
        </w:rPr>
        <w:t>Par le biais de divers projets et activités de proximité, les femmes des gouverneurs des États du pays mettent en œuvre des programmes économiques et sociaux spéciaux pour les jeunes filles et les femmes vulnérables de leurs différents ressorts territoriaux. Le Centre national pour la promotion de la femme met actuellement une banque de données pour tous les projets.</w:t>
      </w:r>
    </w:p>
    <w:p w:rsidR="00E15507" w:rsidRPr="005D6CD4" w:rsidRDefault="003E72A3" w:rsidP="003E72A3">
      <w:pPr>
        <w:pStyle w:val="SingleTxt"/>
        <w:numPr>
          <w:ilvl w:val="0"/>
          <w:numId w:val="37"/>
        </w:numPr>
        <w:rPr>
          <w:lang w:val="fr-FR"/>
        </w:rPr>
      </w:pPr>
      <w:r>
        <w:rPr>
          <w:lang w:val="fr-FR"/>
        </w:rPr>
        <w:tab/>
      </w:r>
      <w:r w:rsidR="00E15507" w:rsidRPr="005D6CD4">
        <w:rPr>
          <w:lang w:val="fr-FR"/>
        </w:rPr>
        <w:t>Toutes les instances gouvernementales ont lancé et continuent de lancer des programmes de plaidoyer et de sensibilisation pour éduquer les femmes sur leurs droits économiques et sociaux par le biais de</w:t>
      </w:r>
      <w:r w:rsidR="00E15507">
        <w:rPr>
          <w:lang w:val="fr-FR"/>
        </w:rPr>
        <w:t xml:space="preserve"> la presse écrite, des </w:t>
      </w:r>
      <w:r w:rsidR="00E15507" w:rsidRPr="005D6CD4">
        <w:rPr>
          <w:lang w:val="fr-FR"/>
        </w:rPr>
        <w:t>m</w:t>
      </w:r>
      <w:r w:rsidR="00E15507">
        <w:rPr>
          <w:lang w:val="fr-FR"/>
        </w:rPr>
        <w:t>é</w:t>
      </w:r>
      <w:r w:rsidR="00E15507" w:rsidRPr="005D6CD4">
        <w:rPr>
          <w:lang w:val="fr-FR"/>
        </w:rPr>
        <w:t>dia</w:t>
      </w:r>
      <w:r w:rsidR="00E15507">
        <w:rPr>
          <w:lang w:val="fr-FR"/>
        </w:rPr>
        <w:t>s</w:t>
      </w:r>
      <w:r w:rsidR="00E15507" w:rsidRPr="005D6CD4">
        <w:rPr>
          <w:lang w:val="fr-FR"/>
        </w:rPr>
        <w:t xml:space="preserve"> électroniques, des séminaires, des formations et des ateliers en collaboration avec les partenaires d</w:t>
      </w:r>
      <w:r w:rsidR="00E15507">
        <w:rPr>
          <w:lang w:val="fr-FR"/>
        </w:rPr>
        <w:t>e</w:t>
      </w:r>
      <w:r w:rsidR="00E15507" w:rsidRPr="005D6CD4">
        <w:rPr>
          <w:lang w:val="fr-FR"/>
        </w:rPr>
        <w:t xml:space="preserve"> développement.</w:t>
      </w:r>
    </w:p>
    <w:p w:rsidR="00E15507" w:rsidRPr="005D6CD4" w:rsidRDefault="003E72A3" w:rsidP="003E72A3">
      <w:pPr>
        <w:pStyle w:val="SingleTxt"/>
        <w:numPr>
          <w:ilvl w:val="0"/>
          <w:numId w:val="37"/>
        </w:numPr>
        <w:rPr>
          <w:lang w:val="fr-FR"/>
        </w:rPr>
      </w:pPr>
      <w:r>
        <w:rPr>
          <w:lang w:val="fr-FR"/>
        </w:rPr>
        <w:tab/>
      </w:r>
      <w:r w:rsidR="00E15507" w:rsidRPr="005D6CD4">
        <w:rPr>
          <w:lang w:val="fr-FR"/>
        </w:rPr>
        <w:t>Le Centre national pour la promotion de la femme, les ONG, les organisations religieuses et communautaires ont également diffusé de manière intense des matériels d</w:t>
      </w:r>
      <w:r w:rsidR="000A3D87">
        <w:rPr>
          <w:lang w:val="fr-FR"/>
        </w:rPr>
        <w:t>’</w:t>
      </w:r>
      <w:r w:rsidR="00E15507" w:rsidRPr="005D6CD4">
        <w:rPr>
          <w:lang w:val="fr-FR"/>
        </w:rPr>
        <w:t>information, d</w:t>
      </w:r>
      <w:r w:rsidR="000A3D87">
        <w:rPr>
          <w:lang w:val="fr-FR"/>
        </w:rPr>
        <w:t>’</w:t>
      </w:r>
      <w:r w:rsidR="00E15507" w:rsidRPr="005D6CD4">
        <w:rPr>
          <w:lang w:val="fr-FR"/>
        </w:rPr>
        <w:t>éducation et de communication sur les droits économiques et sociaux de la femme.</w:t>
      </w:r>
    </w:p>
    <w:p w:rsidR="00E15507" w:rsidRPr="005D6CD4" w:rsidRDefault="003E72A3" w:rsidP="003E72A3">
      <w:pPr>
        <w:pStyle w:val="SingleTxt"/>
        <w:numPr>
          <w:ilvl w:val="0"/>
          <w:numId w:val="37"/>
        </w:numPr>
        <w:rPr>
          <w:lang w:val="fr-FR"/>
        </w:rPr>
      </w:pPr>
      <w:r>
        <w:rPr>
          <w:lang w:val="fr-FR"/>
        </w:rPr>
        <w:tab/>
      </w:r>
      <w:r w:rsidR="00E15507" w:rsidRPr="005D6CD4">
        <w:rPr>
          <w:lang w:val="fr-FR"/>
        </w:rPr>
        <w:t xml:space="preserve">Pendant la période considérée, le </w:t>
      </w:r>
      <w:r w:rsidR="00E15507">
        <w:rPr>
          <w:lang w:val="fr-FR"/>
        </w:rPr>
        <w:t>ministère</w:t>
      </w:r>
      <w:r w:rsidR="00E15507" w:rsidRPr="005D6CD4">
        <w:rPr>
          <w:lang w:val="fr-FR"/>
        </w:rPr>
        <w:t xml:space="preserve"> fédéral de l</w:t>
      </w:r>
      <w:r w:rsidR="000A3D87">
        <w:rPr>
          <w:lang w:val="fr-FR"/>
        </w:rPr>
        <w:t>’</w:t>
      </w:r>
      <w:r w:rsidR="00E15507">
        <w:rPr>
          <w:lang w:val="fr-FR"/>
        </w:rPr>
        <w:t>I</w:t>
      </w:r>
      <w:r w:rsidR="00E15507" w:rsidRPr="005D6CD4">
        <w:rPr>
          <w:lang w:val="fr-FR"/>
        </w:rPr>
        <w:t>nformation et de l</w:t>
      </w:r>
      <w:r w:rsidR="000A3D87">
        <w:rPr>
          <w:lang w:val="fr-FR"/>
        </w:rPr>
        <w:t>’</w:t>
      </w:r>
      <w:r w:rsidR="00E15507">
        <w:rPr>
          <w:lang w:val="fr-FR"/>
        </w:rPr>
        <w:t>O</w:t>
      </w:r>
      <w:r w:rsidR="00E15507" w:rsidRPr="005D6CD4">
        <w:rPr>
          <w:lang w:val="fr-FR"/>
        </w:rPr>
        <w:t>rientation nationale, par ses centres d</w:t>
      </w:r>
      <w:r w:rsidR="000A3D87">
        <w:rPr>
          <w:lang w:val="fr-FR"/>
        </w:rPr>
        <w:t>’</w:t>
      </w:r>
      <w:r w:rsidR="00E15507" w:rsidRPr="005D6CD4">
        <w:rPr>
          <w:lang w:val="fr-FR"/>
        </w:rPr>
        <w:t>information, le Bureau d</w:t>
      </w:r>
      <w:r w:rsidR="000A3D87">
        <w:rPr>
          <w:lang w:val="fr-FR"/>
        </w:rPr>
        <w:t>’</w:t>
      </w:r>
      <w:r w:rsidR="00E15507" w:rsidRPr="005D6CD4">
        <w:rPr>
          <w:lang w:val="fr-FR"/>
        </w:rPr>
        <w:t>information sur les droits de l</w:t>
      </w:r>
      <w:r w:rsidR="000A3D87">
        <w:rPr>
          <w:lang w:val="fr-FR"/>
        </w:rPr>
        <w:t>’</w:t>
      </w:r>
      <w:r w:rsidR="00E15507" w:rsidRPr="005D6CD4">
        <w:rPr>
          <w:lang w:val="fr-FR"/>
        </w:rPr>
        <w:t>enfant et les m</w:t>
      </w:r>
      <w:r w:rsidR="00E15507">
        <w:rPr>
          <w:lang w:val="fr-FR"/>
        </w:rPr>
        <w:t>é</w:t>
      </w:r>
      <w:r w:rsidR="00E15507" w:rsidRPr="005D6CD4">
        <w:rPr>
          <w:lang w:val="fr-FR"/>
        </w:rPr>
        <w:t>dia</w:t>
      </w:r>
      <w:r w:rsidR="00E15507">
        <w:rPr>
          <w:lang w:val="fr-FR"/>
        </w:rPr>
        <w:t>s</w:t>
      </w:r>
      <w:r w:rsidR="00E15507" w:rsidRPr="005D6CD4">
        <w:rPr>
          <w:lang w:val="fr-FR"/>
        </w:rPr>
        <w:t xml:space="preserve"> parapublics, s</w:t>
      </w:r>
      <w:r w:rsidR="000A3D87">
        <w:rPr>
          <w:lang w:val="fr-FR"/>
        </w:rPr>
        <w:t>’</w:t>
      </w:r>
      <w:r w:rsidR="00E15507" w:rsidRPr="005D6CD4">
        <w:rPr>
          <w:lang w:val="fr-FR"/>
        </w:rPr>
        <w:t>est engagé dans une série d</w:t>
      </w:r>
      <w:r w:rsidR="000A3D87">
        <w:rPr>
          <w:lang w:val="fr-FR"/>
        </w:rPr>
        <w:t>’</w:t>
      </w:r>
      <w:r w:rsidR="00E15507" w:rsidRPr="005D6CD4">
        <w:rPr>
          <w:lang w:val="fr-FR"/>
        </w:rPr>
        <w:t>activités visant à sensibiliser les femmes sur les lois protégeant les droits de l</w:t>
      </w:r>
      <w:r w:rsidR="000A3D87">
        <w:rPr>
          <w:lang w:val="fr-FR"/>
        </w:rPr>
        <w:t>’</w:t>
      </w:r>
      <w:r w:rsidR="00E15507" w:rsidRPr="005D6CD4">
        <w:rPr>
          <w:lang w:val="fr-FR"/>
        </w:rPr>
        <w:t>enfant et sur la Convention sur l</w:t>
      </w:r>
      <w:r w:rsidR="000A3D87">
        <w:rPr>
          <w:lang w:val="fr-FR"/>
        </w:rPr>
        <w:t>’</w:t>
      </w:r>
      <w:r w:rsidR="00E15507" w:rsidRPr="005D6CD4">
        <w:rPr>
          <w:lang w:val="fr-FR"/>
        </w:rPr>
        <w:t>élimination de toutes les formes de discrimination à l</w:t>
      </w:r>
      <w:r w:rsidR="000A3D87">
        <w:rPr>
          <w:lang w:val="fr-FR"/>
        </w:rPr>
        <w:t>’</w:t>
      </w:r>
      <w:r w:rsidR="00E15507" w:rsidRPr="005D6CD4">
        <w:rPr>
          <w:lang w:val="fr-FR"/>
        </w:rPr>
        <w:t>égard des femmes, afin de promouvoir les droits économiques et sociaux de la femme et de l</w:t>
      </w:r>
      <w:r w:rsidR="000A3D87">
        <w:rPr>
          <w:lang w:val="fr-FR"/>
        </w:rPr>
        <w:t>’</w:t>
      </w:r>
      <w:r w:rsidR="00E15507" w:rsidRPr="005D6CD4">
        <w:rPr>
          <w:lang w:val="fr-FR"/>
        </w:rPr>
        <w:t>enfant.</w:t>
      </w:r>
    </w:p>
    <w:p w:rsidR="00E15507" w:rsidRPr="005D6CD4" w:rsidRDefault="003E72A3" w:rsidP="003E72A3">
      <w:pPr>
        <w:pStyle w:val="SingleTxt"/>
        <w:numPr>
          <w:ilvl w:val="0"/>
          <w:numId w:val="37"/>
        </w:numPr>
        <w:rPr>
          <w:lang w:val="fr-FR"/>
        </w:rPr>
      </w:pPr>
      <w:r>
        <w:rPr>
          <w:lang w:val="fr-FR"/>
        </w:rPr>
        <w:tab/>
      </w:r>
      <w:r w:rsidR="00E15507" w:rsidRPr="005D6CD4">
        <w:rPr>
          <w:lang w:val="fr-FR"/>
        </w:rPr>
        <w:t>L</w:t>
      </w:r>
      <w:r w:rsidR="000A3D87">
        <w:rPr>
          <w:lang w:val="fr-FR"/>
        </w:rPr>
        <w:t>’</w:t>
      </w:r>
      <w:r w:rsidR="00E15507" w:rsidRPr="005D6CD4">
        <w:rPr>
          <w:lang w:val="fr-FR"/>
        </w:rPr>
        <w:t>État de Lagos a créé des crèches dans des marchés pour améliorer la capacité des femmes à travailler en prenant soin de leurs bébés.</w:t>
      </w:r>
    </w:p>
    <w:p w:rsidR="00E15507" w:rsidRDefault="003E72A3" w:rsidP="003E72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br w:type="page"/>
      </w:r>
      <w:r>
        <w:rPr>
          <w:lang w:val="fr-FR"/>
        </w:rPr>
        <w:tab/>
        <w:t>13.3</w:t>
      </w:r>
      <w:r>
        <w:rPr>
          <w:lang w:val="fr-FR"/>
        </w:rPr>
        <w:tab/>
      </w:r>
      <w:r w:rsidR="00E15507" w:rsidRPr="005D6CD4">
        <w:rPr>
          <w:lang w:val="fr-FR"/>
        </w:rPr>
        <w:t>Défis</w:t>
      </w:r>
    </w:p>
    <w:p w:rsidR="003E72A3" w:rsidRPr="003E72A3" w:rsidRDefault="003E72A3" w:rsidP="003E72A3">
      <w:pPr>
        <w:pStyle w:val="SingleTxt"/>
        <w:spacing w:after="0" w:line="120" w:lineRule="exact"/>
        <w:rPr>
          <w:sz w:val="10"/>
          <w:lang w:val="fr-FR"/>
        </w:rPr>
      </w:pPr>
    </w:p>
    <w:p w:rsidR="00E15507" w:rsidRDefault="003E72A3" w:rsidP="00AC2642">
      <w:pPr>
        <w:pStyle w:val="SingleTxt"/>
        <w:rPr>
          <w:lang w:val="fr-FR"/>
        </w:rPr>
      </w:pPr>
      <w:r>
        <w:rPr>
          <w:lang w:val="fr-FR"/>
        </w:rPr>
        <w:tab/>
      </w:r>
      <w:r w:rsidR="00E15507" w:rsidRPr="005D6CD4">
        <w:rPr>
          <w:lang w:val="fr-FR"/>
        </w:rPr>
        <w:t xml:space="preserve">Malgré les succès enregistrés dans la promotion des droits économiques et sociaux de la femme, beaucoup reste à faire. Comme le montre le </w:t>
      </w:r>
      <w:r w:rsidR="00E15507">
        <w:rPr>
          <w:lang w:val="fr-FR"/>
        </w:rPr>
        <w:t>Tableau</w:t>
      </w:r>
      <w:r w:rsidR="00E15507" w:rsidRPr="005D6CD4">
        <w:rPr>
          <w:lang w:val="fr-FR"/>
        </w:rPr>
        <w:t xml:space="preserve"> 13.2 </w:t>
      </w:r>
      <w:r>
        <w:rPr>
          <w:lang w:val="fr-FR"/>
        </w:rPr>
        <w:br/>
      </w:r>
      <w:r w:rsidR="00E15507" w:rsidRPr="005D6CD4">
        <w:rPr>
          <w:lang w:val="fr-FR"/>
        </w:rPr>
        <w:t xml:space="preserve">ci-dessous, le pourcentage de femmes en dessous du seuil de la pauvreté est presque le double de celui des hommes. </w:t>
      </w:r>
    </w:p>
    <w:p w:rsidR="003E72A3" w:rsidRPr="003E72A3" w:rsidRDefault="003E72A3" w:rsidP="003E72A3">
      <w:pPr>
        <w:pStyle w:val="SingleTxt"/>
        <w:jc w:val="left"/>
        <w:rPr>
          <w:lang w:val="fr-FR"/>
        </w:rPr>
      </w:pPr>
      <w:r w:rsidRPr="003E72A3">
        <w:rPr>
          <w:lang w:val="fr-FR"/>
        </w:rPr>
        <w:t>Tableau 13.2</w:t>
      </w:r>
      <w:r>
        <w:rPr>
          <w:lang w:val="fr-FR"/>
        </w:rPr>
        <w:br/>
      </w:r>
      <w:r w:rsidRPr="003E72A3">
        <w:rPr>
          <w:b/>
          <w:lang w:val="fr-FR"/>
        </w:rPr>
        <w:t>Stratification par sexe dans la vie économique en général et dans le secteur privé en particulier</w:t>
      </w:r>
    </w:p>
    <w:p w:rsidR="0011032F" w:rsidRPr="0011032F" w:rsidRDefault="0011032F" w:rsidP="0011032F">
      <w:pPr>
        <w:pStyle w:val="SingleTxt"/>
        <w:spacing w:after="0" w:line="120" w:lineRule="exact"/>
        <w:rPr>
          <w:sz w:val="10"/>
          <w:lang w:val="fr-FR"/>
        </w:rPr>
      </w:pPr>
    </w:p>
    <w:tbl>
      <w:tblPr>
        <w:tblW w:w="0" w:type="auto"/>
        <w:tblInd w:w="1260" w:type="dxa"/>
        <w:tblLayout w:type="fixed"/>
        <w:tblCellMar>
          <w:left w:w="0" w:type="dxa"/>
          <w:right w:w="0" w:type="dxa"/>
        </w:tblCellMar>
        <w:tblLook w:val="0000"/>
      </w:tblPr>
      <w:tblGrid>
        <w:gridCol w:w="2970"/>
        <w:gridCol w:w="2175"/>
        <w:gridCol w:w="2175"/>
      </w:tblGrid>
      <w:tr w:rsidR="0011032F" w:rsidRPr="0011032F">
        <w:tblPrEx>
          <w:tblCellMar>
            <w:top w:w="0" w:type="dxa"/>
            <w:bottom w:w="0" w:type="dxa"/>
          </w:tblCellMar>
        </w:tblPrEx>
        <w:trPr>
          <w:tblHeader/>
        </w:trPr>
        <w:tc>
          <w:tcPr>
            <w:tcW w:w="2970" w:type="dxa"/>
            <w:tcBorders>
              <w:top w:val="single" w:sz="4" w:space="0" w:color="auto"/>
              <w:bottom w:val="single" w:sz="12" w:space="0" w:color="auto"/>
            </w:tcBorders>
            <w:shd w:val="clear" w:color="auto" w:fill="auto"/>
            <w:vAlign w:val="bottom"/>
          </w:tcPr>
          <w:p w:rsidR="0011032F" w:rsidRPr="0011032F" w:rsidRDefault="0011032F" w:rsidP="0011032F">
            <w:pPr>
              <w:suppressAutoHyphens/>
              <w:spacing w:before="80" w:after="80" w:line="160" w:lineRule="exact"/>
              <w:ind w:right="43"/>
              <w:rPr>
                <w:bCs/>
                <w:i/>
                <w:sz w:val="14"/>
                <w:szCs w:val="22"/>
                <w:lang w:val="fr-FR"/>
              </w:rPr>
            </w:pPr>
            <w:r w:rsidRPr="0011032F">
              <w:rPr>
                <w:bCs/>
                <w:i/>
                <w:sz w:val="14"/>
                <w:szCs w:val="22"/>
                <w:lang w:val="fr-FR"/>
              </w:rPr>
              <w:t>Eléments concernés</w:t>
            </w:r>
          </w:p>
        </w:tc>
        <w:tc>
          <w:tcPr>
            <w:tcW w:w="2175" w:type="dxa"/>
            <w:tcBorders>
              <w:top w:val="single" w:sz="4" w:space="0" w:color="auto"/>
              <w:bottom w:val="single" w:sz="12" w:space="0" w:color="auto"/>
            </w:tcBorders>
            <w:shd w:val="clear" w:color="auto" w:fill="auto"/>
            <w:vAlign w:val="bottom"/>
          </w:tcPr>
          <w:p w:rsidR="0011032F" w:rsidRPr="0011032F" w:rsidRDefault="0011032F" w:rsidP="0011032F">
            <w:pPr>
              <w:suppressAutoHyphens/>
              <w:spacing w:before="80" w:after="80" w:line="160" w:lineRule="exact"/>
              <w:ind w:right="43"/>
              <w:jc w:val="right"/>
              <w:rPr>
                <w:bCs/>
                <w:i/>
                <w:sz w:val="14"/>
                <w:szCs w:val="22"/>
                <w:lang w:val="fr-FR"/>
              </w:rPr>
            </w:pPr>
            <w:r w:rsidRPr="0011032F">
              <w:rPr>
                <w:bCs/>
                <w:i/>
                <w:sz w:val="14"/>
                <w:szCs w:val="22"/>
                <w:lang w:val="fr-FR"/>
              </w:rPr>
              <w:t>Hommes</w:t>
            </w:r>
          </w:p>
        </w:tc>
        <w:tc>
          <w:tcPr>
            <w:tcW w:w="2175" w:type="dxa"/>
            <w:tcBorders>
              <w:top w:val="single" w:sz="4" w:space="0" w:color="auto"/>
              <w:bottom w:val="single" w:sz="12" w:space="0" w:color="auto"/>
            </w:tcBorders>
            <w:shd w:val="clear" w:color="auto" w:fill="auto"/>
            <w:vAlign w:val="bottom"/>
          </w:tcPr>
          <w:p w:rsidR="0011032F" w:rsidRPr="0011032F" w:rsidRDefault="0011032F" w:rsidP="0011032F">
            <w:pPr>
              <w:suppressAutoHyphens/>
              <w:spacing w:before="80" w:after="80" w:line="160" w:lineRule="exact"/>
              <w:ind w:right="43"/>
              <w:jc w:val="right"/>
              <w:rPr>
                <w:bCs/>
                <w:i/>
                <w:sz w:val="14"/>
                <w:szCs w:val="22"/>
                <w:lang w:val="fr-FR"/>
              </w:rPr>
            </w:pPr>
            <w:r w:rsidRPr="0011032F">
              <w:rPr>
                <w:bCs/>
                <w:i/>
                <w:sz w:val="14"/>
                <w:szCs w:val="22"/>
                <w:lang w:val="fr-FR"/>
              </w:rPr>
              <w:t>Femmes</w:t>
            </w:r>
          </w:p>
        </w:tc>
      </w:tr>
      <w:tr w:rsidR="0011032F" w:rsidRPr="0011032F">
        <w:tblPrEx>
          <w:tblCellMar>
            <w:top w:w="0" w:type="dxa"/>
            <w:bottom w:w="0" w:type="dxa"/>
          </w:tblCellMar>
        </w:tblPrEx>
        <w:trPr>
          <w:trHeight w:hRule="exact" w:val="115"/>
          <w:tblHeader/>
        </w:trPr>
        <w:tc>
          <w:tcPr>
            <w:tcW w:w="2970" w:type="dxa"/>
            <w:tcBorders>
              <w:top w:val="single" w:sz="12" w:space="0" w:color="auto"/>
            </w:tcBorders>
            <w:shd w:val="clear" w:color="auto" w:fill="auto"/>
            <w:vAlign w:val="bottom"/>
          </w:tcPr>
          <w:p w:rsidR="0011032F" w:rsidRPr="0011032F" w:rsidRDefault="0011032F" w:rsidP="0011032F">
            <w:pPr>
              <w:suppressAutoHyphens/>
              <w:spacing w:before="40" w:after="40" w:line="210" w:lineRule="exact"/>
              <w:ind w:right="43"/>
              <w:rPr>
                <w:sz w:val="17"/>
                <w:szCs w:val="22"/>
                <w:lang w:val="fr-FR"/>
              </w:rPr>
            </w:pPr>
          </w:p>
        </w:tc>
        <w:tc>
          <w:tcPr>
            <w:tcW w:w="2175" w:type="dxa"/>
            <w:tcBorders>
              <w:top w:val="single" w:sz="12" w:space="0" w:color="auto"/>
            </w:tcBorders>
            <w:shd w:val="clear" w:color="auto" w:fill="auto"/>
            <w:vAlign w:val="bottom"/>
          </w:tcPr>
          <w:p w:rsidR="0011032F" w:rsidRPr="0011032F" w:rsidRDefault="0011032F" w:rsidP="0011032F">
            <w:pPr>
              <w:suppressAutoHyphens/>
              <w:spacing w:before="40" w:after="40" w:line="210" w:lineRule="exact"/>
              <w:ind w:right="43"/>
              <w:jc w:val="right"/>
              <w:rPr>
                <w:sz w:val="17"/>
                <w:szCs w:val="22"/>
                <w:lang w:val="fr-FR"/>
              </w:rPr>
            </w:pPr>
          </w:p>
        </w:tc>
        <w:tc>
          <w:tcPr>
            <w:tcW w:w="2175" w:type="dxa"/>
            <w:tcBorders>
              <w:top w:val="single" w:sz="12" w:space="0" w:color="auto"/>
            </w:tcBorders>
            <w:shd w:val="clear" w:color="auto" w:fill="auto"/>
            <w:vAlign w:val="bottom"/>
          </w:tcPr>
          <w:p w:rsidR="0011032F" w:rsidRPr="0011032F" w:rsidRDefault="0011032F" w:rsidP="0011032F">
            <w:pPr>
              <w:suppressAutoHyphens/>
              <w:spacing w:before="40" w:after="40" w:line="210" w:lineRule="exact"/>
              <w:ind w:right="43"/>
              <w:jc w:val="right"/>
              <w:rPr>
                <w:sz w:val="17"/>
                <w:szCs w:val="22"/>
                <w:lang w:val="fr-FR"/>
              </w:rPr>
            </w:pPr>
          </w:p>
        </w:tc>
      </w:tr>
      <w:tr w:rsidR="0011032F" w:rsidRPr="0011032F">
        <w:tblPrEx>
          <w:tblCellMar>
            <w:top w:w="0" w:type="dxa"/>
            <w:bottom w:w="0" w:type="dxa"/>
          </w:tblCellMar>
        </w:tblPrEx>
        <w:tc>
          <w:tcPr>
            <w:tcW w:w="2970" w:type="dxa"/>
            <w:shd w:val="clear" w:color="auto" w:fill="auto"/>
            <w:vAlign w:val="bottom"/>
          </w:tcPr>
          <w:p w:rsidR="0011032F" w:rsidRPr="0011032F" w:rsidRDefault="0011032F" w:rsidP="0011032F">
            <w:pPr>
              <w:tabs>
                <w:tab w:val="left" w:pos="288"/>
                <w:tab w:val="left" w:pos="576"/>
                <w:tab w:val="left" w:pos="864"/>
                <w:tab w:val="left" w:pos="1152"/>
              </w:tabs>
              <w:suppressAutoHyphens/>
              <w:spacing w:before="40" w:after="40" w:line="210" w:lineRule="exact"/>
              <w:ind w:right="43"/>
              <w:rPr>
                <w:sz w:val="17"/>
                <w:szCs w:val="22"/>
                <w:lang w:val="fr-FR"/>
              </w:rPr>
            </w:pPr>
            <w:r w:rsidRPr="0011032F">
              <w:rPr>
                <w:sz w:val="17"/>
                <w:szCs w:val="22"/>
                <w:lang w:val="fr-FR"/>
              </w:rPr>
              <w:t>Au dessous du seuil de pauvreté</w:t>
            </w:r>
          </w:p>
        </w:tc>
        <w:tc>
          <w:tcPr>
            <w:tcW w:w="2175" w:type="dxa"/>
            <w:shd w:val="clear" w:color="auto" w:fill="auto"/>
            <w:vAlign w:val="bottom"/>
          </w:tcPr>
          <w:p w:rsidR="0011032F" w:rsidRPr="0011032F" w:rsidRDefault="0011032F" w:rsidP="0011032F">
            <w:pPr>
              <w:tabs>
                <w:tab w:val="left" w:pos="288"/>
                <w:tab w:val="left" w:pos="576"/>
                <w:tab w:val="left" w:pos="864"/>
                <w:tab w:val="left" w:pos="1152"/>
              </w:tabs>
              <w:suppressAutoHyphens/>
              <w:spacing w:before="40" w:after="40" w:line="210" w:lineRule="exact"/>
              <w:ind w:right="43"/>
              <w:jc w:val="right"/>
              <w:rPr>
                <w:sz w:val="17"/>
                <w:szCs w:val="22"/>
                <w:lang w:val="fr-FR"/>
              </w:rPr>
            </w:pPr>
            <w:r w:rsidRPr="0011032F">
              <w:rPr>
                <w:sz w:val="17"/>
                <w:szCs w:val="22"/>
                <w:lang w:val="fr-FR"/>
              </w:rPr>
              <w:t>35 %</w:t>
            </w:r>
          </w:p>
        </w:tc>
        <w:tc>
          <w:tcPr>
            <w:tcW w:w="2175" w:type="dxa"/>
            <w:shd w:val="clear" w:color="auto" w:fill="auto"/>
            <w:vAlign w:val="bottom"/>
          </w:tcPr>
          <w:p w:rsidR="0011032F" w:rsidRPr="0011032F" w:rsidRDefault="0011032F" w:rsidP="0011032F">
            <w:pPr>
              <w:tabs>
                <w:tab w:val="left" w:pos="288"/>
                <w:tab w:val="left" w:pos="576"/>
                <w:tab w:val="left" w:pos="864"/>
                <w:tab w:val="left" w:pos="1152"/>
              </w:tabs>
              <w:suppressAutoHyphens/>
              <w:spacing w:before="40" w:after="40" w:line="210" w:lineRule="exact"/>
              <w:ind w:right="43"/>
              <w:jc w:val="right"/>
              <w:rPr>
                <w:sz w:val="17"/>
                <w:szCs w:val="22"/>
                <w:lang w:val="fr-FR"/>
              </w:rPr>
            </w:pPr>
            <w:r w:rsidRPr="0011032F">
              <w:rPr>
                <w:sz w:val="17"/>
                <w:szCs w:val="22"/>
                <w:lang w:val="fr-FR"/>
              </w:rPr>
              <w:t>65 %</w:t>
            </w:r>
          </w:p>
        </w:tc>
      </w:tr>
      <w:tr w:rsidR="0011032F" w:rsidRPr="0011032F">
        <w:tblPrEx>
          <w:tblCellMar>
            <w:top w:w="0" w:type="dxa"/>
            <w:bottom w:w="0" w:type="dxa"/>
          </w:tblCellMar>
        </w:tblPrEx>
        <w:tc>
          <w:tcPr>
            <w:tcW w:w="2970" w:type="dxa"/>
            <w:shd w:val="clear" w:color="auto" w:fill="auto"/>
            <w:vAlign w:val="bottom"/>
          </w:tcPr>
          <w:p w:rsidR="0011032F" w:rsidRPr="0011032F" w:rsidRDefault="0011032F" w:rsidP="0011032F">
            <w:pPr>
              <w:tabs>
                <w:tab w:val="left" w:pos="288"/>
                <w:tab w:val="left" w:pos="576"/>
                <w:tab w:val="left" w:pos="864"/>
                <w:tab w:val="left" w:pos="1152"/>
              </w:tabs>
              <w:suppressAutoHyphens/>
              <w:spacing w:before="40" w:after="40" w:line="210" w:lineRule="exact"/>
              <w:ind w:right="43"/>
              <w:rPr>
                <w:sz w:val="17"/>
                <w:szCs w:val="22"/>
                <w:lang w:val="fr-FR"/>
              </w:rPr>
            </w:pPr>
            <w:r w:rsidRPr="0011032F">
              <w:rPr>
                <w:sz w:val="17"/>
                <w:szCs w:val="22"/>
                <w:lang w:val="fr-FR"/>
              </w:rPr>
              <w:t>Pouvoir d’achat</w:t>
            </w:r>
          </w:p>
        </w:tc>
        <w:tc>
          <w:tcPr>
            <w:tcW w:w="2175" w:type="dxa"/>
            <w:shd w:val="clear" w:color="auto" w:fill="auto"/>
            <w:vAlign w:val="bottom"/>
          </w:tcPr>
          <w:p w:rsidR="0011032F" w:rsidRPr="0011032F" w:rsidRDefault="0011032F" w:rsidP="0011032F">
            <w:pPr>
              <w:tabs>
                <w:tab w:val="left" w:pos="288"/>
                <w:tab w:val="left" w:pos="576"/>
                <w:tab w:val="left" w:pos="864"/>
                <w:tab w:val="left" w:pos="1152"/>
              </w:tabs>
              <w:suppressAutoHyphens/>
              <w:spacing w:before="40" w:after="40" w:line="210" w:lineRule="exact"/>
              <w:ind w:right="43"/>
              <w:jc w:val="right"/>
              <w:rPr>
                <w:sz w:val="17"/>
                <w:szCs w:val="22"/>
                <w:lang w:val="fr-FR"/>
              </w:rPr>
            </w:pPr>
            <w:r w:rsidRPr="0011032F">
              <w:rPr>
                <w:sz w:val="17"/>
                <w:szCs w:val="22"/>
                <w:lang w:val="fr-FR"/>
              </w:rPr>
              <w:t xml:space="preserve">$ 1 495 </w:t>
            </w:r>
          </w:p>
        </w:tc>
        <w:tc>
          <w:tcPr>
            <w:tcW w:w="2175" w:type="dxa"/>
            <w:shd w:val="clear" w:color="auto" w:fill="auto"/>
            <w:vAlign w:val="bottom"/>
          </w:tcPr>
          <w:p w:rsidR="0011032F" w:rsidRPr="0011032F" w:rsidRDefault="0011032F" w:rsidP="0011032F">
            <w:pPr>
              <w:tabs>
                <w:tab w:val="left" w:pos="288"/>
                <w:tab w:val="left" w:pos="576"/>
                <w:tab w:val="left" w:pos="864"/>
                <w:tab w:val="left" w:pos="1152"/>
              </w:tabs>
              <w:suppressAutoHyphens/>
              <w:spacing w:before="40" w:after="40" w:line="210" w:lineRule="exact"/>
              <w:ind w:right="43"/>
              <w:jc w:val="right"/>
              <w:rPr>
                <w:sz w:val="17"/>
                <w:szCs w:val="22"/>
                <w:lang w:val="fr-FR"/>
              </w:rPr>
            </w:pPr>
            <w:r w:rsidRPr="0011032F">
              <w:rPr>
                <w:sz w:val="17"/>
                <w:szCs w:val="22"/>
                <w:lang w:val="fr-FR"/>
              </w:rPr>
              <w:t xml:space="preserve">$ 614 </w:t>
            </w:r>
          </w:p>
        </w:tc>
      </w:tr>
      <w:tr w:rsidR="0011032F" w:rsidRPr="0011032F">
        <w:tblPrEx>
          <w:tblCellMar>
            <w:top w:w="0" w:type="dxa"/>
            <w:bottom w:w="0" w:type="dxa"/>
          </w:tblCellMar>
        </w:tblPrEx>
        <w:tc>
          <w:tcPr>
            <w:tcW w:w="2970" w:type="dxa"/>
            <w:shd w:val="clear" w:color="auto" w:fill="auto"/>
            <w:vAlign w:val="bottom"/>
          </w:tcPr>
          <w:p w:rsidR="0011032F" w:rsidRPr="0011032F" w:rsidRDefault="0011032F" w:rsidP="0011032F">
            <w:pPr>
              <w:tabs>
                <w:tab w:val="left" w:pos="288"/>
                <w:tab w:val="left" w:pos="576"/>
                <w:tab w:val="left" w:pos="864"/>
                <w:tab w:val="left" w:pos="1152"/>
              </w:tabs>
              <w:suppressAutoHyphens/>
              <w:spacing w:before="40" w:after="40" w:line="210" w:lineRule="exact"/>
              <w:ind w:right="43"/>
              <w:rPr>
                <w:sz w:val="17"/>
                <w:szCs w:val="22"/>
                <w:lang w:val="fr-FR"/>
              </w:rPr>
            </w:pPr>
            <w:r w:rsidRPr="0011032F">
              <w:rPr>
                <w:sz w:val="17"/>
                <w:szCs w:val="22"/>
                <w:lang w:val="fr-FR"/>
              </w:rPr>
              <w:t>Fonction publique fédérale</w:t>
            </w:r>
          </w:p>
        </w:tc>
        <w:tc>
          <w:tcPr>
            <w:tcW w:w="2175" w:type="dxa"/>
            <w:shd w:val="clear" w:color="auto" w:fill="auto"/>
            <w:vAlign w:val="bottom"/>
          </w:tcPr>
          <w:p w:rsidR="0011032F" w:rsidRPr="0011032F" w:rsidRDefault="0011032F" w:rsidP="0011032F">
            <w:pPr>
              <w:tabs>
                <w:tab w:val="left" w:pos="288"/>
                <w:tab w:val="left" w:pos="576"/>
                <w:tab w:val="left" w:pos="864"/>
                <w:tab w:val="left" w:pos="1152"/>
              </w:tabs>
              <w:suppressAutoHyphens/>
              <w:spacing w:before="40" w:after="40" w:line="210" w:lineRule="exact"/>
              <w:ind w:right="43"/>
              <w:jc w:val="right"/>
              <w:rPr>
                <w:sz w:val="17"/>
                <w:szCs w:val="22"/>
                <w:lang w:val="fr-FR"/>
              </w:rPr>
            </w:pPr>
            <w:r w:rsidRPr="0011032F">
              <w:rPr>
                <w:sz w:val="17"/>
                <w:szCs w:val="22"/>
                <w:lang w:val="fr-FR"/>
              </w:rPr>
              <w:t>76 %</w:t>
            </w:r>
          </w:p>
        </w:tc>
        <w:tc>
          <w:tcPr>
            <w:tcW w:w="2175" w:type="dxa"/>
            <w:shd w:val="clear" w:color="auto" w:fill="auto"/>
            <w:vAlign w:val="bottom"/>
          </w:tcPr>
          <w:p w:rsidR="0011032F" w:rsidRPr="0011032F" w:rsidRDefault="0011032F" w:rsidP="0011032F">
            <w:pPr>
              <w:tabs>
                <w:tab w:val="left" w:pos="288"/>
                <w:tab w:val="left" w:pos="576"/>
                <w:tab w:val="left" w:pos="864"/>
                <w:tab w:val="left" w:pos="1152"/>
              </w:tabs>
              <w:suppressAutoHyphens/>
              <w:spacing w:before="40" w:after="40" w:line="210" w:lineRule="exact"/>
              <w:ind w:right="43"/>
              <w:jc w:val="right"/>
              <w:rPr>
                <w:sz w:val="17"/>
                <w:szCs w:val="22"/>
                <w:lang w:val="fr-FR"/>
              </w:rPr>
            </w:pPr>
            <w:r w:rsidRPr="0011032F">
              <w:rPr>
                <w:sz w:val="17"/>
                <w:szCs w:val="22"/>
                <w:lang w:val="fr-FR"/>
              </w:rPr>
              <w:t>24 %</w:t>
            </w:r>
          </w:p>
        </w:tc>
      </w:tr>
      <w:tr w:rsidR="0011032F" w:rsidRPr="0011032F">
        <w:tblPrEx>
          <w:tblCellMar>
            <w:top w:w="0" w:type="dxa"/>
            <w:bottom w:w="0" w:type="dxa"/>
          </w:tblCellMar>
        </w:tblPrEx>
        <w:tc>
          <w:tcPr>
            <w:tcW w:w="2970" w:type="dxa"/>
            <w:shd w:val="clear" w:color="auto" w:fill="auto"/>
            <w:vAlign w:val="bottom"/>
          </w:tcPr>
          <w:p w:rsidR="0011032F" w:rsidRPr="0011032F" w:rsidRDefault="0011032F" w:rsidP="0011032F">
            <w:pPr>
              <w:tabs>
                <w:tab w:val="left" w:pos="288"/>
                <w:tab w:val="left" w:pos="576"/>
                <w:tab w:val="left" w:pos="864"/>
                <w:tab w:val="left" w:pos="1152"/>
              </w:tabs>
              <w:suppressAutoHyphens/>
              <w:spacing w:before="40" w:after="40" w:line="210" w:lineRule="exact"/>
              <w:ind w:right="43"/>
              <w:rPr>
                <w:sz w:val="17"/>
                <w:szCs w:val="22"/>
                <w:lang w:val="fr-FR"/>
              </w:rPr>
            </w:pPr>
            <w:r w:rsidRPr="0011032F">
              <w:rPr>
                <w:sz w:val="17"/>
                <w:szCs w:val="22"/>
                <w:lang w:val="fr-FR"/>
              </w:rPr>
              <w:t>Cadres</w:t>
            </w:r>
          </w:p>
        </w:tc>
        <w:tc>
          <w:tcPr>
            <w:tcW w:w="2175" w:type="dxa"/>
            <w:shd w:val="clear" w:color="auto" w:fill="auto"/>
            <w:vAlign w:val="bottom"/>
          </w:tcPr>
          <w:p w:rsidR="0011032F" w:rsidRPr="0011032F" w:rsidRDefault="0011032F" w:rsidP="0011032F">
            <w:pPr>
              <w:tabs>
                <w:tab w:val="left" w:pos="288"/>
                <w:tab w:val="left" w:pos="576"/>
                <w:tab w:val="left" w:pos="864"/>
                <w:tab w:val="left" w:pos="1152"/>
              </w:tabs>
              <w:suppressAutoHyphens/>
              <w:spacing w:before="40" w:after="40" w:line="210" w:lineRule="exact"/>
              <w:ind w:right="43"/>
              <w:jc w:val="right"/>
              <w:rPr>
                <w:sz w:val="17"/>
                <w:szCs w:val="22"/>
                <w:lang w:val="fr-FR"/>
              </w:rPr>
            </w:pPr>
            <w:r w:rsidRPr="0011032F">
              <w:rPr>
                <w:sz w:val="17"/>
                <w:szCs w:val="22"/>
                <w:lang w:val="fr-FR"/>
              </w:rPr>
              <w:t>86 %</w:t>
            </w:r>
          </w:p>
        </w:tc>
        <w:tc>
          <w:tcPr>
            <w:tcW w:w="2175" w:type="dxa"/>
            <w:shd w:val="clear" w:color="auto" w:fill="auto"/>
            <w:vAlign w:val="bottom"/>
          </w:tcPr>
          <w:p w:rsidR="0011032F" w:rsidRPr="0011032F" w:rsidRDefault="0011032F" w:rsidP="0011032F">
            <w:pPr>
              <w:tabs>
                <w:tab w:val="left" w:pos="288"/>
                <w:tab w:val="left" w:pos="576"/>
                <w:tab w:val="left" w:pos="864"/>
                <w:tab w:val="left" w:pos="1152"/>
              </w:tabs>
              <w:suppressAutoHyphens/>
              <w:spacing w:before="40" w:after="40" w:line="210" w:lineRule="exact"/>
              <w:ind w:right="43"/>
              <w:jc w:val="right"/>
              <w:rPr>
                <w:sz w:val="17"/>
                <w:szCs w:val="22"/>
                <w:lang w:val="fr-FR"/>
              </w:rPr>
            </w:pPr>
            <w:r w:rsidRPr="0011032F">
              <w:rPr>
                <w:sz w:val="17"/>
                <w:szCs w:val="22"/>
                <w:lang w:val="fr-FR"/>
              </w:rPr>
              <w:t>14 %</w:t>
            </w:r>
          </w:p>
        </w:tc>
      </w:tr>
      <w:tr w:rsidR="0011032F" w:rsidRPr="0011032F">
        <w:tblPrEx>
          <w:tblCellMar>
            <w:top w:w="0" w:type="dxa"/>
            <w:bottom w:w="0" w:type="dxa"/>
          </w:tblCellMar>
        </w:tblPrEx>
        <w:tc>
          <w:tcPr>
            <w:tcW w:w="2970" w:type="dxa"/>
            <w:shd w:val="clear" w:color="auto" w:fill="auto"/>
            <w:vAlign w:val="bottom"/>
          </w:tcPr>
          <w:p w:rsidR="0011032F" w:rsidRPr="0011032F" w:rsidRDefault="0011032F" w:rsidP="0011032F">
            <w:pPr>
              <w:tabs>
                <w:tab w:val="left" w:pos="288"/>
                <w:tab w:val="left" w:pos="576"/>
                <w:tab w:val="left" w:pos="864"/>
                <w:tab w:val="left" w:pos="1152"/>
              </w:tabs>
              <w:suppressAutoHyphens/>
              <w:spacing w:before="40" w:after="40" w:line="210" w:lineRule="exact"/>
              <w:ind w:right="43"/>
              <w:rPr>
                <w:sz w:val="17"/>
                <w:szCs w:val="22"/>
                <w:lang w:val="fr-FR"/>
              </w:rPr>
            </w:pPr>
            <w:r w:rsidRPr="0011032F">
              <w:rPr>
                <w:sz w:val="17"/>
                <w:szCs w:val="22"/>
                <w:lang w:val="fr-FR"/>
              </w:rPr>
              <w:t>Médecins</w:t>
            </w:r>
          </w:p>
        </w:tc>
        <w:tc>
          <w:tcPr>
            <w:tcW w:w="2175" w:type="dxa"/>
            <w:shd w:val="clear" w:color="auto" w:fill="auto"/>
            <w:vAlign w:val="bottom"/>
          </w:tcPr>
          <w:p w:rsidR="0011032F" w:rsidRPr="0011032F" w:rsidRDefault="0011032F" w:rsidP="0011032F">
            <w:pPr>
              <w:tabs>
                <w:tab w:val="left" w:pos="288"/>
                <w:tab w:val="left" w:pos="576"/>
                <w:tab w:val="left" w:pos="864"/>
                <w:tab w:val="left" w:pos="1152"/>
              </w:tabs>
              <w:suppressAutoHyphens/>
              <w:spacing w:before="40" w:after="40" w:line="210" w:lineRule="exact"/>
              <w:ind w:right="43"/>
              <w:jc w:val="right"/>
              <w:rPr>
                <w:sz w:val="17"/>
                <w:szCs w:val="22"/>
                <w:lang w:val="fr-FR"/>
              </w:rPr>
            </w:pPr>
            <w:r w:rsidRPr="0011032F">
              <w:rPr>
                <w:sz w:val="17"/>
                <w:szCs w:val="22"/>
                <w:lang w:val="fr-FR"/>
              </w:rPr>
              <w:t>82,50%</w:t>
            </w:r>
          </w:p>
        </w:tc>
        <w:tc>
          <w:tcPr>
            <w:tcW w:w="2175" w:type="dxa"/>
            <w:shd w:val="clear" w:color="auto" w:fill="auto"/>
            <w:vAlign w:val="bottom"/>
          </w:tcPr>
          <w:p w:rsidR="0011032F" w:rsidRPr="0011032F" w:rsidRDefault="0011032F" w:rsidP="0011032F">
            <w:pPr>
              <w:tabs>
                <w:tab w:val="left" w:pos="288"/>
                <w:tab w:val="left" w:pos="576"/>
                <w:tab w:val="left" w:pos="864"/>
                <w:tab w:val="left" w:pos="1152"/>
              </w:tabs>
              <w:suppressAutoHyphens/>
              <w:spacing w:before="40" w:after="40" w:line="210" w:lineRule="exact"/>
              <w:ind w:right="43"/>
              <w:jc w:val="right"/>
              <w:rPr>
                <w:sz w:val="17"/>
                <w:szCs w:val="22"/>
                <w:lang w:val="fr-FR"/>
              </w:rPr>
            </w:pPr>
            <w:r w:rsidRPr="0011032F">
              <w:rPr>
                <w:sz w:val="17"/>
                <w:szCs w:val="22"/>
                <w:lang w:val="fr-FR"/>
              </w:rPr>
              <w:t>17,50%</w:t>
            </w:r>
          </w:p>
        </w:tc>
      </w:tr>
      <w:tr w:rsidR="0011032F" w:rsidRPr="0011032F">
        <w:tblPrEx>
          <w:tblCellMar>
            <w:top w:w="0" w:type="dxa"/>
            <w:bottom w:w="0" w:type="dxa"/>
          </w:tblCellMar>
        </w:tblPrEx>
        <w:tc>
          <w:tcPr>
            <w:tcW w:w="2970" w:type="dxa"/>
            <w:shd w:val="clear" w:color="auto" w:fill="auto"/>
            <w:vAlign w:val="bottom"/>
          </w:tcPr>
          <w:p w:rsidR="0011032F" w:rsidRPr="0011032F" w:rsidRDefault="0011032F" w:rsidP="0011032F">
            <w:pPr>
              <w:tabs>
                <w:tab w:val="left" w:pos="288"/>
                <w:tab w:val="left" w:pos="576"/>
                <w:tab w:val="left" w:pos="864"/>
                <w:tab w:val="left" w:pos="1152"/>
              </w:tabs>
              <w:suppressAutoHyphens/>
              <w:spacing w:before="40" w:after="40" w:line="210" w:lineRule="exact"/>
              <w:ind w:right="43"/>
              <w:rPr>
                <w:sz w:val="17"/>
                <w:szCs w:val="22"/>
                <w:lang w:val="fr-FR"/>
              </w:rPr>
            </w:pPr>
            <w:r w:rsidRPr="0011032F">
              <w:rPr>
                <w:sz w:val="17"/>
                <w:szCs w:val="22"/>
                <w:lang w:val="fr-FR"/>
              </w:rPr>
              <w:t>Secteurs informels</w:t>
            </w:r>
          </w:p>
        </w:tc>
        <w:tc>
          <w:tcPr>
            <w:tcW w:w="2175" w:type="dxa"/>
            <w:shd w:val="clear" w:color="auto" w:fill="auto"/>
            <w:vAlign w:val="bottom"/>
          </w:tcPr>
          <w:p w:rsidR="0011032F" w:rsidRPr="0011032F" w:rsidRDefault="0011032F" w:rsidP="0011032F">
            <w:pPr>
              <w:tabs>
                <w:tab w:val="left" w:pos="288"/>
                <w:tab w:val="left" w:pos="576"/>
                <w:tab w:val="left" w:pos="864"/>
                <w:tab w:val="left" w:pos="1152"/>
              </w:tabs>
              <w:suppressAutoHyphens/>
              <w:spacing w:before="40" w:after="40" w:line="210" w:lineRule="exact"/>
              <w:ind w:right="43"/>
              <w:jc w:val="right"/>
              <w:rPr>
                <w:sz w:val="17"/>
                <w:szCs w:val="22"/>
                <w:lang w:val="fr-FR"/>
              </w:rPr>
            </w:pPr>
            <w:r w:rsidRPr="0011032F">
              <w:rPr>
                <w:sz w:val="17"/>
                <w:szCs w:val="22"/>
                <w:lang w:val="fr-FR"/>
              </w:rPr>
              <w:t>13 %</w:t>
            </w:r>
          </w:p>
        </w:tc>
        <w:tc>
          <w:tcPr>
            <w:tcW w:w="2175" w:type="dxa"/>
            <w:shd w:val="clear" w:color="auto" w:fill="auto"/>
            <w:vAlign w:val="bottom"/>
          </w:tcPr>
          <w:p w:rsidR="0011032F" w:rsidRPr="0011032F" w:rsidRDefault="0011032F" w:rsidP="0011032F">
            <w:pPr>
              <w:tabs>
                <w:tab w:val="left" w:pos="288"/>
                <w:tab w:val="left" w:pos="576"/>
                <w:tab w:val="left" w:pos="864"/>
                <w:tab w:val="left" w:pos="1152"/>
              </w:tabs>
              <w:suppressAutoHyphens/>
              <w:spacing w:before="40" w:after="40" w:line="210" w:lineRule="exact"/>
              <w:ind w:right="43"/>
              <w:jc w:val="right"/>
              <w:rPr>
                <w:sz w:val="17"/>
                <w:szCs w:val="22"/>
                <w:lang w:val="fr-FR"/>
              </w:rPr>
            </w:pPr>
            <w:r w:rsidRPr="0011032F">
              <w:rPr>
                <w:sz w:val="17"/>
                <w:szCs w:val="22"/>
                <w:lang w:val="fr-FR"/>
              </w:rPr>
              <w:t>87 %</w:t>
            </w:r>
          </w:p>
        </w:tc>
      </w:tr>
      <w:tr w:rsidR="0011032F" w:rsidRPr="0011032F">
        <w:tblPrEx>
          <w:tblCellMar>
            <w:top w:w="0" w:type="dxa"/>
            <w:bottom w:w="0" w:type="dxa"/>
          </w:tblCellMar>
        </w:tblPrEx>
        <w:tc>
          <w:tcPr>
            <w:tcW w:w="2970" w:type="dxa"/>
            <w:shd w:val="clear" w:color="auto" w:fill="auto"/>
            <w:vAlign w:val="bottom"/>
          </w:tcPr>
          <w:p w:rsidR="0011032F" w:rsidRPr="0011032F" w:rsidRDefault="0011032F" w:rsidP="0011032F">
            <w:pPr>
              <w:tabs>
                <w:tab w:val="left" w:pos="288"/>
                <w:tab w:val="left" w:pos="576"/>
                <w:tab w:val="left" w:pos="864"/>
                <w:tab w:val="left" w:pos="1152"/>
              </w:tabs>
              <w:suppressAutoHyphens/>
              <w:spacing w:before="40" w:after="40" w:line="210" w:lineRule="exact"/>
              <w:ind w:right="43"/>
              <w:rPr>
                <w:sz w:val="17"/>
                <w:szCs w:val="22"/>
                <w:lang w:val="fr-FR"/>
              </w:rPr>
            </w:pPr>
            <w:r w:rsidRPr="0011032F">
              <w:rPr>
                <w:sz w:val="17"/>
                <w:szCs w:val="22"/>
                <w:lang w:val="fr-FR"/>
              </w:rPr>
              <w:t>Secteur industriel</w:t>
            </w:r>
          </w:p>
        </w:tc>
        <w:tc>
          <w:tcPr>
            <w:tcW w:w="2175" w:type="dxa"/>
            <w:shd w:val="clear" w:color="auto" w:fill="auto"/>
            <w:vAlign w:val="bottom"/>
          </w:tcPr>
          <w:p w:rsidR="0011032F" w:rsidRPr="0011032F" w:rsidRDefault="0011032F" w:rsidP="0011032F">
            <w:pPr>
              <w:tabs>
                <w:tab w:val="left" w:pos="288"/>
                <w:tab w:val="left" w:pos="576"/>
                <w:tab w:val="left" w:pos="864"/>
                <w:tab w:val="left" w:pos="1152"/>
              </w:tabs>
              <w:suppressAutoHyphens/>
              <w:spacing w:before="40" w:after="40" w:line="210" w:lineRule="exact"/>
              <w:ind w:right="43"/>
              <w:jc w:val="right"/>
              <w:rPr>
                <w:sz w:val="17"/>
                <w:szCs w:val="22"/>
                <w:lang w:val="fr-FR"/>
              </w:rPr>
            </w:pPr>
            <w:r w:rsidRPr="0011032F">
              <w:rPr>
                <w:sz w:val="17"/>
                <w:szCs w:val="22"/>
                <w:lang w:val="fr-FR"/>
              </w:rPr>
              <w:t>30 %</w:t>
            </w:r>
          </w:p>
        </w:tc>
        <w:tc>
          <w:tcPr>
            <w:tcW w:w="2175" w:type="dxa"/>
            <w:shd w:val="clear" w:color="auto" w:fill="auto"/>
            <w:vAlign w:val="bottom"/>
          </w:tcPr>
          <w:p w:rsidR="0011032F" w:rsidRPr="0011032F" w:rsidRDefault="0011032F" w:rsidP="0011032F">
            <w:pPr>
              <w:tabs>
                <w:tab w:val="left" w:pos="288"/>
                <w:tab w:val="left" w:pos="576"/>
                <w:tab w:val="left" w:pos="864"/>
                <w:tab w:val="left" w:pos="1152"/>
              </w:tabs>
              <w:suppressAutoHyphens/>
              <w:spacing w:before="40" w:after="40" w:line="210" w:lineRule="exact"/>
              <w:ind w:right="43"/>
              <w:jc w:val="right"/>
              <w:rPr>
                <w:sz w:val="17"/>
                <w:szCs w:val="22"/>
                <w:lang w:val="fr-FR"/>
              </w:rPr>
            </w:pPr>
            <w:r w:rsidRPr="0011032F">
              <w:rPr>
                <w:sz w:val="17"/>
                <w:szCs w:val="22"/>
                <w:lang w:val="fr-FR"/>
              </w:rPr>
              <w:t>11%</w:t>
            </w:r>
          </w:p>
        </w:tc>
      </w:tr>
      <w:tr w:rsidR="0011032F" w:rsidRPr="0011032F">
        <w:tblPrEx>
          <w:tblCellMar>
            <w:top w:w="0" w:type="dxa"/>
            <w:bottom w:w="0" w:type="dxa"/>
          </w:tblCellMar>
        </w:tblPrEx>
        <w:tc>
          <w:tcPr>
            <w:tcW w:w="2970" w:type="dxa"/>
            <w:shd w:val="clear" w:color="auto" w:fill="auto"/>
            <w:vAlign w:val="bottom"/>
          </w:tcPr>
          <w:p w:rsidR="0011032F" w:rsidRPr="0011032F" w:rsidRDefault="0011032F" w:rsidP="0011032F">
            <w:pPr>
              <w:tabs>
                <w:tab w:val="left" w:pos="288"/>
                <w:tab w:val="left" w:pos="576"/>
                <w:tab w:val="left" w:pos="864"/>
                <w:tab w:val="left" w:pos="1152"/>
              </w:tabs>
              <w:suppressAutoHyphens/>
              <w:spacing w:before="40" w:after="40" w:line="210" w:lineRule="exact"/>
              <w:ind w:right="43"/>
              <w:rPr>
                <w:sz w:val="17"/>
                <w:szCs w:val="22"/>
                <w:lang w:val="fr-FR"/>
              </w:rPr>
            </w:pPr>
            <w:r w:rsidRPr="0011032F">
              <w:rPr>
                <w:sz w:val="17"/>
                <w:szCs w:val="22"/>
                <w:lang w:val="fr-FR"/>
              </w:rPr>
              <w:t>Propriété foncière</w:t>
            </w:r>
          </w:p>
        </w:tc>
        <w:tc>
          <w:tcPr>
            <w:tcW w:w="2175" w:type="dxa"/>
            <w:shd w:val="clear" w:color="auto" w:fill="auto"/>
            <w:vAlign w:val="bottom"/>
          </w:tcPr>
          <w:p w:rsidR="0011032F" w:rsidRPr="0011032F" w:rsidRDefault="0011032F" w:rsidP="0011032F">
            <w:pPr>
              <w:tabs>
                <w:tab w:val="left" w:pos="288"/>
                <w:tab w:val="left" w:pos="576"/>
                <w:tab w:val="left" w:pos="864"/>
                <w:tab w:val="left" w:pos="1152"/>
              </w:tabs>
              <w:suppressAutoHyphens/>
              <w:spacing w:before="40" w:after="40" w:line="210" w:lineRule="exact"/>
              <w:ind w:right="43"/>
              <w:jc w:val="right"/>
              <w:rPr>
                <w:sz w:val="17"/>
                <w:szCs w:val="22"/>
                <w:lang w:val="fr-FR"/>
              </w:rPr>
            </w:pPr>
            <w:r w:rsidRPr="0011032F">
              <w:rPr>
                <w:sz w:val="17"/>
                <w:szCs w:val="22"/>
                <w:lang w:val="fr-FR"/>
              </w:rPr>
              <w:t>90%</w:t>
            </w:r>
          </w:p>
        </w:tc>
        <w:tc>
          <w:tcPr>
            <w:tcW w:w="2175" w:type="dxa"/>
            <w:shd w:val="clear" w:color="auto" w:fill="auto"/>
            <w:vAlign w:val="bottom"/>
          </w:tcPr>
          <w:p w:rsidR="0011032F" w:rsidRPr="0011032F" w:rsidRDefault="0011032F" w:rsidP="0011032F">
            <w:pPr>
              <w:tabs>
                <w:tab w:val="left" w:pos="288"/>
                <w:tab w:val="left" w:pos="576"/>
                <w:tab w:val="left" w:pos="864"/>
                <w:tab w:val="left" w:pos="1152"/>
              </w:tabs>
              <w:suppressAutoHyphens/>
              <w:spacing w:before="40" w:after="40" w:line="210" w:lineRule="exact"/>
              <w:ind w:right="43"/>
              <w:jc w:val="right"/>
              <w:rPr>
                <w:sz w:val="17"/>
                <w:szCs w:val="22"/>
                <w:lang w:val="fr-FR"/>
              </w:rPr>
            </w:pPr>
            <w:r w:rsidRPr="0011032F">
              <w:rPr>
                <w:sz w:val="17"/>
                <w:szCs w:val="22"/>
                <w:lang w:val="fr-FR"/>
              </w:rPr>
              <w:t>10%</w:t>
            </w:r>
          </w:p>
        </w:tc>
      </w:tr>
      <w:tr w:rsidR="0011032F" w:rsidRPr="0011032F">
        <w:tblPrEx>
          <w:tblCellMar>
            <w:top w:w="0" w:type="dxa"/>
            <w:bottom w:w="0" w:type="dxa"/>
          </w:tblCellMar>
        </w:tblPrEx>
        <w:tc>
          <w:tcPr>
            <w:tcW w:w="2970" w:type="dxa"/>
            <w:shd w:val="clear" w:color="auto" w:fill="auto"/>
            <w:vAlign w:val="bottom"/>
          </w:tcPr>
          <w:p w:rsidR="0011032F" w:rsidRPr="0011032F" w:rsidRDefault="0011032F" w:rsidP="0011032F">
            <w:pPr>
              <w:tabs>
                <w:tab w:val="left" w:pos="288"/>
                <w:tab w:val="left" w:pos="576"/>
                <w:tab w:val="left" w:pos="864"/>
                <w:tab w:val="left" w:pos="1152"/>
              </w:tabs>
              <w:suppressAutoHyphens/>
              <w:spacing w:before="40" w:after="40" w:line="210" w:lineRule="exact"/>
              <w:ind w:right="43"/>
              <w:rPr>
                <w:sz w:val="17"/>
                <w:szCs w:val="22"/>
                <w:lang w:val="fr-FR"/>
              </w:rPr>
            </w:pPr>
            <w:r w:rsidRPr="0011032F">
              <w:rPr>
                <w:sz w:val="17"/>
                <w:szCs w:val="22"/>
                <w:lang w:val="fr-FR"/>
              </w:rPr>
              <w:t>Travail agricole</w:t>
            </w:r>
          </w:p>
        </w:tc>
        <w:tc>
          <w:tcPr>
            <w:tcW w:w="2175" w:type="dxa"/>
            <w:shd w:val="clear" w:color="auto" w:fill="auto"/>
            <w:vAlign w:val="bottom"/>
          </w:tcPr>
          <w:p w:rsidR="0011032F" w:rsidRPr="0011032F" w:rsidRDefault="0011032F" w:rsidP="0011032F">
            <w:pPr>
              <w:tabs>
                <w:tab w:val="left" w:pos="288"/>
                <w:tab w:val="left" w:pos="576"/>
                <w:tab w:val="left" w:pos="864"/>
                <w:tab w:val="left" w:pos="1152"/>
              </w:tabs>
              <w:suppressAutoHyphens/>
              <w:spacing w:before="40" w:after="40" w:line="210" w:lineRule="exact"/>
              <w:ind w:right="43"/>
              <w:jc w:val="right"/>
              <w:rPr>
                <w:sz w:val="17"/>
                <w:szCs w:val="22"/>
                <w:lang w:val="fr-FR"/>
              </w:rPr>
            </w:pPr>
            <w:r w:rsidRPr="0011032F">
              <w:rPr>
                <w:sz w:val="17"/>
                <w:szCs w:val="22"/>
                <w:lang w:val="fr-FR"/>
              </w:rPr>
              <w:t>30 %</w:t>
            </w:r>
          </w:p>
        </w:tc>
        <w:tc>
          <w:tcPr>
            <w:tcW w:w="2175" w:type="dxa"/>
            <w:shd w:val="clear" w:color="auto" w:fill="auto"/>
            <w:vAlign w:val="bottom"/>
          </w:tcPr>
          <w:p w:rsidR="0011032F" w:rsidRPr="0011032F" w:rsidRDefault="0011032F" w:rsidP="0011032F">
            <w:pPr>
              <w:tabs>
                <w:tab w:val="left" w:pos="288"/>
                <w:tab w:val="left" w:pos="576"/>
                <w:tab w:val="left" w:pos="864"/>
                <w:tab w:val="left" w:pos="1152"/>
              </w:tabs>
              <w:suppressAutoHyphens/>
              <w:spacing w:before="40" w:after="40" w:line="210" w:lineRule="exact"/>
              <w:ind w:right="43"/>
              <w:jc w:val="right"/>
              <w:rPr>
                <w:sz w:val="17"/>
                <w:szCs w:val="22"/>
                <w:lang w:val="fr-FR"/>
              </w:rPr>
            </w:pPr>
            <w:r w:rsidRPr="0011032F">
              <w:rPr>
                <w:sz w:val="17"/>
                <w:szCs w:val="22"/>
                <w:lang w:val="fr-FR"/>
              </w:rPr>
              <w:t>70 %</w:t>
            </w:r>
          </w:p>
        </w:tc>
      </w:tr>
      <w:tr w:rsidR="0011032F" w:rsidRPr="0011032F">
        <w:tblPrEx>
          <w:tblCellMar>
            <w:top w:w="0" w:type="dxa"/>
            <w:bottom w:w="0" w:type="dxa"/>
          </w:tblCellMar>
        </w:tblPrEx>
        <w:tc>
          <w:tcPr>
            <w:tcW w:w="2970" w:type="dxa"/>
            <w:shd w:val="clear" w:color="auto" w:fill="auto"/>
            <w:vAlign w:val="bottom"/>
          </w:tcPr>
          <w:p w:rsidR="0011032F" w:rsidRPr="0011032F" w:rsidRDefault="0011032F" w:rsidP="0011032F">
            <w:pPr>
              <w:tabs>
                <w:tab w:val="left" w:pos="288"/>
                <w:tab w:val="left" w:pos="576"/>
                <w:tab w:val="left" w:pos="864"/>
                <w:tab w:val="left" w:pos="1152"/>
              </w:tabs>
              <w:suppressAutoHyphens/>
              <w:spacing w:before="40" w:after="40" w:line="210" w:lineRule="exact"/>
              <w:ind w:right="43"/>
              <w:rPr>
                <w:sz w:val="17"/>
                <w:szCs w:val="22"/>
                <w:lang w:val="fr-FR"/>
              </w:rPr>
            </w:pPr>
            <w:r w:rsidRPr="0011032F">
              <w:rPr>
                <w:sz w:val="17"/>
                <w:szCs w:val="22"/>
                <w:lang w:val="fr-FR"/>
              </w:rPr>
              <w:t>Élevage</w:t>
            </w:r>
          </w:p>
        </w:tc>
        <w:tc>
          <w:tcPr>
            <w:tcW w:w="2175" w:type="dxa"/>
            <w:shd w:val="clear" w:color="auto" w:fill="auto"/>
            <w:vAlign w:val="bottom"/>
          </w:tcPr>
          <w:p w:rsidR="0011032F" w:rsidRPr="0011032F" w:rsidRDefault="0011032F" w:rsidP="0011032F">
            <w:pPr>
              <w:tabs>
                <w:tab w:val="left" w:pos="288"/>
                <w:tab w:val="left" w:pos="576"/>
                <w:tab w:val="left" w:pos="864"/>
                <w:tab w:val="left" w:pos="1152"/>
              </w:tabs>
              <w:suppressAutoHyphens/>
              <w:spacing w:before="40" w:after="40" w:line="210" w:lineRule="exact"/>
              <w:ind w:right="43"/>
              <w:jc w:val="right"/>
              <w:rPr>
                <w:sz w:val="17"/>
                <w:szCs w:val="22"/>
                <w:lang w:val="fr-FR"/>
              </w:rPr>
            </w:pPr>
            <w:r w:rsidRPr="0011032F">
              <w:rPr>
                <w:sz w:val="17"/>
                <w:szCs w:val="22"/>
                <w:lang w:val="fr-FR"/>
              </w:rPr>
              <w:t>50 %</w:t>
            </w:r>
          </w:p>
        </w:tc>
        <w:tc>
          <w:tcPr>
            <w:tcW w:w="2175" w:type="dxa"/>
            <w:shd w:val="clear" w:color="auto" w:fill="auto"/>
            <w:vAlign w:val="bottom"/>
          </w:tcPr>
          <w:p w:rsidR="0011032F" w:rsidRPr="0011032F" w:rsidRDefault="0011032F" w:rsidP="0011032F">
            <w:pPr>
              <w:tabs>
                <w:tab w:val="left" w:pos="288"/>
                <w:tab w:val="left" w:pos="576"/>
                <w:tab w:val="left" w:pos="864"/>
                <w:tab w:val="left" w:pos="1152"/>
              </w:tabs>
              <w:suppressAutoHyphens/>
              <w:spacing w:before="40" w:after="40" w:line="210" w:lineRule="exact"/>
              <w:ind w:right="43"/>
              <w:jc w:val="right"/>
              <w:rPr>
                <w:sz w:val="17"/>
                <w:szCs w:val="22"/>
                <w:lang w:val="fr-FR"/>
              </w:rPr>
            </w:pPr>
            <w:r w:rsidRPr="0011032F">
              <w:rPr>
                <w:sz w:val="17"/>
                <w:szCs w:val="22"/>
                <w:lang w:val="fr-FR"/>
              </w:rPr>
              <w:t>50 %</w:t>
            </w:r>
          </w:p>
        </w:tc>
      </w:tr>
      <w:tr w:rsidR="0011032F" w:rsidRPr="0011032F">
        <w:tblPrEx>
          <w:tblCellMar>
            <w:top w:w="0" w:type="dxa"/>
            <w:bottom w:w="0" w:type="dxa"/>
          </w:tblCellMar>
        </w:tblPrEx>
        <w:tc>
          <w:tcPr>
            <w:tcW w:w="2970" w:type="dxa"/>
            <w:shd w:val="clear" w:color="auto" w:fill="auto"/>
            <w:vAlign w:val="bottom"/>
          </w:tcPr>
          <w:p w:rsidR="0011032F" w:rsidRPr="0011032F" w:rsidRDefault="0011032F" w:rsidP="0011032F">
            <w:pPr>
              <w:tabs>
                <w:tab w:val="left" w:pos="288"/>
                <w:tab w:val="left" w:pos="576"/>
                <w:tab w:val="left" w:pos="864"/>
                <w:tab w:val="left" w:pos="1152"/>
              </w:tabs>
              <w:suppressAutoHyphens/>
              <w:spacing w:before="40" w:after="40" w:line="210" w:lineRule="exact"/>
              <w:ind w:right="43"/>
              <w:rPr>
                <w:sz w:val="17"/>
                <w:szCs w:val="22"/>
                <w:lang w:val="fr-FR"/>
              </w:rPr>
            </w:pPr>
            <w:r w:rsidRPr="0011032F">
              <w:rPr>
                <w:sz w:val="17"/>
                <w:szCs w:val="22"/>
                <w:lang w:val="fr-FR"/>
              </w:rPr>
              <w:t>Transformation des produits agricoles</w:t>
            </w:r>
          </w:p>
        </w:tc>
        <w:tc>
          <w:tcPr>
            <w:tcW w:w="2175" w:type="dxa"/>
            <w:shd w:val="clear" w:color="auto" w:fill="auto"/>
            <w:vAlign w:val="bottom"/>
          </w:tcPr>
          <w:p w:rsidR="0011032F" w:rsidRPr="0011032F" w:rsidRDefault="0011032F" w:rsidP="0011032F">
            <w:pPr>
              <w:tabs>
                <w:tab w:val="left" w:pos="288"/>
                <w:tab w:val="left" w:pos="576"/>
                <w:tab w:val="left" w:pos="864"/>
                <w:tab w:val="left" w:pos="1152"/>
              </w:tabs>
              <w:suppressAutoHyphens/>
              <w:spacing w:before="40" w:after="40" w:line="210" w:lineRule="exact"/>
              <w:ind w:right="43"/>
              <w:jc w:val="right"/>
              <w:rPr>
                <w:sz w:val="17"/>
                <w:szCs w:val="22"/>
                <w:lang w:val="fr-FR"/>
              </w:rPr>
            </w:pPr>
            <w:r w:rsidRPr="0011032F">
              <w:rPr>
                <w:sz w:val="17"/>
                <w:szCs w:val="22"/>
                <w:lang w:val="fr-FR"/>
              </w:rPr>
              <w:t>10 %</w:t>
            </w:r>
          </w:p>
        </w:tc>
        <w:tc>
          <w:tcPr>
            <w:tcW w:w="2175" w:type="dxa"/>
            <w:shd w:val="clear" w:color="auto" w:fill="auto"/>
            <w:vAlign w:val="bottom"/>
          </w:tcPr>
          <w:p w:rsidR="0011032F" w:rsidRPr="0011032F" w:rsidRDefault="0011032F" w:rsidP="0011032F">
            <w:pPr>
              <w:tabs>
                <w:tab w:val="left" w:pos="288"/>
                <w:tab w:val="left" w:pos="576"/>
                <w:tab w:val="left" w:pos="864"/>
                <w:tab w:val="left" w:pos="1152"/>
              </w:tabs>
              <w:suppressAutoHyphens/>
              <w:spacing w:before="40" w:after="40" w:line="210" w:lineRule="exact"/>
              <w:ind w:right="43"/>
              <w:jc w:val="right"/>
              <w:rPr>
                <w:sz w:val="17"/>
                <w:szCs w:val="22"/>
                <w:lang w:val="fr-FR"/>
              </w:rPr>
            </w:pPr>
            <w:r w:rsidRPr="0011032F">
              <w:rPr>
                <w:sz w:val="17"/>
                <w:szCs w:val="22"/>
                <w:lang w:val="fr-FR"/>
              </w:rPr>
              <w:t>90 %</w:t>
            </w:r>
          </w:p>
        </w:tc>
      </w:tr>
      <w:tr w:rsidR="0011032F" w:rsidRPr="0011032F">
        <w:tblPrEx>
          <w:tblCellMar>
            <w:top w:w="0" w:type="dxa"/>
            <w:bottom w:w="0" w:type="dxa"/>
          </w:tblCellMar>
        </w:tblPrEx>
        <w:tc>
          <w:tcPr>
            <w:tcW w:w="2970" w:type="dxa"/>
            <w:shd w:val="clear" w:color="auto" w:fill="auto"/>
            <w:vAlign w:val="bottom"/>
          </w:tcPr>
          <w:p w:rsidR="0011032F" w:rsidRPr="0011032F" w:rsidRDefault="0011032F" w:rsidP="0011032F">
            <w:pPr>
              <w:tabs>
                <w:tab w:val="left" w:pos="288"/>
                <w:tab w:val="left" w:pos="576"/>
                <w:tab w:val="left" w:pos="864"/>
                <w:tab w:val="left" w:pos="1152"/>
              </w:tabs>
              <w:suppressAutoHyphens/>
              <w:spacing w:before="40" w:after="40" w:line="210" w:lineRule="exact"/>
              <w:ind w:right="43"/>
              <w:rPr>
                <w:sz w:val="17"/>
                <w:szCs w:val="22"/>
                <w:lang w:val="fr-FR"/>
              </w:rPr>
            </w:pPr>
            <w:r w:rsidRPr="0011032F">
              <w:rPr>
                <w:sz w:val="17"/>
                <w:szCs w:val="22"/>
                <w:lang w:val="fr-FR"/>
              </w:rPr>
              <w:t>Facteurs de commercialisation</w:t>
            </w:r>
          </w:p>
        </w:tc>
        <w:tc>
          <w:tcPr>
            <w:tcW w:w="2175" w:type="dxa"/>
            <w:shd w:val="clear" w:color="auto" w:fill="auto"/>
            <w:vAlign w:val="bottom"/>
          </w:tcPr>
          <w:p w:rsidR="0011032F" w:rsidRPr="0011032F" w:rsidRDefault="0011032F" w:rsidP="0011032F">
            <w:pPr>
              <w:tabs>
                <w:tab w:val="left" w:pos="288"/>
                <w:tab w:val="left" w:pos="576"/>
                <w:tab w:val="left" w:pos="864"/>
                <w:tab w:val="left" w:pos="1152"/>
              </w:tabs>
              <w:suppressAutoHyphens/>
              <w:spacing w:before="40" w:after="40" w:line="210" w:lineRule="exact"/>
              <w:ind w:right="43"/>
              <w:jc w:val="right"/>
              <w:rPr>
                <w:sz w:val="17"/>
                <w:szCs w:val="22"/>
                <w:lang w:val="fr-FR"/>
              </w:rPr>
            </w:pPr>
            <w:r w:rsidRPr="0011032F">
              <w:rPr>
                <w:sz w:val="17"/>
                <w:szCs w:val="22"/>
                <w:lang w:val="fr-FR"/>
              </w:rPr>
              <w:t>40 %</w:t>
            </w:r>
          </w:p>
        </w:tc>
        <w:tc>
          <w:tcPr>
            <w:tcW w:w="2175" w:type="dxa"/>
            <w:shd w:val="clear" w:color="auto" w:fill="auto"/>
            <w:vAlign w:val="bottom"/>
          </w:tcPr>
          <w:p w:rsidR="0011032F" w:rsidRPr="0011032F" w:rsidRDefault="0011032F" w:rsidP="0011032F">
            <w:pPr>
              <w:tabs>
                <w:tab w:val="left" w:pos="288"/>
                <w:tab w:val="left" w:pos="576"/>
                <w:tab w:val="left" w:pos="864"/>
                <w:tab w:val="left" w:pos="1152"/>
              </w:tabs>
              <w:suppressAutoHyphens/>
              <w:spacing w:before="40" w:after="40" w:line="210" w:lineRule="exact"/>
              <w:ind w:right="43"/>
              <w:jc w:val="right"/>
              <w:rPr>
                <w:sz w:val="17"/>
                <w:szCs w:val="22"/>
                <w:lang w:val="fr-FR"/>
              </w:rPr>
            </w:pPr>
            <w:r w:rsidRPr="0011032F">
              <w:rPr>
                <w:sz w:val="17"/>
                <w:szCs w:val="22"/>
                <w:lang w:val="fr-FR"/>
              </w:rPr>
              <w:t>60 %</w:t>
            </w:r>
          </w:p>
        </w:tc>
      </w:tr>
      <w:tr w:rsidR="0011032F" w:rsidRPr="0011032F">
        <w:tblPrEx>
          <w:tblCellMar>
            <w:top w:w="0" w:type="dxa"/>
            <w:bottom w:w="0" w:type="dxa"/>
          </w:tblCellMar>
        </w:tblPrEx>
        <w:tc>
          <w:tcPr>
            <w:tcW w:w="2970" w:type="dxa"/>
            <w:tcBorders>
              <w:bottom w:val="single" w:sz="12" w:space="0" w:color="auto"/>
            </w:tcBorders>
            <w:shd w:val="clear" w:color="auto" w:fill="auto"/>
            <w:vAlign w:val="bottom"/>
          </w:tcPr>
          <w:p w:rsidR="0011032F" w:rsidRPr="0011032F" w:rsidRDefault="0011032F" w:rsidP="0011032F">
            <w:pPr>
              <w:tabs>
                <w:tab w:val="left" w:pos="288"/>
                <w:tab w:val="left" w:pos="576"/>
                <w:tab w:val="left" w:pos="864"/>
                <w:tab w:val="left" w:pos="1152"/>
              </w:tabs>
              <w:suppressAutoHyphens/>
              <w:spacing w:before="40" w:after="40" w:line="210" w:lineRule="exact"/>
              <w:ind w:right="43"/>
              <w:rPr>
                <w:sz w:val="17"/>
                <w:szCs w:val="22"/>
                <w:lang w:val="fr-FR"/>
              </w:rPr>
            </w:pPr>
            <w:r w:rsidRPr="0011032F">
              <w:rPr>
                <w:sz w:val="17"/>
                <w:szCs w:val="22"/>
                <w:lang w:val="fr-FR"/>
              </w:rPr>
              <w:t>Biens dont on peut disposer à volonté</w:t>
            </w:r>
          </w:p>
        </w:tc>
        <w:tc>
          <w:tcPr>
            <w:tcW w:w="2175" w:type="dxa"/>
            <w:tcBorders>
              <w:bottom w:val="single" w:sz="12" w:space="0" w:color="auto"/>
            </w:tcBorders>
            <w:shd w:val="clear" w:color="auto" w:fill="auto"/>
            <w:vAlign w:val="bottom"/>
          </w:tcPr>
          <w:p w:rsidR="0011032F" w:rsidRPr="0011032F" w:rsidRDefault="0011032F" w:rsidP="0011032F">
            <w:pPr>
              <w:tabs>
                <w:tab w:val="left" w:pos="288"/>
                <w:tab w:val="left" w:pos="576"/>
                <w:tab w:val="left" w:pos="864"/>
                <w:tab w:val="left" w:pos="1152"/>
              </w:tabs>
              <w:suppressAutoHyphens/>
              <w:spacing w:before="40" w:after="40" w:line="210" w:lineRule="exact"/>
              <w:ind w:right="43"/>
              <w:jc w:val="right"/>
              <w:rPr>
                <w:sz w:val="17"/>
                <w:szCs w:val="22"/>
                <w:lang w:val="fr-FR"/>
              </w:rPr>
            </w:pPr>
            <w:r w:rsidRPr="0011032F">
              <w:rPr>
                <w:sz w:val="17"/>
                <w:szCs w:val="22"/>
                <w:lang w:val="fr-FR"/>
              </w:rPr>
              <w:t>95 %</w:t>
            </w:r>
          </w:p>
        </w:tc>
        <w:tc>
          <w:tcPr>
            <w:tcW w:w="2175" w:type="dxa"/>
            <w:tcBorders>
              <w:bottom w:val="single" w:sz="12" w:space="0" w:color="auto"/>
            </w:tcBorders>
            <w:shd w:val="clear" w:color="auto" w:fill="auto"/>
            <w:vAlign w:val="bottom"/>
          </w:tcPr>
          <w:p w:rsidR="0011032F" w:rsidRPr="0011032F" w:rsidRDefault="0011032F" w:rsidP="0011032F">
            <w:pPr>
              <w:tabs>
                <w:tab w:val="left" w:pos="288"/>
                <w:tab w:val="left" w:pos="576"/>
                <w:tab w:val="left" w:pos="864"/>
                <w:tab w:val="left" w:pos="1152"/>
              </w:tabs>
              <w:suppressAutoHyphens/>
              <w:spacing w:before="40" w:after="40" w:line="210" w:lineRule="exact"/>
              <w:ind w:right="43"/>
              <w:jc w:val="right"/>
              <w:rPr>
                <w:sz w:val="17"/>
                <w:szCs w:val="22"/>
                <w:lang w:val="fr-FR"/>
              </w:rPr>
            </w:pPr>
            <w:r w:rsidRPr="0011032F">
              <w:rPr>
                <w:sz w:val="17"/>
                <w:szCs w:val="22"/>
                <w:lang w:val="fr-FR"/>
              </w:rPr>
              <w:t>5 %</w:t>
            </w:r>
          </w:p>
        </w:tc>
      </w:tr>
    </w:tbl>
    <w:p w:rsidR="003E72A3" w:rsidRDefault="003E72A3" w:rsidP="00AC2642">
      <w:pPr>
        <w:pStyle w:val="SingleTxt"/>
        <w:rPr>
          <w:lang w:val="fr-FR"/>
        </w:rPr>
      </w:pPr>
    </w:p>
    <w:p w:rsidR="00E15507" w:rsidRPr="005D6CD4" w:rsidRDefault="0011032F" w:rsidP="003E72A3">
      <w:pPr>
        <w:pStyle w:val="SingleTxt"/>
        <w:rPr>
          <w:b/>
          <w:lang w:val="fr-FR"/>
        </w:rPr>
      </w:pPr>
      <w:r>
        <w:rPr>
          <w:lang w:val="fr-FR"/>
        </w:rPr>
        <w:tab/>
      </w:r>
      <w:r w:rsidR="00E15507" w:rsidRPr="005D6CD4">
        <w:rPr>
          <w:lang w:val="fr-FR"/>
        </w:rPr>
        <w:t xml:space="preserve">Parmi les autres principaux facteurs qui ont des effets néfastes sur les droits économiques et sociaux des femmes </w:t>
      </w:r>
      <w:r w:rsidR="00E15507">
        <w:rPr>
          <w:lang w:val="fr-FR"/>
        </w:rPr>
        <w:t xml:space="preserve">on peut citer : </w:t>
      </w:r>
    </w:p>
    <w:p w:rsidR="00E15507" w:rsidRPr="005D6CD4" w:rsidRDefault="00E15507" w:rsidP="009546E1">
      <w:pPr>
        <w:pStyle w:val="SingleTxt"/>
        <w:numPr>
          <w:ilvl w:val="0"/>
          <w:numId w:val="38"/>
        </w:numPr>
        <w:tabs>
          <w:tab w:val="clear" w:pos="1987"/>
        </w:tabs>
        <w:ind w:left="1710" w:hanging="450"/>
        <w:rPr>
          <w:lang w:val="fr-FR"/>
        </w:rPr>
      </w:pPr>
      <w:r w:rsidRPr="005D6CD4">
        <w:rPr>
          <w:lang w:val="fr-FR"/>
        </w:rPr>
        <w:t>L</w:t>
      </w:r>
      <w:r w:rsidR="000A3D87">
        <w:rPr>
          <w:lang w:val="fr-FR"/>
        </w:rPr>
        <w:t>’</w:t>
      </w:r>
      <w:r w:rsidRPr="005D6CD4">
        <w:rPr>
          <w:lang w:val="fr-FR"/>
        </w:rPr>
        <w:t>idée selon laquelle les enfants des travailleurs de sexe féminin ne sont pas à la charge de leur mère sauf si le père est décédé ou est déficient mental, ce qui a des implications sur la charge fiscale supportée par les femmes.</w:t>
      </w:r>
    </w:p>
    <w:p w:rsidR="00E15507" w:rsidRPr="005D6CD4" w:rsidRDefault="00E15507" w:rsidP="009546E1">
      <w:pPr>
        <w:pStyle w:val="SingleTxt"/>
        <w:numPr>
          <w:ilvl w:val="0"/>
          <w:numId w:val="38"/>
        </w:numPr>
        <w:tabs>
          <w:tab w:val="clear" w:pos="1987"/>
        </w:tabs>
        <w:ind w:left="1710" w:hanging="450"/>
        <w:rPr>
          <w:lang w:val="fr-FR"/>
        </w:rPr>
      </w:pPr>
      <w:r w:rsidRPr="005D6CD4">
        <w:rPr>
          <w:lang w:val="fr-FR"/>
        </w:rPr>
        <w:t>Le contrôle que le mari exerce sur les ressources de la femme, ce qui a pour effet de dilapider le crédit octroyé aux femmes dans des dépenses domestiques</w:t>
      </w:r>
      <w:r>
        <w:rPr>
          <w:lang w:val="fr-FR"/>
        </w:rPr>
        <w:t xml:space="preserve"> </w:t>
      </w:r>
      <w:r w:rsidRPr="005D6CD4">
        <w:rPr>
          <w:lang w:val="fr-FR"/>
        </w:rPr>
        <w:t>et autres.</w:t>
      </w:r>
    </w:p>
    <w:p w:rsidR="00E15507" w:rsidRPr="005D6CD4" w:rsidRDefault="00E15507" w:rsidP="009546E1">
      <w:pPr>
        <w:pStyle w:val="SingleTxt"/>
        <w:numPr>
          <w:ilvl w:val="0"/>
          <w:numId w:val="38"/>
        </w:numPr>
        <w:tabs>
          <w:tab w:val="clear" w:pos="1987"/>
        </w:tabs>
        <w:ind w:left="1710" w:hanging="450"/>
        <w:rPr>
          <w:lang w:val="fr-FR"/>
        </w:rPr>
      </w:pPr>
      <w:r w:rsidRPr="005D6CD4">
        <w:rPr>
          <w:lang w:val="fr-FR"/>
        </w:rPr>
        <w:t>L</w:t>
      </w:r>
      <w:r w:rsidR="000A3D87">
        <w:rPr>
          <w:lang w:val="fr-FR"/>
        </w:rPr>
        <w:t>’</w:t>
      </w:r>
      <w:r w:rsidRPr="005D6CD4">
        <w:rPr>
          <w:lang w:val="fr-FR"/>
        </w:rPr>
        <w:t>existence de lois coutumières et de pratiques culturelles qui refusent aux femmes l</w:t>
      </w:r>
      <w:r w:rsidR="000A3D87">
        <w:rPr>
          <w:lang w:val="fr-FR"/>
        </w:rPr>
        <w:t>’</w:t>
      </w:r>
      <w:r w:rsidRPr="005D6CD4">
        <w:rPr>
          <w:lang w:val="fr-FR"/>
        </w:rPr>
        <w:t>accès à la propriété foncière et d</w:t>
      </w:r>
      <w:r w:rsidR="000A3D87">
        <w:rPr>
          <w:lang w:val="fr-FR"/>
        </w:rPr>
        <w:t>’</w:t>
      </w:r>
      <w:r w:rsidRPr="005D6CD4">
        <w:rPr>
          <w:lang w:val="fr-FR"/>
        </w:rPr>
        <w:t>autres biens. Le questionnaire sur les principaux indicateurs d</w:t>
      </w:r>
      <w:r>
        <w:rPr>
          <w:lang w:val="fr-FR"/>
        </w:rPr>
        <w:t>e</w:t>
      </w:r>
      <w:r w:rsidRPr="005D6CD4">
        <w:rPr>
          <w:lang w:val="fr-FR"/>
        </w:rPr>
        <w:t xml:space="preserve"> bien</w:t>
      </w:r>
      <w:r>
        <w:rPr>
          <w:lang w:val="fr-FR"/>
        </w:rPr>
        <w:t>-</w:t>
      </w:r>
      <w:r w:rsidRPr="005D6CD4">
        <w:rPr>
          <w:lang w:val="fr-FR"/>
        </w:rPr>
        <w:t xml:space="preserve">être (CWIQ, 2002) a montré que les ménages gérés par les femmes ont moins de chance de posséder des terres que les ménages gérés par les hommes. Plus de ménages gérés par les hommes disposent de bicyclettes, de motocyclettes et de véhicules que les ménages gérés par les femmes. </w:t>
      </w:r>
    </w:p>
    <w:p w:rsidR="00E15507" w:rsidRPr="005D6CD4" w:rsidRDefault="00E15507" w:rsidP="009546E1">
      <w:pPr>
        <w:pStyle w:val="SingleTxt"/>
        <w:numPr>
          <w:ilvl w:val="0"/>
          <w:numId w:val="38"/>
        </w:numPr>
        <w:tabs>
          <w:tab w:val="clear" w:pos="1987"/>
        </w:tabs>
        <w:ind w:left="1710" w:hanging="450"/>
        <w:rPr>
          <w:lang w:val="fr-FR"/>
        </w:rPr>
      </w:pPr>
      <w:r w:rsidRPr="005D6CD4">
        <w:rPr>
          <w:lang w:val="fr-FR"/>
        </w:rPr>
        <w:t>Les budgets de l</w:t>
      </w:r>
      <w:r w:rsidR="000A3D87">
        <w:rPr>
          <w:lang w:val="fr-FR"/>
        </w:rPr>
        <w:t>’</w:t>
      </w:r>
      <w:r w:rsidRPr="005D6CD4">
        <w:rPr>
          <w:lang w:val="fr-FR"/>
        </w:rPr>
        <w:t>État fédéral et des États fédérés ne tiennent pas compte de</w:t>
      </w:r>
      <w:r>
        <w:rPr>
          <w:lang w:val="fr-FR"/>
        </w:rPr>
        <w:t>s questions d</w:t>
      </w:r>
      <w:r w:rsidR="000A3D87">
        <w:rPr>
          <w:lang w:val="fr-FR"/>
        </w:rPr>
        <w:t>’</w:t>
      </w:r>
      <w:r w:rsidRPr="005D6CD4">
        <w:rPr>
          <w:lang w:val="fr-FR"/>
        </w:rPr>
        <w:t>égalité des sexes.</w:t>
      </w:r>
    </w:p>
    <w:p w:rsidR="00E15507" w:rsidRPr="005D6CD4" w:rsidRDefault="00E15507" w:rsidP="00AC2642">
      <w:pPr>
        <w:pStyle w:val="SingleTxt"/>
        <w:rPr>
          <w:lang w:val="fr-FR"/>
        </w:rPr>
      </w:pPr>
    </w:p>
    <w:p w:rsidR="00E15507" w:rsidRDefault="0011032F" w:rsidP="0011032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E15507" w:rsidRPr="00BC4F54">
        <w:rPr>
          <w:lang w:val="fr-FR"/>
        </w:rPr>
        <w:t>Article 14</w:t>
      </w:r>
      <w:r>
        <w:rPr>
          <w:lang w:val="fr-FR"/>
        </w:rPr>
        <w:br/>
      </w:r>
      <w:r w:rsidR="00E15507">
        <w:rPr>
          <w:lang w:val="fr-FR"/>
        </w:rPr>
        <w:t>Les f</w:t>
      </w:r>
      <w:r w:rsidR="00E15507" w:rsidRPr="00BC4F54">
        <w:rPr>
          <w:lang w:val="fr-FR"/>
        </w:rPr>
        <w:t xml:space="preserve">emmes des zones rurales </w:t>
      </w:r>
    </w:p>
    <w:p w:rsidR="0011032F" w:rsidRPr="0011032F" w:rsidRDefault="0011032F" w:rsidP="0011032F">
      <w:pPr>
        <w:pStyle w:val="SingleTxt"/>
        <w:spacing w:after="0" w:line="120" w:lineRule="exact"/>
        <w:rPr>
          <w:sz w:val="10"/>
          <w:lang w:val="fr-FR"/>
        </w:rPr>
      </w:pPr>
    </w:p>
    <w:p w:rsidR="00E15507" w:rsidRDefault="0011032F" w:rsidP="001103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E15507" w:rsidRPr="005D6CD4">
        <w:rPr>
          <w:lang w:val="fr-FR"/>
        </w:rPr>
        <w:t>14.0</w:t>
      </w:r>
      <w:r>
        <w:rPr>
          <w:lang w:val="fr-FR"/>
        </w:rPr>
        <w:tab/>
      </w:r>
      <w:r w:rsidR="00E15507" w:rsidRPr="005D6CD4">
        <w:rPr>
          <w:lang w:val="fr-FR"/>
        </w:rPr>
        <w:t>Mesures et programmes mis au point pour assurer l</w:t>
      </w:r>
      <w:r w:rsidR="000A3D87">
        <w:rPr>
          <w:lang w:val="fr-FR"/>
        </w:rPr>
        <w:t>’</w:t>
      </w:r>
      <w:r w:rsidR="00E15507" w:rsidRPr="005D6CD4">
        <w:rPr>
          <w:lang w:val="fr-FR"/>
        </w:rPr>
        <w:t>égalité d</w:t>
      </w:r>
      <w:r w:rsidR="000A3D87">
        <w:rPr>
          <w:lang w:val="fr-FR"/>
        </w:rPr>
        <w:t>’</w:t>
      </w:r>
      <w:r w:rsidR="00E15507" w:rsidRPr="005D6CD4">
        <w:rPr>
          <w:lang w:val="fr-FR"/>
        </w:rPr>
        <w:t>accès</w:t>
      </w:r>
    </w:p>
    <w:p w:rsidR="0011032F" w:rsidRPr="0011032F" w:rsidRDefault="0011032F" w:rsidP="0011032F">
      <w:pPr>
        <w:pStyle w:val="SingleTxt"/>
        <w:spacing w:after="0" w:line="120" w:lineRule="exact"/>
        <w:rPr>
          <w:sz w:val="10"/>
          <w:lang w:val="fr-FR"/>
        </w:rPr>
      </w:pPr>
    </w:p>
    <w:p w:rsidR="00E15507" w:rsidRDefault="0011032F" w:rsidP="001103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rPr>
          <w:b w:val="0"/>
          <w:lang w:val="fr-FR"/>
        </w:rPr>
      </w:pPr>
      <w:r>
        <w:rPr>
          <w:bCs/>
          <w:lang w:val="fr-FR"/>
        </w:rPr>
        <w:tab/>
      </w:r>
      <w:r w:rsidR="00E15507" w:rsidRPr="005D6CD4">
        <w:rPr>
          <w:bCs/>
          <w:lang w:val="fr-FR"/>
        </w:rPr>
        <w:t>14.1</w:t>
      </w:r>
      <w:r w:rsidR="00E15507" w:rsidRPr="005D6CD4">
        <w:rPr>
          <w:lang w:val="fr-FR"/>
        </w:rPr>
        <w:t xml:space="preserve"> </w:t>
      </w:r>
      <w:r>
        <w:rPr>
          <w:lang w:val="fr-FR"/>
        </w:rPr>
        <w:tab/>
      </w:r>
      <w:r w:rsidR="00E15507" w:rsidRPr="0011032F">
        <w:rPr>
          <w:b w:val="0"/>
          <w:lang w:val="fr-FR"/>
        </w:rPr>
        <w:t>Durant la période considérée, le Gouvernement a pris des mesures pour promouvoir l</w:t>
      </w:r>
      <w:r w:rsidR="000A3D87" w:rsidRPr="0011032F">
        <w:rPr>
          <w:b w:val="0"/>
          <w:lang w:val="fr-FR"/>
        </w:rPr>
        <w:t>’</w:t>
      </w:r>
      <w:r w:rsidR="00E15507" w:rsidRPr="0011032F">
        <w:rPr>
          <w:b w:val="0"/>
          <w:lang w:val="fr-FR"/>
        </w:rPr>
        <w:t>épanouissement des femmes en milieu rural. Plusieurs programmes socioéconomiques ont été lancés pour répondre aux besoins et préoccupations des femmes rurales au niveau des États. Les documents des SEEDS, FEEDS &amp; LEEDS qui permettent aujourd</w:t>
      </w:r>
      <w:r w:rsidR="000A3D87" w:rsidRPr="0011032F">
        <w:rPr>
          <w:b w:val="0"/>
          <w:lang w:val="fr-FR"/>
        </w:rPr>
        <w:t>’</w:t>
      </w:r>
      <w:r w:rsidR="00E15507" w:rsidRPr="0011032F">
        <w:rPr>
          <w:b w:val="0"/>
          <w:lang w:val="fr-FR"/>
        </w:rPr>
        <w:t>hui d</w:t>
      </w:r>
      <w:r w:rsidR="000A3D87" w:rsidRPr="0011032F">
        <w:rPr>
          <w:b w:val="0"/>
          <w:lang w:val="fr-FR"/>
        </w:rPr>
        <w:t>’</w:t>
      </w:r>
      <w:r w:rsidR="00E15507" w:rsidRPr="0011032F">
        <w:rPr>
          <w:b w:val="0"/>
          <w:lang w:val="fr-FR"/>
        </w:rPr>
        <w:t>orienter le  programme de réformes économiques du Gouvernement à tous les niveaux visent à assurer l</w:t>
      </w:r>
      <w:r w:rsidR="000A3D87" w:rsidRPr="0011032F">
        <w:rPr>
          <w:b w:val="0"/>
          <w:lang w:val="fr-FR"/>
        </w:rPr>
        <w:t>’</w:t>
      </w:r>
      <w:r w:rsidR="00E15507" w:rsidRPr="0011032F">
        <w:rPr>
          <w:b w:val="0"/>
          <w:lang w:val="fr-FR"/>
        </w:rPr>
        <w:t>autosuffisance alimentaire par la production de masse de matières premières agricoles pour les agro-industries locales et pour l</w:t>
      </w:r>
      <w:r w:rsidR="000A3D87" w:rsidRPr="0011032F">
        <w:rPr>
          <w:b w:val="0"/>
          <w:lang w:val="fr-FR"/>
        </w:rPr>
        <w:t>’</w:t>
      </w:r>
      <w:r w:rsidR="00E15507" w:rsidRPr="0011032F">
        <w:rPr>
          <w:b w:val="0"/>
          <w:lang w:val="fr-FR"/>
        </w:rPr>
        <w:t xml:space="preserve">exportation. </w:t>
      </w:r>
    </w:p>
    <w:p w:rsidR="0011032F" w:rsidRPr="0011032F" w:rsidRDefault="0011032F" w:rsidP="0011032F">
      <w:pPr>
        <w:pStyle w:val="SingleTxt"/>
        <w:spacing w:after="0" w:line="120" w:lineRule="exact"/>
        <w:rPr>
          <w:sz w:val="10"/>
          <w:lang w:val="fr-FR"/>
        </w:rPr>
      </w:pPr>
    </w:p>
    <w:p w:rsidR="00E15507" w:rsidRDefault="0011032F" w:rsidP="00AC2642">
      <w:pPr>
        <w:pStyle w:val="SingleTxt"/>
        <w:rPr>
          <w:lang w:val="fr-FR"/>
        </w:rPr>
      </w:pPr>
      <w:r>
        <w:rPr>
          <w:lang w:val="fr-FR"/>
        </w:rPr>
        <w:tab/>
      </w:r>
      <w:r w:rsidR="00E15507">
        <w:rPr>
          <w:lang w:val="fr-FR"/>
        </w:rPr>
        <w:t>La division des compétences du ministère fédéral de l</w:t>
      </w:r>
      <w:r w:rsidR="000A3D87">
        <w:rPr>
          <w:lang w:val="fr-FR"/>
        </w:rPr>
        <w:t>’</w:t>
      </w:r>
      <w:r w:rsidR="00E15507">
        <w:rPr>
          <w:lang w:val="fr-FR"/>
        </w:rPr>
        <w:t xml:space="preserve">Agriculture organisent régulièrement des activités de </w:t>
      </w:r>
      <w:r w:rsidR="00E15507" w:rsidRPr="005D6CD4">
        <w:rPr>
          <w:lang w:val="fr-FR"/>
        </w:rPr>
        <w:t>renforcement des capacités des femmes rurales dans le domaine agricole. Les ministères d</w:t>
      </w:r>
      <w:r w:rsidR="00E15507">
        <w:rPr>
          <w:lang w:val="fr-FR"/>
        </w:rPr>
        <w:t>e l</w:t>
      </w:r>
      <w:r w:rsidR="000A3D87">
        <w:rPr>
          <w:lang w:val="fr-FR"/>
        </w:rPr>
        <w:t>’</w:t>
      </w:r>
      <w:r w:rsidR="00E15507">
        <w:rPr>
          <w:lang w:val="fr-FR"/>
        </w:rPr>
        <w:t>A</w:t>
      </w:r>
      <w:r w:rsidR="00E15507" w:rsidRPr="005D6CD4">
        <w:rPr>
          <w:lang w:val="fr-FR"/>
        </w:rPr>
        <w:t>griculture de plusieurs États ont également soutenu les femmes des zones rurales en leur fournissant du matériel agricole. Tel est le cas des femmes d</w:t>
      </w:r>
      <w:r w:rsidR="000A3D87">
        <w:rPr>
          <w:lang w:val="fr-FR"/>
        </w:rPr>
        <w:t>’</w:t>
      </w:r>
      <w:r w:rsidR="00E15507" w:rsidRPr="005D6CD4">
        <w:rPr>
          <w:lang w:val="fr-FR"/>
        </w:rPr>
        <w:t>Ugah, de l</w:t>
      </w:r>
      <w:r w:rsidR="000A3D87">
        <w:rPr>
          <w:lang w:val="fr-FR"/>
        </w:rPr>
        <w:t>’</w:t>
      </w:r>
      <w:r w:rsidR="00E15507" w:rsidRPr="005D6CD4">
        <w:rPr>
          <w:lang w:val="fr-FR"/>
        </w:rPr>
        <w:t>État de Nassarawa, d</w:t>
      </w:r>
      <w:r w:rsidR="000A3D87">
        <w:rPr>
          <w:lang w:val="fr-FR"/>
        </w:rPr>
        <w:t>’</w:t>
      </w:r>
      <w:r w:rsidR="00E15507" w:rsidRPr="005D6CD4">
        <w:rPr>
          <w:lang w:val="fr-FR"/>
        </w:rPr>
        <w:t>Umuamaku dans l</w:t>
      </w:r>
      <w:r w:rsidR="000A3D87">
        <w:rPr>
          <w:lang w:val="fr-FR"/>
        </w:rPr>
        <w:t>’</w:t>
      </w:r>
      <w:r w:rsidR="00E15507" w:rsidRPr="005D6CD4">
        <w:rPr>
          <w:lang w:val="fr-FR"/>
        </w:rPr>
        <w:t>État d</w:t>
      </w:r>
      <w:r w:rsidR="000A3D87">
        <w:rPr>
          <w:lang w:val="fr-FR"/>
        </w:rPr>
        <w:t>’</w:t>
      </w:r>
      <w:r w:rsidR="00E15507" w:rsidRPr="005D6CD4">
        <w:rPr>
          <w:lang w:val="fr-FR"/>
        </w:rPr>
        <w:t>Anambra et d</w:t>
      </w:r>
      <w:r w:rsidR="000A3D87">
        <w:rPr>
          <w:lang w:val="fr-FR"/>
        </w:rPr>
        <w:t>’</w:t>
      </w:r>
      <w:r w:rsidR="00E15507" w:rsidRPr="005D6CD4">
        <w:rPr>
          <w:lang w:val="fr-FR"/>
        </w:rPr>
        <w:t>Odogbolu dans l</w:t>
      </w:r>
      <w:r w:rsidR="000A3D87">
        <w:rPr>
          <w:lang w:val="fr-FR"/>
        </w:rPr>
        <w:t>’</w:t>
      </w:r>
      <w:r w:rsidR="00E15507" w:rsidRPr="005D6CD4">
        <w:rPr>
          <w:lang w:val="fr-FR"/>
        </w:rPr>
        <w:t>État d</w:t>
      </w:r>
      <w:r w:rsidR="000A3D87">
        <w:rPr>
          <w:lang w:val="fr-FR"/>
        </w:rPr>
        <w:t>’</w:t>
      </w:r>
      <w:r w:rsidR="00E15507" w:rsidRPr="005D6CD4">
        <w:rPr>
          <w:lang w:val="fr-FR"/>
        </w:rPr>
        <w:t>Ogun.</w:t>
      </w:r>
    </w:p>
    <w:p w:rsidR="0011032F" w:rsidRPr="0011032F" w:rsidRDefault="0011032F" w:rsidP="0011032F">
      <w:pPr>
        <w:pStyle w:val="SingleTxt"/>
        <w:spacing w:after="0" w:line="120" w:lineRule="exact"/>
        <w:rPr>
          <w:sz w:val="10"/>
          <w:lang w:val="fr-FR"/>
        </w:rPr>
      </w:pPr>
    </w:p>
    <w:p w:rsidR="00E15507" w:rsidRDefault="0011032F" w:rsidP="001103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E15507" w:rsidRPr="005D6CD4">
        <w:rPr>
          <w:lang w:val="fr-FR"/>
        </w:rPr>
        <w:t>14.2</w:t>
      </w:r>
      <w:r w:rsidR="00E15507" w:rsidRPr="005D6CD4">
        <w:rPr>
          <w:lang w:val="fr-FR"/>
        </w:rPr>
        <w:tab/>
        <w:t xml:space="preserve">Progrès </w:t>
      </w:r>
      <w:r w:rsidR="00E15507">
        <w:rPr>
          <w:lang w:val="fr-FR"/>
        </w:rPr>
        <w:t xml:space="preserve">effectivement </w:t>
      </w:r>
      <w:r w:rsidR="00E15507" w:rsidRPr="005D6CD4">
        <w:rPr>
          <w:lang w:val="fr-FR"/>
        </w:rPr>
        <w:t>réalisé</w:t>
      </w:r>
      <w:r w:rsidR="00E15507">
        <w:rPr>
          <w:lang w:val="fr-FR"/>
        </w:rPr>
        <w:t>s</w:t>
      </w:r>
    </w:p>
    <w:p w:rsidR="0011032F" w:rsidRPr="0011032F" w:rsidRDefault="0011032F" w:rsidP="0011032F">
      <w:pPr>
        <w:pStyle w:val="SingleTxt"/>
        <w:spacing w:after="0" w:line="120" w:lineRule="exact"/>
        <w:rPr>
          <w:sz w:val="10"/>
          <w:lang w:val="fr-FR"/>
        </w:rPr>
      </w:pPr>
    </w:p>
    <w:p w:rsidR="00E15507" w:rsidRPr="005D6CD4" w:rsidRDefault="00E15507" w:rsidP="00AC2642">
      <w:pPr>
        <w:pStyle w:val="SingleTxt"/>
        <w:rPr>
          <w:b/>
          <w:lang w:val="fr-FR"/>
        </w:rPr>
      </w:pPr>
      <w:r w:rsidRPr="005D6CD4">
        <w:rPr>
          <w:b/>
          <w:lang w:val="fr-FR"/>
        </w:rPr>
        <w:t>14.2.1</w:t>
      </w:r>
      <w:r w:rsidR="0011032F">
        <w:rPr>
          <w:b/>
          <w:lang w:val="fr-FR"/>
        </w:rPr>
        <w:t xml:space="preserve">  </w:t>
      </w:r>
      <w:r w:rsidRPr="005D6CD4">
        <w:rPr>
          <w:b/>
          <w:lang w:val="fr-FR"/>
        </w:rPr>
        <w:t>Promotion économique</w:t>
      </w:r>
    </w:p>
    <w:p w:rsidR="00E15507" w:rsidRPr="005D6CD4" w:rsidRDefault="0011032F" w:rsidP="009546E1">
      <w:pPr>
        <w:pStyle w:val="SingleTxt"/>
        <w:numPr>
          <w:ilvl w:val="0"/>
          <w:numId w:val="39"/>
        </w:numPr>
        <w:tabs>
          <w:tab w:val="clear" w:pos="1987"/>
        </w:tabs>
        <w:ind w:left="1800" w:hanging="540"/>
        <w:rPr>
          <w:lang w:val="fr-FR"/>
        </w:rPr>
      </w:pPr>
      <w:r>
        <w:rPr>
          <w:lang w:val="fr-FR"/>
        </w:rPr>
        <w:tab/>
      </w:r>
      <w:r w:rsidR="00E15507" w:rsidRPr="005D6CD4">
        <w:rPr>
          <w:lang w:val="fr-FR"/>
        </w:rPr>
        <w:t>En vue de réaliser un développement rural intégré et assurer la production agricole, les différents gouvernements ont prévu des subventions pour les infrastructures, les engrais, l</w:t>
      </w:r>
      <w:r w:rsidR="000A3D87">
        <w:rPr>
          <w:lang w:val="fr-FR"/>
        </w:rPr>
        <w:t>’</w:t>
      </w:r>
      <w:r w:rsidR="00E15507" w:rsidRPr="005D6CD4">
        <w:rPr>
          <w:lang w:val="fr-FR"/>
        </w:rPr>
        <w:t>amélioration des services de vulgarisation agricole, l</w:t>
      </w:r>
      <w:r w:rsidR="000A3D87">
        <w:rPr>
          <w:lang w:val="fr-FR"/>
        </w:rPr>
        <w:t>’</w:t>
      </w:r>
      <w:r w:rsidR="00E15507" w:rsidRPr="005D6CD4">
        <w:rPr>
          <w:lang w:val="fr-FR"/>
        </w:rPr>
        <w:t>exploitation des ressources en eau du pays et le développement de</w:t>
      </w:r>
      <w:r w:rsidR="00E15507">
        <w:rPr>
          <w:lang w:val="fr-FR"/>
        </w:rPr>
        <w:t>s</w:t>
      </w:r>
      <w:r w:rsidR="00E15507" w:rsidRPr="005D6CD4">
        <w:rPr>
          <w:lang w:val="fr-FR"/>
        </w:rPr>
        <w:t xml:space="preserve"> petites entreprises</w:t>
      </w:r>
      <w:r w:rsidR="00E15507">
        <w:rPr>
          <w:lang w:val="fr-FR"/>
        </w:rPr>
        <w:t xml:space="preserve"> </w:t>
      </w:r>
      <w:r w:rsidR="00E15507" w:rsidRPr="005D6CD4">
        <w:rPr>
          <w:lang w:val="fr-FR"/>
        </w:rPr>
        <w:t xml:space="preserve">agro-industrielles </w:t>
      </w:r>
      <w:r w:rsidR="00E15507">
        <w:rPr>
          <w:lang w:val="fr-FR"/>
        </w:rPr>
        <w:t xml:space="preserve">dans les </w:t>
      </w:r>
      <w:r w:rsidR="00E15507" w:rsidRPr="005D6CD4">
        <w:rPr>
          <w:lang w:val="fr-FR"/>
        </w:rPr>
        <w:t xml:space="preserve">zones rurales. </w:t>
      </w:r>
    </w:p>
    <w:p w:rsidR="00E15507" w:rsidRPr="005D6CD4" w:rsidRDefault="0011032F" w:rsidP="009546E1">
      <w:pPr>
        <w:pStyle w:val="SingleTxt"/>
        <w:numPr>
          <w:ilvl w:val="0"/>
          <w:numId w:val="39"/>
        </w:numPr>
        <w:tabs>
          <w:tab w:val="clear" w:pos="1987"/>
        </w:tabs>
        <w:ind w:left="1800" w:hanging="540"/>
        <w:rPr>
          <w:lang w:val="fr-FR"/>
        </w:rPr>
      </w:pPr>
      <w:r>
        <w:rPr>
          <w:lang w:val="fr-FR"/>
        </w:rPr>
        <w:tab/>
      </w:r>
      <w:r w:rsidR="00E15507" w:rsidRPr="005D6CD4">
        <w:rPr>
          <w:lang w:val="fr-FR"/>
        </w:rPr>
        <w:t>En mars 2006, l</w:t>
      </w:r>
      <w:r w:rsidR="00E15507">
        <w:rPr>
          <w:lang w:val="fr-FR"/>
        </w:rPr>
        <w:t xml:space="preserve">e ministère fédéral de la Condition de la femme </w:t>
      </w:r>
      <w:r w:rsidR="00E15507" w:rsidRPr="005D6CD4">
        <w:rPr>
          <w:lang w:val="fr-FR"/>
        </w:rPr>
        <w:t>a créé</w:t>
      </w:r>
      <w:r w:rsidR="00E15507">
        <w:rPr>
          <w:lang w:val="fr-FR"/>
        </w:rPr>
        <w:t>,</w:t>
      </w:r>
      <w:r w:rsidR="00E15507" w:rsidRPr="005D6CD4">
        <w:rPr>
          <w:lang w:val="fr-FR"/>
        </w:rPr>
        <w:t xml:space="preserve"> en collaboration avec Banque nationale pour le développement des coopératives agricoles en zones rurales</w:t>
      </w:r>
      <w:r w:rsidR="00E15507">
        <w:rPr>
          <w:lang w:val="fr-FR"/>
        </w:rPr>
        <w:t xml:space="preserve">, </w:t>
      </w:r>
      <w:r w:rsidR="00E15507" w:rsidRPr="005D6CD4">
        <w:rPr>
          <w:lang w:val="fr-FR"/>
        </w:rPr>
        <w:t>un guichet pour l</w:t>
      </w:r>
      <w:r w:rsidR="000A3D87">
        <w:rPr>
          <w:lang w:val="fr-FR"/>
        </w:rPr>
        <w:t>’</w:t>
      </w:r>
      <w:r w:rsidR="00E15507" w:rsidRPr="005D6CD4">
        <w:rPr>
          <w:lang w:val="fr-FR"/>
        </w:rPr>
        <w:t xml:space="preserve">octroi des microcrédits aux sociétés coopératives des femmes rurales dans 22 États. </w:t>
      </w:r>
    </w:p>
    <w:p w:rsidR="00E15507" w:rsidRPr="005D6CD4" w:rsidRDefault="0011032F" w:rsidP="009546E1">
      <w:pPr>
        <w:pStyle w:val="SingleTxt"/>
        <w:numPr>
          <w:ilvl w:val="0"/>
          <w:numId w:val="39"/>
        </w:numPr>
        <w:tabs>
          <w:tab w:val="clear" w:pos="1987"/>
        </w:tabs>
        <w:ind w:left="1800" w:hanging="540"/>
        <w:rPr>
          <w:lang w:val="fr-FR"/>
        </w:rPr>
      </w:pPr>
      <w:r>
        <w:rPr>
          <w:lang w:val="fr-FR"/>
        </w:rPr>
        <w:tab/>
      </w:r>
      <w:r w:rsidR="00E15507" w:rsidRPr="005D6CD4">
        <w:rPr>
          <w:lang w:val="fr-FR"/>
        </w:rPr>
        <w:t>Dans le cadre de son engagement en faveur de l</w:t>
      </w:r>
      <w:r w:rsidR="000A3D87">
        <w:rPr>
          <w:lang w:val="fr-FR"/>
        </w:rPr>
        <w:t>’</w:t>
      </w:r>
      <w:r w:rsidR="00E15507" w:rsidRPr="005D6CD4">
        <w:rPr>
          <w:lang w:val="fr-FR"/>
        </w:rPr>
        <w:t xml:space="preserve">épanouissement des femmes, le </w:t>
      </w:r>
      <w:r w:rsidR="00E15507">
        <w:rPr>
          <w:lang w:val="fr-FR"/>
        </w:rPr>
        <w:t>G</w:t>
      </w:r>
      <w:r w:rsidR="00E15507" w:rsidRPr="005D6CD4">
        <w:rPr>
          <w:lang w:val="fr-FR"/>
        </w:rPr>
        <w:t>ouvernement de l</w:t>
      </w:r>
      <w:r w:rsidR="000A3D87">
        <w:rPr>
          <w:lang w:val="fr-FR"/>
        </w:rPr>
        <w:t>’</w:t>
      </w:r>
      <w:r w:rsidR="00E15507" w:rsidRPr="005D6CD4">
        <w:rPr>
          <w:lang w:val="fr-FR"/>
        </w:rPr>
        <w:t>État de Jigawa a apporté un appui à 2</w:t>
      </w:r>
      <w:r w:rsidR="00E15507">
        <w:rPr>
          <w:lang w:val="fr-FR"/>
        </w:rPr>
        <w:t> </w:t>
      </w:r>
      <w:r w:rsidR="00E15507" w:rsidRPr="005D6CD4">
        <w:rPr>
          <w:lang w:val="fr-FR"/>
        </w:rPr>
        <w:t>000 femmes rurales entre 2005 et 2006, pour qu</w:t>
      </w:r>
      <w:r w:rsidR="000A3D87">
        <w:rPr>
          <w:lang w:val="fr-FR"/>
        </w:rPr>
        <w:t>’</w:t>
      </w:r>
      <w:r w:rsidR="00E15507" w:rsidRPr="005D6CD4">
        <w:rPr>
          <w:lang w:val="fr-FR"/>
        </w:rPr>
        <w:t>elles s</w:t>
      </w:r>
      <w:r w:rsidR="000A3D87">
        <w:rPr>
          <w:lang w:val="fr-FR"/>
        </w:rPr>
        <w:t>’</w:t>
      </w:r>
      <w:r w:rsidR="00E15507" w:rsidRPr="005D6CD4">
        <w:rPr>
          <w:lang w:val="fr-FR"/>
        </w:rPr>
        <w:t>engagent dans la pratique rentable de l</w:t>
      </w:r>
      <w:r w:rsidR="000A3D87">
        <w:rPr>
          <w:lang w:val="fr-FR"/>
        </w:rPr>
        <w:t>’</w:t>
      </w:r>
      <w:r w:rsidR="00E15507" w:rsidRPr="005D6CD4">
        <w:rPr>
          <w:lang w:val="fr-FR"/>
        </w:rPr>
        <w:t>élevage.</w:t>
      </w:r>
      <w:r w:rsidR="00E15507">
        <w:rPr>
          <w:lang w:val="fr-FR"/>
        </w:rPr>
        <w:t xml:space="preserve"> </w:t>
      </w:r>
    </w:p>
    <w:p w:rsidR="00E15507" w:rsidRPr="005D6CD4" w:rsidRDefault="0011032F" w:rsidP="009546E1">
      <w:pPr>
        <w:pStyle w:val="SingleTxt"/>
        <w:numPr>
          <w:ilvl w:val="0"/>
          <w:numId w:val="39"/>
        </w:numPr>
        <w:tabs>
          <w:tab w:val="clear" w:pos="1987"/>
        </w:tabs>
        <w:ind w:left="1800" w:hanging="540"/>
        <w:rPr>
          <w:lang w:val="fr-FR"/>
        </w:rPr>
      </w:pPr>
      <w:r>
        <w:rPr>
          <w:lang w:val="fr-FR"/>
        </w:rPr>
        <w:tab/>
      </w:r>
      <w:r w:rsidR="00E15507" w:rsidRPr="005D6CD4">
        <w:rPr>
          <w:lang w:val="fr-FR"/>
        </w:rPr>
        <w:t xml:space="preserve">Entre 2004 et 2006, le </w:t>
      </w:r>
      <w:r w:rsidR="00E15507">
        <w:rPr>
          <w:lang w:val="fr-FR"/>
        </w:rPr>
        <w:t>G</w:t>
      </w:r>
      <w:r w:rsidR="00E15507" w:rsidRPr="005D6CD4">
        <w:rPr>
          <w:lang w:val="fr-FR"/>
        </w:rPr>
        <w:t>ouvernement l</w:t>
      </w:r>
      <w:r w:rsidR="000A3D87">
        <w:rPr>
          <w:lang w:val="fr-FR"/>
        </w:rPr>
        <w:t>’</w:t>
      </w:r>
      <w:r w:rsidR="00E15507" w:rsidRPr="005D6CD4">
        <w:rPr>
          <w:lang w:val="fr-FR"/>
        </w:rPr>
        <w:t>État de Kano a créé 11 nouvelles agro-industries et en a réactivé 16 anciennes en vue d</w:t>
      </w:r>
      <w:r w:rsidR="000A3D87">
        <w:rPr>
          <w:lang w:val="fr-FR"/>
        </w:rPr>
        <w:t>’</w:t>
      </w:r>
      <w:r w:rsidR="00E15507" w:rsidRPr="005D6CD4">
        <w:rPr>
          <w:lang w:val="fr-FR"/>
        </w:rPr>
        <w:t>améliorer la situation économique des femmes.</w:t>
      </w:r>
    </w:p>
    <w:p w:rsidR="00E15507" w:rsidRPr="005D6CD4" w:rsidRDefault="0011032F" w:rsidP="009546E1">
      <w:pPr>
        <w:pStyle w:val="SingleTxt"/>
        <w:numPr>
          <w:ilvl w:val="0"/>
          <w:numId w:val="39"/>
        </w:numPr>
        <w:tabs>
          <w:tab w:val="clear" w:pos="1987"/>
        </w:tabs>
        <w:ind w:left="1800" w:hanging="540"/>
        <w:rPr>
          <w:lang w:val="fr-FR"/>
        </w:rPr>
      </w:pPr>
      <w:r>
        <w:rPr>
          <w:lang w:val="fr-FR"/>
        </w:rPr>
        <w:tab/>
      </w:r>
      <w:r w:rsidR="00E15507" w:rsidRPr="005D6CD4">
        <w:rPr>
          <w:lang w:val="fr-FR"/>
        </w:rPr>
        <w:t xml:space="preserve">Le </w:t>
      </w:r>
      <w:r w:rsidR="00E15507">
        <w:rPr>
          <w:lang w:val="fr-FR"/>
        </w:rPr>
        <w:t xml:space="preserve">mécanisme </w:t>
      </w:r>
      <w:r w:rsidR="00E15507" w:rsidRPr="005D6CD4">
        <w:rPr>
          <w:lang w:val="fr-FR"/>
        </w:rPr>
        <w:t xml:space="preserve">de microfinance </w:t>
      </w:r>
      <w:r w:rsidR="00E15507">
        <w:rPr>
          <w:lang w:val="fr-FR"/>
        </w:rPr>
        <w:t>multip</w:t>
      </w:r>
      <w:r w:rsidR="00E15507" w:rsidRPr="005D6CD4">
        <w:rPr>
          <w:lang w:val="fr-FR"/>
        </w:rPr>
        <w:t>artenaires</w:t>
      </w:r>
      <w:r w:rsidR="00E15507" w:rsidRPr="005D6CD4">
        <w:rPr>
          <w:i/>
          <w:lang w:val="fr-FR"/>
        </w:rPr>
        <w:t>,</w:t>
      </w:r>
      <w:r w:rsidR="00E15507" w:rsidRPr="005D6CD4">
        <w:rPr>
          <w:lang w:val="fr-FR"/>
        </w:rPr>
        <w:t xml:space="preserve"> qui est </w:t>
      </w:r>
      <w:r w:rsidR="00E15507">
        <w:rPr>
          <w:lang w:val="fr-FR"/>
        </w:rPr>
        <w:t>une initiative du Programme national d</w:t>
      </w:r>
      <w:r w:rsidR="000A3D87">
        <w:rPr>
          <w:lang w:val="fr-FR"/>
        </w:rPr>
        <w:t>’</w:t>
      </w:r>
      <w:r w:rsidR="00E15507">
        <w:rPr>
          <w:lang w:val="fr-FR"/>
        </w:rPr>
        <w:t xml:space="preserve">éradication de la pauvreté </w:t>
      </w:r>
      <w:r w:rsidR="00E15507" w:rsidRPr="005D6CD4">
        <w:rPr>
          <w:lang w:val="fr-FR"/>
        </w:rPr>
        <w:t>résultant du partenariat entre les organis</w:t>
      </w:r>
      <w:r w:rsidR="00E15507">
        <w:rPr>
          <w:lang w:val="fr-FR"/>
        </w:rPr>
        <w:t xml:space="preserve">ations </w:t>
      </w:r>
      <w:r w:rsidR="00E15507" w:rsidRPr="005D6CD4">
        <w:rPr>
          <w:lang w:val="fr-FR"/>
        </w:rPr>
        <w:t>suivant</w:t>
      </w:r>
      <w:r w:rsidR="00E15507">
        <w:rPr>
          <w:lang w:val="fr-FR"/>
        </w:rPr>
        <w:t>e</w:t>
      </w:r>
      <w:r w:rsidR="00E15507" w:rsidRPr="005D6CD4">
        <w:rPr>
          <w:lang w:val="fr-FR"/>
        </w:rPr>
        <w:t xml:space="preserve">s : la banque centrale, les banques commerciales, les institutions de microfinance, les sociétés coopératives, les autorités publiques étatiques et locales et les entreprises privées, gère une importante masse de fonds destinée </w:t>
      </w:r>
      <w:r w:rsidR="00E15507">
        <w:rPr>
          <w:lang w:val="fr-FR"/>
        </w:rPr>
        <w:t xml:space="preserve">à </w:t>
      </w:r>
      <w:r w:rsidR="00E15507" w:rsidRPr="005D6CD4">
        <w:rPr>
          <w:lang w:val="fr-FR"/>
        </w:rPr>
        <w:t xml:space="preserve">financer les prêts aux femmes et aux jeunes </w:t>
      </w:r>
      <w:r w:rsidR="00E15507">
        <w:rPr>
          <w:lang w:val="fr-FR"/>
        </w:rPr>
        <w:t xml:space="preserve">des </w:t>
      </w:r>
      <w:r w:rsidR="00E15507" w:rsidRPr="005D6CD4">
        <w:rPr>
          <w:lang w:val="fr-FR"/>
        </w:rPr>
        <w:t>zones rurales.</w:t>
      </w:r>
    </w:p>
    <w:p w:rsidR="00E15507" w:rsidRPr="005D6CD4" w:rsidRDefault="0011032F" w:rsidP="009546E1">
      <w:pPr>
        <w:pStyle w:val="SingleTxt"/>
        <w:numPr>
          <w:ilvl w:val="0"/>
          <w:numId w:val="39"/>
        </w:numPr>
        <w:tabs>
          <w:tab w:val="clear" w:pos="1987"/>
        </w:tabs>
        <w:ind w:left="1800" w:hanging="540"/>
        <w:rPr>
          <w:lang w:val="fr-FR"/>
        </w:rPr>
      </w:pPr>
      <w:r>
        <w:rPr>
          <w:lang w:val="fr-FR"/>
        </w:rPr>
        <w:tab/>
      </w:r>
      <w:r w:rsidR="00E15507" w:rsidRPr="005D6CD4">
        <w:rPr>
          <w:lang w:val="fr-FR"/>
        </w:rPr>
        <w:t xml:space="preserve">En partenariat avec les sociétés privées de télécommunications et les coopératives de femmes, le </w:t>
      </w:r>
      <w:r w:rsidR="00E15507">
        <w:rPr>
          <w:lang w:val="fr-FR"/>
        </w:rPr>
        <w:t>G</w:t>
      </w:r>
      <w:r w:rsidR="00E15507" w:rsidRPr="005D6CD4">
        <w:rPr>
          <w:lang w:val="fr-FR"/>
        </w:rPr>
        <w:t xml:space="preserve">ouvernement met en œuvre des projets de téléphonie rurale, afin de </w:t>
      </w:r>
      <w:r w:rsidR="00E15507">
        <w:rPr>
          <w:lang w:val="fr-FR"/>
        </w:rPr>
        <w:t xml:space="preserve">rattraper le retard qui existe dans ce domaine </w:t>
      </w:r>
      <w:r w:rsidR="00E15507" w:rsidRPr="005D6CD4">
        <w:rPr>
          <w:lang w:val="fr-FR"/>
        </w:rPr>
        <w:t>et facilit</w:t>
      </w:r>
      <w:r w:rsidR="00E15507">
        <w:rPr>
          <w:lang w:val="fr-FR"/>
        </w:rPr>
        <w:t xml:space="preserve">er </w:t>
      </w:r>
      <w:r w:rsidR="00E15507" w:rsidRPr="005D6CD4">
        <w:rPr>
          <w:lang w:val="fr-FR"/>
        </w:rPr>
        <w:t>l</w:t>
      </w:r>
      <w:r w:rsidR="000A3D87">
        <w:rPr>
          <w:lang w:val="fr-FR"/>
        </w:rPr>
        <w:t>’</w:t>
      </w:r>
      <w:r w:rsidR="00E15507" w:rsidRPr="005D6CD4">
        <w:rPr>
          <w:lang w:val="fr-FR"/>
        </w:rPr>
        <w:t>accès des femmes aux opportunités économiques.</w:t>
      </w:r>
    </w:p>
    <w:p w:rsidR="00E15507" w:rsidRPr="005D6CD4" w:rsidRDefault="0011032F" w:rsidP="009546E1">
      <w:pPr>
        <w:pStyle w:val="SingleTxt"/>
        <w:numPr>
          <w:ilvl w:val="0"/>
          <w:numId w:val="39"/>
        </w:numPr>
        <w:tabs>
          <w:tab w:val="clear" w:pos="1987"/>
        </w:tabs>
        <w:ind w:left="1800" w:hanging="540"/>
        <w:rPr>
          <w:lang w:val="fr-FR"/>
        </w:rPr>
      </w:pPr>
      <w:r>
        <w:rPr>
          <w:lang w:val="fr-FR"/>
        </w:rPr>
        <w:tab/>
      </w:r>
      <w:r w:rsidR="00E15507" w:rsidRPr="005D6CD4">
        <w:rPr>
          <w:lang w:val="fr-FR"/>
        </w:rPr>
        <w:t>Les sociétés coopératives de femmes dans différentes régions du pays bénéficient également de l</w:t>
      </w:r>
      <w:r w:rsidR="000A3D87">
        <w:rPr>
          <w:lang w:val="fr-FR"/>
        </w:rPr>
        <w:t>’</w:t>
      </w:r>
      <w:r w:rsidR="00E15507" w:rsidRPr="005D6CD4">
        <w:rPr>
          <w:lang w:val="fr-FR"/>
        </w:rPr>
        <w:t xml:space="preserve">accès aux prêts dans le cadre des programmes du PNUD et de la Banque mondiale. </w:t>
      </w:r>
    </w:p>
    <w:p w:rsidR="00E15507" w:rsidRPr="005D6CD4" w:rsidRDefault="0011032F" w:rsidP="009546E1">
      <w:pPr>
        <w:pStyle w:val="SingleTxt"/>
        <w:numPr>
          <w:ilvl w:val="0"/>
          <w:numId w:val="39"/>
        </w:numPr>
        <w:tabs>
          <w:tab w:val="clear" w:pos="1987"/>
        </w:tabs>
        <w:ind w:left="1800" w:hanging="540"/>
        <w:rPr>
          <w:lang w:val="fr-FR"/>
        </w:rPr>
      </w:pPr>
      <w:r>
        <w:rPr>
          <w:lang w:val="fr-FR"/>
        </w:rPr>
        <w:tab/>
      </w:r>
      <w:r w:rsidR="00E15507" w:rsidRPr="005D6CD4">
        <w:rPr>
          <w:lang w:val="fr-FR"/>
        </w:rPr>
        <w:t>En ayant plus d</w:t>
      </w:r>
      <w:r w:rsidR="000A3D87">
        <w:rPr>
          <w:lang w:val="fr-FR"/>
        </w:rPr>
        <w:t>’</w:t>
      </w:r>
      <w:r w:rsidR="00E15507" w:rsidRPr="005D6CD4">
        <w:rPr>
          <w:lang w:val="fr-FR"/>
        </w:rPr>
        <w:t>accès aux systèmes locaux de microcrédits (Esusu, Adashe), les femmes rurales peuvent mieux mener leurs activités commerciales et autres.</w:t>
      </w:r>
    </w:p>
    <w:p w:rsidR="00E15507" w:rsidRPr="005D6CD4" w:rsidRDefault="0011032F" w:rsidP="009546E1">
      <w:pPr>
        <w:pStyle w:val="SingleTxt"/>
        <w:numPr>
          <w:ilvl w:val="0"/>
          <w:numId w:val="39"/>
        </w:numPr>
        <w:tabs>
          <w:tab w:val="clear" w:pos="1987"/>
        </w:tabs>
        <w:ind w:left="1800" w:hanging="540"/>
        <w:rPr>
          <w:lang w:val="fr-FR"/>
        </w:rPr>
      </w:pPr>
      <w:r>
        <w:rPr>
          <w:lang w:val="fr-FR"/>
        </w:rPr>
        <w:tab/>
      </w:r>
      <w:r w:rsidR="00E15507" w:rsidRPr="005D6CD4">
        <w:rPr>
          <w:lang w:val="fr-FR"/>
        </w:rPr>
        <w:t xml:space="preserve">Le </w:t>
      </w:r>
      <w:r w:rsidR="00E15507">
        <w:rPr>
          <w:lang w:val="fr-FR"/>
        </w:rPr>
        <w:t>Gouvernement</w:t>
      </w:r>
      <w:r w:rsidR="00E15507" w:rsidRPr="005D6CD4">
        <w:rPr>
          <w:lang w:val="fr-FR"/>
        </w:rPr>
        <w:t xml:space="preserve"> de l</w:t>
      </w:r>
      <w:r w:rsidR="000A3D87">
        <w:rPr>
          <w:lang w:val="fr-FR"/>
        </w:rPr>
        <w:t>’</w:t>
      </w:r>
      <w:r w:rsidR="00E15507" w:rsidRPr="005D6CD4">
        <w:rPr>
          <w:lang w:val="fr-FR"/>
        </w:rPr>
        <w:t>État de Bornou a fourni des machines à écraser et des pompes à eau aux femmes dans 135 communautés rurales.</w:t>
      </w:r>
    </w:p>
    <w:p w:rsidR="00E15507" w:rsidRPr="005D6CD4" w:rsidRDefault="0011032F" w:rsidP="009546E1">
      <w:pPr>
        <w:pStyle w:val="SingleTxt"/>
        <w:numPr>
          <w:ilvl w:val="0"/>
          <w:numId w:val="39"/>
        </w:numPr>
        <w:tabs>
          <w:tab w:val="clear" w:pos="1987"/>
        </w:tabs>
        <w:ind w:left="1800" w:hanging="540"/>
        <w:rPr>
          <w:lang w:val="fr-FR"/>
        </w:rPr>
      </w:pPr>
      <w:r>
        <w:rPr>
          <w:rFonts w:ascii="TimesNewRoman" w:hAnsi="TimesNewRoman"/>
          <w:lang w:val="fr-FR"/>
        </w:rPr>
        <w:tab/>
      </w:r>
      <w:r w:rsidR="00E15507" w:rsidRPr="005D6CD4">
        <w:rPr>
          <w:rFonts w:ascii="TimesNewRoman" w:hAnsi="TimesNewRoman"/>
          <w:lang w:val="fr-FR"/>
        </w:rPr>
        <w:t>À</w:t>
      </w:r>
      <w:r w:rsidR="00E15507" w:rsidRPr="005D6CD4">
        <w:rPr>
          <w:lang w:val="fr-FR"/>
        </w:rPr>
        <w:t xml:space="preserve"> Enugu et à Jos, une ONG a mis en œuvre divers programmes et activités économiques de formation à la gestion, d</w:t>
      </w:r>
      <w:r w:rsidR="000A3D87">
        <w:rPr>
          <w:lang w:val="fr-FR"/>
        </w:rPr>
        <w:t>’</w:t>
      </w:r>
      <w:r w:rsidR="00E15507" w:rsidRPr="005D6CD4">
        <w:rPr>
          <w:lang w:val="fr-FR"/>
        </w:rPr>
        <w:t>acquisition d</w:t>
      </w:r>
      <w:r w:rsidR="000A3D87">
        <w:rPr>
          <w:lang w:val="fr-FR"/>
        </w:rPr>
        <w:t>’</w:t>
      </w:r>
      <w:r w:rsidR="00E15507" w:rsidRPr="005D6CD4">
        <w:rPr>
          <w:lang w:val="fr-FR"/>
        </w:rPr>
        <w:t>aptitudes et de promotion sociale en faveur de plus de 7</w:t>
      </w:r>
      <w:r w:rsidR="00E15507">
        <w:rPr>
          <w:lang w:val="fr-FR"/>
        </w:rPr>
        <w:t> </w:t>
      </w:r>
      <w:r w:rsidR="00E15507" w:rsidRPr="005D6CD4">
        <w:rPr>
          <w:lang w:val="fr-FR"/>
        </w:rPr>
        <w:t xml:space="preserve">000 femmes rurales entre 2002 et 2005, comme le montre le </w:t>
      </w:r>
      <w:r w:rsidR="00E15507">
        <w:rPr>
          <w:lang w:val="fr-FR"/>
        </w:rPr>
        <w:t>Tableau</w:t>
      </w:r>
      <w:r w:rsidR="00E15507" w:rsidRPr="005D6CD4">
        <w:rPr>
          <w:lang w:val="fr-FR"/>
        </w:rPr>
        <w:t xml:space="preserve"> 14.1. Les femmes sont formées à la reconstruction de la société, acquièrent les techniques commerciales et de marketing de base, apprennent le droit régissant la femme et la famille, la création d</w:t>
      </w:r>
      <w:r w:rsidR="000A3D87">
        <w:rPr>
          <w:lang w:val="fr-FR"/>
        </w:rPr>
        <w:t>’</w:t>
      </w:r>
      <w:r w:rsidR="00E15507" w:rsidRPr="005D6CD4">
        <w:rPr>
          <w:lang w:val="fr-FR"/>
        </w:rPr>
        <w:t>emploi</w:t>
      </w:r>
      <w:r w:rsidR="00E15507">
        <w:rPr>
          <w:lang w:val="fr-FR"/>
        </w:rPr>
        <w:t>s</w:t>
      </w:r>
      <w:r w:rsidR="00E15507" w:rsidRPr="005D6CD4">
        <w:rPr>
          <w:lang w:val="fr-FR"/>
        </w:rPr>
        <w:t>, la gestion de la violence famil</w:t>
      </w:r>
      <w:r w:rsidR="00E15507">
        <w:rPr>
          <w:lang w:val="fr-FR"/>
        </w:rPr>
        <w:t>iale</w:t>
      </w:r>
      <w:r w:rsidR="00E15507" w:rsidRPr="005D6CD4">
        <w:rPr>
          <w:lang w:val="fr-FR"/>
        </w:rPr>
        <w:t xml:space="preserve"> et la prévention de la transmission des IST et du VIH/</w:t>
      </w:r>
      <w:r w:rsidR="00940485">
        <w:rPr>
          <w:lang w:val="fr-FR"/>
        </w:rPr>
        <w:t>SIDA</w:t>
      </w:r>
      <w:r w:rsidR="00E15507" w:rsidRPr="005D6CD4">
        <w:rPr>
          <w:lang w:val="fr-FR"/>
        </w:rPr>
        <w:t>.</w:t>
      </w:r>
      <w:r w:rsidR="00E15507">
        <w:rPr>
          <w:lang w:val="fr-FR"/>
        </w:rPr>
        <w:t xml:space="preserve">  </w:t>
      </w:r>
    </w:p>
    <w:p w:rsidR="00E15507" w:rsidRDefault="0011032F" w:rsidP="0011032F">
      <w:pPr>
        <w:pStyle w:val="SingleTxt"/>
        <w:jc w:val="left"/>
        <w:rPr>
          <w:b/>
          <w:lang w:val="fr-FR"/>
        </w:rPr>
      </w:pPr>
      <w:r w:rsidRPr="0011032F">
        <w:rPr>
          <w:lang w:val="fr-FR"/>
        </w:rPr>
        <w:t>Table</w:t>
      </w:r>
      <w:r>
        <w:rPr>
          <w:lang w:val="fr-FR"/>
        </w:rPr>
        <w:t>au</w:t>
      </w:r>
      <w:r w:rsidRPr="0011032F">
        <w:rPr>
          <w:lang w:val="fr-FR"/>
        </w:rPr>
        <w:t xml:space="preserve"> 14.1</w:t>
      </w:r>
      <w:r>
        <w:rPr>
          <w:lang w:val="fr-FR"/>
        </w:rPr>
        <w:br/>
      </w:r>
      <w:r w:rsidRPr="0011032F">
        <w:rPr>
          <w:b/>
          <w:lang w:val="fr-FR"/>
        </w:rPr>
        <w:t>Statistiques sur les femmes rurales formées entre 2002 et 2005</w:t>
      </w:r>
    </w:p>
    <w:p w:rsidR="00D32F3D" w:rsidRPr="00D32F3D" w:rsidRDefault="00D32F3D" w:rsidP="00D32F3D">
      <w:pPr>
        <w:pStyle w:val="SingleTxt"/>
        <w:spacing w:after="0" w:line="120" w:lineRule="exact"/>
        <w:jc w:val="left"/>
        <w:rPr>
          <w:b/>
          <w:sz w:val="10"/>
          <w:lang w:val="fr-FR"/>
        </w:rPr>
      </w:pPr>
    </w:p>
    <w:tbl>
      <w:tblPr>
        <w:tblW w:w="0" w:type="auto"/>
        <w:tblInd w:w="1260" w:type="dxa"/>
        <w:tblLayout w:type="fixed"/>
        <w:tblCellMar>
          <w:left w:w="0" w:type="dxa"/>
          <w:right w:w="0" w:type="dxa"/>
        </w:tblCellMar>
        <w:tblLook w:val="0000"/>
      </w:tblPr>
      <w:tblGrid>
        <w:gridCol w:w="1220"/>
        <w:gridCol w:w="1220"/>
        <w:gridCol w:w="1220"/>
        <w:gridCol w:w="1220"/>
        <w:gridCol w:w="1220"/>
        <w:gridCol w:w="1220"/>
      </w:tblGrid>
      <w:tr w:rsidR="00D32F3D" w:rsidRPr="00D32F3D">
        <w:tblPrEx>
          <w:tblCellMar>
            <w:top w:w="0" w:type="dxa"/>
            <w:bottom w:w="0" w:type="dxa"/>
          </w:tblCellMar>
        </w:tblPrEx>
        <w:trPr>
          <w:tblHeader/>
        </w:trPr>
        <w:tc>
          <w:tcPr>
            <w:tcW w:w="1220" w:type="dxa"/>
            <w:tcBorders>
              <w:top w:val="single" w:sz="4" w:space="0" w:color="auto"/>
              <w:bottom w:val="single" w:sz="12" w:space="0" w:color="auto"/>
            </w:tcBorders>
            <w:shd w:val="clear" w:color="auto" w:fill="auto"/>
            <w:vAlign w:val="bottom"/>
          </w:tcPr>
          <w:p w:rsidR="00D32F3D" w:rsidRPr="00D32F3D" w:rsidRDefault="00D32F3D" w:rsidP="00D32F3D">
            <w:pPr>
              <w:pStyle w:val="BodyTextIndent"/>
              <w:suppressAutoHyphens/>
              <w:spacing w:before="80" w:after="80" w:line="160" w:lineRule="exact"/>
              <w:ind w:left="0" w:right="43"/>
              <w:rPr>
                <w:b/>
                <w:bCs/>
                <w:i/>
                <w:sz w:val="14"/>
                <w:szCs w:val="22"/>
                <w:lang w:val="fr-FR"/>
              </w:rPr>
            </w:pPr>
            <w:r w:rsidRPr="00D32F3D">
              <w:rPr>
                <w:b/>
                <w:bCs/>
                <w:i/>
                <w:sz w:val="14"/>
                <w:szCs w:val="22"/>
                <w:lang w:val="fr-FR"/>
              </w:rPr>
              <w:t>État</w:t>
            </w:r>
          </w:p>
        </w:tc>
        <w:tc>
          <w:tcPr>
            <w:tcW w:w="1220" w:type="dxa"/>
            <w:tcBorders>
              <w:top w:val="single" w:sz="4" w:space="0" w:color="auto"/>
              <w:bottom w:val="single" w:sz="12" w:space="0" w:color="auto"/>
            </w:tcBorders>
            <w:shd w:val="clear" w:color="auto" w:fill="auto"/>
            <w:vAlign w:val="bottom"/>
          </w:tcPr>
          <w:p w:rsidR="00D32F3D" w:rsidRPr="00D32F3D" w:rsidRDefault="00D32F3D" w:rsidP="00D32F3D">
            <w:pPr>
              <w:pStyle w:val="BodyTextIndent"/>
              <w:suppressAutoHyphens/>
              <w:spacing w:before="80" w:after="80" w:line="160" w:lineRule="exact"/>
              <w:ind w:left="0" w:right="43"/>
              <w:jc w:val="left"/>
              <w:rPr>
                <w:b/>
                <w:bCs/>
                <w:i/>
                <w:sz w:val="14"/>
                <w:szCs w:val="22"/>
                <w:lang w:val="fr-FR"/>
              </w:rPr>
            </w:pPr>
            <w:r w:rsidRPr="00D32F3D">
              <w:rPr>
                <w:b/>
                <w:bCs/>
                <w:i/>
                <w:sz w:val="14"/>
                <w:szCs w:val="22"/>
                <w:lang w:val="fr-FR"/>
              </w:rPr>
              <w:t>Collectivité</w:t>
            </w:r>
          </w:p>
        </w:tc>
        <w:tc>
          <w:tcPr>
            <w:tcW w:w="1220" w:type="dxa"/>
            <w:tcBorders>
              <w:top w:val="single" w:sz="4" w:space="0" w:color="auto"/>
              <w:bottom w:val="single" w:sz="12" w:space="0" w:color="auto"/>
            </w:tcBorders>
            <w:shd w:val="clear" w:color="auto" w:fill="auto"/>
            <w:vAlign w:val="bottom"/>
          </w:tcPr>
          <w:p w:rsidR="00D32F3D" w:rsidRPr="00D32F3D" w:rsidRDefault="00D32F3D" w:rsidP="00D32F3D">
            <w:pPr>
              <w:pStyle w:val="BodyTextIndent"/>
              <w:suppressAutoHyphens/>
              <w:spacing w:before="80" w:after="80" w:line="160" w:lineRule="exact"/>
              <w:ind w:left="0" w:right="43"/>
              <w:jc w:val="right"/>
              <w:rPr>
                <w:b/>
                <w:bCs/>
                <w:i/>
                <w:sz w:val="14"/>
                <w:szCs w:val="22"/>
                <w:lang w:val="fr-FR"/>
              </w:rPr>
            </w:pPr>
            <w:r w:rsidRPr="00D32F3D">
              <w:rPr>
                <w:b/>
                <w:bCs/>
                <w:i/>
                <w:sz w:val="14"/>
                <w:szCs w:val="22"/>
                <w:lang w:val="fr-FR"/>
              </w:rPr>
              <w:t>Nombre</w:t>
            </w:r>
          </w:p>
        </w:tc>
        <w:tc>
          <w:tcPr>
            <w:tcW w:w="1220" w:type="dxa"/>
            <w:tcBorders>
              <w:top w:val="single" w:sz="4" w:space="0" w:color="auto"/>
              <w:bottom w:val="single" w:sz="12" w:space="0" w:color="auto"/>
            </w:tcBorders>
            <w:shd w:val="clear" w:color="auto" w:fill="auto"/>
            <w:vAlign w:val="bottom"/>
          </w:tcPr>
          <w:p w:rsidR="00D32F3D" w:rsidRPr="00D32F3D" w:rsidRDefault="00D32F3D" w:rsidP="00D32F3D">
            <w:pPr>
              <w:pStyle w:val="BodyTextIndent"/>
              <w:suppressAutoHyphens/>
              <w:spacing w:before="80" w:after="80" w:line="160" w:lineRule="exact"/>
              <w:ind w:left="0" w:right="43"/>
              <w:jc w:val="center"/>
              <w:rPr>
                <w:b/>
                <w:bCs/>
                <w:i/>
                <w:sz w:val="14"/>
                <w:szCs w:val="22"/>
                <w:lang w:val="fr-FR"/>
              </w:rPr>
            </w:pPr>
            <w:r w:rsidRPr="00D32F3D">
              <w:rPr>
                <w:b/>
                <w:bCs/>
                <w:i/>
                <w:sz w:val="14"/>
                <w:szCs w:val="22"/>
                <w:lang w:val="fr-FR"/>
              </w:rPr>
              <w:t>État</w:t>
            </w:r>
          </w:p>
        </w:tc>
        <w:tc>
          <w:tcPr>
            <w:tcW w:w="1220" w:type="dxa"/>
            <w:tcBorders>
              <w:top w:val="single" w:sz="4" w:space="0" w:color="auto"/>
              <w:bottom w:val="single" w:sz="12" w:space="0" w:color="auto"/>
            </w:tcBorders>
            <w:shd w:val="clear" w:color="auto" w:fill="auto"/>
            <w:vAlign w:val="bottom"/>
          </w:tcPr>
          <w:p w:rsidR="00D32F3D" w:rsidRPr="00D32F3D" w:rsidRDefault="00D32F3D" w:rsidP="00D32F3D">
            <w:pPr>
              <w:pStyle w:val="BodyTextIndent"/>
              <w:suppressAutoHyphens/>
              <w:spacing w:before="80" w:after="80" w:line="160" w:lineRule="exact"/>
              <w:ind w:left="0" w:right="43"/>
              <w:jc w:val="left"/>
              <w:rPr>
                <w:b/>
                <w:bCs/>
                <w:i/>
                <w:sz w:val="14"/>
                <w:szCs w:val="22"/>
                <w:lang w:val="fr-FR"/>
              </w:rPr>
            </w:pPr>
            <w:r w:rsidRPr="00D32F3D">
              <w:rPr>
                <w:b/>
                <w:bCs/>
                <w:i/>
                <w:sz w:val="14"/>
                <w:szCs w:val="22"/>
                <w:lang w:val="fr-FR"/>
              </w:rPr>
              <w:t>Collectivité</w:t>
            </w:r>
          </w:p>
        </w:tc>
        <w:tc>
          <w:tcPr>
            <w:tcW w:w="1220" w:type="dxa"/>
            <w:tcBorders>
              <w:top w:val="single" w:sz="4" w:space="0" w:color="auto"/>
              <w:bottom w:val="single" w:sz="12" w:space="0" w:color="auto"/>
            </w:tcBorders>
            <w:shd w:val="clear" w:color="auto" w:fill="auto"/>
            <w:vAlign w:val="bottom"/>
          </w:tcPr>
          <w:p w:rsidR="00D32F3D" w:rsidRPr="00D32F3D" w:rsidRDefault="00D32F3D" w:rsidP="00D32F3D">
            <w:pPr>
              <w:pStyle w:val="BodyTextIndent"/>
              <w:suppressAutoHyphens/>
              <w:spacing w:before="80" w:after="80" w:line="160" w:lineRule="exact"/>
              <w:ind w:left="0" w:right="43"/>
              <w:jc w:val="right"/>
              <w:rPr>
                <w:b/>
                <w:bCs/>
                <w:i/>
                <w:sz w:val="14"/>
                <w:szCs w:val="22"/>
                <w:lang w:val="fr-FR"/>
              </w:rPr>
            </w:pPr>
            <w:r w:rsidRPr="00D32F3D">
              <w:rPr>
                <w:b/>
                <w:bCs/>
                <w:i/>
                <w:sz w:val="14"/>
                <w:szCs w:val="22"/>
                <w:lang w:val="fr-FR"/>
              </w:rPr>
              <w:t>Nombre</w:t>
            </w:r>
          </w:p>
        </w:tc>
      </w:tr>
      <w:tr w:rsidR="00D32F3D" w:rsidRPr="00D32F3D">
        <w:tblPrEx>
          <w:tblCellMar>
            <w:top w:w="0" w:type="dxa"/>
            <w:bottom w:w="0" w:type="dxa"/>
          </w:tblCellMar>
        </w:tblPrEx>
        <w:trPr>
          <w:trHeight w:hRule="exact" w:val="115"/>
          <w:tblHeader/>
        </w:trPr>
        <w:tc>
          <w:tcPr>
            <w:tcW w:w="1220" w:type="dxa"/>
            <w:tcBorders>
              <w:top w:val="single" w:sz="12" w:space="0" w:color="auto"/>
            </w:tcBorders>
            <w:shd w:val="clear" w:color="auto" w:fill="auto"/>
            <w:vAlign w:val="bottom"/>
          </w:tcPr>
          <w:p w:rsidR="00D32F3D" w:rsidRPr="00D32F3D" w:rsidRDefault="00D32F3D" w:rsidP="00D32F3D">
            <w:pPr>
              <w:pStyle w:val="BodyTextIndent"/>
              <w:suppressAutoHyphens/>
              <w:spacing w:before="40" w:after="40" w:line="210" w:lineRule="exact"/>
              <w:ind w:left="0" w:right="43"/>
              <w:rPr>
                <w:sz w:val="17"/>
                <w:szCs w:val="22"/>
                <w:lang w:val="fr-FR"/>
              </w:rPr>
            </w:pPr>
          </w:p>
        </w:tc>
        <w:tc>
          <w:tcPr>
            <w:tcW w:w="1220" w:type="dxa"/>
            <w:tcBorders>
              <w:top w:val="single" w:sz="12" w:space="0" w:color="auto"/>
            </w:tcBorders>
            <w:shd w:val="clear" w:color="auto" w:fill="auto"/>
            <w:vAlign w:val="bottom"/>
          </w:tcPr>
          <w:p w:rsidR="00D32F3D" w:rsidRPr="00D32F3D" w:rsidRDefault="00D32F3D" w:rsidP="00D32F3D">
            <w:pPr>
              <w:pStyle w:val="BodyTextIndent"/>
              <w:suppressAutoHyphens/>
              <w:spacing w:before="40" w:after="40" w:line="210" w:lineRule="exact"/>
              <w:ind w:left="0" w:right="43"/>
              <w:jc w:val="right"/>
              <w:rPr>
                <w:sz w:val="17"/>
                <w:szCs w:val="22"/>
                <w:lang w:val="fr-FR"/>
              </w:rPr>
            </w:pPr>
          </w:p>
        </w:tc>
        <w:tc>
          <w:tcPr>
            <w:tcW w:w="1220" w:type="dxa"/>
            <w:tcBorders>
              <w:top w:val="single" w:sz="12" w:space="0" w:color="auto"/>
            </w:tcBorders>
            <w:shd w:val="clear" w:color="auto" w:fill="auto"/>
            <w:vAlign w:val="bottom"/>
          </w:tcPr>
          <w:p w:rsidR="00D32F3D" w:rsidRPr="00D32F3D" w:rsidRDefault="00D32F3D" w:rsidP="00D32F3D">
            <w:pPr>
              <w:pStyle w:val="BodyTextIndent"/>
              <w:suppressAutoHyphens/>
              <w:spacing w:before="40" w:after="40" w:line="210" w:lineRule="exact"/>
              <w:ind w:left="0" w:right="43"/>
              <w:jc w:val="right"/>
              <w:rPr>
                <w:sz w:val="17"/>
                <w:szCs w:val="22"/>
                <w:lang w:val="fr-FR"/>
              </w:rPr>
            </w:pPr>
          </w:p>
        </w:tc>
        <w:tc>
          <w:tcPr>
            <w:tcW w:w="1220" w:type="dxa"/>
            <w:tcBorders>
              <w:top w:val="single" w:sz="12" w:space="0" w:color="auto"/>
            </w:tcBorders>
            <w:shd w:val="clear" w:color="auto" w:fill="auto"/>
            <w:vAlign w:val="bottom"/>
          </w:tcPr>
          <w:p w:rsidR="00D32F3D" w:rsidRPr="00D32F3D" w:rsidRDefault="00D32F3D" w:rsidP="00D32F3D">
            <w:pPr>
              <w:pStyle w:val="BodyTextIndent"/>
              <w:suppressAutoHyphens/>
              <w:spacing w:before="40" w:after="40" w:line="210" w:lineRule="exact"/>
              <w:ind w:left="0" w:right="43"/>
              <w:jc w:val="right"/>
              <w:rPr>
                <w:sz w:val="17"/>
                <w:szCs w:val="22"/>
                <w:lang w:val="fr-FR"/>
              </w:rPr>
            </w:pPr>
          </w:p>
        </w:tc>
        <w:tc>
          <w:tcPr>
            <w:tcW w:w="1220" w:type="dxa"/>
            <w:tcBorders>
              <w:top w:val="single" w:sz="12" w:space="0" w:color="auto"/>
            </w:tcBorders>
            <w:shd w:val="clear" w:color="auto" w:fill="auto"/>
            <w:vAlign w:val="bottom"/>
          </w:tcPr>
          <w:p w:rsidR="00D32F3D" w:rsidRPr="00D32F3D" w:rsidRDefault="00D32F3D" w:rsidP="00D32F3D">
            <w:pPr>
              <w:pStyle w:val="BodyTextIndent"/>
              <w:suppressAutoHyphens/>
              <w:spacing w:before="40" w:after="40" w:line="210" w:lineRule="exact"/>
              <w:ind w:left="0" w:right="43"/>
              <w:jc w:val="left"/>
              <w:rPr>
                <w:sz w:val="17"/>
                <w:szCs w:val="22"/>
                <w:lang w:val="fr-FR"/>
              </w:rPr>
            </w:pPr>
          </w:p>
        </w:tc>
        <w:tc>
          <w:tcPr>
            <w:tcW w:w="1220" w:type="dxa"/>
            <w:tcBorders>
              <w:top w:val="single" w:sz="12" w:space="0" w:color="auto"/>
            </w:tcBorders>
            <w:shd w:val="clear" w:color="auto" w:fill="auto"/>
            <w:vAlign w:val="bottom"/>
          </w:tcPr>
          <w:p w:rsidR="00D32F3D" w:rsidRPr="00D32F3D" w:rsidRDefault="00D32F3D" w:rsidP="00D32F3D">
            <w:pPr>
              <w:pStyle w:val="BodyTextIndent"/>
              <w:suppressAutoHyphens/>
              <w:spacing w:before="40" w:after="40" w:line="210" w:lineRule="exact"/>
              <w:ind w:left="0" w:right="43"/>
              <w:jc w:val="right"/>
              <w:rPr>
                <w:sz w:val="17"/>
                <w:szCs w:val="22"/>
                <w:lang w:val="fr-FR"/>
              </w:rPr>
            </w:pPr>
          </w:p>
        </w:tc>
      </w:tr>
      <w:tr w:rsidR="00D32F3D" w:rsidRPr="00D32F3D">
        <w:tblPrEx>
          <w:tblCellMar>
            <w:top w:w="0" w:type="dxa"/>
            <w:bottom w:w="0" w:type="dxa"/>
          </w:tblCellMar>
        </w:tblPrEx>
        <w:tc>
          <w:tcPr>
            <w:tcW w:w="1220" w:type="dxa"/>
            <w:shd w:val="clear" w:color="auto" w:fill="auto"/>
            <w:vAlign w:val="bottom"/>
          </w:tcPr>
          <w:p w:rsidR="00D32F3D" w:rsidRPr="00D32F3D" w:rsidRDefault="00D32F3D" w:rsidP="00D32F3D">
            <w:pPr>
              <w:pStyle w:val="BodyTextIndent"/>
              <w:tabs>
                <w:tab w:val="left" w:pos="288"/>
                <w:tab w:val="left" w:pos="576"/>
                <w:tab w:val="left" w:pos="864"/>
                <w:tab w:val="left" w:pos="1152"/>
              </w:tabs>
              <w:suppressAutoHyphens/>
              <w:spacing w:before="40" w:after="40" w:line="210" w:lineRule="exact"/>
              <w:ind w:left="0" w:right="43"/>
              <w:rPr>
                <w:sz w:val="17"/>
                <w:szCs w:val="22"/>
                <w:lang w:val="fr-FR"/>
              </w:rPr>
            </w:pPr>
            <w:r w:rsidRPr="00D32F3D">
              <w:rPr>
                <w:sz w:val="17"/>
                <w:szCs w:val="22"/>
                <w:lang w:val="fr-FR"/>
              </w:rPr>
              <w:t>Enugu</w:t>
            </w:r>
          </w:p>
        </w:tc>
        <w:tc>
          <w:tcPr>
            <w:tcW w:w="1220" w:type="dxa"/>
            <w:shd w:val="clear" w:color="auto" w:fill="auto"/>
            <w:vAlign w:val="bottom"/>
          </w:tcPr>
          <w:p w:rsidR="00D32F3D" w:rsidRPr="00D32F3D" w:rsidRDefault="00D32F3D" w:rsidP="00D32F3D">
            <w:pPr>
              <w:pStyle w:val="BodyTextIndent"/>
              <w:tabs>
                <w:tab w:val="left" w:pos="288"/>
                <w:tab w:val="left" w:pos="576"/>
                <w:tab w:val="left" w:pos="864"/>
                <w:tab w:val="left" w:pos="1152"/>
              </w:tabs>
              <w:suppressAutoHyphens/>
              <w:spacing w:before="40" w:after="40" w:line="210" w:lineRule="exact"/>
              <w:ind w:left="0" w:right="43"/>
              <w:jc w:val="left"/>
              <w:rPr>
                <w:sz w:val="17"/>
                <w:szCs w:val="22"/>
                <w:lang w:val="fr-FR"/>
              </w:rPr>
            </w:pPr>
            <w:r w:rsidRPr="00D32F3D">
              <w:rPr>
                <w:sz w:val="17"/>
                <w:szCs w:val="22"/>
                <w:lang w:val="fr-FR"/>
              </w:rPr>
              <w:t>Ihe</w:t>
            </w:r>
          </w:p>
        </w:tc>
        <w:tc>
          <w:tcPr>
            <w:tcW w:w="1220" w:type="dxa"/>
            <w:shd w:val="clear" w:color="auto" w:fill="auto"/>
            <w:vAlign w:val="bottom"/>
          </w:tcPr>
          <w:p w:rsidR="00D32F3D" w:rsidRPr="00D32F3D" w:rsidRDefault="00D32F3D" w:rsidP="00D32F3D">
            <w:pPr>
              <w:pStyle w:val="BodyTextIndent"/>
              <w:tabs>
                <w:tab w:val="left" w:pos="288"/>
                <w:tab w:val="left" w:pos="576"/>
                <w:tab w:val="left" w:pos="864"/>
                <w:tab w:val="left" w:pos="1152"/>
              </w:tabs>
              <w:suppressAutoHyphens/>
              <w:spacing w:before="40" w:after="40" w:line="210" w:lineRule="exact"/>
              <w:ind w:left="0" w:right="43"/>
              <w:jc w:val="right"/>
              <w:rPr>
                <w:sz w:val="17"/>
                <w:szCs w:val="22"/>
                <w:lang w:val="fr-FR"/>
              </w:rPr>
            </w:pPr>
            <w:r w:rsidRPr="00D32F3D">
              <w:rPr>
                <w:sz w:val="17"/>
                <w:szCs w:val="22"/>
                <w:lang w:val="fr-FR"/>
              </w:rPr>
              <w:t>560</w:t>
            </w:r>
          </w:p>
        </w:tc>
        <w:tc>
          <w:tcPr>
            <w:tcW w:w="1220" w:type="dxa"/>
            <w:shd w:val="clear" w:color="auto" w:fill="auto"/>
            <w:vAlign w:val="bottom"/>
          </w:tcPr>
          <w:p w:rsidR="00D32F3D" w:rsidRPr="00D32F3D" w:rsidRDefault="00D32F3D" w:rsidP="00D32F3D">
            <w:pPr>
              <w:pStyle w:val="BodyTextIndent"/>
              <w:tabs>
                <w:tab w:val="left" w:pos="288"/>
                <w:tab w:val="left" w:pos="576"/>
                <w:tab w:val="left" w:pos="864"/>
                <w:tab w:val="left" w:pos="1152"/>
              </w:tabs>
              <w:suppressAutoHyphens/>
              <w:spacing w:before="40" w:after="40" w:line="210" w:lineRule="exact"/>
              <w:ind w:left="0" w:right="43"/>
              <w:jc w:val="right"/>
              <w:rPr>
                <w:sz w:val="17"/>
                <w:szCs w:val="22"/>
                <w:lang w:val="fr-FR"/>
              </w:rPr>
            </w:pPr>
          </w:p>
        </w:tc>
        <w:tc>
          <w:tcPr>
            <w:tcW w:w="1220" w:type="dxa"/>
            <w:shd w:val="clear" w:color="auto" w:fill="auto"/>
            <w:vAlign w:val="bottom"/>
          </w:tcPr>
          <w:p w:rsidR="00D32F3D" w:rsidRPr="00D32F3D" w:rsidRDefault="00D32F3D" w:rsidP="00D32F3D">
            <w:pPr>
              <w:pStyle w:val="BodyTextIndent"/>
              <w:tabs>
                <w:tab w:val="left" w:pos="288"/>
                <w:tab w:val="left" w:pos="576"/>
                <w:tab w:val="left" w:pos="864"/>
                <w:tab w:val="left" w:pos="1152"/>
              </w:tabs>
              <w:suppressAutoHyphens/>
              <w:spacing w:before="40" w:after="40" w:line="210" w:lineRule="exact"/>
              <w:ind w:left="0" w:right="43"/>
              <w:jc w:val="left"/>
              <w:rPr>
                <w:sz w:val="17"/>
                <w:szCs w:val="22"/>
                <w:lang w:val="fr-FR"/>
              </w:rPr>
            </w:pPr>
            <w:r w:rsidRPr="00D32F3D">
              <w:rPr>
                <w:sz w:val="17"/>
                <w:szCs w:val="22"/>
                <w:lang w:val="fr-FR"/>
              </w:rPr>
              <w:t>Neke-Uno</w:t>
            </w:r>
          </w:p>
        </w:tc>
        <w:tc>
          <w:tcPr>
            <w:tcW w:w="1220" w:type="dxa"/>
            <w:shd w:val="clear" w:color="auto" w:fill="auto"/>
            <w:vAlign w:val="bottom"/>
          </w:tcPr>
          <w:p w:rsidR="00D32F3D" w:rsidRPr="00D32F3D" w:rsidRDefault="00D32F3D" w:rsidP="00D32F3D">
            <w:pPr>
              <w:pStyle w:val="BodyTextIndent"/>
              <w:tabs>
                <w:tab w:val="left" w:pos="288"/>
                <w:tab w:val="left" w:pos="576"/>
                <w:tab w:val="left" w:pos="864"/>
                <w:tab w:val="left" w:pos="1152"/>
              </w:tabs>
              <w:suppressAutoHyphens/>
              <w:spacing w:before="40" w:after="40" w:line="210" w:lineRule="exact"/>
              <w:ind w:left="0" w:right="43"/>
              <w:jc w:val="right"/>
              <w:rPr>
                <w:sz w:val="17"/>
                <w:szCs w:val="22"/>
                <w:lang w:val="fr-FR"/>
              </w:rPr>
            </w:pPr>
            <w:r w:rsidRPr="00D32F3D">
              <w:rPr>
                <w:sz w:val="17"/>
                <w:szCs w:val="22"/>
                <w:lang w:val="fr-FR"/>
              </w:rPr>
              <w:t>150</w:t>
            </w:r>
          </w:p>
        </w:tc>
      </w:tr>
      <w:tr w:rsidR="00D32F3D" w:rsidRPr="00D32F3D">
        <w:tblPrEx>
          <w:tblCellMar>
            <w:top w:w="0" w:type="dxa"/>
            <w:bottom w:w="0" w:type="dxa"/>
          </w:tblCellMar>
        </w:tblPrEx>
        <w:tc>
          <w:tcPr>
            <w:tcW w:w="1220" w:type="dxa"/>
            <w:shd w:val="clear" w:color="auto" w:fill="auto"/>
            <w:vAlign w:val="bottom"/>
          </w:tcPr>
          <w:p w:rsidR="00D32F3D" w:rsidRPr="00D32F3D" w:rsidRDefault="00D32F3D" w:rsidP="00D32F3D">
            <w:pPr>
              <w:pStyle w:val="BodyTextIndent"/>
              <w:tabs>
                <w:tab w:val="left" w:pos="288"/>
                <w:tab w:val="left" w:pos="576"/>
                <w:tab w:val="left" w:pos="864"/>
                <w:tab w:val="left" w:pos="1152"/>
              </w:tabs>
              <w:suppressAutoHyphens/>
              <w:spacing w:before="40" w:after="40" w:line="210" w:lineRule="exact"/>
              <w:ind w:left="0" w:right="43"/>
              <w:rPr>
                <w:sz w:val="17"/>
                <w:szCs w:val="22"/>
                <w:lang w:val="fr-FR"/>
              </w:rPr>
            </w:pPr>
            <w:r w:rsidRPr="00D32F3D">
              <w:rPr>
                <w:sz w:val="17"/>
                <w:szCs w:val="22"/>
                <w:lang w:val="fr-FR"/>
              </w:rPr>
              <w:t>“</w:t>
            </w:r>
          </w:p>
        </w:tc>
        <w:tc>
          <w:tcPr>
            <w:tcW w:w="1220" w:type="dxa"/>
            <w:shd w:val="clear" w:color="auto" w:fill="auto"/>
            <w:vAlign w:val="bottom"/>
          </w:tcPr>
          <w:p w:rsidR="00D32F3D" w:rsidRPr="00D32F3D" w:rsidRDefault="00D32F3D" w:rsidP="00D32F3D">
            <w:pPr>
              <w:pStyle w:val="BodyTextIndent"/>
              <w:tabs>
                <w:tab w:val="left" w:pos="288"/>
                <w:tab w:val="left" w:pos="576"/>
                <w:tab w:val="left" w:pos="864"/>
                <w:tab w:val="left" w:pos="1152"/>
              </w:tabs>
              <w:suppressAutoHyphens/>
              <w:spacing w:before="40" w:after="40" w:line="210" w:lineRule="exact"/>
              <w:ind w:left="0" w:right="43"/>
              <w:jc w:val="left"/>
              <w:rPr>
                <w:sz w:val="17"/>
                <w:szCs w:val="22"/>
                <w:lang w:val="fr-FR"/>
              </w:rPr>
            </w:pPr>
            <w:r w:rsidRPr="00D32F3D">
              <w:rPr>
                <w:sz w:val="17"/>
                <w:szCs w:val="22"/>
                <w:lang w:val="fr-FR"/>
              </w:rPr>
              <w:t>Ukehe</w:t>
            </w:r>
          </w:p>
        </w:tc>
        <w:tc>
          <w:tcPr>
            <w:tcW w:w="1220" w:type="dxa"/>
            <w:shd w:val="clear" w:color="auto" w:fill="auto"/>
            <w:vAlign w:val="bottom"/>
          </w:tcPr>
          <w:p w:rsidR="00D32F3D" w:rsidRPr="00D32F3D" w:rsidRDefault="00D32F3D" w:rsidP="00D32F3D">
            <w:pPr>
              <w:pStyle w:val="BodyTextIndent"/>
              <w:tabs>
                <w:tab w:val="left" w:pos="288"/>
                <w:tab w:val="left" w:pos="576"/>
                <w:tab w:val="left" w:pos="864"/>
                <w:tab w:val="left" w:pos="1152"/>
              </w:tabs>
              <w:suppressAutoHyphens/>
              <w:spacing w:before="40" w:after="40" w:line="210" w:lineRule="exact"/>
              <w:ind w:left="0" w:right="43"/>
              <w:jc w:val="right"/>
              <w:rPr>
                <w:sz w:val="17"/>
                <w:szCs w:val="22"/>
                <w:lang w:val="fr-FR"/>
              </w:rPr>
            </w:pPr>
            <w:r w:rsidRPr="00D32F3D">
              <w:rPr>
                <w:sz w:val="17"/>
                <w:szCs w:val="22"/>
                <w:lang w:val="fr-FR"/>
              </w:rPr>
              <w:t>520</w:t>
            </w:r>
          </w:p>
        </w:tc>
        <w:tc>
          <w:tcPr>
            <w:tcW w:w="1220" w:type="dxa"/>
            <w:shd w:val="clear" w:color="auto" w:fill="auto"/>
            <w:vAlign w:val="bottom"/>
          </w:tcPr>
          <w:p w:rsidR="00D32F3D" w:rsidRPr="00D32F3D" w:rsidRDefault="00D32F3D" w:rsidP="00D32F3D">
            <w:pPr>
              <w:pStyle w:val="BodyTextIndent"/>
              <w:tabs>
                <w:tab w:val="left" w:pos="288"/>
                <w:tab w:val="left" w:pos="576"/>
                <w:tab w:val="left" w:pos="864"/>
                <w:tab w:val="left" w:pos="1152"/>
              </w:tabs>
              <w:suppressAutoHyphens/>
              <w:spacing w:before="40" w:after="40" w:line="210" w:lineRule="exact"/>
              <w:ind w:left="0" w:right="43"/>
              <w:jc w:val="right"/>
              <w:rPr>
                <w:sz w:val="17"/>
                <w:szCs w:val="22"/>
                <w:lang w:val="fr-FR"/>
              </w:rPr>
            </w:pPr>
          </w:p>
        </w:tc>
        <w:tc>
          <w:tcPr>
            <w:tcW w:w="1220" w:type="dxa"/>
            <w:shd w:val="clear" w:color="auto" w:fill="auto"/>
            <w:vAlign w:val="bottom"/>
          </w:tcPr>
          <w:p w:rsidR="00D32F3D" w:rsidRPr="00D32F3D" w:rsidRDefault="00D32F3D" w:rsidP="00D32F3D">
            <w:pPr>
              <w:pStyle w:val="BodyTextIndent"/>
              <w:tabs>
                <w:tab w:val="left" w:pos="288"/>
                <w:tab w:val="left" w:pos="576"/>
                <w:tab w:val="left" w:pos="864"/>
                <w:tab w:val="left" w:pos="1152"/>
              </w:tabs>
              <w:suppressAutoHyphens/>
              <w:spacing w:before="40" w:after="40" w:line="210" w:lineRule="exact"/>
              <w:ind w:left="0" w:right="43"/>
              <w:jc w:val="left"/>
              <w:rPr>
                <w:sz w:val="17"/>
                <w:szCs w:val="22"/>
                <w:lang w:val="fr-FR"/>
              </w:rPr>
            </w:pPr>
            <w:r w:rsidRPr="00D32F3D">
              <w:rPr>
                <w:sz w:val="17"/>
                <w:szCs w:val="22"/>
                <w:lang w:val="fr-FR"/>
              </w:rPr>
              <w:t>Aku</w:t>
            </w:r>
          </w:p>
        </w:tc>
        <w:tc>
          <w:tcPr>
            <w:tcW w:w="1220" w:type="dxa"/>
            <w:shd w:val="clear" w:color="auto" w:fill="auto"/>
            <w:vAlign w:val="bottom"/>
          </w:tcPr>
          <w:p w:rsidR="00D32F3D" w:rsidRPr="00D32F3D" w:rsidRDefault="00D32F3D" w:rsidP="00D32F3D">
            <w:pPr>
              <w:pStyle w:val="BodyTextIndent"/>
              <w:tabs>
                <w:tab w:val="left" w:pos="288"/>
                <w:tab w:val="left" w:pos="576"/>
                <w:tab w:val="left" w:pos="864"/>
                <w:tab w:val="left" w:pos="1152"/>
              </w:tabs>
              <w:suppressAutoHyphens/>
              <w:spacing w:before="40" w:after="40" w:line="210" w:lineRule="exact"/>
              <w:ind w:left="0" w:right="43"/>
              <w:jc w:val="right"/>
              <w:rPr>
                <w:sz w:val="17"/>
                <w:szCs w:val="22"/>
                <w:lang w:val="fr-FR"/>
              </w:rPr>
            </w:pPr>
            <w:r w:rsidRPr="00D32F3D">
              <w:rPr>
                <w:sz w:val="17"/>
                <w:szCs w:val="22"/>
                <w:lang w:val="fr-FR"/>
              </w:rPr>
              <w:t>151</w:t>
            </w:r>
          </w:p>
        </w:tc>
      </w:tr>
      <w:tr w:rsidR="00D32F3D" w:rsidRPr="00D32F3D">
        <w:tblPrEx>
          <w:tblCellMar>
            <w:top w:w="0" w:type="dxa"/>
            <w:bottom w:w="0" w:type="dxa"/>
          </w:tblCellMar>
        </w:tblPrEx>
        <w:tc>
          <w:tcPr>
            <w:tcW w:w="1220" w:type="dxa"/>
            <w:shd w:val="clear" w:color="auto" w:fill="auto"/>
            <w:vAlign w:val="bottom"/>
          </w:tcPr>
          <w:p w:rsidR="00D32F3D" w:rsidRPr="00D32F3D" w:rsidRDefault="00D32F3D" w:rsidP="00D32F3D">
            <w:pPr>
              <w:pStyle w:val="BodyTextIndent"/>
              <w:tabs>
                <w:tab w:val="left" w:pos="288"/>
                <w:tab w:val="left" w:pos="576"/>
                <w:tab w:val="left" w:pos="864"/>
                <w:tab w:val="left" w:pos="1152"/>
              </w:tabs>
              <w:suppressAutoHyphens/>
              <w:spacing w:before="40" w:after="40" w:line="210" w:lineRule="exact"/>
              <w:ind w:left="0" w:right="43"/>
              <w:rPr>
                <w:sz w:val="17"/>
                <w:szCs w:val="22"/>
                <w:lang w:val="fr-FR"/>
              </w:rPr>
            </w:pPr>
            <w:r w:rsidRPr="00D32F3D">
              <w:rPr>
                <w:sz w:val="17"/>
                <w:szCs w:val="22"/>
                <w:lang w:val="fr-FR"/>
              </w:rPr>
              <w:t>“</w:t>
            </w:r>
          </w:p>
        </w:tc>
        <w:tc>
          <w:tcPr>
            <w:tcW w:w="1220" w:type="dxa"/>
            <w:shd w:val="clear" w:color="auto" w:fill="auto"/>
            <w:vAlign w:val="bottom"/>
          </w:tcPr>
          <w:p w:rsidR="00D32F3D" w:rsidRPr="00D32F3D" w:rsidRDefault="00D32F3D" w:rsidP="00D32F3D">
            <w:pPr>
              <w:pStyle w:val="BodyTextIndent"/>
              <w:tabs>
                <w:tab w:val="left" w:pos="288"/>
                <w:tab w:val="left" w:pos="576"/>
                <w:tab w:val="left" w:pos="864"/>
                <w:tab w:val="left" w:pos="1152"/>
              </w:tabs>
              <w:suppressAutoHyphens/>
              <w:spacing w:before="40" w:after="40" w:line="210" w:lineRule="exact"/>
              <w:ind w:left="0" w:right="43"/>
              <w:jc w:val="left"/>
              <w:rPr>
                <w:sz w:val="17"/>
                <w:szCs w:val="22"/>
                <w:lang w:val="fr-FR"/>
              </w:rPr>
            </w:pPr>
            <w:r w:rsidRPr="00D32F3D">
              <w:rPr>
                <w:sz w:val="17"/>
                <w:szCs w:val="22"/>
                <w:lang w:val="fr-FR"/>
              </w:rPr>
              <w:t>Edem</w:t>
            </w:r>
          </w:p>
        </w:tc>
        <w:tc>
          <w:tcPr>
            <w:tcW w:w="1220" w:type="dxa"/>
            <w:shd w:val="clear" w:color="auto" w:fill="auto"/>
            <w:vAlign w:val="bottom"/>
          </w:tcPr>
          <w:p w:rsidR="00D32F3D" w:rsidRPr="00D32F3D" w:rsidRDefault="00D32F3D" w:rsidP="00D32F3D">
            <w:pPr>
              <w:pStyle w:val="BodyTextIndent"/>
              <w:tabs>
                <w:tab w:val="left" w:pos="288"/>
                <w:tab w:val="left" w:pos="576"/>
                <w:tab w:val="left" w:pos="864"/>
                <w:tab w:val="left" w:pos="1152"/>
              </w:tabs>
              <w:suppressAutoHyphens/>
              <w:spacing w:before="40" w:after="40" w:line="210" w:lineRule="exact"/>
              <w:ind w:left="0" w:right="43"/>
              <w:jc w:val="right"/>
              <w:rPr>
                <w:sz w:val="17"/>
                <w:szCs w:val="22"/>
                <w:lang w:val="fr-FR"/>
              </w:rPr>
            </w:pPr>
            <w:r w:rsidRPr="00D32F3D">
              <w:rPr>
                <w:sz w:val="17"/>
                <w:szCs w:val="22"/>
                <w:lang w:val="fr-FR"/>
              </w:rPr>
              <w:t>520</w:t>
            </w:r>
          </w:p>
        </w:tc>
        <w:tc>
          <w:tcPr>
            <w:tcW w:w="1220" w:type="dxa"/>
            <w:shd w:val="clear" w:color="auto" w:fill="auto"/>
            <w:vAlign w:val="bottom"/>
          </w:tcPr>
          <w:p w:rsidR="00D32F3D" w:rsidRPr="00D32F3D" w:rsidRDefault="00D32F3D" w:rsidP="00D32F3D">
            <w:pPr>
              <w:pStyle w:val="BodyTextIndent"/>
              <w:tabs>
                <w:tab w:val="left" w:pos="288"/>
                <w:tab w:val="left" w:pos="576"/>
                <w:tab w:val="left" w:pos="864"/>
                <w:tab w:val="left" w:pos="1152"/>
              </w:tabs>
              <w:suppressAutoHyphens/>
              <w:spacing w:before="40" w:after="40" w:line="210" w:lineRule="exact"/>
              <w:ind w:left="0" w:right="43"/>
              <w:jc w:val="right"/>
              <w:rPr>
                <w:sz w:val="17"/>
                <w:szCs w:val="22"/>
                <w:lang w:val="fr-FR"/>
              </w:rPr>
            </w:pPr>
          </w:p>
        </w:tc>
        <w:tc>
          <w:tcPr>
            <w:tcW w:w="1220" w:type="dxa"/>
            <w:shd w:val="clear" w:color="auto" w:fill="auto"/>
            <w:vAlign w:val="bottom"/>
          </w:tcPr>
          <w:p w:rsidR="00D32F3D" w:rsidRPr="00D32F3D" w:rsidRDefault="00D32F3D" w:rsidP="00D32F3D">
            <w:pPr>
              <w:pStyle w:val="BodyTextIndent"/>
              <w:tabs>
                <w:tab w:val="left" w:pos="288"/>
                <w:tab w:val="left" w:pos="576"/>
                <w:tab w:val="left" w:pos="864"/>
                <w:tab w:val="left" w:pos="1152"/>
              </w:tabs>
              <w:suppressAutoHyphens/>
              <w:spacing w:before="40" w:after="40" w:line="210" w:lineRule="exact"/>
              <w:ind w:left="0" w:right="43"/>
              <w:jc w:val="left"/>
              <w:rPr>
                <w:sz w:val="17"/>
                <w:szCs w:val="22"/>
                <w:lang w:val="fr-FR"/>
              </w:rPr>
            </w:pPr>
            <w:r w:rsidRPr="00D32F3D">
              <w:rPr>
                <w:sz w:val="17"/>
                <w:szCs w:val="22"/>
                <w:lang w:val="fr-FR"/>
              </w:rPr>
              <w:t>Umulumgbe</w:t>
            </w:r>
          </w:p>
        </w:tc>
        <w:tc>
          <w:tcPr>
            <w:tcW w:w="1220" w:type="dxa"/>
            <w:shd w:val="clear" w:color="auto" w:fill="auto"/>
            <w:vAlign w:val="bottom"/>
          </w:tcPr>
          <w:p w:rsidR="00D32F3D" w:rsidRPr="00D32F3D" w:rsidRDefault="00D32F3D" w:rsidP="00D32F3D">
            <w:pPr>
              <w:pStyle w:val="BodyTextIndent"/>
              <w:tabs>
                <w:tab w:val="left" w:pos="288"/>
                <w:tab w:val="left" w:pos="576"/>
                <w:tab w:val="left" w:pos="864"/>
                <w:tab w:val="left" w:pos="1152"/>
              </w:tabs>
              <w:suppressAutoHyphens/>
              <w:spacing w:before="40" w:after="40" w:line="210" w:lineRule="exact"/>
              <w:ind w:left="0" w:right="43"/>
              <w:jc w:val="right"/>
              <w:rPr>
                <w:sz w:val="17"/>
                <w:szCs w:val="22"/>
                <w:lang w:val="fr-FR"/>
              </w:rPr>
            </w:pPr>
            <w:r w:rsidRPr="00D32F3D">
              <w:rPr>
                <w:sz w:val="17"/>
                <w:szCs w:val="22"/>
                <w:lang w:val="fr-FR"/>
              </w:rPr>
              <w:t>296</w:t>
            </w:r>
          </w:p>
        </w:tc>
      </w:tr>
      <w:tr w:rsidR="00D32F3D" w:rsidRPr="00D32F3D">
        <w:tblPrEx>
          <w:tblCellMar>
            <w:top w:w="0" w:type="dxa"/>
            <w:bottom w:w="0" w:type="dxa"/>
          </w:tblCellMar>
        </w:tblPrEx>
        <w:tc>
          <w:tcPr>
            <w:tcW w:w="1220" w:type="dxa"/>
            <w:shd w:val="clear" w:color="auto" w:fill="auto"/>
            <w:vAlign w:val="bottom"/>
          </w:tcPr>
          <w:p w:rsidR="00D32F3D" w:rsidRPr="00D32F3D" w:rsidRDefault="00D32F3D" w:rsidP="00D32F3D">
            <w:pPr>
              <w:pStyle w:val="BodyTextIndent"/>
              <w:tabs>
                <w:tab w:val="left" w:pos="288"/>
                <w:tab w:val="left" w:pos="576"/>
                <w:tab w:val="left" w:pos="864"/>
                <w:tab w:val="left" w:pos="1152"/>
              </w:tabs>
              <w:suppressAutoHyphens/>
              <w:spacing w:before="40" w:after="40" w:line="210" w:lineRule="exact"/>
              <w:ind w:left="0" w:right="43"/>
              <w:rPr>
                <w:sz w:val="17"/>
                <w:szCs w:val="22"/>
                <w:lang w:val="fr-FR"/>
              </w:rPr>
            </w:pPr>
            <w:r w:rsidRPr="00D32F3D">
              <w:rPr>
                <w:sz w:val="17"/>
                <w:szCs w:val="22"/>
                <w:lang w:val="fr-FR"/>
              </w:rPr>
              <w:t>“</w:t>
            </w:r>
          </w:p>
        </w:tc>
        <w:tc>
          <w:tcPr>
            <w:tcW w:w="1220" w:type="dxa"/>
            <w:shd w:val="clear" w:color="auto" w:fill="auto"/>
            <w:vAlign w:val="bottom"/>
          </w:tcPr>
          <w:p w:rsidR="00D32F3D" w:rsidRPr="00D32F3D" w:rsidRDefault="00D32F3D" w:rsidP="00D32F3D">
            <w:pPr>
              <w:pStyle w:val="BodyTextIndent"/>
              <w:tabs>
                <w:tab w:val="left" w:pos="288"/>
                <w:tab w:val="left" w:pos="576"/>
                <w:tab w:val="left" w:pos="864"/>
                <w:tab w:val="left" w:pos="1152"/>
              </w:tabs>
              <w:suppressAutoHyphens/>
              <w:spacing w:before="40" w:after="40" w:line="210" w:lineRule="exact"/>
              <w:ind w:left="0" w:right="43"/>
              <w:jc w:val="left"/>
              <w:rPr>
                <w:sz w:val="17"/>
                <w:szCs w:val="22"/>
                <w:lang w:val="fr-FR"/>
              </w:rPr>
            </w:pPr>
            <w:r w:rsidRPr="00D32F3D">
              <w:rPr>
                <w:sz w:val="17"/>
                <w:szCs w:val="22"/>
                <w:lang w:val="fr-FR"/>
              </w:rPr>
              <w:t>Iwollo/Oghe</w:t>
            </w:r>
          </w:p>
        </w:tc>
        <w:tc>
          <w:tcPr>
            <w:tcW w:w="1220" w:type="dxa"/>
            <w:shd w:val="clear" w:color="auto" w:fill="auto"/>
            <w:vAlign w:val="bottom"/>
          </w:tcPr>
          <w:p w:rsidR="00D32F3D" w:rsidRPr="00D32F3D" w:rsidRDefault="00D32F3D" w:rsidP="00D32F3D">
            <w:pPr>
              <w:pStyle w:val="BodyTextIndent"/>
              <w:tabs>
                <w:tab w:val="left" w:pos="288"/>
                <w:tab w:val="left" w:pos="576"/>
                <w:tab w:val="left" w:pos="864"/>
                <w:tab w:val="left" w:pos="1152"/>
              </w:tabs>
              <w:suppressAutoHyphens/>
              <w:spacing w:before="40" w:after="40" w:line="210" w:lineRule="exact"/>
              <w:ind w:left="0" w:right="43"/>
              <w:jc w:val="right"/>
              <w:rPr>
                <w:sz w:val="17"/>
                <w:szCs w:val="22"/>
                <w:lang w:val="fr-FR"/>
              </w:rPr>
            </w:pPr>
            <w:r w:rsidRPr="00D32F3D">
              <w:rPr>
                <w:sz w:val="17"/>
                <w:szCs w:val="22"/>
                <w:lang w:val="fr-FR"/>
              </w:rPr>
              <w:t>580</w:t>
            </w:r>
          </w:p>
        </w:tc>
        <w:tc>
          <w:tcPr>
            <w:tcW w:w="1220" w:type="dxa"/>
            <w:shd w:val="clear" w:color="auto" w:fill="auto"/>
            <w:vAlign w:val="bottom"/>
          </w:tcPr>
          <w:p w:rsidR="00D32F3D" w:rsidRPr="00D32F3D" w:rsidRDefault="00D32F3D" w:rsidP="00D32F3D">
            <w:pPr>
              <w:pStyle w:val="BodyTextIndent"/>
              <w:tabs>
                <w:tab w:val="left" w:pos="288"/>
                <w:tab w:val="left" w:pos="576"/>
                <w:tab w:val="left" w:pos="864"/>
                <w:tab w:val="left" w:pos="1152"/>
              </w:tabs>
              <w:suppressAutoHyphens/>
              <w:spacing w:before="40" w:after="40" w:line="210" w:lineRule="exact"/>
              <w:ind w:left="0" w:right="43"/>
              <w:jc w:val="right"/>
              <w:rPr>
                <w:sz w:val="17"/>
                <w:szCs w:val="22"/>
                <w:lang w:val="fr-FR"/>
              </w:rPr>
            </w:pPr>
          </w:p>
        </w:tc>
        <w:tc>
          <w:tcPr>
            <w:tcW w:w="1220" w:type="dxa"/>
            <w:shd w:val="clear" w:color="auto" w:fill="auto"/>
            <w:vAlign w:val="bottom"/>
          </w:tcPr>
          <w:p w:rsidR="00D32F3D" w:rsidRPr="00D32F3D" w:rsidRDefault="00D32F3D" w:rsidP="00D32F3D">
            <w:pPr>
              <w:pStyle w:val="BodyTextIndent"/>
              <w:tabs>
                <w:tab w:val="left" w:pos="288"/>
                <w:tab w:val="left" w:pos="576"/>
                <w:tab w:val="left" w:pos="864"/>
                <w:tab w:val="left" w:pos="1152"/>
              </w:tabs>
              <w:suppressAutoHyphens/>
              <w:spacing w:before="40" w:after="40" w:line="210" w:lineRule="exact"/>
              <w:ind w:left="0" w:right="43"/>
              <w:jc w:val="left"/>
              <w:rPr>
                <w:sz w:val="17"/>
                <w:szCs w:val="22"/>
                <w:lang w:val="fr-FR"/>
              </w:rPr>
            </w:pPr>
            <w:r w:rsidRPr="00D32F3D">
              <w:rPr>
                <w:sz w:val="17"/>
                <w:szCs w:val="22"/>
                <w:lang w:val="fr-FR"/>
              </w:rPr>
              <w:t>Akpoga</w:t>
            </w:r>
          </w:p>
        </w:tc>
        <w:tc>
          <w:tcPr>
            <w:tcW w:w="1220" w:type="dxa"/>
            <w:shd w:val="clear" w:color="auto" w:fill="auto"/>
            <w:vAlign w:val="bottom"/>
          </w:tcPr>
          <w:p w:rsidR="00D32F3D" w:rsidRPr="00D32F3D" w:rsidRDefault="00D32F3D" w:rsidP="00D32F3D">
            <w:pPr>
              <w:pStyle w:val="BodyTextIndent"/>
              <w:tabs>
                <w:tab w:val="left" w:pos="288"/>
                <w:tab w:val="left" w:pos="576"/>
                <w:tab w:val="left" w:pos="864"/>
                <w:tab w:val="left" w:pos="1152"/>
              </w:tabs>
              <w:suppressAutoHyphens/>
              <w:spacing w:before="40" w:after="40" w:line="210" w:lineRule="exact"/>
              <w:ind w:left="0" w:right="43"/>
              <w:jc w:val="right"/>
              <w:rPr>
                <w:sz w:val="17"/>
                <w:szCs w:val="22"/>
                <w:lang w:val="fr-FR"/>
              </w:rPr>
            </w:pPr>
            <w:r w:rsidRPr="00D32F3D">
              <w:rPr>
                <w:sz w:val="17"/>
                <w:szCs w:val="22"/>
                <w:lang w:val="fr-FR"/>
              </w:rPr>
              <w:t>76</w:t>
            </w:r>
          </w:p>
        </w:tc>
      </w:tr>
      <w:tr w:rsidR="00D32F3D" w:rsidRPr="00D32F3D">
        <w:tblPrEx>
          <w:tblCellMar>
            <w:top w:w="0" w:type="dxa"/>
            <w:bottom w:w="0" w:type="dxa"/>
          </w:tblCellMar>
        </w:tblPrEx>
        <w:tc>
          <w:tcPr>
            <w:tcW w:w="1220" w:type="dxa"/>
            <w:shd w:val="clear" w:color="auto" w:fill="auto"/>
            <w:vAlign w:val="bottom"/>
          </w:tcPr>
          <w:p w:rsidR="00D32F3D" w:rsidRPr="00D32F3D" w:rsidRDefault="00D32F3D" w:rsidP="00D32F3D">
            <w:pPr>
              <w:pStyle w:val="BodyTextIndent"/>
              <w:tabs>
                <w:tab w:val="left" w:pos="288"/>
                <w:tab w:val="left" w:pos="576"/>
                <w:tab w:val="left" w:pos="864"/>
                <w:tab w:val="left" w:pos="1152"/>
              </w:tabs>
              <w:suppressAutoHyphens/>
              <w:spacing w:before="40" w:after="40" w:line="210" w:lineRule="exact"/>
              <w:ind w:left="0" w:right="43"/>
              <w:rPr>
                <w:sz w:val="17"/>
                <w:szCs w:val="22"/>
                <w:lang w:val="fr-FR"/>
              </w:rPr>
            </w:pPr>
            <w:r w:rsidRPr="00D32F3D">
              <w:rPr>
                <w:sz w:val="17"/>
                <w:szCs w:val="22"/>
                <w:lang w:val="fr-FR"/>
              </w:rPr>
              <w:t>“</w:t>
            </w:r>
          </w:p>
        </w:tc>
        <w:tc>
          <w:tcPr>
            <w:tcW w:w="1220" w:type="dxa"/>
            <w:shd w:val="clear" w:color="auto" w:fill="auto"/>
            <w:vAlign w:val="bottom"/>
          </w:tcPr>
          <w:p w:rsidR="00D32F3D" w:rsidRPr="00D32F3D" w:rsidRDefault="00D32F3D" w:rsidP="00D32F3D">
            <w:pPr>
              <w:pStyle w:val="BodyTextIndent"/>
              <w:tabs>
                <w:tab w:val="left" w:pos="288"/>
                <w:tab w:val="left" w:pos="576"/>
                <w:tab w:val="left" w:pos="864"/>
                <w:tab w:val="left" w:pos="1152"/>
              </w:tabs>
              <w:suppressAutoHyphens/>
              <w:spacing w:before="40" w:after="40" w:line="210" w:lineRule="exact"/>
              <w:ind w:left="0" w:right="43"/>
              <w:jc w:val="left"/>
              <w:rPr>
                <w:sz w:val="17"/>
                <w:szCs w:val="22"/>
                <w:lang w:val="fr-FR"/>
              </w:rPr>
            </w:pPr>
            <w:r w:rsidRPr="00D32F3D">
              <w:rPr>
                <w:sz w:val="17"/>
                <w:szCs w:val="22"/>
                <w:lang w:val="fr-FR"/>
              </w:rPr>
              <w:t>Agbogugu</w:t>
            </w:r>
          </w:p>
        </w:tc>
        <w:tc>
          <w:tcPr>
            <w:tcW w:w="1220" w:type="dxa"/>
            <w:shd w:val="clear" w:color="auto" w:fill="auto"/>
            <w:vAlign w:val="bottom"/>
          </w:tcPr>
          <w:p w:rsidR="00D32F3D" w:rsidRPr="00D32F3D" w:rsidRDefault="00D32F3D" w:rsidP="00D32F3D">
            <w:pPr>
              <w:pStyle w:val="BodyTextIndent"/>
              <w:tabs>
                <w:tab w:val="left" w:pos="288"/>
                <w:tab w:val="left" w:pos="576"/>
                <w:tab w:val="left" w:pos="864"/>
                <w:tab w:val="left" w:pos="1152"/>
              </w:tabs>
              <w:suppressAutoHyphens/>
              <w:spacing w:before="40" w:after="40" w:line="210" w:lineRule="exact"/>
              <w:ind w:left="0" w:right="43"/>
              <w:jc w:val="right"/>
              <w:rPr>
                <w:sz w:val="17"/>
                <w:szCs w:val="22"/>
                <w:lang w:val="fr-FR"/>
              </w:rPr>
            </w:pPr>
            <w:r w:rsidRPr="00D32F3D">
              <w:rPr>
                <w:sz w:val="17"/>
                <w:szCs w:val="22"/>
                <w:lang w:val="fr-FR"/>
              </w:rPr>
              <w:t>585</w:t>
            </w:r>
          </w:p>
        </w:tc>
        <w:tc>
          <w:tcPr>
            <w:tcW w:w="1220" w:type="dxa"/>
            <w:shd w:val="clear" w:color="auto" w:fill="auto"/>
            <w:vAlign w:val="bottom"/>
          </w:tcPr>
          <w:p w:rsidR="00D32F3D" w:rsidRPr="00D32F3D" w:rsidRDefault="00D32F3D" w:rsidP="00D32F3D">
            <w:pPr>
              <w:pStyle w:val="BodyTextIndent"/>
              <w:tabs>
                <w:tab w:val="left" w:pos="288"/>
                <w:tab w:val="left" w:pos="576"/>
                <w:tab w:val="left" w:pos="864"/>
                <w:tab w:val="left" w:pos="1152"/>
              </w:tabs>
              <w:suppressAutoHyphens/>
              <w:spacing w:before="40" w:after="40" w:line="210" w:lineRule="exact"/>
              <w:ind w:left="0" w:right="43"/>
              <w:jc w:val="right"/>
              <w:rPr>
                <w:sz w:val="17"/>
                <w:szCs w:val="22"/>
                <w:lang w:val="fr-FR"/>
              </w:rPr>
            </w:pPr>
          </w:p>
        </w:tc>
        <w:tc>
          <w:tcPr>
            <w:tcW w:w="1220" w:type="dxa"/>
            <w:shd w:val="clear" w:color="auto" w:fill="auto"/>
            <w:vAlign w:val="bottom"/>
          </w:tcPr>
          <w:p w:rsidR="00D32F3D" w:rsidRPr="00D32F3D" w:rsidRDefault="00D32F3D" w:rsidP="00D32F3D">
            <w:pPr>
              <w:pStyle w:val="BodyTextIndent"/>
              <w:tabs>
                <w:tab w:val="left" w:pos="288"/>
                <w:tab w:val="left" w:pos="576"/>
                <w:tab w:val="left" w:pos="864"/>
                <w:tab w:val="left" w:pos="1152"/>
              </w:tabs>
              <w:suppressAutoHyphens/>
              <w:spacing w:before="40" w:after="40" w:line="210" w:lineRule="exact"/>
              <w:ind w:left="0" w:right="43"/>
              <w:jc w:val="left"/>
              <w:rPr>
                <w:sz w:val="17"/>
                <w:szCs w:val="22"/>
                <w:lang w:val="fr-FR"/>
              </w:rPr>
            </w:pPr>
            <w:r w:rsidRPr="00D32F3D">
              <w:rPr>
                <w:sz w:val="17"/>
                <w:szCs w:val="22"/>
                <w:lang w:val="fr-FR"/>
              </w:rPr>
              <w:t>Coal Camp</w:t>
            </w:r>
          </w:p>
        </w:tc>
        <w:tc>
          <w:tcPr>
            <w:tcW w:w="1220" w:type="dxa"/>
            <w:shd w:val="clear" w:color="auto" w:fill="auto"/>
            <w:vAlign w:val="bottom"/>
          </w:tcPr>
          <w:p w:rsidR="00D32F3D" w:rsidRPr="00D32F3D" w:rsidRDefault="00D32F3D" w:rsidP="00D32F3D">
            <w:pPr>
              <w:pStyle w:val="BodyTextIndent"/>
              <w:tabs>
                <w:tab w:val="left" w:pos="288"/>
                <w:tab w:val="left" w:pos="576"/>
                <w:tab w:val="left" w:pos="864"/>
                <w:tab w:val="left" w:pos="1152"/>
              </w:tabs>
              <w:suppressAutoHyphens/>
              <w:spacing w:before="40" w:after="40" w:line="210" w:lineRule="exact"/>
              <w:ind w:left="0" w:right="43"/>
              <w:jc w:val="right"/>
              <w:rPr>
                <w:sz w:val="17"/>
                <w:szCs w:val="22"/>
                <w:lang w:val="fr-FR"/>
              </w:rPr>
            </w:pPr>
            <w:r w:rsidRPr="00D32F3D">
              <w:rPr>
                <w:sz w:val="17"/>
                <w:szCs w:val="22"/>
                <w:lang w:val="fr-FR"/>
              </w:rPr>
              <w:t>104</w:t>
            </w:r>
          </w:p>
        </w:tc>
      </w:tr>
      <w:tr w:rsidR="00D32F3D" w:rsidRPr="00D32F3D">
        <w:tblPrEx>
          <w:tblCellMar>
            <w:top w:w="0" w:type="dxa"/>
            <w:bottom w:w="0" w:type="dxa"/>
          </w:tblCellMar>
        </w:tblPrEx>
        <w:tc>
          <w:tcPr>
            <w:tcW w:w="1220" w:type="dxa"/>
            <w:shd w:val="clear" w:color="auto" w:fill="auto"/>
            <w:vAlign w:val="bottom"/>
          </w:tcPr>
          <w:p w:rsidR="00D32F3D" w:rsidRPr="00D32F3D" w:rsidRDefault="00D32F3D" w:rsidP="00D32F3D">
            <w:pPr>
              <w:pStyle w:val="BodyTextIndent"/>
              <w:tabs>
                <w:tab w:val="left" w:pos="288"/>
                <w:tab w:val="left" w:pos="576"/>
                <w:tab w:val="left" w:pos="864"/>
                <w:tab w:val="left" w:pos="1152"/>
              </w:tabs>
              <w:suppressAutoHyphens/>
              <w:spacing w:before="40" w:after="40" w:line="210" w:lineRule="exact"/>
              <w:ind w:left="0" w:right="43"/>
              <w:rPr>
                <w:sz w:val="17"/>
                <w:szCs w:val="22"/>
                <w:lang w:val="fr-FR"/>
              </w:rPr>
            </w:pPr>
            <w:r w:rsidRPr="00D32F3D">
              <w:rPr>
                <w:sz w:val="17"/>
                <w:szCs w:val="22"/>
                <w:lang w:val="fr-FR"/>
              </w:rPr>
              <w:t>“</w:t>
            </w:r>
          </w:p>
        </w:tc>
        <w:tc>
          <w:tcPr>
            <w:tcW w:w="1220" w:type="dxa"/>
            <w:shd w:val="clear" w:color="auto" w:fill="auto"/>
            <w:vAlign w:val="bottom"/>
          </w:tcPr>
          <w:p w:rsidR="00D32F3D" w:rsidRPr="00D32F3D" w:rsidRDefault="00D32F3D" w:rsidP="00D32F3D">
            <w:pPr>
              <w:pStyle w:val="BodyTextIndent"/>
              <w:tabs>
                <w:tab w:val="left" w:pos="288"/>
                <w:tab w:val="left" w:pos="576"/>
                <w:tab w:val="left" w:pos="864"/>
                <w:tab w:val="left" w:pos="1152"/>
              </w:tabs>
              <w:suppressAutoHyphens/>
              <w:spacing w:before="40" w:after="40" w:line="210" w:lineRule="exact"/>
              <w:ind w:left="0" w:right="43"/>
              <w:jc w:val="left"/>
              <w:rPr>
                <w:sz w:val="17"/>
                <w:szCs w:val="22"/>
                <w:lang w:val="fr-FR"/>
              </w:rPr>
            </w:pPr>
            <w:r w:rsidRPr="00D32F3D">
              <w:rPr>
                <w:sz w:val="17"/>
                <w:szCs w:val="22"/>
                <w:lang w:val="fr-FR"/>
              </w:rPr>
              <w:t>Nachi</w:t>
            </w:r>
          </w:p>
        </w:tc>
        <w:tc>
          <w:tcPr>
            <w:tcW w:w="1220" w:type="dxa"/>
            <w:shd w:val="clear" w:color="auto" w:fill="auto"/>
            <w:vAlign w:val="bottom"/>
          </w:tcPr>
          <w:p w:rsidR="00D32F3D" w:rsidRPr="00D32F3D" w:rsidRDefault="00D32F3D" w:rsidP="00D32F3D">
            <w:pPr>
              <w:pStyle w:val="BodyTextIndent"/>
              <w:tabs>
                <w:tab w:val="left" w:pos="288"/>
                <w:tab w:val="left" w:pos="576"/>
                <w:tab w:val="left" w:pos="864"/>
                <w:tab w:val="left" w:pos="1152"/>
              </w:tabs>
              <w:suppressAutoHyphens/>
              <w:spacing w:before="40" w:after="40" w:line="210" w:lineRule="exact"/>
              <w:ind w:left="0" w:right="43"/>
              <w:jc w:val="right"/>
              <w:rPr>
                <w:sz w:val="17"/>
                <w:szCs w:val="22"/>
                <w:lang w:val="fr-FR"/>
              </w:rPr>
            </w:pPr>
            <w:r w:rsidRPr="00D32F3D">
              <w:rPr>
                <w:sz w:val="17"/>
                <w:szCs w:val="22"/>
                <w:lang w:val="fr-FR"/>
              </w:rPr>
              <w:t>465</w:t>
            </w:r>
          </w:p>
        </w:tc>
        <w:tc>
          <w:tcPr>
            <w:tcW w:w="1220" w:type="dxa"/>
            <w:shd w:val="clear" w:color="auto" w:fill="auto"/>
            <w:vAlign w:val="bottom"/>
          </w:tcPr>
          <w:p w:rsidR="00D32F3D" w:rsidRPr="00D32F3D" w:rsidRDefault="00D32F3D" w:rsidP="00D32F3D">
            <w:pPr>
              <w:pStyle w:val="BodyTextIndent"/>
              <w:tabs>
                <w:tab w:val="left" w:pos="288"/>
                <w:tab w:val="left" w:pos="576"/>
                <w:tab w:val="left" w:pos="864"/>
                <w:tab w:val="left" w:pos="1152"/>
              </w:tabs>
              <w:suppressAutoHyphens/>
              <w:spacing w:before="40" w:after="40" w:line="210" w:lineRule="exact"/>
              <w:ind w:left="0" w:right="43"/>
              <w:jc w:val="right"/>
              <w:rPr>
                <w:sz w:val="17"/>
                <w:szCs w:val="22"/>
                <w:lang w:val="fr-FR"/>
              </w:rPr>
            </w:pPr>
          </w:p>
        </w:tc>
        <w:tc>
          <w:tcPr>
            <w:tcW w:w="1220" w:type="dxa"/>
            <w:shd w:val="clear" w:color="auto" w:fill="auto"/>
            <w:vAlign w:val="bottom"/>
          </w:tcPr>
          <w:p w:rsidR="00D32F3D" w:rsidRPr="00D32F3D" w:rsidRDefault="00D32F3D" w:rsidP="00D32F3D">
            <w:pPr>
              <w:pStyle w:val="BodyTextIndent"/>
              <w:tabs>
                <w:tab w:val="left" w:pos="288"/>
                <w:tab w:val="left" w:pos="576"/>
                <w:tab w:val="left" w:pos="864"/>
                <w:tab w:val="left" w:pos="1152"/>
              </w:tabs>
              <w:suppressAutoHyphens/>
              <w:spacing w:before="40" w:after="40" w:line="210" w:lineRule="exact"/>
              <w:ind w:left="0" w:right="43"/>
              <w:jc w:val="left"/>
              <w:rPr>
                <w:sz w:val="17"/>
                <w:szCs w:val="22"/>
                <w:lang w:val="fr-FR"/>
              </w:rPr>
            </w:pPr>
            <w:r w:rsidRPr="00D32F3D">
              <w:rPr>
                <w:sz w:val="17"/>
                <w:szCs w:val="22"/>
                <w:lang w:val="fr-FR"/>
              </w:rPr>
              <w:t>Ugwogwo Nike</w:t>
            </w:r>
          </w:p>
        </w:tc>
        <w:tc>
          <w:tcPr>
            <w:tcW w:w="1220" w:type="dxa"/>
            <w:shd w:val="clear" w:color="auto" w:fill="auto"/>
            <w:vAlign w:val="bottom"/>
          </w:tcPr>
          <w:p w:rsidR="00D32F3D" w:rsidRPr="00D32F3D" w:rsidRDefault="00D32F3D" w:rsidP="00D32F3D">
            <w:pPr>
              <w:pStyle w:val="BodyTextIndent"/>
              <w:tabs>
                <w:tab w:val="left" w:pos="288"/>
                <w:tab w:val="left" w:pos="576"/>
                <w:tab w:val="left" w:pos="864"/>
                <w:tab w:val="left" w:pos="1152"/>
              </w:tabs>
              <w:suppressAutoHyphens/>
              <w:spacing w:before="40" w:after="40" w:line="210" w:lineRule="exact"/>
              <w:ind w:left="0" w:right="43"/>
              <w:jc w:val="right"/>
              <w:rPr>
                <w:sz w:val="17"/>
                <w:szCs w:val="22"/>
                <w:lang w:val="fr-FR"/>
              </w:rPr>
            </w:pPr>
            <w:r w:rsidRPr="00D32F3D">
              <w:rPr>
                <w:sz w:val="17"/>
                <w:szCs w:val="22"/>
                <w:lang w:val="fr-FR"/>
              </w:rPr>
              <w:t>149</w:t>
            </w:r>
          </w:p>
        </w:tc>
      </w:tr>
      <w:tr w:rsidR="00D32F3D" w:rsidRPr="00D32F3D">
        <w:tblPrEx>
          <w:tblCellMar>
            <w:top w:w="0" w:type="dxa"/>
            <w:bottom w:w="0" w:type="dxa"/>
          </w:tblCellMar>
        </w:tblPrEx>
        <w:tc>
          <w:tcPr>
            <w:tcW w:w="1220" w:type="dxa"/>
            <w:shd w:val="clear" w:color="auto" w:fill="auto"/>
            <w:vAlign w:val="bottom"/>
          </w:tcPr>
          <w:p w:rsidR="00D32F3D" w:rsidRPr="00D32F3D" w:rsidRDefault="00D32F3D" w:rsidP="00D32F3D">
            <w:pPr>
              <w:pStyle w:val="BodyTextIndent"/>
              <w:tabs>
                <w:tab w:val="left" w:pos="288"/>
                <w:tab w:val="left" w:pos="576"/>
                <w:tab w:val="left" w:pos="864"/>
                <w:tab w:val="left" w:pos="1152"/>
              </w:tabs>
              <w:suppressAutoHyphens/>
              <w:spacing w:before="40" w:after="40" w:line="210" w:lineRule="exact"/>
              <w:ind w:left="0" w:right="43"/>
              <w:rPr>
                <w:sz w:val="17"/>
                <w:szCs w:val="22"/>
                <w:lang w:val="fr-FR"/>
              </w:rPr>
            </w:pPr>
            <w:r w:rsidRPr="00D32F3D">
              <w:rPr>
                <w:sz w:val="17"/>
                <w:szCs w:val="22"/>
                <w:lang w:val="fr-FR"/>
              </w:rPr>
              <w:t>“</w:t>
            </w:r>
          </w:p>
        </w:tc>
        <w:tc>
          <w:tcPr>
            <w:tcW w:w="1220" w:type="dxa"/>
            <w:shd w:val="clear" w:color="auto" w:fill="auto"/>
            <w:vAlign w:val="bottom"/>
          </w:tcPr>
          <w:p w:rsidR="00D32F3D" w:rsidRPr="00D32F3D" w:rsidRDefault="00D32F3D" w:rsidP="00D32F3D">
            <w:pPr>
              <w:pStyle w:val="BodyTextIndent"/>
              <w:tabs>
                <w:tab w:val="left" w:pos="288"/>
                <w:tab w:val="left" w:pos="576"/>
                <w:tab w:val="left" w:pos="864"/>
                <w:tab w:val="left" w:pos="1152"/>
              </w:tabs>
              <w:suppressAutoHyphens/>
              <w:spacing w:before="40" w:after="40" w:line="210" w:lineRule="exact"/>
              <w:ind w:left="0" w:right="43"/>
              <w:jc w:val="left"/>
              <w:rPr>
                <w:sz w:val="17"/>
                <w:szCs w:val="22"/>
                <w:lang w:val="fr-FR"/>
              </w:rPr>
            </w:pPr>
            <w:r w:rsidRPr="00D32F3D">
              <w:rPr>
                <w:sz w:val="17"/>
                <w:szCs w:val="22"/>
                <w:lang w:val="fr-FR"/>
              </w:rPr>
              <w:t>Abakpa</w:t>
            </w:r>
          </w:p>
        </w:tc>
        <w:tc>
          <w:tcPr>
            <w:tcW w:w="1220" w:type="dxa"/>
            <w:shd w:val="clear" w:color="auto" w:fill="auto"/>
            <w:vAlign w:val="bottom"/>
          </w:tcPr>
          <w:p w:rsidR="00D32F3D" w:rsidRPr="00D32F3D" w:rsidRDefault="00D32F3D" w:rsidP="00D32F3D">
            <w:pPr>
              <w:pStyle w:val="BodyTextIndent"/>
              <w:tabs>
                <w:tab w:val="left" w:pos="288"/>
                <w:tab w:val="left" w:pos="576"/>
                <w:tab w:val="left" w:pos="864"/>
                <w:tab w:val="left" w:pos="1152"/>
              </w:tabs>
              <w:suppressAutoHyphens/>
              <w:spacing w:before="40" w:after="40" w:line="210" w:lineRule="exact"/>
              <w:ind w:left="0" w:right="43"/>
              <w:jc w:val="right"/>
              <w:rPr>
                <w:sz w:val="17"/>
                <w:szCs w:val="22"/>
                <w:lang w:val="fr-FR"/>
              </w:rPr>
            </w:pPr>
            <w:r w:rsidRPr="00D32F3D">
              <w:rPr>
                <w:sz w:val="17"/>
                <w:szCs w:val="22"/>
                <w:lang w:val="fr-FR"/>
              </w:rPr>
              <w:t>360</w:t>
            </w:r>
          </w:p>
        </w:tc>
        <w:tc>
          <w:tcPr>
            <w:tcW w:w="1220" w:type="dxa"/>
            <w:shd w:val="clear" w:color="auto" w:fill="auto"/>
            <w:vAlign w:val="bottom"/>
          </w:tcPr>
          <w:p w:rsidR="00D32F3D" w:rsidRPr="00D32F3D" w:rsidRDefault="00D32F3D" w:rsidP="00D32F3D">
            <w:pPr>
              <w:pStyle w:val="BodyTextIndent"/>
              <w:tabs>
                <w:tab w:val="left" w:pos="288"/>
                <w:tab w:val="left" w:pos="576"/>
                <w:tab w:val="left" w:pos="864"/>
                <w:tab w:val="left" w:pos="1152"/>
              </w:tabs>
              <w:suppressAutoHyphens/>
              <w:spacing w:before="40" w:after="40" w:line="210" w:lineRule="exact"/>
              <w:ind w:left="0" w:right="43"/>
              <w:jc w:val="right"/>
              <w:rPr>
                <w:sz w:val="17"/>
                <w:szCs w:val="22"/>
                <w:lang w:val="fr-FR"/>
              </w:rPr>
            </w:pPr>
          </w:p>
        </w:tc>
        <w:tc>
          <w:tcPr>
            <w:tcW w:w="1220" w:type="dxa"/>
            <w:shd w:val="clear" w:color="auto" w:fill="auto"/>
            <w:vAlign w:val="bottom"/>
          </w:tcPr>
          <w:p w:rsidR="00D32F3D" w:rsidRPr="00D32F3D" w:rsidRDefault="00D32F3D" w:rsidP="00D32F3D">
            <w:pPr>
              <w:pStyle w:val="BodyTextIndent"/>
              <w:tabs>
                <w:tab w:val="left" w:pos="288"/>
                <w:tab w:val="left" w:pos="576"/>
                <w:tab w:val="left" w:pos="864"/>
                <w:tab w:val="left" w:pos="1152"/>
              </w:tabs>
              <w:suppressAutoHyphens/>
              <w:spacing w:before="40" w:after="40" w:line="210" w:lineRule="exact"/>
              <w:ind w:left="0" w:right="43"/>
              <w:jc w:val="left"/>
              <w:rPr>
                <w:sz w:val="17"/>
                <w:szCs w:val="22"/>
                <w:lang w:val="fr-FR"/>
              </w:rPr>
            </w:pPr>
            <w:r w:rsidRPr="00D32F3D">
              <w:rPr>
                <w:sz w:val="17"/>
                <w:szCs w:val="22"/>
                <w:lang w:val="fr-FR"/>
              </w:rPr>
              <w:t>Jos</w:t>
            </w:r>
          </w:p>
        </w:tc>
        <w:tc>
          <w:tcPr>
            <w:tcW w:w="1220" w:type="dxa"/>
            <w:shd w:val="clear" w:color="auto" w:fill="auto"/>
            <w:vAlign w:val="bottom"/>
          </w:tcPr>
          <w:p w:rsidR="00D32F3D" w:rsidRPr="00D32F3D" w:rsidRDefault="00D32F3D" w:rsidP="00D32F3D">
            <w:pPr>
              <w:pStyle w:val="BodyTextIndent"/>
              <w:tabs>
                <w:tab w:val="left" w:pos="288"/>
                <w:tab w:val="left" w:pos="576"/>
                <w:tab w:val="left" w:pos="864"/>
                <w:tab w:val="left" w:pos="1152"/>
              </w:tabs>
              <w:suppressAutoHyphens/>
              <w:spacing w:before="40" w:after="40" w:line="210" w:lineRule="exact"/>
              <w:ind w:left="0" w:right="43"/>
              <w:jc w:val="right"/>
              <w:rPr>
                <w:sz w:val="17"/>
                <w:szCs w:val="22"/>
                <w:lang w:val="fr-FR"/>
              </w:rPr>
            </w:pPr>
            <w:r w:rsidRPr="00D32F3D">
              <w:rPr>
                <w:sz w:val="17"/>
                <w:szCs w:val="22"/>
                <w:lang w:val="fr-FR"/>
              </w:rPr>
              <w:t>2 000</w:t>
            </w:r>
          </w:p>
        </w:tc>
      </w:tr>
      <w:tr w:rsidR="00D32F3D" w:rsidRPr="00D32F3D">
        <w:tblPrEx>
          <w:tblCellMar>
            <w:top w:w="0" w:type="dxa"/>
            <w:bottom w:w="0" w:type="dxa"/>
          </w:tblCellMar>
        </w:tblPrEx>
        <w:tc>
          <w:tcPr>
            <w:tcW w:w="1220" w:type="dxa"/>
            <w:tcBorders>
              <w:bottom w:val="single" w:sz="12" w:space="0" w:color="auto"/>
            </w:tcBorders>
            <w:shd w:val="clear" w:color="auto" w:fill="auto"/>
            <w:vAlign w:val="bottom"/>
          </w:tcPr>
          <w:p w:rsidR="00D32F3D" w:rsidRPr="00D32F3D" w:rsidRDefault="00D32F3D" w:rsidP="00D32F3D">
            <w:pPr>
              <w:tabs>
                <w:tab w:val="left" w:pos="288"/>
                <w:tab w:val="left" w:pos="576"/>
                <w:tab w:val="left" w:pos="864"/>
                <w:tab w:val="left" w:pos="1152"/>
              </w:tabs>
              <w:suppressAutoHyphens/>
              <w:spacing w:before="40" w:after="40" w:line="210" w:lineRule="exact"/>
              <w:ind w:right="43"/>
              <w:rPr>
                <w:sz w:val="17"/>
                <w:lang w:val="fr-FR"/>
              </w:rPr>
            </w:pPr>
          </w:p>
        </w:tc>
        <w:tc>
          <w:tcPr>
            <w:tcW w:w="1220" w:type="dxa"/>
            <w:tcBorders>
              <w:bottom w:val="single" w:sz="12" w:space="0" w:color="auto"/>
            </w:tcBorders>
            <w:shd w:val="clear" w:color="auto" w:fill="auto"/>
            <w:vAlign w:val="bottom"/>
          </w:tcPr>
          <w:p w:rsidR="00D32F3D" w:rsidRPr="00D32F3D" w:rsidRDefault="00D32F3D" w:rsidP="00D32F3D">
            <w:pPr>
              <w:tabs>
                <w:tab w:val="left" w:pos="288"/>
                <w:tab w:val="left" w:pos="576"/>
                <w:tab w:val="left" w:pos="864"/>
                <w:tab w:val="left" w:pos="1152"/>
              </w:tabs>
              <w:suppressAutoHyphens/>
              <w:spacing w:before="40" w:after="40" w:line="210" w:lineRule="exact"/>
              <w:ind w:right="43"/>
              <w:rPr>
                <w:sz w:val="17"/>
                <w:lang w:val="fr-FR"/>
              </w:rPr>
            </w:pPr>
            <w:r w:rsidRPr="00D32F3D">
              <w:rPr>
                <w:sz w:val="17"/>
                <w:lang w:val="fr-FR"/>
              </w:rPr>
              <w:t>Idoho</w:t>
            </w:r>
          </w:p>
        </w:tc>
        <w:tc>
          <w:tcPr>
            <w:tcW w:w="1220" w:type="dxa"/>
            <w:tcBorders>
              <w:bottom w:val="single" w:sz="12" w:space="0" w:color="auto"/>
            </w:tcBorders>
            <w:shd w:val="clear" w:color="auto" w:fill="auto"/>
            <w:vAlign w:val="bottom"/>
          </w:tcPr>
          <w:p w:rsidR="00D32F3D" w:rsidRPr="00D32F3D" w:rsidRDefault="00D32F3D" w:rsidP="00D32F3D">
            <w:pPr>
              <w:tabs>
                <w:tab w:val="left" w:pos="288"/>
                <w:tab w:val="left" w:pos="576"/>
                <w:tab w:val="left" w:pos="864"/>
                <w:tab w:val="left" w:pos="1152"/>
              </w:tabs>
              <w:suppressAutoHyphens/>
              <w:spacing w:before="40" w:after="40" w:line="210" w:lineRule="exact"/>
              <w:ind w:right="43"/>
              <w:jc w:val="right"/>
              <w:rPr>
                <w:sz w:val="17"/>
                <w:lang w:val="fr-FR"/>
              </w:rPr>
            </w:pPr>
            <w:r w:rsidRPr="00D32F3D">
              <w:rPr>
                <w:sz w:val="17"/>
                <w:lang w:val="fr-FR"/>
              </w:rPr>
              <w:t>360</w:t>
            </w:r>
          </w:p>
        </w:tc>
        <w:tc>
          <w:tcPr>
            <w:tcW w:w="2440" w:type="dxa"/>
            <w:gridSpan w:val="2"/>
            <w:tcBorders>
              <w:bottom w:val="single" w:sz="12" w:space="0" w:color="auto"/>
            </w:tcBorders>
            <w:shd w:val="clear" w:color="auto" w:fill="auto"/>
            <w:vAlign w:val="bottom"/>
          </w:tcPr>
          <w:p w:rsidR="00D32F3D" w:rsidRPr="00D32F3D" w:rsidRDefault="00D32F3D" w:rsidP="00D32F3D">
            <w:pPr>
              <w:tabs>
                <w:tab w:val="left" w:pos="288"/>
                <w:tab w:val="left" w:pos="576"/>
                <w:tab w:val="left" w:pos="864"/>
                <w:tab w:val="left" w:pos="1152"/>
              </w:tabs>
              <w:suppressAutoHyphens/>
              <w:spacing w:before="40" w:after="40" w:line="210" w:lineRule="exact"/>
              <w:ind w:right="43"/>
              <w:jc w:val="center"/>
              <w:rPr>
                <w:b/>
                <w:sz w:val="17"/>
                <w:lang w:val="fr-FR"/>
              </w:rPr>
            </w:pPr>
            <w:r w:rsidRPr="00D32F3D">
              <w:rPr>
                <w:b/>
                <w:sz w:val="17"/>
                <w:lang w:val="fr-FR"/>
              </w:rPr>
              <w:t>Grand Total</w:t>
            </w:r>
          </w:p>
        </w:tc>
        <w:tc>
          <w:tcPr>
            <w:tcW w:w="1220" w:type="dxa"/>
            <w:tcBorders>
              <w:bottom w:val="single" w:sz="12" w:space="0" w:color="auto"/>
            </w:tcBorders>
            <w:shd w:val="clear" w:color="auto" w:fill="auto"/>
            <w:vAlign w:val="bottom"/>
          </w:tcPr>
          <w:p w:rsidR="00D32F3D" w:rsidRPr="00D32F3D" w:rsidRDefault="00D32F3D" w:rsidP="00D32F3D">
            <w:pPr>
              <w:tabs>
                <w:tab w:val="left" w:pos="288"/>
                <w:tab w:val="left" w:pos="576"/>
                <w:tab w:val="left" w:pos="864"/>
                <w:tab w:val="left" w:pos="1152"/>
              </w:tabs>
              <w:suppressAutoHyphens/>
              <w:spacing w:before="40" w:after="40" w:line="210" w:lineRule="exact"/>
              <w:ind w:right="43"/>
              <w:jc w:val="right"/>
              <w:rPr>
                <w:b/>
                <w:sz w:val="17"/>
                <w:lang w:val="fr-FR"/>
              </w:rPr>
            </w:pPr>
            <w:r w:rsidRPr="00D32F3D">
              <w:rPr>
                <w:b/>
                <w:sz w:val="17"/>
                <w:lang w:val="fr-FR"/>
              </w:rPr>
              <w:t>7 240</w:t>
            </w:r>
          </w:p>
        </w:tc>
      </w:tr>
    </w:tbl>
    <w:p w:rsidR="0011032F" w:rsidRPr="0011032F" w:rsidRDefault="0011032F" w:rsidP="0011032F">
      <w:pPr>
        <w:pStyle w:val="SingleTxt"/>
        <w:jc w:val="left"/>
        <w:rPr>
          <w:lang w:val="fr-FR"/>
        </w:rPr>
      </w:pPr>
    </w:p>
    <w:p w:rsidR="00E15507" w:rsidRPr="005D6CD4" w:rsidRDefault="00E15507" w:rsidP="00D32F3D">
      <w:pPr>
        <w:pStyle w:val="SingleTxt"/>
        <w:rPr>
          <w:lang w:val="fr-FR"/>
        </w:rPr>
      </w:pPr>
      <w:r w:rsidRPr="005D6CD4">
        <w:rPr>
          <w:lang w:val="fr-FR"/>
        </w:rPr>
        <w:t xml:space="preserve">14.2.2 </w:t>
      </w:r>
      <w:r w:rsidR="00D32F3D">
        <w:rPr>
          <w:lang w:val="fr-FR"/>
        </w:rPr>
        <w:t xml:space="preserve"> </w:t>
      </w:r>
      <w:r w:rsidRPr="005D6CD4">
        <w:rPr>
          <w:rFonts w:ascii="TimesNewRoman" w:hAnsi="TimesNewRoman"/>
          <w:lang w:val="fr-FR"/>
        </w:rPr>
        <w:t>É</w:t>
      </w:r>
      <w:r w:rsidRPr="005D6CD4">
        <w:rPr>
          <w:lang w:val="fr-FR"/>
        </w:rPr>
        <w:t>ducation</w:t>
      </w:r>
    </w:p>
    <w:p w:rsidR="00E15507" w:rsidRPr="005D6CD4" w:rsidRDefault="00D32F3D" w:rsidP="00AC2642">
      <w:pPr>
        <w:pStyle w:val="SingleTxt"/>
        <w:rPr>
          <w:lang w:val="fr-FR"/>
        </w:rPr>
      </w:pPr>
      <w:r>
        <w:rPr>
          <w:lang w:val="fr-FR"/>
        </w:rPr>
        <w:tab/>
      </w:r>
      <w:r w:rsidR="00E15507" w:rsidRPr="005D6CD4">
        <w:rPr>
          <w:lang w:val="fr-FR"/>
        </w:rPr>
        <w:t xml:space="preserve">Dans le cadre de la composante auto-assistance du deuxième </w:t>
      </w:r>
      <w:r w:rsidR="00E15507">
        <w:rPr>
          <w:lang w:val="fr-FR"/>
        </w:rPr>
        <w:t>projet d</w:t>
      </w:r>
      <w:r w:rsidR="000A3D87">
        <w:rPr>
          <w:lang w:val="fr-FR"/>
        </w:rPr>
        <w:t>’</w:t>
      </w:r>
      <w:r w:rsidR="00E15507">
        <w:rPr>
          <w:lang w:val="fr-FR"/>
        </w:rPr>
        <w:t>enseignement p</w:t>
      </w:r>
      <w:r w:rsidR="00E15507" w:rsidRPr="005D6CD4">
        <w:rPr>
          <w:lang w:val="fr-FR"/>
        </w:rPr>
        <w:t>rimaire (</w:t>
      </w:r>
      <w:r w:rsidR="00E15507">
        <w:rPr>
          <w:lang w:val="fr-FR"/>
        </w:rPr>
        <w:t>ministère</w:t>
      </w:r>
      <w:r w:rsidR="00E15507" w:rsidRPr="005D6CD4">
        <w:rPr>
          <w:lang w:val="fr-FR"/>
        </w:rPr>
        <w:t xml:space="preserve"> de l</w:t>
      </w:r>
      <w:r w:rsidR="000A3D87">
        <w:rPr>
          <w:lang w:val="fr-FR"/>
        </w:rPr>
        <w:t>’</w:t>
      </w:r>
      <w:r w:rsidR="00E15507">
        <w:rPr>
          <w:lang w:val="fr-FR"/>
        </w:rPr>
        <w:t>É</w:t>
      </w:r>
      <w:r w:rsidR="00E15507" w:rsidRPr="005D6CD4">
        <w:rPr>
          <w:lang w:val="fr-FR"/>
        </w:rPr>
        <w:t xml:space="preserve">ducation, 2005) </w:t>
      </w:r>
      <w:r w:rsidR="00E15507">
        <w:rPr>
          <w:lang w:val="fr-FR"/>
        </w:rPr>
        <w:t>financé</w:t>
      </w:r>
      <w:r w:rsidR="00E15507" w:rsidRPr="005D6CD4">
        <w:rPr>
          <w:lang w:val="fr-FR"/>
        </w:rPr>
        <w:t xml:space="preserve"> par la Banque mondiale, 4</w:t>
      </w:r>
      <w:r w:rsidR="00E15507">
        <w:rPr>
          <w:lang w:val="fr-FR"/>
        </w:rPr>
        <w:t> </w:t>
      </w:r>
      <w:r w:rsidR="00E15507" w:rsidRPr="005D6CD4">
        <w:rPr>
          <w:lang w:val="fr-FR"/>
        </w:rPr>
        <w:t>525 co</w:t>
      </w:r>
      <w:r w:rsidR="00E15507">
        <w:rPr>
          <w:lang w:val="fr-FR"/>
        </w:rPr>
        <w:t xml:space="preserve">llectivités </w:t>
      </w:r>
      <w:r w:rsidR="00E15507" w:rsidRPr="005D6CD4">
        <w:rPr>
          <w:lang w:val="fr-FR"/>
        </w:rPr>
        <w:t>défavorisées du point de vue de l</w:t>
      </w:r>
      <w:r w:rsidR="000A3D87">
        <w:rPr>
          <w:lang w:val="fr-FR"/>
        </w:rPr>
        <w:t>’</w:t>
      </w:r>
      <w:r w:rsidR="00E15507" w:rsidRPr="005D6CD4">
        <w:rPr>
          <w:lang w:val="fr-FR"/>
        </w:rPr>
        <w:t>éducation réparties dans dix États de la</w:t>
      </w:r>
      <w:r w:rsidR="00E15507">
        <w:rPr>
          <w:lang w:val="fr-FR"/>
        </w:rPr>
        <w:t xml:space="preserve"> </w:t>
      </w:r>
      <w:r w:rsidR="00E15507" w:rsidRPr="005D6CD4">
        <w:rPr>
          <w:lang w:val="fr-FR"/>
        </w:rPr>
        <w:t xml:space="preserve">Fédération ont bénéficié de programmes de formation au niveau </w:t>
      </w:r>
      <w:r w:rsidR="00E15507">
        <w:rPr>
          <w:lang w:val="fr-FR"/>
        </w:rPr>
        <w:t>local</w:t>
      </w:r>
      <w:r w:rsidR="00E15507" w:rsidRPr="005D6CD4">
        <w:rPr>
          <w:lang w:val="fr-FR"/>
        </w:rPr>
        <w:t xml:space="preserve">. </w:t>
      </w:r>
    </w:p>
    <w:p w:rsidR="00E15507" w:rsidRDefault="00E15507" w:rsidP="009546E1">
      <w:pPr>
        <w:pStyle w:val="SingleTxt"/>
        <w:numPr>
          <w:ilvl w:val="0"/>
          <w:numId w:val="40"/>
        </w:numPr>
        <w:tabs>
          <w:tab w:val="clear" w:pos="1987"/>
        </w:tabs>
        <w:ind w:left="1710" w:hanging="450"/>
        <w:rPr>
          <w:lang w:val="fr-FR"/>
        </w:rPr>
      </w:pPr>
      <w:r w:rsidRPr="005D6CD4">
        <w:rPr>
          <w:lang w:val="fr-FR"/>
        </w:rPr>
        <w:t>Dans le cadre de la politique nationale de l</w:t>
      </w:r>
      <w:r w:rsidR="000A3D87">
        <w:rPr>
          <w:lang w:val="fr-FR"/>
        </w:rPr>
        <w:t>’</w:t>
      </w:r>
      <w:r w:rsidRPr="005D6CD4">
        <w:rPr>
          <w:lang w:val="fr-FR"/>
        </w:rPr>
        <w:t>éducation de 2004, il y a des services d</w:t>
      </w:r>
      <w:r w:rsidR="000A3D87">
        <w:rPr>
          <w:lang w:val="fr-FR"/>
        </w:rPr>
        <w:t>’</w:t>
      </w:r>
      <w:r w:rsidRPr="005D6CD4">
        <w:rPr>
          <w:lang w:val="fr-FR"/>
        </w:rPr>
        <w:t>appui pour l</w:t>
      </w:r>
      <w:r w:rsidR="000A3D87">
        <w:rPr>
          <w:lang w:val="fr-FR"/>
        </w:rPr>
        <w:t>’</w:t>
      </w:r>
      <w:r w:rsidRPr="005D6CD4">
        <w:rPr>
          <w:lang w:val="fr-FR"/>
        </w:rPr>
        <w:t>éducation non formelle et des adultes, et notamment la conception des programmes, des bibliothèques mobiles et rurales, des centres de visionnage de la télévision et d</w:t>
      </w:r>
      <w:r w:rsidR="000A3D87">
        <w:rPr>
          <w:lang w:val="fr-FR"/>
        </w:rPr>
        <w:t>’</w:t>
      </w:r>
      <w:r w:rsidRPr="005D6CD4">
        <w:rPr>
          <w:lang w:val="fr-FR"/>
        </w:rPr>
        <w:t>écoute de la radio et des matériels d</w:t>
      </w:r>
      <w:r w:rsidR="000A3D87">
        <w:rPr>
          <w:lang w:val="fr-FR"/>
        </w:rPr>
        <w:t>’</w:t>
      </w:r>
      <w:r w:rsidRPr="005D6CD4">
        <w:rPr>
          <w:lang w:val="fr-FR"/>
        </w:rPr>
        <w:t>enseignement et d</w:t>
      </w:r>
      <w:r w:rsidR="000A3D87">
        <w:rPr>
          <w:lang w:val="fr-FR"/>
        </w:rPr>
        <w:t>’</w:t>
      </w:r>
      <w:r w:rsidRPr="005D6CD4">
        <w:rPr>
          <w:lang w:val="fr-FR"/>
        </w:rPr>
        <w:t xml:space="preserve">apprentissage par visualisation. </w:t>
      </w:r>
    </w:p>
    <w:p w:rsidR="00D32F3D" w:rsidRPr="005D6CD4" w:rsidRDefault="00D32F3D" w:rsidP="00D32F3D">
      <w:pPr>
        <w:pStyle w:val="SingleTxt"/>
        <w:rPr>
          <w:lang w:val="fr-FR"/>
        </w:rPr>
      </w:pPr>
    </w:p>
    <w:p w:rsidR="00E15507" w:rsidRPr="005D6CD4" w:rsidRDefault="00E15507" w:rsidP="00AC2642">
      <w:pPr>
        <w:pStyle w:val="SingleTxt"/>
        <w:rPr>
          <w:lang w:val="fr-FR"/>
        </w:rPr>
      </w:pPr>
      <w:r w:rsidRPr="005D6CD4">
        <w:rPr>
          <w:b/>
          <w:lang w:val="fr-FR"/>
        </w:rPr>
        <w:t>14.2.3</w:t>
      </w:r>
      <w:r w:rsidRPr="005D6CD4">
        <w:rPr>
          <w:b/>
          <w:lang w:val="fr-FR"/>
        </w:rPr>
        <w:tab/>
        <w:t>Agriculture</w:t>
      </w:r>
      <w:r>
        <w:rPr>
          <w:lang w:val="fr-FR"/>
        </w:rPr>
        <w:t xml:space="preserve"> </w:t>
      </w:r>
      <w:r w:rsidRPr="005D6CD4">
        <w:rPr>
          <w:lang w:val="fr-FR"/>
        </w:rPr>
        <w:t xml:space="preserve"> </w:t>
      </w:r>
    </w:p>
    <w:p w:rsidR="00E15507" w:rsidRPr="005D6CD4" w:rsidRDefault="00E15507" w:rsidP="009546E1">
      <w:pPr>
        <w:pStyle w:val="SingleTxt"/>
        <w:numPr>
          <w:ilvl w:val="0"/>
          <w:numId w:val="40"/>
        </w:numPr>
        <w:tabs>
          <w:tab w:val="clear" w:pos="1987"/>
        </w:tabs>
        <w:ind w:left="1710" w:hanging="450"/>
        <w:rPr>
          <w:lang w:val="fr-FR"/>
        </w:rPr>
      </w:pPr>
      <w:r w:rsidRPr="005D6CD4">
        <w:rPr>
          <w:lang w:val="fr-FR"/>
        </w:rPr>
        <w:t xml:space="preserve">En 2005, le </w:t>
      </w:r>
      <w:r>
        <w:rPr>
          <w:lang w:val="fr-FR"/>
        </w:rPr>
        <w:t>G</w:t>
      </w:r>
      <w:r w:rsidRPr="005D6CD4">
        <w:rPr>
          <w:lang w:val="fr-FR"/>
        </w:rPr>
        <w:t>ouvernement fédéral</w:t>
      </w:r>
      <w:r>
        <w:rPr>
          <w:lang w:val="fr-FR"/>
        </w:rPr>
        <w:t xml:space="preserve"> et</w:t>
      </w:r>
      <w:r w:rsidRPr="005D6CD4">
        <w:rPr>
          <w:lang w:val="fr-FR"/>
        </w:rPr>
        <w:t xml:space="preserve"> l</w:t>
      </w:r>
      <w:r>
        <w:rPr>
          <w:lang w:val="fr-FR"/>
        </w:rPr>
        <w:t xml:space="preserve">e ministère de la Condition de la femme des États </w:t>
      </w:r>
      <w:r w:rsidRPr="005D6CD4">
        <w:rPr>
          <w:lang w:val="fr-FR"/>
        </w:rPr>
        <w:t>d</w:t>
      </w:r>
      <w:r w:rsidR="000A3D87">
        <w:rPr>
          <w:lang w:val="fr-FR"/>
        </w:rPr>
        <w:t>’</w:t>
      </w:r>
      <w:r w:rsidRPr="005D6CD4">
        <w:rPr>
          <w:lang w:val="fr-FR"/>
        </w:rPr>
        <w:t>Akwa Ibom et d</w:t>
      </w:r>
      <w:r w:rsidR="000A3D87">
        <w:rPr>
          <w:lang w:val="fr-FR"/>
        </w:rPr>
        <w:t>’</w:t>
      </w:r>
      <w:r w:rsidRPr="005D6CD4">
        <w:rPr>
          <w:lang w:val="fr-FR"/>
        </w:rPr>
        <w:t xml:space="preserve">Abia </w:t>
      </w:r>
      <w:r>
        <w:rPr>
          <w:lang w:val="fr-FR"/>
        </w:rPr>
        <w:t>ont</w:t>
      </w:r>
      <w:r w:rsidRPr="005D6CD4">
        <w:rPr>
          <w:lang w:val="fr-FR"/>
        </w:rPr>
        <w:t xml:space="preserve"> lancé</w:t>
      </w:r>
      <w:r>
        <w:rPr>
          <w:lang w:val="fr-FR"/>
        </w:rPr>
        <w:t>,</w:t>
      </w:r>
      <w:r w:rsidRPr="005D6CD4">
        <w:rPr>
          <w:lang w:val="fr-FR"/>
        </w:rPr>
        <w:t xml:space="preserve"> en collaboration avec l</w:t>
      </w:r>
      <w:r w:rsidR="000A3D87">
        <w:rPr>
          <w:lang w:val="fr-FR"/>
        </w:rPr>
        <w:t>’</w:t>
      </w:r>
      <w:r w:rsidRPr="005D6CD4">
        <w:rPr>
          <w:lang w:val="fr-FR"/>
        </w:rPr>
        <w:t>Institut international d</w:t>
      </w:r>
      <w:r w:rsidR="000A3D87">
        <w:rPr>
          <w:lang w:val="fr-FR"/>
        </w:rPr>
        <w:t>’</w:t>
      </w:r>
      <w:r w:rsidRPr="005D6CD4">
        <w:rPr>
          <w:lang w:val="fr-FR"/>
        </w:rPr>
        <w:t xml:space="preserve">agriculture tropicale </w:t>
      </w:r>
      <w:r w:rsidRPr="009310C7">
        <w:rPr>
          <w:lang w:val="fr-FR"/>
        </w:rPr>
        <w:t>(IITA)</w:t>
      </w:r>
      <w:r>
        <w:rPr>
          <w:lang w:val="fr-FR"/>
        </w:rPr>
        <w:t>,</w:t>
      </w:r>
      <w:r w:rsidRPr="005D6CD4">
        <w:rPr>
          <w:lang w:val="fr-FR"/>
        </w:rPr>
        <w:t xml:space="preserve"> diverses initiatives visant à maximiser la production par les ruraux, en particulier les femmes. Un projet similaire dénommé </w:t>
      </w:r>
      <w:r w:rsidRPr="005D6CD4">
        <w:rPr>
          <w:i/>
          <w:lang w:val="fr-FR"/>
        </w:rPr>
        <w:t>Cassava Revolution</w:t>
      </w:r>
      <w:r w:rsidRPr="005D6CD4">
        <w:rPr>
          <w:lang w:val="fr-FR"/>
        </w:rPr>
        <w:t xml:space="preserve"> existe dans l</w:t>
      </w:r>
      <w:r w:rsidR="000A3D87">
        <w:rPr>
          <w:lang w:val="fr-FR"/>
        </w:rPr>
        <w:t>’</w:t>
      </w:r>
      <w:r w:rsidRPr="005D6CD4">
        <w:rPr>
          <w:lang w:val="fr-FR"/>
        </w:rPr>
        <w:t>État d</w:t>
      </w:r>
      <w:r w:rsidR="000A3D87">
        <w:rPr>
          <w:lang w:val="fr-FR"/>
        </w:rPr>
        <w:t>’</w:t>
      </w:r>
      <w:r w:rsidRPr="005D6CD4">
        <w:rPr>
          <w:lang w:val="fr-FR"/>
        </w:rPr>
        <w:t>Ogun.</w:t>
      </w:r>
    </w:p>
    <w:p w:rsidR="00E15507" w:rsidRPr="005D6CD4" w:rsidRDefault="00E15507" w:rsidP="009546E1">
      <w:pPr>
        <w:pStyle w:val="SingleTxt"/>
        <w:numPr>
          <w:ilvl w:val="0"/>
          <w:numId w:val="40"/>
        </w:numPr>
        <w:tabs>
          <w:tab w:val="clear" w:pos="1987"/>
        </w:tabs>
        <w:ind w:left="1710" w:hanging="450"/>
        <w:rPr>
          <w:lang w:val="fr-FR"/>
        </w:rPr>
      </w:pPr>
      <w:r>
        <w:rPr>
          <w:lang w:val="fr-FR"/>
        </w:rPr>
        <w:t>L</w:t>
      </w:r>
      <w:r w:rsidR="000A3D87">
        <w:rPr>
          <w:lang w:val="fr-FR"/>
        </w:rPr>
        <w:t>’</w:t>
      </w:r>
      <w:r w:rsidRPr="005D6CD4">
        <w:rPr>
          <w:lang w:val="fr-FR"/>
        </w:rPr>
        <w:t xml:space="preserve">agriculture, </w:t>
      </w:r>
      <w:r>
        <w:rPr>
          <w:lang w:val="fr-FR"/>
        </w:rPr>
        <w:t xml:space="preserve">les </w:t>
      </w:r>
      <w:r w:rsidRPr="005D6CD4">
        <w:rPr>
          <w:lang w:val="fr-FR"/>
        </w:rPr>
        <w:t xml:space="preserve">activités connexes et la pêche </w:t>
      </w:r>
      <w:r>
        <w:rPr>
          <w:lang w:val="fr-FR"/>
        </w:rPr>
        <w:t>bénéficient d</w:t>
      </w:r>
      <w:r w:rsidR="000A3D87">
        <w:rPr>
          <w:lang w:val="fr-FR"/>
        </w:rPr>
        <w:t>’</w:t>
      </w:r>
      <w:r>
        <w:rPr>
          <w:lang w:val="fr-FR"/>
        </w:rPr>
        <w:t xml:space="preserve">un financement accru </w:t>
      </w:r>
      <w:r w:rsidRPr="005D6CD4">
        <w:rPr>
          <w:lang w:val="fr-FR"/>
        </w:rPr>
        <w:t>dans le cadre du Fonds de garantie du crédit agricole</w:t>
      </w:r>
      <w:r>
        <w:rPr>
          <w:lang w:val="fr-FR"/>
        </w:rPr>
        <w:t>, c</w:t>
      </w:r>
      <w:r w:rsidRPr="005D6CD4">
        <w:rPr>
          <w:lang w:val="fr-FR"/>
        </w:rPr>
        <w:t xml:space="preserve">oordonné par </w:t>
      </w:r>
      <w:r>
        <w:rPr>
          <w:lang w:val="fr-FR"/>
        </w:rPr>
        <w:t>le Programme national d</w:t>
      </w:r>
      <w:r w:rsidR="000A3D87">
        <w:rPr>
          <w:lang w:val="fr-FR"/>
        </w:rPr>
        <w:t>’</w:t>
      </w:r>
      <w:r>
        <w:rPr>
          <w:lang w:val="fr-FR"/>
        </w:rPr>
        <w:t xml:space="preserve">éradication de la pauvreté et </w:t>
      </w:r>
      <w:r w:rsidRPr="005D6CD4">
        <w:rPr>
          <w:lang w:val="fr-FR"/>
        </w:rPr>
        <w:t>de nombreuses banques participantes.</w:t>
      </w:r>
    </w:p>
    <w:p w:rsidR="00E15507" w:rsidRPr="005D6CD4" w:rsidRDefault="00E15507" w:rsidP="009546E1">
      <w:pPr>
        <w:pStyle w:val="SingleTxt"/>
        <w:numPr>
          <w:ilvl w:val="0"/>
          <w:numId w:val="40"/>
        </w:numPr>
        <w:tabs>
          <w:tab w:val="clear" w:pos="1987"/>
        </w:tabs>
        <w:ind w:left="1710" w:hanging="450"/>
        <w:rPr>
          <w:lang w:val="fr-FR"/>
        </w:rPr>
      </w:pPr>
      <w:r w:rsidRPr="005D6CD4">
        <w:rPr>
          <w:lang w:val="fr-FR"/>
        </w:rPr>
        <w:t xml:space="preserve">En 2004/2005, le </w:t>
      </w:r>
      <w:r>
        <w:rPr>
          <w:lang w:val="fr-FR"/>
        </w:rPr>
        <w:t>G</w:t>
      </w:r>
      <w:r w:rsidRPr="005D6CD4">
        <w:rPr>
          <w:lang w:val="fr-FR"/>
        </w:rPr>
        <w:t>ouvernement de l</w:t>
      </w:r>
      <w:r w:rsidR="000A3D87">
        <w:rPr>
          <w:lang w:val="fr-FR"/>
        </w:rPr>
        <w:t>’</w:t>
      </w:r>
      <w:r w:rsidRPr="005D6CD4">
        <w:rPr>
          <w:lang w:val="fr-FR"/>
        </w:rPr>
        <w:t>État de Bornou a donné deux moulins à maïs à chacune de ses 27 collectivités locales</w:t>
      </w:r>
      <w:r w:rsidRPr="005D6CD4">
        <w:rPr>
          <w:i/>
          <w:lang w:val="fr-FR"/>
        </w:rPr>
        <w:t xml:space="preserve"> </w:t>
      </w:r>
      <w:r w:rsidRPr="005D6CD4">
        <w:rPr>
          <w:lang w:val="fr-FR"/>
        </w:rPr>
        <w:t>et vingt décortiqueuses de riz à 10 communautés productrices de cette denrée dans cet État.</w:t>
      </w:r>
    </w:p>
    <w:p w:rsidR="00E15507" w:rsidRPr="005D6CD4" w:rsidRDefault="00E15507" w:rsidP="009546E1">
      <w:pPr>
        <w:pStyle w:val="SingleTxt"/>
        <w:numPr>
          <w:ilvl w:val="0"/>
          <w:numId w:val="40"/>
        </w:numPr>
        <w:tabs>
          <w:tab w:val="clear" w:pos="1987"/>
        </w:tabs>
        <w:ind w:left="1710" w:hanging="450"/>
        <w:rPr>
          <w:lang w:val="fr-FR"/>
        </w:rPr>
      </w:pPr>
      <w:r w:rsidRPr="005D6CD4">
        <w:rPr>
          <w:lang w:val="fr-FR"/>
        </w:rPr>
        <w:t>Il y a eu une faible participation des femmes dans le cadre de la 1</w:t>
      </w:r>
      <w:r w:rsidRPr="005D6CD4">
        <w:rPr>
          <w:vertAlign w:val="superscript"/>
          <w:lang w:val="fr-FR"/>
        </w:rPr>
        <w:t xml:space="preserve">ère </w:t>
      </w:r>
      <w:r w:rsidRPr="005D6CD4">
        <w:rPr>
          <w:lang w:val="fr-FR"/>
        </w:rPr>
        <w:t xml:space="preserve">phase du projet </w:t>
      </w:r>
      <w:r w:rsidRPr="003D4952">
        <w:rPr>
          <w:lang w:val="fr-FR"/>
        </w:rPr>
        <w:t>des fadamas</w:t>
      </w:r>
      <w:r w:rsidRPr="005D6CD4">
        <w:rPr>
          <w:lang w:val="fr-FR"/>
        </w:rPr>
        <w:t>, tout simplement parce qu</w:t>
      </w:r>
      <w:r w:rsidR="000A3D87">
        <w:rPr>
          <w:lang w:val="fr-FR"/>
        </w:rPr>
        <w:t>’</w:t>
      </w:r>
      <w:r w:rsidRPr="005D6CD4">
        <w:rPr>
          <w:lang w:val="fr-FR"/>
        </w:rPr>
        <w:t>elles ne sont pas propriétaires des terres. Toutefois, lors de la 2</w:t>
      </w:r>
      <w:r w:rsidRPr="003D4952">
        <w:rPr>
          <w:vertAlign w:val="superscript"/>
          <w:lang w:val="fr-FR"/>
        </w:rPr>
        <w:t>ème</w:t>
      </w:r>
      <w:r>
        <w:rPr>
          <w:lang w:val="fr-FR"/>
        </w:rPr>
        <w:t xml:space="preserve"> </w:t>
      </w:r>
      <w:r w:rsidRPr="005D6CD4">
        <w:rPr>
          <w:vertAlign w:val="superscript"/>
          <w:lang w:val="fr-FR"/>
        </w:rPr>
        <w:t xml:space="preserve"> </w:t>
      </w:r>
      <w:r w:rsidRPr="005D6CD4">
        <w:rPr>
          <w:lang w:val="fr-FR"/>
        </w:rPr>
        <w:t>phase, qui a débuté en 2004, le nombre de bénéficiaires de sexe féminin a augmenté parce que les conditions de participation tenaient compte de l</w:t>
      </w:r>
      <w:r w:rsidR="000A3D87">
        <w:rPr>
          <w:lang w:val="fr-FR"/>
        </w:rPr>
        <w:t>’</w:t>
      </w:r>
      <w:r w:rsidRPr="005D6CD4">
        <w:rPr>
          <w:lang w:val="fr-FR"/>
        </w:rPr>
        <w:t>égalité des sexes.</w:t>
      </w:r>
    </w:p>
    <w:p w:rsidR="00E15507" w:rsidRPr="005D6CD4" w:rsidRDefault="00E15507" w:rsidP="009546E1">
      <w:pPr>
        <w:pStyle w:val="SingleTxt"/>
        <w:numPr>
          <w:ilvl w:val="0"/>
          <w:numId w:val="40"/>
        </w:numPr>
        <w:tabs>
          <w:tab w:val="clear" w:pos="1987"/>
        </w:tabs>
        <w:ind w:left="1710" w:hanging="450"/>
        <w:rPr>
          <w:lang w:val="fr-FR"/>
        </w:rPr>
      </w:pPr>
      <w:r w:rsidRPr="005D6CD4">
        <w:rPr>
          <w:lang w:val="fr-FR"/>
        </w:rPr>
        <w:t xml:space="preserve">Le </w:t>
      </w:r>
      <w:r>
        <w:rPr>
          <w:lang w:val="fr-FR"/>
        </w:rPr>
        <w:t>G</w:t>
      </w:r>
      <w:r w:rsidRPr="005D6CD4">
        <w:rPr>
          <w:lang w:val="fr-FR"/>
        </w:rPr>
        <w:t>ouvernement fédéral a fourni des forages pour faciliter la mécanisation agric</w:t>
      </w:r>
      <w:r>
        <w:rPr>
          <w:lang w:val="fr-FR"/>
        </w:rPr>
        <w:t xml:space="preserve">ole </w:t>
      </w:r>
      <w:r w:rsidRPr="005D6CD4">
        <w:rPr>
          <w:lang w:val="fr-FR"/>
        </w:rPr>
        <w:t>et des pistes agricoles pour faciliter l</w:t>
      </w:r>
      <w:r w:rsidR="000A3D87">
        <w:rPr>
          <w:lang w:val="fr-FR"/>
        </w:rPr>
        <w:t>’</w:t>
      </w:r>
      <w:r w:rsidRPr="005D6CD4">
        <w:rPr>
          <w:lang w:val="fr-FR"/>
        </w:rPr>
        <w:t>accès aux champs et</w:t>
      </w:r>
      <w:r>
        <w:rPr>
          <w:lang w:val="fr-FR"/>
        </w:rPr>
        <w:t xml:space="preserve"> </w:t>
      </w:r>
      <w:r w:rsidRPr="005D6CD4">
        <w:rPr>
          <w:lang w:val="fr-FR"/>
        </w:rPr>
        <w:t xml:space="preserve">le transport des produits vers les utilisateurs finaux dans </w:t>
      </w:r>
      <w:r>
        <w:rPr>
          <w:lang w:val="fr-FR"/>
        </w:rPr>
        <w:t xml:space="preserve">70 </w:t>
      </w:r>
      <w:r w:rsidRPr="005D6CD4">
        <w:rPr>
          <w:lang w:val="fr-FR"/>
        </w:rPr>
        <w:t>sites à travers le pays.</w:t>
      </w:r>
    </w:p>
    <w:p w:rsidR="00E15507" w:rsidRPr="005D6CD4" w:rsidRDefault="00E15507" w:rsidP="009546E1">
      <w:pPr>
        <w:pStyle w:val="SingleTxt"/>
        <w:numPr>
          <w:ilvl w:val="0"/>
          <w:numId w:val="40"/>
        </w:numPr>
        <w:tabs>
          <w:tab w:val="clear" w:pos="1987"/>
        </w:tabs>
        <w:ind w:left="1710" w:hanging="450"/>
        <w:rPr>
          <w:lang w:val="fr-FR"/>
        </w:rPr>
      </w:pPr>
      <w:r w:rsidRPr="005D6CD4">
        <w:rPr>
          <w:lang w:val="fr-FR"/>
        </w:rPr>
        <w:t xml:space="preserve">Il y a six communautés rurales modèles dans chacune des six régions géopolitiques de la </w:t>
      </w:r>
      <w:r>
        <w:rPr>
          <w:lang w:val="fr-FR"/>
        </w:rPr>
        <w:t>F</w:t>
      </w:r>
      <w:r w:rsidRPr="005D6CD4">
        <w:rPr>
          <w:lang w:val="fr-FR"/>
        </w:rPr>
        <w:t>édération, qui bénéficient des forages, de sites de palmeraie, de maison</w:t>
      </w:r>
      <w:r>
        <w:rPr>
          <w:lang w:val="fr-FR"/>
        </w:rPr>
        <w:t>s</w:t>
      </w:r>
      <w:r w:rsidRPr="005D6CD4">
        <w:rPr>
          <w:lang w:val="fr-FR"/>
        </w:rPr>
        <w:t xml:space="preserve"> de repos, de réfectoires, de serpes et de matériels de labour pour faciliter le travail agricole et améliorer </w:t>
      </w:r>
      <w:r>
        <w:rPr>
          <w:lang w:val="fr-FR"/>
        </w:rPr>
        <w:t xml:space="preserve">les </w:t>
      </w:r>
      <w:r w:rsidRPr="005D6CD4">
        <w:rPr>
          <w:lang w:val="fr-FR"/>
        </w:rPr>
        <w:t>techniques</w:t>
      </w:r>
      <w:r>
        <w:rPr>
          <w:lang w:val="fr-FR"/>
        </w:rPr>
        <w:t xml:space="preserve"> utilisées</w:t>
      </w:r>
      <w:r w:rsidRPr="005D6CD4">
        <w:rPr>
          <w:lang w:val="fr-FR"/>
        </w:rPr>
        <w:t>.</w:t>
      </w:r>
    </w:p>
    <w:p w:rsidR="00E15507" w:rsidRPr="005D6CD4" w:rsidRDefault="00E15507" w:rsidP="009546E1">
      <w:pPr>
        <w:pStyle w:val="SingleTxt"/>
        <w:numPr>
          <w:ilvl w:val="0"/>
          <w:numId w:val="40"/>
        </w:numPr>
        <w:tabs>
          <w:tab w:val="clear" w:pos="1987"/>
        </w:tabs>
        <w:ind w:left="1710" w:hanging="450"/>
        <w:rPr>
          <w:lang w:val="fr-FR"/>
        </w:rPr>
      </w:pPr>
      <w:r w:rsidRPr="005D6CD4">
        <w:rPr>
          <w:lang w:val="fr-FR"/>
        </w:rPr>
        <w:t>L</w:t>
      </w:r>
      <w:r w:rsidR="000A3D87">
        <w:rPr>
          <w:lang w:val="fr-FR"/>
        </w:rPr>
        <w:t>’</w:t>
      </w:r>
      <w:r w:rsidRPr="005D6CD4">
        <w:rPr>
          <w:lang w:val="fr-FR"/>
        </w:rPr>
        <w:t>État de Kaduna a octroyé un prêt de 6 millions de nairas à 121 femmes indigentes des districts de cet État, afin de faciliter le commerce basé sur l</w:t>
      </w:r>
      <w:r w:rsidR="000A3D87">
        <w:rPr>
          <w:lang w:val="fr-FR"/>
        </w:rPr>
        <w:t>’</w:t>
      </w:r>
      <w:r w:rsidRPr="005D6CD4">
        <w:rPr>
          <w:lang w:val="fr-FR"/>
        </w:rPr>
        <w:t xml:space="preserve">agriculture </w:t>
      </w:r>
      <w:r>
        <w:rPr>
          <w:lang w:val="fr-FR"/>
        </w:rPr>
        <w:t xml:space="preserve">dans les </w:t>
      </w:r>
      <w:r w:rsidRPr="005D6CD4">
        <w:rPr>
          <w:lang w:val="fr-FR"/>
        </w:rPr>
        <w:t>zones rurales. Par ailleurs, 23 entreprises artisanales ont été créées dans 23 collectivités locales de cet État. Elles s</w:t>
      </w:r>
      <w:r w:rsidR="000A3D87">
        <w:rPr>
          <w:lang w:val="fr-FR"/>
        </w:rPr>
        <w:t>’</w:t>
      </w:r>
      <w:r w:rsidRPr="005D6CD4">
        <w:rPr>
          <w:lang w:val="fr-FR"/>
        </w:rPr>
        <w:t>intéressent à la transformation du manioc, du miel, du piment rouge et du jus de fruit.</w:t>
      </w:r>
    </w:p>
    <w:p w:rsidR="00E15507" w:rsidRDefault="00E15507" w:rsidP="009546E1">
      <w:pPr>
        <w:pStyle w:val="SingleTxt"/>
        <w:numPr>
          <w:ilvl w:val="0"/>
          <w:numId w:val="40"/>
        </w:numPr>
        <w:tabs>
          <w:tab w:val="clear" w:pos="1987"/>
        </w:tabs>
        <w:ind w:left="1710" w:hanging="450"/>
        <w:rPr>
          <w:lang w:val="fr-FR"/>
        </w:rPr>
      </w:pPr>
      <w:r w:rsidRPr="005D6CD4">
        <w:rPr>
          <w:lang w:val="fr-FR"/>
        </w:rPr>
        <w:t>Entre novembre 2005 et mai 2006, 450 femmes des</w:t>
      </w:r>
      <w:r>
        <w:rPr>
          <w:lang w:val="fr-FR"/>
        </w:rPr>
        <w:t xml:space="preserve"> </w:t>
      </w:r>
      <w:r w:rsidRPr="005D6CD4">
        <w:rPr>
          <w:lang w:val="fr-FR"/>
        </w:rPr>
        <w:t>États d</w:t>
      </w:r>
      <w:r w:rsidR="000A3D87">
        <w:rPr>
          <w:lang w:val="fr-FR"/>
        </w:rPr>
        <w:t>’</w:t>
      </w:r>
      <w:r w:rsidRPr="005D6CD4">
        <w:rPr>
          <w:lang w:val="fr-FR"/>
        </w:rPr>
        <w:t>Akwa Ibom, de Bayelsa, de Delta, de Rivers et d</w:t>
      </w:r>
      <w:r w:rsidR="000A3D87">
        <w:rPr>
          <w:lang w:val="fr-FR"/>
        </w:rPr>
        <w:t>’</w:t>
      </w:r>
      <w:r w:rsidRPr="005D6CD4">
        <w:rPr>
          <w:lang w:val="fr-FR"/>
        </w:rPr>
        <w:t>Ondo ont été formées sur la violence environnementale exercée sur les femmes, ce qui a conduit à la réduction des conflits entre les compagnies pétrolières et les communautés et à l</w:t>
      </w:r>
      <w:r w:rsidR="000A3D87">
        <w:rPr>
          <w:lang w:val="fr-FR"/>
        </w:rPr>
        <w:t>’</w:t>
      </w:r>
      <w:r w:rsidRPr="005D6CD4">
        <w:rPr>
          <w:lang w:val="fr-FR"/>
        </w:rPr>
        <w:t>accroissement de la participation des femmes aux négociations en vue de l</w:t>
      </w:r>
      <w:r w:rsidR="000A3D87">
        <w:rPr>
          <w:lang w:val="fr-FR"/>
        </w:rPr>
        <w:t>’</w:t>
      </w:r>
      <w:r w:rsidRPr="005D6CD4">
        <w:rPr>
          <w:lang w:val="fr-FR"/>
        </w:rPr>
        <w:t xml:space="preserve">indemnisation suite aux déversements du pétrole. </w:t>
      </w:r>
    </w:p>
    <w:p w:rsidR="00D32F3D" w:rsidRPr="00D32F3D" w:rsidRDefault="00D32F3D" w:rsidP="00D32F3D">
      <w:pPr>
        <w:pStyle w:val="SingleTxt"/>
        <w:spacing w:after="0" w:line="120" w:lineRule="exact"/>
        <w:rPr>
          <w:sz w:val="10"/>
          <w:lang w:val="fr-FR"/>
        </w:rPr>
      </w:pPr>
    </w:p>
    <w:p w:rsidR="00E15507" w:rsidRDefault="00D32F3D" w:rsidP="00D32F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14.2.4</w:t>
      </w:r>
      <w:r>
        <w:rPr>
          <w:lang w:val="fr-FR"/>
        </w:rPr>
        <w:tab/>
      </w:r>
      <w:r w:rsidR="00E15507" w:rsidRPr="005D6CD4">
        <w:rPr>
          <w:lang w:val="fr-FR"/>
        </w:rPr>
        <w:t>Santé</w:t>
      </w:r>
    </w:p>
    <w:p w:rsidR="00D32F3D" w:rsidRPr="00D32F3D" w:rsidRDefault="00D32F3D" w:rsidP="00D32F3D">
      <w:pPr>
        <w:pStyle w:val="SingleTxt"/>
        <w:spacing w:after="0" w:line="120" w:lineRule="exact"/>
        <w:rPr>
          <w:sz w:val="10"/>
          <w:lang w:val="fr-FR"/>
        </w:rPr>
      </w:pPr>
    </w:p>
    <w:p w:rsidR="00E15507" w:rsidRPr="005D6CD4" w:rsidRDefault="00E15507" w:rsidP="009546E1">
      <w:pPr>
        <w:pStyle w:val="SingleTxt"/>
        <w:numPr>
          <w:ilvl w:val="0"/>
          <w:numId w:val="41"/>
        </w:numPr>
        <w:tabs>
          <w:tab w:val="clear" w:pos="1987"/>
        </w:tabs>
        <w:ind w:left="1710" w:hanging="450"/>
        <w:rPr>
          <w:lang w:val="fr-FR"/>
        </w:rPr>
      </w:pPr>
      <w:r w:rsidRPr="005D6CD4">
        <w:rPr>
          <w:lang w:val="fr-FR"/>
        </w:rPr>
        <w:t>L</w:t>
      </w:r>
      <w:r w:rsidR="000A3D87">
        <w:rPr>
          <w:lang w:val="fr-FR"/>
        </w:rPr>
        <w:t>’</w:t>
      </w:r>
      <w:r w:rsidRPr="005D6CD4">
        <w:rPr>
          <w:lang w:val="fr-FR"/>
        </w:rPr>
        <w:t>Agence nationale pour le développement des soins de santé primaire</w:t>
      </w:r>
      <w:r>
        <w:rPr>
          <w:lang w:val="fr-FR"/>
        </w:rPr>
        <w:t xml:space="preserve">s </w:t>
      </w:r>
      <w:r w:rsidRPr="005D6CD4">
        <w:rPr>
          <w:lang w:val="fr-FR"/>
        </w:rPr>
        <w:t xml:space="preserve">met en œuvre un système sanitaire de salle qui vise à améliorer les services de santé et à les rendre durables, avec une participation active et complète des communautés de base. </w:t>
      </w:r>
      <w:r>
        <w:rPr>
          <w:lang w:val="fr-FR"/>
        </w:rPr>
        <w:t>L</w:t>
      </w:r>
      <w:r w:rsidRPr="005D6CD4">
        <w:rPr>
          <w:lang w:val="fr-FR"/>
        </w:rPr>
        <w:t xml:space="preserve">e système prévoit la formation des accoucheuses traditionnelles </w:t>
      </w:r>
      <w:r>
        <w:rPr>
          <w:lang w:val="fr-FR"/>
        </w:rPr>
        <w:t xml:space="preserve">dans le domaine des </w:t>
      </w:r>
      <w:r w:rsidRPr="005D6CD4">
        <w:rPr>
          <w:lang w:val="fr-FR"/>
        </w:rPr>
        <w:t>grossesses normales et anormales et sur la manière d</w:t>
      </w:r>
      <w:r w:rsidR="000A3D87">
        <w:rPr>
          <w:lang w:val="fr-FR"/>
        </w:rPr>
        <w:t>’</w:t>
      </w:r>
      <w:r w:rsidRPr="005D6CD4">
        <w:rPr>
          <w:lang w:val="fr-FR"/>
        </w:rPr>
        <w:t>identifier les femmes exposées aux risques ainsi que la formation des agents de santé des villages sur la manière de diagnostiquer et de traiter de simples</w:t>
      </w:r>
      <w:r>
        <w:rPr>
          <w:lang w:val="fr-FR"/>
        </w:rPr>
        <w:t xml:space="preserve"> </w:t>
      </w:r>
      <w:r w:rsidRPr="005D6CD4">
        <w:rPr>
          <w:lang w:val="fr-FR"/>
        </w:rPr>
        <w:t>problèmes de santé.</w:t>
      </w:r>
    </w:p>
    <w:p w:rsidR="00E15507" w:rsidRPr="005D6CD4" w:rsidRDefault="00E15507" w:rsidP="009546E1">
      <w:pPr>
        <w:pStyle w:val="SingleTxt"/>
        <w:numPr>
          <w:ilvl w:val="0"/>
          <w:numId w:val="41"/>
        </w:numPr>
        <w:tabs>
          <w:tab w:val="clear" w:pos="1987"/>
        </w:tabs>
        <w:ind w:left="1710" w:hanging="450"/>
        <w:rPr>
          <w:lang w:val="fr-FR"/>
        </w:rPr>
      </w:pPr>
      <w:r w:rsidRPr="005D6CD4">
        <w:rPr>
          <w:lang w:val="fr-FR"/>
        </w:rPr>
        <w:t>L</w:t>
      </w:r>
      <w:r w:rsidR="000A3D87">
        <w:rPr>
          <w:lang w:val="fr-FR"/>
        </w:rPr>
        <w:t>’</w:t>
      </w:r>
      <w:r w:rsidRPr="005D6CD4">
        <w:rPr>
          <w:lang w:val="fr-FR"/>
        </w:rPr>
        <w:t>Agence nationale pour l</w:t>
      </w:r>
      <w:r w:rsidR="000A3D87">
        <w:rPr>
          <w:lang w:val="fr-FR"/>
        </w:rPr>
        <w:t>’</w:t>
      </w:r>
      <w:r>
        <w:rPr>
          <w:lang w:val="fr-FR"/>
        </w:rPr>
        <w:t xml:space="preserve">administration et le contrôle des produits alimentaires et des </w:t>
      </w:r>
      <w:r w:rsidRPr="005D6CD4">
        <w:rPr>
          <w:lang w:val="fr-FR"/>
        </w:rPr>
        <w:t>médicaments a également porté son message à la base sur la sécurité des médicaments, la consommation de l</w:t>
      </w:r>
      <w:r w:rsidR="000A3D87">
        <w:rPr>
          <w:lang w:val="fr-FR"/>
        </w:rPr>
        <w:t>’</w:t>
      </w:r>
      <w:r w:rsidRPr="005D6CD4">
        <w:rPr>
          <w:lang w:val="fr-FR"/>
        </w:rPr>
        <w:t>eau et des aliments, par le biais des campagnes</w:t>
      </w:r>
      <w:r>
        <w:rPr>
          <w:lang w:val="fr-FR"/>
        </w:rPr>
        <w:t xml:space="preserve"> </w:t>
      </w:r>
      <w:r w:rsidRPr="005D6CD4">
        <w:rPr>
          <w:lang w:val="fr-FR"/>
        </w:rPr>
        <w:t>destinées aux femmes.</w:t>
      </w:r>
    </w:p>
    <w:p w:rsidR="00E15507" w:rsidRPr="005D6CD4" w:rsidRDefault="00E15507" w:rsidP="009546E1">
      <w:pPr>
        <w:pStyle w:val="SingleTxt"/>
        <w:numPr>
          <w:ilvl w:val="0"/>
          <w:numId w:val="41"/>
        </w:numPr>
        <w:tabs>
          <w:tab w:val="clear" w:pos="1987"/>
        </w:tabs>
        <w:ind w:left="1710" w:hanging="450"/>
        <w:rPr>
          <w:lang w:val="fr-FR"/>
        </w:rPr>
      </w:pPr>
      <w:r w:rsidRPr="005D6CD4">
        <w:rPr>
          <w:lang w:val="fr-FR"/>
        </w:rPr>
        <w:t>Seize États ont créé des centres de dépistage et de traitement de la fistule vésico</w:t>
      </w:r>
      <w:r>
        <w:rPr>
          <w:lang w:val="fr-FR"/>
        </w:rPr>
        <w:t>-</w:t>
      </w:r>
      <w:r w:rsidRPr="005D6CD4">
        <w:rPr>
          <w:lang w:val="fr-FR"/>
        </w:rPr>
        <w:t>vaginale, qui soignent et ré</w:t>
      </w:r>
      <w:r>
        <w:rPr>
          <w:lang w:val="fr-FR"/>
        </w:rPr>
        <w:t xml:space="preserve">insèrent </w:t>
      </w:r>
      <w:r w:rsidRPr="005D6CD4">
        <w:rPr>
          <w:lang w:val="fr-FR"/>
        </w:rPr>
        <w:t>les victimes issues des co</w:t>
      </w:r>
      <w:r>
        <w:rPr>
          <w:lang w:val="fr-FR"/>
        </w:rPr>
        <w:t xml:space="preserve">llectivités </w:t>
      </w:r>
      <w:r w:rsidRPr="005D6CD4">
        <w:rPr>
          <w:lang w:val="fr-FR"/>
        </w:rPr>
        <w:t>rurales.</w:t>
      </w:r>
    </w:p>
    <w:p w:rsidR="00E15507" w:rsidRPr="005D6CD4" w:rsidRDefault="00E15507" w:rsidP="009546E1">
      <w:pPr>
        <w:pStyle w:val="SingleTxt"/>
        <w:numPr>
          <w:ilvl w:val="0"/>
          <w:numId w:val="41"/>
        </w:numPr>
        <w:tabs>
          <w:tab w:val="clear" w:pos="1987"/>
        </w:tabs>
        <w:ind w:left="1710" w:hanging="450"/>
        <w:rPr>
          <w:lang w:val="fr-FR"/>
        </w:rPr>
      </w:pPr>
      <w:r w:rsidRPr="005D6CD4">
        <w:rPr>
          <w:lang w:val="fr-FR"/>
        </w:rPr>
        <w:t>L</w:t>
      </w:r>
      <w:r w:rsidR="000A3D87">
        <w:rPr>
          <w:lang w:val="fr-FR"/>
        </w:rPr>
        <w:t>’</w:t>
      </w:r>
      <w:r w:rsidRPr="005D6CD4">
        <w:rPr>
          <w:lang w:val="fr-FR"/>
        </w:rPr>
        <w:t>État de Bayelsa a prévu des services de santé mobiles dans un marché ultramoderne afin de répondre aux besoins immédiats de santé des femmes qui sont majoritaires dans les marchés. Par ailleurs</w:t>
      </w:r>
      <w:r>
        <w:rPr>
          <w:lang w:val="fr-FR"/>
        </w:rPr>
        <w:t>,</w:t>
      </w:r>
      <w:r w:rsidRPr="005D6CD4">
        <w:rPr>
          <w:lang w:val="fr-FR"/>
        </w:rPr>
        <w:t xml:space="preserve"> le système de santé de cet État prévoit des subventions pour les soins de santé et la fourniture gratuite d</w:t>
      </w:r>
      <w:r w:rsidR="000A3D87">
        <w:rPr>
          <w:lang w:val="fr-FR"/>
        </w:rPr>
        <w:t>’</w:t>
      </w:r>
      <w:r w:rsidRPr="005D6CD4">
        <w:rPr>
          <w:lang w:val="fr-FR"/>
        </w:rPr>
        <w:t>antirétroviraux aux personnes atteintes du VIH/</w:t>
      </w:r>
      <w:r w:rsidR="00940485">
        <w:rPr>
          <w:lang w:val="fr-FR"/>
        </w:rPr>
        <w:t>SIDA</w:t>
      </w:r>
      <w:r w:rsidRPr="005D6CD4">
        <w:rPr>
          <w:lang w:val="fr-FR"/>
        </w:rPr>
        <w:t>.</w:t>
      </w:r>
    </w:p>
    <w:p w:rsidR="00E15507" w:rsidRPr="005D6CD4" w:rsidRDefault="00E15507" w:rsidP="009546E1">
      <w:pPr>
        <w:pStyle w:val="SingleTxt"/>
        <w:numPr>
          <w:ilvl w:val="0"/>
          <w:numId w:val="41"/>
        </w:numPr>
        <w:tabs>
          <w:tab w:val="clear" w:pos="1987"/>
        </w:tabs>
        <w:ind w:left="1710" w:hanging="450"/>
        <w:rPr>
          <w:lang w:val="fr-FR"/>
        </w:rPr>
      </w:pPr>
      <w:r w:rsidRPr="005D6CD4">
        <w:rPr>
          <w:lang w:val="fr-FR"/>
        </w:rPr>
        <w:t>Le FNUAP appui</w:t>
      </w:r>
      <w:r>
        <w:rPr>
          <w:lang w:val="fr-FR"/>
        </w:rPr>
        <w:t>e</w:t>
      </w:r>
      <w:r w:rsidRPr="005D6CD4">
        <w:rPr>
          <w:lang w:val="fr-FR"/>
        </w:rPr>
        <w:t xml:space="preserve"> l</w:t>
      </w:r>
      <w:r w:rsidR="000A3D87">
        <w:rPr>
          <w:lang w:val="fr-FR"/>
        </w:rPr>
        <w:t>’</w:t>
      </w:r>
      <w:r w:rsidRPr="005D6CD4">
        <w:rPr>
          <w:lang w:val="fr-FR"/>
        </w:rPr>
        <w:t xml:space="preserve">approvisionnement des formations sanitaires en contraceptifs, ce qui </w:t>
      </w:r>
      <w:r>
        <w:rPr>
          <w:lang w:val="fr-FR"/>
        </w:rPr>
        <w:t xml:space="preserve">a </w:t>
      </w:r>
      <w:r w:rsidRPr="005D6CD4">
        <w:rPr>
          <w:lang w:val="fr-FR"/>
        </w:rPr>
        <w:t>permis de réduire de manière significative le taux d</w:t>
      </w:r>
      <w:r w:rsidR="000A3D87">
        <w:rPr>
          <w:lang w:val="fr-FR"/>
        </w:rPr>
        <w:t>’</w:t>
      </w:r>
      <w:r w:rsidRPr="005D6CD4">
        <w:rPr>
          <w:lang w:val="fr-FR"/>
        </w:rPr>
        <w:t>épuisement</w:t>
      </w:r>
      <w:r>
        <w:rPr>
          <w:lang w:val="fr-FR"/>
        </w:rPr>
        <w:t xml:space="preserve"> de ces </w:t>
      </w:r>
      <w:r w:rsidRPr="005D6CD4">
        <w:rPr>
          <w:lang w:val="fr-FR"/>
        </w:rPr>
        <w:t>matériels.</w:t>
      </w:r>
      <w:r>
        <w:rPr>
          <w:highlight w:val="green"/>
          <w:lang w:val="fr-FR"/>
        </w:rPr>
        <w:t xml:space="preserve">   </w:t>
      </w:r>
    </w:p>
    <w:p w:rsidR="00E15507" w:rsidRPr="005D6CD4" w:rsidRDefault="00E15507" w:rsidP="00AC2642">
      <w:pPr>
        <w:pStyle w:val="SingleTxt"/>
        <w:rPr>
          <w:lang w:val="fr-FR"/>
        </w:rPr>
      </w:pPr>
      <w:r w:rsidRPr="005D6CD4">
        <w:rPr>
          <w:b/>
          <w:lang w:val="fr-FR"/>
        </w:rPr>
        <w:t>14.2.6</w:t>
      </w:r>
      <w:r w:rsidR="00D32F3D">
        <w:rPr>
          <w:b/>
          <w:lang w:val="fr-FR"/>
        </w:rPr>
        <w:t xml:space="preserve">  </w:t>
      </w:r>
      <w:r w:rsidRPr="005D6CD4">
        <w:rPr>
          <w:b/>
          <w:lang w:val="fr-FR"/>
        </w:rPr>
        <w:t>Services</w:t>
      </w:r>
      <w:r w:rsidRPr="005D6CD4">
        <w:rPr>
          <w:lang w:val="fr-FR"/>
        </w:rPr>
        <w:t xml:space="preserve"> </w:t>
      </w:r>
      <w:r w:rsidRPr="005D6CD4">
        <w:rPr>
          <w:b/>
          <w:lang w:val="fr-FR"/>
        </w:rPr>
        <w:t>sociaux</w:t>
      </w:r>
    </w:p>
    <w:p w:rsidR="00E15507" w:rsidRPr="005D6CD4" w:rsidRDefault="00E15507" w:rsidP="009546E1">
      <w:pPr>
        <w:pStyle w:val="SingleTxt"/>
        <w:numPr>
          <w:ilvl w:val="0"/>
          <w:numId w:val="42"/>
        </w:numPr>
        <w:tabs>
          <w:tab w:val="clear" w:pos="1987"/>
        </w:tabs>
        <w:ind w:left="1710" w:hanging="450"/>
        <w:rPr>
          <w:lang w:val="fr-FR"/>
        </w:rPr>
      </w:pPr>
      <w:r w:rsidRPr="005D6CD4">
        <w:rPr>
          <w:lang w:val="fr-FR"/>
        </w:rPr>
        <w:t>Dans l</w:t>
      </w:r>
      <w:r w:rsidR="000A3D87">
        <w:rPr>
          <w:lang w:val="fr-FR"/>
        </w:rPr>
        <w:t>’</w:t>
      </w:r>
      <w:r w:rsidRPr="005D6CD4">
        <w:rPr>
          <w:lang w:val="fr-FR"/>
        </w:rPr>
        <w:t>État de Kebbi, un conseil de gestion de la sécurité sociale a été créé pour s</w:t>
      </w:r>
      <w:r w:rsidR="000A3D87">
        <w:rPr>
          <w:lang w:val="fr-FR"/>
        </w:rPr>
        <w:t>’</w:t>
      </w:r>
      <w:r w:rsidRPr="005D6CD4">
        <w:rPr>
          <w:lang w:val="fr-FR"/>
        </w:rPr>
        <w:t>occuper d</w:t>
      </w:r>
      <w:r w:rsidR="000A3D87">
        <w:rPr>
          <w:lang w:val="fr-FR"/>
        </w:rPr>
        <w:t>’</w:t>
      </w:r>
      <w:r w:rsidRPr="005D6CD4">
        <w:rPr>
          <w:lang w:val="fr-FR"/>
        </w:rPr>
        <w:t xml:space="preserve">un fonds destiné aux enfants vulnérables et aux familles pauvres. Une initiative du même genre est également mise en œuvre par le </w:t>
      </w:r>
      <w:r>
        <w:rPr>
          <w:lang w:val="fr-FR"/>
        </w:rPr>
        <w:t>D</w:t>
      </w:r>
      <w:r w:rsidRPr="005D6CD4">
        <w:rPr>
          <w:lang w:val="fr-FR"/>
        </w:rPr>
        <w:t xml:space="preserve">épartement de la sécurité sociale du Territoire de la capitale fédérale et dans les États de Kano et de Zamfara, etc. </w:t>
      </w:r>
    </w:p>
    <w:p w:rsidR="00E15507" w:rsidRPr="005D6CD4" w:rsidRDefault="00E15507" w:rsidP="009546E1">
      <w:pPr>
        <w:pStyle w:val="SingleTxt"/>
        <w:numPr>
          <w:ilvl w:val="0"/>
          <w:numId w:val="42"/>
        </w:numPr>
        <w:tabs>
          <w:tab w:val="clear" w:pos="1987"/>
        </w:tabs>
        <w:ind w:left="1710" w:hanging="450"/>
        <w:rPr>
          <w:lang w:val="fr-FR"/>
        </w:rPr>
      </w:pPr>
      <w:r w:rsidRPr="005D6CD4">
        <w:rPr>
          <w:lang w:val="fr-FR"/>
        </w:rPr>
        <w:t xml:space="preserve">Le </w:t>
      </w:r>
      <w:r>
        <w:rPr>
          <w:lang w:val="fr-FR"/>
        </w:rPr>
        <w:t>ministère</w:t>
      </w:r>
      <w:r w:rsidRPr="005D6CD4">
        <w:rPr>
          <w:lang w:val="fr-FR"/>
        </w:rPr>
        <w:t xml:space="preserve"> fédéral des </w:t>
      </w:r>
      <w:r>
        <w:rPr>
          <w:lang w:val="fr-FR"/>
        </w:rPr>
        <w:t>R</w:t>
      </w:r>
      <w:r w:rsidRPr="005D6CD4">
        <w:rPr>
          <w:lang w:val="fr-FR"/>
        </w:rPr>
        <w:t>essources en eau</w:t>
      </w:r>
      <w:r>
        <w:rPr>
          <w:lang w:val="fr-FR"/>
        </w:rPr>
        <w:t>,</w:t>
      </w:r>
      <w:r w:rsidRPr="005D6CD4">
        <w:rPr>
          <w:lang w:val="fr-FR"/>
        </w:rPr>
        <w:t xml:space="preserve"> avec la coopération technique des partenaires </w:t>
      </w:r>
      <w:r>
        <w:rPr>
          <w:lang w:val="fr-FR"/>
        </w:rPr>
        <w:t>de</w:t>
      </w:r>
      <w:r w:rsidRPr="005D6CD4">
        <w:rPr>
          <w:lang w:val="fr-FR"/>
        </w:rPr>
        <w:t xml:space="preserve"> développement</w:t>
      </w:r>
      <w:r>
        <w:rPr>
          <w:lang w:val="fr-FR"/>
        </w:rPr>
        <w:t>,</w:t>
      </w:r>
      <w:r w:rsidRPr="005D6CD4">
        <w:rPr>
          <w:lang w:val="fr-FR"/>
        </w:rPr>
        <w:t xml:space="preserve"> </w:t>
      </w:r>
      <w:r>
        <w:rPr>
          <w:lang w:val="fr-FR"/>
        </w:rPr>
        <w:t xml:space="preserve">aménage </w:t>
      </w:r>
      <w:r w:rsidRPr="005D6CD4">
        <w:rPr>
          <w:lang w:val="fr-FR"/>
        </w:rPr>
        <w:t>des forages pour un approvisionnement régulier en eau des zones rurales à travers le pays.</w:t>
      </w:r>
    </w:p>
    <w:p w:rsidR="00E15507" w:rsidRPr="005D6CD4" w:rsidRDefault="00E15507" w:rsidP="009546E1">
      <w:pPr>
        <w:pStyle w:val="SingleTxt"/>
        <w:numPr>
          <w:ilvl w:val="0"/>
          <w:numId w:val="42"/>
        </w:numPr>
        <w:tabs>
          <w:tab w:val="clear" w:pos="1987"/>
        </w:tabs>
        <w:ind w:left="1710" w:hanging="450"/>
        <w:rPr>
          <w:lang w:val="fr-FR"/>
        </w:rPr>
      </w:pPr>
      <w:r w:rsidRPr="005D6CD4">
        <w:rPr>
          <w:lang w:val="fr-FR"/>
        </w:rPr>
        <w:t>La Commission nationale du plan, en collaboration avec le programme des micro- projets de l</w:t>
      </w:r>
      <w:r w:rsidR="000A3D87">
        <w:rPr>
          <w:lang w:val="fr-FR"/>
        </w:rPr>
        <w:t>’</w:t>
      </w:r>
      <w:r w:rsidRPr="005D6CD4">
        <w:rPr>
          <w:lang w:val="fr-FR"/>
        </w:rPr>
        <w:t>UE,</w:t>
      </w:r>
      <w:r>
        <w:rPr>
          <w:lang w:val="fr-FR"/>
        </w:rPr>
        <w:t xml:space="preserve"> </w:t>
      </w:r>
      <w:r w:rsidRPr="005D6CD4">
        <w:rPr>
          <w:lang w:val="fr-FR"/>
        </w:rPr>
        <w:t xml:space="preserve">a exécuté entre 2002 et 2006 divers projets de développement </w:t>
      </w:r>
      <w:r>
        <w:rPr>
          <w:lang w:val="fr-FR"/>
        </w:rPr>
        <w:t>de proximité</w:t>
      </w:r>
      <w:r w:rsidRPr="005D6CD4">
        <w:rPr>
          <w:lang w:val="fr-FR"/>
        </w:rPr>
        <w:t xml:space="preserve"> dans neuf États (zone Sud-sud et Sud-est) qui ont des effets positifs sur les femmes.</w:t>
      </w:r>
    </w:p>
    <w:p w:rsidR="00E15507" w:rsidRPr="005D6CD4" w:rsidRDefault="00E15507" w:rsidP="00AC2642">
      <w:pPr>
        <w:pStyle w:val="SingleTxt"/>
        <w:rPr>
          <w:b/>
          <w:lang w:val="fr-FR"/>
        </w:rPr>
      </w:pPr>
      <w:r w:rsidRPr="005D6CD4">
        <w:rPr>
          <w:b/>
          <w:lang w:val="fr-FR"/>
        </w:rPr>
        <w:t xml:space="preserve">14.2.7 </w:t>
      </w:r>
      <w:r w:rsidR="001126B0">
        <w:rPr>
          <w:b/>
          <w:lang w:val="fr-FR"/>
        </w:rPr>
        <w:t xml:space="preserve"> </w:t>
      </w:r>
      <w:r w:rsidRPr="005D6CD4">
        <w:rPr>
          <w:b/>
          <w:lang w:val="fr-FR"/>
        </w:rPr>
        <w:t>Large diffusion des dispositions de la Convention sur l</w:t>
      </w:r>
      <w:r w:rsidR="000A3D87">
        <w:rPr>
          <w:b/>
          <w:lang w:val="fr-FR"/>
        </w:rPr>
        <w:t>’</w:t>
      </w:r>
      <w:r w:rsidRPr="005D6CD4">
        <w:rPr>
          <w:b/>
          <w:lang w:val="fr-FR"/>
        </w:rPr>
        <w:t>élimination de toutes les formes de discrimination à l</w:t>
      </w:r>
      <w:r w:rsidR="000A3D87">
        <w:rPr>
          <w:b/>
          <w:lang w:val="fr-FR"/>
        </w:rPr>
        <w:t>’</w:t>
      </w:r>
      <w:r w:rsidRPr="005D6CD4">
        <w:rPr>
          <w:b/>
          <w:lang w:val="fr-FR"/>
        </w:rPr>
        <w:t>égard des femmes et remarques finales sur le quatrième</w:t>
      </w:r>
      <w:r>
        <w:rPr>
          <w:b/>
          <w:lang w:val="fr-FR"/>
        </w:rPr>
        <w:t>-</w:t>
      </w:r>
      <w:r w:rsidRPr="005D6CD4">
        <w:rPr>
          <w:b/>
          <w:lang w:val="fr-FR"/>
        </w:rPr>
        <w:t>cinquième</w:t>
      </w:r>
      <w:r>
        <w:rPr>
          <w:b/>
          <w:lang w:val="fr-FR"/>
        </w:rPr>
        <w:t xml:space="preserve"> </w:t>
      </w:r>
      <w:r w:rsidRPr="005D6CD4">
        <w:rPr>
          <w:b/>
          <w:lang w:val="fr-FR"/>
        </w:rPr>
        <w:t>rapport</w:t>
      </w:r>
      <w:r>
        <w:rPr>
          <w:b/>
          <w:lang w:val="fr-FR"/>
        </w:rPr>
        <w:t xml:space="preserve"> périodique</w:t>
      </w:r>
    </w:p>
    <w:p w:rsidR="00E15507" w:rsidRPr="005D6CD4" w:rsidRDefault="001126B0" w:rsidP="00AC2642">
      <w:pPr>
        <w:pStyle w:val="SingleTxt"/>
        <w:rPr>
          <w:lang w:val="fr-FR"/>
        </w:rPr>
      </w:pPr>
      <w:r>
        <w:rPr>
          <w:lang w:val="fr-FR"/>
        </w:rPr>
        <w:tab/>
      </w:r>
      <w:r w:rsidR="00E15507" w:rsidRPr="005D6CD4">
        <w:rPr>
          <w:lang w:val="fr-FR"/>
        </w:rPr>
        <w:t>Pour vulgariser la</w:t>
      </w:r>
      <w:r w:rsidR="00E15507" w:rsidRPr="005D6CD4">
        <w:rPr>
          <w:b/>
          <w:lang w:val="fr-FR"/>
        </w:rPr>
        <w:t xml:space="preserve"> </w:t>
      </w:r>
      <w:r w:rsidR="00E15507" w:rsidRPr="005D6CD4">
        <w:rPr>
          <w:lang w:val="fr-FR"/>
        </w:rPr>
        <w:t>Convention</w:t>
      </w:r>
      <w:r w:rsidR="00E15507">
        <w:rPr>
          <w:lang w:val="fr-FR"/>
        </w:rPr>
        <w:t>,</w:t>
      </w:r>
      <w:r w:rsidR="00E15507" w:rsidRPr="005D6CD4">
        <w:rPr>
          <w:lang w:val="fr-FR"/>
        </w:rPr>
        <w:t xml:space="preserve"> le</w:t>
      </w:r>
      <w:r w:rsidR="00E15507">
        <w:rPr>
          <w:lang w:val="fr-FR"/>
        </w:rPr>
        <w:t xml:space="preserve"> quatrième-cinquième </w:t>
      </w:r>
      <w:r w:rsidR="00E15507" w:rsidRPr="005D6CD4">
        <w:rPr>
          <w:lang w:val="fr-FR"/>
        </w:rPr>
        <w:t xml:space="preserve">rapport périodique </w:t>
      </w:r>
      <w:r w:rsidR="00E15507">
        <w:rPr>
          <w:lang w:val="fr-FR"/>
        </w:rPr>
        <w:t xml:space="preserve">combiné </w:t>
      </w:r>
      <w:r w:rsidR="00E15507" w:rsidRPr="005D6CD4">
        <w:rPr>
          <w:lang w:val="fr-FR"/>
        </w:rPr>
        <w:t>et les remarques finales, le ministère a facilité, grâce à l</w:t>
      </w:r>
      <w:r w:rsidR="000A3D87">
        <w:rPr>
          <w:lang w:val="fr-FR"/>
        </w:rPr>
        <w:t>’</w:t>
      </w:r>
      <w:r w:rsidR="00E15507" w:rsidRPr="005D6CD4">
        <w:rPr>
          <w:lang w:val="fr-FR"/>
        </w:rPr>
        <w:t>appui des partenaire</w:t>
      </w:r>
      <w:r w:rsidR="00E15507">
        <w:rPr>
          <w:lang w:val="fr-FR"/>
        </w:rPr>
        <w:t>s</w:t>
      </w:r>
      <w:r w:rsidR="00E15507" w:rsidRPr="005D6CD4">
        <w:rPr>
          <w:lang w:val="fr-FR"/>
        </w:rPr>
        <w:t xml:space="preserve"> </w:t>
      </w:r>
      <w:r w:rsidR="00E15507">
        <w:rPr>
          <w:lang w:val="fr-FR"/>
        </w:rPr>
        <w:t>de</w:t>
      </w:r>
      <w:r w:rsidR="00E15507" w:rsidRPr="005D6CD4">
        <w:rPr>
          <w:lang w:val="fr-FR"/>
        </w:rPr>
        <w:t xml:space="preserve"> développement</w:t>
      </w:r>
      <w:r w:rsidR="00E15507">
        <w:rPr>
          <w:lang w:val="fr-FR"/>
        </w:rPr>
        <w:t xml:space="preserve"> </w:t>
      </w:r>
      <w:r w:rsidR="00E15507" w:rsidRPr="005D6CD4">
        <w:rPr>
          <w:lang w:val="fr-FR"/>
        </w:rPr>
        <w:t>tels que l</w:t>
      </w:r>
      <w:r w:rsidR="000A3D87">
        <w:rPr>
          <w:lang w:val="fr-FR"/>
        </w:rPr>
        <w:t>’</w:t>
      </w:r>
      <w:r w:rsidR="00E15507" w:rsidRPr="005D6CD4">
        <w:rPr>
          <w:lang w:val="fr-FR"/>
        </w:rPr>
        <w:t>UNICEF et l</w:t>
      </w:r>
      <w:r w:rsidR="000A3D87">
        <w:rPr>
          <w:lang w:val="fr-FR"/>
        </w:rPr>
        <w:t>’</w:t>
      </w:r>
      <w:r w:rsidR="00E15507" w:rsidRPr="005D6CD4">
        <w:rPr>
          <w:lang w:val="fr-FR"/>
        </w:rPr>
        <w:t xml:space="preserve">UNIFEM, une réunion de </w:t>
      </w:r>
      <w:r w:rsidR="00E15507">
        <w:rPr>
          <w:lang w:val="fr-FR"/>
        </w:rPr>
        <w:t xml:space="preserve">synthèse </w:t>
      </w:r>
      <w:r w:rsidR="00E15507" w:rsidRPr="005D6CD4">
        <w:rPr>
          <w:lang w:val="fr-FR"/>
        </w:rPr>
        <w:t>regroupant les parties prenantes au niveau national</w:t>
      </w:r>
      <w:r w:rsidR="00E15507">
        <w:rPr>
          <w:lang w:val="fr-FR"/>
        </w:rPr>
        <w:t>. Cette a porté</w:t>
      </w:r>
      <w:r w:rsidR="00E15507" w:rsidRPr="005D6CD4">
        <w:rPr>
          <w:lang w:val="fr-FR"/>
        </w:rPr>
        <w:t xml:space="preserve"> sur les résultats de</w:t>
      </w:r>
      <w:r w:rsidR="00E15507">
        <w:rPr>
          <w:lang w:val="fr-FR"/>
        </w:rPr>
        <w:t xml:space="preserve"> ce rapport périodique combiné et visait à </w:t>
      </w:r>
      <w:r w:rsidR="00E15507" w:rsidRPr="005D6CD4">
        <w:rPr>
          <w:lang w:val="fr-FR"/>
        </w:rPr>
        <w:t>attirer l</w:t>
      </w:r>
      <w:r w:rsidR="000A3D87">
        <w:rPr>
          <w:lang w:val="fr-FR"/>
        </w:rPr>
        <w:t>’</w:t>
      </w:r>
      <w:r w:rsidR="00E15507" w:rsidRPr="005D6CD4">
        <w:rPr>
          <w:lang w:val="fr-FR"/>
        </w:rPr>
        <w:t>attention sur diverses questions et sur la nécessité de concentrer les</w:t>
      </w:r>
      <w:r w:rsidR="00E15507">
        <w:rPr>
          <w:lang w:val="fr-FR"/>
        </w:rPr>
        <w:t xml:space="preserve"> </w:t>
      </w:r>
      <w:r w:rsidR="00E15507" w:rsidRPr="005D6CD4">
        <w:rPr>
          <w:lang w:val="fr-FR"/>
        </w:rPr>
        <w:t>efforts sur la mise en œuvre des recommandations faites par le Comité pour l</w:t>
      </w:r>
      <w:r w:rsidR="000A3D87">
        <w:rPr>
          <w:lang w:val="fr-FR"/>
        </w:rPr>
        <w:t>’</w:t>
      </w:r>
      <w:r w:rsidR="00E15507" w:rsidRPr="005D6CD4">
        <w:rPr>
          <w:lang w:val="fr-FR"/>
        </w:rPr>
        <w:t>élimination de toutes les formes de discrimination à l</w:t>
      </w:r>
      <w:r w:rsidR="000A3D87">
        <w:rPr>
          <w:lang w:val="fr-FR"/>
        </w:rPr>
        <w:t>’</w:t>
      </w:r>
      <w:r w:rsidR="00E15507" w:rsidRPr="005D6CD4">
        <w:rPr>
          <w:lang w:val="fr-FR"/>
        </w:rPr>
        <w:t>égard des femmes.</w:t>
      </w:r>
    </w:p>
    <w:p w:rsidR="00E15507" w:rsidRPr="005D6CD4" w:rsidRDefault="001126B0" w:rsidP="00AC2642">
      <w:pPr>
        <w:pStyle w:val="SingleTxt"/>
        <w:rPr>
          <w:lang w:val="fr-FR"/>
        </w:rPr>
      </w:pPr>
      <w:r>
        <w:rPr>
          <w:lang w:val="fr-FR"/>
        </w:rPr>
        <w:tab/>
      </w:r>
      <w:r w:rsidR="00E15507" w:rsidRPr="005D6CD4">
        <w:rPr>
          <w:lang w:val="fr-FR"/>
        </w:rPr>
        <w:t>Par ailleurs, une réunion de sensibilisation a été tenue avec les organisations des m</w:t>
      </w:r>
      <w:r w:rsidR="00E15507">
        <w:rPr>
          <w:lang w:val="fr-FR"/>
        </w:rPr>
        <w:t>é</w:t>
      </w:r>
      <w:r w:rsidR="00E15507" w:rsidRPr="005D6CD4">
        <w:rPr>
          <w:lang w:val="fr-FR"/>
        </w:rPr>
        <w:t>dia</w:t>
      </w:r>
      <w:r w:rsidR="00E15507">
        <w:rPr>
          <w:lang w:val="fr-FR"/>
        </w:rPr>
        <w:t>s</w:t>
      </w:r>
      <w:r w:rsidR="00E15507" w:rsidRPr="005D6CD4">
        <w:rPr>
          <w:lang w:val="fr-FR"/>
        </w:rPr>
        <w:t xml:space="preserve"> électroniques et </w:t>
      </w:r>
      <w:r w:rsidR="00E15507">
        <w:rPr>
          <w:lang w:val="fr-FR"/>
        </w:rPr>
        <w:t xml:space="preserve">de la presse écrite </w:t>
      </w:r>
      <w:r w:rsidR="00E15507" w:rsidRPr="005D6CD4">
        <w:rPr>
          <w:lang w:val="fr-FR"/>
        </w:rPr>
        <w:t xml:space="preserve">en vue de </w:t>
      </w:r>
      <w:r w:rsidR="00E15507">
        <w:rPr>
          <w:lang w:val="fr-FR"/>
        </w:rPr>
        <w:t xml:space="preserve">les </w:t>
      </w:r>
      <w:r w:rsidR="00E15507" w:rsidRPr="005D6CD4">
        <w:rPr>
          <w:lang w:val="fr-FR"/>
        </w:rPr>
        <w:t xml:space="preserve">mobiliser et </w:t>
      </w:r>
      <w:r w:rsidR="00E15507">
        <w:rPr>
          <w:lang w:val="fr-FR"/>
        </w:rPr>
        <w:t>d</w:t>
      </w:r>
      <w:r w:rsidR="000A3D87">
        <w:rPr>
          <w:lang w:val="fr-FR"/>
        </w:rPr>
        <w:t>’</w:t>
      </w:r>
      <w:r w:rsidR="00E15507" w:rsidRPr="005D6CD4">
        <w:rPr>
          <w:lang w:val="fr-FR"/>
        </w:rPr>
        <w:t xml:space="preserve">obtenir leur soutien pour la diffusion à travers le pays des dispositions de la Convention </w:t>
      </w:r>
      <w:r w:rsidR="00E15507">
        <w:rPr>
          <w:lang w:val="fr-FR"/>
        </w:rPr>
        <w:t xml:space="preserve">ainsi que les </w:t>
      </w:r>
      <w:r w:rsidR="00E15507" w:rsidRPr="005D6CD4">
        <w:rPr>
          <w:lang w:val="fr-FR"/>
        </w:rPr>
        <w:t>remarques finales sur le</w:t>
      </w:r>
      <w:r w:rsidR="00E15507">
        <w:rPr>
          <w:lang w:val="fr-FR"/>
        </w:rPr>
        <w:t xml:space="preserve"> quatrième-cinquième rapport périodique</w:t>
      </w:r>
      <w:r w:rsidR="00E15507" w:rsidRPr="005D6CD4">
        <w:rPr>
          <w:lang w:val="fr-FR"/>
        </w:rPr>
        <w:t>.</w:t>
      </w:r>
    </w:p>
    <w:p w:rsidR="00E15507" w:rsidRPr="005D6CD4" w:rsidRDefault="001126B0" w:rsidP="00AC2642">
      <w:pPr>
        <w:pStyle w:val="SingleTxt"/>
        <w:rPr>
          <w:lang w:val="fr-FR"/>
        </w:rPr>
      </w:pPr>
      <w:r>
        <w:rPr>
          <w:rFonts w:ascii="TimesNewRoman" w:hAnsi="TimesNewRoman"/>
          <w:lang w:val="fr-FR"/>
        </w:rPr>
        <w:tab/>
      </w:r>
      <w:r w:rsidR="00E15507" w:rsidRPr="005D6CD4">
        <w:rPr>
          <w:rFonts w:ascii="TimesNewRoman" w:hAnsi="TimesNewRoman"/>
          <w:lang w:val="fr-FR"/>
        </w:rPr>
        <w:t>À</w:t>
      </w:r>
      <w:r w:rsidR="00E15507" w:rsidRPr="005D6CD4">
        <w:rPr>
          <w:lang w:val="fr-FR"/>
        </w:rPr>
        <w:t xml:space="preserve"> un autre forum, les responsables des organisations des femmes au niveau infranational ont été informées des remarques finales en vue de sensibiliser les populations sur les questions soulevées</w:t>
      </w:r>
      <w:r w:rsidR="00E15507">
        <w:rPr>
          <w:lang w:val="fr-FR"/>
        </w:rPr>
        <w:t xml:space="preserve"> et </w:t>
      </w:r>
      <w:r w:rsidR="00E15507" w:rsidRPr="005D6CD4">
        <w:rPr>
          <w:lang w:val="fr-FR"/>
        </w:rPr>
        <w:t>de formuler des programmes pour mettre en œuvre les recommandations contenues dans les remarques, en particulier celles qui concernent la vie des femmes en milieu rural.</w:t>
      </w:r>
    </w:p>
    <w:p w:rsidR="00E15507" w:rsidRDefault="001126B0" w:rsidP="00AC2642">
      <w:pPr>
        <w:pStyle w:val="SingleTxt"/>
        <w:rPr>
          <w:lang w:val="fr-FR"/>
        </w:rPr>
      </w:pPr>
      <w:r>
        <w:rPr>
          <w:lang w:val="fr-FR"/>
        </w:rPr>
        <w:tab/>
      </w:r>
      <w:r w:rsidR="00E15507" w:rsidRPr="005D6CD4">
        <w:rPr>
          <w:lang w:val="fr-FR"/>
        </w:rPr>
        <w:t xml:space="preserve">Environ </w:t>
      </w:r>
      <w:r w:rsidR="00E15507">
        <w:rPr>
          <w:lang w:val="fr-FR"/>
        </w:rPr>
        <w:t xml:space="preserve">10 000 </w:t>
      </w:r>
      <w:r w:rsidR="00E15507" w:rsidRPr="005D6CD4">
        <w:rPr>
          <w:lang w:val="fr-FR"/>
        </w:rPr>
        <w:t xml:space="preserve">exemplaires des remarques finales ont été reproduits et diffusés à travers le pays. Par ailleurs, le FNUAP a publié et distribué en 2005, en collaboration avec le </w:t>
      </w:r>
      <w:r w:rsidR="00E15507">
        <w:rPr>
          <w:lang w:val="fr-FR"/>
        </w:rPr>
        <w:t>ministère</w:t>
      </w:r>
      <w:r w:rsidR="00E15507" w:rsidRPr="005D6CD4">
        <w:rPr>
          <w:lang w:val="fr-FR"/>
        </w:rPr>
        <w:t xml:space="preserve"> de l</w:t>
      </w:r>
      <w:r w:rsidR="000A3D87">
        <w:rPr>
          <w:lang w:val="fr-FR"/>
        </w:rPr>
        <w:t>’</w:t>
      </w:r>
      <w:r w:rsidR="00E15507">
        <w:rPr>
          <w:lang w:val="fr-FR"/>
        </w:rPr>
        <w:t>I</w:t>
      </w:r>
      <w:r w:rsidR="00E15507" w:rsidRPr="005D6CD4">
        <w:rPr>
          <w:lang w:val="fr-FR"/>
        </w:rPr>
        <w:t>nformation de l</w:t>
      </w:r>
      <w:r w:rsidR="000A3D87">
        <w:rPr>
          <w:lang w:val="fr-FR"/>
        </w:rPr>
        <w:t>’</w:t>
      </w:r>
      <w:r w:rsidR="00E15507" w:rsidRPr="005D6CD4">
        <w:rPr>
          <w:lang w:val="fr-FR"/>
        </w:rPr>
        <w:t>État de Cross Rivers, la</w:t>
      </w:r>
      <w:r w:rsidR="00E15507" w:rsidRPr="005D6CD4">
        <w:rPr>
          <w:b/>
          <w:lang w:val="fr-FR"/>
        </w:rPr>
        <w:t xml:space="preserve"> </w:t>
      </w:r>
      <w:r w:rsidR="00E15507" w:rsidRPr="005D6CD4">
        <w:rPr>
          <w:lang w:val="fr-FR"/>
        </w:rPr>
        <w:t xml:space="preserve">Convention, le rapport de la </w:t>
      </w:r>
      <w:r w:rsidR="00E15507">
        <w:rPr>
          <w:lang w:val="fr-FR"/>
        </w:rPr>
        <w:t>C</w:t>
      </w:r>
      <w:r w:rsidR="00E15507" w:rsidRPr="005D6CD4">
        <w:rPr>
          <w:lang w:val="fr-FR"/>
        </w:rPr>
        <w:t>onférence sur la population et le développement, le</w:t>
      </w:r>
      <w:r w:rsidR="00E15507">
        <w:rPr>
          <w:lang w:val="fr-FR"/>
        </w:rPr>
        <w:t xml:space="preserve"> texte de</w:t>
      </w:r>
      <w:r w:rsidR="00E15507" w:rsidRPr="005D6CD4">
        <w:rPr>
          <w:lang w:val="fr-FR"/>
        </w:rPr>
        <w:t>s O</w:t>
      </w:r>
      <w:r w:rsidR="00E15507">
        <w:rPr>
          <w:lang w:val="fr-FR"/>
        </w:rPr>
        <w:t>M</w:t>
      </w:r>
      <w:r w:rsidR="00E15507" w:rsidRPr="005D6CD4">
        <w:rPr>
          <w:lang w:val="fr-FR"/>
        </w:rPr>
        <w:t xml:space="preserve">D et </w:t>
      </w:r>
      <w:r w:rsidR="00E15507">
        <w:rPr>
          <w:lang w:val="fr-FR"/>
        </w:rPr>
        <w:t>celui du Programme d</w:t>
      </w:r>
      <w:r w:rsidR="000A3D87">
        <w:rPr>
          <w:lang w:val="fr-FR"/>
        </w:rPr>
        <w:t>’</w:t>
      </w:r>
      <w:r w:rsidR="00E15507">
        <w:rPr>
          <w:lang w:val="fr-FR"/>
        </w:rPr>
        <w:t xml:space="preserve">action de </w:t>
      </w:r>
      <w:r w:rsidR="00E15507" w:rsidRPr="005D6CD4">
        <w:rPr>
          <w:lang w:val="fr-FR"/>
        </w:rPr>
        <w:t>Beijing dans un format facile à lire.</w:t>
      </w:r>
    </w:p>
    <w:p w:rsidR="001126B0" w:rsidRPr="001126B0" w:rsidRDefault="001126B0" w:rsidP="001126B0">
      <w:pPr>
        <w:pStyle w:val="SingleTxt"/>
        <w:spacing w:after="0" w:line="120" w:lineRule="exact"/>
        <w:rPr>
          <w:sz w:val="10"/>
          <w:lang w:val="fr-FR"/>
        </w:rPr>
      </w:pPr>
    </w:p>
    <w:p w:rsidR="00E15507" w:rsidRDefault="001126B0" w:rsidP="001126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E15507" w:rsidRPr="005D6CD4">
        <w:rPr>
          <w:lang w:val="fr-FR"/>
        </w:rPr>
        <w:t>Défis</w:t>
      </w:r>
    </w:p>
    <w:p w:rsidR="001126B0" w:rsidRPr="001126B0" w:rsidRDefault="001126B0" w:rsidP="001126B0">
      <w:pPr>
        <w:pStyle w:val="SingleTxt"/>
        <w:spacing w:after="0" w:line="120" w:lineRule="exact"/>
        <w:rPr>
          <w:b/>
          <w:sz w:val="10"/>
          <w:lang w:val="fr-FR"/>
        </w:rPr>
      </w:pPr>
    </w:p>
    <w:p w:rsidR="00E15507" w:rsidRDefault="00E15507" w:rsidP="009546E1">
      <w:pPr>
        <w:pStyle w:val="SingleTxt"/>
        <w:numPr>
          <w:ilvl w:val="0"/>
          <w:numId w:val="43"/>
        </w:numPr>
        <w:tabs>
          <w:tab w:val="clear" w:pos="1987"/>
        </w:tabs>
        <w:ind w:left="1710" w:hanging="450"/>
        <w:rPr>
          <w:lang w:val="fr-FR"/>
        </w:rPr>
      </w:pPr>
      <w:r w:rsidRPr="005D6CD4">
        <w:rPr>
          <w:lang w:val="fr-FR"/>
        </w:rPr>
        <w:t xml:space="preserve">En général, les femmes ne participent pas à la prise des décisions au niveau </w:t>
      </w:r>
      <w:r>
        <w:rPr>
          <w:lang w:val="fr-FR"/>
        </w:rPr>
        <w:t>des collectivités</w:t>
      </w:r>
      <w:r w:rsidRPr="005D6CD4">
        <w:rPr>
          <w:lang w:val="fr-FR"/>
        </w:rPr>
        <w:t xml:space="preserve">, sauf si elles font partie du conseil traditionnel du village ou des comités de développement </w:t>
      </w:r>
      <w:r>
        <w:rPr>
          <w:lang w:val="fr-FR"/>
        </w:rPr>
        <w:t>de proximité</w:t>
      </w:r>
      <w:r w:rsidRPr="005D6CD4">
        <w:rPr>
          <w:lang w:val="fr-FR"/>
        </w:rPr>
        <w:t>. Toutefois, au niveau des ménages, la participation des femmes à la prise des décisions est</w:t>
      </w:r>
      <w:r>
        <w:rPr>
          <w:lang w:val="fr-FR"/>
        </w:rPr>
        <w:t xml:space="preserve"> </w:t>
      </w:r>
      <w:r w:rsidRPr="005D6CD4">
        <w:rPr>
          <w:lang w:val="fr-FR"/>
        </w:rPr>
        <w:t>accrue, parce qu</w:t>
      </w:r>
      <w:r w:rsidR="000A3D87">
        <w:rPr>
          <w:lang w:val="fr-FR"/>
        </w:rPr>
        <w:t>’</w:t>
      </w:r>
      <w:r w:rsidRPr="005D6CD4">
        <w:rPr>
          <w:lang w:val="fr-FR"/>
        </w:rPr>
        <w:t xml:space="preserve">il y a de plus en plus de ménages </w:t>
      </w:r>
      <w:r>
        <w:rPr>
          <w:lang w:val="fr-FR"/>
        </w:rPr>
        <w:t>dirigés</w:t>
      </w:r>
      <w:r w:rsidRPr="005D6CD4">
        <w:rPr>
          <w:lang w:val="fr-FR"/>
        </w:rPr>
        <w:t xml:space="preserve"> par les femmes, comme l</w:t>
      </w:r>
      <w:r w:rsidR="000A3D87">
        <w:rPr>
          <w:lang w:val="fr-FR"/>
        </w:rPr>
        <w:t>’</w:t>
      </w:r>
      <w:r w:rsidRPr="005D6CD4">
        <w:rPr>
          <w:lang w:val="fr-FR"/>
        </w:rPr>
        <w:t xml:space="preserve">indique le </w:t>
      </w:r>
      <w:r>
        <w:rPr>
          <w:lang w:val="fr-FR"/>
        </w:rPr>
        <w:t>Tableau</w:t>
      </w:r>
      <w:r w:rsidRPr="005D6CD4">
        <w:rPr>
          <w:lang w:val="fr-FR"/>
        </w:rPr>
        <w:t xml:space="preserve"> 14.2 ci-dessous.</w:t>
      </w:r>
    </w:p>
    <w:p w:rsidR="001126B0" w:rsidRDefault="001126B0" w:rsidP="001126B0">
      <w:pPr>
        <w:pStyle w:val="SingleTxt"/>
        <w:jc w:val="left"/>
        <w:rPr>
          <w:b/>
          <w:lang w:val="fr-FR"/>
        </w:rPr>
      </w:pPr>
      <w:r w:rsidRPr="001126B0">
        <w:rPr>
          <w:lang w:val="fr-FR"/>
        </w:rPr>
        <w:t>Table</w:t>
      </w:r>
      <w:r>
        <w:rPr>
          <w:lang w:val="fr-FR"/>
        </w:rPr>
        <w:t>au</w:t>
      </w:r>
      <w:r w:rsidRPr="001126B0">
        <w:rPr>
          <w:lang w:val="fr-FR"/>
        </w:rPr>
        <w:t xml:space="preserve"> 14.2</w:t>
      </w:r>
      <w:r>
        <w:rPr>
          <w:lang w:val="fr-FR"/>
        </w:rPr>
        <w:br/>
      </w:r>
      <w:r w:rsidRPr="001126B0">
        <w:rPr>
          <w:b/>
          <w:lang w:val="fr-FR"/>
        </w:rPr>
        <w:t>Niveaux de prise de décision par sexe</w:t>
      </w:r>
    </w:p>
    <w:p w:rsidR="001126B0" w:rsidRPr="001126B0" w:rsidRDefault="001126B0" w:rsidP="001126B0">
      <w:pPr>
        <w:pStyle w:val="SingleTxt"/>
        <w:spacing w:after="0" w:line="120" w:lineRule="exact"/>
        <w:jc w:val="left"/>
        <w:rPr>
          <w:b/>
          <w:sz w:val="10"/>
          <w:lang w:val="fr-FR"/>
        </w:rPr>
      </w:pPr>
    </w:p>
    <w:tbl>
      <w:tblPr>
        <w:tblW w:w="0" w:type="auto"/>
        <w:tblInd w:w="1260" w:type="dxa"/>
        <w:tblLayout w:type="fixed"/>
        <w:tblCellMar>
          <w:left w:w="0" w:type="dxa"/>
          <w:right w:w="0" w:type="dxa"/>
        </w:tblCellMar>
        <w:tblLook w:val="0000"/>
      </w:tblPr>
      <w:tblGrid>
        <w:gridCol w:w="2250"/>
        <w:gridCol w:w="1350"/>
        <w:gridCol w:w="1350"/>
      </w:tblGrid>
      <w:tr w:rsidR="001126B0" w:rsidRPr="001126B0">
        <w:tblPrEx>
          <w:tblCellMar>
            <w:top w:w="0" w:type="dxa"/>
            <w:bottom w:w="0" w:type="dxa"/>
          </w:tblCellMar>
        </w:tblPrEx>
        <w:trPr>
          <w:tblHeader/>
        </w:trPr>
        <w:tc>
          <w:tcPr>
            <w:tcW w:w="2250" w:type="dxa"/>
            <w:tcBorders>
              <w:top w:val="single" w:sz="4" w:space="0" w:color="auto"/>
              <w:bottom w:val="single" w:sz="12" w:space="0" w:color="auto"/>
            </w:tcBorders>
            <w:shd w:val="clear" w:color="auto" w:fill="auto"/>
            <w:vAlign w:val="bottom"/>
          </w:tcPr>
          <w:p w:rsidR="001126B0" w:rsidRPr="001126B0" w:rsidRDefault="001126B0" w:rsidP="001126B0">
            <w:pPr>
              <w:suppressAutoHyphens/>
              <w:spacing w:before="80" w:after="80" w:line="160" w:lineRule="exact"/>
              <w:ind w:right="43"/>
              <w:rPr>
                <w:i/>
                <w:sz w:val="14"/>
                <w:szCs w:val="24"/>
                <w:lang w:val="fr-FR"/>
              </w:rPr>
            </w:pPr>
            <w:r w:rsidRPr="001126B0">
              <w:rPr>
                <w:i/>
                <w:iCs/>
                <w:sz w:val="14"/>
                <w:szCs w:val="24"/>
                <w:lang w:val="fr-FR"/>
              </w:rPr>
              <w:t xml:space="preserve">Niveau/Type de prise de décision </w:t>
            </w:r>
          </w:p>
        </w:tc>
        <w:tc>
          <w:tcPr>
            <w:tcW w:w="1350" w:type="dxa"/>
            <w:tcBorders>
              <w:top w:val="single" w:sz="4" w:space="0" w:color="auto"/>
              <w:bottom w:val="single" w:sz="12" w:space="0" w:color="auto"/>
            </w:tcBorders>
            <w:shd w:val="clear" w:color="auto" w:fill="auto"/>
            <w:vAlign w:val="bottom"/>
          </w:tcPr>
          <w:p w:rsidR="001126B0" w:rsidRPr="001126B0" w:rsidRDefault="001126B0" w:rsidP="001126B0">
            <w:pPr>
              <w:suppressAutoHyphens/>
              <w:spacing w:before="80" w:after="80" w:line="160" w:lineRule="exact"/>
              <w:ind w:right="43"/>
              <w:jc w:val="right"/>
              <w:rPr>
                <w:i/>
                <w:iCs/>
                <w:sz w:val="14"/>
                <w:szCs w:val="24"/>
                <w:lang w:val="fr-FR"/>
              </w:rPr>
            </w:pPr>
            <w:r w:rsidRPr="001126B0">
              <w:rPr>
                <w:i/>
                <w:iCs/>
                <w:sz w:val="14"/>
                <w:szCs w:val="24"/>
                <w:lang w:val="fr-FR"/>
              </w:rPr>
              <w:t>Homme</w:t>
            </w:r>
          </w:p>
        </w:tc>
        <w:tc>
          <w:tcPr>
            <w:tcW w:w="1350" w:type="dxa"/>
            <w:tcBorders>
              <w:top w:val="single" w:sz="4" w:space="0" w:color="auto"/>
              <w:bottom w:val="single" w:sz="12" w:space="0" w:color="auto"/>
            </w:tcBorders>
            <w:shd w:val="clear" w:color="auto" w:fill="auto"/>
            <w:vAlign w:val="bottom"/>
          </w:tcPr>
          <w:p w:rsidR="001126B0" w:rsidRPr="001126B0" w:rsidRDefault="001126B0" w:rsidP="001126B0">
            <w:pPr>
              <w:suppressAutoHyphens/>
              <w:spacing w:before="80" w:after="80" w:line="160" w:lineRule="exact"/>
              <w:ind w:right="43"/>
              <w:jc w:val="right"/>
              <w:rPr>
                <w:i/>
                <w:iCs/>
                <w:sz w:val="14"/>
                <w:szCs w:val="24"/>
                <w:lang w:val="fr-FR"/>
              </w:rPr>
            </w:pPr>
            <w:r w:rsidRPr="001126B0">
              <w:rPr>
                <w:i/>
                <w:iCs/>
                <w:sz w:val="14"/>
                <w:szCs w:val="24"/>
                <w:lang w:val="fr-FR"/>
              </w:rPr>
              <w:t>Femme</w:t>
            </w:r>
          </w:p>
        </w:tc>
      </w:tr>
      <w:tr w:rsidR="001126B0" w:rsidRPr="001126B0">
        <w:tblPrEx>
          <w:tblCellMar>
            <w:top w:w="0" w:type="dxa"/>
            <w:bottom w:w="0" w:type="dxa"/>
          </w:tblCellMar>
        </w:tblPrEx>
        <w:trPr>
          <w:trHeight w:hRule="exact" w:val="115"/>
          <w:tblHeader/>
        </w:trPr>
        <w:tc>
          <w:tcPr>
            <w:tcW w:w="2250" w:type="dxa"/>
            <w:tcBorders>
              <w:top w:val="single" w:sz="12" w:space="0" w:color="auto"/>
            </w:tcBorders>
            <w:shd w:val="clear" w:color="auto" w:fill="auto"/>
            <w:vAlign w:val="bottom"/>
          </w:tcPr>
          <w:p w:rsidR="001126B0" w:rsidRPr="001126B0" w:rsidRDefault="001126B0" w:rsidP="001126B0">
            <w:pPr>
              <w:suppressAutoHyphens/>
              <w:spacing w:before="40" w:after="40" w:line="210" w:lineRule="exact"/>
              <w:ind w:right="43"/>
              <w:rPr>
                <w:iCs/>
                <w:sz w:val="17"/>
                <w:szCs w:val="24"/>
                <w:lang w:val="fr-FR"/>
              </w:rPr>
            </w:pPr>
          </w:p>
        </w:tc>
        <w:tc>
          <w:tcPr>
            <w:tcW w:w="1350" w:type="dxa"/>
            <w:tcBorders>
              <w:top w:val="single" w:sz="12" w:space="0" w:color="auto"/>
            </w:tcBorders>
            <w:shd w:val="clear" w:color="auto" w:fill="auto"/>
            <w:vAlign w:val="bottom"/>
          </w:tcPr>
          <w:p w:rsidR="001126B0" w:rsidRPr="001126B0" w:rsidRDefault="001126B0" w:rsidP="001126B0">
            <w:pPr>
              <w:tabs>
                <w:tab w:val="left" w:pos="288"/>
                <w:tab w:val="left" w:pos="576"/>
                <w:tab w:val="left" w:pos="864"/>
                <w:tab w:val="left" w:pos="1152"/>
              </w:tabs>
              <w:suppressAutoHyphens/>
              <w:spacing w:before="40" w:after="40" w:line="210" w:lineRule="exact"/>
              <w:ind w:right="43"/>
              <w:jc w:val="right"/>
              <w:rPr>
                <w:sz w:val="17"/>
                <w:lang w:val="fr-FR"/>
              </w:rPr>
            </w:pPr>
          </w:p>
        </w:tc>
        <w:tc>
          <w:tcPr>
            <w:tcW w:w="1350" w:type="dxa"/>
            <w:tcBorders>
              <w:top w:val="single" w:sz="12" w:space="0" w:color="auto"/>
            </w:tcBorders>
            <w:shd w:val="clear" w:color="auto" w:fill="auto"/>
            <w:vAlign w:val="bottom"/>
          </w:tcPr>
          <w:p w:rsidR="001126B0" w:rsidRPr="001126B0" w:rsidRDefault="001126B0" w:rsidP="001126B0">
            <w:pPr>
              <w:tabs>
                <w:tab w:val="left" w:pos="288"/>
                <w:tab w:val="left" w:pos="576"/>
                <w:tab w:val="left" w:pos="864"/>
                <w:tab w:val="left" w:pos="1152"/>
              </w:tabs>
              <w:suppressAutoHyphens/>
              <w:spacing w:before="40" w:after="40" w:line="210" w:lineRule="exact"/>
              <w:ind w:right="43"/>
              <w:jc w:val="right"/>
              <w:rPr>
                <w:sz w:val="17"/>
                <w:lang w:val="fr-FR"/>
              </w:rPr>
            </w:pPr>
          </w:p>
        </w:tc>
      </w:tr>
      <w:tr w:rsidR="001126B0" w:rsidRPr="001126B0">
        <w:tblPrEx>
          <w:tblCellMar>
            <w:top w:w="0" w:type="dxa"/>
            <w:bottom w:w="0" w:type="dxa"/>
          </w:tblCellMar>
        </w:tblPrEx>
        <w:tc>
          <w:tcPr>
            <w:tcW w:w="2250" w:type="dxa"/>
            <w:shd w:val="clear" w:color="auto" w:fill="auto"/>
            <w:vAlign w:val="bottom"/>
          </w:tcPr>
          <w:p w:rsidR="001126B0" w:rsidRPr="00717C94" w:rsidRDefault="001126B0" w:rsidP="001126B0">
            <w:pPr>
              <w:tabs>
                <w:tab w:val="left" w:pos="288"/>
                <w:tab w:val="left" w:pos="576"/>
                <w:tab w:val="left" w:pos="864"/>
                <w:tab w:val="left" w:pos="1152"/>
              </w:tabs>
              <w:suppressAutoHyphens/>
              <w:spacing w:before="40" w:after="40" w:line="210" w:lineRule="exact"/>
              <w:ind w:right="43"/>
              <w:rPr>
                <w:b/>
                <w:iCs/>
                <w:sz w:val="17"/>
                <w:szCs w:val="24"/>
                <w:lang w:val="fr-FR"/>
              </w:rPr>
            </w:pPr>
            <w:r w:rsidRPr="00717C94">
              <w:rPr>
                <w:b/>
                <w:iCs/>
                <w:sz w:val="17"/>
                <w:szCs w:val="24"/>
                <w:lang w:val="fr-FR"/>
              </w:rPr>
              <w:t>Type de communauté</w:t>
            </w:r>
          </w:p>
        </w:tc>
        <w:tc>
          <w:tcPr>
            <w:tcW w:w="1350" w:type="dxa"/>
            <w:shd w:val="clear" w:color="auto" w:fill="auto"/>
            <w:vAlign w:val="bottom"/>
          </w:tcPr>
          <w:p w:rsidR="001126B0" w:rsidRPr="001126B0" w:rsidRDefault="001126B0" w:rsidP="001126B0">
            <w:pPr>
              <w:tabs>
                <w:tab w:val="left" w:pos="288"/>
                <w:tab w:val="left" w:pos="576"/>
                <w:tab w:val="left" w:pos="864"/>
                <w:tab w:val="left" w:pos="1152"/>
              </w:tabs>
              <w:suppressAutoHyphens/>
              <w:spacing w:before="40" w:after="40" w:line="210" w:lineRule="exact"/>
              <w:ind w:right="43"/>
              <w:jc w:val="right"/>
              <w:rPr>
                <w:sz w:val="17"/>
                <w:lang w:val="fr-FR"/>
              </w:rPr>
            </w:pPr>
          </w:p>
        </w:tc>
        <w:tc>
          <w:tcPr>
            <w:tcW w:w="1350" w:type="dxa"/>
            <w:shd w:val="clear" w:color="auto" w:fill="auto"/>
            <w:vAlign w:val="bottom"/>
          </w:tcPr>
          <w:p w:rsidR="001126B0" w:rsidRPr="001126B0" w:rsidRDefault="001126B0" w:rsidP="001126B0">
            <w:pPr>
              <w:tabs>
                <w:tab w:val="left" w:pos="288"/>
                <w:tab w:val="left" w:pos="576"/>
                <w:tab w:val="left" w:pos="864"/>
                <w:tab w:val="left" w:pos="1152"/>
              </w:tabs>
              <w:suppressAutoHyphens/>
              <w:spacing w:before="40" w:after="40" w:line="210" w:lineRule="exact"/>
              <w:ind w:right="43"/>
              <w:jc w:val="right"/>
              <w:rPr>
                <w:sz w:val="17"/>
                <w:lang w:val="fr-FR"/>
              </w:rPr>
            </w:pPr>
          </w:p>
        </w:tc>
      </w:tr>
      <w:tr w:rsidR="001126B0" w:rsidRPr="001126B0">
        <w:tblPrEx>
          <w:tblCellMar>
            <w:top w:w="0" w:type="dxa"/>
            <w:bottom w:w="0" w:type="dxa"/>
          </w:tblCellMar>
        </w:tblPrEx>
        <w:tc>
          <w:tcPr>
            <w:tcW w:w="2250" w:type="dxa"/>
            <w:shd w:val="clear" w:color="auto" w:fill="auto"/>
            <w:vAlign w:val="bottom"/>
          </w:tcPr>
          <w:p w:rsidR="001126B0" w:rsidRPr="001126B0" w:rsidRDefault="001126B0" w:rsidP="001126B0">
            <w:pPr>
              <w:tabs>
                <w:tab w:val="left" w:pos="288"/>
                <w:tab w:val="left" w:pos="576"/>
                <w:tab w:val="left" w:pos="864"/>
                <w:tab w:val="left" w:pos="1152"/>
              </w:tabs>
              <w:suppressAutoHyphens/>
              <w:spacing w:before="40" w:after="40" w:line="210" w:lineRule="exact"/>
              <w:ind w:right="43"/>
              <w:jc w:val="both"/>
              <w:rPr>
                <w:iCs/>
                <w:sz w:val="17"/>
                <w:szCs w:val="24"/>
                <w:lang w:val="fr-FR"/>
              </w:rPr>
            </w:pPr>
            <w:r w:rsidRPr="001126B0">
              <w:rPr>
                <w:iCs/>
                <w:sz w:val="17"/>
                <w:szCs w:val="24"/>
                <w:lang w:val="fr-FR"/>
              </w:rPr>
              <w:t>Nationale</w:t>
            </w:r>
          </w:p>
        </w:tc>
        <w:tc>
          <w:tcPr>
            <w:tcW w:w="1350" w:type="dxa"/>
            <w:shd w:val="clear" w:color="auto" w:fill="auto"/>
            <w:vAlign w:val="bottom"/>
          </w:tcPr>
          <w:p w:rsidR="001126B0" w:rsidRPr="001126B0" w:rsidRDefault="001126B0" w:rsidP="001126B0">
            <w:pPr>
              <w:tabs>
                <w:tab w:val="left" w:pos="288"/>
                <w:tab w:val="left" w:pos="576"/>
                <w:tab w:val="left" w:pos="864"/>
                <w:tab w:val="left" w:pos="1152"/>
              </w:tabs>
              <w:suppressAutoHyphens/>
              <w:spacing w:before="40" w:after="40" w:line="210" w:lineRule="exact"/>
              <w:ind w:right="43"/>
              <w:jc w:val="right"/>
              <w:rPr>
                <w:sz w:val="17"/>
                <w:szCs w:val="24"/>
                <w:lang w:val="fr-FR"/>
              </w:rPr>
            </w:pPr>
            <w:r w:rsidRPr="001126B0">
              <w:rPr>
                <w:sz w:val="17"/>
                <w:szCs w:val="24"/>
                <w:lang w:val="fr-FR"/>
              </w:rPr>
              <w:t>23,7</w:t>
            </w:r>
          </w:p>
        </w:tc>
        <w:tc>
          <w:tcPr>
            <w:tcW w:w="1350" w:type="dxa"/>
            <w:shd w:val="clear" w:color="auto" w:fill="auto"/>
            <w:vAlign w:val="bottom"/>
          </w:tcPr>
          <w:p w:rsidR="001126B0" w:rsidRPr="001126B0" w:rsidRDefault="001126B0" w:rsidP="001126B0">
            <w:pPr>
              <w:tabs>
                <w:tab w:val="left" w:pos="288"/>
                <w:tab w:val="left" w:pos="576"/>
                <w:tab w:val="left" w:pos="864"/>
                <w:tab w:val="left" w:pos="1152"/>
              </w:tabs>
              <w:suppressAutoHyphens/>
              <w:spacing w:before="40" w:after="40" w:line="210" w:lineRule="exact"/>
              <w:ind w:right="43"/>
              <w:jc w:val="right"/>
              <w:rPr>
                <w:sz w:val="17"/>
                <w:szCs w:val="24"/>
                <w:lang w:val="fr-FR"/>
              </w:rPr>
            </w:pPr>
            <w:r w:rsidRPr="001126B0">
              <w:rPr>
                <w:sz w:val="17"/>
                <w:szCs w:val="24"/>
                <w:lang w:val="fr-FR"/>
              </w:rPr>
              <w:t>4,2</w:t>
            </w:r>
          </w:p>
        </w:tc>
      </w:tr>
      <w:tr w:rsidR="001126B0" w:rsidRPr="001126B0">
        <w:tblPrEx>
          <w:tblCellMar>
            <w:top w:w="0" w:type="dxa"/>
            <w:bottom w:w="0" w:type="dxa"/>
          </w:tblCellMar>
        </w:tblPrEx>
        <w:tc>
          <w:tcPr>
            <w:tcW w:w="2250" w:type="dxa"/>
            <w:shd w:val="clear" w:color="auto" w:fill="auto"/>
            <w:vAlign w:val="bottom"/>
          </w:tcPr>
          <w:p w:rsidR="001126B0" w:rsidRPr="001126B0" w:rsidRDefault="001126B0" w:rsidP="001126B0">
            <w:pPr>
              <w:tabs>
                <w:tab w:val="left" w:pos="288"/>
                <w:tab w:val="left" w:pos="576"/>
                <w:tab w:val="left" w:pos="864"/>
                <w:tab w:val="left" w:pos="1152"/>
              </w:tabs>
              <w:suppressAutoHyphens/>
              <w:spacing w:before="40" w:after="40" w:line="210" w:lineRule="exact"/>
              <w:ind w:right="43"/>
              <w:jc w:val="both"/>
              <w:rPr>
                <w:iCs/>
                <w:sz w:val="17"/>
                <w:szCs w:val="24"/>
                <w:lang w:val="fr-FR"/>
              </w:rPr>
            </w:pPr>
            <w:r w:rsidRPr="001126B0">
              <w:rPr>
                <w:iCs/>
                <w:sz w:val="17"/>
                <w:szCs w:val="24"/>
                <w:lang w:val="fr-FR"/>
              </w:rPr>
              <w:t>Rurale</w:t>
            </w:r>
          </w:p>
        </w:tc>
        <w:tc>
          <w:tcPr>
            <w:tcW w:w="1350" w:type="dxa"/>
            <w:shd w:val="clear" w:color="auto" w:fill="auto"/>
            <w:vAlign w:val="bottom"/>
          </w:tcPr>
          <w:p w:rsidR="001126B0" w:rsidRPr="001126B0" w:rsidRDefault="001126B0" w:rsidP="001126B0">
            <w:pPr>
              <w:tabs>
                <w:tab w:val="left" w:pos="288"/>
                <w:tab w:val="left" w:pos="576"/>
                <w:tab w:val="left" w:pos="864"/>
                <w:tab w:val="left" w:pos="1152"/>
              </w:tabs>
              <w:suppressAutoHyphens/>
              <w:spacing w:before="40" w:after="40" w:line="210" w:lineRule="exact"/>
              <w:ind w:right="43"/>
              <w:jc w:val="right"/>
              <w:rPr>
                <w:sz w:val="17"/>
                <w:szCs w:val="24"/>
                <w:lang w:val="fr-FR"/>
              </w:rPr>
            </w:pPr>
            <w:r w:rsidRPr="001126B0">
              <w:rPr>
                <w:sz w:val="17"/>
                <w:szCs w:val="24"/>
                <w:lang w:val="fr-FR"/>
              </w:rPr>
              <w:t>27</w:t>
            </w:r>
          </w:p>
        </w:tc>
        <w:tc>
          <w:tcPr>
            <w:tcW w:w="1350" w:type="dxa"/>
            <w:shd w:val="clear" w:color="auto" w:fill="auto"/>
            <w:vAlign w:val="bottom"/>
          </w:tcPr>
          <w:p w:rsidR="001126B0" w:rsidRPr="001126B0" w:rsidRDefault="001126B0" w:rsidP="001126B0">
            <w:pPr>
              <w:tabs>
                <w:tab w:val="left" w:pos="288"/>
                <w:tab w:val="left" w:pos="576"/>
                <w:tab w:val="left" w:pos="864"/>
                <w:tab w:val="left" w:pos="1152"/>
              </w:tabs>
              <w:suppressAutoHyphens/>
              <w:spacing w:before="40" w:after="40" w:line="210" w:lineRule="exact"/>
              <w:ind w:right="43"/>
              <w:jc w:val="right"/>
              <w:rPr>
                <w:sz w:val="17"/>
                <w:szCs w:val="24"/>
                <w:lang w:val="fr-FR"/>
              </w:rPr>
            </w:pPr>
            <w:r w:rsidRPr="001126B0">
              <w:rPr>
                <w:sz w:val="17"/>
                <w:szCs w:val="24"/>
                <w:lang w:val="fr-FR"/>
              </w:rPr>
              <w:t>4,6</w:t>
            </w:r>
          </w:p>
        </w:tc>
      </w:tr>
      <w:tr w:rsidR="001126B0" w:rsidRPr="001126B0">
        <w:tblPrEx>
          <w:tblCellMar>
            <w:top w:w="0" w:type="dxa"/>
            <w:bottom w:w="0" w:type="dxa"/>
          </w:tblCellMar>
        </w:tblPrEx>
        <w:tc>
          <w:tcPr>
            <w:tcW w:w="2250" w:type="dxa"/>
            <w:shd w:val="clear" w:color="auto" w:fill="auto"/>
            <w:vAlign w:val="bottom"/>
          </w:tcPr>
          <w:p w:rsidR="001126B0" w:rsidRPr="001126B0" w:rsidRDefault="001126B0" w:rsidP="001126B0">
            <w:pPr>
              <w:tabs>
                <w:tab w:val="left" w:pos="288"/>
                <w:tab w:val="left" w:pos="576"/>
                <w:tab w:val="left" w:pos="864"/>
                <w:tab w:val="left" w:pos="1152"/>
              </w:tabs>
              <w:suppressAutoHyphens/>
              <w:spacing w:before="40" w:after="40" w:line="210" w:lineRule="exact"/>
              <w:ind w:right="43"/>
              <w:jc w:val="both"/>
              <w:rPr>
                <w:iCs/>
                <w:sz w:val="17"/>
                <w:szCs w:val="24"/>
                <w:lang w:val="fr-FR"/>
              </w:rPr>
            </w:pPr>
            <w:r w:rsidRPr="001126B0">
              <w:rPr>
                <w:iCs/>
                <w:sz w:val="17"/>
                <w:szCs w:val="24"/>
                <w:lang w:val="fr-FR"/>
              </w:rPr>
              <w:t>Urbaine</w:t>
            </w:r>
          </w:p>
        </w:tc>
        <w:tc>
          <w:tcPr>
            <w:tcW w:w="1350" w:type="dxa"/>
            <w:shd w:val="clear" w:color="auto" w:fill="auto"/>
            <w:vAlign w:val="bottom"/>
          </w:tcPr>
          <w:p w:rsidR="001126B0" w:rsidRPr="001126B0" w:rsidRDefault="001126B0" w:rsidP="001126B0">
            <w:pPr>
              <w:tabs>
                <w:tab w:val="left" w:pos="288"/>
                <w:tab w:val="left" w:pos="576"/>
                <w:tab w:val="left" w:pos="864"/>
                <w:tab w:val="left" w:pos="1152"/>
              </w:tabs>
              <w:suppressAutoHyphens/>
              <w:spacing w:before="40" w:after="40" w:line="210" w:lineRule="exact"/>
              <w:ind w:right="43"/>
              <w:jc w:val="right"/>
              <w:rPr>
                <w:sz w:val="17"/>
                <w:szCs w:val="24"/>
                <w:lang w:val="fr-FR"/>
              </w:rPr>
            </w:pPr>
            <w:r w:rsidRPr="001126B0">
              <w:rPr>
                <w:sz w:val="17"/>
                <w:szCs w:val="24"/>
                <w:lang w:val="fr-FR"/>
              </w:rPr>
              <w:t>17,2</w:t>
            </w:r>
          </w:p>
        </w:tc>
        <w:tc>
          <w:tcPr>
            <w:tcW w:w="1350" w:type="dxa"/>
            <w:shd w:val="clear" w:color="auto" w:fill="auto"/>
            <w:vAlign w:val="bottom"/>
          </w:tcPr>
          <w:p w:rsidR="001126B0" w:rsidRPr="001126B0" w:rsidRDefault="001126B0" w:rsidP="001126B0">
            <w:pPr>
              <w:tabs>
                <w:tab w:val="left" w:pos="288"/>
                <w:tab w:val="left" w:pos="576"/>
                <w:tab w:val="left" w:pos="864"/>
                <w:tab w:val="left" w:pos="1152"/>
              </w:tabs>
              <w:suppressAutoHyphens/>
              <w:spacing w:before="40" w:after="40" w:line="210" w:lineRule="exact"/>
              <w:ind w:right="43"/>
              <w:jc w:val="right"/>
              <w:rPr>
                <w:sz w:val="17"/>
                <w:szCs w:val="24"/>
                <w:lang w:val="fr-FR"/>
              </w:rPr>
            </w:pPr>
            <w:r w:rsidRPr="001126B0">
              <w:rPr>
                <w:sz w:val="17"/>
                <w:szCs w:val="24"/>
                <w:lang w:val="fr-FR"/>
              </w:rPr>
              <w:t>3,2</w:t>
            </w:r>
          </w:p>
        </w:tc>
      </w:tr>
      <w:tr w:rsidR="001126B0" w:rsidRPr="001126B0">
        <w:tblPrEx>
          <w:tblCellMar>
            <w:top w:w="0" w:type="dxa"/>
            <w:bottom w:w="0" w:type="dxa"/>
          </w:tblCellMar>
        </w:tblPrEx>
        <w:tc>
          <w:tcPr>
            <w:tcW w:w="2250" w:type="dxa"/>
            <w:shd w:val="clear" w:color="auto" w:fill="auto"/>
            <w:vAlign w:val="bottom"/>
          </w:tcPr>
          <w:p w:rsidR="001126B0" w:rsidRPr="00717C94" w:rsidRDefault="001126B0" w:rsidP="001126B0">
            <w:pPr>
              <w:tabs>
                <w:tab w:val="left" w:pos="288"/>
                <w:tab w:val="left" w:pos="576"/>
                <w:tab w:val="left" w:pos="864"/>
                <w:tab w:val="left" w:pos="1152"/>
              </w:tabs>
              <w:suppressAutoHyphens/>
              <w:spacing w:before="40" w:after="40" w:line="210" w:lineRule="exact"/>
              <w:ind w:right="43"/>
              <w:jc w:val="both"/>
              <w:rPr>
                <w:b/>
                <w:iCs/>
                <w:sz w:val="17"/>
                <w:szCs w:val="24"/>
                <w:lang w:val="fr-FR"/>
              </w:rPr>
            </w:pPr>
            <w:r w:rsidRPr="00717C94">
              <w:rPr>
                <w:b/>
                <w:iCs/>
                <w:sz w:val="17"/>
                <w:szCs w:val="24"/>
                <w:lang w:val="fr-FR"/>
              </w:rPr>
              <w:t>Type de ménage</w:t>
            </w:r>
          </w:p>
        </w:tc>
        <w:tc>
          <w:tcPr>
            <w:tcW w:w="1350" w:type="dxa"/>
            <w:shd w:val="clear" w:color="auto" w:fill="auto"/>
            <w:vAlign w:val="bottom"/>
          </w:tcPr>
          <w:p w:rsidR="001126B0" w:rsidRPr="001126B0" w:rsidRDefault="001126B0" w:rsidP="001126B0">
            <w:pPr>
              <w:tabs>
                <w:tab w:val="left" w:pos="288"/>
                <w:tab w:val="left" w:pos="576"/>
                <w:tab w:val="left" w:pos="864"/>
                <w:tab w:val="left" w:pos="1152"/>
              </w:tabs>
              <w:suppressAutoHyphens/>
              <w:spacing w:before="40" w:after="40" w:line="210" w:lineRule="exact"/>
              <w:ind w:right="43"/>
              <w:jc w:val="right"/>
              <w:rPr>
                <w:sz w:val="17"/>
                <w:lang w:val="fr-FR"/>
              </w:rPr>
            </w:pPr>
          </w:p>
        </w:tc>
        <w:tc>
          <w:tcPr>
            <w:tcW w:w="1350" w:type="dxa"/>
            <w:shd w:val="clear" w:color="auto" w:fill="auto"/>
            <w:vAlign w:val="bottom"/>
          </w:tcPr>
          <w:p w:rsidR="001126B0" w:rsidRPr="001126B0" w:rsidRDefault="001126B0" w:rsidP="001126B0">
            <w:pPr>
              <w:tabs>
                <w:tab w:val="left" w:pos="288"/>
                <w:tab w:val="left" w:pos="576"/>
                <w:tab w:val="left" w:pos="864"/>
                <w:tab w:val="left" w:pos="1152"/>
              </w:tabs>
              <w:suppressAutoHyphens/>
              <w:spacing w:before="40" w:after="40" w:line="210" w:lineRule="exact"/>
              <w:ind w:right="43"/>
              <w:jc w:val="right"/>
              <w:rPr>
                <w:sz w:val="17"/>
                <w:lang w:val="fr-FR"/>
              </w:rPr>
            </w:pPr>
          </w:p>
        </w:tc>
      </w:tr>
      <w:tr w:rsidR="001126B0" w:rsidRPr="001126B0">
        <w:tblPrEx>
          <w:tblCellMar>
            <w:top w:w="0" w:type="dxa"/>
            <w:bottom w:w="0" w:type="dxa"/>
          </w:tblCellMar>
        </w:tblPrEx>
        <w:tc>
          <w:tcPr>
            <w:tcW w:w="2250" w:type="dxa"/>
            <w:shd w:val="clear" w:color="auto" w:fill="auto"/>
            <w:vAlign w:val="bottom"/>
          </w:tcPr>
          <w:p w:rsidR="001126B0" w:rsidRPr="001126B0" w:rsidRDefault="001126B0" w:rsidP="001126B0">
            <w:pPr>
              <w:tabs>
                <w:tab w:val="left" w:pos="288"/>
                <w:tab w:val="left" w:pos="576"/>
                <w:tab w:val="left" w:pos="864"/>
                <w:tab w:val="left" w:pos="1152"/>
              </w:tabs>
              <w:suppressAutoHyphens/>
              <w:spacing w:before="40" w:after="40" w:line="210" w:lineRule="exact"/>
              <w:ind w:right="43"/>
              <w:jc w:val="both"/>
              <w:rPr>
                <w:iCs/>
                <w:sz w:val="17"/>
                <w:szCs w:val="24"/>
                <w:lang w:val="fr-FR"/>
              </w:rPr>
            </w:pPr>
            <w:r w:rsidRPr="001126B0">
              <w:rPr>
                <w:iCs/>
                <w:sz w:val="17"/>
                <w:szCs w:val="24"/>
                <w:lang w:val="fr-FR"/>
              </w:rPr>
              <w:t>National</w:t>
            </w:r>
          </w:p>
        </w:tc>
        <w:tc>
          <w:tcPr>
            <w:tcW w:w="1350" w:type="dxa"/>
            <w:shd w:val="clear" w:color="auto" w:fill="auto"/>
            <w:vAlign w:val="bottom"/>
          </w:tcPr>
          <w:p w:rsidR="001126B0" w:rsidRPr="001126B0" w:rsidRDefault="001126B0" w:rsidP="001126B0">
            <w:pPr>
              <w:tabs>
                <w:tab w:val="left" w:pos="288"/>
                <w:tab w:val="left" w:pos="576"/>
                <w:tab w:val="left" w:pos="864"/>
                <w:tab w:val="left" w:pos="1152"/>
              </w:tabs>
              <w:suppressAutoHyphens/>
              <w:spacing w:before="40" w:after="40" w:line="210" w:lineRule="exact"/>
              <w:ind w:right="43"/>
              <w:jc w:val="right"/>
              <w:rPr>
                <w:sz w:val="17"/>
                <w:szCs w:val="24"/>
                <w:lang w:val="fr-FR"/>
              </w:rPr>
            </w:pPr>
            <w:r w:rsidRPr="001126B0">
              <w:rPr>
                <w:sz w:val="17"/>
                <w:szCs w:val="24"/>
                <w:lang w:val="fr-FR"/>
              </w:rPr>
              <w:t>74,2</w:t>
            </w:r>
          </w:p>
        </w:tc>
        <w:tc>
          <w:tcPr>
            <w:tcW w:w="1350" w:type="dxa"/>
            <w:shd w:val="clear" w:color="auto" w:fill="auto"/>
            <w:vAlign w:val="bottom"/>
          </w:tcPr>
          <w:p w:rsidR="001126B0" w:rsidRPr="001126B0" w:rsidRDefault="001126B0" w:rsidP="001126B0">
            <w:pPr>
              <w:tabs>
                <w:tab w:val="left" w:pos="288"/>
                <w:tab w:val="left" w:pos="576"/>
                <w:tab w:val="left" w:pos="864"/>
                <w:tab w:val="left" w:pos="1152"/>
              </w:tabs>
              <w:suppressAutoHyphens/>
              <w:spacing w:before="40" w:after="40" w:line="210" w:lineRule="exact"/>
              <w:ind w:right="43"/>
              <w:jc w:val="right"/>
              <w:rPr>
                <w:sz w:val="17"/>
                <w:szCs w:val="24"/>
                <w:lang w:val="fr-FR"/>
              </w:rPr>
            </w:pPr>
            <w:r w:rsidRPr="001126B0">
              <w:rPr>
                <w:sz w:val="17"/>
                <w:szCs w:val="24"/>
                <w:lang w:val="fr-FR"/>
              </w:rPr>
              <w:t>72,8</w:t>
            </w:r>
          </w:p>
        </w:tc>
      </w:tr>
      <w:tr w:rsidR="001126B0" w:rsidRPr="001126B0">
        <w:tblPrEx>
          <w:tblCellMar>
            <w:top w:w="0" w:type="dxa"/>
            <w:bottom w:w="0" w:type="dxa"/>
          </w:tblCellMar>
        </w:tblPrEx>
        <w:tc>
          <w:tcPr>
            <w:tcW w:w="2250" w:type="dxa"/>
            <w:shd w:val="clear" w:color="auto" w:fill="auto"/>
            <w:vAlign w:val="bottom"/>
          </w:tcPr>
          <w:p w:rsidR="001126B0" w:rsidRPr="001126B0" w:rsidRDefault="001126B0" w:rsidP="001126B0">
            <w:pPr>
              <w:tabs>
                <w:tab w:val="left" w:pos="288"/>
                <w:tab w:val="left" w:pos="576"/>
                <w:tab w:val="left" w:pos="864"/>
                <w:tab w:val="left" w:pos="1152"/>
              </w:tabs>
              <w:suppressAutoHyphens/>
              <w:spacing w:before="40" w:after="40" w:line="210" w:lineRule="exact"/>
              <w:ind w:right="43"/>
              <w:jc w:val="both"/>
              <w:rPr>
                <w:iCs/>
                <w:sz w:val="17"/>
                <w:szCs w:val="24"/>
                <w:lang w:val="fr-FR"/>
              </w:rPr>
            </w:pPr>
            <w:r w:rsidRPr="001126B0">
              <w:rPr>
                <w:iCs/>
                <w:sz w:val="17"/>
                <w:szCs w:val="24"/>
                <w:lang w:val="fr-FR"/>
              </w:rPr>
              <w:t>Rural</w:t>
            </w:r>
          </w:p>
        </w:tc>
        <w:tc>
          <w:tcPr>
            <w:tcW w:w="1350" w:type="dxa"/>
            <w:shd w:val="clear" w:color="auto" w:fill="auto"/>
            <w:vAlign w:val="bottom"/>
          </w:tcPr>
          <w:p w:rsidR="001126B0" w:rsidRPr="001126B0" w:rsidRDefault="001126B0" w:rsidP="001126B0">
            <w:pPr>
              <w:tabs>
                <w:tab w:val="left" w:pos="288"/>
                <w:tab w:val="left" w:pos="576"/>
                <w:tab w:val="left" w:pos="864"/>
                <w:tab w:val="left" w:pos="1152"/>
              </w:tabs>
              <w:suppressAutoHyphens/>
              <w:spacing w:before="40" w:after="40" w:line="210" w:lineRule="exact"/>
              <w:ind w:right="43"/>
              <w:jc w:val="right"/>
              <w:rPr>
                <w:sz w:val="17"/>
                <w:szCs w:val="24"/>
                <w:lang w:val="fr-FR"/>
              </w:rPr>
            </w:pPr>
            <w:r w:rsidRPr="001126B0">
              <w:rPr>
                <w:sz w:val="17"/>
                <w:szCs w:val="24"/>
                <w:lang w:val="fr-FR"/>
              </w:rPr>
              <w:t>74,4</w:t>
            </w:r>
          </w:p>
        </w:tc>
        <w:tc>
          <w:tcPr>
            <w:tcW w:w="1350" w:type="dxa"/>
            <w:shd w:val="clear" w:color="auto" w:fill="auto"/>
            <w:vAlign w:val="bottom"/>
          </w:tcPr>
          <w:p w:rsidR="001126B0" w:rsidRPr="001126B0" w:rsidRDefault="001126B0" w:rsidP="001126B0">
            <w:pPr>
              <w:tabs>
                <w:tab w:val="left" w:pos="288"/>
                <w:tab w:val="left" w:pos="576"/>
                <w:tab w:val="left" w:pos="864"/>
                <w:tab w:val="left" w:pos="1152"/>
              </w:tabs>
              <w:suppressAutoHyphens/>
              <w:spacing w:before="40" w:after="40" w:line="210" w:lineRule="exact"/>
              <w:ind w:right="43"/>
              <w:jc w:val="right"/>
              <w:rPr>
                <w:sz w:val="17"/>
                <w:szCs w:val="24"/>
                <w:lang w:val="fr-FR"/>
              </w:rPr>
            </w:pPr>
            <w:r w:rsidRPr="001126B0">
              <w:rPr>
                <w:sz w:val="17"/>
                <w:szCs w:val="24"/>
                <w:lang w:val="fr-FR"/>
              </w:rPr>
              <w:t>72,9</w:t>
            </w:r>
          </w:p>
        </w:tc>
      </w:tr>
      <w:tr w:rsidR="001126B0" w:rsidRPr="001126B0">
        <w:tblPrEx>
          <w:tblCellMar>
            <w:top w:w="0" w:type="dxa"/>
            <w:bottom w:w="0" w:type="dxa"/>
          </w:tblCellMar>
        </w:tblPrEx>
        <w:tc>
          <w:tcPr>
            <w:tcW w:w="2250" w:type="dxa"/>
            <w:tcBorders>
              <w:bottom w:val="single" w:sz="12" w:space="0" w:color="auto"/>
            </w:tcBorders>
            <w:shd w:val="clear" w:color="auto" w:fill="auto"/>
            <w:vAlign w:val="bottom"/>
          </w:tcPr>
          <w:p w:rsidR="001126B0" w:rsidRPr="001126B0" w:rsidRDefault="001126B0" w:rsidP="001126B0">
            <w:pPr>
              <w:tabs>
                <w:tab w:val="left" w:pos="288"/>
                <w:tab w:val="left" w:pos="576"/>
                <w:tab w:val="left" w:pos="864"/>
                <w:tab w:val="left" w:pos="1152"/>
              </w:tabs>
              <w:suppressAutoHyphens/>
              <w:spacing w:before="40" w:after="40" w:line="210" w:lineRule="exact"/>
              <w:ind w:right="43"/>
              <w:jc w:val="both"/>
              <w:rPr>
                <w:iCs/>
                <w:sz w:val="17"/>
                <w:szCs w:val="24"/>
                <w:lang w:val="fr-FR"/>
              </w:rPr>
            </w:pPr>
            <w:r w:rsidRPr="001126B0">
              <w:rPr>
                <w:iCs/>
                <w:sz w:val="17"/>
                <w:szCs w:val="24"/>
                <w:lang w:val="fr-FR"/>
              </w:rPr>
              <w:t>Urbain</w:t>
            </w:r>
          </w:p>
        </w:tc>
        <w:tc>
          <w:tcPr>
            <w:tcW w:w="1350" w:type="dxa"/>
            <w:tcBorders>
              <w:bottom w:val="single" w:sz="12" w:space="0" w:color="auto"/>
            </w:tcBorders>
            <w:shd w:val="clear" w:color="auto" w:fill="auto"/>
            <w:vAlign w:val="bottom"/>
          </w:tcPr>
          <w:p w:rsidR="001126B0" w:rsidRPr="001126B0" w:rsidRDefault="001126B0" w:rsidP="001126B0">
            <w:pPr>
              <w:tabs>
                <w:tab w:val="left" w:pos="288"/>
                <w:tab w:val="left" w:pos="576"/>
                <w:tab w:val="left" w:pos="864"/>
                <w:tab w:val="left" w:pos="1152"/>
              </w:tabs>
              <w:suppressAutoHyphens/>
              <w:spacing w:before="40" w:after="40" w:line="210" w:lineRule="exact"/>
              <w:ind w:right="43"/>
              <w:jc w:val="right"/>
              <w:rPr>
                <w:sz w:val="17"/>
                <w:szCs w:val="24"/>
                <w:lang w:val="fr-FR"/>
              </w:rPr>
            </w:pPr>
            <w:r w:rsidRPr="001126B0">
              <w:rPr>
                <w:sz w:val="17"/>
                <w:szCs w:val="24"/>
                <w:lang w:val="fr-FR"/>
              </w:rPr>
              <w:t>73,9</w:t>
            </w:r>
          </w:p>
        </w:tc>
        <w:tc>
          <w:tcPr>
            <w:tcW w:w="1350" w:type="dxa"/>
            <w:tcBorders>
              <w:bottom w:val="single" w:sz="12" w:space="0" w:color="auto"/>
            </w:tcBorders>
            <w:shd w:val="clear" w:color="auto" w:fill="auto"/>
            <w:vAlign w:val="bottom"/>
          </w:tcPr>
          <w:p w:rsidR="001126B0" w:rsidRPr="001126B0" w:rsidRDefault="001126B0" w:rsidP="001126B0">
            <w:pPr>
              <w:tabs>
                <w:tab w:val="left" w:pos="288"/>
                <w:tab w:val="left" w:pos="576"/>
                <w:tab w:val="left" w:pos="864"/>
                <w:tab w:val="left" w:pos="1152"/>
              </w:tabs>
              <w:suppressAutoHyphens/>
              <w:spacing w:before="40" w:after="40" w:line="210" w:lineRule="exact"/>
              <w:ind w:right="43"/>
              <w:jc w:val="right"/>
              <w:rPr>
                <w:sz w:val="17"/>
                <w:szCs w:val="24"/>
                <w:lang w:val="fr-FR"/>
              </w:rPr>
            </w:pPr>
            <w:r w:rsidRPr="001126B0">
              <w:rPr>
                <w:sz w:val="17"/>
                <w:szCs w:val="24"/>
                <w:lang w:val="fr-FR"/>
              </w:rPr>
              <w:t>72,7</w:t>
            </w:r>
          </w:p>
        </w:tc>
      </w:tr>
    </w:tbl>
    <w:p w:rsidR="002375F5" w:rsidRPr="002375F5" w:rsidRDefault="002375F5" w:rsidP="002375F5">
      <w:pPr>
        <w:pStyle w:val="SingleTxt"/>
        <w:spacing w:after="0" w:line="120" w:lineRule="exact"/>
        <w:jc w:val="left"/>
        <w:rPr>
          <w:i/>
          <w:iCs/>
          <w:sz w:val="10"/>
          <w:szCs w:val="17"/>
          <w:lang w:val="fr-FR"/>
        </w:rPr>
      </w:pPr>
    </w:p>
    <w:p w:rsidR="001126B0" w:rsidRPr="002375F5" w:rsidRDefault="002375F5" w:rsidP="001126B0">
      <w:pPr>
        <w:pStyle w:val="SingleTxt"/>
        <w:jc w:val="left"/>
        <w:rPr>
          <w:sz w:val="17"/>
          <w:szCs w:val="17"/>
          <w:lang w:val="fr-FR"/>
        </w:rPr>
      </w:pPr>
      <w:r w:rsidRPr="002375F5">
        <w:rPr>
          <w:i/>
          <w:iCs/>
          <w:sz w:val="17"/>
          <w:szCs w:val="17"/>
          <w:lang w:val="fr-FR"/>
        </w:rPr>
        <w:t xml:space="preserve">Source </w:t>
      </w:r>
      <w:r w:rsidRPr="002375F5">
        <w:rPr>
          <w:iCs/>
          <w:sz w:val="17"/>
          <w:szCs w:val="17"/>
          <w:lang w:val="fr-FR"/>
        </w:rPr>
        <w:t>: NBS, CWIQ 2006</w:t>
      </w:r>
    </w:p>
    <w:p w:rsidR="00E15507" w:rsidRPr="005D6CD4" w:rsidRDefault="00E15507" w:rsidP="009546E1">
      <w:pPr>
        <w:pStyle w:val="SingleTxt"/>
        <w:numPr>
          <w:ilvl w:val="0"/>
          <w:numId w:val="43"/>
        </w:numPr>
        <w:tabs>
          <w:tab w:val="clear" w:pos="1987"/>
        </w:tabs>
        <w:ind w:left="1710" w:hanging="450"/>
        <w:rPr>
          <w:lang w:val="fr-FR"/>
        </w:rPr>
      </w:pPr>
      <w:r w:rsidRPr="005D6CD4">
        <w:rPr>
          <w:lang w:val="fr-FR"/>
        </w:rPr>
        <w:t>Accès limité des femmes rurales à la justice à cause des frais élevés et</w:t>
      </w:r>
      <w:r>
        <w:rPr>
          <w:lang w:val="fr-FR"/>
        </w:rPr>
        <w:t xml:space="preserve"> </w:t>
      </w:r>
      <w:r w:rsidRPr="005D6CD4">
        <w:rPr>
          <w:lang w:val="fr-FR"/>
        </w:rPr>
        <w:t>de leur faible capacité à défendre leurs droits. La plupart des organisations qui offrent gratuitement des</w:t>
      </w:r>
      <w:r>
        <w:rPr>
          <w:lang w:val="fr-FR"/>
        </w:rPr>
        <w:t xml:space="preserve"> </w:t>
      </w:r>
      <w:r w:rsidRPr="005D6CD4">
        <w:rPr>
          <w:lang w:val="fr-FR"/>
        </w:rPr>
        <w:t xml:space="preserve">services </w:t>
      </w:r>
      <w:r>
        <w:rPr>
          <w:lang w:val="fr-FR"/>
        </w:rPr>
        <w:t>d</w:t>
      </w:r>
      <w:r w:rsidR="000A3D87">
        <w:rPr>
          <w:lang w:val="fr-FR"/>
        </w:rPr>
        <w:t>’</w:t>
      </w:r>
      <w:r>
        <w:rPr>
          <w:lang w:val="fr-FR"/>
        </w:rPr>
        <w:t xml:space="preserve">assistance judiciaire </w:t>
      </w:r>
      <w:r w:rsidRPr="005D6CD4">
        <w:rPr>
          <w:lang w:val="fr-FR"/>
        </w:rPr>
        <w:t>sont installées dans des centres urbains.</w:t>
      </w:r>
    </w:p>
    <w:p w:rsidR="00E15507" w:rsidRPr="005D6CD4" w:rsidRDefault="00E15507" w:rsidP="009546E1">
      <w:pPr>
        <w:pStyle w:val="SingleTxt"/>
        <w:numPr>
          <w:ilvl w:val="0"/>
          <w:numId w:val="43"/>
        </w:numPr>
        <w:tabs>
          <w:tab w:val="clear" w:pos="1987"/>
        </w:tabs>
        <w:ind w:left="1710" w:hanging="450"/>
        <w:rPr>
          <w:lang w:val="fr-FR"/>
        </w:rPr>
      </w:pPr>
      <w:r w:rsidRPr="005D6CD4">
        <w:rPr>
          <w:lang w:val="fr-FR"/>
        </w:rPr>
        <w:t>L</w:t>
      </w:r>
      <w:r w:rsidR="000A3D87">
        <w:rPr>
          <w:lang w:val="fr-FR"/>
        </w:rPr>
        <w:t>’</w:t>
      </w:r>
      <w:r w:rsidRPr="005D6CD4">
        <w:rPr>
          <w:lang w:val="fr-FR"/>
        </w:rPr>
        <w:t>accès limité à l</w:t>
      </w:r>
      <w:r w:rsidR="000A3D87">
        <w:rPr>
          <w:lang w:val="fr-FR"/>
        </w:rPr>
        <w:t>’</w:t>
      </w:r>
      <w:r w:rsidRPr="005D6CD4">
        <w:rPr>
          <w:lang w:val="fr-FR"/>
        </w:rPr>
        <w:t>information du fait de l</w:t>
      </w:r>
      <w:r w:rsidR="000A3D87">
        <w:rPr>
          <w:lang w:val="fr-FR"/>
        </w:rPr>
        <w:t>’</w:t>
      </w:r>
      <w:r w:rsidRPr="005D6CD4">
        <w:rPr>
          <w:lang w:val="fr-FR"/>
        </w:rPr>
        <w:t>absence d</w:t>
      </w:r>
      <w:r w:rsidR="000A3D87">
        <w:rPr>
          <w:lang w:val="fr-FR"/>
        </w:rPr>
        <w:t>’</w:t>
      </w:r>
      <w:r w:rsidRPr="005D6CD4">
        <w:rPr>
          <w:lang w:val="fr-FR"/>
        </w:rPr>
        <w:t>électricité et de l</w:t>
      </w:r>
      <w:r w:rsidR="000A3D87">
        <w:rPr>
          <w:lang w:val="fr-FR"/>
        </w:rPr>
        <w:t>’</w:t>
      </w:r>
      <w:r w:rsidRPr="005D6CD4">
        <w:rPr>
          <w:lang w:val="fr-FR"/>
        </w:rPr>
        <w:t>insuffisance de connaissances et d</w:t>
      </w:r>
      <w:r w:rsidR="000A3D87">
        <w:rPr>
          <w:lang w:val="fr-FR"/>
        </w:rPr>
        <w:t>’</w:t>
      </w:r>
      <w:r w:rsidRPr="005D6CD4">
        <w:rPr>
          <w:lang w:val="fr-FR"/>
        </w:rPr>
        <w:t>aptitudes pour l</w:t>
      </w:r>
      <w:r w:rsidR="000A3D87">
        <w:rPr>
          <w:lang w:val="fr-FR"/>
        </w:rPr>
        <w:t>’</w:t>
      </w:r>
      <w:r w:rsidRPr="005D6CD4">
        <w:rPr>
          <w:lang w:val="fr-FR"/>
        </w:rPr>
        <w:t>utilisation des technologies de l</w:t>
      </w:r>
      <w:r w:rsidR="000A3D87">
        <w:rPr>
          <w:lang w:val="fr-FR"/>
        </w:rPr>
        <w:t>’</w:t>
      </w:r>
      <w:r w:rsidRPr="005D6CD4">
        <w:rPr>
          <w:lang w:val="fr-FR"/>
        </w:rPr>
        <w:t xml:space="preserve">information constitue un obstacle </w:t>
      </w:r>
      <w:r>
        <w:rPr>
          <w:lang w:val="fr-FR"/>
        </w:rPr>
        <w:t>de taille</w:t>
      </w:r>
      <w:r w:rsidRPr="005D6CD4">
        <w:rPr>
          <w:lang w:val="fr-FR"/>
        </w:rPr>
        <w:t xml:space="preserve"> pour l</w:t>
      </w:r>
      <w:r w:rsidR="000A3D87">
        <w:rPr>
          <w:lang w:val="fr-FR"/>
        </w:rPr>
        <w:t>’</w:t>
      </w:r>
      <w:r w:rsidRPr="005D6CD4">
        <w:rPr>
          <w:lang w:val="fr-FR"/>
        </w:rPr>
        <w:t>épanouissement des femmes dans les co</w:t>
      </w:r>
      <w:r>
        <w:rPr>
          <w:lang w:val="fr-FR"/>
        </w:rPr>
        <w:t xml:space="preserve">llectivités </w:t>
      </w:r>
      <w:r w:rsidRPr="005D6CD4">
        <w:rPr>
          <w:lang w:val="fr-FR"/>
        </w:rPr>
        <w:t>rurales.</w:t>
      </w:r>
    </w:p>
    <w:p w:rsidR="00E15507" w:rsidRPr="005D6CD4" w:rsidRDefault="00E15507" w:rsidP="009546E1">
      <w:pPr>
        <w:pStyle w:val="SingleTxt"/>
        <w:numPr>
          <w:ilvl w:val="0"/>
          <w:numId w:val="43"/>
        </w:numPr>
        <w:tabs>
          <w:tab w:val="clear" w:pos="1987"/>
        </w:tabs>
        <w:ind w:left="1710" w:hanging="450"/>
        <w:rPr>
          <w:lang w:val="fr-FR"/>
        </w:rPr>
      </w:pPr>
      <w:r w:rsidRPr="005D6CD4">
        <w:rPr>
          <w:lang w:val="fr-FR"/>
        </w:rPr>
        <w:t>Absence d</w:t>
      </w:r>
      <w:r w:rsidR="000A3D87">
        <w:rPr>
          <w:lang w:val="fr-FR"/>
        </w:rPr>
        <w:t>’</w:t>
      </w:r>
      <w:r w:rsidRPr="005D6CD4">
        <w:rPr>
          <w:lang w:val="fr-FR"/>
        </w:rPr>
        <w:t>égalité d</w:t>
      </w:r>
      <w:r w:rsidR="000A3D87">
        <w:rPr>
          <w:lang w:val="fr-FR"/>
        </w:rPr>
        <w:t>’</w:t>
      </w:r>
      <w:r w:rsidRPr="005D6CD4">
        <w:rPr>
          <w:lang w:val="fr-FR"/>
        </w:rPr>
        <w:t>accès</w:t>
      </w:r>
      <w:r>
        <w:rPr>
          <w:lang w:val="fr-FR"/>
        </w:rPr>
        <w:t xml:space="preserve"> </w:t>
      </w:r>
      <w:r w:rsidRPr="005D6CD4">
        <w:rPr>
          <w:lang w:val="fr-FR"/>
        </w:rPr>
        <w:t>à la terre et d</w:t>
      </w:r>
      <w:r w:rsidR="000A3D87">
        <w:rPr>
          <w:lang w:val="fr-FR"/>
        </w:rPr>
        <w:t>’</w:t>
      </w:r>
      <w:r w:rsidRPr="005D6CD4">
        <w:rPr>
          <w:lang w:val="fr-FR"/>
        </w:rPr>
        <w:t>occasion de contribuer au processus décisionnel</w:t>
      </w:r>
      <w:r>
        <w:rPr>
          <w:lang w:val="fr-FR"/>
        </w:rPr>
        <w:t xml:space="preserve"> </w:t>
      </w:r>
      <w:r w:rsidRPr="005D6CD4">
        <w:rPr>
          <w:lang w:val="fr-FR"/>
        </w:rPr>
        <w:t xml:space="preserve">au niveau communautaire. </w:t>
      </w:r>
    </w:p>
    <w:p w:rsidR="00E15507" w:rsidRPr="005D6CD4" w:rsidRDefault="00E15507" w:rsidP="009546E1">
      <w:pPr>
        <w:pStyle w:val="SingleTxt"/>
        <w:numPr>
          <w:ilvl w:val="0"/>
          <w:numId w:val="43"/>
        </w:numPr>
        <w:tabs>
          <w:tab w:val="clear" w:pos="1987"/>
        </w:tabs>
        <w:ind w:left="1710" w:hanging="450"/>
        <w:rPr>
          <w:lang w:val="fr-FR"/>
        </w:rPr>
      </w:pPr>
      <w:r w:rsidRPr="005D6CD4">
        <w:rPr>
          <w:lang w:val="fr-FR"/>
        </w:rPr>
        <w:t>Manque d</w:t>
      </w:r>
      <w:r w:rsidR="000A3D87">
        <w:rPr>
          <w:lang w:val="fr-FR"/>
        </w:rPr>
        <w:t>’</w:t>
      </w:r>
      <w:r w:rsidRPr="005D6CD4">
        <w:rPr>
          <w:lang w:val="fr-FR"/>
        </w:rPr>
        <w:t>équipement approprié pour cultiver, récolter, transformer et stocker les produits pour les femmes.</w:t>
      </w:r>
      <w:r>
        <w:rPr>
          <w:lang w:val="fr-FR"/>
        </w:rPr>
        <w:t xml:space="preserve"> </w:t>
      </w:r>
    </w:p>
    <w:p w:rsidR="00E15507" w:rsidRDefault="00E15507" w:rsidP="009546E1">
      <w:pPr>
        <w:pStyle w:val="SingleTxt"/>
        <w:numPr>
          <w:ilvl w:val="0"/>
          <w:numId w:val="43"/>
        </w:numPr>
        <w:tabs>
          <w:tab w:val="clear" w:pos="1987"/>
        </w:tabs>
        <w:ind w:left="1710" w:hanging="450"/>
        <w:rPr>
          <w:lang w:val="fr-FR"/>
        </w:rPr>
      </w:pPr>
      <w:r w:rsidRPr="005D6CD4">
        <w:rPr>
          <w:lang w:val="fr-FR"/>
        </w:rPr>
        <w:t>Croyances traditionnelles selon lesquelles l</w:t>
      </w:r>
      <w:r w:rsidR="000A3D87">
        <w:rPr>
          <w:lang w:val="fr-FR"/>
        </w:rPr>
        <w:t>’</w:t>
      </w:r>
      <w:r w:rsidRPr="005D6CD4">
        <w:rPr>
          <w:lang w:val="fr-FR"/>
        </w:rPr>
        <w:t>utilisation des technologies modernes empêche le progrès des femmes dans l</w:t>
      </w:r>
      <w:r w:rsidR="000A3D87">
        <w:rPr>
          <w:lang w:val="fr-FR"/>
        </w:rPr>
        <w:t>’</w:t>
      </w:r>
      <w:r w:rsidRPr="005D6CD4">
        <w:rPr>
          <w:lang w:val="fr-FR"/>
        </w:rPr>
        <w:t xml:space="preserve">agriculture </w:t>
      </w:r>
      <w:r>
        <w:rPr>
          <w:lang w:val="fr-FR"/>
        </w:rPr>
        <w:t xml:space="preserve">dans les </w:t>
      </w:r>
      <w:r w:rsidRPr="005D6CD4">
        <w:rPr>
          <w:lang w:val="fr-FR"/>
        </w:rPr>
        <w:t>zones rurales.</w:t>
      </w:r>
    </w:p>
    <w:p w:rsidR="002375F5" w:rsidRPr="002375F5" w:rsidRDefault="002375F5" w:rsidP="002375F5">
      <w:pPr>
        <w:pStyle w:val="SingleTxt"/>
        <w:spacing w:after="0" w:line="120" w:lineRule="exact"/>
        <w:rPr>
          <w:sz w:val="10"/>
          <w:lang w:val="fr-FR"/>
        </w:rPr>
      </w:pPr>
    </w:p>
    <w:p w:rsidR="002375F5" w:rsidRPr="002375F5" w:rsidRDefault="002375F5" w:rsidP="002375F5">
      <w:pPr>
        <w:pStyle w:val="SingleTxt"/>
        <w:spacing w:after="0" w:line="120" w:lineRule="exact"/>
        <w:rPr>
          <w:sz w:val="10"/>
          <w:lang w:val="fr-FR"/>
        </w:rPr>
      </w:pPr>
    </w:p>
    <w:p w:rsidR="00E15507" w:rsidRDefault="002375F5" w:rsidP="002375F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E15507" w:rsidRPr="005D6CD4">
        <w:rPr>
          <w:lang w:val="fr-FR"/>
        </w:rPr>
        <w:t>A</w:t>
      </w:r>
      <w:r w:rsidR="00E15507">
        <w:rPr>
          <w:lang w:val="fr-FR"/>
        </w:rPr>
        <w:t xml:space="preserve">rticle </w:t>
      </w:r>
      <w:r w:rsidR="00E15507" w:rsidRPr="005D6CD4">
        <w:rPr>
          <w:lang w:val="fr-FR"/>
        </w:rPr>
        <w:t>15</w:t>
      </w:r>
      <w:r>
        <w:rPr>
          <w:lang w:val="fr-FR"/>
        </w:rPr>
        <w:br/>
      </w:r>
      <w:r w:rsidR="00E15507" w:rsidRPr="005D6CD4">
        <w:rPr>
          <w:lang w:val="fr-FR"/>
        </w:rPr>
        <w:t>É</w:t>
      </w:r>
      <w:r w:rsidR="00E15507">
        <w:rPr>
          <w:lang w:val="fr-FR"/>
        </w:rPr>
        <w:t>galité devant la loi</w:t>
      </w:r>
    </w:p>
    <w:p w:rsidR="002375F5" w:rsidRPr="002375F5" w:rsidRDefault="002375F5" w:rsidP="002375F5">
      <w:pPr>
        <w:pStyle w:val="SingleTxt"/>
        <w:spacing w:after="0" w:line="120" w:lineRule="exact"/>
        <w:rPr>
          <w:sz w:val="10"/>
          <w:lang w:val="fr-FR"/>
        </w:rPr>
      </w:pPr>
    </w:p>
    <w:p w:rsidR="002375F5" w:rsidRPr="002375F5" w:rsidRDefault="002375F5" w:rsidP="002375F5">
      <w:pPr>
        <w:pStyle w:val="SingleTxt"/>
        <w:spacing w:after="0" w:line="120" w:lineRule="exact"/>
        <w:rPr>
          <w:sz w:val="10"/>
          <w:lang w:val="fr-FR"/>
        </w:rPr>
      </w:pPr>
    </w:p>
    <w:p w:rsidR="00E15507" w:rsidRDefault="002375F5" w:rsidP="002375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15.1</w:t>
      </w:r>
      <w:r w:rsidR="00E15507" w:rsidRPr="005D6CD4">
        <w:rPr>
          <w:lang w:val="fr-FR"/>
        </w:rPr>
        <w:t xml:space="preserve"> </w:t>
      </w:r>
      <w:r>
        <w:rPr>
          <w:lang w:val="fr-FR"/>
        </w:rPr>
        <w:tab/>
      </w:r>
      <w:r w:rsidR="00E15507" w:rsidRPr="005D6CD4">
        <w:rPr>
          <w:lang w:val="fr-FR"/>
        </w:rPr>
        <w:t>Mesures juridiques</w:t>
      </w:r>
    </w:p>
    <w:p w:rsidR="002375F5" w:rsidRPr="002375F5" w:rsidRDefault="002375F5" w:rsidP="002375F5">
      <w:pPr>
        <w:pStyle w:val="SingleTxt"/>
        <w:spacing w:after="0" w:line="120" w:lineRule="exact"/>
        <w:rPr>
          <w:sz w:val="10"/>
          <w:lang w:val="fr-FR"/>
        </w:rPr>
      </w:pPr>
    </w:p>
    <w:p w:rsidR="00E15507" w:rsidRPr="005D6CD4" w:rsidRDefault="002375F5" w:rsidP="00AC2642">
      <w:pPr>
        <w:pStyle w:val="SingleTxt"/>
        <w:rPr>
          <w:lang w:val="fr-FR"/>
        </w:rPr>
      </w:pPr>
      <w:r>
        <w:rPr>
          <w:lang w:val="fr-FR"/>
        </w:rPr>
        <w:tab/>
      </w:r>
      <w:r w:rsidR="00E15507" w:rsidRPr="005D6CD4">
        <w:rPr>
          <w:lang w:val="fr-FR"/>
        </w:rPr>
        <w:t xml:space="preserve">La </w:t>
      </w:r>
      <w:r w:rsidR="00E15507">
        <w:rPr>
          <w:lang w:val="fr-FR"/>
        </w:rPr>
        <w:t>C</w:t>
      </w:r>
      <w:r w:rsidR="00E15507" w:rsidRPr="005D6CD4">
        <w:rPr>
          <w:lang w:val="fr-FR"/>
        </w:rPr>
        <w:t xml:space="preserve">onstitution de la République fédérale du </w:t>
      </w:r>
      <w:r w:rsidR="00E15507">
        <w:rPr>
          <w:lang w:val="fr-FR"/>
        </w:rPr>
        <w:t>Nigéria</w:t>
      </w:r>
      <w:r w:rsidR="00E15507" w:rsidRPr="005D6CD4">
        <w:rPr>
          <w:lang w:val="fr-FR"/>
        </w:rPr>
        <w:t xml:space="preserve"> de 1999 prévoit qu</w:t>
      </w:r>
      <w:r w:rsidR="000A3D87">
        <w:rPr>
          <w:lang w:val="fr-FR"/>
        </w:rPr>
        <w:t>’</w:t>
      </w:r>
      <w:r w:rsidR="00E15507" w:rsidRPr="005D6CD4">
        <w:rPr>
          <w:lang w:val="fr-FR"/>
        </w:rPr>
        <w:t>il faudrait mettre en place un cadre favorable pour l</w:t>
      </w:r>
      <w:r w:rsidR="000A3D87">
        <w:rPr>
          <w:lang w:val="fr-FR"/>
        </w:rPr>
        <w:t>’</w:t>
      </w:r>
      <w:r w:rsidR="00E15507" w:rsidRPr="005D6CD4">
        <w:rPr>
          <w:lang w:val="fr-FR"/>
        </w:rPr>
        <w:t>égalité entre les hommes et les femmes devant la loi. L</w:t>
      </w:r>
      <w:r w:rsidR="000A3D87">
        <w:rPr>
          <w:lang w:val="fr-FR"/>
        </w:rPr>
        <w:t>’</w:t>
      </w:r>
      <w:r w:rsidR="00E15507" w:rsidRPr="005D6CD4">
        <w:rPr>
          <w:lang w:val="fr-FR"/>
        </w:rPr>
        <w:t>article 17 paragraphes 1) et 2.a) dispose que l</w:t>
      </w:r>
      <w:r w:rsidR="000A3D87">
        <w:rPr>
          <w:lang w:val="fr-FR"/>
        </w:rPr>
        <w:t>’</w:t>
      </w:r>
      <w:r w:rsidR="00E15507" w:rsidRPr="005D6CD4">
        <w:rPr>
          <w:lang w:val="fr-FR"/>
        </w:rPr>
        <w:t>ordre social de l</w:t>
      </w:r>
      <w:r w:rsidR="000A3D87">
        <w:rPr>
          <w:lang w:val="fr-FR"/>
        </w:rPr>
        <w:t>’</w:t>
      </w:r>
      <w:r w:rsidR="00E15507" w:rsidRPr="005D6CD4">
        <w:rPr>
          <w:lang w:val="fr-FR"/>
        </w:rPr>
        <w:t>État est fondé sur les idéaux de liberté, d</w:t>
      </w:r>
      <w:r w:rsidR="000A3D87">
        <w:rPr>
          <w:lang w:val="fr-FR"/>
        </w:rPr>
        <w:t>’</w:t>
      </w:r>
      <w:r w:rsidR="00E15507" w:rsidRPr="005D6CD4">
        <w:rPr>
          <w:lang w:val="fr-FR"/>
        </w:rPr>
        <w:t>égalité et de justice. Dans le cadre de cet ordre social, chaque citoyen a le droit de jouir de</w:t>
      </w:r>
      <w:r w:rsidR="00E15507">
        <w:rPr>
          <w:lang w:val="fr-FR"/>
        </w:rPr>
        <w:t xml:space="preserve"> </w:t>
      </w:r>
      <w:r w:rsidR="00E15507" w:rsidRPr="005D6CD4">
        <w:rPr>
          <w:lang w:val="fr-FR"/>
        </w:rPr>
        <w:t>l</w:t>
      </w:r>
      <w:r w:rsidR="000A3D87">
        <w:rPr>
          <w:lang w:val="fr-FR"/>
        </w:rPr>
        <w:t>’</w:t>
      </w:r>
      <w:r w:rsidR="00E15507" w:rsidRPr="005D6CD4">
        <w:rPr>
          <w:lang w:val="fr-FR"/>
        </w:rPr>
        <w:t>égalité de droits, d</w:t>
      </w:r>
      <w:r w:rsidR="000A3D87">
        <w:rPr>
          <w:lang w:val="fr-FR"/>
        </w:rPr>
        <w:t>’</w:t>
      </w:r>
      <w:r w:rsidR="00E15507" w:rsidRPr="005D6CD4">
        <w:rPr>
          <w:lang w:val="fr-FR"/>
        </w:rPr>
        <w:t>obligations et de chance devant la loi. Par ailleurs, les dispositions des articles</w:t>
      </w:r>
      <w:r w:rsidR="00E15507" w:rsidRPr="005D6CD4">
        <w:rPr>
          <w:b/>
          <w:lang w:val="fr-FR"/>
        </w:rPr>
        <w:t xml:space="preserve"> 33 à 46</w:t>
      </w:r>
      <w:r w:rsidR="00E15507" w:rsidRPr="005D6CD4">
        <w:rPr>
          <w:lang w:val="fr-FR"/>
        </w:rPr>
        <w:t xml:space="preserve"> de la même </w:t>
      </w:r>
      <w:r w:rsidR="00E15507">
        <w:rPr>
          <w:lang w:val="fr-FR"/>
        </w:rPr>
        <w:t>C</w:t>
      </w:r>
      <w:r w:rsidR="00E15507" w:rsidRPr="005D6CD4">
        <w:rPr>
          <w:lang w:val="fr-FR"/>
        </w:rPr>
        <w:t>onstitution garantissent l</w:t>
      </w:r>
      <w:r w:rsidR="000A3D87">
        <w:rPr>
          <w:lang w:val="fr-FR"/>
        </w:rPr>
        <w:t>’</w:t>
      </w:r>
      <w:r w:rsidR="00E15507" w:rsidRPr="005D6CD4">
        <w:rPr>
          <w:lang w:val="fr-FR"/>
        </w:rPr>
        <w:t>égalité de sexes dans les mêmes conditions. Dans le cadre de l</w:t>
      </w:r>
      <w:r w:rsidR="000A3D87">
        <w:rPr>
          <w:lang w:val="fr-FR"/>
        </w:rPr>
        <w:t>’</w:t>
      </w:r>
      <w:r w:rsidR="00E15507" w:rsidRPr="005D6CD4">
        <w:rPr>
          <w:lang w:val="fr-FR"/>
        </w:rPr>
        <w:t>assistance judiciaire, un indigent peut engager un praticien du droit pour le représenter en justice.</w:t>
      </w:r>
    </w:p>
    <w:p w:rsidR="00E15507" w:rsidRPr="005D6CD4" w:rsidRDefault="002375F5" w:rsidP="00AC2642">
      <w:pPr>
        <w:pStyle w:val="SingleTxt"/>
        <w:rPr>
          <w:lang w:val="fr-FR"/>
        </w:rPr>
      </w:pPr>
      <w:r>
        <w:rPr>
          <w:lang w:val="fr-FR"/>
        </w:rPr>
        <w:tab/>
      </w:r>
      <w:r w:rsidR="00E15507" w:rsidRPr="005D6CD4">
        <w:rPr>
          <w:lang w:val="fr-FR"/>
        </w:rPr>
        <w:t xml:space="preserve">Le système juridique nigérian prévoit par ailleurs que la </w:t>
      </w:r>
      <w:r w:rsidR="00E15507">
        <w:rPr>
          <w:lang w:val="fr-FR"/>
        </w:rPr>
        <w:t>C</w:t>
      </w:r>
      <w:r w:rsidR="00E15507" w:rsidRPr="005D6CD4">
        <w:rPr>
          <w:lang w:val="fr-FR"/>
        </w:rPr>
        <w:t>onstitution est la loi suprême et que toute disposition légale qui lui est contraire est nulle et de nul effet.</w:t>
      </w:r>
    </w:p>
    <w:p w:rsidR="00E15507" w:rsidRDefault="002375F5" w:rsidP="00AC2642">
      <w:pPr>
        <w:pStyle w:val="SingleTxt"/>
        <w:rPr>
          <w:lang w:val="fr-FR"/>
        </w:rPr>
      </w:pPr>
      <w:r>
        <w:rPr>
          <w:lang w:val="fr-FR"/>
        </w:rPr>
        <w:tab/>
      </w:r>
      <w:r w:rsidR="00E15507" w:rsidRPr="005D6CD4">
        <w:rPr>
          <w:lang w:val="fr-FR"/>
        </w:rPr>
        <w:t>Le système juridique de la charia, en vigueur dans certains États, permet dans le cadre des principes directeurs de la loi islamique, l</w:t>
      </w:r>
      <w:r w:rsidR="000A3D87">
        <w:rPr>
          <w:lang w:val="fr-FR"/>
        </w:rPr>
        <w:t>’</w:t>
      </w:r>
      <w:r w:rsidR="00E15507" w:rsidRPr="005D6CD4">
        <w:rPr>
          <w:lang w:val="fr-FR"/>
        </w:rPr>
        <w:t>égalité d</w:t>
      </w:r>
      <w:r w:rsidR="000A3D87">
        <w:rPr>
          <w:lang w:val="fr-FR"/>
        </w:rPr>
        <w:t>’</w:t>
      </w:r>
      <w:r w:rsidR="00E15507" w:rsidRPr="005D6CD4">
        <w:rPr>
          <w:lang w:val="fr-FR"/>
        </w:rPr>
        <w:t>accès aux tribunaux. Les préceptes coraniques</w:t>
      </w:r>
      <w:r w:rsidR="00E15507">
        <w:rPr>
          <w:lang w:val="fr-FR"/>
        </w:rPr>
        <w:t xml:space="preserve"> </w:t>
      </w:r>
      <w:r w:rsidR="00E15507" w:rsidRPr="005D6CD4">
        <w:rPr>
          <w:lang w:val="fr-FR"/>
        </w:rPr>
        <w:t>protègent le droit des femmes à l</w:t>
      </w:r>
      <w:r w:rsidR="000A3D87">
        <w:rPr>
          <w:lang w:val="fr-FR"/>
        </w:rPr>
        <w:t>’</w:t>
      </w:r>
      <w:r w:rsidR="00E15507" w:rsidRPr="005D6CD4">
        <w:rPr>
          <w:lang w:val="fr-FR"/>
        </w:rPr>
        <w:t xml:space="preserve">égalité devant la loi, </w:t>
      </w:r>
      <w:r w:rsidR="00E15507" w:rsidRPr="00C91861">
        <w:rPr>
          <w:lang w:val="fr-FR"/>
        </w:rPr>
        <w:t>en faisant cas de jurisprudence l</w:t>
      </w:r>
      <w:r w:rsidR="000A3D87">
        <w:rPr>
          <w:lang w:val="fr-FR"/>
        </w:rPr>
        <w:t>’</w:t>
      </w:r>
      <w:r w:rsidR="00E15507" w:rsidRPr="00C91861">
        <w:rPr>
          <w:lang w:val="fr-FR"/>
        </w:rPr>
        <w:t xml:space="preserve">affaire </w:t>
      </w:r>
      <w:r w:rsidR="00E15507" w:rsidRPr="00C91861">
        <w:rPr>
          <w:i/>
          <w:lang w:val="fr-FR"/>
        </w:rPr>
        <w:t>Khaulat bin Thaalaba</w:t>
      </w:r>
      <w:r w:rsidR="00E15507" w:rsidRPr="00C91861">
        <w:rPr>
          <w:lang w:val="fr-FR"/>
        </w:rPr>
        <w:t>, une femme dont les plaintes ont été</w:t>
      </w:r>
      <w:r w:rsidR="00E15507" w:rsidRPr="005D6CD4">
        <w:rPr>
          <w:lang w:val="fr-FR"/>
        </w:rPr>
        <w:t xml:space="preserve"> écoutées et des solutions trouvées à son problème dans le coran (verset 58 :1).</w:t>
      </w:r>
    </w:p>
    <w:p w:rsidR="002375F5" w:rsidRPr="002375F5" w:rsidRDefault="002375F5" w:rsidP="002375F5">
      <w:pPr>
        <w:pStyle w:val="SingleTxt"/>
        <w:spacing w:after="0" w:line="120" w:lineRule="exact"/>
        <w:rPr>
          <w:sz w:val="10"/>
          <w:lang w:val="fr-FR"/>
        </w:rPr>
      </w:pPr>
    </w:p>
    <w:p w:rsidR="00E15507" w:rsidRDefault="002375F5" w:rsidP="002375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15.2</w:t>
      </w:r>
      <w:r>
        <w:rPr>
          <w:lang w:val="fr-FR"/>
        </w:rPr>
        <w:tab/>
      </w:r>
      <w:r w:rsidR="00E15507" w:rsidRPr="005D6CD4">
        <w:rPr>
          <w:lang w:val="fr-FR"/>
        </w:rPr>
        <w:t>Politiques</w:t>
      </w:r>
    </w:p>
    <w:p w:rsidR="002375F5" w:rsidRPr="002375F5" w:rsidRDefault="002375F5" w:rsidP="002375F5">
      <w:pPr>
        <w:pStyle w:val="SingleTxt"/>
        <w:spacing w:after="0" w:line="120" w:lineRule="exact"/>
        <w:rPr>
          <w:sz w:val="10"/>
          <w:lang w:val="fr-FR"/>
        </w:rPr>
      </w:pPr>
    </w:p>
    <w:p w:rsidR="00E15507" w:rsidRPr="005D6CD4" w:rsidRDefault="002375F5" w:rsidP="00AC2642">
      <w:pPr>
        <w:pStyle w:val="SingleTxt"/>
        <w:rPr>
          <w:lang w:val="fr-FR"/>
        </w:rPr>
      </w:pPr>
      <w:r>
        <w:rPr>
          <w:lang w:val="fr-FR"/>
        </w:rPr>
        <w:tab/>
      </w:r>
      <w:r w:rsidR="00E15507" w:rsidRPr="005D6CD4">
        <w:rPr>
          <w:lang w:val="fr-FR"/>
        </w:rPr>
        <w:t>La Politique nationale sur les femmes adoptée en 2000 réaffirme le principe directeur qui sous-tend l</w:t>
      </w:r>
      <w:r w:rsidR="000A3D87">
        <w:rPr>
          <w:lang w:val="fr-FR"/>
        </w:rPr>
        <w:t>’</w:t>
      </w:r>
      <w:r w:rsidR="00E15507" w:rsidRPr="005D6CD4">
        <w:rPr>
          <w:lang w:val="fr-FR"/>
        </w:rPr>
        <w:t xml:space="preserve">engagement du </w:t>
      </w:r>
      <w:r w:rsidR="00E15507">
        <w:rPr>
          <w:lang w:val="fr-FR"/>
        </w:rPr>
        <w:t>G</w:t>
      </w:r>
      <w:r w:rsidR="00E15507" w:rsidRPr="005D6CD4">
        <w:rPr>
          <w:lang w:val="fr-FR"/>
        </w:rPr>
        <w:t>ouvernement en faveur de l</w:t>
      </w:r>
      <w:r w:rsidR="000A3D87">
        <w:rPr>
          <w:lang w:val="fr-FR"/>
        </w:rPr>
        <w:t>’</w:t>
      </w:r>
      <w:r w:rsidR="00E15507" w:rsidRPr="005D6CD4">
        <w:rPr>
          <w:lang w:val="fr-FR"/>
        </w:rPr>
        <w:t>égalité</w:t>
      </w:r>
      <w:r w:rsidR="00E15507">
        <w:rPr>
          <w:lang w:val="fr-FR"/>
        </w:rPr>
        <w:t xml:space="preserve"> </w:t>
      </w:r>
      <w:r w:rsidR="00E15507" w:rsidRPr="005D6CD4">
        <w:rPr>
          <w:lang w:val="fr-FR"/>
        </w:rPr>
        <w:t>entre l</w:t>
      </w:r>
      <w:r w:rsidR="000A3D87">
        <w:rPr>
          <w:lang w:val="fr-FR"/>
        </w:rPr>
        <w:t>’</w:t>
      </w:r>
      <w:r w:rsidR="00E15507" w:rsidRPr="005D6CD4">
        <w:rPr>
          <w:lang w:val="fr-FR"/>
        </w:rPr>
        <w:t>homme et la femme devant la loi. Au paragraphe 13 intitulé Réformes législative</w:t>
      </w:r>
      <w:r w:rsidR="00E15507">
        <w:rPr>
          <w:lang w:val="fr-FR"/>
        </w:rPr>
        <w:t>s</w:t>
      </w:r>
      <w:r w:rsidR="00E15507" w:rsidRPr="005D6CD4">
        <w:rPr>
          <w:lang w:val="fr-FR"/>
        </w:rPr>
        <w:t xml:space="preserve"> et protection </w:t>
      </w:r>
      <w:r w:rsidR="00E15507">
        <w:rPr>
          <w:lang w:val="fr-FR"/>
        </w:rPr>
        <w:t>judiciaire</w:t>
      </w:r>
      <w:r w:rsidR="00E15507" w:rsidRPr="005D6CD4">
        <w:rPr>
          <w:lang w:val="fr-FR"/>
        </w:rPr>
        <w:t xml:space="preserve">, il est relevé que la </w:t>
      </w:r>
      <w:r w:rsidR="00E15507">
        <w:rPr>
          <w:lang w:val="fr-FR"/>
        </w:rPr>
        <w:t>C</w:t>
      </w:r>
      <w:r w:rsidR="00E15507" w:rsidRPr="005D6CD4">
        <w:rPr>
          <w:lang w:val="fr-FR"/>
        </w:rPr>
        <w:t xml:space="preserve">onstitution nigériane traduit explicitement les aspirations du </w:t>
      </w:r>
      <w:r w:rsidR="00E15507">
        <w:rPr>
          <w:lang w:val="fr-FR"/>
        </w:rPr>
        <w:t>G</w:t>
      </w:r>
      <w:r w:rsidR="00E15507" w:rsidRPr="005D6CD4">
        <w:rPr>
          <w:lang w:val="fr-FR"/>
        </w:rPr>
        <w:t>ouvernement pour un traitement égal de tous les citoyens devant la loi. Mais il est reconnu qu</w:t>
      </w:r>
      <w:r w:rsidR="000A3D87">
        <w:rPr>
          <w:lang w:val="fr-FR"/>
        </w:rPr>
        <w:t>’</w:t>
      </w:r>
      <w:r w:rsidR="00E15507" w:rsidRPr="005D6CD4">
        <w:rPr>
          <w:lang w:val="fr-FR"/>
        </w:rPr>
        <w:t xml:space="preserve">il y a des limites à la traduction dans les faits de ces aspirations </w:t>
      </w:r>
      <w:r w:rsidR="00E15507">
        <w:rPr>
          <w:lang w:val="fr-FR"/>
        </w:rPr>
        <w:t xml:space="preserve">en raison </w:t>
      </w:r>
      <w:r w:rsidR="00E15507" w:rsidRPr="005D6CD4">
        <w:rPr>
          <w:lang w:val="fr-FR"/>
        </w:rPr>
        <w:t xml:space="preserve">de la complexité du système juridique nigérian qui a trois volets (volets légal, coutumier et de la charia) quelquefois contradictoires. </w:t>
      </w:r>
    </w:p>
    <w:p w:rsidR="002375F5" w:rsidRDefault="002375F5" w:rsidP="00AC2642">
      <w:pPr>
        <w:pStyle w:val="SingleTxt"/>
        <w:rPr>
          <w:lang w:val="fr-FR"/>
        </w:rPr>
      </w:pPr>
      <w:r>
        <w:rPr>
          <w:lang w:val="fr-FR"/>
        </w:rPr>
        <w:tab/>
      </w:r>
      <w:r w:rsidR="00E15507" w:rsidRPr="005D6CD4">
        <w:rPr>
          <w:lang w:val="fr-FR"/>
        </w:rPr>
        <w:t>La Politique reconnaît par ailleurs précisément le droit des femmes nigérianes de jouir des mêmes privilèges prévus à l</w:t>
      </w:r>
      <w:r w:rsidR="000A3D87">
        <w:rPr>
          <w:lang w:val="fr-FR"/>
        </w:rPr>
        <w:t>’</w:t>
      </w:r>
      <w:r w:rsidR="00E15507" w:rsidRPr="005D6CD4">
        <w:rPr>
          <w:lang w:val="fr-FR"/>
        </w:rPr>
        <w:t xml:space="preserve">article 27, paragraphe 2.a) de la </w:t>
      </w:r>
      <w:r w:rsidR="00E15507">
        <w:rPr>
          <w:lang w:val="fr-FR"/>
        </w:rPr>
        <w:t>C</w:t>
      </w:r>
      <w:r w:rsidR="00E15507" w:rsidRPr="005D6CD4">
        <w:rPr>
          <w:lang w:val="fr-FR"/>
        </w:rPr>
        <w:t>onstitution de 1999</w:t>
      </w:r>
      <w:r w:rsidR="00E15507">
        <w:rPr>
          <w:lang w:val="fr-FR"/>
        </w:rPr>
        <w:t xml:space="preserve"> </w:t>
      </w:r>
      <w:r w:rsidR="00E15507" w:rsidRPr="005D6CD4">
        <w:rPr>
          <w:lang w:val="fr-FR"/>
        </w:rPr>
        <w:t>qui confère la nationalité à la femme du citoyen nigérian mais pas au mari de la citoyenne nigériane. Elle souligne la nécessité de procéder à une harmonisation et d</w:t>
      </w:r>
      <w:r w:rsidR="000A3D87">
        <w:rPr>
          <w:lang w:val="fr-FR"/>
        </w:rPr>
        <w:t>’</w:t>
      </w:r>
      <w:r w:rsidR="00E15507" w:rsidRPr="005D6CD4">
        <w:rPr>
          <w:lang w:val="fr-FR"/>
        </w:rPr>
        <w:t>accorder la protection des lois aux femmes vulnérables. C</w:t>
      </w:r>
      <w:r w:rsidR="000A3D87">
        <w:rPr>
          <w:lang w:val="fr-FR"/>
        </w:rPr>
        <w:t>’</w:t>
      </w:r>
      <w:r w:rsidR="00E15507" w:rsidRPr="005D6CD4">
        <w:rPr>
          <w:lang w:val="fr-FR"/>
        </w:rPr>
        <w:t>est ainsi qu</w:t>
      </w:r>
      <w:r w:rsidR="000A3D87">
        <w:rPr>
          <w:lang w:val="fr-FR"/>
        </w:rPr>
        <w:t>’</w:t>
      </w:r>
      <w:r w:rsidR="00E15507" w:rsidRPr="005D6CD4">
        <w:rPr>
          <w:lang w:val="fr-FR"/>
        </w:rPr>
        <w:t xml:space="preserve">un projet de loi visant à amender la </w:t>
      </w:r>
      <w:r w:rsidR="00E15507">
        <w:rPr>
          <w:lang w:val="fr-FR"/>
        </w:rPr>
        <w:t>C</w:t>
      </w:r>
      <w:r w:rsidR="00E15507" w:rsidRPr="005D6CD4">
        <w:rPr>
          <w:lang w:val="fr-FR"/>
        </w:rPr>
        <w:t>onstitution (qui n</w:t>
      </w:r>
      <w:r w:rsidR="000A3D87">
        <w:rPr>
          <w:lang w:val="fr-FR"/>
        </w:rPr>
        <w:t>’</w:t>
      </w:r>
      <w:r w:rsidR="00E15507" w:rsidRPr="005D6CD4">
        <w:rPr>
          <w:lang w:val="fr-FR"/>
        </w:rPr>
        <w:t>est malheureusement pas passé à l</w:t>
      </w:r>
      <w:r w:rsidR="000A3D87">
        <w:rPr>
          <w:lang w:val="fr-FR"/>
        </w:rPr>
        <w:t>’</w:t>
      </w:r>
      <w:r w:rsidR="00E15507" w:rsidRPr="005D6CD4">
        <w:rPr>
          <w:lang w:val="fr-FR"/>
        </w:rPr>
        <w:t>Assemblée nationale) modifiait cet article pour que la mesure s</w:t>
      </w:r>
      <w:r w:rsidR="000A3D87">
        <w:rPr>
          <w:lang w:val="fr-FR"/>
        </w:rPr>
        <w:t>’</w:t>
      </w:r>
      <w:r w:rsidR="00E15507" w:rsidRPr="005D6CD4">
        <w:rPr>
          <w:lang w:val="fr-FR"/>
        </w:rPr>
        <w:t xml:space="preserve">applique à toute personne mariée à un citoyen nigérian. </w:t>
      </w:r>
    </w:p>
    <w:p w:rsidR="00E15507" w:rsidRDefault="002375F5" w:rsidP="002375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br w:type="page"/>
      </w:r>
      <w:r>
        <w:rPr>
          <w:lang w:val="fr-FR"/>
        </w:rPr>
        <w:tab/>
      </w:r>
      <w:r w:rsidR="00E15507" w:rsidRPr="005D6CD4">
        <w:rPr>
          <w:lang w:val="fr-FR"/>
        </w:rPr>
        <w:t>15.3</w:t>
      </w:r>
      <w:r>
        <w:rPr>
          <w:lang w:val="fr-FR"/>
        </w:rPr>
        <w:tab/>
      </w:r>
      <w:r w:rsidR="00E15507" w:rsidRPr="005D6CD4">
        <w:rPr>
          <w:lang w:val="fr-FR"/>
        </w:rPr>
        <w:t>Réformes visant à accroître l</w:t>
      </w:r>
      <w:r w:rsidR="000A3D87">
        <w:rPr>
          <w:lang w:val="fr-FR"/>
        </w:rPr>
        <w:t>’</w:t>
      </w:r>
      <w:r w:rsidR="00E15507" w:rsidRPr="005D6CD4">
        <w:rPr>
          <w:lang w:val="fr-FR"/>
        </w:rPr>
        <w:t>égalité devant la loi</w:t>
      </w:r>
    </w:p>
    <w:p w:rsidR="002375F5" w:rsidRPr="002375F5" w:rsidRDefault="002375F5" w:rsidP="002375F5">
      <w:pPr>
        <w:pStyle w:val="SingleTxt"/>
        <w:spacing w:after="0" w:line="120" w:lineRule="exact"/>
        <w:rPr>
          <w:sz w:val="10"/>
          <w:lang w:val="fr-FR"/>
        </w:rPr>
      </w:pPr>
    </w:p>
    <w:p w:rsidR="00E15507" w:rsidRPr="005D6CD4" w:rsidRDefault="00E15507" w:rsidP="009546E1">
      <w:pPr>
        <w:pStyle w:val="SingleTxt"/>
        <w:numPr>
          <w:ilvl w:val="0"/>
          <w:numId w:val="44"/>
        </w:numPr>
        <w:tabs>
          <w:tab w:val="clear" w:pos="1742"/>
          <w:tab w:val="clear" w:pos="1987"/>
          <w:tab w:val="left" w:pos="1800"/>
        </w:tabs>
        <w:ind w:left="1800" w:hanging="540"/>
        <w:rPr>
          <w:i/>
          <w:lang w:val="fr-FR"/>
        </w:rPr>
      </w:pPr>
      <w:r w:rsidRPr="005D6CD4">
        <w:rPr>
          <w:i/>
          <w:lang w:val="fr-FR"/>
        </w:rPr>
        <w:t>Plusieurs réformes ont été adoptées pour corriger l</w:t>
      </w:r>
      <w:r w:rsidR="000A3D87">
        <w:rPr>
          <w:i/>
          <w:lang w:val="fr-FR"/>
        </w:rPr>
        <w:t>’</w:t>
      </w:r>
      <w:r w:rsidRPr="005D6CD4">
        <w:rPr>
          <w:i/>
          <w:lang w:val="fr-FR"/>
        </w:rPr>
        <w:t>effet des lois et pratiques discriminatoires sur les femmes, ainsi que l</w:t>
      </w:r>
      <w:r w:rsidR="000A3D87">
        <w:rPr>
          <w:i/>
          <w:lang w:val="fr-FR"/>
        </w:rPr>
        <w:t>’</w:t>
      </w:r>
      <w:r w:rsidRPr="005D6CD4">
        <w:rPr>
          <w:i/>
          <w:lang w:val="fr-FR"/>
        </w:rPr>
        <w:t>inégalité d</w:t>
      </w:r>
      <w:r w:rsidR="000A3D87">
        <w:rPr>
          <w:i/>
          <w:lang w:val="fr-FR"/>
        </w:rPr>
        <w:t>’</w:t>
      </w:r>
      <w:r w:rsidRPr="005D6CD4">
        <w:rPr>
          <w:i/>
          <w:lang w:val="fr-FR"/>
        </w:rPr>
        <w:t xml:space="preserve">accès à la justice, à la suite de la mise en œuvre en 2005 du projet </w:t>
      </w:r>
      <w:r>
        <w:rPr>
          <w:i/>
          <w:lang w:val="fr-FR"/>
        </w:rPr>
        <w:t>Centre national de développement de la femme</w:t>
      </w:r>
      <w:r w:rsidRPr="005D6CD4">
        <w:rPr>
          <w:i/>
          <w:lang w:val="fr-FR"/>
        </w:rPr>
        <w:t xml:space="preserve">/UNICEF/Banque mondiale </w:t>
      </w:r>
      <w:r>
        <w:rPr>
          <w:i/>
          <w:lang w:val="fr-FR"/>
        </w:rPr>
        <w:t xml:space="preserve">– Fonds international pour le développement qui a été évoqué à </w:t>
      </w:r>
      <w:r w:rsidRPr="005D6CD4">
        <w:rPr>
          <w:i/>
          <w:lang w:val="fr-FR"/>
        </w:rPr>
        <w:t xml:space="preserve">plusieurs reprises </w:t>
      </w:r>
      <w:r>
        <w:rPr>
          <w:i/>
          <w:lang w:val="fr-FR"/>
        </w:rPr>
        <w:t xml:space="preserve">dans </w:t>
      </w:r>
      <w:r w:rsidRPr="005D6CD4">
        <w:rPr>
          <w:i/>
          <w:lang w:val="fr-FR"/>
        </w:rPr>
        <w:t xml:space="preserve">les précédents paragraphes. </w:t>
      </w:r>
    </w:p>
    <w:p w:rsidR="00E15507" w:rsidRPr="005D6CD4" w:rsidRDefault="00E15507" w:rsidP="009546E1">
      <w:pPr>
        <w:pStyle w:val="SingleTxt"/>
        <w:numPr>
          <w:ilvl w:val="0"/>
          <w:numId w:val="44"/>
        </w:numPr>
        <w:tabs>
          <w:tab w:val="clear" w:pos="1742"/>
          <w:tab w:val="clear" w:pos="1987"/>
          <w:tab w:val="left" w:pos="1800"/>
        </w:tabs>
        <w:ind w:left="1800" w:hanging="540"/>
        <w:rPr>
          <w:i/>
          <w:lang w:val="fr-FR"/>
        </w:rPr>
      </w:pPr>
      <w:r w:rsidRPr="005D6CD4">
        <w:rPr>
          <w:i/>
          <w:lang w:val="fr-FR"/>
        </w:rPr>
        <w:t>Le projet de loi de 2005 sur la</w:t>
      </w:r>
      <w:r>
        <w:rPr>
          <w:i/>
          <w:lang w:val="fr-FR"/>
        </w:rPr>
        <w:t xml:space="preserve"> </w:t>
      </w:r>
      <w:r w:rsidRPr="005D6CD4">
        <w:rPr>
          <w:i/>
          <w:lang w:val="fr-FR"/>
        </w:rPr>
        <w:t>prévention (de la violence) famil</w:t>
      </w:r>
      <w:r>
        <w:rPr>
          <w:i/>
          <w:lang w:val="fr-FR"/>
        </w:rPr>
        <w:t xml:space="preserve">iale </w:t>
      </w:r>
      <w:r w:rsidRPr="005D6CD4">
        <w:rPr>
          <w:i/>
          <w:lang w:val="fr-FR"/>
        </w:rPr>
        <w:t xml:space="preserve">vise à prévenir </w:t>
      </w:r>
      <w:r>
        <w:rPr>
          <w:i/>
          <w:lang w:val="fr-FR"/>
        </w:rPr>
        <w:t xml:space="preserve">cette forme de </w:t>
      </w:r>
      <w:r w:rsidRPr="005D6CD4">
        <w:rPr>
          <w:i/>
          <w:lang w:val="fr-FR"/>
        </w:rPr>
        <w:t xml:space="preserve">violence et habiliter les tribunaux à rendre des </w:t>
      </w:r>
      <w:r>
        <w:rPr>
          <w:i/>
          <w:lang w:val="fr-FR"/>
        </w:rPr>
        <w:t xml:space="preserve">décisions </w:t>
      </w:r>
      <w:r w:rsidRPr="005D6CD4">
        <w:rPr>
          <w:i/>
          <w:lang w:val="fr-FR"/>
        </w:rPr>
        <w:t xml:space="preserve">protégeant les victimes. </w:t>
      </w:r>
    </w:p>
    <w:p w:rsidR="00E15507" w:rsidRPr="005D6CD4" w:rsidRDefault="00E15507" w:rsidP="009546E1">
      <w:pPr>
        <w:pStyle w:val="SingleTxt"/>
        <w:numPr>
          <w:ilvl w:val="0"/>
          <w:numId w:val="44"/>
        </w:numPr>
        <w:tabs>
          <w:tab w:val="clear" w:pos="1742"/>
          <w:tab w:val="clear" w:pos="1987"/>
          <w:tab w:val="left" w:pos="1800"/>
        </w:tabs>
        <w:ind w:left="1800" w:hanging="540"/>
        <w:rPr>
          <w:i/>
          <w:lang w:val="fr-FR"/>
        </w:rPr>
      </w:pPr>
      <w:r w:rsidRPr="005D6CD4">
        <w:rPr>
          <w:i/>
          <w:lang w:val="fr-FR"/>
        </w:rPr>
        <w:t>Le projet de loi de 2003 sur (l</w:t>
      </w:r>
      <w:r w:rsidR="000A3D87">
        <w:rPr>
          <w:i/>
          <w:lang w:val="fr-FR"/>
        </w:rPr>
        <w:t>’</w:t>
      </w:r>
      <w:r w:rsidRPr="005D6CD4">
        <w:rPr>
          <w:i/>
          <w:lang w:val="fr-FR"/>
        </w:rPr>
        <w:t>interdiction de) la violence a été présenté à l</w:t>
      </w:r>
      <w:r w:rsidR="000A3D87">
        <w:rPr>
          <w:i/>
          <w:lang w:val="fr-FR"/>
        </w:rPr>
        <w:t>’</w:t>
      </w:r>
      <w:r w:rsidRPr="005D6CD4">
        <w:rPr>
          <w:i/>
          <w:lang w:val="fr-FR"/>
        </w:rPr>
        <w:t>Assemblée nationale par la</w:t>
      </w:r>
      <w:r>
        <w:rPr>
          <w:i/>
          <w:lang w:val="fr-FR"/>
        </w:rPr>
        <w:t xml:space="preserve"> </w:t>
      </w:r>
      <w:r w:rsidRPr="005D6CD4">
        <w:rPr>
          <w:i/>
          <w:lang w:val="fr-FR"/>
        </w:rPr>
        <w:t>Coalition pour le plaidoyer contre la violence faite aux femmes. La loi vise à réprimer le viol, l</w:t>
      </w:r>
      <w:r w:rsidR="000A3D87">
        <w:rPr>
          <w:i/>
          <w:lang w:val="fr-FR"/>
        </w:rPr>
        <w:t>’</w:t>
      </w:r>
      <w:r w:rsidRPr="005D6CD4">
        <w:rPr>
          <w:i/>
          <w:lang w:val="fr-FR"/>
        </w:rPr>
        <w:t>inceste, etc., et à créer un fonds d</w:t>
      </w:r>
      <w:r w:rsidR="000A3D87">
        <w:rPr>
          <w:i/>
          <w:lang w:val="fr-FR"/>
        </w:rPr>
        <w:t>’</w:t>
      </w:r>
      <w:r w:rsidRPr="005D6CD4">
        <w:rPr>
          <w:i/>
          <w:lang w:val="fr-FR"/>
        </w:rPr>
        <w:t>aide aux victimes de violence ainsi qu</w:t>
      </w:r>
      <w:r w:rsidR="000A3D87">
        <w:rPr>
          <w:i/>
          <w:lang w:val="fr-FR"/>
        </w:rPr>
        <w:t>’</w:t>
      </w:r>
      <w:r w:rsidRPr="005D6CD4">
        <w:rPr>
          <w:i/>
          <w:lang w:val="fr-FR"/>
        </w:rPr>
        <w:t>une commission d</w:t>
      </w:r>
      <w:r w:rsidR="000A3D87">
        <w:rPr>
          <w:i/>
          <w:lang w:val="fr-FR"/>
        </w:rPr>
        <w:t>’</w:t>
      </w:r>
      <w:r w:rsidRPr="005D6CD4">
        <w:rPr>
          <w:i/>
          <w:lang w:val="fr-FR"/>
        </w:rPr>
        <w:t>aide aux victimes. On continue de faire pression pour qu</w:t>
      </w:r>
      <w:r w:rsidR="000A3D87">
        <w:rPr>
          <w:i/>
          <w:lang w:val="fr-FR"/>
        </w:rPr>
        <w:t>’</w:t>
      </w:r>
      <w:r w:rsidRPr="005D6CD4">
        <w:rPr>
          <w:i/>
          <w:lang w:val="fr-FR"/>
        </w:rPr>
        <w:t>il soit adopté en loi.</w:t>
      </w:r>
      <w:r>
        <w:rPr>
          <w:i/>
          <w:lang w:val="fr-FR"/>
        </w:rPr>
        <w:t xml:space="preserve"> </w:t>
      </w:r>
    </w:p>
    <w:p w:rsidR="00E15507" w:rsidRPr="005D6CD4" w:rsidRDefault="00E15507" w:rsidP="009546E1">
      <w:pPr>
        <w:pStyle w:val="SingleTxt"/>
        <w:numPr>
          <w:ilvl w:val="0"/>
          <w:numId w:val="44"/>
        </w:numPr>
        <w:tabs>
          <w:tab w:val="clear" w:pos="1742"/>
          <w:tab w:val="clear" w:pos="1987"/>
          <w:tab w:val="left" w:pos="1800"/>
        </w:tabs>
        <w:ind w:left="1800" w:hanging="540"/>
        <w:rPr>
          <w:i/>
          <w:lang w:val="fr-FR"/>
        </w:rPr>
      </w:pPr>
      <w:r w:rsidRPr="005D6CD4">
        <w:rPr>
          <w:i/>
          <w:lang w:val="fr-FR"/>
        </w:rPr>
        <w:t>En 2004, l</w:t>
      </w:r>
      <w:r>
        <w:rPr>
          <w:i/>
          <w:lang w:val="fr-FR"/>
        </w:rPr>
        <w:t xml:space="preserve">e Procureur </w:t>
      </w:r>
      <w:r w:rsidRPr="005D6CD4">
        <w:rPr>
          <w:i/>
          <w:lang w:val="fr-FR"/>
        </w:rPr>
        <w:t xml:space="preserve">général de la Fédération et le </w:t>
      </w:r>
      <w:r>
        <w:rPr>
          <w:i/>
          <w:lang w:val="fr-FR"/>
        </w:rPr>
        <w:t>m</w:t>
      </w:r>
      <w:r w:rsidRPr="005D6CD4">
        <w:rPr>
          <w:i/>
          <w:lang w:val="fr-FR"/>
        </w:rPr>
        <w:t>inistre de la</w:t>
      </w:r>
      <w:r>
        <w:rPr>
          <w:i/>
          <w:lang w:val="fr-FR"/>
        </w:rPr>
        <w:t xml:space="preserve"> J</w:t>
      </w:r>
      <w:r w:rsidRPr="005D6CD4">
        <w:rPr>
          <w:i/>
          <w:lang w:val="fr-FR"/>
        </w:rPr>
        <w:t xml:space="preserve">ustice ont </w:t>
      </w:r>
      <w:r>
        <w:rPr>
          <w:i/>
          <w:lang w:val="fr-FR"/>
        </w:rPr>
        <w:t xml:space="preserve">mis en place </w:t>
      </w:r>
      <w:r w:rsidRPr="005D6CD4">
        <w:rPr>
          <w:i/>
          <w:lang w:val="fr-FR"/>
        </w:rPr>
        <w:t xml:space="preserve">un </w:t>
      </w:r>
      <w:r w:rsidRPr="005D6CD4">
        <w:rPr>
          <w:i/>
          <w:snapToGrid w:val="0"/>
          <w:lang w:val="fr-FR"/>
        </w:rPr>
        <w:t>Comité national pour examiner la loi sur le fonctionnement de la justice. Ce comité a présenté la version finale d</w:t>
      </w:r>
      <w:r w:rsidR="000A3D87">
        <w:rPr>
          <w:i/>
          <w:snapToGrid w:val="0"/>
          <w:lang w:val="fr-FR"/>
        </w:rPr>
        <w:t>’</w:t>
      </w:r>
      <w:r w:rsidRPr="005D6CD4">
        <w:rPr>
          <w:i/>
          <w:snapToGrid w:val="0"/>
          <w:lang w:val="fr-FR"/>
        </w:rPr>
        <w:t xml:space="preserve">un projet de loi nationale sur la procédure pénale qui contient des recommandations pour la simplification de la procédure pénale pour prendre en compte les intérêts des groupes vulnérables, notamment des femmes et des enfants. </w:t>
      </w:r>
    </w:p>
    <w:p w:rsidR="00E15507" w:rsidRPr="005D6CD4" w:rsidRDefault="00E15507" w:rsidP="009546E1">
      <w:pPr>
        <w:pStyle w:val="SingleTxt"/>
        <w:numPr>
          <w:ilvl w:val="0"/>
          <w:numId w:val="44"/>
        </w:numPr>
        <w:tabs>
          <w:tab w:val="clear" w:pos="1742"/>
          <w:tab w:val="clear" w:pos="1987"/>
          <w:tab w:val="left" w:pos="1800"/>
        </w:tabs>
        <w:ind w:left="1800" w:hanging="540"/>
        <w:rPr>
          <w:i/>
          <w:lang w:val="fr-FR"/>
        </w:rPr>
      </w:pPr>
      <w:r w:rsidRPr="005D6CD4">
        <w:rPr>
          <w:i/>
          <w:lang w:val="fr-FR"/>
        </w:rPr>
        <w:t>En 2005, l</w:t>
      </w:r>
      <w:r>
        <w:rPr>
          <w:i/>
          <w:lang w:val="fr-FR"/>
        </w:rPr>
        <w:t>e Procureur</w:t>
      </w:r>
      <w:r w:rsidRPr="005D6CD4">
        <w:rPr>
          <w:i/>
          <w:lang w:val="fr-FR"/>
        </w:rPr>
        <w:t xml:space="preserve"> général a inst</w:t>
      </w:r>
      <w:r>
        <w:rPr>
          <w:i/>
          <w:lang w:val="fr-FR"/>
        </w:rPr>
        <w:t xml:space="preserve">itué </w:t>
      </w:r>
      <w:r w:rsidRPr="005D6CD4">
        <w:rPr>
          <w:i/>
          <w:lang w:val="fr-FR"/>
        </w:rPr>
        <w:t>un autre comité national sur l</w:t>
      </w:r>
      <w:r w:rsidR="000A3D87">
        <w:rPr>
          <w:i/>
          <w:lang w:val="fr-FR"/>
        </w:rPr>
        <w:t>’</w:t>
      </w:r>
      <w:r w:rsidRPr="005D6CD4">
        <w:rPr>
          <w:i/>
          <w:lang w:val="fr-FR"/>
        </w:rPr>
        <w:t>examen des lois discriminatoire à l</w:t>
      </w:r>
      <w:r w:rsidR="000A3D87">
        <w:rPr>
          <w:i/>
          <w:lang w:val="fr-FR"/>
        </w:rPr>
        <w:t>’</w:t>
      </w:r>
      <w:r w:rsidRPr="005D6CD4">
        <w:rPr>
          <w:i/>
          <w:lang w:val="fr-FR"/>
        </w:rPr>
        <w:t xml:space="preserve">égard des femmes, la </w:t>
      </w:r>
      <w:r w:rsidRPr="005D6CD4">
        <w:rPr>
          <w:i/>
          <w:snapToGrid w:val="0"/>
          <w:lang w:val="fr-FR"/>
        </w:rPr>
        <w:t>Commission nationale des droits de l</w:t>
      </w:r>
      <w:r w:rsidR="000A3D87">
        <w:rPr>
          <w:i/>
          <w:snapToGrid w:val="0"/>
          <w:lang w:val="fr-FR"/>
        </w:rPr>
        <w:t>’</w:t>
      </w:r>
      <w:r w:rsidRPr="005D6CD4">
        <w:rPr>
          <w:i/>
          <w:snapToGrid w:val="0"/>
          <w:lang w:val="fr-FR"/>
        </w:rPr>
        <w:t>homme facilitant le processus</w:t>
      </w:r>
      <w:r w:rsidRPr="005D6CD4">
        <w:rPr>
          <w:i/>
          <w:lang w:val="fr-FR"/>
        </w:rPr>
        <w:t>. Le résultat est le projet de loi de 2006 sur l</w:t>
      </w:r>
      <w:r w:rsidR="000A3D87">
        <w:rPr>
          <w:i/>
          <w:lang w:val="fr-FR"/>
        </w:rPr>
        <w:t>’</w:t>
      </w:r>
      <w:r w:rsidRPr="005D6CD4">
        <w:rPr>
          <w:i/>
          <w:lang w:val="fr-FR"/>
        </w:rPr>
        <w:t>abolition de toutes les formes de discrimination à l</w:t>
      </w:r>
      <w:r w:rsidR="000A3D87">
        <w:rPr>
          <w:i/>
          <w:lang w:val="fr-FR"/>
        </w:rPr>
        <w:t>’</w:t>
      </w:r>
      <w:r w:rsidRPr="005D6CD4">
        <w:rPr>
          <w:i/>
          <w:lang w:val="fr-FR"/>
        </w:rPr>
        <w:t xml:space="preserve">égard des femmes au </w:t>
      </w:r>
      <w:r>
        <w:rPr>
          <w:i/>
          <w:lang w:val="fr-FR"/>
        </w:rPr>
        <w:t xml:space="preserve">Nigéria </w:t>
      </w:r>
      <w:r w:rsidRPr="005D6CD4">
        <w:rPr>
          <w:i/>
          <w:lang w:val="fr-FR"/>
        </w:rPr>
        <w:t xml:space="preserve">et autres questions connexes qui vise </w:t>
      </w:r>
      <w:r>
        <w:rPr>
          <w:i/>
          <w:lang w:val="fr-FR"/>
        </w:rPr>
        <w:t xml:space="preserve">intégrer </w:t>
      </w:r>
      <w:r w:rsidRPr="005D6CD4">
        <w:rPr>
          <w:i/>
          <w:lang w:val="fr-FR"/>
        </w:rPr>
        <w:t>la Conventio</w:t>
      </w:r>
      <w:r>
        <w:rPr>
          <w:i/>
          <w:lang w:val="fr-FR"/>
        </w:rPr>
        <w:t>n à la législation nationale</w:t>
      </w:r>
      <w:r w:rsidRPr="005D6CD4">
        <w:rPr>
          <w:i/>
          <w:lang w:val="fr-FR"/>
        </w:rPr>
        <w:t>, promouvoir des mesures de justice distributive et abolir toutes</w:t>
      </w:r>
      <w:r w:rsidRPr="005D6CD4">
        <w:rPr>
          <w:lang w:val="fr-FR"/>
        </w:rPr>
        <w:t xml:space="preserve"> </w:t>
      </w:r>
      <w:r w:rsidRPr="005D6CD4">
        <w:rPr>
          <w:i/>
          <w:lang w:val="fr-FR"/>
        </w:rPr>
        <w:t>les formes de discrimination à l</w:t>
      </w:r>
      <w:r w:rsidR="000A3D87">
        <w:rPr>
          <w:i/>
          <w:lang w:val="fr-FR"/>
        </w:rPr>
        <w:t>’</w:t>
      </w:r>
      <w:r w:rsidRPr="005D6CD4">
        <w:rPr>
          <w:i/>
          <w:lang w:val="fr-FR"/>
        </w:rPr>
        <w:t>égard des femmes. Ce projet est actuellement en cours d</w:t>
      </w:r>
      <w:r w:rsidR="000A3D87">
        <w:rPr>
          <w:i/>
          <w:lang w:val="fr-FR"/>
        </w:rPr>
        <w:t>’</w:t>
      </w:r>
      <w:r w:rsidRPr="005D6CD4">
        <w:rPr>
          <w:i/>
          <w:lang w:val="fr-FR"/>
        </w:rPr>
        <w:t>examen à l</w:t>
      </w:r>
      <w:r w:rsidR="000A3D87">
        <w:rPr>
          <w:i/>
          <w:lang w:val="fr-FR"/>
        </w:rPr>
        <w:t>’</w:t>
      </w:r>
      <w:r w:rsidRPr="005D6CD4">
        <w:rPr>
          <w:i/>
          <w:lang w:val="fr-FR"/>
        </w:rPr>
        <w:t>Assemblée nationale.</w:t>
      </w:r>
    </w:p>
    <w:p w:rsidR="00E15507" w:rsidRPr="005D6CD4" w:rsidRDefault="00E15507" w:rsidP="009546E1">
      <w:pPr>
        <w:pStyle w:val="SingleTxt"/>
        <w:numPr>
          <w:ilvl w:val="0"/>
          <w:numId w:val="44"/>
        </w:numPr>
        <w:tabs>
          <w:tab w:val="clear" w:pos="1742"/>
          <w:tab w:val="clear" w:pos="1987"/>
          <w:tab w:val="left" w:pos="1800"/>
        </w:tabs>
        <w:ind w:left="1800" w:hanging="540"/>
        <w:rPr>
          <w:i/>
          <w:lang w:val="fr-FR"/>
        </w:rPr>
      </w:pPr>
      <w:r w:rsidRPr="005D6CD4">
        <w:rPr>
          <w:i/>
          <w:lang w:val="fr-FR"/>
        </w:rPr>
        <w:t>Le projet de loi sur l</w:t>
      </w:r>
      <w:r w:rsidR="000A3D87">
        <w:rPr>
          <w:i/>
          <w:lang w:val="fr-FR"/>
        </w:rPr>
        <w:t>’</w:t>
      </w:r>
      <w:r w:rsidRPr="005D6CD4">
        <w:rPr>
          <w:i/>
          <w:lang w:val="fr-FR"/>
        </w:rPr>
        <w:t>élimination de la violence dans la société de</w:t>
      </w:r>
      <w:r>
        <w:rPr>
          <w:i/>
          <w:lang w:val="fr-FR"/>
        </w:rPr>
        <w:t xml:space="preserve"> </w:t>
      </w:r>
      <w:r w:rsidRPr="005D6CD4">
        <w:rPr>
          <w:i/>
          <w:lang w:val="fr-FR"/>
        </w:rPr>
        <w:t xml:space="preserve">2006 déposé par le </w:t>
      </w:r>
      <w:r>
        <w:rPr>
          <w:i/>
          <w:lang w:val="fr-FR"/>
        </w:rPr>
        <w:t>ministère</w:t>
      </w:r>
      <w:r w:rsidRPr="005D6CD4">
        <w:rPr>
          <w:i/>
          <w:lang w:val="fr-FR"/>
        </w:rPr>
        <w:t xml:space="preserve"> fédéral de la </w:t>
      </w:r>
      <w:r>
        <w:rPr>
          <w:i/>
          <w:lang w:val="fr-FR"/>
        </w:rPr>
        <w:t>J</w:t>
      </w:r>
      <w:r w:rsidRPr="005D6CD4">
        <w:rPr>
          <w:i/>
          <w:lang w:val="fr-FR"/>
        </w:rPr>
        <w:t>ustice est en cours d</w:t>
      </w:r>
      <w:r w:rsidR="000A3D87">
        <w:rPr>
          <w:i/>
          <w:lang w:val="fr-FR"/>
        </w:rPr>
        <w:t>’</w:t>
      </w:r>
      <w:r w:rsidRPr="005D6CD4">
        <w:rPr>
          <w:i/>
          <w:lang w:val="fr-FR"/>
        </w:rPr>
        <w:t>examen pour adoption</w:t>
      </w:r>
      <w:r>
        <w:rPr>
          <w:i/>
          <w:lang w:val="fr-FR"/>
        </w:rPr>
        <w:t xml:space="preserve"> </w:t>
      </w:r>
      <w:r w:rsidRPr="005D6CD4">
        <w:rPr>
          <w:i/>
          <w:lang w:val="fr-FR"/>
        </w:rPr>
        <w:t>à la Chambre des Représentants et au Sénat.</w:t>
      </w:r>
      <w:r>
        <w:rPr>
          <w:i/>
          <w:lang w:val="fr-FR"/>
        </w:rPr>
        <w:t xml:space="preserve"> </w:t>
      </w:r>
      <w:r w:rsidRPr="005D6CD4">
        <w:rPr>
          <w:i/>
          <w:lang w:val="fr-FR"/>
        </w:rPr>
        <w:t>Le projet de loi vise à interdire et à réprimer toutes les formes de violence dans la société, afin d</w:t>
      </w:r>
      <w:r w:rsidR="000A3D87">
        <w:rPr>
          <w:i/>
          <w:lang w:val="fr-FR"/>
        </w:rPr>
        <w:t>’</w:t>
      </w:r>
      <w:r w:rsidRPr="005D6CD4">
        <w:rPr>
          <w:i/>
          <w:lang w:val="fr-FR"/>
        </w:rPr>
        <w:t xml:space="preserve">y mettre un terme. </w:t>
      </w:r>
    </w:p>
    <w:p w:rsidR="00E15507" w:rsidRPr="005D6CD4" w:rsidRDefault="00E15507" w:rsidP="009546E1">
      <w:pPr>
        <w:pStyle w:val="SingleTxt"/>
        <w:numPr>
          <w:ilvl w:val="0"/>
          <w:numId w:val="44"/>
        </w:numPr>
        <w:tabs>
          <w:tab w:val="clear" w:pos="1742"/>
          <w:tab w:val="clear" w:pos="1987"/>
          <w:tab w:val="left" w:pos="1800"/>
        </w:tabs>
        <w:ind w:left="1800" w:hanging="540"/>
        <w:rPr>
          <w:b/>
          <w:bCs/>
          <w:i/>
          <w:lang w:val="fr-FR"/>
        </w:rPr>
      </w:pPr>
      <w:r w:rsidRPr="005D6CD4">
        <w:rPr>
          <w:i/>
          <w:lang w:val="fr-FR"/>
        </w:rPr>
        <w:t xml:space="preserve">Le Président du </w:t>
      </w:r>
      <w:r>
        <w:rPr>
          <w:i/>
          <w:lang w:val="fr-FR"/>
        </w:rPr>
        <w:t>Nigéria</w:t>
      </w:r>
      <w:r w:rsidRPr="005D6CD4">
        <w:rPr>
          <w:i/>
          <w:lang w:val="fr-FR"/>
        </w:rPr>
        <w:t xml:space="preserve">, Obasanjo a </w:t>
      </w:r>
      <w:r>
        <w:rPr>
          <w:i/>
          <w:lang w:val="fr-FR"/>
        </w:rPr>
        <w:t>mis en place</w:t>
      </w:r>
      <w:r w:rsidRPr="005D6CD4">
        <w:rPr>
          <w:i/>
          <w:lang w:val="fr-FR"/>
        </w:rPr>
        <w:t xml:space="preserve"> le 16</w:t>
      </w:r>
      <w:r>
        <w:rPr>
          <w:i/>
          <w:lang w:val="fr-FR"/>
        </w:rPr>
        <w:t xml:space="preserve"> </w:t>
      </w:r>
      <w:r w:rsidRPr="005D6CD4">
        <w:rPr>
          <w:i/>
          <w:lang w:val="fr-FR"/>
        </w:rPr>
        <w:t>mars 2006, une commission présidentielle de sept membres sur la réforme de l</w:t>
      </w:r>
      <w:r w:rsidR="000A3D87">
        <w:rPr>
          <w:i/>
          <w:lang w:val="fr-FR"/>
        </w:rPr>
        <w:t>’</w:t>
      </w:r>
      <w:r w:rsidRPr="005D6CD4">
        <w:rPr>
          <w:i/>
          <w:lang w:val="fr-FR"/>
        </w:rPr>
        <w:t xml:space="preserve">administration de la justice. Elle a pour mission : i) de mettre au point </w:t>
      </w:r>
      <w:r>
        <w:rPr>
          <w:i/>
          <w:lang w:val="fr-FR"/>
        </w:rPr>
        <w:t xml:space="preserve">un </w:t>
      </w:r>
      <w:r w:rsidRPr="005D6CD4">
        <w:rPr>
          <w:i/>
          <w:lang w:val="fr-FR"/>
        </w:rPr>
        <w:t>plan stratégique pour la réforme de l</w:t>
      </w:r>
      <w:r w:rsidR="000A3D87">
        <w:rPr>
          <w:i/>
          <w:lang w:val="fr-FR"/>
        </w:rPr>
        <w:t>’</w:t>
      </w:r>
      <w:r w:rsidRPr="005D6CD4">
        <w:rPr>
          <w:i/>
          <w:lang w:val="fr-FR"/>
        </w:rPr>
        <w:t>administration du secteur de la justice au</w:t>
      </w:r>
      <w:r>
        <w:rPr>
          <w:i/>
          <w:lang w:val="fr-FR"/>
        </w:rPr>
        <w:t xml:space="preserve"> Nigéria</w:t>
      </w:r>
      <w:r w:rsidRPr="005D6CD4">
        <w:rPr>
          <w:i/>
          <w:lang w:val="fr-FR"/>
        </w:rPr>
        <w:t>; ii) de proposer des modalités pour une coordination et un fonctionnement efficace</w:t>
      </w:r>
      <w:r>
        <w:rPr>
          <w:i/>
          <w:lang w:val="fr-FR"/>
        </w:rPr>
        <w:t>s</w:t>
      </w:r>
      <w:r w:rsidRPr="005D6CD4">
        <w:rPr>
          <w:i/>
          <w:lang w:val="fr-FR"/>
        </w:rPr>
        <w:t xml:space="preserve"> de diverses institutions du système judiciaire</w:t>
      </w:r>
      <w:r w:rsidR="00D17E6C">
        <w:rPr>
          <w:i/>
          <w:lang w:val="fr-FR"/>
        </w:rPr>
        <w:t>;</w:t>
      </w:r>
      <w:r w:rsidRPr="005D6CD4">
        <w:rPr>
          <w:i/>
          <w:lang w:val="fr-FR"/>
        </w:rPr>
        <w:t xml:space="preserve"> iii) de développer une stratégie nationale de prévention du crime</w:t>
      </w:r>
      <w:r>
        <w:rPr>
          <w:i/>
          <w:lang w:val="fr-FR"/>
        </w:rPr>
        <w:t xml:space="preserve"> </w:t>
      </w:r>
      <w:r w:rsidRPr="005D6CD4">
        <w:rPr>
          <w:i/>
          <w:lang w:val="fr-FR"/>
        </w:rPr>
        <w:t xml:space="preserve">et iv) </w:t>
      </w:r>
      <w:r>
        <w:rPr>
          <w:i/>
          <w:lang w:val="fr-FR"/>
        </w:rPr>
        <w:t xml:space="preserve">de </w:t>
      </w:r>
      <w:r w:rsidRPr="005D6CD4">
        <w:rPr>
          <w:i/>
          <w:lang w:val="fr-FR"/>
        </w:rPr>
        <w:t>mettre en place un cadre législatif</w:t>
      </w:r>
      <w:r>
        <w:rPr>
          <w:i/>
          <w:lang w:val="fr-FR"/>
        </w:rPr>
        <w:t xml:space="preserve"> </w:t>
      </w:r>
      <w:r w:rsidRPr="005D6CD4">
        <w:rPr>
          <w:i/>
          <w:lang w:val="fr-FR"/>
        </w:rPr>
        <w:t>pour la</w:t>
      </w:r>
      <w:r>
        <w:rPr>
          <w:i/>
          <w:lang w:val="fr-FR"/>
        </w:rPr>
        <w:t xml:space="preserve"> </w:t>
      </w:r>
      <w:r w:rsidRPr="005D6CD4">
        <w:rPr>
          <w:i/>
          <w:lang w:val="fr-FR"/>
        </w:rPr>
        <w:t>protection des droits des victimes des crimes et</w:t>
      </w:r>
      <w:r>
        <w:rPr>
          <w:i/>
          <w:lang w:val="fr-FR"/>
        </w:rPr>
        <w:t xml:space="preserve"> </w:t>
      </w:r>
      <w:r w:rsidRPr="005D6CD4">
        <w:rPr>
          <w:i/>
          <w:lang w:val="fr-FR"/>
        </w:rPr>
        <w:t>violations des droits de l</w:t>
      </w:r>
      <w:r w:rsidR="000A3D87">
        <w:rPr>
          <w:i/>
          <w:lang w:val="fr-FR"/>
        </w:rPr>
        <w:t>’</w:t>
      </w:r>
      <w:r w:rsidRPr="005D6CD4">
        <w:rPr>
          <w:i/>
          <w:lang w:val="fr-FR"/>
        </w:rPr>
        <w:t>homme, en particulier des femmes et des enfants.</w:t>
      </w:r>
      <w:r w:rsidRPr="005D6CD4">
        <w:rPr>
          <w:i/>
          <w:color w:val="FF0000"/>
          <w:lang w:val="fr-FR"/>
        </w:rPr>
        <w:t xml:space="preserve"> </w:t>
      </w:r>
      <w:r w:rsidRPr="005D6CD4">
        <w:rPr>
          <w:i/>
          <w:lang w:val="fr-FR"/>
        </w:rPr>
        <w:t>Cette r</w:t>
      </w:r>
      <w:r>
        <w:rPr>
          <w:i/>
          <w:lang w:val="fr-FR"/>
        </w:rPr>
        <w:t>é</w:t>
      </w:r>
      <w:r w:rsidRPr="005D6CD4">
        <w:rPr>
          <w:i/>
          <w:lang w:val="fr-FR"/>
        </w:rPr>
        <w:t>forme devrait permettre une représentation équitable des femmes</w:t>
      </w:r>
      <w:r>
        <w:rPr>
          <w:i/>
          <w:lang w:val="fr-FR"/>
        </w:rPr>
        <w:t xml:space="preserve"> </w:t>
      </w:r>
      <w:r w:rsidRPr="005D6CD4">
        <w:rPr>
          <w:i/>
          <w:lang w:val="fr-FR"/>
        </w:rPr>
        <w:t xml:space="preserve">dans la justice, la police et les prisons. </w:t>
      </w:r>
    </w:p>
    <w:p w:rsidR="00E15507" w:rsidRDefault="002375F5" w:rsidP="002375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E15507" w:rsidRPr="005D6CD4">
        <w:rPr>
          <w:lang w:val="fr-FR"/>
        </w:rPr>
        <w:t xml:space="preserve">15.4 </w:t>
      </w:r>
      <w:r>
        <w:rPr>
          <w:lang w:val="fr-FR"/>
        </w:rPr>
        <w:tab/>
      </w:r>
      <w:r w:rsidR="00E15507" w:rsidRPr="005D6CD4">
        <w:rPr>
          <w:lang w:val="fr-FR"/>
        </w:rPr>
        <w:t>Défis</w:t>
      </w:r>
    </w:p>
    <w:p w:rsidR="002375F5" w:rsidRPr="002375F5" w:rsidRDefault="002375F5" w:rsidP="002375F5">
      <w:pPr>
        <w:pStyle w:val="SingleTxt"/>
        <w:spacing w:after="0" w:line="120" w:lineRule="exact"/>
        <w:rPr>
          <w:b/>
          <w:bCs/>
          <w:sz w:val="10"/>
          <w:lang w:val="fr-FR"/>
        </w:rPr>
      </w:pPr>
    </w:p>
    <w:p w:rsidR="00E15507" w:rsidRPr="005D6CD4" w:rsidRDefault="002375F5" w:rsidP="00AC2642">
      <w:pPr>
        <w:pStyle w:val="SingleTxt"/>
        <w:rPr>
          <w:lang w:val="fr-FR"/>
        </w:rPr>
      </w:pPr>
      <w:r>
        <w:rPr>
          <w:lang w:val="fr-FR"/>
        </w:rPr>
        <w:tab/>
      </w:r>
      <w:r w:rsidR="00E15507" w:rsidRPr="005D6CD4">
        <w:rPr>
          <w:lang w:val="fr-FR"/>
        </w:rPr>
        <w:t>Malgré les mesures constitutionnelles et administratives mises en place, plusieurs facteurs sont responsables de la limitation de l</w:t>
      </w:r>
      <w:r w:rsidR="000A3D87">
        <w:rPr>
          <w:lang w:val="fr-FR"/>
        </w:rPr>
        <w:t>’</w:t>
      </w:r>
      <w:r w:rsidR="00E15507" w:rsidRPr="005D6CD4">
        <w:rPr>
          <w:lang w:val="fr-FR"/>
        </w:rPr>
        <w:t xml:space="preserve">accès à la justice des femmes au Nigéria parmi lesquels : </w:t>
      </w:r>
    </w:p>
    <w:p w:rsidR="00E15507" w:rsidRPr="005D6CD4" w:rsidRDefault="002375F5" w:rsidP="002375F5">
      <w:pPr>
        <w:pStyle w:val="SingleTxt"/>
        <w:numPr>
          <w:ilvl w:val="0"/>
          <w:numId w:val="45"/>
        </w:numPr>
        <w:rPr>
          <w:lang w:val="fr-FR"/>
        </w:rPr>
      </w:pPr>
      <w:r>
        <w:rPr>
          <w:lang w:val="fr-FR"/>
        </w:rPr>
        <w:tab/>
      </w:r>
      <w:r w:rsidR="00E15507" w:rsidRPr="005D6CD4">
        <w:rPr>
          <w:lang w:val="fr-FR"/>
        </w:rPr>
        <w:t xml:space="preserve">Le montant élevé des dépenses </w:t>
      </w:r>
      <w:r w:rsidR="00E15507">
        <w:rPr>
          <w:lang w:val="fr-FR"/>
        </w:rPr>
        <w:t>judiciaires</w:t>
      </w:r>
      <w:r w:rsidR="00E15507" w:rsidRPr="005D6CD4">
        <w:rPr>
          <w:lang w:val="fr-FR"/>
        </w:rPr>
        <w:t>, notamment des honoraires d</w:t>
      </w:r>
      <w:r w:rsidR="000A3D87">
        <w:rPr>
          <w:lang w:val="fr-FR"/>
        </w:rPr>
        <w:t>’</w:t>
      </w:r>
      <w:r w:rsidR="00E15507" w:rsidRPr="005D6CD4">
        <w:rPr>
          <w:lang w:val="fr-FR"/>
        </w:rPr>
        <w:t xml:space="preserve">avocat et des frais de justice qui est </w:t>
      </w:r>
      <w:r w:rsidR="00E15507">
        <w:rPr>
          <w:lang w:val="fr-FR"/>
        </w:rPr>
        <w:t xml:space="preserve">hors de portée de </w:t>
      </w:r>
      <w:r w:rsidR="00E15507" w:rsidRPr="005D6CD4">
        <w:rPr>
          <w:lang w:val="fr-FR"/>
        </w:rPr>
        <w:t>la plupart des femmes à cause de leur faible niveau de vie</w:t>
      </w:r>
      <w:r w:rsidR="00D17E6C">
        <w:rPr>
          <w:lang w:val="fr-FR"/>
        </w:rPr>
        <w:t>;</w:t>
      </w:r>
    </w:p>
    <w:p w:rsidR="00E15507" w:rsidRPr="005D6CD4" w:rsidRDefault="002375F5" w:rsidP="002375F5">
      <w:pPr>
        <w:pStyle w:val="SingleTxt"/>
        <w:numPr>
          <w:ilvl w:val="0"/>
          <w:numId w:val="45"/>
        </w:numPr>
        <w:rPr>
          <w:lang w:val="fr-FR"/>
        </w:rPr>
      </w:pPr>
      <w:r>
        <w:rPr>
          <w:lang w:val="fr-FR"/>
        </w:rPr>
        <w:tab/>
      </w:r>
      <w:r w:rsidR="00E15507" w:rsidRPr="005D6CD4">
        <w:rPr>
          <w:lang w:val="fr-FR"/>
        </w:rPr>
        <w:t>Le caractère inaccessible des tribunaux du fait de leur éloignement qui s</w:t>
      </w:r>
      <w:r w:rsidR="000A3D87">
        <w:rPr>
          <w:lang w:val="fr-FR"/>
        </w:rPr>
        <w:t>’</w:t>
      </w:r>
      <w:r w:rsidR="00E15507" w:rsidRPr="005D6CD4">
        <w:rPr>
          <w:lang w:val="fr-FR"/>
        </w:rPr>
        <w:t>ajoute aux difficultés de transport, ce qui constitue de grands facteurs limitatifs pour la plupart de femmes pauvres des zones rurales.</w:t>
      </w:r>
    </w:p>
    <w:p w:rsidR="00E15507" w:rsidRPr="005D6CD4" w:rsidRDefault="002375F5" w:rsidP="002375F5">
      <w:pPr>
        <w:pStyle w:val="SingleTxt"/>
        <w:numPr>
          <w:ilvl w:val="0"/>
          <w:numId w:val="45"/>
        </w:numPr>
        <w:rPr>
          <w:b/>
          <w:bCs/>
          <w:lang w:val="fr-FR"/>
        </w:rPr>
      </w:pPr>
      <w:r>
        <w:rPr>
          <w:lang w:val="fr-FR"/>
        </w:rPr>
        <w:tab/>
      </w:r>
      <w:r w:rsidR="00E15507" w:rsidRPr="005D6CD4">
        <w:rPr>
          <w:lang w:val="fr-FR"/>
        </w:rPr>
        <w:t>La barrière que constitue l</w:t>
      </w:r>
      <w:r w:rsidR="000A3D87">
        <w:rPr>
          <w:lang w:val="fr-FR"/>
        </w:rPr>
        <w:t>’</w:t>
      </w:r>
      <w:r w:rsidR="00E15507" w:rsidRPr="005D6CD4">
        <w:rPr>
          <w:lang w:val="fr-FR"/>
        </w:rPr>
        <w:t>utilisation de la langue anglaise</w:t>
      </w:r>
      <w:r w:rsidR="00E15507">
        <w:rPr>
          <w:lang w:val="fr-FR"/>
        </w:rPr>
        <w:t xml:space="preserve"> </w:t>
      </w:r>
      <w:r w:rsidR="00E15507" w:rsidRPr="005D6CD4">
        <w:rPr>
          <w:lang w:val="fr-FR"/>
        </w:rPr>
        <w:t>plutôt que des langues locales comme moyen de</w:t>
      </w:r>
      <w:r w:rsidR="00E15507">
        <w:rPr>
          <w:lang w:val="fr-FR"/>
        </w:rPr>
        <w:t xml:space="preserve"> </w:t>
      </w:r>
      <w:r w:rsidR="00E15507" w:rsidRPr="005D6CD4">
        <w:rPr>
          <w:lang w:val="fr-FR"/>
        </w:rPr>
        <w:t xml:space="preserve">communication dans les tribunaux et le caractère complexe du système judiciaire. </w:t>
      </w:r>
    </w:p>
    <w:p w:rsidR="002375F5" w:rsidRPr="002375F5" w:rsidRDefault="002375F5" w:rsidP="002375F5">
      <w:pPr>
        <w:pStyle w:val="SingleTxt"/>
        <w:spacing w:after="0" w:line="120" w:lineRule="exact"/>
        <w:rPr>
          <w:sz w:val="10"/>
          <w:lang w:val="fr-FR"/>
        </w:rPr>
      </w:pPr>
    </w:p>
    <w:p w:rsidR="002375F5" w:rsidRPr="002375F5" w:rsidRDefault="002375F5" w:rsidP="002375F5">
      <w:pPr>
        <w:pStyle w:val="SingleTxt"/>
        <w:spacing w:after="0" w:line="120" w:lineRule="exact"/>
        <w:rPr>
          <w:sz w:val="10"/>
          <w:lang w:val="fr-FR"/>
        </w:rPr>
      </w:pPr>
    </w:p>
    <w:p w:rsidR="00E15507" w:rsidRDefault="002375F5" w:rsidP="002375F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E15507" w:rsidRPr="00CE6AF1">
        <w:rPr>
          <w:lang w:val="fr-FR"/>
        </w:rPr>
        <w:t>Article16</w:t>
      </w:r>
      <w:r>
        <w:rPr>
          <w:lang w:val="fr-FR"/>
        </w:rPr>
        <w:br/>
      </w:r>
      <w:r w:rsidR="00E15507" w:rsidRPr="00CE6AF1">
        <w:rPr>
          <w:lang w:val="fr-FR"/>
        </w:rPr>
        <w:t>Égalité dans le mariage et dans la famille</w:t>
      </w:r>
    </w:p>
    <w:p w:rsidR="002375F5" w:rsidRPr="002375F5" w:rsidRDefault="002375F5" w:rsidP="002375F5">
      <w:pPr>
        <w:pStyle w:val="SingleTxt"/>
        <w:spacing w:after="0" w:line="120" w:lineRule="exact"/>
        <w:rPr>
          <w:sz w:val="10"/>
          <w:lang w:val="fr-FR"/>
        </w:rPr>
      </w:pPr>
    </w:p>
    <w:p w:rsidR="002375F5" w:rsidRPr="002375F5" w:rsidRDefault="002375F5" w:rsidP="002375F5">
      <w:pPr>
        <w:pStyle w:val="SingleTxt"/>
        <w:spacing w:after="0" w:line="120" w:lineRule="exact"/>
        <w:rPr>
          <w:sz w:val="10"/>
          <w:lang w:val="fr-FR"/>
        </w:rPr>
      </w:pPr>
    </w:p>
    <w:p w:rsidR="00E15507" w:rsidRDefault="002375F5" w:rsidP="002375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E15507" w:rsidRPr="005D6CD4">
        <w:rPr>
          <w:lang w:val="fr-FR"/>
        </w:rPr>
        <w:t xml:space="preserve">16.0 </w:t>
      </w:r>
      <w:r>
        <w:rPr>
          <w:lang w:val="fr-FR"/>
        </w:rPr>
        <w:tab/>
      </w:r>
      <w:r w:rsidR="00E15507" w:rsidRPr="005D6CD4">
        <w:rPr>
          <w:lang w:val="fr-FR"/>
        </w:rPr>
        <w:t>Mesures proactives et novatrices pour mettre fin aux contradictions entre les trois systèmes judiciaires</w:t>
      </w:r>
    </w:p>
    <w:p w:rsidR="002375F5" w:rsidRPr="002375F5" w:rsidRDefault="002375F5" w:rsidP="002375F5">
      <w:pPr>
        <w:pStyle w:val="SingleTxt"/>
        <w:spacing w:after="0" w:line="120" w:lineRule="exact"/>
        <w:rPr>
          <w:sz w:val="10"/>
          <w:lang w:val="fr-FR"/>
        </w:rPr>
      </w:pPr>
    </w:p>
    <w:p w:rsidR="00E15507" w:rsidRDefault="002375F5" w:rsidP="002375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rPr>
          <w:lang w:val="fr-FR"/>
        </w:rPr>
      </w:pPr>
      <w:r>
        <w:rPr>
          <w:bCs/>
          <w:lang w:val="fr-FR"/>
        </w:rPr>
        <w:tab/>
      </w:r>
      <w:r w:rsidR="00E15507" w:rsidRPr="005D6CD4">
        <w:rPr>
          <w:bCs/>
          <w:lang w:val="fr-FR"/>
        </w:rPr>
        <w:t>16.1</w:t>
      </w:r>
      <w:r w:rsidR="00E15507" w:rsidRPr="005D6CD4">
        <w:rPr>
          <w:lang w:val="fr-FR"/>
        </w:rPr>
        <w:t xml:space="preserve"> </w:t>
      </w:r>
      <w:r>
        <w:rPr>
          <w:lang w:val="fr-FR"/>
        </w:rPr>
        <w:tab/>
      </w:r>
      <w:r w:rsidR="00E15507" w:rsidRPr="002375F5">
        <w:rPr>
          <w:b w:val="0"/>
          <w:lang w:val="fr-FR"/>
        </w:rPr>
        <w:t>On a reconnu dans les rapports précédents l</w:t>
      </w:r>
      <w:r w:rsidR="000A3D87" w:rsidRPr="002375F5">
        <w:rPr>
          <w:b w:val="0"/>
          <w:lang w:val="fr-FR"/>
        </w:rPr>
        <w:t>’</w:t>
      </w:r>
      <w:r w:rsidR="00E15507" w:rsidRPr="002375F5">
        <w:rPr>
          <w:b w:val="0"/>
          <w:lang w:val="fr-FR"/>
        </w:rPr>
        <w:t>existence de pratiques et dispositions discriminatoires dans les lois civiles, religieuses et coutumières concernant l</w:t>
      </w:r>
      <w:r w:rsidR="000A3D87" w:rsidRPr="002375F5">
        <w:rPr>
          <w:b w:val="0"/>
          <w:lang w:val="fr-FR"/>
        </w:rPr>
        <w:t>’</w:t>
      </w:r>
      <w:r w:rsidR="00E15507" w:rsidRPr="002375F5">
        <w:rPr>
          <w:b w:val="0"/>
          <w:lang w:val="fr-FR"/>
        </w:rPr>
        <w:t>âge du mariage, le consentement au mariage, l</w:t>
      </w:r>
      <w:r w:rsidR="000A3D87" w:rsidRPr="002375F5">
        <w:rPr>
          <w:b w:val="0"/>
          <w:lang w:val="fr-FR"/>
        </w:rPr>
        <w:t>’</w:t>
      </w:r>
      <w:r w:rsidR="00E15507" w:rsidRPr="002375F5">
        <w:rPr>
          <w:b w:val="0"/>
          <w:lang w:val="fr-FR"/>
        </w:rPr>
        <w:t>héritage, la pension alimentaire, les MGF, le divorce, le veuvage et la polygamie, entre autres. Il convient de noter que le Centre national pour la promotion de la femme a mené une étude au plan national sur les lois, les pratiques et les décisions judiciaires discriminatoires concernant le statut de la femme et de l</w:t>
      </w:r>
      <w:r w:rsidR="000A3D87" w:rsidRPr="002375F5">
        <w:rPr>
          <w:b w:val="0"/>
          <w:lang w:val="fr-FR"/>
        </w:rPr>
        <w:t>’</w:t>
      </w:r>
      <w:r w:rsidR="00E15507" w:rsidRPr="002375F5">
        <w:rPr>
          <w:b w:val="0"/>
          <w:lang w:val="fr-FR"/>
        </w:rPr>
        <w:t>enfant au Nigéria qui a été citée dans l</w:t>
      </w:r>
      <w:r w:rsidR="000A3D87" w:rsidRPr="002375F5">
        <w:rPr>
          <w:b w:val="0"/>
          <w:lang w:val="fr-FR"/>
        </w:rPr>
        <w:t>’</w:t>
      </w:r>
      <w:r w:rsidR="00E15507" w:rsidRPr="002375F5">
        <w:rPr>
          <w:b w:val="0"/>
          <w:lang w:val="fr-FR"/>
        </w:rPr>
        <w:t>article 2 du présent rapport. Elle revoit et analyse le système juridique tripartite du point de vue de l</w:t>
      </w:r>
      <w:r w:rsidR="000A3D87" w:rsidRPr="002375F5">
        <w:rPr>
          <w:b w:val="0"/>
          <w:lang w:val="fr-FR"/>
        </w:rPr>
        <w:t>’</w:t>
      </w:r>
      <w:r w:rsidR="00E15507" w:rsidRPr="002375F5">
        <w:rPr>
          <w:b w:val="0"/>
          <w:lang w:val="fr-FR"/>
        </w:rPr>
        <w:t>égalité des sexes.</w:t>
      </w:r>
      <w:r w:rsidR="00E15507" w:rsidRPr="005D6CD4">
        <w:rPr>
          <w:lang w:val="fr-FR"/>
        </w:rPr>
        <w:t xml:space="preserve"> </w:t>
      </w:r>
    </w:p>
    <w:p w:rsidR="002375F5" w:rsidRPr="002375F5" w:rsidRDefault="002375F5" w:rsidP="002375F5">
      <w:pPr>
        <w:pStyle w:val="SingleTxt"/>
        <w:spacing w:after="0" w:line="120" w:lineRule="exact"/>
        <w:rPr>
          <w:sz w:val="10"/>
          <w:lang w:val="fr-FR"/>
        </w:rPr>
      </w:pPr>
    </w:p>
    <w:p w:rsidR="00E15507" w:rsidRPr="002375F5" w:rsidRDefault="00717C94" w:rsidP="00AC2642">
      <w:pPr>
        <w:pStyle w:val="SingleTxt"/>
        <w:rPr>
          <w:i/>
          <w:color w:val="000000"/>
          <w:lang w:val="fr-FR"/>
        </w:rPr>
      </w:pPr>
      <w:r>
        <w:rPr>
          <w:i/>
          <w:color w:val="000000"/>
          <w:lang w:val="fr-FR"/>
        </w:rPr>
        <w:tab/>
      </w:r>
      <w:r w:rsidR="00E15507" w:rsidRPr="002375F5">
        <w:rPr>
          <w:i/>
          <w:color w:val="000000"/>
          <w:lang w:val="fr-FR"/>
        </w:rPr>
        <w:t>L</w:t>
      </w:r>
      <w:r w:rsidR="000A3D87" w:rsidRPr="002375F5">
        <w:rPr>
          <w:i/>
          <w:color w:val="000000"/>
          <w:lang w:val="fr-FR"/>
        </w:rPr>
        <w:t>’</w:t>
      </w:r>
      <w:r w:rsidR="00E15507" w:rsidRPr="002375F5">
        <w:rPr>
          <w:i/>
          <w:color w:val="000000"/>
          <w:lang w:val="fr-FR"/>
        </w:rPr>
        <w:t>étude qui a été publiée en octobre 2005, contient un certain nombre de recommandations adressées aux gouvernements fédéral et des États du Nigéria en faveur de l</w:t>
      </w:r>
      <w:r w:rsidR="000A3D87" w:rsidRPr="002375F5">
        <w:rPr>
          <w:i/>
          <w:color w:val="000000"/>
          <w:lang w:val="fr-FR"/>
        </w:rPr>
        <w:t>’</w:t>
      </w:r>
      <w:r w:rsidR="00E15507" w:rsidRPr="002375F5">
        <w:rPr>
          <w:i/>
          <w:color w:val="000000"/>
          <w:lang w:val="fr-FR"/>
        </w:rPr>
        <w:t>amendement ou de l</w:t>
      </w:r>
      <w:r w:rsidR="000A3D87" w:rsidRPr="002375F5">
        <w:rPr>
          <w:i/>
          <w:color w:val="000000"/>
          <w:lang w:val="fr-FR"/>
        </w:rPr>
        <w:t>’</w:t>
      </w:r>
      <w:r w:rsidR="00E15507" w:rsidRPr="002375F5">
        <w:rPr>
          <w:i/>
          <w:color w:val="000000"/>
          <w:lang w:val="fr-FR"/>
        </w:rPr>
        <w:t xml:space="preserve">abolition pure et simple des dispositions des lois discriminatoires et nocives. </w:t>
      </w:r>
    </w:p>
    <w:p w:rsidR="00E15507" w:rsidRPr="005D6CD4" w:rsidRDefault="002375F5" w:rsidP="00AC2642">
      <w:pPr>
        <w:pStyle w:val="SingleTxt"/>
        <w:rPr>
          <w:color w:val="000000"/>
          <w:lang w:val="fr-FR"/>
        </w:rPr>
      </w:pPr>
      <w:r>
        <w:rPr>
          <w:color w:val="000000"/>
          <w:lang w:val="fr-FR"/>
        </w:rPr>
        <w:tab/>
      </w:r>
      <w:r w:rsidR="00E15507" w:rsidRPr="005D6CD4">
        <w:rPr>
          <w:color w:val="000000"/>
          <w:lang w:val="fr-FR"/>
        </w:rPr>
        <w:t>Les modifications propos</w:t>
      </w:r>
      <w:r w:rsidR="00E15507">
        <w:rPr>
          <w:color w:val="000000"/>
          <w:lang w:val="fr-FR"/>
        </w:rPr>
        <w:t>é</w:t>
      </w:r>
      <w:r w:rsidR="00E15507" w:rsidRPr="005D6CD4">
        <w:rPr>
          <w:color w:val="000000"/>
          <w:lang w:val="fr-FR"/>
        </w:rPr>
        <w:t xml:space="preserve">es concernent les décisions judiciaires telles que dans les affaires </w:t>
      </w:r>
      <w:r w:rsidR="00E15507" w:rsidRPr="005D6CD4">
        <w:rPr>
          <w:b/>
          <w:i/>
          <w:color w:val="000000"/>
          <w:lang w:val="fr-FR"/>
        </w:rPr>
        <w:t xml:space="preserve">Akinbuwa c. Akinbuwa </w:t>
      </w:r>
      <w:r w:rsidR="00E15507" w:rsidRPr="0047784E">
        <w:rPr>
          <w:color w:val="000000"/>
          <w:lang w:val="fr-FR"/>
        </w:rPr>
        <w:t>et</w:t>
      </w:r>
      <w:r w:rsidR="00E15507">
        <w:rPr>
          <w:b/>
          <w:i/>
          <w:color w:val="000000"/>
          <w:lang w:val="fr-FR"/>
        </w:rPr>
        <w:t xml:space="preserve"> </w:t>
      </w:r>
      <w:r w:rsidR="00E15507" w:rsidRPr="005D6CD4">
        <w:rPr>
          <w:b/>
          <w:i/>
          <w:color w:val="000000"/>
          <w:lang w:val="fr-FR"/>
        </w:rPr>
        <w:t>Otti c. Otti</w:t>
      </w:r>
      <w:r w:rsidR="00E15507" w:rsidRPr="005D6CD4">
        <w:rPr>
          <w:color w:val="000000"/>
          <w:lang w:val="fr-FR"/>
        </w:rPr>
        <w:t xml:space="preserve">, qui ont appliqué les dispositions contestables des </w:t>
      </w:r>
      <w:r w:rsidR="00E15507" w:rsidRPr="005D6CD4">
        <w:rPr>
          <w:b/>
          <w:color w:val="000000"/>
          <w:lang w:val="fr-FR"/>
        </w:rPr>
        <w:t>articles</w:t>
      </w:r>
      <w:r w:rsidR="00E15507">
        <w:rPr>
          <w:b/>
          <w:color w:val="000000"/>
          <w:lang w:val="fr-FR"/>
        </w:rPr>
        <w:t xml:space="preserve"> </w:t>
      </w:r>
      <w:r w:rsidR="00E15507" w:rsidRPr="005D6CD4">
        <w:rPr>
          <w:b/>
          <w:color w:val="000000"/>
          <w:lang w:val="fr-FR"/>
        </w:rPr>
        <w:t xml:space="preserve">15.2.C) et 16.e) </w:t>
      </w:r>
      <w:r w:rsidR="00E15507">
        <w:rPr>
          <w:b/>
          <w:color w:val="000000"/>
          <w:lang w:val="fr-FR"/>
        </w:rPr>
        <w:t>de la Loi sur les affaires matrimoniales</w:t>
      </w:r>
      <w:r w:rsidR="00E15507">
        <w:rPr>
          <w:color w:val="000000"/>
          <w:lang w:val="fr-FR"/>
        </w:rPr>
        <w:t xml:space="preserve"> </w:t>
      </w:r>
      <w:r w:rsidR="00E15507" w:rsidRPr="005D6CD4">
        <w:rPr>
          <w:color w:val="000000"/>
          <w:lang w:val="fr-FR"/>
        </w:rPr>
        <w:t>qui font de l</w:t>
      </w:r>
      <w:r w:rsidR="000A3D87">
        <w:rPr>
          <w:color w:val="000000"/>
          <w:lang w:val="fr-FR"/>
        </w:rPr>
        <w:t>’</w:t>
      </w:r>
      <w:r w:rsidR="00E15507" w:rsidRPr="005D6CD4">
        <w:rPr>
          <w:color w:val="000000"/>
          <w:lang w:val="fr-FR"/>
        </w:rPr>
        <w:t>extrême violence une cause de divorce. Le jugement se fondait sur les dispositions encore en vigueur selon lesquelles l</w:t>
      </w:r>
      <w:r w:rsidR="000A3D87">
        <w:rPr>
          <w:color w:val="000000"/>
          <w:lang w:val="fr-FR"/>
        </w:rPr>
        <w:t>’</w:t>
      </w:r>
      <w:r w:rsidR="00E15507" w:rsidRPr="005D6CD4">
        <w:rPr>
          <w:color w:val="000000"/>
          <w:lang w:val="fr-FR"/>
        </w:rPr>
        <w:t>époux fautif doit avoir été condamné pour une liste d</w:t>
      </w:r>
      <w:r w:rsidR="000A3D87">
        <w:rPr>
          <w:color w:val="000000"/>
          <w:lang w:val="fr-FR"/>
        </w:rPr>
        <w:t>’</w:t>
      </w:r>
      <w:r w:rsidR="00E15507" w:rsidRPr="005D6CD4">
        <w:rPr>
          <w:color w:val="000000"/>
          <w:lang w:val="fr-FR"/>
        </w:rPr>
        <w:t>autres infractions graves pour que la violence soit considérée comme un motif de divorce.</w:t>
      </w:r>
      <w:r w:rsidR="00E15507">
        <w:rPr>
          <w:color w:val="000000"/>
          <w:lang w:val="fr-FR"/>
        </w:rPr>
        <w:t xml:space="preserve"> </w:t>
      </w:r>
    </w:p>
    <w:p w:rsidR="00E15507" w:rsidRPr="005D6CD4" w:rsidRDefault="00717C94" w:rsidP="00AC2642">
      <w:pPr>
        <w:pStyle w:val="SingleTxt"/>
        <w:rPr>
          <w:color w:val="000000"/>
          <w:lang w:val="fr-FR"/>
        </w:rPr>
      </w:pPr>
      <w:r>
        <w:rPr>
          <w:color w:val="000000"/>
          <w:lang w:val="fr-FR"/>
        </w:rPr>
        <w:tab/>
      </w:r>
      <w:r w:rsidR="00E15507" w:rsidRPr="005D6CD4">
        <w:rPr>
          <w:color w:val="000000"/>
          <w:lang w:val="fr-FR"/>
        </w:rPr>
        <w:t>L</w:t>
      </w:r>
      <w:r w:rsidR="000A3D87">
        <w:rPr>
          <w:color w:val="000000"/>
          <w:lang w:val="fr-FR"/>
        </w:rPr>
        <w:t>’</w:t>
      </w:r>
      <w:r w:rsidR="00E15507" w:rsidRPr="005D6CD4">
        <w:rPr>
          <w:color w:val="000000"/>
          <w:lang w:val="fr-FR"/>
        </w:rPr>
        <w:t>amendement proposé est que tout degré de violence soit considéré comme un motif de divorce et qu</w:t>
      </w:r>
      <w:r w:rsidR="000A3D87">
        <w:rPr>
          <w:color w:val="000000"/>
          <w:lang w:val="fr-FR"/>
        </w:rPr>
        <w:t>’</w:t>
      </w:r>
      <w:r w:rsidR="00E15507" w:rsidRPr="005D6CD4">
        <w:rPr>
          <w:color w:val="000000"/>
          <w:lang w:val="fr-FR"/>
        </w:rPr>
        <w:t>on n</w:t>
      </w:r>
      <w:r w:rsidR="000A3D87">
        <w:rPr>
          <w:color w:val="000000"/>
          <w:lang w:val="fr-FR"/>
        </w:rPr>
        <w:t>’</w:t>
      </w:r>
      <w:r w:rsidR="00E15507" w:rsidRPr="005D6CD4">
        <w:rPr>
          <w:color w:val="000000"/>
          <w:lang w:val="fr-FR"/>
        </w:rPr>
        <w:t>ait pas besoin de prouver que l</w:t>
      </w:r>
      <w:r w:rsidR="000A3D87">
        <w:rPr>
          <w:color w:val="000000"/>
          <w:lang w:val="fr-FR"/>
        </w:rPr>
        <w:t>’</w:t>
      </w:r>
      <w:r w:rsidR="00E15507" w:rsidRPr="005D6CD4">
        <w:rPr>
          <w:color w:val="000000"/>
          <w:lang w:val="fr-FR"/>
        </w:rPr>
        <w:t>époux fautif a été condamné pour une des infractions énumérées. Les actes d</w:t>
      </w:r>
      <w:r w:rsidR="000A3D87">
        <w:rPr>
          <w:color w:val="000000"/>
          <w:lang w:val="fr-FR"/>
        </w:rPr>
        <w:t>’</w:t>
      </w:r>
      <w:r w:rsidR="00E15507" w:rsidRPr="005D6CD4">
        <w:rPr>
          <w:color w:val="000000"/>
          <w:lang w:val="fr-FR"/>
        </w:rPr>
        <w:t>abus ou de violence antérieurs commis sur l</w:t>
      </w:r>
      <w:r w:rsidR="000A3D87">
        <w:rPr>
          <w:color w:val="000000"/>
          <w:lang w:val="fr-FR"/>
        </w:rPr>
        <w:t>’</w:t>
      </w:r>
      <w:r w:rsidR="00E15507" w:rsidRPr="005D6CD4">
        <w:rPr>
          <w:color w:val="000000"/>
          <w:lang w:val="fr-FR"/>
        </w:rPr>
        <w:t>épou</w:t>
      </w:r>
      <w:r w:rsidR="00E15507">
        <w:rPr>
          <w:color w:val="000000"/>
          <w:lang w:val="fr-FR"/>
        </w:rPr>
        <w:t>se</w:t>
      </w:r>
      <w:r w:rsidR="00E15507" w:rsidRPr="005D6CD4">
        <w:rPr>
          <w:color w:val="000000"/>
          <w:lang w:val="fr-FR"/>
        </w:rPr>
        <w:t xml:space="preserve"> ou le demandeur doivent tout simplement être considérés comme des éléments de preuve confirmant la violence qui est présentée comme un motif de divorce.</w:t>
      </w:r>
    </w:p>
    <w:p w:rsidR="00E15507" w:rsidRPr="005D6CD4" w:rsidRDefault="00B72F42" w:rsidP="00AC2642">
      <w:pPr>
        <w:pStyle w:val="SingleTxt"/>
        <w:rPr>
          <w:color w:val="000000"/>
          <w:lang w:val="fr-FR"/>
        </w:rPr>
      </w:pPr>
      <w:r>
        <w:rPr>
          <w:color w:val="000000"/>
          <w:lang w:val="fr-FR"/>
        </w:rPr>
        <w:tab/>
      </w:r>
      <w:r w:rsidR="00E15507" w:rsidRPr="005D6CD4">
        <w:rPr>
          <w:color w:val="000000"/>
          <w:lang w:val="fr-FR"/>
        </w:rPr>
        <w:t xml:space="preserve">Il est également recommandé </w:t>
      </w:r>
      <w:r w:rsidR="00E15507">
        <w:rPr>
          <w:color w:val="000000"/>
          <w:lang w:val="fr-FR"/>
        </w:rPr>
        <w:t>d</w:t>
      </w:r>
      <w:r w:rsidR="000A3D87">
        <w:rPr>
          <w:color w:val="000000"/>
          <w:lang w:val="fr-FR"/>
        </w:rPr>
        <w:t>’</w:t>
      </w:r>
      <w:r w:rsidR="00E15507" w:rsidRPr="005D6CD4">
        <w:rPr>
          <w:color w:val="000000"/>
          <w:lang w:val="fr-FR"/>
        </w:rPr>
        <w:t>abrog</w:t>
      </w:r>
      <w:r w:rsidR="00E15507">
        <w:rPr>
          <w:color w:val="000000"/>
          <w:lang w:val="fr-FR"/>
        </w:rPr>
        <w:t xml:space="preserve">er </w:t>
      </w:r>
      <w:r w:rsidR="00E15507" w:rsidRPr="005D6CD4">
        <w:rPr>
          <w:color w:val="000000"/>
          <w:lang w:val="fr-FR"/>
        </w:rPr>
        <w:t>l</w:t>
      </w:r>
      <w:r w:rsidR="000A3D87">
        <w:rPr>
          <w:color w:val="000000"/>
          <w:lang w:val="fr-FR"/>
        </w:rPr>
        <w:t>’</w:t>
      </w:r>
      <w:r w:rsidR="00E15507" w:rsidRPr="005D6CD4">
        <w:rPr>
          <w:b/>
          <w:color w:val="000000"/>
          <w:lang w:val="fr-FR"/>
        </w:rPr>
        <w:t>article 55.1.d)</w:t>
      </w:r>
      <w:r w:rsidR="00E15507" w:rsidRPr="005D6CD4">
        <w:rPr>
          <w:color w:val="000000"/>
          <w:lang w:val="fr-FR"/>
        </w:rPr>
        <w:t xml:space="preserve"> du </w:t>
      </w:r>
      <w:r w:rsidR="00E15507">
        <w:rPr>
          <w:color w:val="000000"/>
          <w:lang w:val="fr-FR"/>
        </w:rPr>
        <w:t>C</w:t>
      </w:r>
      <w:r w:rsidR="00E15507" w:rsidRPr="005D6CD4">
        <w:rPr>
          <w:color w:val="000000"/>
          <w:lang w:val="fr-FR"/>
        </w:rPr>
        <w:t xml:space="preserve">ode pénal des États du </w:t>
      </w:r>
      <w:r w:rsidR="00E15507">
        <w:rPr>
          <w:color w:val="000000"/>
          <w:lang w:val="fr-FR"/>
        </w:rPr>
        <w:t>N</w:t>
      </w:r>
      <w:r w:rsidR="00E15507" w:rsidRPr="005D6CD4">
        <w:rPr>
          <w:color w:val="000000"/>
          <w:lang w:val="fr-FR"/>
        </w:rPr>
        <w:t>ord qui considère le fait de battre sa femme</w:t>
      </w:r>
      <w:r w:rsidR="00E15507">
        <w:rPr>
          <w:color w:val="000000"/>
          <w:lang w:val="fr-FR"/>
        </w:rPr>
        <w:t xml:space="preserve"> </w:t>
      </w:r>
      <w:r w:rsidR="00E15507" w:rsidRPr="005D6CD4">
        <w:rPr>
          <w:color w:val="000000"/>
          <w:lang w:val="fr-FR"/>
        </w:rPr>
        <w:t>comme une correction et qui assimile les rapports entre le mari et la femme à ceux d</w:t>
      </w:r>
      <w:r w:rsidR="000A3D87">
        <w:rPr>
          <w:color w:val="000000"/>
          <w:lang w:val="fr-FR"/>
        </w:rPr>
        <w:t>’</w:t>
      </w:r>
      <w:r w:rsidR="00E15507" w:rsidRPr="005D6CD4">
        <w:rPr>
          <w:color w:val="000000"/>
          <w:lang w:val="fr-FR"/>
        </w:rPr>
        <w:t>un maître et de son élève. Il permet au mari de discipliner sa femme par la bastonnade. Cette recommandation vise à promouvoir et à protéger les droits des femmes à l</w:t>
      </w:r>
      <w:r w:rsidR="000A3D87">
        <w:rPr>
          <w:color w:val="000000"/>
          <w:lang w:val="fr-FR"/>
        </w:rPr>
        <w:t>’</w:t>
      </w:r>
      <w:r w:rsidR="00E15507" w:rsidRPr="005D6CD4">
        <w:rPr>
          <w:color w:val="000000"/>
          <w:lang w:val="fr-FR"/>
        </w:rPr>
        <w:t>égalité dans le</w:t>
      </w:r>
      <w:r w:rsidR="00E15507">
        <w:rPr>
          <w:color w:val="000000"/>
          <w:lang w:val="fr-FR"/>
        </w:rPr>
        <w:t xml:space="preserve"> </w:t>
      </w:r>
      <w:r w:rsidR="00E15507" w:rsidRPr="005D6CD4">
        <w:rPr>
          <w:color w:val="000000"/>
          <w:lang w:val="fr-FR"/>
        </w:rPr>
        <w:t>mariage.</w:t>
      </w:r>
      <w:r w:rsidR="00E15507">
        <w:rPr>
          <w:color w:val="000000"/>
          <w:lang w:val="fr-FR"/>
        </w:rPr>
        <w:t xml:space="preserve"> </w:t>
      </w:r>
    </w:p>
    <w:p w:rsidR="00E15507" w:rsidRPr="005D6CD4" w:rsidRDefault="00B72F42" w:rsidP="00AC2642">
      <w:pPr>
        <w:pStyle w:val="SingleTxt"/>
        <w:rPr>
          <w:color w:val="000000"/>
          <w:lang w:val="fr-FR"/>
        </w:rPr>
      </w:pPr>
      <w:r>
        <w:rPr>
          <w:color w:val="000000"/>
          <w:lang w:val="fr-FR"/>
        </w:rPr>
        <w:tab/>
      </w:r>
      <w:r w:rsidR="00E15507" w:rsidRPr="005D6CD4">
        <w:rPr>
          <w:color w:val="000000"/>
          <w:lang w:val="fr-FR"/>
        </w:rPr>
        <w:t xml:space="preserve">Les conclusions et les recommandations du rapport qui contient 138 pages ont été entièrement intégrées </w:t>
      </w:r>
      <w:r w:rsidR="00E15507">
        <w:rPr>
          <w:color w:val="000000"/>
          <w:lang w:val="fr-FR"/>
        </w:rPr>
        <w:t>à</w:t>
      </w:r>
      <w:r w:rsidR="00E15507" w:rsidRPr="005D6CD4">
        <w:rPr>
          <w:color w:val="000000"/>
          <w:lang w:val="fr-FR"/>
        </w:rPr>
        <w:t xml:space="preserve"> la version finale du projet de loi intitulé</w:t>
      </w:r>
      <w:r w:rsidR="00E15507" w:rsidRPr="005D6CD4">
        <w:rPr>
          <w:b/>
          <w:color w:val="000000"/>
          <w:lang w:val="fr-FR"/>
        </w:rPr>
        <w:t xml:space="preserve"> </w:t>
      </w:r>
      <w:r w:rsidR="00D17E6C">
        <w:rPr>
          <w:b/>
          <w:color w:val="000000"/>
          <w:lang w:val="fr-FR"/>
        </w:rPr>
        <w:t>“ </w:t>
      </w:r>
      <w:r w:rsidR="00E15507" w:rsidRPr="005D6CD4">
        <w:rPr>
          <w:b/>
          <w:i/>
          <w:color w:val="000000"/>
          <w:lang w:val="fr-FR"/>
        </w:rPr>
        <w:t xml:space="preserve">Abolition </w:t>
      </w:r>
      <w:r w:rsidR="00E15507">
        <w:rPr>
          <w:b/>
          <w:i/>
          <w:color w:val="000000"/>
          <w:lang w:val="fr-FR"/>
        </w:rPr>
        <w:t>de toutes les formes de d</w:t>
      </w:r>
      <w:r w:rsidR="00E15507" w:rsidRPr="005D6CD4">
        <w:rPr>
          <w:b/>
          <w:i/>
          <w:color w:val="000000"/>
          <w:lang w:val="fr-FR"/>
        </w:rPr>
        <w:t>iscrimination</w:t>
      </w:r>
      <w:r w:rsidR="00E15507">
        <w:rPr>
          <w:b/>
          <w:i/>
          <w:color w:val="000000"/>
          <w:lang w:val="fr-FR"/>
        </w:rPr>
        <w:t xml:space="preserve"> à l</w:t>
      </w:r>
      <w:r w:rsidR="000A3D87">
        <w:rPr>
          <w:b/>
          <w:i/>
          <w:color w:val="000000"/>
          <w:lang w:val="fr-FR"/>
        </w:rPr>
        <w:t>’</w:t>
      </w:r>
      <w:r w:rsidR="00E15507">
        <w:rPr>
          <w:b/>
          <w:i/>
          <w:color w:val="000000"/>
          <w:lang w:val="fr-FR"/>
        </w:rPr>
        <w:t>égard des femmes au Nigéria</w:t>
      </w:r>
      <w:r w:rsidR="00E15507" w:rsidRPr="005D6CD4">
        <w:rPr>
          <w:b/>
          <w:i/>
          <w:color w:val="000000"/>
          <w:lang w:val="fr-FR"/>
        </w:rPr>
        <w:t xml:space="preserve"> </w:t>
      </w:r>
      <w:r w:rsidR="00E15507">
        <w:rPr>
          <w:b/>
          <w:i/>
          <w:color w:val="000000"/>
          <w:lang w:val="fr-FR"/>
        </w:rPr>
        <w:t>et autres questions connexes</w:t>
      </w:r>
      <w:r w:rsidR="00E15507" w:rsidRPr="005D6CD4">
        <w:rPr>
          <w:b/>
          <w:color w:val="000000"/>
          <w:lang w:val="fr-FR"/>
        </w:rPr>
        <w:t>, 2006</w:t>
      </w:r>
      <w:r w:rsidR="000A3D87">
        <w:rPr>
          <w:b/>
          <w:color w:val="000000"/>
          <w:lang w:val="fr-FR"/>
        </w:rPr>
        <w:t> »</w:t>
      </w:r>
      <w:r w:rsidR="00E15507" w:rsidRPr="005D6CD4">
        <w:rPr>
          <w:color w:val="000000"/>
          <w:lang w:val="fr-FR"/>
        </w:rPr>
        <w:t>. Ce projet de loi est en cours d</w:t>
      </w:r>
      <w:r w:rsidR="000A3D87">
        <w:rPr>
          <w:color w:val="000000"/>
          <w:lang w:val="fr-FR"/>
        </w:rPr>
        <w:t>’</w:t>
      </w:r>
      <w:r w:rsidR="00E15507" w:rsidRPr="005D6CD4">
        <w:rPr>
          <w:color w:val="000000"/>
          <w:lang w:val="fr-FR"/>
        </w:rPr>
        <w:t>examen à l</w:t>
      </w:r>
      <w:r w:rsidR="000A3D87">
        <w:rPr>
          <w:color w:val="000000"/>
          <w:lang w:val="fr-FR"/>
        </w:rPr>
        <w:t>’</w:t>
      </w:r>
      <w:r w:rsidR="00E15507" w:rsidRPr="005D6CD4">
        <w:rPr>
          <w:color w:val="000000"/>
          <w:lang w:val="fr-FR"/>
        </w:rPr>
        <w:t>Assemblée nationale. De même, la Commission présidentielle de 7</w:t>
      </w:r>
      <w:r w:rsidR="00E15507">
        <w:rPr>
          <w:color w:val="000000"/>
          <w:lang w:val="fr-FR"/>
        </w:rPr>
        <w:t xml:space="preserve"> </w:t>
      </w:r>
      <w:r w:rsidR="00E15507" w:rsidRPr="005D6CD4">
        <w:rPr>
          <w:color w:val="000000"/>
          <w:lang w:val="fr-FR"/>
        </w:rPr>
        <w:t>membres</w:t>
      </w:r>
      <w:r w:rsidR="00E15507">
        <w:rPr>
          <w:color w:val="000000"/>
          <w:lang w:val="fr-FR"/>
        </w:rPr>
        <w:t xml:space="preserve"> </w:t>
      </w:r>
      <w:r w:rsidR="00E15507" w:rsidRPr="005D6CD4">
        <w:rPr>
          <w:color w:val="000000"/>
          <w:lang w:val="fr-FR"/>
        </w:rPr>
        <w:t xml:space="preserve">sur la </w:t>
      </w:r>
      <w:r w:rsidR="00E15507" w:rsidRPr="005D6CD4">
        <w:rPr>
          <w:b/>
          <w:color w:val="000000"/>
          <w:lang w:val="fr-FR"/>
        </w:rPr>
        <w:t>réforme de l</w:t>
      </w:r>
      <w:r w:rsidR="000A3D87">
        <w:rPr>
          <w:b/>
          <w:color w:val="000000"/>
          <w:lang w:val="fr-FR"/>
        </w:rPr>
        <w:t>’</w:t>
      </w:r>
      <w:r w:rsidR="00E15507" w:rsidRPr="005D6CD4">
        <w:rPr>
          <w:b/>
          <w:color w:val="000000"/>
          <w:lang w:val="fr-FR"/>
        </w:rPr>
        <w:t xml:space="preserve">administration de la justice au </w:t>
      </w:r>
      <w:r w:rsidR="00E15507">
        <w:rPr>
          <w:b/>
          <w:color w:val="000000"/>
          <w:lang w:val="fr-FR"/>
        </w:rPr>
        <w:t>Nigéria</w:t>
      </w:r>
      <w:r w:rsidR="00E15507" w:rsidRPr="005D6CD4">
        <w:rPr>
          <w:color w:val="000000"/>
          <w:lang w:val="fr-FR"/>
        </w:rPr>
        <w:t xml:space="preserve"> étudie les recommandations contenues dans le rapport dans le cadre de ses missions.</w:t>
      </w:r>
    </w:p>
    <w:p w:rsidR="00E15507" w:rsidRDefault="00B72F42" w:rsidP="00AC2642">
      <w:pPr>
        <w:pStyle w:val="SingleTxt"/>
        <w:rPr>
          <w:lang w:val="fr-FR"/>
        </w:rPr>
      </w:pPr>
      <w:r>
        <w:rPr>
          <w:lang w:val="fr-FR"/>
        </w:rPr>
        <w:tab/>
      </w:r>
      <w:r w:rsidR="00E15507" w:rsidRPr="005D6CD4">
        <w:rPr>
          <w:lang w:val="fr-FR"/>
        </w:rPr>
        <w:t xml:space="preserve">Le </w:t>
      </w:r>
      <w:r w:rsidR="00E15507">
        <w:rPr>
          <w:lang w:val="fr-FR"/>
        </w:rPr>
        <w:t>Nigéria</w:t>
      </w:r>
      <w:r w:rsidR="00E15507" w:rsidRPr="005D6CD4">
        <w:rPr>
          <w:lang w:val="fr-FR"/>
        </w:rPr>
        <w:t xml:space="preserve"> a également ratifié le </w:t>
      </w:r>
      <w:r w:rsidR="00E15507" w:rsidRPr="00717C94">
        <w:rPr>
          <w:lang w:val="fr-FR"/>
        </w:rPr>
        <w:t>Protocole à la Charte africaine des droits des femmes en Afrique, au moment</w:t>
      </w:r>
      <w:r w:rsidR="00E15507" w:rsidRPr="00C50C38">
        <w:rPr>
          <w:b/>
          <w:lang w:val="fr-FR"/>
        </w:rPr>
        <w:t xml:space="preserve"> où</w:t>
      </w:r>
      <w:r w:rsidR="00E15507" w:rsidRPr="005D6CD4">
        <w:rPr>
          <w:lang w:val="fr-FR"/>
        </w:rPr>
        <w:t xml:space="preserve"> </w:t>
      </w:r>
      <w:r w:rsidR="00E15507" w:rsidRPr="00717C94">
        <w:rPr>
          <w:b/>
          <w:lang w:val="fr-FR"/>
        </w:rPr>
        <w:t>des actions de plaidoyer pour l</w:t>
      </w:r>
      <w:r w:rsidR="000A3D87" w:rsidRPr="00717C94">
        <w:rPr>
          <w:b/>
          <w:lang w:val="fr-FR"/>
        </w:rPr>
        <w:t>’</w:t>
      </w:r>
      <w:r w:rsidR="00E15507" w:rsidRPr="00717C94">
        <w:rPr>
          <w:b/>
          <w:lang w:val="fr-FR"/>
        </w:rPr>
        <w:t>intégration du Protocole et de la Convention à la législation nationale sont menées de manière intense et où il y a une volonté politique de les transformer en loi. En témoigne la forme que revêt le projet de loi concernant la Convention, qui est présentée comme une proposition émanant du pouvoir exécutif et déposée au Sénat par le Président.</w:t>
      </w:r>
      <w:r w:rsidR="00E15507" w:rsidRPr="005D6CD4">
        <w:rPr>
          <w:lang w:val="fr-FR"/>
        </w:rPr>
        <w:t xml:space="preserve"> </w:t>
      </w:r>
    </w:p>
    <w:p w:rsidR="00E15507" w:rsidRPr="00C50C38" w:rsidRDefault="00B72F42" w:rsidP="00AC2642">
      <w:pPr>
        <w:pStyle w:val="SingleTxt"/>
        <w:rPr>
          <w:b/>
          <w:lang w:val="fr-FR"/>
        </w:rPr>
      </w:pPr>
      <w:r>
        <w:rPr>
          <w:b/>
          <w:lang w:val="fr-FR"/>
        </w:rPr>
        <w:tab/>
      </w:r>
      <w:r w:rsidR="00E15507" w:rsidRPr="00C50C38">
        <w:rPr>
          <w:b/>
          <w:lang w:val="fr-FR"/>
        </w:rPr>
        <w:t>Les aspects pertinents du Protocole à la Charte africaine qui cadrent avec la Convention sont les suivants :</w:t>
      </w:r>
    </w:p>
    <w:p w:rsidR="00E15507" w:rsidRPr="002126DB" w:rsidRDefault="00B72F42" w:rsidP="00AC2642">
      <w:pPr>
        <w:pStyle w:val="SingleTxt"/>
        <w:rPr>
          <w:color w:val="000000"/>
          <w:lang w:val="fr-FR"/>
        </w:rPr>
      </w:pPr>
      <w:r>
        <w:rPr>
          <w:color w:val="000000"/>
          <w:lang w:val="fr-FR"/>
        </w:rPr>
        <w:tab/>
      </w:r>
      <w:r w:rsidR="00E15507" w:rsidRPr="005D6CD4">
        <w:rPr>
          <w:color w:val="000000"/>
          <w:lang w:val="fr-FR"/>
        </w:rPr>
        <w:t>L</w:t>
      </w:r>
      <w:r w:rsidR="000A3D87">
        <w:rPr>
          <w:color w:val="000000"/>
          <w:lang w:val="fr-FR"/>
        </w:rPr>
        <w:t>’</w:t>
      </w:r>
      <w:r w:rsidR="00E15507" w:rsidRPr="005D6CD4">
        <w:rPr>
          <w:color w:val="000000"/>
          <w:lang w:val="fr-FR"/>
        </w:rPr>
        <w:t>article 21</w:t>
      </w:r>
      <w:r w:rsidR="00E15507" w:rsidRPr="005D6CD4">
        <w:rPr>
          <w:b/>
          <w:color w:val="000000"/>
          <w:lang w:val="fr-FR"/>
        </w:rPr>
        <w:t xml:space="preserve"> </w:t>
      </w:r>
      <w:r w:rsidR="00E15507" w:rsidRPr="005D6CD4">
        <w:rPr>
          <w:b/>
          <w:i/>
          <w:color w:val="000000"/>
          <w:lang w:val="fr-FR"/>
        </w:rPr>
        <w:t>est libellé comme suit :</w:t>
      </w:r>
      <w:r w:rsidR="00E15507" w:rsidRPr="005D6CD4">
        <w:rPr>
          <w:b/>
          <w:color w:val="000000"/>
          <w:lang w:val="fr-FR"/>
        </w:rPr>
        <w:t xml:space="preserve"> </w:t>
      </w:r>
      <w:r w:rsidR="00E15507" w:rsidRPr="00717C94">
        <w:rPr>
          <w:b/>
          <w:color w:val="000000"/>
          <w:lang w:val="fr-FR"/>
        </w:rPr>
        <w:t>La veuve a droit à une part équitable dans l</w:t>
      </w:r>
      <w:r w:rsidR="000A3D87" w:rsidRPr="00717C94">
        <w:rPr>
          <w:b/>
          <w:color w:val="000000"/>
          <w:lang w:val="fr-FR"/>
        </w:rPr>
        <w:t>’</w:t>
      </w:r>
      <w:r w:rsidR="00E15507" w:rsidRPr="00717C94">
        <w:rPr>
          <w:b/>
          <w:color w:val="000000"/>
          <w:lang w:val="fr-FR"/>
        </w:rPr>
        <w:t>héritage des biens de son conjoint. La veuve a le droit, quel que soit le régime matrimonial, de continuer d</w:t>
      </w:r>
      <w:r w:rsidR="000A3D87" w:rsidRPr="00717C94">
        <w:rPr>
          <w:b/>
          <w:color w:val="000000"/>
          <w:lang w:val="fr-FR"/>
        </w:rPr>
        <w:t>’</w:t>
      </w:r>
      <w:r w:rsidR="00E15507" w:rsidRPr="00717C94">
        <w:rPr>
          <w:b/>
          <w:color w:val="000000"/>
          <w:lang w:val="fr-FR"/>
        </w:rPr>
        <w:t>habiter dans le domicile conjugal. En cas de remariage, elle conserve ce droit si le domicile lui appartient en propre ou lui a été dévolu en héritage. Tout comme les hommes, les femmes ont le droit d</w:t>
      </w:r>
      <w:r w:rsidR="000A3D87" w:rsidRPr="00717C94">
        <w:rPr>
          <w:b/>
          <w:color w:val="000000"/>
          <w:lang w:val="fr-FR"/>
        </w:rPr>
        <w:t>’</w:t>
      </w:r>
      <w:r w:rsidR="00E15507" w:rsidRPr="00717C94">
        <w:rPr>
          <w:b/>
          <w:color w:val="000000"/>
          <w:lang w:val="fr-FR"/>
        </w:rPr>
        <w:t>hériter des biens de leurs parents, en parts équitables. Durant le mariage, la femme a le droit d</w:t>
      </w:r>
      <w:r w:rsidR="000A3D87" w:rsidRPr="00717C94">
        <w:rPr>
          <w:b/>
          <w:color w:val="000000"/>
          <w:lang w:val="fr-FR"/>
        </w:rPr>
        <w:t>’</w:t>
      </w:r>
      <w:r w:rsidR="00E15507" w:rsidRPr="00717C94">
        <w:rPr>
          <w:b/>
          <w:color w:val="000000"/>
          <w:lang w:val="fr-FR"/>
        </w:rPr>
        <w:t>acquérir ses propres biens et de les gérer en toute liberté.</w:t>
      </w:r>
    </w:p>
    <w:p w:rsidR="00E15507" w:rsidRPr="005D6CD4" w:rsidRDefault="00B72F42" w:rsidP="00AC2642">
      <w:pPr>
        <w:pStyle w:val="SingleTxt"/>
        <w:rPr>
          <w:color w:val="000000"/>
          <w:lang w:val="fr-FR"/>
        </w:rPr>
      </w:pPr>
      <w:r>
        <w:rPr>
          <w:b/>
          <w:color w:val="000000"/>
          <w:lang w:val="fr-FR"/>
        </w:rPr>
        <w:tab/>
      </w:r>
      <w:r w:rsidR="00E15507" w:rsidRPr="005D6CD4">
        <w:rPr>
          <w:b/>
          <w:color w:val="000000"/>
          <w:lang w:val="fr-FR"/>
        </w:rPr>
        <w:t>L</w:t>
      </w:r>
      <w:r w:rsidR="000A3D87">
        <w:rPr>
          <w:b/>
          <w:color w:val="000000"/>
          <w:lang w:val="fr-FR"/>
        </w:rPr>
        <w:t>’</w:t>
      </w:r>
      <w:r w:rsidR="00E15507" w:rsidRPr="005D6CD4">
        <w:rPr>
          <w:b/>
          <w:color w:val="000000"/>
          <w:lang w:val="fr-FR"/>
        </w:rPr>
        <w:t>article 6</w:t>
      </w:r>
      <w:r w:rsidR="00E15507" w:rsidRPr="005D6CD4">
        <w:rPr>
          <w:color w:val="000000"/>
          <w:lang w:val="fr-FR"/>
        </w:rPr>
        <w:t xml:space="preserve"> invite les États parties à veiller à ce que et l</w:t>
      </w:r>
      <w:r w:rsidR="000A3D87">
        <w:rPr>
          <w:color w:val="000000"/>
          <w:lang w:val="fr-FR"/>
        </w:rPr>
        <w:t>’</w:t>
      </w:r>
      <w:r w:rsidR="00E15507" w:rsidRPr="005D6CD4">
        <w:rPr>
          <w:color w:val="000000"/>
          <w:lang w:val="fr-FR"/>
        </w:rPr>
        <w:t>homme et la femme jouissent des mêmes droits et soient considérés comme des partenaires égaux dans le mariage. Il demande par ailleurs aux États d</w:t>
      </w:r>
      <w:r w:rsidR="000A3D87">
        <w:rPr>
          <w:color w:val="000000"/>
          <w:lang w:val="fr-FR"/>
        </w:rPr>
        <w:t>’</w:t>
      </w:r>
      <w:r w:rsidR="00E15507" w:rsidRPr="005D6CD4">
        <w:rPr>
          <w:color w:val="000000"/>
          <w:lang w:val="fr-FR"/>
        </w:rPr>
        <w:t xml:space="preserve">adopter des mesures législatives appropriées pour faire </w:t>
      </w:r>
      <w:r w:rsidR="00E15507">
        <w:rPr>
          <w:color w:val="000000"/>
          <w:lang w:val="fr-FR"/>
        </w:rPr>
        <w:t>en</w:t>
      </w:r>
      <w:r w:rsidR="00E15507" w:rsidRPr="005D6CD4">
        <w:rPr>
          <w:color w:val="000000"/>
          <w:lang w:val="fr-FR"/>
        </w:rPr>
        <w:t xml:space="preserve"> sorte que tout mariage soi</w:t>
      </w:r>
      <w:r w:rsidR="00E15507">
        <w:rPr>
          <w:color w:val="000000"/>
          <w:lang w:val="fr-FR"/>
        </w:rPr>
        <w:t>t</w:t>
      </w:r>
      <w:r w:rsidR="00E15507" w:rsidRPr="005D6CD4">
        <w:rPr>
          <w:color w:val="000000"/>
          <w:lang w:val="fr-FR"/>
        </w:rPr>
        <w:t xml:space="preserve"> conclu par écrit et enregistré conformément à la législation nationale afin d</w:t>
      </w:r>
      <w:r w:rsidR="000A3D87">
        <w:rPr>
          <w:color w:val="000000"/>
          <w:lang w:val="fr-FR"/>
        </w:rPr>
        <w:t>’</w:t>
      </w:r>
      <w:r w:rsidR="00E15507" w:rsidRPr="005D6CD4">
        <w:rPr>
          <w:color w:val="000000"/>
          <w:lang w:val="fr-FR"/>
        </w:rPr>
        <w:t>être reconnu légalement. Une fois adopté au plan interne, le protocole</w:t>
      </w:r>
      <w:r w:rsidR="00E15507">
        <w:rPr>
          <w:color w:val="000000"/>
          <w:lang w:val="fr-FR"/>
        </w:rPr>
        <w:t xml:space="preserve"> </w:t>
      </w:r>
      <w:r w:rsidR="00E15507" w:rsidRPr="005D6CD4">
        <w:rPr>
          <w:color w:val="000000"/>
          <w:lang w:val="fr-FR"/>
        </w:rPr>
        <w:t>permettra</w:t>
      </w:r>
      <w:r w:rsidR="00E15507">
        <w:rPr>
          <w:color w:val="000000"/>
          <w:lang w:val="fr-FR"/>
        </w:rPr>
        <w:t xml:space="preserve"> </w:t>
      </w:r>
      <w:r w:rsidR="00E15507" w:rsidRPr="005D6CD4">
        <w:rPr>
          <w:color w:val="000000"/>
          <w:lang w:val="fr-FR"/>
        </w:rPr>
        <w:t>à coup sûr de mettre en place un cadre juridique grâce auquel</w:t>
      </w:r>
      <w:r w:rsidR="00E15507">
        <w:rPr>
          <w:color w:val="000000"/>
          <w:lang w:val="fr-FR"/>
        </w:rPr>
        <w:t xml:space="preserve"> </w:t>
      </w:r>
      <w:r w:rsidR="00E15507" w:rsidRPr="005D6CD4">
        <w:rPr>
          <w:color w:val="000000"/>
          <w:lang w:val="fr-FR"/>
        </w:rPr>
        <w:t>les femmes mariées selon le droit coutumier pourront s</w:t>
      </w:r>
      <w:r w:rsidR="000A3D87">
        <w:rPr>
          <w:color w:val="000000"/>
          <w:lang w:val="fr-FR"/>
        </w:rPr>
        <w:t>’</w:t>
      </w:r>
      <w:r w:rsidR="00E15507" w:rsidRPr="005D6CD4">
        <w:rPr>
          <w:color w:val="000000"/>
          <w:lang w:val="fr-FR"/>
        </w:rPr>
        <w:t>opposer à toutes les formes de</w:t>
      </w:r>
      <w:r w:rsidR="00E15507">
        <w:rPr>
          <w:color w:val="000000"/>
          <w:lang w:val="fr-FR"/>
        </w:rPr>
        <w:t xml:space="preserve"> </w:t>
      </w:r>
      <w:r w:rsidR="00E15507" w:rsidRPr="005D6CD4">
        <w:rPr>
          <w:color w:val="000000"/>
          <w:lang w:val="fr-FR"/>
        </w:rPr>
        <w:t xml:space="preserve">pratiques discriminatoires, car de tels mariages seront reconnus et auront les mêmes avantages que les mariages contractés selon la loi moderne. </w:t>
      </w:r>
    </w:p>
    <w:p w:rsidR="00E15507" w:rsidRPr="005D6CD4" w:rsidRDefault="00B72F42" w:rsidP="00AC2642">
      <w:pPr>
        <w:pStyle w:val="SingleTxt"/>
        <w:rPr>
          <w:color w:val="000000"/>
          <w:lang w:val="fr-FR"/>
        </w:rPr>
      </w:pPr>
      <w:r>
        <w:rPr>
          <w:color w:val="000000"/>
          <w:lang w:val="fr-FR"/>
        </w:rPr>
        <w:tab/>
      </w:r>
      <w:r w:rsidR="00E15507" w:rsidRPr="005D6CD4">
        <w:rPr>
          <w:color w:val="000000"/>
          <w:lang w:val="fr-FR"/>
        </w:rPr>
        <w:t>En vue de mieux garantir l</w:t>
      </w:r>
      <w:r w:rsidR="000A3D87">
        <w:rPr>
          <w:color w:val="000000"/>
          <w:lang w:val="fr-FR"/>
        </w:rPr>
        <w:t>’</w:t>
      </w:r>
      <w:r w:rsidR="00E15507" w:rsidRPr="005D6CD4">
        <w:rPr>
          <w:color w:val="000000"/>
          <w:lang w:val="fr-FR"/>
        </w:rPr>
        <w:t xml:space="preserve">égalité dans le mariage, </w:t>
      </w:r>
      <w:r w:rsidR="00E15507" w:rsidRPr="005D6CD4">
        <w:rPr>
          <w:b/>
          <w:color w:val="000000"/>
          <w:lang w:val="fr-FR"/>
        </w:rPr>
        <w:t>l</w:t>
      </w:r>
      <w:r w:rsidR="000A3D87">
        <w:rPr>
          <w:b/>
          <w:color w:val="000000"/>
          <w:lang w:val="fr-FR"/>
        </w:rPr>
        <w:t>’</w:t>
      </w:r>
      <w:r w:rsidR="00E15507" w:rsidRPr="005D6CD4">
        <w:rPr>
          <w:b/>
          <w:color w:val="000000"/>
          <w:lang w:val="fr-FR"/>
        </w:rPr>
        <w:t xml:space="preserve">article 21 de </w:t>
      </w:r>
      <w:r w:rsidR="00E15507">
        <w:rPr>
          <w:b/>
          <w:color w:val="000000"/>
          <w:lang w:val="fr-FR"/>
        </w:rPr>
        <w:t>la Loi sur les droits de l</w:t>
      </w:r>
      <w:r w:rsidR="000A3D87">
        <w:rPr>
          <w:b/>
          <w:color w:val="000000"/>
          <w:lang w:val="fr-FR"/>
        </w:rPr>
        <w:t>’</w:t>
      </w:r>
      <w:r w:rsidR="00E15507">
        <w:rPr>
          <w:b/>
          <w:color w:val="000000"/>
          <w:lang w:val="fr-FR"/>
        </w:rPr>
        <w:t>enfant</w:t>
      </w:r>
      <w:r w:rsidR="00E15507" w:rsidRPr="005D6CD4">
        <w:rPr>
          <w:color w:val="000000"/>
          <w:lang w:val="fr-FR"/>
        </w:rPr>
        <w:t xml:space="preserve"> prévoit que l</w:t>
      </w:r>
      <w:r w:rsidR="000A3D87">
        <w:rPr>
          <w:color w:val="000000"/>
          <w:lang w:val="fr-FR"/>
        </w:rPr>
        <w:t>’</w:t>
      </w:r>
      <w:r w:rsidR="00E15507" w:rsidRPr="005D6CD4">
        <w:rPr>
          <w:color w:val="000000"/>
          <w:lang w:val="fr-FR"/>
        </w:rPr>
        <w:t>âge minimum pour le mariage et les fiançailles est de dix-huit ans. Il corrige l</w:t>
      </w:r>
      <w:r w:rsidR="000A3D87">
        <w:rPr>
          <w:color w:val="000000"/>
          <w:lang w:val="fr-FR"/>
        </w:rPr>
        <w:t>’</w:t>
      </w:r>
      <w:r w:rsidR="00E15507" w:rsidRPr="005D6CD4">
        <w:rPr>
          <w:color w:val="000000"/>
          <w:lang w:val="fr-FR"/>
        </w:rPr>
        <w:t>absence d</w:t>
      </w:r>
      <w:r w:rsidR="000A3D87">
        <w:rPr>
          <w:color w:val="000000"/>
          <w:lang w:val="fr-FR"/>
        </w:rPr>
        <w:t>’</w:t>
      </w:r>
      <w:r w:rsidR="00E15507" w:rsidRPr="005D6CD4">
        <w:rPr>
          <w:color w:val="000000"/>
          <w:lang w:val="fr-FR"/>
        </w:rPr>
        <w:t xml:space="preserve">un âge déterminé pour le mariage dans </w:t>
      </w:r>
      <w:r w:rsidR="00E15507" w:rsidRPr="007F2640">
        <w:rPr>
          <w:b/>
          <w:color w:val="000000"/>
          <w:lang w:val="fr-FR"/>
        </w:rPr>
        <w:t>la Loi sur le mariage,</w:t>
      </w:r>
      <w:r w:rsidR="00E15507">
        <w:rPr>
          <w:color w:val="000000"/>
          <w:lang w:val="fr-FR"/>
        </w:rPr>
        <w:t xml:space="preserve"> </w:t>
      </w:r>
      <w:r w:rsidR="00E15507" w:rsidRPr="005D6CD4">
        <w:rPr>
          <w:b/>
          <w:i/>
          <w:color w:val="000000"/>
          <w:lang w:val="fr-FR"/>
        </w:rPr>
        <w:t xml:space="preserve">Cap. M6, Vol. 8, </w:t>
      </w:r>
      <w:r w:rsidR="00E15507">
        <w:rPr>
          <w:b/>
          <w:i/>
          <w:color w:val="000000"/>
          <w:lang w:val="fr-FR"/>
        </w:rPr>
        <w:t>Recueil des lois de la Fédération du Nigéria</w:t>
      </w:r>
      <w:r w:rsidR="00E15507" w:rsidRPr="005D6CD4">
        <w:rPr>
          <w:b/>
          <w:i/>
          <w:color w:val="000000"/>
          <w:lang w:val="fr-FR"/>
        </w:rPr>
        <w:t>, 2004</w:t>
      </w:r>
      <w:r w:rsidR="00E15507" w:rsidRPr="005D6CD4">
        <w:rPr>
          <w:color w:val="000000"/>
          <w:lang w:val="fr-FR"/>
        </w:rPr>
        <w:t xml:space="preserve">, et </w:t>
      </w:r>
      <w:r w:rsidR="00E15507" w:rsidRPr="007F2640">
        <w:rPr>
          <w:b/>
          <w:color w:val="000000"/>
          <w:lang w:val="fr-FR"/>
        </w:rPr>
        <w:t>la Loi sur les affaires matrimoniales,</w:t>
      </w:r>
      <w:r w:rsidR="00E15507">
        <w:rPr>
          <w:color w:val="000000"/>
          <w:lang w:val="fr-FR"/>
        </w:rPr>
        <w:t xml:space="preserve"> </w:t>
      </w:r>
      <w:r w:rsidR="00E15507" w:rsidRPr="005D6CD4">
        <w:rPr>
          <w:b/>
          <w:i/>
          <w:color w:val="000000"/>
          <w:lang w:val="fr-FR"/>
        </w:rPr>
        <w:t xml:space="preserve">Cap, M.7, Vol.8, </w:t>
      </w:r>
      <w:r w:rsidR="00E15507">
        <w:rPr>
          <w:b/>
          <w:i/>
          <w:color w:val="000000"/>
          <w:lang w:val="fr-FR"/>
        </w:rPr>
        <w:t>Recueil des lois de la Fédération du Nigéria</w:t>
      </w:r>
      <w:r w:rsidR="00E15507" w:rsidRPr="005D6CD4">
        <w:rPr>
          <w:b/>
          <w:i/>
          <w:color w:val="000000"/>
          <w:lang w:val="fr-FR"/>
        </w:rPr>
        <w:t>, 2004</w:t>
      </w:r>
      <w:r w:rsidR="00E15507" w:rsidRPr="005D6CD4">
        <w:rPr>
          <w:color w:val="000000"/>
          <w:lang w:val="fr-FR"/>
        </w:rPr>
        <w:t>, et réprime la fixation arbitraire de l</w:t>
      </w:r>
      <w:r w:rsidR="000A3D87">
        <w:rPr>
          <w:color w:val="000000"/>
          <w:lang w:val="fr-FR"/>
        </w:rPr>
        <w:t>’</w:t>
      </w:r>
      <w:r w:rsidR="00E15507" w:rsidRPr="005D6CD4">
        <w:rPr>
          <w:color w:val="000000"/>
          <w:lang w:val="fr-FR"/>
        </w:rPr>
        <w:t xml:space="preserve">âge du mariage selon les pratiques traditionnelles et coutumières. Au moins dix États de la Fédération ont adopté les dispositions de </w:t>
      </w:r>
      <w:r w:rsidR="00E15507">
        <w:rPr>
          <w:color w:val="000000"/>
          <w:lang w:val="fr-FR"/>
        </w:rPr>
        <w:t>la Loi sur les droits de l</w:t>
      </w:r>
      <w:r w:rsidR="000A3D87">
        <w:rPr>
          <w:color w:val="000000"/>
          <w:lang w:val="fr-FR"/>
        </w:rPr>
        <w:t>’</w:t>
      </w:r>
      <w:r w:rsidR="00E15507">
        <w:rPr>
          <w:color w:val="000000"/>
          <w:lang w:val="fr-FR"/>
        </w:rPr>
        <w:t>enfant</w:t>
      </w:r>
      <w:r w:rsidR="00E15507" w:rsidRPr="005D6CD4">
        <w:rPr>
          <w:i/>
          <w:color w:val="000000"/>
          <w:lang w:val="fr-FR"/>
        </w:rPr>
        <w:t xml:space="preserve">, </w:t>
      </w:r>
      <w:r w:rsidR="00E15507" w:rsidRPr="00D042A5">
        <w:rPr>
          <w:color w:val="000000"/>
          <w:lang w:val="fr-FR"/>
        </w:rPr>
        <w:t>2003.</w:t>
      </w:r>
    </w:p>
    <w:p w:rsidR="00E15507" w:rsidRPr="005D6CD4" w:rsidRDefault="00B72F42" w:rsidP="00AC2642">
      <w:pPr>
        <w:pStyle w:val="SingleTxt"/>
        <w:rPr>
          <w:color w:val="000000"/>
          <w:lang w:val="fr-FR"/>
        </w:rPr>
      </w:pPr>
      <w:r>
        <w:rPr>
          <w:lang w:val="fr-FR"/>
        </w:rPr>
        <w:tab/>
      </w:r>
      <w:r w:rsidR="00E15507" w:rsidRPr="005D6CD4">
        <w:rPr>
          <w:lang w:val="fr-FR"/>
        </w:rPr>
        <w:t>Il ressort notamment du rapport de la Conférence nationale sur les réformes politiques qui s</w:t>
      </w:r>
      <w:r w:rsidR="000A3D87">
        <w:rPr>
          <w:lang w:val="fr-FR"/>
        </w:rPr>
        <w:t>’</w:t>
      </w:r>
      <w:r w:rsidR="00E15507" w:rsidRPr="005D6CD4">
        <w:rPr>
          <w:lang w:val="fr-FR"/>
        </w:rPr>
        <w:t xml:space="preserve">est tenue entre 2004 et 2005 en vue de réviser la </w:t>
      </w:r>
      <w:r w:rsidR="00E15507">
        <w:rPr>
          <w:lang w:val="fr-FR"/>
        </w:rPr>
        <w:t>C</w:t>
      </w:r>
      <w:r w:rsidR="00E15507" w:rsidRPr="005D6CD4">
        <w:rPr>
          <w:lang w:val="fr-FR"/>
        </w:rPr>
        <w:t>onstitution et qui a été publié en mai 2005 que :</w:t>
      </w:r>
    </w:p>
    <w:p w:rsidR="00E15507" w:rsidRPr="005D6CD4" w:rsidRDefault="00B72F42" w:rsidP="00AC2642">
      <w:pPr>
        <w:pStyle w:val="SingleTxt"/>
        <w:rPr>
          <w:color w:val="000000"/>
          <w:lang w:val="fr-FR"/>
        </w:rPr>
      </w:pPr>
      <w:r>
        <w:rPr>
          <w:color w:val="000000"/>
          <w:lang w:val="fr-FR"/>
        </w:rPr>
        <w:tab/>
        <w:t>a)</w:t>
      </w:r>
      <w:r>
        <w:rPr>
          <w:color w:val="000000"/>
          <w:lang w:val="fr-FR"/>
        </w:rPr>
        <w:tab/>
      </w:r>
      <w:r w:rsidR="00E15507" w:rsidRPr="005D6CD4">
        <w:rPr>
          <w:color w:val="000000"/>
          <w:lang w:val="fr-FR"/>
        </w:rPr>
        <w:t>Le fait de refuser aux femmes, aux enfants et aux autres minorités les droits socio-économiques, en particulier l</w:t>
      </w:r>
      <w:r w:rsidR="000A3D87">
        <w:rPr>
          <w:color w:val="000000"/>
          <w:lang w:val="fr-FR"/>
        </w:rPr>
        <w:t>’</w:t>
      </w:r>
      <w:r w:rsidR="00E15507" w:rsidRPr="005D6CD4">
        <w:rPr>
          <w:color w:val="000000"/>
          <w:lang w:val="fr-FR"/>
        </w:rPr>
        <w:t>égalité d</w:t>
      </w:r>
      <w:r w:rsidR="000A3D87">
        <w:rPr>
          <w:color w:val="000000"/>
          <w:lang w:val="fr-FR"/>
        </w:rPr>
        <w:t>’</w:t>
      </w:r>
      <w:r w:rsidR="00E15507" w:rsidRPr="005D6CD4">
        <w:rPr>
          <w:color w:val="000000"/>
          <w:lang w:val="fr-FR"/>
        </w:rPr>
        <w:t>accès à la propriété foncière, l</w:t>
      </w:r>
      <w:r w:rsidR="000A3D87">
        <w:rPr>
          <w:color w:val="000000"/>
          <w:lang w:val="fr-FR"/>
        </w:rPr>
        <w:t>’</w:t>
      </w:r>
      <w:r w:rsidR="00E15507" w:rsidRPr="005D6CD4">
        <w:rPr>
          <w:color w:val="000000"/>
          <w:lang w:val="fr-FR"/>
        </w:rPr>
        <w:t xml:space="preserve">égalité pour ce qui est de la participation </w:t>
      </w:r>
      <w:r w:rsidR="00E15507">
        <w:rPr>
          <w:color w:val="000000"/>
          <w:lang w:val="fr-FR"/>
        </w:rPr>
        <w:t xml:space="preserve">aux </w:t>
      </w:r>
      <w:r w:rsidR="00E15507" w:rsidRPr="005D6CD4">
        <w:rPr>
          <w:color w:val="000000"/>
          <w:lang w:val="fr-FR"/>
        </w:rPr>
        <w:t xml:space="preserve">processus et activités économiques et politiques constitue de graves violations des obligations internationales du </w:t>
      </w:r>
      <w:r w:rsidR="00E15507">
        <w:rPr>
          <w:color w:val="000000"/>
          <w:lang w:val="fr-FR"/>
        </w:rPr>
        <w:t>Nigéria</w:t>
      </w:r>
      <w:r w:rsidR="00E15507" w:rsidRPr="005D6CD4">
        <w:rPr>
          <w:color w:val="000000"/>
          <w:lang w:val="fr-FR"/>
        </w:rPr>
        <w:t>.</w:t>
      </w:r>
    </w:p>
    <w:p w:rsidR="00E15507" w:rsidRPr="005D6CD4" w:rsidRDefault="00B72F42" w:rsidP="00AC2642">
      <w:pPr>
        <w:pStyle w:val="SingleTxt"/>
        <w:rPr>
          <w:color w:val="000000"/>
          <w:lang w:val="fr-FR"/>
        </w:rPr>
      </w:pPr>
      <w:r>
        <w:rPr>
          <w:color w:val="000000"/>
          <w:lang w:val="fr-FR"/>
        </w:rPr>
        <w:tab/>
        <w:t>b)</w:t>
      </w:r>
      <w:r>
        <w:rPr>
          <w:color w:val="000000"/>
          <w:lang w:val="fr-FR"/>
        </w:rPr>
        <w:tab/>
      </w:r>
      <w:r w:rsidR="00E15507" w:rsidRPr="005D6CD4">
        <w:rPr>
          <w:color w:val="000000"/>
          <w:lang w:val="fr-FR"/>
        </w:rPr>
        <w:t>Plusieurs dispositions des lois civiles et pénales sont discriminatoires à l</w:t>
      </w:r>
      <w:r w:rsidR="000A3D87">
        <w:rPr>
          <w:color w:val="000000"/>
          <w:lang w:val="fr-FR"/>
        </w:rPr>
        <w:t>’</w:t>
      </w:r>
      <w:r w:rsidR="00E15507" w:rsidRPr="005D6CD4">
        <w:rPr>
          <w:color w:val="000000"/>
          <w:lang w:val="fr-FR"/>
        </w:rPr>
        <w:t xml:space="preserve">égard des femmes et de telles lois sont incompatibles avec les obligations internationales du </w:t>
      </w:r>
      <w:r w:rsidR="00E15507">
        <w:rPr>
          <w:color w:val="000000"/>
          <w:lang w:val="fr-FR"/>
        </w:rPr>
        <w:t>Nigéria</w:t>
      </w:r>
      <w:r w:rsidR="00E15507" w:rsidRPr="005D6CD4">
        <w:rPr>
          <w:color w:val="000000"/>
          <w:lang w:val="fr-FR"/>
        </w:rPr>
        <w:t>.</w:t>
      </w:r>
    </w:p>
    <w:p w:rsidR="00E15507" w:rsidRPr="005D6CD4" w:rsidRDefault="00B72F42" w:rsidP="00AC2642">
      <w:pPr>
        <w:pStyle w:val="SingleTxt"/>
        <w:rPr>
          <w:color w:val="000000"/>
          <w:lang w:val="fr-FR"/>
        </w:rPr>
      </w:pPr>
      <w:r>
        <w:rPr>
          <w:color w:val="000000"/>
          <w:lang w:val="fr-FR"/>
        </w:rPr>
        <w:tab/>
      </w:r>
      <w:r w:rsidR="00E15507" w:rsidRPr="005D6CD4">
        <w:rPr>
          <w:color w:val="000000"/>
          <w:lang w:val="fr-FR"/>
        </w:rPr>
        <w:t>Cette conférence a recommandé les mesures suivantes :</w:t>
      </w:r>
    </w:p>
    <w:p w:rsidR="00E15507" w:rsidRPr="005D6CD4" w:rsidRDefault="00B72F42" w:rsidP="00AC2642">
      <w:pPr>
        <w:pStyle w:val="SingleTxt"/>
        <w:rPr>
          <w:color w:val="000000"/>
          <w:lang w:val="fr-FR"/>
        </w:rPr>
      </w:pPr>
      <w:r>
        <w:rPr>
          <w:color w:val="000000"/>
          <w:lang w:val="fr-FR"/>
        </w:rPr>
        <w:tab/>
      </w:r>
      <w:r w:rsidR="00E15507" w:rsidRPr="005D6CD4">
        <w:rPr>
          <w:color w:val="000000"/>
          <w:lang w:val="fr-FR"/>
        </w:rPr>
        <w:t>Une Commission sur l</w:t>
      </w:r>
      <w:r w:rsidR="000A3D87">
        <w:rPr>
          <w:color w:val="000000"/>
          <w:lang w:val="fr-FR"/>
        </w:rPr>
        <w:t>’</w:t>
      </w:r>
      <w:r w:rsidR="00E15507" w:rsidRPr="005D6CD4">
        <w:rPr>
          <w:color w:val="000000"/>
          <w:lang w:val="fr-FR"/>
        </w:rPr>
        <w:t>égalité des chances devrait être créée pour remplacer l</w:t>
      </w:r>
      <w:r w:rsidR="00E15507">
        <w:rPr>
          <w:color w:val="000000"/>
          <w:lang w:val="fr-FR"/>
        </w:rPr>
        <w:t>a Commission sur le caractère fédéral</w:t>
      </w:r>
      <w:r w:rsidR="00D17E6C">
        <w:rPr>
          <w:i/>
          <w:color w:val="000000"/>
          <w:lang w:val="fr-FR"/>
        </w:rPr>
        <w:t>;</w:t>
      </w:r>
    </w:p>
    <w:p w:rsidR="00E15507" w:rsidRPr="005D6CD4" w:rsidRDefault="00B72F42" w:rsidP="00AC2642">
      <w:pPr>
        <w:pStyle w:val="SingleTxt"/>
        <w:rPr>
          <w:color w:val="000000"/>
          <w:lang w:val="fr-FR"/>
        </w:rPr>
      </w:pPr>
      <w:r>
        <w:rPr>
          <w:color w:val="000000"/>
          <w:lang w:val="fr-FR"/>
        </w:rPr>
        <w:tab/>
      </w:r>
      <w:r w:rsidR="00E15507" w:rsidRPr="005D6CD4">
        <w:rPr>
          <w:color w:val="000000"/>
          <w:lang w:val="fr-FR"/>
        </w:rPr>
        <w:t>L</w:t>
      </w:r>
      <w:r w:rsidR="000A3D87">
        <w:rPr>
          <w:color w:val="000000"/>
          <w:lang w:val="fr-FR"/>
        </w:rPr>
        <w:t>’</w:t>
      </w:r>
      <w:r w:rsidR="00E15507" w:rsidRPr="005D6CD4">
        <w:rPr>
          <w:color w:val="000000"/>
          <w:lang w:val="fr-FR"/>
        </w:rPr>
        <w:t>abrogation des dispositions discriminatoires et ne tenant pas compte de l</w:t>
      </w:r>
      <w:r w:rsidR="000A3D87">
        <w:rPr>
          <w:color w:val="000000"/>
          <w:lang w:val="fr-FR"/>
        </w:rPr>
        <w:t>’</w:t>
      </w:r>
      <w:r w:rsidR="00E15507" w:rsidRPr="005D6CD4">
        <w:rPr>
          <w:color w:val="000000"/>
          <w:lang w:val="fr-FR"/>
        </w:rPr>
        <w:t xml:space="preserve">égalité des sexes des articles 55.1.d) et 282 du </w:t>
      </w:r>
      <w:r w:rsidR="00E15507">
        <w:rPr>
          <w:color w:val="000000"/>
          <w:lang w:val="fr-FR"/>
        </w:rPr>
        <w:t>C</w:t>
      </w:r>
      <w:r w:rsidR="00E15507" w:rsidRPr="005D6CD4">
        <w:rPr>
          <w:color w:val="000000"/>
          <w:lang w:val="fr-FR"/>
        </w:rPr>
        <w:t xml:space="preserve">ode pénal du </w:t>
      </w:r>
      <w:r w:rsidR="00E15507">
        <w:rPr>
          <w:color w:val="000000"/>
          <w:lang w:val="fr-FR"/>
        </w:rPr>
        <w:t>N</w:t>
      </w:r>
      <w:r w:rsidR="00E15507" w:rsidRPr="005D6CD4">
        <w:rPr>
          <w:color w:val="000000"/>
          <w:lang w:val="fr-FR"/>
        </w:rPr>
        <w:t xml:space="preserve">ord du </w:t>
      </w:r>
      <w:r w:rsidR="00E15507">
        <w:rPr>
          <w:color w:val="000000"/>
          <w:lang w:val="fr-FR"/>
        </w:rPr>
        <w:t>Nigéria</w:t>
      </w:r>
      <w:r w:rsidR="00D17E6C">
        <w:rPr>
          <w:color w:val="000000"/>
          <w:lang w:val="fr-FR"/>
        </w:rPr>
        <w:t>;</w:t>
      </w:r>
      <w:r w:rsidR="00E15507">
        <w:rPr>
          <w:color w:val="000000"/>
          <w:lang w:val="fr-FR"/>
        </w:rPr>
        <w:t xml:space="preserve"> des articles</w:t>
      </w:r>
      <w:r w:rsidR="00E15507" w:rsidRPr="005D6CD4">
        <w:rPr>
          <w:color w:val="000000"/>
          <w:lang w:val="fr-FR"/>
        </w:rPr>
        <w:t xml:space="preserve"> 221, 353 et 360 d</w:t>
      </w:r>
      <w:r w:rsidR="00E15507">
        <w:rPr>
          <w:color w:val="000000"/>
          <w:lang w:val="fr-FR"/>
        </w:rPr>
        <w:t>e la Loi sur le Code d</w:t>
      </w:r>
      <w:r w:rsidR="000A3D87">
        <w:rPr>
          <w:color w:val="000000"/>
          <w:lang w:val="fr-FR"/>
        </w:rPr>
        <w:t>’</w:t>
      </w:r>
      <w:r w:rsidR="00E15507">
        <w:rPr>
          <w:color w:val="000000"/>
          <w:lang w:val="fr-FR"/>
        </w:rPr>
        <w:t xml:space="preserve">instruction criminelle </w:t>
      </w:r>
      <w:r w:rsidR="00E15507" w:rsidRPr="005D6CD4">
        <w:rPr>
          <w:color w:val="000000"/>
          <w:lang w:val="fr-FR"/>
        </w:rPr>
        <w:t xml:space="preserve">et </w:t>
      </w:r>
      <w:r w:rsidR="00E15507">
        <w:rPr>
          <w:color w:val="000000"/>
          <w:lang w:val="fr-FR"/>
        </w:rPr>
        <w:t>l</w:t>
      </w:r>
      <w:r w:rsidR="000A3D87">
        <w:rPr>
          <w:color w:val="000000"/>
          <w:lang w:val="fr-FR"/>
        </w:rPr>
        <w:t>’</w:t>
      </w:r>
      <w:r w:rsidR="00E15507">
        <w:rPr>
          <w:color w:val="000000"/>
          <w:lang w:val="fr-FR"/>
        </w:rPr>
        <w:t xml:space="preserve">article </w:t>
      </w:r>
      <w:r w:rsidR="00E15507" w:rsidRPr="005D6CD4">
        <w:rPr>
          <w:color w:val="000000"/>
          <w:lang w:val="fr-FR"/>
        </w:rPr>
        <w:t xml:space="preserve">26.2) de la </w:t>
      </w:r>
      <w:r w:rsidR="00E15507">
        <w:rPr>
          <w:color w:val="000000"/>
          <w:lang w:val="fr-FR"/>
        </w:rPr>
        <w:t>C</w:t>
      </w:r>
      <w:r w:rsidR="00E15507" w:rsidRPr="005D6CD4">
        <w:rPr>
          <w:color w:val="000000"/>
          <w:lang w:val="fr-FR"/>
        </w:rPr>
        <w:t>onstitution de 1999 concernant la citoyenneté</w:t>
      </w:r>
      <w:r w:rsidR="00D17E6C">
        <w:rPr>
          <w:color w:val="000000"/>
          <w:lang w:val="fr-FR"/>
        </w:rPr>
        <w:t>;</w:t>
      </w:r>
    </w:p>
    <w:p w:rsidR="00E15507" w:rsidRPr="005D6CD4" w:rsidRDefault="00B72F42" w:rsidP="00AC2642">
      <w:pPr>
        <w:pStyle w:val="SingleTxt"/>
        <w:rPr>
          <w:color w:val="000000"/>
          <w:lang w:val="fr-FR"/>
        </w:rPr>
      </w:pPr>
      <w:r>
        <w:rPr>
          <w:color w:val="000000"/>
          <w:lang w:val="fr-FR"/>
        </w:rPr>
        <w:tab/>
      </w:r>
      <w:r w:rsidR="00E15507" w:rsidRPr="005D6CD4">
        <w:rPr>
          <w:color w:val="000000"/>
          <w:lang w:val="fr-FR"/>
        </w:rPr>
        <w:t>La révision des dispositions de l</w:t>
      </w:r>
      <w:r w:rsidR="000A3D87">
        <w:rPr>
          <w:color w:val="000000"/>
          <w:lang w:val="fr-FR"/>
        </w:rPr>
        <w:t>’</w:t>
      </w:r>
      <w:r w:rsidR="00E15507" w:rsidRPr="005D6CD4">
        <w:rPr>
          <w:color w:val="000000"/>
          <w:lang w:val="fr-FR"/>
        </w:rPr>
        <w:t>article</w:t>
      </w:r>
      <w:r w:rsidR="00E15507">
        <w:rPr>
          <w:color w:val="000000"/>
          <w:lang w:val="fr-FR"/>
        </w:rPr>
        <w:t xml:space="preserve"> </w:t>
      </w:r>
      <w:r w:rsidR="00E15507" w:rsidRPr="005D6CD4">
        <w:rPr>
          <w:color w:val="000000"/>
          <w:lang w:val="fr-FR"/>
        </w:rPr>
        <w:t>1 d</w:t>
      </w:r>
      <w:r w:rsidR="00E15507">
        <w:rPr>
          <w:color w:val="000000"/>
          <w:lang w:val="fr-FR"/>
        </w:rPr>
        <w:t>e la Loi sur le Code d</w:t>
      </w:r>
      <w:r w:rsidR="000A3D87">
        <w:rPr>
          <w:color w:val="000000"/>
          <w:lang w:val="fr-FR"/>
        </w:rPr>
        <w:t>’</w:t>
      </w:r>
      <w:r w:rsidR="00E15507">
        <w:rPr>
          <w:color w:val="000000"/>
          <w:lang w:val="fr-FR"/>
        </w:rPr>
        <w:t xml:space="preserve">instruction criminelle </w:t>
      </w:r>
      <w:r w:rsidR="00E15507" w:rsidRPr="005D6CD4">
        <w:rPr>
          <w:color w:val="000000"/>
          <w:lang w:val="fr-FR"/>
        </w:rPr>
        <w:t>sur la définition de la prostitution et de l</w:t>
      </w:r>
      <w:r w:rsidR="000A3D87">
        <w:rPr>
          <w:color w:val="000000"/>
          <w:lang w:val="fr-FR"/>
        </w:rPr>
        <w:t>’</w:t>
      </w:r>
      <w:r w:rsidR="00E15507" w:rsidRPr="005D6CD4">
        <w:rPr>
          <w:color w:val="000000"/>
          <w:lang w:val="fr-FR"/>
        </w:rPr>
        <w:t>article 16.2.c) d</w:t>
      </w:r>
      <w:r w:rsidR="00E15507">
        <w:rPr>
          <w:color w:val="000000"/>
          <w:lang w:val="fr-FR"/>
        </w:rPr>
        <w:t xml:space="preserve">e la Loi sur les affaires matrimoniales </w:t>
      </w:r>
      <w:r w:rsidR="00E15507" w:rsidRPr="005D6CD4">
        <w:rPr>
          <w:color w:val="000000"/>
          <w:lang w:val="fr-FR"/>
        </w:rPr>
        <w:t>qui demande de prouver au préalable la condamnation de l</w:t>
      </w:r>
      <w:r w:rsidR="000A3D87">
        <w:rPr>
          <w:color w:val="000000"/>
          <w:lang w:val="fr-FR"/>
        </w:rPr>
        <w:t>’</w:t>
      </w:r>
      <w:r w:rsidR="00E15507" w:rsidRPr="005D6CD4">
        <w:rPr>
          <w:color w:val="000000"/>
          <w:lang w:val="fr-FR"/>
        </w:rPr>
        <w:t>époux afin d</w:t>
      </w:r>
      <w:r w:rsidR="000A3D87">
        <w:rPr>
          <w:color w:val="000000"/>
          <w:lang w:val="fr-FR"/>
        </w:rPr>
        <w:t>’</w:t>
      </w:r>
      <w:r w:rsidR="00E15507" w:rsidRPr="005D6CD4">
        <w:rPr>
          <w:color w:val="000000"/>
          <w:lang w:val="fr-FR"/>
        </w:rPr>
        <w:t>établir la violence</w:t>
      </w:r>
      <w:r w:rsidR="00D17E6C">
        <w:rPr>
          <w:color w:val="000000"/>
          <w:lang w:val="fr-FR"/>
        </w:rPr>
        <w:t>;</w:t>
      </w:r>
    </w:p>
    <w:p w:rsidR="00E15507" w:rsidRPr="005D6CD4" w:rsidRDefault="00B72F42" w:rsidP="00AC2642">
      <w:pPr>
        <w:pStyle w:val="SingleTxt"/>
        <w:rPr>
          <w:color w:val="000000"/>
          <w:lang w:val="fr-FR"/>
        </w:rPr>
      </w:pPr>
      <w:r>
        <w:rPr>
          <w:color w:val="000000"/>
          <w:lang w:val="fr-FR"/>
        </w:rPr>
        <w:tab/>
      </w:r>
      <w:r w:rsidR="00E15507" w:rsidRPr="005D6CD4">
        <w:rPr>
          <w:color w:val="000000"/>
          <w:lang w:val="fr-FR"/>
        </w:rPr>
        <w:t xml:space="preserve">La garantie dans la </w:t>
      </w:r>
      <w:r w:rsidR="00E15507">
        <w:rPr>
          <w:color w:val="000000"/>
          <w:lang w:val="fr-FR"/>
        </w:rPr>
        <w:t>C</w:t>
      </w:r>
      <w:r w:rsidR="00E15507" w:rsidRPr="005D6CD4">
        <w:rPr>
          <w:color w:val="000000"/>
          <w:lang w:val="fr-FR"/>
        </w:rPr>
        <w:t>onstitution des droits des veuves</w:t>
      </w:r>
      <w:r w:rsidR="00D17E6C">
        <w:rPr>
          <w:color w:val="000000"/>
          <w:lang w:val="fr-FR"/>
        </w:rPr>
        <w:t>;</w:t>
      </w:r>
    </w:p>
    <w:p w:rsidR="00E15507" w:rsidRPr="005D6CD4" w:rsidRDefault="00B72F42" w:rsidP="00AC2642">
      <w:pPr>
        <w:pStyle w:val="SingleTxt"/>
        <w:rPr>
          <w:color w:val="000000"/>
          <w:lang w:val="fr-FR"/>
        </w:rPr>
      </w:pPr>
      <w:r>
        <w:rPr>
          <w:color w:val="000000"/>
          <w:lang w:val="fr-FR"/>
        </w:rPr>
        <w:tab/>
      </w:r>
      <w:r w:rsidR="00E15507" w:rsidRPr="005D6CD4">
        <w:rPr>
          <w:color w:val="000000"/>
          <w:lang w:val="fr-FR"/>
        </w:rPr>
        <w:t>La révision de toutes les lois nigérianes pour tenir compte dans leur rédaction de l</w:t>
      </w:r>
      <w:r w:rsidR="000A3D87">
        <w:rPr>
          <w:color w:val="000000"/>
          <w:lang w:val="fr-FR"/>
        </w:rPr>
        <w:t>’</w:t>
      </w:r>
      <w:r w:rsidR="00E15507" w:rsidRPr="005D6CD4">
        <w:rPr>
          <w:color w:val="000000"/>
          <w:lang w:val="fr-FR"/>
        </w:rPr>
        <w:t>égalité des sexes.</w:t>
      </w:r>
    </w:p>
    <w:p w:rsidR="00E15507" w:rsidRPr="005D6CD4" w:rsidRDefault="00B72F42" w:rsidP="00AC2642">
      <w:pPr>
        <w:pStyle w:val="SingleTxt"/>
        <w:rPr>
          <w:color w:val="000000"/>
          <w:lang w:val="fr-FR"/>
        </w:rPr>
      </w:pPr>
      <w:r>
        <w:rPr>
          <w:color w:val="000000"/>
          <w:lang w:val="fr-FR"/>
        </w:rPr>
        <w:tab/>
      </w:r>
      <w:r w:rsidR="00E15507" w:rsidRPr="005D6CD4">
        <w:rPr>
          <w:color w:val="000000"/>
          <w:lang w:val="fr-FR"/>
        </w:rPr>
        <w:t xml:space="preserve">Ces recommandations ont amené les organisations de la société civile et le </w:t>
      </w:r>
      <w:r w:rsidR="00E15507">
        <w:rPr>
          <w:color w:val="000000"/>
          <w:lang w:val="fr-FR"/>
        </w:rPr>
        <w:t>G</w:t>
      </w:r>
      <w:r w:rsidR="00E15507" w:rsidRPr="005D6CD4">
        <w:rPr>
          <w:color w:val="000000"/>
          <w:lang w:val="fr-FR"/>
        </w:rPr>
        <w:t>ouvernement à exercer des pressions en faveur de l</w:t>
      </w:r>
      <w:r w:rsidR="000A3D87">
        <w:rPr>
          <w:color w:val="000000"/>
          <w:lang w:val="fr-FR"/>
        </w:rPr>
        <w:t>’</w:t>
      </w:r>
      <w:r w:rsidR="00E15507" w:rsidRPr="005D6CD4">
        <w:rPr>
          <w:color w:val="000000"/>
          <w:lang w:val="fr-FR"/>
        </w:rPr>
        <w:t>adoption des réformes juridiques susmentionnées et à suivre leur mise en œuvre tant au niveau national que des États.</w:t>
      </w:r>
    </w:p>
    <w:p w:rsidR="00E15507" w:rsidRPr="00B72F42" w:rsidRDefault="00E15507" w:rsidP="00AC2642">
      <w:pPr>
        <w:pStyle w:val="SingleTxt"/>
        <w:rPr>
          <w:b/>
          <w:lang w:val="fr-FR"/>
        </w:rPr>
      </w:pPr>
      <w:r w:rsidRPr="00B72F42">
        <w:rPr>
          <w:b/>
          <w:lang w:val="fr-FR"/>
        </w:rPr>
        <w:t>Autres initiatives connexes des ONG et du Gouvernement</w:t>
      </w:r>
    </w:p>
    <w:p w:rsidR="00E15507" w:rsidRPr="005D6CD4" w:rsidRDefault="00B72F42" w:rsidP="00AC2642">
      <w:pPr>
        <w:pStyle w:val="SingleTxt"/>
        <w:rPr>
          <w:color w:val="000000"/>
          <w:lang w:val="fr-FR"/>
        </w:rPr>
      </w:pPr>
      <w:r>
        <w:rPr>
          <w:color w:val="000000"/>
          <w:lang w:val="fr-FR"/>
        </w:rPr>
        <w:t xml:space="preserve">16.2.1  </w:t>
      </w:r>
      <w:r w:rsidR="00E15507" w:rsidRPr="005D6CD4">
        <w:rPr>
          <w:color w:val="000000"/>
          <w:lang w:val="fr-FR"/>
        </w:rPr>
        <w:t>Le travail de WRAPA sur la codification des lois musulmanes sur a famille (2005/2006) visant à assurer à la femme marié un accès accru à la justice, la protection de son droit à l</w:t>
      </w:r>
      <w:r w:rsidR="000A3D87">
        <w:rPr>
          <w:color w:val="000000"/>
          <w:lang w:val="fr-FR"/>
        </w:rPr>
        <w:t>’</w:t>
      </w:r>
      <w:r w:rsidR="00E15507" w:rsidRPr="005D6CD4">
        <w:rPr>
          <w:color w:val="000000"/>
          <w:lang w:val="fr-FR"/>
        </w:rPr>
        <w:t>égalité dans le mariage, lors du divorce et pour ce qui est de l</w:t>
      </w:r>
      <w:r w:rsidR="000A3D87">
        <w:rPr>
          <w:color w:val="000000"/>
          <w:lang w:val="fr-FR"/>
        </w:rPr>
        <w:t>’</w:t>
      </w:r>
      <w:r w:rsidR="00E15507" w:rsidRPr="005D6CD4">
        <w:rPr>
          <w:color w:val="000000"/>
          <w:lang w:val="fr-FR"/>
        </w:rPr>
        <w:t>acquisition des biens, permettra au système judiciaire de rendre des décisions uniformes, lorsque les lois élaborées entreront en vigueur.</w:t>
      </w:r>
      <w:r w:rsidR="00E15507">
        <w:rPr>
          <w:color w:val="000000"/>
          <w:lang w:val="fr-FR"/>
        </w:rPr>
        <w:t xml:space="preserve"> </w:t>
      </w:r>
      <w:r w:rsidR="00E15507" w:rsidRPr="005D6CD4">
        <w:rPr>
          <w:color w:val="000000"/>
          <w:lang w:val="fr-FR"/>
        </w:rPr>
        <w:t>La codification permettra également d</w:t>
      </w:r>
      <w:r w:rsidR="000A3D87">
        <w:rPr>
          <w:color w:val="000000"/>
          <w:lang w:val="fr-FR"/>
        </w:rPr>
        <w:t>’</w:t>
      </w:r>
      <w:r w:rsidR="00E15507" w:rsidRPr="005D6CD4">
        <w:rPr>
          <w:color w:val="000000"/>
          <w:lang w:val="fr-FR"/>
        </w:rPr>
        <w:t xml:space="preserve">accroître la capacité du système judiciaire à interpréter et à appliquer les lois en veillant à </w:t>
      </w:r>
      <w:r w:rsidR="00E15507">
        <w:rPr>
          <w:color w:val="000000"/>
          <w:lang w:val="fr-FR"/>
        </w:rPr>
        <w:t>l</w:t>
      </w:r>
      <w:r w:rsidR="000A3D87">
        <w:rPr>
          <w:color w:val="000000"/>
          <w:lang w:val="fr-FR"/>
        </w:rPr>
        <w:t>’</w:t>
      </w:r>
      <w:r w:rsidR="00E15507" w:rsidRPr="005D6CD4">
        <w:rPr>
          <w:color w:val="000000"/>
          <w:lang w:val="fr-FR"/>
        </w:rPr>
        <w:t>équité envers les femmes, car le code proposé répond aux normes internationales d</w:t>
      </w:r>
      <w:r w:rsidR="000A3D87">
        <w:rPr>
          <w:color w:val="000000"/>
          <w:lang w:val="fr-FR"/>
        </w:rPr>
        <w:t>’</w:t>
      </w:r>
      <w:r w:rsidR="00E15507" w:rsidRPr="005D6CD4">
        <w:rPr>
          <w:color w:val="000000"/>
          <w:lang w:val="fr-FR"/>
        </w:rPr>
        <w:t>égalité et correspond à l</w:t>
      </w:r>
      <w:r w:rsidR="000A3D87">
        <w:rPr>
          <w:color w:val="000000"/>
          <w:lang w:val="fr-FR"/>
        </w:rPr>
        <w:t>’</w:t>
      </w:r>
      <w:r w:rsidR="00E15507" w:rsidRPr="005D6CD4">
        <w:rPr>
          <w:color w:val="000000"/>
          <w:lang w:val="fr-FR"/>
        </w:rPr>
        <w:t>interprétation progressiste de la Charia</w:t>
      </w:r>
      <w:r w:rsidR="00E15507">
        <w:rPr>
          <w:color w:val="000000"/>
          <w:lang w:val="fr-FR"/>
        </w:rPr>
        <w:t xml:space="preserve"> </w:t>
      </w:r>
      <w:r w:rsidR="00E15507" w:rsidRPr="005D6CD4">
        <w:rPr>
          <w:color w:val="000000"/>
          <w:lang w:val="fr-FR"/>
        </w:rPr>
        <w:t>pratiquée dans d</w:t>
      </w:r>
      <w:r w:rsidR="000A3D87">
        <w:rPr>
          <w:color w:val="000000"/>
          <w:lang w:val="fr-FR"/>
        </w:rPr>
        <w:t>’</w:t>
      </w:r>
      <w:r w:rsidR="00E15507" w:rsidRPr="005D6CD4">
        <w:rPr>
          <w:color w:val="000000"/>
          <w:lang w:val="fr-FR"/>
        </w:rPr>
        <w:t>autres pays musulmans.</w:t>
      </w:r>
    </w:p>
    <w:p w:rsidR="00E15507" w:rsidRPr="005D6CD4" w:rsidRDefault="00B72F42" w:rsidP="00AC2642">
      <w:pPr>
        <w:pStyle w:val="SingleTxt"/>
        <w:rPr>
          <w:color w:val="000000"/>
          <w:lang w:val="fr-FR"/>
        </w:rPr>
      </w:pPr>
      <w:r>
        <w:rPr>
          <w:color w:val="000000"/>
          <w:lang w:val="fr-FR"/>
        </w:rPr>
        <w:t xml:space="preserve">16.2.2  </w:t>
      </w:r>
      <w:r w:rsidR="00E15507" w:rsidRPr="005D6CD4">
        <w:rPr>
          <w:color w:val="000000"/>
          <w:lang w:val="fr-FR"/>
        </w:rPr>
        <w:t>Un atelier de validation tenu en avril 2006 a examin</w:t>
      </w:r>
      <w:r w:rsidR="00E15507">
        <w:rPr>
          <w:color w:val="000000"/>
          <w:lang w:val="fr-FR"/>
        </w:rPr>
        <w:t>é</w:t>
      </w:r>
      <w:r w:rsidR="00E15507" w:rsidRPr="005D6CD4">
        <w:rPr>
          <w:color w:val="000000"/>
          <w:lang w:val="fr-FR"/>
        </w:rPr>
        <w:t xml:space="preserve"> les conclusions et les recommandations du rapport </w:t>
      </w:r>
      <w:r w:rsidR="00E15507">
        <w:rPr>
          <w:color w:val="000000"/>
          <w:lang w:val="fr-FR"/>
        </w:rPr>
        <w:t xml:space="preserve">sur </w:t>
      </w:r>
      <w:r w:rsidR="00E15507" w:rsidRPr="005D6CD4">
        <w:rPr>
          <w:color w:val="000000"/>
          <w:lang w:val="fr-FR"/>
        </w:rPr>
        <w:t xml:space="preserve">la revue des politiques et lois sur la </w:t>
      </w:r>
      <w:r w:rsidR="00E15507">
        <w:rPr>
          <w:color w:val="000000"/>
          <w:lang w:val="fr-FR"/>
        </w:rPr>
        <w:t>santé en matière de reproduction</w:t>
      </w:r>
      <w:r w:rsidR="00E15507" w:rsidRPr="005D6CD4">
        <w:rPr>
          <w:color w:val="000000"/>
          <w:lang w:val="fr-FR"/>
        </w:rPr>
        <w:t xml:space="preserve"> au </w:t>
      </w:r>
      <w:r w:rsidR="00E15507">
        <w:rPr>
          <w:color w:val="000000"/>
          <w:lang w:val="fr-FR"/>
        </w:rPr>
        <w:t>Nigéria</w:t>
      </w:r>
      <w:r w:rsidR="00E15507" w:rsidRPr="005D6CD4">
        <w:rPr>
          <w:color w:val="000000"/>
          <w:lang w:val="fr-FR"/>
        </w:rPr>
        <w:t>. Sous la coordination d</w:t>
      </w:r>
      <w:r w:rsidR="000A3D87">
        <w:rPr>
          <w:color w:val="000000"/>
          <w:lang w:val="fr-FR"/>
        </w:rPr>
        <w:t>’</w:t>
      </w:r>
      <w:r w:rsidR="00E15507" w:rsidRPr="005D6CD4">
        <w:rPr>
          <w:color w:val="000000"/>
          <w:lang w:val="fr-FR"/>
        </w:rPr>
        <w:t>un Groupe stratégique indépendant basé à Abuja et avec l</w:t>
      </w:r>
      <w:r w:rsidR="000A3D87">
        <w:rPr>
          <w:color w:val="000000"/>
          <w:lang w:val="fr-FR"/>
        </w:rPr>
        <w:t>’</w:t>
      </w:r>
      <w:r w:rsidR="00E15507" w:rsidRPr="005D6CD4">
        <w:rPr>
          <w:color w:val="000000"/>
          <w:lang w:val="fr-FR"/>
        </w:rPr>
        <w:t xml:space="preserve">aide de </w:t>
      </w:r>
      <w:r w:rsidR="00E15507" w:rsidRPr="005D6CD4">
        <w:rPr>
          <w:i/>
          <w:color w:val="000000"/>
          <w:lang w:val="fr-FR"/>
        </w:rPr>
        <w:t>ENHANSE/USAID</w:t>
      </w:r>
      <w:r w:rsidR="00E15507" w:rsidRPr="005D6CD4">
        <w:rPr>
          <w:color w:val="000000"/>
          <w:lang w:val="fr-FR"/>
        </w:rPr>
        <w:t>, un cahier d</w:t>
      </w:r>
      <w:r w:rsidR="000A3D87">
        <w:rPr>
          <w:color w:val="000000"/>
          <w:lang w:val="fr-FR"/>
        </w:rPr>
        <w:t>’</w:t>
      </w:r>
      <w:r w:rsidR="00E15507" w:rsidRPr="005D6CD4">
        <w:rPr>
          <w:color w:val="000000"/>
          <w:lang w:val="fr-FR"/>
        </w:rPr>
        <w:t>information stratégique a été préparé à l</w:t>
      </w:r>
      <w:r w:rsidR="000A3D87">
        <w:rPr>
          <w:color w:val="000000"/>
          <w:lang w:val="fr-FR"/>
        </w:rPr>
        <w:t>’</w:t>
      </w:r>
      <w:r w:rsidR="00E15507" w:rsidRPr="005D6CD4">
        <w:rPr>
          <w:color w:val="000000"/>
          <w:lang w:val="fr-FR"/>
        </w:rPr>
        <w:t xml:space="preserve">intention du Président Obasanjo et soumis au </w:t>
      </w:r>
      <w:r w:rsidR="00E15507">
        <w:rPr>
          <w:color w:val="000000"/>
          <w:lang w:val="fr-FR"/>
        </w:rPr>
        <w:t>ministère</w:t>
      </w:r>
      <w:r w:rsidR="00E15507" w:rsidRPr="005D6CD4">
        <w:rPr>
          <w:color w:val="000000"/>
          <w:lang w:val="fr-FR"/>
        </w:rPr>
        <w:t xml:space="preserve"> fédéral de la </w:t>
      </w:r>
      <w:r w:rsidR="00E15507">
        <w:rPr>
          <w:color w:val="000000"/>
          <w:lang w:val="fr-FR"/>
        </w:rPr>
        <w:t>S</w:t>
      </w:r>
      <w:r w:rsidR="00E15507" w:rsidRPr="005D6CD4">
        <w:rPr>
          <w:color w:val="000000"/>
          <w:lang w:val="fr-FR"/>
        </w:rPr>
        <w:t>anté pour étude. L</w:t>
      </w:r>
      <w:r w:rsidR="000A3D87">
        <w:rPr>
          <w:color w:val="000000"/>
          <w:lang w:val="fr-FR"/>
        </w:rPr>
        <w:t>’</w:t>
      </w:r>
      <w:r w:rsidR="00E15507" w:rsidRPr="005D6CD4">
        <w:rPr>
          <w:color w:val="000000"/>
          <w:lang w:val="fr-FR"/>
        </w:rPr>
        <w:t xml:space="preserve">étude a identifié </w:t>
      </w:r>
      <w:r w:rsidR="00E15507">
        <w:rPr>
          <w:color w:val="000000"/>
          <w:lang w:val="fr-FR"/>
        </w:rPr>
        <w:t xml:space="preserve">les lacunes </w:t>
      </w:r>
      <w:r w:rsidR="00E15507" w:rsidRPr="005D6CD4">
        <w:rPr>
          <w:color w:val="000000"/>
          <w:lang w:val="fr-FR"/>
        </w:rPr>
        <w:t xml:space="preserve">qui existent dans les politiques et lois actuelles et a fait des recommandations stratégiques visant à résoudre les problèmes de mortalité maternelle et à mieux </w:t>
      </w:r>
      <w:r w:rsidR="00E15507" w:rsidRPr="000E013D">
        <w:rPr>
          <w:color w:val="000000"/>
          <w:lang w:val="fr-FR"/>
        </w:rPr>
        <w:t>promouvoir et protéger les droits des femmes au Nigéria</w:t>
      </w:r>
      <w:r w:rsidR="00E15507" w:rsidRPr="005D6CD4">
        <w:rPr>
          <w:color w:val="000000"/>
          <w:lang w:val="fr-FR"/>
        </w:rPr>
        <w:t>.</w:t>
      </w:r>
    </w:p>
    <w:p w:rsidR="00E15507" w:rsidRPr="005D6CD4" w:rsidRDefault="00E15507" w:rsidP="00AC2642">
      <w:pPr>
        <w:pStyle w:val="SingleTxt"/>
        <w:rPr>
          <w:lang w:val="fr-FR"/>
        </w:rPr>
      </w:pPr>
      <w:r w:rsidRPr="005D6CD4">
        <w:rPr>
          <w:lang w:val="fr-FR"/>
        </w:rPr>
        <w:t xml:space="preserve">16.2.3 </w:t>
      </w:r>
      <w:r w:rsidR="00B72F42">
        <w:rPr>
          <w:lang w:val="fr-FR"/>
        </w:rPr>
        <w:t xml:space="preserve"> </w:t>
      </w:r>
      <w:r w:rsidRPr="005D6CD4">
        <w:rPr>
          <w:lang w:val="fr-FR"/>
        </w:rPr>
        <w:t xml:space="preserve">Il convient également de relever ici les initiatives lancées par le </w:t>
      </w:r>
      <w:r>
        <w:rPr>
          <w:lang w:val="fr-FR"/>
        </w:rPr>
        <w:t>ministère</w:t>
      </w:r>
      <w:r w:rsidRPr="005D6CD4">
        <w:rPr>
          <w:lang w:val="fr-FR"/>
        </w:rPr>
        <w:t xml:space="preserve"> fédéral de la </w:t>
      </w:r>
      <w:r>
        <w:rPr>
          <w:lang w:val="fr-FR"/>
        </w:rPr>
        <w:t>S</w:t>
      </w:r>
      <w:r w:rsidRPr="005D6CD4">
        <w:rPr>
          <w:lang w:val="fr-FR"/>
        </w:rPr>
        <w:t>anté sur la violence à l</w:t>
      </w:r>
      <w:r w:rsidR="000A3D87">
        <w:rPr>
          <w:lang w:val="fr-FR"/>
        </w:rPr>
        <w:t>’</w:t>
      </w:r>
      <w:r w:rsidRPr="005D6CD4">
        <w:rPr>
          <w:lang w:val="fr-FR"/>
        </w:rPr>
        <w:t>égard des femmes. Il y a notamment la mise au point d</w:t>
      </w:r>
      <w:r w:rsidR="000A3D87">
        <w:rPr>
          <w:lang w:val="fr-FR"/>
        </w:rPr>
        <w:t>’</w:t>
      </w:r>
      <w:r w:rsidRPr="005D6CD4">
        <w:rPr>
          <w:lang w:val="fr-FR"/>
        </w:rPr>
        <w:t>un projet de guide stratégique pour la gestion</w:t>
      </w:r>
      <w:r>
        <w:rPr>
          <w:lang w:val="fr-FR"/>
        </w:rPr>
        <w:t xml:space="preserve"> </w:t>
      </w:r>
      <w:r w:rsidRPr="005D6CD4">
        <w:rPr>
          <w:lang w:val="fr-FR"/>
        </w:rPr>
        <w:t>et la lutte contre la</w:t>
      </w:r>
      <w:r>
        <w:rPr>
          <w:lang w:val="fr-FR"/>
        </w:rPr>
        <w:t xml:space="preserve"> </w:t>
      </w:r>
      <w:r w:rsidRPr="005D6CD4">
        <w:rPr>
          <w:lang w:val="fr-FR"/>
        </w:rPr>
        <w:t>violence à l</w:t>
      </w:r>
      <w:r w:rsidR="000A3D87">
        <w:rPr>
          <w:lang w:val="fr-FR"/>
        </w:rPr>
        <w:t>’</w:t>
      </w:r>
      <w:r w:rsidRPr="005D6CD4">
        <w:rPr>
          <w:lang w:val="fr-FR"/>
        </w:rPr>
        <w:t>égard des femmes destiné aux agents de santé, aux agents des forces de maintien de l</w:t>
      </w:r>
      <w:r w:rsidR="000A3D87">
        <w:rPr>
          <w:lang w:val="fr-FR"/>
        </w:rPr>
        <w:t>’</w:t>
      </w:r>
      <w:r w:rsidRPr="005D6CD4">
        <w:rPr>
          <w:lang w:val="fr-FR"/>
        </w:rPr>
        <w:t>ordre et au système judiciaire, dans le cadre du suivi des conclusions de l</w:t>
      </w:r>
      <w:r w:rsidR="000A3D87">
        <w:rPr>
          <w:lang w:val="fr-FR"/>
        </w:rPr>
        <w:t>’</w:t>
      </w:r>
      <w:r w:rsidRPr="005D6CD4">
        <w:rPr>
          <w:lang w:val="fr-FR"/>
        </w:rPr>
        <w:t>enquête nationale de 2003 sur le VIH/</w:t>
      </w:r>
      <w:r w:rsidR="00940485">
        <w:rPr>
          <w:lang w:val="fr-FR"/>
        </w:rPr>
        <w:t>SIDA</w:t>
      </w:r>
      <w:r w:rsidRPr="005D6CD4">
        <w:rPr>
          <w:lang w:val="fr-FR"/>
        </w:rPr>
        <w:t xml:space="preserve"> et la </w:t>
      </w:r>
      <w:r>
        <w:rPr>
          <w:lang w:val="fr-FR"/>
        </w:rPr>
        <w:t>santé en matière de reproduction</w:t>
      </w:r>
      <w:r w:rsidRPr="005D6CD4">
        <w:rPr>
          <w:lang w:val="fr-FR"/>
        </w:rPr>
        <w:t>.</w:t>
      </w:r>
    </w:p>
    <w:p w:rsidR="00E15507" w:rsidRPr="005D6CD4" w:rsidRDefault="00B72F42" w:rsidP="00AC2642">
      <w:pPr>
        <w:pStyle w:val="SingleTxt"/>
        <w:rPr>
          <w:color w:val="000000"/>
          <w:lang w:val="fr-FR"/>
        </w:rPr>
      </w:pPr>
      <w:r>
        <w:rPr>
          <w:color w:val="000000"/>
          <w:lang w:val="fr-FR"/>
        </w:rPr>
        <w:tab/>
      </w:r>
      <w:r w:rsidR="00E15507" w:rsidRPr="005D6CD4">
        <w:rPr>
          <w:color w:val="000000"/>
          <w:lang w:val="fr-FR"/>
        </w:rPr>
        <w:t>Selon le rapport de l</w:t>
      </w:r>
      <w:r w:rsidR="000A3D87">
        <w:rPr>
          <w:color w:val="000000"/>
          <w:lang w:val="fr-FR"/>
        </w:rPr>
        <w:t>’</w:t>
      </w:r>
      <w:r w:rsidR="00E15507" w:rsidRPr="005D6CD4">
        <w:rPr>
          <w:color w:val="000000"/>
          <w:lang w:val="fr-FR"/>
        </w:rPr>
        <w:t>étude de mars 2006 sur l</w:t>
      </w:r>
      <w:r w:rsidR="00E15507">
        <w:rPr>
          <w:color w:val="000000"/>
          <w:lang w:val="fr-FR"/>
        </w:rPr>
        <w:t>a prise en compte systématique du souci de l</w:t>
      </w:r>
      <w:r w:rsidR="000A3D87">
        <w:rPr>
          <w:color w:val="000000"/>
          <w:lang w:val="fr-FR"/>
        </w:rPr>
        <w:t>’</w:t>
      </w:r>
      <w:r w:rsidR="00E15507">
        <w:rPr>
          <w:color w:val="000000"/>
          <w:lang w:val="fr-FR"/>
        </w:rPr>
        <w:t xml:space="preserve">égalité des sexes </w:t>
      </w:r>
      <w:r w:rsidR="00E15507" w:rsidRPr="005D6CD4">
        <w:rPr>
          <w:color w:val="000000"/>
          <w:lang w:val="fr-FR"/>
        </w:rPr>
        <w:t>et le</w:t>
      </w:r>
      <w:r w:rsidR="00E15507">
        <w:rPr>
          <w:color w:val="000000"/>
          <w:lang w:val="fr-FR"/>
        </w:rPr>
        <w:t>s</w:t>
      </w:r>
      <w:r w:rsidR="00E15507" w:rsidRPr="005D6CD4">
        <w:rPr>
          <w:color w:val="000000"/>
          <w:lang w:val="fr-FR"/>
        </w:rPr>
        <w:t xml:space="preserve"> défi</w:t>
      </w:r>
      <w:r w:rsidR="00E15507">
        <w:rPr>
          <w:color w:val="000000"/>
          <w:lang w:val="fr-FR"/>
        </w:rPr>
        <w:t>s</w:t>
      </w:r>
      <w:r w:rsidR="00E15507" w:rsidRPr="005D6CD4">
        <w:rPr>
          <w:color w:val="000000"/>
          <w:lang w:val="fr-FR"/>
        </w:rPr>
        <w:t xml:space="preserve"> futurs </w:t>
      </w:r>
      <w:r w:rsidR="00E15507">
        <w:rPr>
          <w:color w:val="000000"/>
          <w:lang w:val="fr-FR"/>
        </w:rPr>
        <w:t xml:space="preserve">que pose cette égalité </w:t>
      </w:r>
      <w:r w:rsidR="00E15507" w:rsidRPr="005D6CD4">
        <w:rPr>
          <w:color w:val="000000"/>
          <w:lang w:val="fr-FR"/>
        </w:rPr>
        <w:t xml:space="preserve">au </w:t>
      </w:r>
      <w:r w:rsidR="00E15507">
        <w:rPr>
          <w:color w:val="000000"/>
          <w:lang w:val="fr-FR"/>
        </w:rPr>
        <w:t>Nigéria</w:t>
      </w:r>
      <w:r w:rsidR="00E15507" w:rsidRPr="005D6CD4">
        <w:rPr>
          <w:color w:val="000000"/>
          <w:lang w:val="fr-FR"/>
        </w:rPr>
        <w:t xml:space="preserve">, ordonnée par le </w:t>
      </w:r>
      <w:r w:rsidR="00E15507">
        <w:rPr>
          <w:color w:val="000000"/>
          <w:lang w:val="fr-FR"/>
        </w:rPr>
        <w:t>Gouvernement</w:t>
      </w:r>
      <w:r w:rsidR="00E15507" w:rsidRPr="005D6CD4">
        <w:rPr>
          <w:color w:val="000000"/>
          <w:lang w:val="fr-FR"/>
        </w:rPr>
        <w:t xml:space="preserve"> japonais et menée par WRAPA basé à Abuja, le projet de guide stratégique a été testé entre décembre 2005 et janvier 2006 et utilisé pour la formation de différentes catégories de groupes cibles à Lagos.</w:t>
      </w:r>
    </w:p>
    <w:p w:rsidR="00E15507" w:rsidRPr="005D6CD4" w:rsidRDefault="00E15507" w:rsidP="00AC2642">
      <w:pPr>
        <w:pStyle w:val="SingleTxt"/>
        <w:rPr>
          <w:color w:val="000000"/>
          <w:lang w:val="fr-FR"/>
        </w:rPr>
      </w:pPr>
      <w:r w:rsidRPr="005D6CD4">
        <w:rPr>
          <w:color w:val="000000"/>
          <w:lang w:val="fr-FR"/>
        </w:rPr>
        <w:t xml:space="preserve">16.2.4 Sous la conduite des ONG </w:t>
      </w:r>
      <w:r>
        <w:rPr>
          <w:color w:val="000000"/>
          <w:lang w:val="fr-FR"/>
        </w:rPr>
        <w:t xml:space="preserve">nigérianes </w:t>
      </w:r>
      <w:r w:rsidRPr="005D6CD4">
        <w:rPr>
          <w:color w:val="000000"/>
          <w:lang w:val="fr-FR"/>
        </w:rPr>
        <w:t>énuméré</w:t>
      </w:r>
      <w:r>
        <w:rPr>
          <w:color w:val="000000"/>
          <w:lang w:val="fr-FR"/>
        </w:rPr>
        <w:t>e</w:t>
      </w:r>
      <w:r w:rsidRPr="005D6CD4">
        <w:rPr>
          <w:color w:val="000000"/>
          <w:lang w:val="fr-FR"/>
        </w:rPr>
        <w:t xml:space="preserve">s </w:t>
      </w:r>
      <w:r>
        <w:rPr>
          <w:color w:val="000000"/>
          <w:lang w:val="fr-FR"/>
        </w:rPr>
        <w:t xml:space="preserve">ci-après </w:t>
      </w:r>
      <w:r w:rsidRPr="005D6CD4">
        <w:rPr>
          <w:color w:val="000000"/>
          <w:lang w:val="fr-FR"/>
        </w:rPr>
        <w:t>et de plusieurs autres acteurs, il y a eu entre 2004 et juin 2006, diverses activités de sensibilisation du public, des initiatives de renforcement des capacités, des services d</w:t>
      </w:r>
      <w:r w:rsidR="000A3D87">
        <w:rPr>
          <w:color w:val="000000"/>
          <w:lang w:val="fr-FR"/>
        </w:rPr>
        <w:t>’</w:t>
      </w:r>
      <w:r w:rsidRPr="005D6CD4">
        <w:rPr>
          <w:color w:val="000000"/>
          <w:lang w:val="fr-FR"/>
        </w:rPr>
        <w:t xml:space="preserve">assistance juridique et de conseil pour les femmes victimes de violence et de violation des droits </w:t>
      </w:r>
      <w:r>
        <w:rPr>
          <w:color w:val="000000"/>
          <w:lang w:val="fr-FR"/>
        </w:rPr>
        <w:t>humains</w:t>
      </w:r>
      <w:r w:rsidRPr="005D6CD4">
        <w:rPr>
          <w:color w:val="000000"/>
          <w:lang w:val="fr-FR"/>
        </w:rPr>
        <w:t xml:space="preserve"> ou y ayant survécu</w:t>
      </w:r>
      <w:r>
        <w:rPr>
          <w:color w:val="000000"/>
          <w:lang w:val="fr-FR"/>
        </w:rPr>
        <w:t xml:space="preserve"> : </w:t>
      </w:r>
      <w:r w:rsidRPr="005D6CD4">
        <w:rPr>
          <w:i/>
          <w:color w:val="000000"/>
          <w:lang w:val="fr-FR"/>
        </w:rPr>
        <w:t>Project Alert, Lagos</w:t>
      </w:r>
      <w:r w:rsidR="00D17E6C">
        <w:rPr>
          <w:color w:val="000000"/>
          <w:lang w:val="fr-FR"/>
        </w:rPr>
        <w:t>;</w:t>
      </w:r>
      <w:r w:rsidRPr="005D6CD4">
        <w:rPr>
          <w:color w:val="000000"/>
          <w:lang w:val="fr-FR"/>
        </w:rPr>
        <w:t xml:space="preserve"> </w:t>
      </w:r>
      <w:r w:rsidRPr="005D6CD4">
        <w:rPr>
          <w:i/>
          <w:color w:val="000000"/>
          <w:lang w:val="fr-FR"/>
        </w:rPr>
        <w:t>WRAPA</w:t>
      </w:r>
      <w:r w:rsidRPr="005D6CD4">
        <w:rPr>
          <w:color w:val="000000"/>
          <w:lang w:val="fr-FR"/>
        </w:rPr>
        <w:t>, Abuja</w:t>
      </w:r>
      <w:r w:rsidR="00D17E6C">
        <w:rPr>
          <w:color w:val="000000"/>
          <w:lang w:val="fr-FR"/>
        </w:rPr>
        <w:t>;</w:t>
      </w:r>
      <w:r w:rsidRPr="005D6CD4">
        <w:rPr>
          <w:color w:val="000000"/>
          <w:lang w:val="fr-FR"/>
        </w:rPr>
        <w:t xml:space="preserve"> </w:t>
      </w:r>
      <w:r w:rsidRPr="005D6CD4">
        <w:rPr>
          <w:i/>
          <w:color w:val="000000"/>
          <w:lang w:val="fr-FR"/>
        </w:rPr>
        <w:t>BAOBAB for Women</w:t>
      </w:r>
      <w:r w:rsidR="000A3D87">
        <w:rPr>
          <w:i/>
          <w:color w:val="000000"/>
          <w:lang w:val="fr-FR"/>
        </w:rPr>
        <w:t>’</w:t>
      </w:r>
      <w:r w:rsidRPr="005D6CD4">
        <w:rPr>
          <w:i/>
          <w:color w:val="000000"/>
          <w:lang w:val="fr-FR"/>
        </w:rPr>
        <w:t>s Human Rights</w:t>
      </w:r>
      <w:r w:rsidRPr="005D6CD4">
        <w:rPr>
          <w:color w:val="000000"/>
          <w:lang w:val="fr-FR"/>
        </w:rPr>
        <w:t>, Lagos</w:t>
      </w:r>
      <w:r w:rsidR="00D17E6C">
        <w:rPr>
          <w:color w:val="000000"/>
          <w:lang w:val="fr-FR"/>
        </w:rPr>
        <w:t>;</w:t>
      </w:r>
      <w:r w:rsidRPr="005D6CD4">
        <w:rPr>
          <w:color w:val="000000"/>
          <w:lang w:val="fr-FR"/>
        </w:rPr>
        <w:t xml:space="preserve"> </w:t>
      </w:r>
      <w:r w:rsidRPr="005D6CD4">
        <w:rPr>
          <w:i/>
          <w:color w:val="000000"/>
          <w:lang w:val="fr-FR"/>
        </w:rPr>
        <w:t>WACO</w:t>
      </w:r>
      <w:r w:rsidRPr="005D6CD4">
        <w:rPr>
          <w:color w:val="000000"/>
          <w:lang w:val="fr-FR"/>
        </w:rPr>
        <w:t>L, Enugu</w:t>
      </w:r>
      <w:r w:rsidR="00D17E6C">
        <w:rPr>
          <w:color w:val="000000"/>
          <w:lang w:val="fr-FR"/>
        </w:rPr>
        <w:t>;</w:t>
      </w:r>
      <w:r w:rsidRPr="005D6CD4">
        <w:rPr>
          <w:color w:val="000000"/>
          <w:lang w:val="fr-FR"/>
        </w:rPr>
        <w:t xml:space="preserve"> </w:t>
      </w:r>
      <w:r w:rsidRPr="005D6CD4">
        <w:rPr>
          <w:i/>
          <w:color w:val="000000"/>
          <w:lang w:val="fr-FR"/>
        </w:rPr>
        <w:t>Action Health Incorporated</w:t>
      </w:r>
      <w:r w:rsidRPr="005D6CD4">
        <w:rPr>
          <w:color w:val="000000"/>
          <w:lang w:val="fr-FR"/>
        </w:rPr>
        <w:t>, Lagos</w:t>
      </w:r>
      <w:r w:rsidR="00D17E6C">
        <w:rPr>
          <w:color w:val="000000"/>
          <w:lang w:val="fr-FR"/>
        </w:rPr>
        <w:t>;</w:t>
      </w:r>
      <w:r w:rsidRPr="005D6CD4">
        <w:rPr>
          <w:color w:val="000000"/>
          <w:lang w:val="fr-FR"/>
        </w:rPr>
        <w:t xml:space="preserve"> </w:t>
      </w:r>
      <w:r w:rsidRPr="005D6CD4">
        <w:rPr>
          <w:i/>
          <w:color w:val="000000"/>
          <w:lang w:val="fr-FR"/>
        </w:rPr>
        <w:t>Girls</w:t>
      </w:r>
      <w:r w:rsidR="000A3D87">
        <w:rPr>
          <w:i/>
          <w:color w:val="000000"/>
          <w:lang w:val="fr-FR"/>
        </w:rPr>
        <w:t>’</w:t>
      </w:r>
      <w:r w:rsidRPr="005D6CD4">
        <w:rPr>
          <w:i/>
          <w:color w:val="000000"/>
          <w:lang w:val="fr-FR"/>
        </w:rPr>
        <w:t xml:space="preserve"> Power Initiative</w:t>
      </w:r>
      <w:r w:rsidRPr="005D6CD4">
        <w:rPr>
          <w:color w:val="000000"/>
          <w:lang w:val="fr-FR"/>
        </w:rPr>
        <w:t xml:space="preserve"> (GPI), Calabar</w:t>
      </w:r>
      <w:r w:rsidR="00D17E6C">
        <w:rPr>
          <w:color w:val="000000"/>
          <w:lang w:val="fr-FR"/>
        </w:rPr>
        <w:t>;</w:t>
      </w:r>
      <w:r w:rsidRPr="005D6CD4">
        <w:rPr>
          <w:color w:val="000000"/>
          <w:lang w:val="fr-FR"/>
        </w:rPr>
        <w:t xml:space="preserve"> </w:t>
      </w:r>
      <w:r w:rsidRPr="005D6CD4">
        <w:rPr>
          <w:i/>
          <w:color w:val="000000"/>
          <w:lang w:val="fr-FR"/>
        </w:rPr>
        <w:t>WOCON</w:t>
      </w:r>
      <w:r w:rsidRPr="005D6CD4">
        <w:rPr>
          <w:color w:val="000000"/>
          <w:lang w:val="fr-FR"/>
        </w:rPr>
        <w:t>, Lagos</w:t>
      </w:r>
      <w:r w:rsidR="00D17E6C">
        <w:rPr>
          <w:color w:val="000000"/>
          <w:lang w:val="fr-FR"/>
        </w:rPr>
        <w:t>;</w:t>
      </w:r>
      <w:r w:rsidRPr="005D6CD4">
        <w:rPr>
          <w:color w:val="000000"/>
          <w:lang w:val="fr-FR"/>
        </w:rPr>
        <w:t xml:space="preserve"> C</w:t>
      </w:r>
      <w:r w:rsidRPr="005D6CD4">
        <w:rPr>
          <w:i/>
          <w:color w:val="000000"/>
          <w:lang w:val="fr-FR"/>
        </w:rPr>
        <w:t>IRDDOC</w:t>
      </w:r>
      <w:r w:rsidRPr="005D6CD4">
        <w:rPr>
          <w:color w:val="000000"/>
          <w:lang w:val="fr-FR"/>
        </w:rPr>
        <w:t>, Enugu</w:t>
      </w:r>
      <w:r w:rsidR="00D17E6C">
        <w:rPr>
          <w:color w:val="000000"/>
          <w:lang w:val="fr-FR"/>
        </w:rPr>
        <w:t>;</w:t>
      </w:r>
      <w:r w:rsidRPr="005D6CD4">
        <w:rPr>
          <w:color w:val="000000"/>
          <w:lang w:val="fr-FR"/>
        </w:rPr>
        <w:t xml:space="preserve"> </w:t>
      </w:r>
      <w:r w:rsidRPr="005D6CD4">
        <w:rPr>
          <w:i/>
          <w:color w:val="000000"/>
          <w:lang w:val="fr-FR"/>
        </w:rPr>
        <w:t>WOTCLEF</w:t>
      </w:r>
      <w:r w:rsidRPr="005D6CD4">
        <w:rPr>
          <w:color w:val="000000"/>
          <w:lang w:val="fr-FR"/>
        </w:rPr>
        <w:t>, Abuja</w:t>
      </w:r>
      <w:r w:rsidR="00D17E6C">
        <w:rPr>
          <w:color w:val="000000"/>
          <w:lang w:val="fr-FR"/>
        </w:rPr>
        <w:t>;</w:t>
      </w:r>
      <w:r w:rsidRPr="005D6CD4">
        <w:rPr>
          <w:color w:val="000000"/>
          <w:lang w:val="fr-FR"/>
        </w:rPr>
        <w:t xml:space="preserve"> </w:t>
      </w:r>
      <w:r w:rsidRPr="005D6CD4">
        <w:rPr>
          <w:i/>
          <w:color w:val="000000"/>
          <w:lang w:val="fr-FR"/>
        </w:rPr>
        <w:t>Women</w:t>
      </w:r>
      <w:r w:rsidR="000A3D87">
        <w:rPr>
          <w:i/>
          <w:color w:val="000000"/>
          <w:lang w:val="fr-FR"/>
        </w:rPr>
        <w:t>’</w:t>
      </w:r>
      <w:r w:rsidRPr="005D6CD4">
        <w:rPr>
          <w:i/>
          <w:color w:val="000000"/>
          <w:lang w:val="fr-FR"/>
        </w:rPr>
        <w:t>s Optimum Development,</w:t>
      </w:r>
      <w:r w:rsidRPr="005D6CD4">
        <w:rPr>
          <w:color w:val="000000"/>
          <w:lang w:val="fr-FR"/>
        </w:rPr>
        <w:t xml:space="preserve"> </w:t>
      </w:r>
      <w:r w:rsidRPr="005D6CD4">
        <w:rPr>
          <w:i/>
          <w:color w:val="000000"/>
          <w:lang w:val="fr-FR"/>
        </w:rPr>
        <w:t>WARDC</w:t>
      </w:r>
      <w:r w:rsidRPr="005D6CD4">
        <w:rPr>
          <w:color w:val="000000"/>
          <w:lang w:val="fr-FR"/>
        </w:rPr>
        <w:t>, Lagos</w:t>
      </w:r>
      <w:r w:rsidR="00D17E6C">
        <w:rPr>
          <w:color w:val="000000"/>
          <w:lang w:val="fr-FR"/>
        </w:rPr>
        <w:t>;</w:t>
      </w:r>
      <w:r w:rsidRPr="005D6CD4">
        <w:rPr>
          <w:color w:val="000000"/>
          <w:lang w:val="fr-FR"/>
        </w:rPr>
        <w:t xml:space="preserve"> </w:t>
      </w:r>
      <w:r w:rsidRPr="005D6CD4">
        <w:rPr>
          <w:i/>
          <w:color w:val="000000"/>
          <w:lang w:val="fr-FR"/>
        </w:rPr>
        <w:t xml:space="preserve">GADA, </w:t>
      </w:r>
      <w:r w:rsidRPr="005D6CD4">
        <w:rPr>
          <w:color w:val="000000"/>
          <w:lang w:val="fr-FR"/>
        </w:rPr>
        <w:t>Lagos</w:t>
      </w:r>
      <w:r w:rsidR="00D17E6C">
        <w:rPr>
          <w:color w:val="000000"/>
          <w:lang w:val="fr-FR"/>
        </w:rPr>
        <w:t>;</w:t>
      </w:r>
      <w:r w:rsidRPr="005D6CD4">
        <w:rPr>
          <w:color w:val="000000"/>
          <w:lang w:val="fr-FR"/>
        </w:rPr>
        <w:t xml:space="preserve"> </w:t>
      </w:r>
      <w:r w:rsidRPr="005D6CD4">
        <w:rPr>
          <w:i/>
          <w:color w:val="000000"/>
          <w:lang w:val="fr-FR"/>
        </w:rPr>
        <w:t>LRRDC</w:t>
      </w:r>
      <w:r w:rsidRPr="005D6CD4">
        <w:rPr>
          <w:color w:val="000000"/>
          <w:lang w:val="fr-FR"/>
        </w:rPr>
        <w:t>, Lagos</w:t>
      </w:r>
      <w:r w:rsidR="00D17E6C">
        <w:rPr>
          <w:color w:val="000000"/>
          <w:lang w:val="fr-FR"/>
        </w:rPr>
        <w:t>;</w:t>
      </w:r>
      <w:r w:rsidRPr="005D6CD4">
        <w:rPr>
          <w:i/>
          <w:color w:val="000000"/>
          <w:lang w:val="fr-FR"/>
        </w:rPr>
        <w:t xml:space="preserve"> AHIP</w:t>
      </w:r>
      <w:r w:rsidRPr="005D6CD4">
        <w:rPr>
          <w:color w:val="000000"/>
          <w:lang w:val="fr-FR"/>
        </w:rPr>
        <w:t>, Kano</w:t>
      </w:r>
      <w:r w:rsidR="00D17E6C">
        <w:rPr>
          <w:color w:val="000000"/>
          <w:lang w:val="fr-FR"/>
        </w:rPr>
        <w:t>;</w:t>
      </w:r>
      <w:r w:rsidRPr="005D6CD4">
        <w:rPr>
          <w:color w:val="000000"/>
          <w:lang w:val="fr-FR"/>
        </w:rPr>
        <w:t xml:space="preserve"> </w:t>
      </w:r>
      <w:r w:rsidRPr="005D6CD4">
        <w:rPr>
          <w:i/>
          <w:color w:val="000000"/>
          <w:lang w:val="fr-FR"/>
        </w:rPr>
        <w:t>GHARF</w:t>
      </w:r>
      <w:r w:rsidRPr="005D6CD4">
        <w:rPr>
          <w:color w:val="000000"/>
          <w:lang w:val="fr-FR"/>
        </w:rPr>
        <w:t>, Enugu</w:t>
      </w:r>
      <w:r w:rsidR="00D17E6C">
        <w:rPr>
          <w:color w:val="000000"/>
          <w:lang w:val="fr-FR"/>
        </w:rPr>
        <w:t>;</w:t>
      </w:r>
      <w:r w:rsidRPr="005D6CD4">
        <w:rPr>
          <w:color w:val="000000"/>
          <w:lang w:val="fr-FR"/>
        </w:rPr>
        <w:t xml:space="preserve"> </w:t>
      </w:r>
      <w:r w:rsidRPr="005D6CD4">
        <w:rPr>
          <w:i/>
          <w:color w:val="000000"/>
          <w:lang w:val="fr-FR"/>
        </w:rPr>
        <w:t>WHARC</w:t>
      </w:r>
      <w:r w:rsidRPr="005D6CD4">
        <w:rPr>
          <w:color w:val="000000"/>
          <w:lang w:val="fr-FR"/>
        </w:rPr>
        <w:t>, Benin, etc.</w:t>
      </w:r>
    </w:p>
    <w:p w:rsidR="00E15507" w:rsidRPr="005D6CD4" w:rsidRDefault="00E15507" w:rsidP="00AC2642">
      <w:pPr>
        <w:pStyle w:val="SingleTxt"/>
        <w:rPr>
          <w:color w:val="000000"/>
          <w:lang w:val="fr-FR"/>
        </w:rPr>
      </w:pPr>
      <w:r w:rsidRPr="005D6CD4">
        <w:rPr>
          <w:color w:val="000000"/>
          <w:lang w:val="fr-FR"/>
        </w:rPr>
        <w:t>16.2.5 Les principaux points du rapport sur l</w:t>
      </w:r>
      <w:r>
        <w:rPr>
          <w:color w:val="000000"/>
          <w:lang w:val="fr-FR"/>
        </w:rPr>
        <w:t>a prise en compte systématique des questions d</w:t>
      </w:r>
      <w:r w:rsidR="000A3D87">
        <w:rPr>
          <w:color w:val="000000"/>
          <w:lang w:val="fr-FR"/>
        </w:rPr>
        <w:t>’</w:t>
      </w:r>
      <w:r>
        <w:rPr>
          <w:color w:val="000000"/>
          <w:lang w:val="fr-FR"/>
        </w:rPr>
        <w:t xml:space="preserve">égalité des sexes </w:t>
      </w:r>
      <w:r w:rsidRPr="005D6CD4">
        <w:rPr>
          <w:color w:val="000000"/>
          <w:lang w:val="fr-FR"/>
        </w:rPr>
        <w:t>qui a été produit montrent aussi que les violences à l</w:t>
      </w:r>
      <w:r w:rsidR="000A3D87">
        <w:rPr>
          <w:color w:val="000000"/>
          <w:lang w:val="fr-FR"/>
        </w:rPr>
        <w:t>’</w:t>
      </w:r>
      <w:r w:rsidRPr="005D6CD4">
        <w:rPr>
          <w:color w:val="000000"/>
          <w:lang w:val="fr-FR"/>
        </w:rPr>
        <w:t>égard des femmes sont en majeure partie influencées par :</w:t>
      </w:r>
    </w:p>
    <w:p w:rsidR="00E15507" w:rsidRPr="005D6CD4" w:rsidRDefault="00B72F42" w:rsidP="00B72F42">
      <w:pPr>
        <w:pStyle w:val="SingleTxt"/>
        <w:numPr>
          <w:ilvl w:val="0"/>
          <w:numId w:val="46"/>
        </w:numPr>
        <w:rPr>
          <w:color w:val="000000"/>
          <w:lang w:val="fr-FR"/>
        </w:rPr>
      </w:pPr>
      <w:r>
        <w:rPr>
          <w:color w:val="000000"/>
          <w:lang w:val="fr-FR"/>
        </w:rPr>
        <w:tab/>
      </w:r>
      <w:r w:rsidR="00E15507" w:rsidRPr="005D6CD4">
        <w:rPr>
          <w:color w:val="000000"/>
          <w:lang w:val="fr-FR"/>
        </w:rPr>
        <w:t>La réticence des femmes à parler de la violence</w:t>
      </w:r>
    </w:p>
    <w:p w:rsidR="00E15507" w:rsidRPr="005D6CD4" w:rsidRDefault="00B72F42" w:rsidP="00B72F42">
      <w:pPr>
        <w:pStyle w:val="SingleTxt"/>
        <w:numPr>
          <w:ilvl w:val="0"/>
          <w:numId w:val="46"/>
        </w:numPr>
        <w:rPr>
          <w:color w:val="000000"/>
          <w:lang w:val="fr-FR"/>
        </w:rPr>
      </w:pPr>
      <w:r>
        <w:rPr>
          <w:color w:val="000000"/>
          <w:lang w:val="fr-FR"/>
        </w:rPr>
        <w:tab/>
      </w:r>
      <w:r w:rsidR="00E15507" w:rsidRPr="005D6CD4">
        <w:rPr>
          <w:color w:val="000000"/>
          <w:lang w:val="fr-FR"/>
        </w:rPr>
        <w:t>L</w:t>
      </w:r>
      <w:r w:rsidR="000A3D87">
        <w:rPr>
          <w:color w:val="000000"/>
          <w:lang w:val="fr-FR"/>
        </w:rPr>
        <w:t>’</w:t>
      </w:r>
      <w:r w:rsidR="00E15507" w:rsidRPr="005D6CD4">
        <w:rPr>
          <w:color w:val="000000"/>
          <w:lang w:val="fr-FR"/>
        </w:rPr>
        <w:t xml:space="preserve">absence de soutien et de protection appropriés pur les femmes qui dénoncent </w:t>
      </w:r>
      <w:r w:rsidR="00E15507">
        <w:rPr>
          <w:color w:val="000000"/>
          <w:lang w:val="fr-FR"/>
        </w:rPr>
        <w:t>les violences subies</w:t>
      </w:r>
      <w:r w:rsidR="00D17E6C">
        <w:rPr>
          <w:color w:val="000000"/>
          <w:lang w:val="fr-FR"/>
        </w:rPr>
        <w:t>;</w:t>
      </w:r>
    </w:p>
    <w:p w:rsidR="00E15507" w:rsidRPr="005D6CD4" w:rsidRDefault="00B72F42" w:rsidP="00B72F42">
      <w:pPr>
        <w:pStyle w:val="SingleTxt"/>
        <w:numPr>
          <w:ilvl w:val="0"/>
          <w:numId w:val="46"/>
        </w:numPr>
        <w:rPr>
          <w:color w:val="000000"/>
          <w:lang w:val="fr-FR"/>
        </w:rPr>
      </w:pPr>
      <w:r>
        <w:rPr>
          <w:color w:val="000000"/>
          <w:lang w:val="fr-FR"/>
        </w:rPr>
        <w:tab/>
      </w:r>
      <w:r w:rsidR="00E15507" w:rsidRPr="005D6CD4">
        <w:rPr>
          <w:color w:val="000000"/>
          <w:lang w:val="fr-FR"/>
        </w:rPr>
        <w:t>L</w:t>
      </w:r>
      <w:r w:rsidR="000A3D87">
        <w:rPr>
          <w:color w:val="000000"/>
          <w:lang w:val="fr-FR"/>
        </w:rPr>
        <w:t>’</w:t>
      </w:r>
      <w:r w:rsidR="00E15507" w:rsidRPr="005D6CD4">
        <w:rPr>
          <w:color w:val="000000"/>
          <w:lang w:val="fr-FR"/>
        </w:rPr>
        <w:t>absence de lois protégeant de manière appropriée les victimes</w:t>
      </w:r>
      <w:r w:rsidR="00D17E6C">
        <w:rPr>
          <w:color w:val="000000"/>
          <w:lang w:val="fr-FR"/>
        </w:rPr>
        <w:t>;</w:t>
      </w:r>
    </w:p>
    <w:p w:rsidR="00E15507" w:rsidRPr="005D6CD4" w:rsidRDefault="00B72F42" w:rsidP="00B72F42">
      <w:pPr>
        <w:pStyle w:val="SingleTxt"/>
        <w:numPr>
          <w:ilvl w:val="0"/>
          <w:numId w:val="46"/>
        </w:numPr>
        <w:rPr>
          <w:color w:val="000000"/>
          <w:lang w:val="fr-FR"/>
        </w:rPr>
      </w:pPr>
      <w:r>
        <w:rPr>
          <w:color w:val="000000"/>
          <w:lang w:val="fr-FR"/>
        </w:rPr>
        <w:tab/>
      </w:r>
      <w:r w:rsidR="00E15507" w:rsidRPr="005D6CD4">
        <w:rPr>
          <w:color w:val="000000"/>
          <w:lang w:val="fr-FR"/>
        </w:rPr>
        <w:t>L</w:t>
      </w:r>
      <w:r w:rsidR="000A3D87">
        <w:rPr>
          <w:color w:val="000000"/>
          <w:lang w:val="fr-FR"/>
        </w:rPr>
        <w:t>’</w:t>
      </w:r>
      <w:r w:rsidR="00E15507" w:rsidRPr="005D6CD4">
        <w:rPr>
          <w:color w:val="000000"/>
          <w:lang w:val="fr-FR"/>
        </w:rPr>
        <w:t>absence de compétences techniques et de ressources, entre autre</w:t>
      </w:r>
      <w:r w:rsidR="00E15507">
        <w:rPr>
          <w:color w:val="000000"/>
          <w:lang w:val="fr-FR"/>
        </w:rPr>
        <w:t>s</w:t>
      </w:r>
      <w:r w:rsidR="00E15507" w:rsidRPr="005D6CD4">
        <w:rPr>
          <w:color w:val="000000"/>
          <w:lang w:val="fr-FR"/>
        </w:rPr>
        <w:t>.</w:t>
      </w:r>
    </w:p>
    <w:p w:rsidR="00E15507" w:rsidRPr="005D6CD4" w:rsidRDefault="00B72F42" w:rsidP="00AC2642">
      <w:pPr>
        <w:pStyle w:val="SingleTxt"/>
        <w:rPr>
          <w:color w:val="000000"/>
          <w:lang w:val="fr-FR"/>
        </w:rPr>
      </w:pPr>
      <w:r>
        <w:rPr>
          <w:color w:val="000000"/>
          <w:lang w:val="fr-FR"/>
        </w:rPr>
        <w:tab/>
      </w:r>
      <w:r w:rsidR="00E15507" w:rsidRPr="005D6CD4">
        <w:rPr>
          <w:color w:val="000000"/>
          <w:lang w:val="fr-FR"/>
        </w:rPr>
        <w:t>Parmi les recommandations proposées pour remédier aux violences à l</w:t>
      </w:r>
      <w:r w:rsidR="000A3D87">
        <w:rPr>
          <w:color w:val="000000"/>
          <w:lang w:val="fr-FR"/>
        </w:rPr>
        <w:t>’</w:t>
      </w:r>
      <w:r w:rsidR="00E15507" w:rsidRPr="005D6CD4">
        <w:rPr>
          <w:color w:val="000000"/>
          <w:lang w:val="fr-FR"/>
        </w:rPr>
        <w:t>égard des femmes il y a les mesures suivantes :</w:t>
      </w:r>
    </w:p>
    <w:p w:rsidR="00E15507" w:rsidRPr="005D6CD4" w:rsidRDefault="00E15507" w:rsidP="00B72F42">
      <w:pPr>
        <w:pStyle w:val="SingleTxt"/>
        <w:tabs>
          <w:tab w:val="clear" w:pos="1267"/>
        </w:tabs>
        <w:ind w:left="1710" w:hanging="443"/>
        <w:rPr>
          <w:color w:val="000000"/>
          <w:lang w:val="fr-FR"/>
        </w:rPr>
      </w:pPr>
      <w:r w:rsidRPr="005D6CD4">
        <w:rPr>
          <w:color w:val="000000"/>
          <w:lang w:val="fr-FR"/>
        </w:rPr>
        <w:t>a.</w:t>
      </w:r>
      <w:r w:rsidRPr="005D6CD4">
        <w:rPr>
          <w:color w:val="000000"/>
          <w:lang w:val="fr-FR"/>
        </w:rPr>
        <w:tab/>
        <w:t>L</w:t>
      </w:r>
      <w:r w:rsidR="000A3D87">
        <w:rPr>
          <w:color w:val="000000"/>
          <w:lang w:val="fr-FR"/>
        </w:rPr>
        <w:t>’</w:t>
      </w:r>
      <w:r w:rsidRPr="005D6CD4">
        <w:rPr>
          <w:color w:val="000000"/>
          <w:lang w:val="fr-FR"/>
        </w:rPr>
        <w:t>augmentation des</w:t>
      </w:r>
      <w:r>
        <w:rPr>
          <w:color w:val="000000"/>
          <w:lang w:val="fr-FR"/>
        </w:rPr>
        <w:t xml:space="preserve"> </w:t>
      </w:r>
      <w:r w:rsidRPr="005D6CD4">
        <w:rPr>
          <w:color w:val="000000"/>
          <w:lang w:val="fr-FR"/>
        </w:rPr>
        <w:t>allocations budgétaires dans les secteurs public et privé en faveur des programmes et activités d</w:t>
      </w:r>
      <w:r>
        <w:rPr>
          <w:color w:val="000000"/>
          <w:lang w:val="fr-FR"/>
        </w:rPr>
        <w:t>e prise en compte systématique des questions d</w:t>
      </w:r>
      <w:r w:rsidR="000A3D87">
        <w:rPr>
          <w:color w:val="000000"/>
          <w:lang w:val="fr-FR"/>
        </w:rPr>
        <w:t>’</w:t>
      </w:r>
      <w:r>
        <w:rPr>
          <w:color w:val="000000"/>
          <w:lang w:val="fr-FR"/>
        </w:rPr>
        <w:t>égalité des sexes</w:t>
      </w:r>
      <w:r w:rsidR="00D17E6C">
        <w:rPr>
          <w:color w:val="000000"/>
          <w:lang w:val="fr-FR"/>
        </w:rPr>
        <w:t>;</w:t>
      </w:r>
    </w:p>
    <w:p w:rsidR="00E15507" w:rsidRPr="005D6CD4" w:rsidRDefault="00E15507" w:rsidP="00B72F42">
      <w:pPr>
        <w:pStyle w:val="SingleTxt"/>
        <w:ind w:left="1710" w:hanging="443"/>
        <w:rPr>
          <w:color w:val="000000"/>
          <w:lang w:val="fr-FR"/>
        </w:rPr>
      </w:pPr>
      <w:r w:rsidRPr="005D6CD4">
        <w:rPr>
          <w:color w:val="000000"/>
          <w:lang w:val="fr-FR"/>
        </w:rPr>
        <w:t>b.</w:t>
      </w:r>
      <w:r w:rsidRPr="005D6CD4">
        <w:rPr>
          <w:color w:val="000000"/>
          <w:lang w:val="fr-FR"/>
        </w:rPr>
        <w:tab/>
        <w:t>L</w:t>
      </w:r>
      <w:r w:rsidR="000A3D87">
        <w:rPr>
          <w:color w:val="000000"/>
          <w:lang w:val="fr-FR"/>
        </w:rPr>
        <w:t>’</w:t>
      </w:r>
      <w:r w:rsidRPr="005D6CD4">
        <w:rPr>
          <w:color w:val="000000"/>
          <w:lang w:val="fr-FR"/>
        </w:rPr>
        <w:t>intensification du dialogue avec les autorités traditionnelles et religieuses afin de poursuivre les efforts actuels visant à réduire les pratiques socioculturelles n</w:t>
      </w:r>
      <w:r>
        <w:rPr>
          <w:color w:val="000000"/>
          <w:lang w:val="fr-FR"/>
        </w:rPr>
        <w:t>uisibles</w:t>
      </w:r>
      <w:r w:rsidR="00D17E6C">
        <w:rPr>
          <w:color w:val="000000"/>
          <w:lang w:val="fr-FR"/>
        </w:rPr>
        <w:t>;</w:t>
      </w:r>
    </w:p>
    <w:p w:rsidR="00E15507" w:rsidRPr="005D6CD4" w:rsidRDefault="00E15507" w:rsidP="00B72F42">
      <w:pPr>
        <w:pStyle w:val="SingleTxt"/>
        <w:ind w:left="1710" w:hanging="443"/>
        <w:rPr>
          <w:color w:val="000000"/>
          <w:lang w:val="fr-FR"/>
        </w:rPr>
      </w:pPr>
      <w:r w:rsidRPr="005D6CD4">
        <w:rPr>
          <w:color w:val="000000"/>
          <w:lang w:val="fr-FR"/>
        </w:rPr>
        <w:t>c</w:t>
      </w:r>
      <w:r>
        <w:rPr>
          <w:color w:val="000000"/>
          <w:lang w:val="fr-FR"/>
        </w:rPr>
        <w:tab/>
        <w:t xml:space="preserve">Le renforcement des capacités </w:t>
      </w:r>
      <w:r w:rsidRPr="005D6CD4">
        <w:rPr>
          <w:color w:val="000000"/>
          <w:lang w:val="fr-FR"/>
        </w:rPr>
        <w:t>statistique</w:t>
      </w:r>
      <w:r>
        <w:rPr>
          <w:color w:val="000000"/>
          <w:lang w:val="fr-FR"/>
        </w:rPr>
        <w:t>s</w:t>
      </w:r>
      <w:r w:rsidRPr="005D6CD4">
        <w:rPr>
          <w:color w:val="000000"/>
          <w:lang w:val="fr-FR"/>
        </w:rPr>
        <w:t xml:space="preserve"> pour la collecte et la diffusion des données disséminées sur le problème de l</w:t>
      </w:r>
      <w:r w:rsidR="000A3D87">
        <w:rPr>
          <w:color w:val="000000"/>
          <w:lang w:val="fr-FR"/>
        </w:rPr>
        <w:t>’</w:t>
      </w:r>
      <w:r w:rsidRPr="005D6CD4">
        <w:rPr>
          <w:color w:val="000000"/>
          <w:lang w:val="fr-FR"/>
        </w:rPr>
        <w:t xml:space="preserve">égalité </w:t>
      </w:r>
      <w:r>
        <w:rPr>
          <w:color w:val="000000"/>
          <w:lang w:val="fr-FR"/>
        </w:rPr>
        <w:t xml:space="preserve">des </w:t>
      </w:r>
      <w:r w:rsidRPr="005D6CD4">
        <w:rPr>
          <w:color w:val="000000"/>
          <w:lang w:val="fr-FR"/>
        </w:rPr>
        <w:t xml:space="preserve">hommes et </w:t>
      </w:r>
      <w:r>
        <w:rPr>
          <w:color w:val="000000"/>
          <w:lang w:val="fr-FR"/>
        </w:rPr>
        <w:t>d</w:t>
      </w:r>
      <w:r w:rsidRPr="005D6CD4">
        <w:rPr>
          <w:color w:val="000000"/>
          <w:lang w:val="fr-FR"/>
        </w:rPr>
        <w:t>es femmes afin d</w:t>
      </w:r>
      <w:r w:rsidR="000A3D87">
        <w:rPr>
          <w:color w:val="000000"/>
          <w:lang w:val="fr-FR"/>
        </w:rPr>
        <w:t>’</w:t>
      </w:r>
      <w:r w:rsidRPr="005D6CD4">
        <w:rPr>
          <w:color w:val="000000"/>
          <w:lang w:val="fr-FR"/>
        </w:rPr>
        <w:t>aider à la formulation, la programmation et la mise en œuvre des politiques</w:t>
      </w:r>
      <w:r>
        <w:rPr>
          <w:color w:val="000000"/>
          <w:lang w:val="fr-FR"/>
        </w:rPr>
        <w:t xml:space="preserve"> </w:t>
      </w:r>
      <w:r w:rsidRPr="005D6CD4">
        <w:rPr>
          <w:color w:val="000000"/>
          <w:lang w:val="fr-FR"/>
        </w:rPr>
        <w:t>et d</w:t>
      </w:r>
      <w:r w:rsidR="000A3D87">
        <w:rPr>
          <w:color w:val="000000"/>
          <w:lang w:val="fr-FR"/>
        </w:rPr>
        <w:t>’</w:t>
      </w:r>
      <w:r w:rsidRPr="005D6CD4">
        <w:rPr>
          <w:color w:val="000000"/>
          <w:lang w:val="fr-FR"/>
        </w:rPr>
        <w:t xml:space="preserve">atteindre des résultats spécifiques dans </w:t>
      </w:r>
      <w:r>
        <w:rPr>
          <w:color w:val="000000"/>
          <w:lang w:val="fr-FR"/>
        </w:rPr>
        <w:t>c</w:t>
      </w:r>
      <w:r w:rsidRPr="005D6CD4">
        <w:rPr>
          <w:color w:val="000000"/>
          <w:lang w:val="fr-FR"/>
        </w:rPr>
        <w:t>e domaine</w:t>
      </w:r>
      <w:r w:rsidR="00D17E6C">
        <w:rPr>
          <w:color w:val="000000"/>
          <w:lang w:val="fr-FR"/>
        </w:rPr>
        <w:t>;</w:t>
      </w:r>
      <w:r w:rsidRPr="005D6CD4">
        <w:rPr>
          <w:color w:val="000000"/>
          <w:lang w:val="fr-FR"/>
        </w:rPr>
        <w:t xml:space="preserve"> </w:t>
      </w:r>
    </w:p>
    <w:p w:rsidR="00E15507" w:rsidRPr="005D6CD4" w:rsidRDefault="00E15507" w:rsidP="00B72F42">
      <w:pPr>
        <w:pStyle w:val="SingleTxt"/>
        <w:ind w:left="1710" w:hanging="443"/>
        <w:rPr>
          <w:color w:val="000000"/>
          <w:lang w:val="fr-FR"/>
        </w:rPr>
      </w:pPr>
      <w:r w:rsidRPr="005D6CD4">
        <w:rPr>
          <w:color w:val="000000"/>
          <w:lang w:val="fr-FR"/>
        </w:rPr>
        <w:t>d.</w:t>
      </w:r>
      <w:r w:rsidRPr="005D6CD4">
        <w:rPr>
          <w:color w:val="000000"/>
          <w:lang w:val="fr-FR"/>
        </w:rPr>
        <w:tab/>
        <w:t xml:space="preserve">Les gouvernements doivent intensifier </w:t>
      </w:r>
      <w:r>
        <w:rPr>
          <w:color w:val="000000"/>
          <w:lang w:val="fr-FR"/>
        </w:rPr>
        <w:t>l</w:t>
      </w:r>
      <w:r w:rsidRPr="005D6CD4">
        <w:rPr>
          <w:color w:val="000000"/>
          <w:lang w:val="fr-FR"/>
        </w:rPr>
        <w:t>es efforts en faveur de l</w:t>
      </w:r>
      <w:r w:rsidR="000A3D87">
        <w:rPr>
          <w:color w:val="000000"/>
          <w:lang w:val="fr-FR"/>
        </w:rPr>
        <w:t>’</w:t>
      </w:r>
      <w:r w:rsidRPr="005D6CD4">
        <w:rPr>
          <w:color w:val="000000"/>
          <w:lang w:val="fr-FR"/>
        </w:rPr>
        <w:t>éducation de</w:t>
      </w:r>
      <w:r>
        <w:rPr>
          <w:color w:val="000000"/>
          <w:lang w:val="fr-FR"/>
        </w:rPr>
        <w:t>s fillettes d</w:t>
      </w:r>
      <w:r w:rsidRPr="005D6CD4">
        <w:rPr>
          <w:color w:val="000000"/>
          <w:lang w:val="fr-FR"/>
        </w:rPr>
        <w:t>ans le Nord-ouest, le Nord-est et le Centre-nord et aborder par ailleurs la crise de l</w:t>
      </w:r>
      <w:r w:rsidR="000A3D87">
        <w:rPr>
          <w:color w:val="000000"/>
          <w:lang w:val="fr-FR"/>
        </w:rPr>
        <w:t>’</w:t>
      </w:r>
      <w:r w:rsidRPr="005D6CD4">
        <w:rPr>
          <w:color w:val="000000"/>
          <w:lang w:val="fr-FR"/>
        </w:rPr>
        <w:t>éducation des garçons dans le Sud-est et le Sud-sud</w:t>
      </w:r>
      <w:r w:rsidR="00D17E6C">
        <w:rPr>
          <w:color w:val="000000"/>
          <w:lang w:val="fr-FR"/>
        </w:rPr>
        <w:t>;</w:t>
      </w:r>
    </w:p>
    <w:p w:rsidR="00E15507" w:rsidRPr="005D6CD4" w:rsidRDefault="00E15507" w:rsidP="00B72F42">
      <w:pPr>
        <w:pStyle w:val="SingleTxt"/>
        <w:ind w:left="1710" w:hanging="443"/>
        <w:rPr>
          <w:b/>
          <w:color w:val="000000"/>
          <w:lang w:val="fr-FR"/>
        </w:rPr>
      </w:pPr>
      <w:r w:rsidRPr="005D6CD4">
        <w:rPr>
          <w:color w:val="000000"/>
          <w:lang w:val="fr-FR"/>
        </w:rPr>
        <w:t>e.</w:t>
      </w:r>
      <w:r w:rsidRPr="005D6CD4">
        <w:rPr>
          <w:color w:val="000000"/>
          <w:lang w:val="fr-FR"/>
        </w:rPr>
        <w:tab/>
        <w:t xml:space="preserve">Il faudrait intensifier les programmes de sensibilisation </w:t>
      </w:r>
      <w:r>
        <w:rPr>
          <w:color w:val="000000"/>
          <w:lang w:val="fr-FR"/>
        </w:rPr>
        <w:t>des populations locales à l</w:t>
      </w:r>
      <w:r w:rsidR="000A3D87">
        <w:rPr>
          <w:color w:val="000000"/>
          <w:lang w:val="fr-FR"/>
        </w:rPr>
        <w:t>’</w:t>
      </w:r>
      <w:r w:rsidRPr="005D6CD4">
        <w:rPr>
          <w:color w:val="000000"/>
          <w:lang w:val="fr-FR"/>
        </w:rPr>
        <w:t>élimination de la violence à l</w:t>
      </w:r>
      <w:r w:rsidR="000A3D87">
        <w:rPr>
          <w:color w:val="000000"/>
          <w:lang w:val="fr-FR"/>
        </w:rPr>
        <w:t>’</w:t>
      </w:r>
      <w:r w:rsidRPr="005D6CD4">
        <w:rPr>
          <w:color w:val="000000"/>
          <w:lang w:val="fr-FR"/>
        </w:rPr>
        <w:t>égard des femmes, comme l</w:t>
      </w:r>
      <w:r>
        <w:rPr>
          <w:color w:val="000000"/>
          <w:lang w:val="fr-FR"/>
        </w:rPr>
        <w:t>es MGF</w:t>
      </w:r>
      <w:r w:rsidRPr="005D6CD4">
        <w:rPr>
          <w:color w:val="000000"/>
          <w:lang w:val="fr-FR"/>
        </w:rPr>
        <w:t>, le mariage précoce, les pratiques de veuvage et l</w:t>
      </w:r>
      <w:r w:rsidR="000A3D87">
        <w:rPr>
          <w:color w:val="000000"/>
          <w:lang w:val="fr-FR"/>
        </w:rPr>
        <w:t>’</w:t>
      </w:r>
      <w:r w:rsidRPr="005D6CD4">
        <w:rPr>
          <w:color w:val="000000"/>
          <w:lang w:val="fr-FR"/>
        </w:rPr>
        <w:t>héritage pour la femme, etc.</w:t>
      </w:r>
      <w:r w:rsidRPr="005D6CD4">
        <w:rPr>
          <w:b/>
          <w:color w:val="000000"/>
          <w:lang w:val="fr-FR"/>
        </w:rPr>
        <w:tab/>
      </w:r>
    </w:p>
    <w:p w:rsidR="00E15507" w:rsidRPr="005D6CD4" w:rsidRDefault="00E15507" w:rsidP="00AC2642">
      <w:pPr>
        <w:pStyle w:val="SingleTxt"/>
        <w:rPr>
          <w:b/>
          <w:bCs/>
          <w:color w:val="000000"/>
          <w:lang w:val="fr-FR"/>
        </w:rPr>
      </w:pPr>
      <w:r w:rsidRPr="005D6CD4">
        <w:rPr>
          <w:b/>
          <w:color w:val="000000"/>
          <w:lang w:val="fr-FR"/>
        </w:rPr>
        <w:t>16.2.6.</w:t>
      </w:r>
      <w:r w:rsidR="00B72F42">
        <w:rPr>
          <w:b/>
          <w:color w:val="000000"/>
          <w:lang w:val="fr-FR"/>
        </w:rPr>
        <w:t xml:space="preserve">  </w:t>
      </w:r>
      <w:r w:rsidRPr="005D6CD4">
        <w:rPr>
          <w:b/>
          <w:bCs/>
          <w:color w:val="000000"/>
          <w:lang w:val="fr-FR"/>
        </w:rPr>
        <w:t>Prévoir des centre d</w:t>
      </w:r>
      <w:r w:rsidR="000A3D87">
        <w:rPr>
          <w:b/>
          <w:bCs/>
          <w:color w:val="000000"/>
          <w:lang w:val="fr-FR"/>
        </w:rPr>
        <w:t>’</w:t>
      </w:r>
      <w:r w:rsidRPr="005D6CD4">
        <w:rPr>
          <w:b/>
          <w:bCs/>
          <w:color w:val="000000"/>
          <w:lang w:val="fr-FR"/>
        </w:rPr>
        <w:t xml:space="preserve">accueil pour les </w:t>
      </w:r>
      <w:r>
        <w:rPr>
          <w:b/>
          <w:bCs/>
          <w:color w:val="000000"/>
          <w:lang w:val="fr-FR"/>
        </w:rPr>
        <w:t xml:space="preserve">femmes </w:t>
      </w:r>
      <w:r w:rsidRPr="005D6CD4">
        <w:rPr>
          <w:b/>
          <w:bCs/>
          <w:color w:val="000000"/>
          <w:lang w:val="fr-FR"/>
        </w:rPr>
        <w:t xml:space="preserve">victimes de violence </w:t>
      </w:r>
    </w:p>
    <w:p w:rsidR="00E15507" w:rsidRDefault="00B72F42" w:rsidP="00AC2642">
      <w:pPr>
        <w:pStyle w:val="SingleTxt"/>
        <w:rPr>
          <w:color w:val="000000"/>
          <w:lang w:val="fr-FR"/>
        </w:rPr>
      </w:pPr>
      <w:r>
        <w:rPr>
          <w:color w:val="000000"/>
          <w:lang w:val="fr-FR"/>
        </w:rPr>
        <w:tab/>
      </w:r>
      <w:r w:rsidR="00E15507" w:rsidRPr="005D6CD4">
        <w:rPr>
          <w:color w:val="000000"/>
          <w:lang w:val="fr-FR"/>
        </w:rPr>
        <w:t>WACOL, une ONG basée à Enugu dispose d</w:t>
      </w:r>
      <w:r w:rsidR="000A3D87">
        <w:rPr>
          <w:color w:val="000000"/>
          <w:lang w:val="fr-FR"/>
        </w:rPr>
        <w:t>’</w:t>
      </w:r>
      <w:r w:rsidR="00E15507" w:rsidRPr="005D6CD4">
        <w:rPr>
          <w:color w:val="000000"/>
          <w:lang w:val="fr-FR"/>
        </w:rPr>
        <w:t>un centre ultramoderne d</w:t>
      </w:r>
      <w:r w:rsidR="000A3D87">
        <w:rPr>
          <w:color w:val="000000"/>
          <w:lang w:val="fr-FR"/>
        </w:rPr>
        <w:t>’</w:t>
      </w:r>
      <w:r w:rsidR="00E15507" w:rsidRPr="005D6CD4">
        <w:rPr>
          <w:color w:val="000000"/>
          <w:lang w:val="fr-FR"/>
        </w:rPr>
        <w:t>accueil où elle reçoit temporairement les femmes battues et victimes de violence au moment fort de la crise en attendant l</w:t>
      </w:r>
      <w:r w:rsidR="000A3D87">
        <w:rPr>
          <w:color w:val="000000"/>
          <w:lang w:val="fr-FR"/>
        </w:rPr>
        <w:t>’</w:t>
      </w:r>
      <w:r w:rsidR="00E15507" w:rsidRPr="005D6CD4">
        <w:rPr>
          <w:color w:val="000000"/>
          <w:lang w:val="fr-FR"/>
        </w:rPr>
        <w:t xml:space="preserve">issue du procès. De même, </w:t>
      </w:r>
      <w:r w:rsidR="00E15507" w:rsidRPr="005D6CD4">
        <w:rPr>
          <w:i/>
          <w:color w:val="000000"/>
          <w:lang w:val="fr-FR"/>
        </w:rPr>
        <w:t>Project Alert on Violence against Women (PROLERT)</w:t>
      </w:r>
      <w:r w:rsidR="00E15507" w:rsidRPr="005D6CD4">
        <w:rPr>
          <w:color w:val="000000"/>
          <w:lang w:val="fr-FR"/>
        </w:rPr>
        <w:t xml:space="preserve"> gère à Lagos un centre d</w:t>
      </w:r>
      <w:r w:rsidR="000A3D87">
        <w:rPr>
          <w:color w:val="000000"/>
          <w:lang w:val="fr-FR"/>
        </w:rPr>
        <w:t>’</w:t>
      </w:r>
      <w:r w:rsidR="00E15507" w:rsidRPr="005D6CD4">
        <w:rPr>
          <w:color w:val="000000"/>
          <w:lang w:val="fr-FR"/>
        </w:rPr>
        <w:t>accueil pour les femmes victimes d</w:t>
      </w:r>
      <w:r w:rsidR="000A3D87">
        <w:rPr>
          <w:color w:val="000000"/>
          <w:lang w:val="fr-FR"/>
        </w:rPr>
        <w:t>’</w:t>
      </w:r>
      <w:r w:rsidR="00E15507" w:rsidRPr="005D6CD4">
        <w:rPr>
          <w:color w:val="000000"/>
          <w:lang w:val="fr-FR"/>
        </w:rPr>
        <w:t>abus ou de toute forme de violence.</w:t>
      </w:r>
    </w:p>
    <w:p w:rsidR="00B72F42" w:rsidRPr="00B72F42" w:rsidRDefault="00B72F42" w:rsidP="00B72F42">
      <w:pPr>
        <w:pStyle w:val="SingleTxt"/>
        <w:spacing w:after="0" w:line="120" w:lineRule="exact"/>
        <w:rPr>
          <w:color w:val="000000"/>
          <w:sz w:val="10"/>
          <w:lang w:val="fr-FR"/>
        </w:rPr>
      </w:pPr>
    </w:p>
    <w:p w:rsidR="00E15507" w:rsidRDefault="00B72F42" w:rsidP="00B72F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E15507" w:rsidRPr="005D6CD4">
        <w:rPr>
          <w:lang w:val="fr-FR"/>
        </w:rPr>
        <w:t xml:space="preserve">16.3 </w:t>
      </w:r>
      <w:r>
        <w:rPr>
          <w:lang w:val="fr-FR"/>
        </w:rPr>
        <w:tab/>
      </w:r>
      <w:r w:rsidR="00E15507" w:rsidRPr="005D6CD4">
        <w:rPr>
          <w:lang w:val="fr-FR"/>
        </w:rPr>
        <w:t>Défis</w:t>
      </w:r>
    </w:p>
    <w:p w:rsidR="00B72F42" w:rsidRPr="00B72F42" w:rsidRDefault="00B72F42" w:rsidP="00B72F42">
      <w:pPr>
        <w:pStyle w:val="SingleTxt"/>
        <w:spacing w:after="0" w:line="120" w:lineRule="exact"/>
        <w:rPr>
          <w:sz w:val="10"/>
          <w:lang w:val="fr-FR"/>
        </w:rPr>
      </w:pPr>
    </w:p>
    <w:p w:rsidR="00E15507" w:rsidRPr="00B72F42" w:rsidRDefault="00B72F42" w:rsidP="00AC2642">
      <w:pPr>
        <w:pStyle w:val="SingleTxt"/>
        <w:rPr>
          <w:i/>
          <w:color w:val="000000"/>
          <w:lang w:val="fr-FR"/>
        </w:rPr>
      </w:pPr>
      <w:r>
        <w:rPr>
          <w:i/>
          <w:color w:val="000000"/>
          <w:lang w:val="fr-FR"/>
        </w:rPr>
        <w:tab/>
      </w:r>
      <w:r w:rsidR="00E15507" w:rsidRPr="00B72F42">
        <w:rPr>
          <w:i/>
          <w:color w:val="000000"/>
          <w:lang w:val="fr-FR"/>
        </w:rPr>
        <w:t>Le manque de données ventilées  par sexe constitue un obstacle de taille à la réalisation de l</w:t>
      </w:r>
      <w:r w:rsidR="000A3D87" w:rsidRPr="00B72F42">
        <w:rPr>
          <w:i/>
          <w:color w:val="000000"/>
          <w:lang w:val="fr-FR"/>
        </w:rPr>
        <w:t>’</w:t>
      </w:r>
      <w:r w:rsidR="00E15507" w:rsidRPr="00B72F42">
        <w:rPr>
          <w:i/>
          <w:color w:val="000000"/>
          <w:lang w:val="fr-FR"/>
        </w:rPr>
        <w:t>égalité entre l</w:t>
      </w:r>
      <w:r w:rsidR="000A3D87" w:rsidRPr="00B72F42">
        <w:rPr>
          <w:i/>
          <w:color w:val="000000"/>
          <w:lang w:val="fr-FR"/>
        </w:rPr>
        <w:t>’</w:t>
      </w:r>
      <w:r w:rsidR="00E15507" w:rsidRPr="00B72F42">
        <w:rPr>
          <w:i/>
          <w:color w:val="000000"/>
          <w:lang w:val="fr-FR"/>
        </w:rPr>
        <w:t>homme et la femme devant la loi, en ce sens que les défenseurs de l</w:t>
      </w:r>
      <w:r w:rsidR="000A3D87" w:rsidRPr="00B72F42">
        <w:rPr>
          <w:i/>
          <w:color w:val="000000"/>
          <w:lang w:val="fr-FR"/>
        </w:rPr>
        <w:t>’</w:t>
      </w:r>
      <w:r w:rsidR="00E15507" w:rsidRPr="00B72F42">
        <w:rPr>
          <w:i/>
          <w:color w:val="000000"/>
          <w:lang w:val="fr-FR"/>
        </w:rPr>
        <w:t>égalité des sexes ne disposent pas d</w:t>
      </w:r>
      <w:r w:rsidR="000A3D87" w:rsidRPr="00B72F42">
        <w:rPr>
          <w:i/>
          <w:color w:val="000000"/>
          <w:lang w:val="fr-FR"/>
        </w:rPr>
        <w:t>’</w:t>
      </w:r>
      <w:r w:rsidR="00E15507" w:rsidRPr="00B72F42">
        <w:rPr>
          <w:i/>
          <w:color w:val="000000"/>
          <w:lang w:val="fr-FR"/>
        </w:rPr>
        <w:t>éléments de preuve pour défendre les mesures d</w:t>
      </w:r>
      <w:r w:rsidR="000A3D87" w:rsidRPr="00B72F42">
        <w:rPr>
          <w:i/>
          <w:color w:val="000000"/>
          <w:lang w:val="fr-FR"/>
        </w:rPr>
        <w:t>’</w:t>
      </w:r>
      <w:r w:rsidR="00E15507" w:rsidRPr="00B72F42">
        <w:rPr>
          <w:i/>
          <w:color w:val="000000"/>
          <w:lang w:val="fr-FR"/>
        </w:rPr>
        <w:t>action positive et des concessions et interventions spécifiques en faveur des femmes dans le cadre d</w:t>
      </w:r>
      <w:r w:rsidR="000A3D87" w:rsidRPr="00B72F42">
        <w:rPr>
          <w:i/>
          <w:color w:val="000000"/>
          <w:lang w:val="fr-FR"/>
        </w:rPr>
        <w:t>’</w:t>
      </w:r>
      <w:r w:rsidR="00E15507" w:rsidRPr="00B72F42">
        <w:rPr>
          <w:i/>
          <w:color w:val="000000"/>
          <w:lang w:val="fr-FR"/>
        </w:rPr>
        <w:t>une stratégie visant à réaliser l</w:t>
      </w:r>
      <w:r w:rsidR="000A3D87" w:rsidRPr="00B72F42">
        <w:rPr>
          <w:i/>
          <w:color w:val="000000"/>
          <w:lang w:val="fr-FR"/>
        </w:rPr>
        <w:t>’</w:t>
      </w:r>
      <w:r w:rsidR="00E15507" w:rsidRPr="00B72F42">
        <w:rPr>
          <w:i/>
          <w:color w:val="000000"/>
          <w:lang w:val="fr-FR"/>
        </w:rPr>
        <w:t xml:space="preserve">égalité des sexes. Il nécessaire de disposer des données sur la prévalence et les tendances de la violence exercée sur les femmes, ainsi que les pratiques discriminatoires dans les diverses régions du pays. </w:t>
      </w:r>
    </w:p>
    <w:p w:rsidR="00B72F42" w:rsidRDefault="00B72F42" w:rsidP="00AC2642">
      <w:pPr>
        <w:pStyle w:val="SingleTxt"/>
        <w:rPr>
          <w:color w:val="000000"/>
          <w:lang w:val="fr-FR"/>
        </w:rPr>
      </w:pPr>
      <w:r>
        <w:rPr>
          <w:color w:val="000000"/>
          <w:lang w:val="fr-FR"/>
        </w:rPr>
        <w:tab/>
      </w:r>
      <w:r w:rsidR="00E15507" w:rsidRPr="005D6CD4">
        <w:rPr>
          <w:color w:val="000000"/>
          <w:lang w:val="fr-FR"/>
        </w:rPr>
        <w:t>L</w:t>
      </w:r>
      <w:r w:rsidR="00E15507">
        <w:rPr>
          <w:color w:val="000000"/>
          <w:lang w:val="fr-FR"/>
        </w:rPr>
        <w:t xml:space="preserve">es lacunes </w:t>
      </w:r>
      <w:r w:rsidR="00E15507" w:rsidRPr="005D6CD4">
        <w:rPr>
          <w:color w:val="000000"/>
          <w:lang w:val="fr-FR"/>
        </w:rPr>
        <w:t xml:space="preserve">du cadre </w:t>
      </w:r>
      <w:r w:rsidR="00E15507">
        <w:rPr>
          <w:color w:val="000000"/>
          <w:lang w:val="fr-FR"/>
        </w:rPr>
        <w:t>juridique</w:t>
      </w:r>
      <w:r w:rsidR="00E15507" w:rsidRPr="005D6CD4">
        <w:rPr>
          <w:color w:val="000000"/>
          <w:lang w:val="fr-FR"/>
        </w:rPr>
        <w:t xml:space="preserve"> et des mécanismes de mise en œuvre des lois existantes constitue</w:t>
      </w:r>
      <w:r w:rsidR="00E15507">
        <w:rPr>
          <w:color w:val="000000"/>
          <w:lang w:val="fr-FR"/>
        </w:rPr>
        <w:t>nt</w:t>
      </w:r>
      <w:r w:rsidR="00E15507" w:rsidRPr="005D6CD4">
        <w:rPr>
          <w:color w:val="000000"/>
          <w:lang w:val="fr-FR"/>
        </w:rPr>
        <w:t xml:space="preserve"> un autre obstacle. Si le </w:t>
      </w:r>
      <w:r w:rsidR="00E15507">
        <w:rPr>
          <w:color w:val="000000"/>
          <w:lang w:val="fr-FR"/>
        </w:rPr>
        <w:t>Nigéria</w:t>
      </w:r>
      <w:r w:rsidR="00E15507" w:rsidRPr="005D6CD4">
        <w:rPr>
          <w:color w:val="000000"/>
          <w:lang w:val="fr-FR"/>
        </w:rPr>
        <w:t xml:space="preserve"> est signataire d</w:t>
      </w:r>
      <w:r w:rsidR="000A3D87">
        <w:rPr>
          <w:color w:val="000000"/>
          <w:lang w:val="fr-FR"/>
        </w:rPr>
        <w:t>’</w:t>
      </w:r>
      <w:r w:rsidR="00E15507" w:rsidRPr="005D6CD4">
        <w:rPr>
          <w:color w:val="000000"/>
          <w:lang w:val="fr-FR"/>
        </w:rPr>
        <w:t>un ensemble de textes internationaux relatifs aux droits de l</w:t>
      </w:r>
      <w:r w:rsidR="000A3D87">
        <w:rPr>
          <w:color w:val="000000"/>
          <w:lang w:val="fr-FR"/>
        </w:rPr>
        <w:t>’</w:t>
      </w:r>
      <w:r w:rsidR="00E15507" w:rsidRPr="005D6CD4">
        <w:rPr>
          <w:color w:val="000000"/>
          <w:lang w:val="fr-FR"/>
        </w:rPr>
        <w:t>homme qui réaffirment en termes clairs sa volonté de promouvoir les droits des femmes, il dispose d</w:t>
      </w:r>
      <w:r w:rsidR="000A3D87">
        <w:rPr>
          <w:color w:val="000000"/>
          <w:lang w:val="fr-FR"/>
        </w:rPr>
        <w:t>’</w:t>
      </w:r>
      <w:r w:rsidR="00E15507" w:rsidRPr="005D6CD4">
        <w:rPr>
          <w:color w:val="000000"/>
          <w:lang w:val="fr-FR"/>
        </w:rPr>
        <w:t>un ensemble de lois qui traduisent des préoccupations franchement contraires aux objectifs de ces textes</w:t>
      </w:r>
      <w:r w:rsidR="00E15507">
        <w:rPr>
          <w:color w:val="000000"/>
          <w:lang w:val="fr-FR"/>
        </w:rPr>
        <w:t xml:space="preserve"> </w:t>
      </w:r>
      <w:r w:rsidR="00E15507" w:rsidRPr="005D6CD4">
        <w:rPr>
          <w:color w:val="000000"/>
          <w:lang w:val="fr-FR"/>
        </w:rPr>
        <w:t xml:space="preserve">internationaux. Il y a encore au </w:t>
      </w:r>
      <w:r w:rsidR="00E15507">
        <w:rPr>
          <w:color w:val="000000"/>
          <w:lang w:val="fr-FR"/>
        </w:rPr>
        <w:t>Nigéria</w:t>
      </w:r>
      <w:r w:rsidR="00E15507" w:rsidRPr="005D6CD4">
        <w:rPr>
          <w:color w:val="000000"/>
          <w:lang w:val="fr-FR"/>
        </w:rPr>
        <w:t xml:space="preserve"> de nombreuses lois coutumières qui accordant un appui institutionnel aux pratiques telles que le mariage précoce, la maternité précoce et le non</w:t>
      </w:r>
      <w:r w:rsidR="00E15507">
        <w:rPr>
          <w:color w:val="000000"/>
          <w:lang w:val="fr-FR"/>
        </w:rPr>
        <w:t>-</w:t>
      </w:r>
      <w:r w:rsidR="00E15507" w:rsidRPr="005D6CD4">
        <w:rPr>
          <w:color w:val="000000"/>
          <w:lang w:val="fr-FR"/>
        </w:rPr>
        <w:t>espacement des naissances, l</w:t>
      </w:r>
      <w:r w:rsidR="00E15507">
        <w:rPr>
          <w:color w:val="000000"/>
          <w:lang w:val="fr-FR"/>
        </w:rPr>
        <w:t>es MGF</w:t>
      </w:r>
      <w:r w:rsidR="00E15507" w:rsidRPr="005D6CD4">
        <w:rPr>
          <w:color w:val="000000"/>
          <w:lang w:val="fr-FR"/>
        </w:rPr>
        <w:t>, les rites de veuvage et le refus aux femmes du droit à l</w:t>
      </w:r>
      <w:r w:rsidR="000A3D87">
        <w:rPr>
          <w:color w:val="000000"/>
          <w:lang w:val="fr-FR"/>
        </w:rPr>
        <w:t>’</w:t>
      </w:r>
      <w:r w:rsidR="00E15507" w:rsidRPr="005D6CD4">
        <w:rPr>
          <w:color w:val="000000"/>
          <w:lang w:val="fr-FR"/>
        </w:rPr>
        <w:t xml:space="preserve">héritage qui </w:t>
      </w:r>
      <w:r w:rsidR="00E15507">
        <w:rPr>
          <w:color w:val="000000"/>
          <w:lang w:val="fr-FR"/>
        </w:rPr>
        <w:t xml:space="preserve">les </w:t>
      </w:r>
      <w:r w:rsidR="00E15507" w:rsidRPr="005D6CD4">
        <w:rPr>
          <w:color w:val="000000"/>
          <w:lang w:val="fr-FR"/>
        </w:rPr>
        <w:t>empêchent de jouir du droit à l</w:t>
      </w:r>
      <w:r w:rsidR="000A3D87">
        <w:rPr>
          <w:color w:val="000000"/>
          <w:lang w:val="fr-FR"/>
        </w:rPr>
        <w:t>’</w:t>
      </w:r>
      <w:r w:rsidR="00E15507" w:rsidRPr="005D6CD4">
        <w:rPr>
          <w:color w:val="000000"/>
          <w:lang w:val="fr-FR"/>
        </w:rPr>
        <w:t>égalité. Même lorsqu</w:t>
      </w:r>
      <w:r w:rsidR="000A3D87">
        <w:rPr>
          <w:color w:val="000000"/>
          <w:lang w:val="fr-FR"/>
        </w:rPr>
        <w:t>’</w:t>
      </w:r>
      <w:r w:rsidR="00E15507" w:rsidRPr="005D6CD4">
        <w:rPr>
          <w:color w:val="000000"/>
          <w:lang w:val="fr-FR"/>
        </w:rPr>
        <w:t>il existe des lois modernes réprim</w:t>
      </w:r>
      <w:r w:rsidR="00E15507">
        <w:rPr>
          <w:color w:val="000000"/>
          <w:lang w:val="fr-FR"/>
        </w:rPr>
        <w:t>a</w:t>
      </w:r>
      <w:r w:rsidR="00E15507" w:rsidRPr="005D6CD4">
        <w:rPr>
          <w:color w:val="000000"/>
          <w:lang w:val="fr-FR"/>
        </w:rPr>
        <w:t>nt quelques-unes de ces pratiques coutumières et religieuses nocives, l</w:t>
      </w:r>
      <w:r w:rsidR="000A3D87">
        <w:rPr>
          <w:color w:val="000000"/>
          <w:lang w:val="fr-FR"/>
        </w:rPr>
        <w:t>’</w:t>
      </w:r>
      <w:r w:rsidR="00E15507" w:rsidRPr="005D6CD4">
        <w:rPr>
          <w:color w:val="000000"/>
          <w:lang w:val="fr-FR"/>
        </w:rPr>
        <w:t>expérience montre que leur niveau d</w:t>
      </w:r>
      <w:r w:rsidR="000A3D87">
        <w:rPr>
          <w:color w:val="000000"/>
          <w:lang w:val="fr-FR"/>
        </w:rPr>
        <w:t>’</w:t>
      </w:r>
      <w:r w:rsidR="00E15507" w:rsidRPr="005D6CD4">
        <w:rPr>
          <w:color w:val="000000"/>
          <w:lang w:val="fr-FR"/>
        </w:rPr>
        <w:t xml:space="preserve">application est négligeable. </w:t>
      </w:r>
    </w:p>
    <w:p w:rsidR="00717C94" w:rsidRDefault="00B72F42" w:rsidP="00B72F4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color w:val="000000"/>
          <w:lang w:val="fr-FR"/>
        </w:rPr>
        <w:br w:type="page"/>
      </w:r>
      <w:r>
        <w:rPr>
          <w:color w:val="000000"/>
          <w:lang w:val="fr-FR"/>
        </w:rPr>
        <w:tab/>
      </w:r>
      <w:r w:rsidR="00E15507" w:rsidRPr="005D6CD4">
        <w:rPr>
          <w:lang w:val="fr-FR"/>
        </w:rPr>
        <w:t>Partie III</w:t>
      </w:r>
    </w:p>
    <w:p w:rsidR="00717C94" w:rsidRPr="00717C94" w:rsidRDefault="00717C94" w:rsidP="00717C9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717C94" w:rsidRPr="00717C94" w:rsidRDefault="00717C94" w:rsidP="00717C9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E15507" w:rsidRDefault="00717C94" w:rsidP="00B72F4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E15507" w:rsidRPr="005D6CD4">
        <w:rPr>
          <w:lang w:val="fr-FR"/>
        </w:rPr>
        <w:t>C</w:t>
      </w:r>
      <w:r w:rsidR="00E15507">
        <w:rPr>
          <w:lang w:val="fr-FR"/>
        </w:rPr>
        <w:t>onclusion</w:t>
      </w:r>
    </w:p>
    <w:p w:rsidR="00B72F42" w:rsidRPr="00B72F42" w:rsidRDefault="00B72F42" w:rsidP="00B72F42">
      <w:pPr>
        <w:pStyle w:val="SingleTxt"/>
        <w:spacing w:after="0" w:line="120" w:lineRule="exact"/>
        <w:rPr>
          <w:sz w:val="10"/>
          <w:lang w:val="fr-FR"/>
        </w:rPr>
      </w:pPr>
    </w:p>
    <w:p w:rsidR="00B72F42" w:rsidRPr="00B72F42" w:rsidRDefault="00B72F42" w:rsidP="00B72F42">
      <w:pPr>
        <w:pStyle w:val="SingleTxt"/>
        <w:spacing w:after="0" w:line="120" w:lineRule="exact"/>
        <w:rPr>
          <w:sz w:val="10"/>
          <w:lang w:val="fr-FR"/>
        </w:rPr>
      </w:pPr>
    </w:p>
    <w:p w:rsidR="00E15507" w:rsidRDefault="00B72F42" w:rsidP="00B72F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rPr>
      </w:pPr>
      <w:r>
        <w:rPr>
          <w:lang w:val="fr-FR"/>
        </w:rPr>
        <w:tab/>
      </w:r>
      <w:r w:rsidR="00E15507" w:rsidRPr="005D6CD4">
        <w:rPr>
          <w:lang w:val="fr-FR"/>
        </w:rPr>
        <w:t xml:space="preserve">1.0 </w:t>
      </w:r>
      <w:r>
        <w:rPr>
          <w:lang w:val="fr-FR"/>
        </w:rPr>
        <w:tab/>
      </w:r>
      <w:r w:rsidR="00E15507" w:rsidRPr="00717C94">
        <w:rPr>
          <w:i/>
          <w:lang w:val="fr-FR"/>
        </w:rPr>
        <w:t>Intégration de la Convention sur l</w:t>
      </w:r>
      <w:r w:rsidR="000A3D87" w:rsidRPr="00717C94">
        <w:rPr>
          <w:i/>
          <w:lang w:val="fr-FR"/>
        </w:rPr>
        <w:t>’</w:t>
      </w:r>
      <w:r w:rsidR="00E15507" w:rsidRPr="00717C94">
        <w:rPr>
          <w:i/>
          <w:lang w:val="fr-FR"/>
        </w:rPr>
        <w:t>élimination de toutes les formes de discrimination à l</w:t>
      </w:r>
      <w:r w:rsidR="000A3D87" w:rsidRPr="00717C94">
        <w:rPr>
          <w:i/>
          <w:lang w:val="fr-FR"/>
        </w:rPr>
        <w:t>’</w:t>
      </w:r>
      <w:r w:rsidR="00E15507" w:rsidRPr="00717C94">
        <w:rPr>
          <w:i/>
          <w:lang w:val="fr-FR"/>
        </w:rPr>
        <w:t>égard des femmes à la législation nationale</w:t>
      </w:r>
    </w:p>
    <w:p w:rsidR="009546E1" w:rsidRPr="009546E1" w:rsidRDefault="009546E1" w:rsidP="009546E1">
      <w:pPr>
        <w:pStyle w:val="SingleTxt"/>
        <w:spacing w:after="0" w:line="120" w:lineRule="exact"/>
        <w:rPr>
          <w:sz w:val="10"/>
          <w:lang w:val="fr-FR"/>
        </w:rPr>
      </w:pPr>
    </w:p>
    <w:p w:rsidR="00E15507" w:rsidRPr="009546E1" w:rsidRDefault="009546E1" w:rsidP="00AC2642">
      <w:pPr>
        <w:pStyle w:val="SingleTxt"/>
        <w:rPr>
          <w:bCs/>
          <w:i/>
          <w:lang w:val="fr-FR"/>
        </w:rPr>
      </w:pPr>
      <w:r>
        <w:rPr>
          <w:bCs/>
          <w:i/>
          <w:lang w:val="fr-FR"/>
        </w:rPr>
        <w:tab/>
      </w:r>
      <w:r w:rsidR="00E15507" w:rsidRPr="009546E1">
        <w:rPr>
          <w:bCs/>
          <w:i/>
          <w:lang w:val="fr-FR"/>
        </w:rPr>
        <w:t>Malgré le fait que la Convention sur l</w:t>
      </w:r>
      <w:r w:rsidR="000A3D87" w:rsidRPr="009546E1">
        <w:rPr>
          <w:bCs/>
          <w:i/>
          <w:lang w:val="fr-FR"/>
        </w:rPr>
        <w:t>’</w:t>
      </w:r>
      <w:r w:rsidR="00E15507" w:rsidRPr="009546E1">
        <w:rPr>
          <w:bCs/>
          <w:i/>
          <w:lang w:val="fr-FR"/>
        </w:rPr>
        <w:t>élimination de toutes les formes de discrimination à l</w:t>
      </w:r>
      <w:r w:rsidR="000A3D87" w:rsidRPr="009546E1">
        <w:rPr>
          <w:bCs/>
          <w:i/>
          <w:lang w:val="fr-FR"/>
        </w:rPr>
        <w:t>’</w:t>
      </w:r>
      <w:r w:rsidR="00E15507" w:rsidRPr="009546E1">
        <w:rPr>
          <w:bCs/>
          <w:i/>
          <w:lang w:val="fr-FR"/>
        </w:rPr>
        <w:t>égard des femmes ne soit pas encore assimilée, à cause du problème de procédures mentionné dans les précédents rapports périodique et le présent rapport, il convient de noter que l</w:t>
      </w:r>
      <w:r w:rsidR="000A3D87" w:rsidRPr="009546E1">
        <w:rPr>
          <w:bCs/>
          <w:i/>
          <w:lang w:val="fr-FR"/>
        </w:rPr>
        <w:t>’</w:t>
      </w:r>
      <w:r w:rsidR="00E15507" w:rsidRPr="009546E1">
        <w:rPr>
          <w:bCs/>
          <w:i/>
          <w:lang w:val="fr-FR"/>
        </w:rPr>
        <w:t>effet cumulé des mesures de réforme en cours relevées au paragraphe 15.2 du présent rapport, visent à préparer le terrain pour son incorporation dans les plus brefs délais dans la loi nigériane.</w:t>
      </w:r>
    </w:p>
    <w:p w:rsidR="00E15507" w:rsidRPr="005D6CD4" w:rsidRDefault="009546E1" w:rsidP="00AC2642">
      <w:pPr>
        <w:pStyle w:val="SingleTxt"/>
        <w:rPr>
          <w:b/>
          <w:bCs/>
          <w:i/>
          <w:lang w:val="fr-FR"/>
        </w:rPr>
      </w:pPr>
      <w:r>
        <w:rPr>
          <w:bCs/>
          <w:i/>
          <w:lang w:val="fr-FR"/>
        </w:rPr>
        <w:tab/>
      </w:r>
      <w:r w:rsidR="00E15507" w:rsidRPr="009546E1">
        <w:rPr>
          <w:bCs/>
          <w:i/>
          <w:lang w:val="fr-FR"/>
        </w:rPr>
        <w:t>Par ailleurs, à défaut de l</w:t>
      </w:r>
      <w:r w:rsidR="000A3D87" w:rsidRPr="009546E1">
        <w:rPr>
          <w:bCs/>
          <w:i/>
          <w:lang w:val="fr-FR"/>
        </w:rPr>
        <w:t>’</w:t>
      </w:r>
      <w:r w:rsidR="00E15507" w:rsidRPr="009546E1">
        <w:rPr>
          <w:bCs/>
          <w:i/>
          <w:lang w:val="fr-FR"/>
        </w:rPr>
        <w:t>intégration de la Convention à la législation nationale, aucune loi n</w:t>
      </w:r>
      <w:r w:rsidR="000A3D87" w:rsidRPr="009546E1">
        <w:rPr>
          <w:bCs/>
          <w:i/>
          <w:lang w:val="fr-FR"/>
        </w:rPr>
        <w:t>’</w:t>
      </w:r>
      <w:r w:rsidR="00E15507" w:rsidRPr="009546E1">
        <w:rPr>
          <w:bCs/>
          <w:i/>
          <w:lang w:val="fr-FR"/>
        </w:rPr>
        <w:t>empêche les tribunaux nigérians d</w:t>
      </w:r>
      <w:r w:rsidR="000A3D87" w:rsidRPr="009546E1">
        <w:rPr>
          <w:bCs/>
          <w:i/>
          <w:lang w:val="fr-FR"/>
        </w:rPr>
        <w:t>’</w:t>
      </w:r>
      <w:r w:rsidR="00E15507" w:rsidRPr="009546E1">
        <w:rPr>
          <w:bCs/>
          <w:i/>
          <w:lang w:val="fr-FR"/>
        </w:rPr>
        <w:t>appliquer les dispositions de la Convention lorsqu</w:t>
      </w:r>
      <w:r w:rsidR="000A3D87" w:rsidRPr="009546E1">
        <w:rPr>
          <w:bCs/>
          <w:i/>
          <w:lang w:val="fr-FR"/>
        </w:rPr>
        <w:t>’</w:t>
      </w:r>
      <w:r w:rsidR="00E15507" w:rsidRPr="009546E1">
        <w:rPr>
          <w:bCs/>
          <w:i/>
          <w:lang w:val="fr-FR"/>
        </w:rPr>
        <w:t>ils rendent des décisions sur les questions de non-discrimination et d</w:t>
      </w:r>
      <w:r w:rsidR="000A3D87" w:rsidRPr="009546E1">
        <w:rPr>
          <w:bCs/>
          <w:i/>
          <w:lang w:val="fr-FR"/>
        </w:rPr>
        <w:t>’</w:t>
      </w:r>
      <w:r w:rsidR="00E15507" w:rsidRPr="009546E1">
        <w:rPr>
          <w:bCs/>
          <w:i/>
          <w:lang w:val="fr-FR"/>
        </w:rPr>
        <w:t>égalité.</w:t>
      </w:r>
    </w:p>
    <w:p w:rsidR="009546E1" w:rsidRPr="009546E1" w:rsidRDefault="009546E1" w:rsidP="009546E1">
      <w:pPr>
        <w:pStyle w:val="SingleTxt"/>
        <w:spacing w:after="0" w:line="120" w:lineRule="exact"/>
        <w:rPr>
          <w:b/>
          <w:bCs/>
          <w:i/>
          <w:sz w:val="10"/>
          <w:lang w:val="fr-FR"/>
        </w:rPr>
      </w:pPr>
    </w:p>
    <w:p w:rsidR="00E15507" w:rsidRDefault="009546E1" w:rsidP="009546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Pr>
          <w:bCs/>
          <w:lang w:val="fr-FR"/>
        </w:rPr>
        <w:tab/>
      </w:r>
      <w:r w:rsidR="00E15507" w:rsidRPr="005D6CD4">
        <w:rPr>
          <w:bCs/>
          <w:lang w:val="fr-FR"/>
        </w:rPr>
        <w:t xml:space="preserve">2.0 </w:t>
      </w:r>
      <w:r>
        <w:rPr>
          <w:bCs/>
          <w:lang w:val="fr-FR"/>
        </w:rPr>
        <w:tab/>
      </w:r>
      <w:r w:rsidR="00E15507" w:rsidRPr="00717C94">
        <w:rPr>
          <w:bCs/>
          <w:lang w:val="fr-FR"/>
        </w:rPr>
        <w:t>O</w:t>
      </w:r>
      <w:r w:rsidRPr="00717C94">
        <w:rPr>
          <w:bCs/>
          <w:lang w:val="fr-FR"/>
        </w:rPr>
        <w:t>bligation</w:t>
      </w:r>
      <w:r w:rsidRPr="00717C94">
        <w:rPr>
          <w:lang w:val="fr-FR"/>
        </w:rPr>
        <w:t xml:space="preserve"> d’éliminer la discrimination</w:t>
      </w:r>
      <w:r w:rsidRPr="00717C94">
        <w:rPr>
          <w:b w:val="0"/>
          <w:bCs/>
          <w:lang w:val="fr-FR"/>
        </w:rPr>
        <w:t xml:space="preserve"> </w:t>
      </w:r>
    </w:p>
    <w:p w:rsidR="009546E1" w:rsidRPr="009546E1" w:rsidRDefault="009546E1" w:rsidP="009546E1">
      <w:pPr>
        <w:pStyle w:val="SingleTxt"/>
        <w:spacing w:after="0" w:line="120" w:lineRule="exact"/>
        <w:rPr>
          <w:sz w:val="10"/>
          <w:lang w:val="fr-FR"/>
        </w:rPr>
      </w:pPr>
    </w:p>
    <w:p w:rsidR="00E15507" w:rsidRDefault="00717C94" w:rsidP="00AC2642">
      <w:pPr>
        <w:pStyle w:val="SingleTxt"/>
        <w:rPr>
          <w:bCs/>
          <w:i/>
          <w:lang w:val="fr-FR"/>
        </w:rPr>
      </w:pPr>
      <w:r>
        <w:rPr>
          <w:bCs/>
          <w:i/>
          <w:lang w:val="fr-FR"/>
        </w:rPr>
        <w:tab/>
      </w:r>
      <w:r w:rsidR="00E15507" w:rsidRPr="009546E1">
        <w:rPr>
          <w:bCs/>
          <w:i/>
          <w:lang w:val="fr-FR"/>
        </w:rPr>
        <w:t>Le Nigéria a démontré dans une large mesure qu</w:t>
      </w:r>
      <w:r w:rsidR="000A3D87" w:rsidRPr="009546E1">
        <w:rPr>
          <w:bCs/>
          <w:i/>
          <w:lang w:val="fr-FR"/>
        </w:rPr>
        <w:t>’</w:t>
      </w:r>
      <w:r w:rsidR="00E15507" w:rsidRPr="009546E1">
        <w:rPr>
          <w:bCs/>
          <w:i/>
          <w:lang w:val="fr-FR"/>
        </w:rPr>
        <w:t>il avait l</w:t>
      </w:r>
      <w:r w:rsidR="000A3D87" w:rsidRPr="009546E1">
        <w:rPr>
          <w:bCs/>
          <w:i/>
          <w:lang w:val="fr-FR"/>
        </w:rPr>
        <w:t>’</w:t>
      </w:r>
      <w:r w:rsidR="00E15507" w:rsidRPr="009546E1">
        <w:rPr>
          <w:bCs/>
          <w:i/>
          <w:lang w:val="fr-FR"/>
        </w:rPr>
        <w:t>obligation et l</w:t>
      </w:r>
      <w:r w:rsidR="000A3D87" w:rsidRPr="009546E1">
        <w:rPr>
          <w:bCs/>
          <w:i/>
          <w:lang w:val="fr-FR"/>
        </w:rPr>
        <w:t>’</w:t>
      </w:r>
      <w:r w:rsidR="00E15507" w:rsidRPr="009546E1">
        <w:rPr>
          <w:bCs/>
          <w:i/>
          <w:lang w:val="fr-FR"/>
        </w:rPr>
        <w:t>intention d</w:t>
      </w:r>
      <w:r w:rsidR="000A3D87" w:rsidRPr="009546E1">
        <w:rPr>
          <w:bCs/>
          <w:i/>
          <w:lang w:val="fr-FR"/>
        </w:rPr>
        <w:t>’</w:t>
      </w:r>
      <w:r w:rsidR="00E15507" w:rsidRPr="009546E1">
        <w:rPr>
          <w:bCs/>
          <w:i/>
          <w:lang w:val="fr-FR"/>
        </w:rPr>
        <w:t>éliminer les discriminations comme le montrent le rapport actuel et les rapports antérieurs. Les indicateurs du présent rapport montrent que le Gouvernement, la société civile ainsi que les partenaires de développement ont déployé et continuent de déployer d</w:t>
      </w:r>
      <w:r w:rsidR="000A3D87" w:rsidRPr="009546E1">
        <w:rPr>
          <w:bCs/>
          <w:i/>
          <w:lang w:val="fr-FR"/>
        </w:rPr>
        <w:t>’</w:t>
      </w:r>
      <w:r w:rsidR="00E15507" w:rsidRPr="009546E1">
        <w:rPr>
          <w:bCs/>
          <w:i/>
          <w:lang w:val="fr-FR"/>
        </w:rPr>
        <w:t>intenses efforts en ce qui concerne les lois, les politiques et les actions de plaidoyer pour éliminer la discrimination contre les femmes au Nigéria.</w:t>
      </w:r>
    </w:p>
    <w:p w:rsidR="009546E1" w:rsidRPr="009546E1" w:rsidRDefault="009546E1" w:rsidP="009546E1">
      <w:pPr>
        <w:pStyle w:val="SingleTxt"/>
        <w:spacing w:after="0" w:line="120" w:lineRule="exact"/>
        <w:rPr>
          <w:bCs/>
          <w:i/>
          <w:sz w:val="10"/>
          <w:lang w:val="fr-FR"/>
        </w:rPr>
      </w:pPr>
    </w:p>
    <w:p w:rsidR="00E15507" w:rsidRDefault="009546E1" w:rsidP="009546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3.0</w:t>
      </w:r>
      <w:r>
        <w:rPr>
          <w:lang w:val="fr-FR"/>
        </w:rPr>
        <w:tab/>
      </w:r>
      <w:r w:rsidR="00E15507" w:rsidRPr="005D6CD4">
        <w:rPr>
          <w:lang w:val="fr-FR"/>
        </w:rPr>
        <w:t>S</w:t>
      </w:r>
      <w:r w:rsidRPr="005D6CD4">
        <w:rPr>
          <w:lang w:val="fr-FR"/>
        </w:rPr>
        <w:t>tatut des femmes en matière d</w:t>
      </w:r>
      <w:r>
        <w:rPr>
          <w:lang w:val="fr-FR"/>
        </w:rPr>
        <w:t>’</w:t>
      </w:r>
      <w:r w:rsidRPr="005D6CD4">
        <w:rPr>
          <w:lang w:val="fr-FR"/>
        </w:rPr>
        <w:t>éducation, de santé et dans la vie économique et sociale</w:t>
      </w:r>
    </w:p>
    <w:p w:rsidR="009546E1" w:rsidRPr="009546E1" w:rsidRDefault="009546E1" w:rsidP="009546E1">
      <w:pPr>
        <w:pStyle w:val="SingleTxt"/>
        <w:spacing w:after="0" w:line="120" w:lineRule="exact"/>
        <w:rPr>
          <w:sz w:val="10"/>
          <w:lang w:val="fr-FR"/>
        </w:rPr>
      </w:pPr>
    </w:p>
    <w:p w:rsidR="00E15507" w:rsidRPr="009546E1" w:rsidRDefault="009546E1" w:rsidP="00AC2642">
      <w:pPr>
        <w:pStyle w:val="SingleTxt"/>
        <w:rPr>
          <w:bCs/>
          <w:i/>
          <w:lang w:val="fr-FR"/>
        </w:rPr>
      </w:pPr>
      <w:r>
        <w:rPr>
          <w:bCs/>
          <w:i/>
          <w:lang w:val="fr-FR"/>
        </w:rPr>
        <w:tab/>
      </w:r>
      <w:r w:rsidR="00E15507" w:rsidRPr="009546E1">
        <w:rPr>
          <w:bCs/>
          <w:i/>
          <w:lang w:val="fr-FR"/>
        </w:rPr>
        <w:t>Malgré l</w:t>
      </w:r>
      <w:r w:rsidR="000A3D87" w:rsidRPr="009546E1">
        <w:rPr>
          <w:bCs/>
          <w:i/>
          <w:lang w:val="fr-FR"/>
        </w:rPr>
        <w:t>’</w:t>
      </w:r>
      <w:r w:rsidR="00E15507" w:rsidRPr="009546E1">
        <w:rPr>
          <w:bCs/>
          <w:i/>
          <w:lang w:val="fr-FR"/>
        </w:rPr>
        <w:t>existence de pratiques socioculturelles et de politiques discriminatoires qui constituent un frein à la promotion des femmes dans le domaine de l</w:t>
      </w:r>
      <w:r w:rsidR="000A3D87" w:rsidRPr="009546E1">
        <w:rPr>
          <w:bCs/>
          <w:i/>
          <w:lang w:val="fr-FR"/>
        </w:rPr>
        <w:t>’</w:t>
      </w:r>
      <w:r w:rsidR="00E15507" w:rsidRPr="009546E1">
        <w:rPr>
          <w:bCs/>
          <w:i/>
          <w:lang w:val="fr-FR"/>
        </w:rPr>
        <w:t>éducation, de la santé, dans la vie économique et sociale, on constate qu</w:t>
      </w:r>
      <w:r w:rsidR="000A3D87" w:rsidRPr="009546E1">
        <w:rPr>
          <w:bCs/>
          <w:i/>
          <w:lang w:val="fr-FR"/>
        </w:rPr>
        <w:t>’</w:t>
      </w:r>
      <w:r w:rsidR="00E15507" w:rsidRPr="009546E1">
        <w:rPr>
          <w:bCs/>
          <w:i/>
          <w:lang w:val="fr-FR"/>
        </w:rPr>
        <w:t>au cours de la période considérée, des mesures proactives ont été prises par les gouvernements à tous les niveaux pour donner progressivement à la femme une éducation de qualité et en quantité, améliorer son accès aux soins de santé et aux services sociaux et garantir ses chances au plan économique et politique.</w:t>
      </w:r>
    </w:p>
    <w:p w:rsidR="00E15507" w:rsidRDefault="009546E1" w:rsidP="00AC2642">
      <w:pPr>
        <w:pStyle w:val="SingleTxt"/>
        <w:rPr>
          <w:bCs/>
          <w:i/>
          <w:lang w:val="fr-FR"/>
        </w:rPr>
      </w:pPr>
      <w:r>
        <w:rPr>
          <w:bCs/>
          <w:i/>
          <w:lang w:val="fr-FR"/>
        </w:rPr>
        <w:tab/>
      </w:r>
      <w:r w:rsidR="00E15507" w:rsidRPr="009546E1">
        <w:rPr>
          <w:bCs/>
          <w:i/>
          <w:lang w:val="fr-FR"/>
        </w:rPr>
        <w:t>Les succès remportés par le Gouvernement dans les principaux domaines susmentionnés dont fait état le présent rapport sont essentiellement dus aux efforts de collaboration et de coopération des partenaires de développement, des bailleurs de fonds et aux campagnes et initiatives vigoureuses et soutenues lancées et organisées par des groupes de la société civile à travers le pays.</w:t>
      </w:r>
    </w:p>
    <w:p w:rsidR="009546E1" w:rsidRPr="009546E1" w:rsidRDefault="009546E1" w:rsidP="009546E1">
      <w:pPr>
        <w:pStyle w:val="SingleTxt"/>
        <w:spacing w:after="0" w:line="120" w:lineRule="exact"/>
        <w:rPr>
          <w:bCs/>
          <w:i/>
          <w:sz w:val="10"/>
          <w:lang w:val="fr-FR"/>
        </w:rPr>
      </w:pPr>
    </w:p>
    <w:p w:rsidR="00E15507" w:rsidRDefault="009546E1" w:rsidP="009546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bCs/>
          <w:lang w:val="fr-FR"/>
        </w:rPr>
        <w:tab/>
      </w:r>
      <w:r w:rsidR="00E15507" w:rsidRPr="005D6CD4">
        <w:rPr>
          <w:bCs/>
          <w:lang w:val="fr-FR"/>
        </w:rPr>
        <w:t xml:space="preserve">4.0 </w:t>
      </w:r>
      <w:r>
        <w:rPr>
          <w:bCs/>
          <w:lang w:val="fr-FR"/>
        </w:rPr>
        <w:tab/>
      </w:r>
      <w:r w:rsidR="00E15507" w:rsidRPr="005D6CD4">
        <w:rPr>
          <w:bCs/>
          <w:lang w:val="fr-FR"/>
        </w:rPr>
        <w:t>A</w:t>
      </w:r>
      <w:r w:rsidRPr="005D6CD4">
        <w:rPr>
          <w:bCs/>
          <w:lang w:val="fr-FR"/>
        </w:rPr>
        <w:t xml:space="preserve">utres </w:t>
      </w:r>
      <w:r w:rsidRPr="005D6CD4">
        <w:rPr>
          <w:lang w:val="fr-FR"/>
        </w:rPr>
        <w:t>obstacles empêchant les femmes de jouir de l</w:t>
      </w:r>
      <w:r>
        <w:rPr>
          <w:lang w:val="fr-FR"/>
        </w:rPr>
        <w:t>’</w:t>
      </w:r>
      <w:r w:rsidRPr="005D6CD4">
        <w:rPr>
          <w:lang w:val="fr-FR"/>
        </w:rPr>
        <w:t>égalité</w:t>
      </w:r>
    </w:p>
    <w:p w:rsidR="009546E1" w:rsidRPr="009546E1" w:rsidRDefault="009546E1" w:rsidP="009546E1">
      <w:pPr>
        <w:pStyle w:val="SingleTxt"/>
        <w:spacing w:after="0" w:line="120" w:lineRule="exact"/>
        <w:rPr>
          <w:sz w:val="10"/>
          <w:lang w:val="fr-FR"/>
        </w:rPr>
      </w:pPr>
    </w:p>
    <w:p w:rsidR="00E15507" w:rsidRDefault="009546E1" w:rsidP="00AC2642">
      <w:pPr>
        <w:pStyle w:val="SingleTxt"/>
        <w:rPr>
          <w:bCs/>
          <w:i/>
          <w:lang w:val="fr-FR"/>
        </w:rPr>
      </w:pPr>
      <w:r>
        <w:rPr>
          <w:b/>
          <w:bCs/>
          <w:i/>
          <w:lang w:val="fr-FR"/>
        </w:rPr>
        <w:tab/>
      </w:r>
      <w:r w:rsidR="00E15507" w:rsidRPr="009546E1">
        <w:rPr>
          <w:bCs/>
          <w:i/>
          <w:lang w:val="fr-FR"/>
        </w:rPr>
        <w:t>Le niveau et les indicateurs de développement contenus dans le rapport montrent que plusieurs facteurs expliquent l</w:t>
      </w:r>
      <w:r w:rsidR="000A3D87" w:rsidRPr="009546E1">
        <w:rPr>
          <w:bCs/>
          <w:i/>
          <w:lang w:val="fr-FR"/>
        </w:rPr>
        <w:t>’</w:t>
      </w:r>
      <w:r w:rsidR="00E15507" w:rsidRPr="009546E1">
        <w:rPr>
          <w:bCs/>
          <w:i/>
          <w:lang w:val="fr-FR"/>
        </w:rPr>
        <w:t>inégalité d</w:t>
      </w:r>
      <w:r w:rsidR="000A3D87" w:rsidRPr="009546E1">
        <w:rPr>
          <w:bCs/>
          <w:i/>
          <w:lang w:val="fr-FR"/>
        </w:rPr>
        <w:t>’</w:t>
      </w:r>
      <w:r w:rsidR="00E15507" w:rsidRPr="009546E1">
        <w:rPr>
          <w:bCs/>
          <w:i/>
          <w:lang w:val="fr-FR"/>
        </w:rPr>
        <w:t>accès des femmes à la justice et aux ressources économiques et la persistance de l</w:t>
      </w:r>
      <w:r w:rsidR="000A3D87" w:rsidRPr="009546E1">
        <w:rPr>
          <w:bCs/>
          <w:i/>
          <w:lang w:val="fr-FR"/>
        </w:rPr>
        <w:t>’</w:t>
      </w:r>
      <w:r w:rsidR="00E15507" w:rsidRPr="009546E1">
        <w:rPr>
          <w:bCs/>
          <w:i/>
          <w:lang w:val="fr-FR"/>
        </w:rPr>
        <w:t>inégalité dans le mariage et les relations familiales au Nigéria. Toutefois, les reformes engagées par le Gouvernement associées à d</w:t>
      </w:r>
      <w:r w:rsidR="000A3D87" w:rsidRPr="009546E1">
        <w:rPr>
          <w:bCs/>
          <w:i/>
          <w:lang w:val="fr-FR"/>
        </w:rPr>
        <w:t>’</w:t>
      </w:r>
      <w:r w:rsidR="00E15507" w:rsidRPr="009546E1">
        <w:rPr>
          <w:bCs/>
          <w:i/>
          <w:lang w:val="fr-FR"/>
        </w:rPr>
        <w:t>autres initiatives mises en œuvre par des ONG et soutenues par les bailleurs de fonds visent à mettre fin à ces obstacles de manière systématique et progressive et à promouvoir la condition de la femme.</w:t>
      </w:r>
    </w:p>
    <w:p w:rsidR="00717C94" w:rsidRPr="00717C94" w:rsidRDefault="00717C94" w:rsidP="00717C94">
      <w:pPr>
        <w:pStyle w:val="SingleTxt"/>
        <w:spacing w:after="0" w:line="120" w:lineRule="exact"/>
        <w:rPr>
          <w:bCs/>
          <w:i/>
          <w:sz w:val="10"/>
          <w:lang w:val="fr-FR"/>
        </w:rPr>
      </w:pPr>
    </w:p>
    <w:p w:rsidR="00E15507" w:rsidRDefault="009546E1" w:rsidP="009546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E15507" w:rsidRPr="005D6CD4">
        <w:rPr>
          <w:lang w:val="fr-FR"/>
        </w:rPr>
        <w:t xml:space="preserve">5.0 </w:t>
      </w:r>
      <w:r>
        <w:rPr>
          <w:lang w:val="fr-FR"/>
        </w:rPr>
        <w:tab/>
      </w:r>
      <w:r w:rsidR="00E15507" w:rsidRPr="005D6CD4">
        <w:rPr>
          <w:lang w:val="fr-FR"/>
        </w:rPr>
        <w:t>P</w:t>
      </w:r>
      <w:r w:rsidRPr="005D6CD4">
        <w:rPr>
          <w:lang w:val="fr-FR"/>
        </w:rPr>
        <w:t>erspectives d</w:t>
      </w:r>
      <w:r>
        <w:rPr>
          <w:lang w:val="fr-FR"/>
        </w:rPr>
        <w:t>’</w:t>
      </w:r>
      <w:r w:rsidRPr="005D6CD4">
        <w:rPr>
          <w:lang w:val="fr-FR"/>
        </w:rPr>
        <w:t>avenir</w:t>
      </w:r>
    </w:p>
    <w:p w:rsidR="009546E1" w:rsidRPr="009546E1" w:rsidRDefault="009546E1" w:rsidP="009546E1">
      <w:pPr>
        <w:pStyle w:val="SingleTxt"/>
        <w:spacing w:after="0" w:line="120" w:lineRule="exact"/>
        <w:rPr>
          <w:sz w:val="10"/>
          <w:lang w:val="fr-FR"/>
        </w:rPr>
      </w:pPr>
    </w:p>
    <w:p w:rsidR="00E15507" w:rsidRPr="009546E1" w:rsidRDefault="009546E1" w:rsidP="00AC2642">
      <w:pPr>
        <w:pStyle w:val="SingleTxt"/>
        <w:rPr>
          <w:bCs/>
          <w:i/>
          <w:lang w:val="fr-FR"/>
        </w:rPr>
      </w:pPr>
      <w:r>
        <w:rPr>
          <w:b/>
          <w:bCs/>
          <w:i/>
          <w:lang w:val="fr-FR"/>
        </w:rPr>
        <w:tab/>
      </w:r>
      <w:r w:rsidR="00E15507" w:rsidRPr="009546E1">
        <w:rPr>
          <w:bCs/>
          <w:i/>
          <w:lang w:val="fr-FR"/>
        </w:rPr>
        <w:t>Des réformes sont en cours dans la plupart des secteurs de l</w:t>
      </w:r>
      <w:r w:rsidR="000A3D87" w:rsidRPr="009546E1">
        <w:rPr>
          <w:bCs/>
          <w:i/>
          <w:lang w:val="fr-FR"/>
        </w:rPr>
        <w:t>’</w:t>
      </w:r>
      <w:r w:rsidR="00E15507" w:rsidRPr="009546E1">
        <w:rPr>
          <w:bCs/>
          <w:i/>
          <w:lang w:val="fr-FR"/>
        </w:rPr>
        <w:t>économie nigériane visant à prendre systématiquement en compte les questions d</w:t>
      </w:r>
      <w:r w:rsidR="000A3D87" w:rsidRPr="009546E1">
        <w:rPr>
          <w:bCs/>
          <w:i/>
          <w:lang w:val="fr-FR"/>
        </w:rPr>
        <w:t>’</w:t>
      </w:r>
      <w:r w:rsidR="00E15507" w:rsidRPr="009546E1">
        <w:rPr>
          <w:bCs/>
          <w:i/>
          <w:lang w:val="fr-FR"/>
        </w:rPr>
        <w:t>égalité des sexes dans les lois, les politiques, la gestion des affaires publiques, la politique et l</w:t>
      </w:r>
      <w:r w:rsidR="000A3D87" w:rsidRPr="009546E1">
        <w:rPr>
          <w:bCs/>
          <w:i/>
          <w:lang w:val="fr-FR"/>
        </w:rPr>
        <w:t>’</w:t>
      </w:r>
      <w:r w:rsidR="00E15507" w:rsidRPr="009546E1">
        <w:rPr>
          <w:bCs/>
          <w:i/>
          <w:lang w:val="fr-FR"/>
        </w:rPr>
        <w:t>économie, mais le Gouvernement doit redoubler d</w:t>
      </w:r>
      <w:r w:rsidR="000A3D87" w:rsidRPr="009546E1">
        <w:rPr>
          <w:bCs/>
          <w:i/>
          <w:lang w:val="fr-FR"/>
        </w:rPr>
        <w:t>’</w:t>
      </w:r>
      <w:r w:rsidR="00E15507" w:rsidRPr="009546E1">
        <w:rPr>
          <w:bCs/>
          <w:i/>
          <w:lang w:val="fr-FR"/>
        </w:rPr>
        <w:t>effort en veillant à prévoir des crédits budgétaires et à les décaisser à temps en faveur de programmes et activités destinés à assurer l</w:t>
      </w:r>
      <w:r w:rsidR="000A3D87" w:rsidRPr="009546E1">
        <w:rPr>
          <w:bCs/>
          <w:i/>
          <w:lang w:val="fr-FR"/>
        </w:rPr>
        <w:t>’</w:t>
      </w:r>
      <w:r w:rsidR="00E15507" w:rsidRPr="009546E1">
        <w:rPr>
          <w:bCs/>
          <w:i/>
          <w:lang w:val="fr-FR"/>
        </w:rPr>
        <w:t>égalité des sexes.</w:t>
      </w:r>
    </w:p>
    <w:p w:rsidR="00E15507" w:rsidRPr="005D6CD4" w:rsidRDefault="009546E1" w:rsidP="00AC2642">
      <w:pPr>
        <w:pStyle w:val="SingleTxt"/>
        <w:rPr>
          <w:b/>
          <w:bCs/>
          <w:i/>
          <w:lang w:val="fr-FR"/>
        </w:rPr>
      </w:pPr>
      <w:r>
        <w:rPr>
          <w:bCs/>
          <w:i/>
          <w:lang w:val="fr-FR"/>
        </w:rPr>
        <w:tab/>
      </w:r>
      <w:r w:rsidR="00E15507" w:rsidRPr="009546E1">
        <w:rPr>
          <w:bCs/>
          <w:i/>
          <w:lang w:val="fr-FR"/>
        </w:rPr>
        <w:t>Par ailleurs, il faut une volonté politique soutenue pour prendre progressivement en compte les questions d</w:t>
      </w:r>
      <w:r w:rsidR="000A3D87" w:rsidRPr="009546E1">
        <w:rPr>
          <w:bCs/>
          <w:i/>
          <w:lang w:val="fr-FR"/>
        </w:rPr>
        <w:t>’</w:t>
      </w:r>
      <w:r w:rsidR="00E15507" w:rsidRPr="009546E1">
        <w:rPr>
          <w:bCs/>
          <w:i/>
          <w:lang w:val="fr-FR"/>
        </w:rPr>
        <w:t>égalité des sexes dans l</w:t>
      </w:r>
      <w:r w:rsidR="000A3D87" w:rsidRPr="009546E1">
        <w:rPr>
          <w:bCs/>
          <w:i/>
          <w:lang w:val="fr-FR"/>
        </w:rPr>
        <w:t>’</w:t>
      </w:r>
      <w:r w:rsidR="00E15507" w:rsidRPr="009546E1">
        <w:rPr>
          <w:bCs/>
          <w:i/>
          <w:lang w:val="fr-FR"/>
        </w:rPr>
        <w:t>élaboration du budget, la gestion des affaires publiques, la santé, l</w:t>
      </w:r>
      <w:r w:rsidR="000A3D87" w:rsidRPr="009546E1">
        <w:rPr>
          <w:bCs/>
          <w:i/>
          <w:lang w:val="fr-FR"/>
        </w:rPr>
        <w:t>’</w:t>
      </w:r>
      <w:r w:rsidR="00E15507" w:rsidRPr="009546E1">
        <w:rPr>
          <w:bCs/>
          <w:i/>
          <w:lang w:val="fr-FR"/>
        </w:rPr>
        <w:t>élaboration de la constitution, l</w:t>
      </w:r>
      <w:r w:rsidR="000A3D87" w:rsidRPr="009546E1">
        <w:rPr>
          <w:bCs/>
          <w:i/>
          <w:lang w:val="fr-FR"/>
        </w:rPr>
        <w:t>’</w:t>
      </w:r>
      <w:r w:rsidR="00E15507" w:rsidRPr="009546E1">
        <w:rPr>
          <w:bCs/>
          <w:i/>
          <w:lang w:val="fr-FR"/>
        </w:rPr>
        <w:t>accès aux ressources économiques ainsi qu</w:t>
      </w:r>
      <w:r w:rsidR="000A3D87" w:rsidRPr="009546E1">
        <w:rPr>
          <w:bCs/>
          <w:i/>
          <w:lang w:val="fr-FR"/>
        </w:rPr>
        <w:t>’</w:t>
      </w:r>
      <w:r w:rsidR="00E15507" w:rsidRPr="009546E1">
        <w:rPr>
          <w:bCs/>
          <w:i/>
          <w:lang w:val="fr-FR"/>
        </w:rPr>
        <w:t>aux services sociaux</w:t>
      </w:r>
      <w:r w:rsidR="00E15507" w:rsidRPr="005D6CD4">
        <w:rPr>
          <w:b/>
          <w:bCs/>
          <w:i/>
          <w:lang w:val="fr-FR"/>
        </w:rPr>
        <w:t xml:space="preserve">. </w:t>
      </w:r>
    </w:p>
    <w:p w:rsidR="003A6F57" w:rsidRDefault="009546E1" w:rsidP="00AC2642">
      <w:pPr>
        <w:pStyle w:val="SingleTxt"/>
        <w:rPr>
          <w:i/>
          <w:lang w:val="fr-FR"/>
        </w:rPr>
      </w:pPr>
      <w:r>
        <w:rPr>
          <w:lang w:val="fr-FR"/>
        </w:rPr>
        <w:tab/>
      </w:r>
      <w:r w:rsidR="00E15507" w:rsidRPr="009546E1">
        <w:rPr>
          <w:i/>
          <w:lang w:val="fr-FR"/>
        </w:rPr>
        <w:t>Il faudrait en outre renforcer les capacités humaines, techniques, matérielles et financières des groupes de la société civile et des autres organismes de promotion de l</w:t>
      </w:r>
      <w:r w:rsidR="000A3D87" w:rsidRPr="009546E1">
        <w:rPr>
          <w:i/>
          <w:lang w:val="fr-FR"/>
        </w:rPr>
        <w:t>’</w:t>
      </w:r>
      <w:r w:rsidR="00E15507" w:rsidRPr="009546E1">
        <w:rPr>
          <w:i/>
          <w:lang w:val="fr-FR"/>
        </w:rPr>
        <w:t>égalité des sexes à tous les niveaux, pour leur permettre de suivre et évaluer de manière efficace les mesures de réforme et d</w:t>
      </w:r>
      <w:r w:rsidR="000A3D87" w:rsidRPr="009546E1">
        <w:rPr>
          <w:i/>
          <w:lang w:val="fr-FR"/>
        </w:rPr>
        <w:t>’</w:t>
      </w:r>
      <w:r w:rsidR="00E15507" w:rsidRPr="009546E1">
        <w:rPr>
          <w:i/>
          <w:lang w:val="fr-FR"/>
        </w:rPr>
        <w:t>autres initiatives relevées dans le présent rapport.</w:t>
      </w:r>
    </w:p>
    <w:p w:rsidR="009546E1" w:rsidRPr="009546E1" w:rsidRDefault="009546E1" w:rsidP="009546E1">
      <w:pPr>
        <w:pStyle w:val="SingleTxt"/>
        <w:spacing w:after="0" w:line="240" w:lineRule="auto"/>
        <w:rPr>
          <w:b/>
          <w:i/>
        </w:rPr>
      </w:pPr>
      <w:r>
        <w:rPr>
          <w:b/>
          <w:i/>
          <w:noProof/>
          <w:w w:val="100"/>
          <w:lang w:val="en-US"/>
        </w:rPr>
        <w:pict>
          <v:line id="_x0000_s2155" style="position:absolute;left:0;text-align:left;z-index:17;mso-position-horizontal-relative:page" from="270pt,24pt" to="342pt,24pt" strokeweight=".25pt">
            <w10:wrap anchorx="page"/>
          </v:line>
        </w:pict>
      </w:r>
    </w:p>
    <w:sectPr w:rsidR="009546E1" w:rsidRPr="009546E1">
      <w:type w:val="continuous"/>
      <w:pgSz w:w="12240" w:h="15840" w:code="1"/>
      <w:pgMar w:top="1742" w:right="1195" w:bottom="1898" w:left="1195" w:header="576" w:footer="1030" w:gutter="0"/>
      <w:pgNumType w:start="1"/>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07-07-13T15:47:00Z" w:initials="Start">
    <w:p w:rsidR="00D35192" w:rsidRPr="00D35192" w:rsidRDefault="00D32F3D">
      <w:pPr>
        <w:pStyle w:val="CommentText"/>
        <w:rPr>
          <w:lang w:val="en-CA"/>
        </w:rPr>
      </w:pPr>
      <w:r>
        <w:fldChar w:fldCharType="begin"/>
      </w:r>
      <w:r w:rsidRPr="00D35192">
        <w:rPr>
          <w:lang w:val="en-CA"/>
        </w:rPr>
        <w:instrText>PAGE \# "'Page: '#'</w:instrText>
      </w:r>
      <w:r w:rsidRPr="00D35192">
        <w:rPr>
          <w:lang w:val="en-CA"/>
        </w:rPr>
        <w:br/>
        <w:instrText>'"</w:instrText>
      </w:r>
      <w:r w:rsidRPr="00D35192">
        <w:rPr>
          <w:rStyle w:val="CommentReference"/>
          <w:lang w:val="en-CA"/>
        </w:rPr>
        <w:instrText xml:space="preserve">  </w:instrText>
      </w:r>
      <w:r>
        <w:fldChar w:fldCharType="end"/>
      </w:r>
      <w:r>
        <w:rPr>
          <w:rStyle w:val="CommentReference"/>
        </w:rPr>
        <w:annotationRef/>
      </w:r>
      <w:r w:rsidR="00D35192" w:rsidRPr="00D35192">
        <w:rPr>
          <w:lang w:val="en-CA"/>
        </w:rPr>
        <w:t>&lt;&lt;ODS JOB NO&gt;&gt;N0668785F&lt;&lt;ODS JOB NO&gt;&gt;</w:t>
      </w:r>
    </w:p>
    <w:p w:rsidR="00D35192" w:rsidRDefault="00D35192">
      <w:pPr>
        <w:pStyle w:val="CommentText"/>
      </w:pPr>
      <w:r>
        <w:t>&lt;&lt;ODS DOC SYMBOL1&gt;&gt;CEDAW/C/NGA/6&lt;&lt;ODS DOC SYMBOL1&gt;&gt;</w:t>
      </w:r>
    </w:p>
    <w:p w:rsidR="00D32F3D" w:rsidRDefault="00D35192">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F32" w:rsidRDefault="006E5F32">
      <w:r>
        <w:separator/>
      </w:r>
    </w:p>
  </w:endnote>
  <w:endnote w:type="continuationSeparator" w:id="0">
    <w:p w:rsidR="006E5F32" w:rsidRDefault="006E5F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12cpi">
    <w:charset w:val="00"/>
    <w:family w:val="auto"/>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rcode 3 of 9 by request">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mall Fonts">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insideH w:val="single" w:sz="4" w:space="0" w:color="auto"/>
      </w:tblBorders>
      <w:tblLayout w:type="fixed"/>
      <w:tblLook w:val="0000"/>
    </w:tblPr>
    <w:tblGrid>
      <w:gridCol w:w="5033"/>
      <w:gridCol w:w="5033"/>
    </w:tblGrid>
    <w:tr w:rsidR="00D32F3D">
      <w:tblPrEx>
        <w:tblCellMar>
          <w:top w:w="0" w:type="dxa"/>
          <w:bottom w:w="0" w:type="dxa"/>
        </w:tblCellMar>
      </w:tblPrEx>
      <w:tc>
        <w:tcPr>
          <w:tcW w:w="5033" w:type="dxa"/>
          <w:vAlign w:val="bottom"/>
        </w:tcPr>
        <w:p w:rsidR="00D32F3D" w:rsidRDefault="00D32F3D">
          <w:pPr>
            <w:pStyle w:val="Footer"/>
          </w:pPr>
          <w:fldSimple w:instr=" PAGE  \* MERGEFORMAT ">
            <w:r w:rsidR="00D35192">
              <w:t>2</w:t>
            </w:r>
          </w:fldSimple>
        </w:p>
      </w:tc>
      <w:tc>
        <w:tcPr>
          <w:tcW w:w="5033" w:type="dxa"/>
          <w:vAlign w:val="bottom"/>
        </w:tcPr>
        <w:p w:rsidR="00D32F3D" w:rsidRDefault="00D35192">
          <w:pPr>
            <w:pStyle w:val="Footer"/>
            <w:jc w:val="right"/>
            <w:rPr>
              <w:b w:val="0"/>
              <w:sz w:val="14"/>
            </w:rPr>
          </w:pPr>
          <w:r>
            <w:rPr>
              <w:b w:val="0"/>
              <w:sz w:val="14"/>
            </w:rPr>
            <w:t>06-68785</w:t>
          </w:r>
        </w:p>
      </w:tc>
    </w:tr>
  </w:tbl>
  <w:p w:rsidR="00D32F3D" w:rsidRDefault="00D32F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insideH w:val="single" w:sz="4" w:space="0" w:color="auto"/>
      </w:tblBorders>
      <w:tblLayout w:type="fixed"/>
      <w:tblLook w:val="0000"/>
    </w:tblPr>
    <w:tblGrid>
      <w:gridCol w:w="5033"/>
      <w:gridCol w:w="5033"/>
    </w:tblGrid>
    <w:tr w:rsidR="00D32F3D">
      <w:tblPrEx>
        <w:tblCellMar>
          <w:top w:w="0" w:type="dxa"/>
          <w:bottom w:w="0" w:type="dxa"/>
        </w:tblCellMar>
      </w:tblPrEx>
      <w:tc>
        <w:tcPr>
          <w:tcW w:w="5033" w:type="dxa"/>
          <w:vAlign w:val="bottom"/>
        </w:tcPr>
        <w:p w:rsidR="00D35192" w:rsidRDefault="00D35192">
          <w:pPr>
            <w:pStyle w:val="Footer"/>
            <w:rPr>
              <w:b w:val="0"/>
              <w:sz w:val="14"/>
            </w:rPr>
          </w:pPr>
          <w:r>
            <w:rPr>
              <w:b w:val="0"/>
              <w:sz w:val="14"/>
            </w:rPr>
            <w:t>06-68785</w:t>
          </w:r>
        </w:p>
      </w:tc>
      <w:tc>
        <w:tcPr>
          <w:tcW w:w="5033" w:type="dxa"/>
          <w:vAlign w:val="bottom"/>
        </w:tcPr>
        <w:p w:rsidR="00D32F3D" w:rsidRDefault="00D32F3D">
          <w:pPr>
            <w:pStyle w:val="Footer"/>
            <w:jc w:val="right"/>
          </w:pPr>
          <w:fldSimple w:instr=" PAGE  \* MERGEFORMAT ">
            <w:r w:rsidR="00D35192">
              <w:t>69</w:t>
            </w:r>
          </w:fldSimple>
        </w:p>
      </w:tc>
    </w:tr>
  </w:tbl>
  <w:p w:rsidR="00D32F3D" w:rsidRDefault="00D32F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192" w:rsidRDefault="00D35192">
    <w:pPr>
      <w:pStyle w:val="Footer"/>
    </w:pPr>
  </w:p>
  <w:p w:rsidR="00D35192" w:rsidRDefault="00D35192" w:rsidP="00D35192">
    <w:pPr>
      <w:spacing w:line="240" w:lineRule="auto"/>
    </w:pPr>
    <w:r>
      <w:t>06-68785 (F)</w:t>
    </w:r>
  </w:p>
  <w:p w:rsidR="00D32F3D" w:rsidRPr="00D35192" w:rsidRDefault="00D35192" w:rsidP="00D35192">
    <w:pPr>
      <w:spacing w:before="80" w:line="210" w:lineRule="exact"/>
      <w:rPr>
        <w:rFonts w:ascii="Barcode 3 of 9 by request" w:hAnsi="Barcode 3 of 9 by request"/>
        <w:w w:val="100"/>
        <w:sz w:val="24"/>
      </w:rPr>
    </w:pPr>
    <w:r>
      <w:rPr>
        <w:rFonts w:ascii="Barcode 3 of 9 by request" w:hAnsi="Barcode 3 of 9 by request"/>
        <w:w w:val="100"/>
        <w:sz w:val="24"/>
      </w:rPr>
      <w:t>*0668785*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F32" w:rsidRDefault="006E5F32">
      <w:r>
        <w:separator/>
      </w:r>
    </w:p>
  </w:footnote>
  <w:footnote w:type="continuationSeparator" w:id="0">
    <w:p w:rsidR="006E5F32" w:rsidRDefault="006E5F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D35192">
      <w:tblPrEx>
        <w:tblCellMar>
          <w:top w:w="0" w:type="dxa"/>
          <w:bottom w:w="0" w:type="dxa"/>
        </w:tblCellMar>
      </w:tblPrEx>
      <w:trPr>
        <w:trHeight w:hRule="exact" w:val="864"/>
      </w:trPr>
      <w:tc>
        <w:tcPr>
          <w:tcW w:w="4838" w:type="dxa"/>
          <w:shd w:val="clear" w:color="auto" w:fill="auto"/>
          <w:vAlign w:val="bottom"/>
        </w:tcPr>
        <w:p w:rsidR="00D35192" w:rsidRPr="00D35192" w:rsidRDefault="00D35192" w:rsidP="00D35192">
          <w:pPr>
            <w:pStyle w:val="Header"/>
            <w:spacing w:after="80"/>
            <w:rPr>
              <w:b/>
            </w:rPr>
          </w:pPr>
          <w:fldSimple w:instr=" DOCVARIABLE &quot;sss1&quot; \* MERGEFORMAT ">
            <w:r>
              <w:rPr>
                <w:b/>
              </w:rPr>
              <w:t>CEDAW/C/NGA/6</w:t>
            </w:r>
          </w:fldSimple>
        </w:p>
      </w:tc>
      <w:tc>
        <w:tcPr>
          <w:tcW w:w="4995" w:type="dxa"/>
          <w:shd w:val="clear" w:color="auto" w:fill="auto"/>
          <w:vAlign w:val="bottom"/>
        </w:tcPr>
        <w:p w:rsidR="00D35192" w:rsidRDefault="00D35192" w:rsidP="00D35192">
          <w:pPr>
            <w:pStyle w:val="Header"/>
          </w:pPr>
        </w:p>
      </w:tc>
    </w:tr>
  </w:tbl>
  <w:p w:rsidR="00D32F3D" w:rsidRPr="00D35192" w:rsidRDefault="00D32F3D" w:rsidP="00D351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D35192">
      <w:tblPrEx>
        <w:tblCellMar>
          <w:top w:w="0" w:type="dxa"/>
          <w:bottom w:w="0" w:type="dxa"/>
        </w:tblCellMar>
      </w:tblPrEx>
      <w:trPr>
        <w:trHeight w:hRule="exact" w:val="864"/>
      </w:trPr>
      <w:tc>
        <w:tcPr>
          <w:tcW w:w="4838" w:type="dxa"/>
          <w:shd w:val="clear" w:color="auto" w:fill="auto"/>
          <w:vAlign w:val="bottom"/>
        </w:tcPr>
        <w:p w:rsidR="00D35192" w:rsidRDefault="00D35192" w:rsidP="00D35192">
          <w:pPr>
            <w:pStyle w:val="Header"/>
          </w:pPr>
        </w:p>
      </w:tc>
      <w:tc>
        <w:tcPr>
          <w:tcW w:w="4995" w:type="dxa"/>
          <w:shd w:val="clear" w:color="auto" w:fill="auto"/>
          <w:vAlign w:val="bottom"/>
        </w:tcPr>
        <w:p w:rsidR="00D35192" w:rsidRPr="00D35192" w:rsidRDefault="00D35192" w:rsidP="00D35192">
          <w:pPr>
            <w:pStyle w:val="Header"/>
            <w:spacing w:after="80"/>
            <w:jc w:val="right"/>
            <w:rPr>
              <w:b/>
            </w:rPr>
          </w:pPr>
          <w:fldSimple w:instr=" DOCVARIABLE &quot;sss1&quot; \* MERGEFORMAT ">
            <w:r>
              <w:rPr>
                <w:b/>
              </w:rPr>
              <w:t>CEDAW/C/NGA/6</w:t>
            </w:r>
          </w:fldSimple>
        </w:p>
      </w:tc>
    </w:tr>
  </w:tbl>
  <w:p w:rsidR="00D32F3D" w:rsidRPr="00D35192" w:rsidRDefault="00D32F3D" w:rsidP="00D351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67"/>
      <w:gridCol w:w="1872"/>
      <w:gridCol w:w="245"/>
      <w:gridCol w:w="3110"/>
      <w:gridCol w:w="245"/>
      <w:gridCol w:w="3168"/>
      <w:gridCol w:w="12"/>
    </w:tblGrid>
    <w:tr w:rsidR="00D32F3D">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D32F3D" w:rsidRDefault="00D32F3D">
          <w:pPr>
            <w:pStyle w:val="Header"/>
            <w:spacing w:after="120"/>
          </w:pPr>
        </w:p>
      </w:tc>
      <w:tc>
        <w:tcPr>
          <w:tcW w:w="1872" w:type="dxa"/>
          <w:tcBorders>
            <w:top w:val="nil"/>
            <w:left w:val="nil"/>
            <w:bottom w:val="nil"/>
            <w:right w:val="nil"/>
          </w:tcBorders>
          <w:vAlign w:val="bottom"/>
        </w:tcPr>
        <w:p w:rsidR="00D32F3D" w:rsidRDefault="00D32F3D">
          <w:pPr>
            <w:pStyle w:val="HCh"/>
            <w:spacing w:after="80"/>
            <w:rPr>
              <w:b w:val="0"/>
              <w:spacing w:val="2"/>
              <w:w w:val="96"/>
            </w:rPr>
          </w:pPr>
          <w:r>
            <w:rPr>
              <w:b w:val="0"/>
              <w:spacing w:val="2"/>
              <w:w w:val="96"/>
            </w:rPr>
            <w:t>Nations Unies</w:t>
          </w:r>
        </w:p>
      </w:tc>
      <w:tc>
        <w:tcPr>
          <w:tcW w:w="245" w:type="dxa"/>
          <w:tcBorders>
            <w:top w:val="nil"/>
            <w:left w:val="nil"/>
            <w:bottom w:val="nil"/>
            <w:right w:val="nil"/>
          </w:tcBorders>
          <w:vAlign w:val="bottom"/>
        </w:tcPr>
        <w:p w:rsidR="00D32F3D" w:rsidRDefault="00D32F3D">
          <w:pPr>
            <w:pStyle w:val="Header"/>
            <w:spacing w:after="120"/>
          </w:pPr>
        </w:p>
      </w:tc>
      <w:tc>
        <w:tcPr>
          <w:tcW w:w="6523" w:type="dxa"/>
          <w:gridSpan w:val="3"/>
          <w:tcBorders>
            <w:top w:val="nil"/>
            <w:left w:val="nil"/>
            <w:bottom w:val="nil"/>
            <w:right w:val="nil"/>
          </w:tcBorders>
          <w:vAlign w:val="bottom"/>
        </w:tcPr>
        <w:p w:rsidR="00D32F3D" w:rsidRPr="00D35192" w:rsidRDefault="00D35192" w:rsidP="00D35192">
          <w:pPr>
            <w:spacing w:after="80" w:line="240" w:lineRule="auto"/>
            <w:jc w:val="right"/>
            <w:rPr>
              <w:position w:val="-4"/>
            </w:rPr>
          </w:pPr>
          <w:r>
            <w:rPr>
              <w:position w:val="-4"/>
              <w:sz w:val="40"/>
            </w:rPr>
            <w:t>CEDAW</w:t>
          </w:r>
          <w:r>
            <w:rPr>
              <w:position w:val="-4"/>
            </w:rPr>
            <w:t>/C/NGA/6</w:t>
          </w:r>
        </w:p>
      </w:tc>
    </w:tr>
    <w:tr w:rsidR="00D32F3D">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D32F3D" w:rsidRDefault="00D32F3D">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6.25pt;height:46.5pt">
                <v:imagedata r:id="rId1" o:title="_unlogo"/>
              </v:shape>
            </w:pict>
          </w:r>
        </w:p>
        <w:p w:rsidR="00D32F3D" w:rsidRDefault="00D32F3D">
          <w:pPr>
            <w:pStyle w:val="Header"/>
            <w:spacing w:before="880"/>
            <w:ind w:left="-72"/>
          </w:pPr>
        </w:p>
      </w:tc>
      <w:tc>
        <w:tcPr>
          <w:tcW w:w="5227" w:type="dxa"/>
          <w:gridSpan w:val="3"/>
          <w:tcBorders>
            <w:left w:val="nil"/>
            <w:bottom w:val="single" w:sz="12" w:space="0" w:color="auto"/>
            <w:right w:val="nil"/>
          </w:tcBorders>
        </w:tcPr>
        <w:p w:rsidR="00D32F3D" w:rsidRDefault="00D32F3D">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D32F3D" w:rsidRPr="00D35192" w:rsidRDefault="00D32F3D">
          <w:pPr>
            <w:pStyle w:val="Header"/>
            <w:spacing w:before="109"/>
            <w:rPr>
              <w:lang w:val="fr-FR"/>
            </w:rPr>
          </w:pPr>
        </w:p>
      </w:tc>
      <w:tc>
        <w:tcPr>
          <w:tcW w:w="3180" w:type="dxa"/>
          <w:gridSpan w:val="2"/>
          <w:tcBorders>
            <w:left w:val="nil"/>
            <w:bottom w:val="single" w:sz="12" w:space="0" w:color="auto"/>
            <w:right w:val="nil"/>
          </w:tcBorders>
        </w:tcPr>
        <w:p w:rsidR="00D32F3D" w:rsidRDefault="00D32F3D">
          <w:pPr>
            <w:spacing w:before="240"/>
          </w:pPr>
          <w:r>
            <w:t>Distr. générale</w:t>
          </w:r>
        </w:p>
        <w:p w:rsidR="00D32F3D" w:rsidRDefault="00D32F3D">
          <w:r>
            <w:t>5 octobre 2006</w:t>
          </w:r>
        </w:p>
        <w:p w:rsidR="00D32F3D" w:rsidRDefault="00D32F3D">
          <w:r>
            <w:t>Français</w:t>
          </w:r>
        </w:p>
        <w:p w:rsidR="00D32F3D" w:rsidRDefault="00D32F3D">
          <w:r>
            <w:t>Original: anglais</w:t>
          </w:r>
        </w:p>
      </w:tc>
    </w:tr>
  </w:tbl>
  <w:p w:rsidR="00D32F3D" w:rsidRPr="00D35192" w:rsidRDefault="00D32F3D">
    <w:pPr>
      <w:pStyle w:val="Header"/>
      <w:spacing w:line="240" w:lineRule="auto"/>
      <w:rPr>
        <w:sz w:val="2"/>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074B"/>
    <w:multiLevelType w:val="hybridMultilevel"/>
    <w:tmpl w:val="086423D8"/>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
    <w:nsid w:val="0382496D"/>
    <w:multiLevelType w:val="hybridMultilevel"/>
    <w:tmpl w:val="1A6033C0"/>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
    <w:nsid w:val="05B77436"/>
    <w:multiLevelType w:val="hybridMultilevel"/>
    <w:tmpl w:val="30F0DE06"/>
    <w:lvl w:ilvl="0" w:tplc="AE4C2B28">
      <w:start w:val="1"/>
      <w:numFmt w:val="bullet"/>
      <w:lvlText w:val=""/>
      <w:lvlJc w:val="left"/>
      <w:pPr>
        <w:tabs>
          <w:tab w:val="num" w:pos="3009"/>
        </w:tabs>
        <w:ind w:left="3009" w:firstLine="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3">
    <w:nsid w:val="0A905DE2"/>
    <w:multiLevelType w:val="hybridMultilevel"/>
    <w:tmpl w:val="F93E4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A471B6"/>
    <w:multiLevelType w:val="hybridMultilevel"/>
    <w:tmpl w:val="3A8C62BC"/>
    <w:lvl w:ilvl="0" w:tplc="AE4C2B28">
      <w:start w:val="1"/>
      <w:numFmt w:val="bullet"/>
      <w:lvlText w:val=""/>
      <w:lvlJc w:val="left"/>
      <w:pPr>
        <w:tabs>
          <w:tab w:val="num" w:pos="3009"/>
        </w:tabs>
        <w:ind w:left="3009" w:firstLine="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5">
    <w:nsid w:val="0E2C6FE0"/>
    <w:multiLevelType w:val="hybridMultilevel"/>
    <w:tmpl w:val="649C114E"/>
    <w:lvl w:ilvl="0" w:tplc="AE4C2B28">
      <w:start w:val="1"/>
      <w:numFmt w:val="bullet"/>
      <w:lvlText w:val=""/>
      <w:lvlJc w:val="left"/>
      <w:pPr>
        <w:tabs>
          <w:tab w:val="num" w:pos="3009"/>
        </w:tabs>
        <w:ind w:left="3009" w:firstLine="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6">
    <w:nsid w:val="0ED54078"/>
    <w:multiLevelType w:val="hybridMultilevel"/>
    <w:tmpl w:val="DC3C7EEE"/>
    <w:lvl w:ilvl="0" w:tplc="AE4C2B28">
      <w:start w:val="1"/>
      <w:numFmt w:val="bullet"/>
      <w:lvlText w:val=""/>
      <w:lvlJc w:val="left"/>
      <w:pPr>
        <w:tabs>
          <w:tab w:val="num" w:pos="3009"/>
        </w:tabs>
        <w:ind w:left="3009" w:firstLine="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7">
    <w:nsid w:val="101647C7"/>
    <w:multiLevelType w:val="hybridMultilevel"/>
    <w:tmpl w:val="992CD050"/>
    <w:lvl w:ilvl="0" w:tplc="AE4C2B28">
      <w:start w:val="1"/>
      <w:numFmt w:val="bullet"/>
      <w:lvlText w:val=""/>
      <w:lvlJc w:val="left"/>
      <w:pPr>
        <w:tabs>
          <w:tab w:val="num" w:pos="3009"/>
        </w:tabs>
        <w:ind w:left="3009" w:firstLine="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start w:val="1"/>
      <w:numFmt w:val="bullet"/>
      <w:lvlText w:val=""/>
      <w:lvlJc w:val="left"/>
      <w:pPr>
        <w:tabs>
          <w:tab w:val="num" w:pos="3427"/>
        </w:tabs>
        <w:ind w:left="3427" w:hanging="360"/>
      </w:pPr>
      <w:rPr>
        <w:rFonts w:ascii="Wingdings" w:hAnsi="Wingdings" w:hint="default"/>
      </w:rPr>
    </w:lvl>
    <w:lvl w:ilvl="3" w:tplc="AE4C2B28">
      <w:start w:val="1"/>
      <w:numFmt w:val="bullet"/>
      <w:lvlText w:val=""/>
      <w:lvlJc w:val="left"/>
      <w:pPr>
        <w:tabs>
          <w:tab w:val="num" w:pos="3787"/>
        </w:tabs>
        <w:ind w:left="3787" w:firstLine="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8">
    <w:nsid w:val="13304286"/>
    <w:multiLevelType w:val="hybridMultilevel"/>
    <w:tmpl w:val="AEC8CA98"/>
    <w:lvl w:ilvl="0" w:tplc="AE4C2B28">
      <w:start w:val="1"/>
      <w:numFmt w:val="bullet"/>
      <w:lvlText w:val=""/>
      <w:lvlJc w:val="left"/>
      <w:pPr>
        <w:tabs>
          <w:tab w:val="num" w:pos="3009"/>
        </w:tabs>
        <w:ind w:left="3009" w:firstLine="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9">
    <w:nsid w:val="172D500C"/>
    <w:multiLevelType w:val="hybridMultilevel"/>
    <w:tmpl w:val="3AC04BFC"/>
    <w:lvl w:ilvl="0" w:tplc="AE4C2B28">
      <w:start w:val="1"/>
      <w:numFmt w:val="bullet"/>
      <w:lvlText w:val=""/>
      <w:lvlJc w:val="left"/>
      <w:pPr>
        <w:tabs>
          <w:tab w:val="num" w:pos="3009"/>
        </w:tabs>
        <w:ind w:left="3009" w:firstLine="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0">
    <w:nsid w:val="197A0B7B"/>
    <w:multiLevelType w:val="hybridMultilevel"/>
    <w:tmpl w:val="6366DBDA"/>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1">
    <w:nsid w:val="1CC85B27"/>
    <w:multiLevelType w:val="hybridMultilevel"/>
    <w:tmpl w:val="5B44A142"/>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2">
    <w:nsid w:val="1EF140D2"/>
    <w:multiLevelType w:val="hybridMultilevel"/>
    <w:tmpl w:val="E6087ADA"/>
    <w:lvl w:ilvl="0" w:tplc="AE4C2B28">
      <w:start w:val="1"/>
      <w:numFmt w:val="bullet"/>
      <w:lvlText w:val=""/>
      <w:lvlJc w:val="left"/>
      <w:pPr>
        <w:tabs>
          <w:tab w:val="num" w:pos="3009"/>
        </w:tabs>
        <w:ind w:left="3009" w:firstLine="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3">
    <w:nsid w:val="1FB63079"/>
    <w:multiLevelType w:val="hybridMultilevel"/>
    <w:tmpl w:val="ACDC25D6"/>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4">
    <w:nsid w:val="227219FB"/>
    <w:multiLevelType w:val="hybridMultilevel"/>
    <w:tmpl w:val="CEF403A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583553"/>
    <w:multiLevelType w:val="hybridMultilevel"/>
    <w:tmpl w:val="FD1A8D86"/>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6">
    <w:nsid w:val="2A1B1AF9"/>
    <w:multiLevelType w:val="hybridMultilevel"/>
    <w:tmpl w:val="EE40933C"/>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7">
    <w:nsid w:val="32B04B9B"/>
    <w:multiLevelType w:val="hybridMultilevel"/>
    <w:tmpl w:val="98FC9CD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136045"/>
    <w:multiLevelType w:val="hybridMultilevel"/>
    <w:tmpl w:val="E168049C"/>
    <w:lvl w:ilvl="0" w:tplc="04090001">
      <w:start w:val="1"/>
      <w:numFmt w:val="bullet"/>
      <w:lvlText w:val=""/>
      <w:lvlJc w:val="left"/>
      <w:pPr>
        <w:tabs>
          <w:tab w:val="num" w:pos="720"/>
        </w:tabs>
        <w:ind w:left="720" w:hanging="360"/>
      </w:pPr>
      <w:rPr>
        <w:rFonts w:ascii="Symbol" w:hAnsi="Symbol" w:hint="default"/>
      </w:rPr>
    </w:lvl>
    <w:lvl w:ilvl="1" w:tplc="AE4C2B28">
      <w:start w:val="1"/>
      <w:numFmt w:val="bullet"/>
      <w:lvlText w:val=""/>
      <w:lvlJc w:val="left"/>
      <w:pPr>
        <w:tabs>
          <w:tab w:val="num" w:pos="1080"/>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C6A6D7E"/>
    <w:multiLevelType w:val="hybridMultilevel"/>
    <w:tmpl w:val="9FF2985C"/>
    <w:lvl w:ilvl="0" w:tplc="AE4C2B28">
      <w:start w:val="1"/>
      <w:numFmt w:val="bullet"/>
      <w:lvlText w:val=""/>
      <w:lvlJc w:val="left"/>
      <w:pPr>
        <w:tabs>
          <w:tab w:val="num" w:pos="3009"/>
        </w:tabs>
        <w:ind w:left="3009" w:firstLine="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0">
    <w:nsid w:val="3CDF6FED"/>
    <w:multiLevelType w:val="hybridMultilevel"/>
    <w:tmpl w:val="78BA0746"/>
    <w:lvl w:ilvl="0" w:tplc="04090001">
      <w:start w:val="1"/>
      <w:numFmt w:val="bullet"/>
      <w:lvlText w:val=""/>
      <w:lvlJc w:val="left"/>
      <w:pPr>
        <w:tabs>
          <w:tab w:val="num" w:pos="1987"/>
        </w:tabs>
        <w:ind w:left="1987" w:hanging="360"/>
      </w:pPr>
      <w:rPr>
        <w:rFonts w:ascii="Symbol" w:hAnsi="Symbol" w:hint="default"/>
      </w:rPr>
    </w:lvl>
    <w:lvl w:ilvl="1" w:tplc="04090003">
      <w:start w:val="1"/>
      <w:numFmt w:val="bullet"/>
      <w:lvlText w:val="o"/>
      <w:lvlJc w:val="left"/>
      <w:pPr>
        <w:tabs>
          <w:tab w:val="num" w:pos="2707"/>
        </w:tabs>
        <w:ind w:left="2707" w:hanging="360"/>
      </w:pPr>
      <w:rPr>
        <w:rFonts w:ascii="Courier New" w:hAnsi="Courier New" w:cs="Courier New" w:hint="default"/>
      </w:rPr>
    </w:lvl>
    <w:lvl w:ilvl="2" w:tplc="04090001">
      <w:start w:val="1"/>
      <w:numFmt w:val="bullet"/>
      <w:lvlText w:val=""/>
      <w:lvlJc w:val="left"/>
      <w:pPr>
        <w:tabs>
          <w:tab w:val="num" w:pos="3427"/>
        </w:tabs>
        <w:ind w:left="3427" w:hanging="360"/>
      </w:pPr>
      <w:rPr>
        <w:rFonts w:ascii="Symbol" w:hAnsi="Symbol"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1">
    <w:nsid w:val="407B0122"/>
    <w:multiLevelType w:val="hybridMultilevel"/>
    <w:tmpl w:val="2FF2D666"/>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2">
    <w:nsid w:val="42E104BA"/>
    <w:multiLevelType w:val="hybridMultilevel"/>
    <w:tmpl w:val="225A4A92"/>
    <w:lvl w:ilvl="0" w:tplc="8E1A16E8">
      <w:start w:val="1"/>
      <w:numFmt w:val="bullet"/>
      <w:lvlText w:val=""/>
      <w:lvlJc w:val="left"/>
      <w:pPr>
        <w:tabs>
          <w:tab w:val="num" w:pos="3643"/>
        </w:tabs>
        <w:ind w:left="3571" w:hanging="504"/>
      </w:pPr>
      <w:rPr>
        <w:rFonts w:ascii="Wingdings" w:hAnsi="Wingdings"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3">
    <w:nsid w:val="445A7313"/>
    <w:multiLevelType w:val="hybridMultilevel"/>
    <w:tmpl w:val="E5E636B2"/>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4">
    <w:nsid w:val="47AC434B"/>
    <w:multiLevelType w:val="hybridMultilevel"/>
    <w:tmpl w:val="9BFC9226"/>
    <w:lvl w:ilvl="0" w:tplc="AE4C2B28">
      <w:start w:val="1"/>
      <w:numFmt w:val="bullet"/>
      <w:lvlText w:val=""/>
      <w:lvlJc w:val="left"/>
      <w:pPr>
        <w:tabs>
          <w:tab w:val="num" w:pos="3009"/>
        </w:tabs>
        <w:ind w:left="3009" w:firstLine="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5">
    <w:nsid w:val="4D6B4DAC"/>
    <w:multiLevelType w:val="hybridMultilevel"/>
    <w:tmpl w:val="F260E7A2"/>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6">
    <w:nsid w:val="505764D0"/>
    <w:multiLevelType w:val="hybridMultilevel"/>
    <w:tmpl w:val="97DC782A"/>
    <w:lvl w:ilvl="0" w:tplc="AE4C2B28">
      <w:start w:val="1"/>
      <w:numFmt w:val="bullet"/>
      <w:lvlText w:val=""/>
      <w:lvlJc w:val="left"/>
      <w:pPr>
        <w:tabs>
          <w:tab w:val="num" w:pos="3009"/>
        </w:tabs>
        <w:ind w:left="3009" w:firstLine="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7">
    <w:nsid w:val="50BA3BFF"/>
    <w:multiLevelType w:val="hybridMultilevel"/>
    <w:tmpl w:val="DCB6D2BA"/>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8">
    <w:nsid w:val="56611F16"/>
    <w:multiLevelType w:val="hybridMultilevel"/>
    <w:tmpl w:val="766A2C46"/>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9">
    <w:nsid w:val="57D12E75"/>
    <w:multiLevelType w:val="hybridMultilevel"/>
    <w:tmpl w:val="D2A4903C"/>
    <w:lvl w:ilvl="0" w:tplc="AE4C2B28">
      <w:start w:val="1"/>
      <w:numFmt w:val="bullet"/>
      <w:lvlText w:val=""/>
      <w:lvlJc w:val="left"/>
      <w:pPr>
        <w:tabs>
          <w:tab w:val="num" w:pos="3009"/>
        </w:tabs>
        <w:ind w:left="3009" w:firstLine="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30">
    <w:nsid w:val="5BA74C94"/>
    <w:multiLevelType w:val="hybridMultilevel"/>
    <w:tmpl w:val="7D884A6A"/>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31">
    <w:nsid w:val="61A12AAE"/>
    <w:multiLevelType w:val="hybridMultilevel"/>
    <w:tmpl w:val="21401970"/>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32">
    <w:nsid w:val="65D86BC4"/>
    <w:multiLevelType w:val="hybridMultilevel"/>
    <w:tmpl w:val="1DA0E1C2"/>
    <w:lvl w:ilvl="0" w:tplc="AE4C2B28">
      <w:start w:val="1"/>
      <w:numFmt w:val="bullet"/>
      <w:lvlText w:val=""/>
      <w:lvlJc w:val="left"/>
      <w:pPr>
        <w:tabs>
          <w:tab w:val="num" w:pos="3009"/>
        </w:tabs>
        <w:ind w:left="3009" w:firstLine="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33">
    <w:nsid w:val="6E0F0740"/>
    <w:multiLevelType w:val="hybridMultilevel"/>
    <w:tmpl w:val="A5CE59A0"/>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34">
    <w:nsid w:val="71906F8C"/>
    <w:multiLevelType w:val="hybridMultilevel"/>
    <w:tmpl w:val="FF0E51B4"/>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35">
    <w:nsid w:val="71EE7C99"/>
    <w:multiLevelType w:val="hybridMultilevel"/>
    <w:tmpl w:val="8DA6C10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3914ED9"/>
    <w:multiLevelType w:val="hybridMultilevel"/>
    <w:tmpl w:val="2BE42082"/>
    <w:lvl w:ilvl="0" w:tplc="AE4C2B28">
      <w:start w:val="1"/>
      <w:numFmt w:val="bullet"/>
      <w:lvlText w:val=""/>
      <w:lvlJc w:val="left"/>
      <w:pPr>
        <w:tabs>
          <w:tab w:val="num" w:pos="3009"/>
        </w:tabs>
        <w:ind w:left="3009" w:firstLine="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C0EE2578">
      <w:start w:val="1"/>
      <w:numFmt w:val="bullet"/>
      <w:lvlText w:val=""/>
      <w:lvlJc w:val="left"/>
      <w:pPr>
        <w:tabs>
          <w:tab w:val="num" w:pos="3427"/>
        </w:tabs>
        <w:ind w:left="3427" w:hanging="360"/>
      </w:pPr>
      <w:rPr>
        <w:rFonts w:ascii="Symbol" w:hAnsi="Symbol"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37">
    <w:nsid w:val="77513D79"/>
    <w:multiLevelType w:val="hybridMultilevel"/>
    <w:tmpl w:val="1FF2CC4E"/>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38">
    <w:nsid w:val="791F652C"/>
    <w:multiLevelType w:val="hybridMultilevel"/>
    <w:tmpl w:val="4A40FF22"/>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39">
    <w:nsid w:val="79AC05B5"/>
    <w:multiLevelType w:val="hybridMultilevel"/>
    <w:tmpl w:val="4AB6A896"/>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40">
    <w:nsid w:val="7AF85142"/>
    <w:multiLevelType w:val="hybridMultilevel"/>
    <w:tmpl w:val="0E80C6FC"/>
    <w:lvl w:ilvl="0" w:tplc="04090001">
      <w:start w:val="1"/>
      <w:numFmt w:val="bullet"/>
      <w:lvlText w:val=""/>
      <w:lvlJc w:val="left"/>
      <w:pPr>
        <w:tabs>
          <w:tab w:val="num" w:pos="1987"/>
        </w:tabs>
        <w:ind w:left="1987" w:hanging="360"/>
      </w:pPr>
      <w:rPr>
        <w:rFonts w:ascii="Symbol" w:hAnsi="Symbol" w:hint="default"/>
      </w:rPr>
    </w:lvl>
    <w:lvl w:ilvl="1" w:tplc="04090003">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41">
    <w:nsid w:val="7CF46984"/>
    <w:multiLevelType w:val="hybridMultilevel"/>
    <w:tmpl w:val="864E080C"/>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42">
    <w:nsid w:val="7D562FA7"/>
    <w:multiLevelType w:val="hybridMultilevel"/>
    <w:tmpl w:val="2CAAF830"/>
    <w:lvl w:ilvl="0" w:tplc="04090001">
      <w:start w:val="1"/>
      <w:numFmt w:val="bullet"/>
      <w:lvlText w:val=""/>
      <w:lvlJc w:val="left"/>
      <w:pPr>
        <w:tabs>
          <w:tab w:val="num" w:pos="1987"/>
        </w:tabs>
        <w:ind w:left="1987" w:hanging="360"/>
      </w:pPr>
      <w:rPr>
        <w:rFonts w:ascii="Symbol" w:hAnsi="Symbol" w:hint="default"/>
      </w:rPr>
    </w:lvl>
    <w:lvl w:ilvl="1" w:tplc="04090003">
      <w:start w:val="1"/>
      <w:numFmt w:val="bullet"/>
      <w:lvlText w:val="o"/>
      <w:lvlJc w:val="left"/>
      <w:pPr>
        <w:tabs>
          <w:tab w:val="num" w:pos="2707"/>
        </w:tabs>
        <w:ind w:left="2707" w:hanging="360"/>
      </w:pPr>
      <w:rPr>
        <w:rFonts w:ascii="Courier New" w:hAnsi="Courier New" w:cs="Courier New" w:hint="default"/>
      </w:rPr>
    </w:lvl>
    <w:lvl w:ilvl="2" w:tplc="04090001">
      <w:start w:val="1"/>
      <w:numFmt w:val="bullet"/>
      <w:lvlText w:val=""/>
      <w:lvlJc w:val="left"/>
      <w:pPr>
        <w:tabs>
          <w:tab w:val="num" w:pos="3427"/>
        </w:tabs>
        <w:ind w:left="3427" w:hanging="360"/>
      </w:pPr>
      <w:rPr>
        <w:rFonts w:ascii="Symbol" w:hAnsi="Symbol"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43">
    <w:nsid w:val="7D847EB0"/>
    <w:multiLevelType w:val="hybridMultilevel"/>
    <w:tmpl w:val="FA1ED366"/>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44">
    <w:nsid w:val="7E7D497D"/>
    <w:multiLevelType w:val="hybridMultilevel"/>
    <w:tmpl w:val="F3E4203E"/>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45">
    <w:nsid w:val="7E7E70FB"/>
    <w:multiLevelType w:val="hybridMultilevel"/>
    <w:tmpl w:val="5164BA74"/>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num w:numId="1">
    <w:abstractNumId w:val="22"/>
  </w:num>
  <w:num w:numId="2">
    <w:abstractNumId w:val="9"/>
  </w:num>
  <w:num w:numId="3">
    <w:abstractNumId w:val="24"/>
  </w:num>
  <w:num w:numId="4">
    <w:abstractNumId w:val="29"/>
  </w:num>
  <w:num w:numId="5">
    <w:abstractNumId w:val="3"/>
  </w:num>
  <w:num w:numId="6">
    <w:abstractNumId w:val="18"/>
  </w:num>
  <w:num w:numId="7">
    <w:abstractNumId w:val="19"/>
  </w:num>
  <w:num w:numId="8">
    <w:abstractNumId w:val="5"/>
  </w:num>
  <w:num w:numId="9">
    <w:abstractNumId w:val="4"/>
  </w:num>
  <w:num w:numId="10">
    <w:abstractNumId w:val="36"/>
  </w:num>
  <w:num w:numId="11">
    <w:abstractNumId w:val="6"/>
  </w:num>
  <w:num w:numId="12">
    <w:abstractNumId w:val="8"/>
  </w:num>
  <w:num w:numId="13">
    <w:abstractNumId w:val="32"/>
  </w:num>
  <w:num w:numId="14">
    <w:abstractNumId w:val="12"/>
  </w:num>
  <w:num w:numId="15">
    <w:abstractNumId w:val="26"/>
  </w:num>
  <w:num w:numId="16">
    <w:abstractNumId w:val="7"/>
  </w:num>
  <w:num w:numId="17">
    <w:abstractNumId w:val="2"/>
  </w:num>
  <w:num w:numId="18">
    <w:abstractNumId w:val="40"/>
  </w:num>
  <w:num w:numId="19">
    <w:abstractNumId w:val="39"/>
  </w:num>
  <w:num w:numId="20">
    <w:abstractNumId w:val="37"/>
  </w:num>
  <w:num w:numId="21">
    <w:abstractNumId w:val="43"/>
  </w:num>
  <w:num w:numId="22">
    <w:abstractNumId w:val="33"/>
  </w:num>
  <w:num w:numId="23">
    <w:abstractNumId w:val="27"/>
  </w:num>
  <w:num w:numId="24">
    <w:abstractNumId w:val="17"/>
  </w:num>
  <w:num w:numId="25">
    <w:abstractNumId w:val="23"/>
  </w:num>
  <w:num w:numId="26">
    <w:abstractNumId w:val="0"/>
  </w:num>
  <w:num w:numId="27">
    <w:abstractNumId w:val="25"/>
  </w:num>
  <w:num w:numId="28">
    <w:abstractNumId w:val="14"/>
  </w:num>
  <w:num w:numId="29">
    <w:abstractNumId w:val="35"/>
  </w:num>
  <w:num w:numId="30">
    <w:abstractNumId w:val="1"/>
  </w:num>
  <w:num w:numId="31">
    <w:abstractNumId w:val="20"/>
  </w:num>
  <w:num w:numId="32">
    <w:abstractNumId w:val="11"/>
  </w:num>
  <w:num w:numId="33">
    <w:abstractNumId w:val="42"/>
  </w:num>
  <w:num w:numId="34">
    <w:abstractNumId w:val="28"/>
  </w:num>
  <w:num w:numId="35">
    <w:abstractNumId w:val="31"/>
  </w:num>
  <w:num w:numId="36">
    <w:abstractNumId w:val="13"/>
  </w:num>
  <w:num w:numId="37">
    <w:abstractNumId w:val="38"/>
  </w:num>
  <w:num w:numId="38">
    <w:abstractNumId w:val="45"/>
  </w:num>
  <w:num w:numId="39">
    <w:abstractNumId w:val="21"/>
  </w:num>
  <w:num w:numId="40">
    <w:abstractNumId w:val="30"/>
  </w:num>
  <w:num w:numId="41">
    <w:abstractNumId w:val="16"/>
  </w:num>
  <w:num w:numId="42">
    <w:abstractNumId w:val="41"/>
  </w:num>
  <w:num w:numId="43">
    <w:abstractNumId w:val="34"/>
  </w:num>
  <w:num w:numId="44">
    <w:abstractNumId w:val="44"/>
  </w:num>
  <w:num w:numId="45">
    <w:abstractNumId w:val="10"/>
  </w:num>
  <w:num w:numId="46">
    <w:abstractNumId w:val="15"/>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475"/>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0668785"/>
    <w:docVar w:name="CreationDt" w:val="7/4/07 12:15 PM"/>
    <w:docVar w:name="DocCategory" w:val="Doc"/>
    <w:docVar w:name="DocType" w:val="Final"/>
    <w:docVar w:name="FooterJN" w:val="06-68785"/>
    <w:docVar w:name="jobn" w:val="06-68785 (F)"/>
    <w:docVar w:name="jobnDT" w:val="06-68785 (F)      "/>
    <w:docVar w:name="jobnDTDT" w:val="06-68785 (F)      130707"/>
    <w:docVar w:name="JobNo" w:val="0668785F"/>
    <w:docVar w:name="OandT" w:val=" "/>
    <w:docVar w:name="sss1" w:val="CEDAW/C/NGA/6"/>
    <w:docVar w:name="Symbol1" w:val="CEDAW/C/NGA/6"/>
    <w:docVar w:name="Symbol2" w:val="-"/>
  </w:docVars>
  <w:rsids>
    <w:rsidRoot w:val="00CF5B1B"/>
    <w:rsid w:val="00065BFA"/>
    <w:rsid w:val="0008640F"/>
    <w:rsid w:val="000A347D"/>
    <w:rsid w:val="000A3D87"/>
    <w:rsid w:val="000C5527"/>
    <w:rsid w:val="0011032F"/>
    <w:rsid w:val="001126B0"/>
    <w:rsid w:val="00113A64"/>
    <w:rsid w:val="0012256D"/>
    <w:rsid w:val="00170214"/>
    <w:rsid w:val="001A076E"/>
    <w:rsid w:val="001E4E36"/>
    <w:rsid w:val="00226C63"/>
    <w:rsid w:val="002310F2"/>
    <w:rsid w:val="00234E8F"/>
    <w:rsid w:val="002375F5"/>
    <w:rsid w:val="00237EEA"/>
    <w:rsid w:val="0025170B"/>
    <w:rsid w:val="00255149"/>
    <w:rsid w:val="0027746F"/>
    <w:rsid w:val="002A4387"/>
    <w:rsid w:val="002B0141"/>
    <w:rsid w:val="002B0972"/>
    <w:rsid w:val="002C1523"/>
    <w:rsid w:val="002D5B1A"/>
    <w:rsid w:val="00306BA7"/>
    <w:rsid w:val="003221F3"/>
    <w:rsid w:val="00325A01"/>
    <w:rsid w:val="00342F79"/>
    <w:rsid w:val="00385997"/>
    <w:rsid w:val="003A6412"/>
    <w:rsid w:val="003A6F57"/>
    <w:rsid w:val="003E72A3"/>
    <w:rsid w:val="003F4A03"/>
    <w:rsid w:val="00430042"/>
    <w:rsid w:val="00473C19"/>
    <w:rsid w:val="00476BA3"/>
    <w:rsid w:val="004A14DA"/>
    <w:rsid w:val="004F7CE0"/>
    <w:rsid w:val="005054FC"/>
    <w:rsid w:val="00521818"/>
    <w:rsid w:val="00587198"/>
    <w:rsid w:val="005A4B82"/>
    <w:rsid w:val="005C21F3"/>
    <w:rsid w:val="005D71E6"/>
    <w:rsid w:val="005F5CDB"/>
    <w:rsid w:val="00605A86"/>
    <w:rsid w:val="0061676D"/>
    <w:rsid w:val="00620C41"/>
    <w:rsid w:val="00621401"/>
    <w:rsid w:val="00650792"/>
    <w:rsid w:val="00671934"/>
    <w:rsid w:val="00673639"/>
    <w:rsid w:val="0067628B"/>
    <w:rsid w:val="006A6C6B"/>
    <w:rsid w:val="006B05BA"/>
    <w:rsid w:val="006C7981"/>
    <w:rsid w:val="006D3FC4"/>
    <w:rsid w:val="006E5F32"/>
    <w:rsid w:val="007051F6"/>
    <w:rsid w:val="00705A50"/>
    <w:rsid w:val="00711E21"/>
    <w:rsid w:val="00717C94"/>
    <w:rsid w:val="00740CA4"/>
    <w:rsid w:val="00750330"/>
    <w:rsid w:val="007651C9"/>
    <w:rsid w:val="00782B6A"/>
    <w:rsid w:val="007C13FD"/>
    <w:rsid w:val="007D4FA7"/>
    <w:rsid w:val="008379A5"/>
    <w:rsid w:val="00846B6F"/>
    <w:rsid w:val="00863960"/>
    <w:rsid w:val="008724C4"/>
    <w:rsid w:val="00877CB0"/>
    <w:rsid w:val="00880781"/>
    <w:rsid w:val="00885E80"/>
    <w:rsid w:val="008A265D"/>
    <w:rsid w:val="008B0DF6"/>
    <w:rsid w:val="008B63DF"/>
    <w:rsid w:val="008B6D2B"/>
    <w:rsid w:val="008D662A"/>
    <w:rsid w:val="00903601"/>
    <w:rsid w:val="009121C1"/>
    <w:rsid w:val="00940485"/>
    <w:rsid w:val="009546E1"/>
    <w:rsid w:val="009704E7"/>
    <w:rsid w:val="00985B76"/>
    <w:rsid w:val="009A2C2B"/>
    <w:rsid w:val="009D597F"/>
    <w:rsid w:val="00A05C4E"/>
    <w:rsid w:val="00A708A8"/>
    <w:rsid w:val="00AA2F8C"/>
    <w:rsid w:val="00AC2642"/>
    <w:rsid w:val="00AE044A"/>
    <w:rsid w:val="00AE0B41"/>
    <w:rsid w:val="00B0068A"/>
    <w:rsid w:val="00B240BA"/>
    <w:rsid w:val="00B2732B"/>
    <w:rsid w:val="00B43003"/>
    <w:rsid w:val="00B43E8B"/>
    <w:rsid w:val="00B72F42"/>
    <w:rsid w:val="00B86B1D"/>
    <w:rsid w:val="00B908B6"/>
    <w:rsid w:val="00B91F8B"/>
    <w:rsid w:val="00BB02C6"/>
    <w:rsid w:val="00BB7CFC"/>
    <w:rsid w:val="00BC2C76"/>
    <w:rsid w:val="00C11BEA"/>
    <w:rsid w:val="00C46625"/>
    <w:rsid w:val="00C63FDC"/>
    <w:rsid w:val="00C64681"/>
    <w:rsid w:val="00C66CCC"/>
    <w:rsid w:val="00C81A3C"/>
    <w:rsid w:val="00CB5BF8"/>
    <w:rsid w:val="00CB6561"/>
    <w:rsid w:val="00CD1FF8"/>
    <w:rsid w:val="00CF5B1B"/>
    <w:rsid w:val="00CF72DF"/>
    <w:rsid w:val="00D17E6C"/>
    <w:rsid w:val="00D32F3D"/>
    <w:rsid w:val="00D35192"/>
    <w:rsid w:val="00D36D29"/>
    <w:rsid w:val="00D60783"/>
    <w:rsid w:val="00D6669E"/>
    <w:rsid w:val="00DF45EE"/>
    <w:rsid w:val="00E15507"/>
    <w:rsid w:val="00EA484A"/>
    <w:rsid w:val="00EB32E2"/>
    <w:rsid w:val="00EB3EA9"/>
    <w:rsid w:val="00F06017"/>
    <w:rsid w:val="00F209C2"/>
    <w:rsid w:val="00F575D8"/>
    <w:rsid w:val="00F67DD1"/>
    <w:rsid w:val="00F812B7"/>
    <w:rsid w:val="00F84ADB"/>
    <w:rsid w:val="00FA45D6"/>
    <w:rsid w:val="00FC38C0"/>
    <w:rsid w:val="00FE07AD"/>
    <w:rsid w:val="00FE11A8"/>
    <w:rsid w:val="00FE42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21C1"/>
    <w:pPr>
      <w:spacing w:line="240" w:lineRule="exact"/>
    </w:pPr>
    <w:rPr>
      <w:spacing w:val="4"/>
      <w:w w:val="103"/>
      <w:kern w:val="14"/>
      <w:lang w:val="fr-CA"/>
    </w:rPr>
  </w:style>
  <w:style w:type="paragraph" w:styleId="Heading1">
    <w:name w:val="heading 1"/>
    <w:basedOn w:val="Normal"/>
    <w:next w:val="Normal"/>
    <w:qFormat/>
    <w:rsid w:val="00B0068A"/>
    <w:pPr>
      <w:keepNext/>
      <w:tabs>
        <w:tab w:val="center" w:pos="4680"/>
      </w:tabs>
      <w:spacing w:line="240" w:lineRule="auto"/>
      <w:outlineLvl w:val="0"/>
    </w:pPr>
    <w:rPr>
      <w:spacing w:val="0"/>
      <w:w w:val="100"/>
      <w:kern w:val="0"/>
      <w:sz w:val="40"/>
      <w:lang w:val="en-GB"/>
    </w:rPr>
  </w:style>
  <w:style w:type="paragraph" w:styleId="Heading2">
    <w:name w:val="heading 2"/>
    <w:basedOn w:val="Normal"/>
    <w:next w:val="Normal"/>
    <w:qFormat/>
    <w:rsid w:val="00B0068A"/>
    <w:pPr>
      <w:keepNext/>
      <w:spacing w:line="240" w:lineRule="auto"/>
      <w:jc w:val="right"/>
      <w:outlineLvl w:val="1"/>
    </w:pPr>
    <w:rPr>
      <w:b/>
      <w:spacing w:val="0"/>
      <w:w w:val="100"/>
      <w:kern w:val="0"/>
      <w:sz w:val="24"/>
      <w:lang w:val="en-GB"/>
    </w:rPr>
  </w:style>
  <w:style w:type="paragraph" w:styleId="Heading3">
    <w:name w:val="heading 3"/>
    <w:basedOn w:val="Normal"/>
    <w:next w:val="Normal"/>
    <w:qFormat/>
    <w:rsid w:val="00B0068A"/>
    <w:pPr>
      <w:keepNext/>
      <w:spacing w:line="240" w:lineRule="auto"/>
      <w:jc w:val="right"/>
      <w:outlineLvl w:val="2"/>
    </w:pPr>
    <w:rPr>
      <w:spacing w:val="0"/>
      <w:w w:val="100"/>
      <w:kern w:val="0"/>
      <w:sz w:val="24"/>
      <w:lang w:val="en-US"/>
    </w:rPr>
  </w:style>
  <w:style w:type="paragraph" w:styleId="Heading4">
    <w:name w:val="heading 4"/>
    <w:basedOn w:val="Normal"/>
    <w:next w:val="Normal"/>
    <w:qFormat/>
    <w:rsid w:val="00B0068A"/>
    <w:pPr>
      <w:keepNext/>
      <w:spacing w:line="240" w:lineRule="auto"/>
      <w:outlineLvl w:val="3"/>
    </w:pPr>
    <w:rPr>
      <w:spacing w:val="0"/>
      <w:w w:val="100"/>
      <w:kern w:val="0"/>
      <w:sz w:val="24"/>
      <w:lang w:val="en-GB"/>
    </w:rPr>
  </w:style>
  <w:style w:type="paragraph" w:styleId="Heading5">
    <w:name w:val="heading 5"/>
    <w:basedOn w:val="Normal"/>
    <w:next w:val="Normal"/>
    <w:qFormat/>
    <w:rsid w:val="00B0068A"/>
    <w:pPr>
      <w:keepNext/>
      <w:tabs>
        <w:tab w:val="left" w:pos="-720"/>
        <w:tab w:val="left" w:pos="1"/>
        <w:tab w:val="left" w:pos="576"/>
        <w:tab w:val="left" w:pos="1152"/>
        <w:tab w:val="left" w:pos="1728"/>
        <w:tab w:val="left" w:pos="6480"/>
      </w:tabs>
      <w:jc w:val="center"/>
      <w:outlineLvl w:val="4"/>
    </w:pPr>
    <w:rPr>
      <w:rFonts w:ascii="Courier 12cpi" w:hAnsi="Courier 12cpi"/>
      <w:spacing w:val="0"/>
      <w:w w:val="100"/>
      <w:kern w:val="0"/>
      <w:sz w:val="24"/>
      <w:lang w:val="en-US"/>
    </w:rPr>
  </w:style>
  <w:style w:type="paragraph" w:styleId="Heading6">
    <w:name w:val="heading 6"/>
    <w:basedOn w:val="Normal"/>
    <w:next w:val="Normal"/>
    <w:qFormat/>
    <w:rsid w:val="00B0068A"/>
    <w:pPr>
      <w:keepNext/>
      <w:tabs>
        <w:tab w:val="left" w:pos="-720"/>
        <w:tab w:val="left" w:pos="1"/>
        <w:tab w:val="left" w:pos="576"/>
        <w:tab w:val="left" w:pos="1152"/>
        <w:tab w:val="left" w:pos="1728"/>
        <w:tab w:val="left" w:pos="6480"/>
      </w:tabs>
      <w:jc w:val="center"/>
      <w:outlineLvl w:val="5"/>
    </w:pPr>
    <w:rPr>
      <w:spacing w:val="0"/>
      <w:w w:val="100"/>
      <w:kern w:val="0"/>
      <w:sz w:val="24"/>
      <w:u w:val="single"/>
      <w:effect w:val="antsRed"/>
      <w:lang w:val="en-US"/>
    </w:rPr>
  </w:style>
  <w:style w:type="paragraph" w:styleId="Heading7">
    <w:name w:val="heading 7"/>
    <w:basedOn w:val="Normal"/>
    <w:next w:val="Normal"/>
    <w:qFormat/>
    <w:rsid w:val="00B0068A"/>
    <w:pPr>
      <w:keepNext/>
      <w:tabs>
        <w:tab w:val="left" w:pos="-720"/>
        <w:tab w:val="left" w:pos="1"/>
        <w:tab w:val="left" w:pos="576"/>
        <w:tab w:val="left" w:pos="1152"/>
        <w:tab w:val="left" w:pos="1728"/>
        <w:tab w:val="left" w:pos="6480"/>
      </w:tabs>
      <w:jc w:val="center"/>
      <w:outlineLvl w:val="6"/>
    </w:pPr>
    <w:rPr>
      <w:b/>
      <w:spacing w:val="0"/>
      <w:w w:val="100"/>
      <w:kern w:val="0"/>
      <w:sz w:val="24"/>
      <w:effect w:val="antsRed"/>
      <w:lang w:val="en-US"/>
    </w:rPr>
  </w:style>
  <w:style w:type="paragraph" w:styleId="Heading8">
    <w:name w:val="heading 8"/>
    <w:basedOn w:val="Normal"/>
    <w:next w:val="Normal"/>
    <w:qFormat/>
    <w:rsid w:val="00B0068A"/>
    <w:pPr>
      <w:spacing w:before="240" w:after="60" w:line="240" w:lineRule="auto"/>
      <w:jc w:val="both"/>
      <w:outlineLvl w:val="7"/>
    </w:pPr>
    <w:rPr>
      <w:i/>
      <w:iCs/>
      <w:spacing w:val="0"/>
      <w:w w:val="100"/>
      <w:kern w:val="0"/>
      <w:sz w:val="24"/>
      <w:szCs w:val="24"/>
      <w:lang w:val="en-US"/>
    </w:rPr>
  </w:style>
  <w:style w:type="paragraph" w:styleId="Heading9">
    <w:name w:val="heading 9"/>
    <w:basedOn w:val="Normal"/>
    <w:next w:val="Normal"/>
    <w:qFormat/>
    <w:rsid w:val="00B0068A"/>
    <w:pPr>
      <w:tabs>
        <w:tab w:val="num" w:pos="1584"/>
      </w:tabs>
      <w:spacing w:before="240" w:after="60" w:line="240" w:lineRule="auto"/>
      <w:ind w:left="1584" w:hanging="1584"/>
      <w:outlineLvl w:val="8"/>
    </w:pPr>
    <w:rPr>
      <w:rFonts w:ascii="Arial" w:hAnsi="Arial" w:cs="Arial"/>
      <w:spacing w:val="0"/>
      <w:w w:val="100"/>
      <w:kern w:val="0"/>
      <w:sz w:val="22"/>
      <w:szCs w:val="22"/>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SingleTxt"/>
    <w:pPr>
      <w:keepNext/>
      <w:keepLines/>
      <w:suppressAutoHyphen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basedOn w:val="DefaultParagraphFont"/>
    <w:semiHidden/>
    <w:rPr>
      <w:sz w:val="6"/>
    </w:rPr>
  </w:style>
  <w:style w:type="character" w:styleId="FootnoteReference">
    <w:name w:val="footnote reference"/>
    <w:basedOn w:val="DefaultParagraphFont"/>
    <w:semiHidden/>
    <w:rPr>
      <w:rFonts w:ascii="Times New Roman" w:hAnsi="Times New Roman"/>
      <w:dstrike w:val="0"/>
      <w:color w:val="FF0000"/>
      <w:spacing w:val="-5"/>
      <w:w w:val="130"/>
      <w:position w:val="-4"/>
      <w:sz w:val="20"/>
      <w:vertAlign w:val="superscript"/>
    </w:rPr>
  </w:style>
  <w:style w:type="character" w:styleId="EndnoteReference">
    <w:name w:val="endnote reference"/>
    <w:basedOn w:val="FootnoteReference"/>
    <w:semiHidden/>
    <w:rPr>
      <w:color w:val="FF00FF"/>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pPr>
      <w:tabs>
        <w:tab w:val="center" w:pos="4320"/>
        <w:tab w:val="right" w:pos="8640"/>
      </w:tabs>
      <w:spacing w:line="210" w:lineRule="exact"/>
    </w:pPr>
    <w:rPr>
      <w:b/>
      <w:noProof/>
      <w:spacing w:val="3"/>
      <w:w w:val="105"/>
      <w:sz w:val="17"/>
    </w:rPr>
  </w:style>
  <w:style w:type="paragraph" w:styleId="Header">
    <w:name w:val="header"/>
    <w:pPr>
      <w:tabs>
        <w:tab w:val="center" w:pos="4320"/>
        <w:tab w:val="right" w:pos="8640"/>
      </w:tabs>
      <w:spacing w:line="210" w:lineRule="exact"/>
    </w:pPr>
    <w:rPr>
      <w:noProof/>
      <w:spacing w:val="3"/>
      <w:w w:val="105"/>
      <w:sz w:val="17"/>
    </w:rPr>
  </w:style>
  <w:style w:type="character" w:styleId="LineNumber">
    <w:name w:val="line number"/>
    <w:basedOn w:val="DefaultParagraphFont"/>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BalloonText">
    <w:name w:val="Balloon Text"/>
    <w:basedOn w:val="Normal"/>
    <w:semiHidden/>
    <w:rsid w:val="00CF5B1B"/>
    <w:rPr>
      <w:rFonts w:ascii="Tahoma" w:hAnsi="Tahoma" w:cs="Tahoma"/>
      <w:sz w:val="16"/>
      <w:szCs w:val="16"/>
    </w:rPr>
  </w:style>
  <w:style w:type="paragraph" w:styleId="BodyText">
    <w:name w:val="Body Text"/>
    <w:basedOn w:val="Normal"/>
    <w:rsid w:val="00B0068A"/>
    <w:pPr>
      <w:spacing w:line="240" w:lineRule="auto"/>
    </w:pPr>
    <w:rPr>
      <w:b/>
      <w:spacing w:val="0"/>
      <w:w w:val="100"/>
      <w:kern w:val="0"/>
      <w:sz w:val="28"/>
      <w:lang w:val="en-US"/>
    </w:rPr>
  </w:style>
  <w:style w:type="paragraph" w:styleId="BodyText2">
    <w:name w:val="Body Text 2"/>
    <w:basedOn w:val="Normal"/>
    <w:rsid w:val="00B0068A"/>
    <w:pPr>
      <w:tabs>
        <w:tab w:val="left" w:pos="-720"/>
        <w:tab w:val="left" w:pos="1"/>
        <w:tab w:val="left" w:pos="576"/>
        <w:tab w:val="left" w:pos="1152"/>
        <w:tab w:val="left" w:pos="1728"/>
        <w:tab w:val="left" w:pos="6480"/>
      </w:tabs>
    </w:pPr>
    <w:rPr>
      <w:spacing w:val="0"/>
      <w:w w:val="100"/>
      <w:kern w:val="0"/>
      <w:sz w:val="22"/>
      <w:lang w:val="en-US"/>
    </w:rPr>
  </w:style>
  <w:style w:type="paragraph" w:styleId="BodyText3">
    <w:name w:val="Body Text 3"/>
    <w:basedOn w:val="Normal"/>
    <w:rsid w:val="00B0068A"/>
    <w:pPr>
      <w:spacing w:after="120" w:line="240" w:lineRule="auto"/>
    </w:pPr>
    <w:rPr>
      <w:spacing w:val="0"/>
      <w:w w:val="100"/>
      <w:kern w:val="0"/>
      <w:sz w:val="16"/>
      <w:szCs w:val="16"/>
      <w:lang w:val="en-US"/>
    </w:rPr>
  </w:style>
  <w:style w:type="paragraph" w:customStyle="1" w:styleId="Style2">
    <w:name w:val="Style2"/>
    <w:basedOn w:val="TOC2"/>
    <w:autoRedefine/>
    <w:rsid w:val="00B0068A"/>
    <w:pPr>
      <w:tabs>
        <w:tab w:val="left" w:pos="960"/>
        <w:tab w:val="right" w:leader="dot" w:pos="9592"/>
      </w:tabs>
      <w:ind w:left="720" w:hanging="720"/>
    </w:pPr>
    <w:rPr>
      <w:noProof/>
    </w:rPr>
  </w:style>
  <w:style w:type="paragraph" w:styleId="TOC2">
    <w:name w:val="toc 2"/>
    <w:basedOn w:val="Normal"/>
    <w:next w:val="Normal"/>
    <w:autoRedefine/>
    <w:semiHidden/>
    <w:rsid w:val="00B0068A"/>
    <w:pPr>
      <w:spacing w:after="120" w:line="240" w:lineRule="auto"/>
      <w:ind w:left="240"/>
      <w:jc w:val="both"/>
    </w:pPr>
    <w:rPr>
      <w:spacing w:val="0"/>
      <w:w w:val="100"/>
      <w:kern w:val="0"/>
      <w:sz w:val="24"/>
      <w:szCs w:val="24"/>
      <w:lang w:val="en-US"/>
    </w:rPr>
  </w:style>
  <w:style w:type="paragraph" w:styleId="TOC1">
    <w:name w:val="toc 1"/>
    <w:basedOn w:val="Normal"/>
    <w:next w:val="Normal"/>
    <w:autoRedefine/>
    <w:semiHidden/>
    <w:rsid w:val="00AA2F8C"/>
    <w:pPr>
      <w:spacing w:line="480" w:lineRule="auto"/>
      <w:ind w:left="720" w:hanging="720"/>
    </w:pPr>
    <w:rPr>
      <w:spacing w:val="0"/>
      <w:w w:val="100"/>
      <w:kern w:val="0"/>
      <w:sz w:val="14"/>
      <w:szCs w:val="24"/>
      <w:lang w:val="fr-FR"/>
    </w:rPr>
  </w:style>
  <w:style w:type="paragraph" w:customStyle="1" w:styleId="Style1">
    <w:name w:val="Style1"/>
    <w:basedOn w:val="TOC1"/>
    <w:rsid w:val="00B0068A"/>
    <w:pPr>
      <w:tabs>
        <w:tab w:val="right" w:leader="dot" w:pos="9019"/>
      </w:tabs>
    </w:pPr>
    <w:rPr>
      <w:b/>
    </w:rPr>
  </w:style>
  <w:style w:type="paragraph" w:styleId="Title">
    <w:name w:val="Title"/>
    <w:basedOn w:val="Normal"/>
    <w:qFormat/>
    <w:rsid w:val="00B0068A"/>
    <w:pPr>
      <w:spacing w:after="120" w:line="240" w:lineRule="auto"/>
      <w:jc w:val="center"/>
    </w:pPr>
    <w:rPr>
      <w:b/>
      <w:spacing w:val="0"/>
      <w:w w:val="100"/>
      <w:kern w:val="0"/>
      <w:sz w:val="24"/>
      <w:szCs w:val="24"/>
      <w:u w:val="single"/>
      <w:lang w:val="en-GB" w:eastAsia="en-GB"/>
    </w:rPr>
  </w:style>
  <w:style w:type="paragraph" w:customStyle="1" w:styleId="Style3">
    <w:name w:val="Style3"/>
    <w:basedOn w:val="Normal"/>
    <w:rsid w:val="00B0068A"/>
    <w:pPr>
      <w:spacing w:after="120" w:line="240" w:lineRule="auto"/>
      <w:jc w:val="both"/>
    </w:pPr>
    <w:rPr>
      <w:spacing w:val="0"/>
      <w:w w:val="100"/>
      <w:kern w:val="0"/>
      <w:sz w:val="22"/>
      <w:szCs w:val="22"/>
      <w:lang w:val="en-US"/>
    </w:rPr>
  </w:style>
  <w:style w:type="paragraph" w:customStyle="1" w:styleId="Style5">
    <w:name w:val="Style5"/>
    <w:basedOn w:val="Normal"/>
    <w:rsid w:val="00B0068A"/>
    <w:pPr>
      <w:spacing w:after="120" w:line="240" w:lineRule="auto"/>
      <w:jc w:val="both"/>
    </w:pPr>
    <w:rPr>
      <w:spacing w:val="0"/>
      <w:w w:val="100"/>
      <w:kern w:val="0"/>
      <w:sz w:val="22"/>
      <w:szCs w:val="22"/>
      <w:lang w:val="en-US"/>
    </w:rPr>
  </w:style>
  <w:style w:type="paragraph" w:customStyle="1" w:styleId="Style6">
    <w:name w:val="Style6"/>
    <w:basedOn w:val="Normal"/>
    <w:rsid w:val="00B0068A"/>
    <w:pPr>
      <w:spacing w:after="120" w:line="240" w:lineRule="auto"/>
      <w:jc w:val="both"/>
    </w:pPr>
    <w:rPr>
      <w:spacing w:val="0"/>
      <w:w w:val="100"/>
      <w:kern w:val="0"/>
      <w:sz w:val="22"/>
      <w:szCs w:val="22"/>
      <w:lang w:val="en-US"/>
    </w:rPr>
  </w:style>
  <w:style w:type="paragraph" w:customStyle="1" w:styleId="Style7">
    <w:name w:val="Style7"/>
    <w:basedOn w:val="Normal"/>
    <w:rsid w:val="00B0068A"/>
    <w:pPr>
      <w:framePr w:wrap="around" w:vAnchor="text" w:hAnchor="text" w:y="1"/>
      <w:spacing w:after="120" w:line="240" w:lineRule="auto"/>
      <w:jc w:val="both"/>
    </w:pPr>
    <w:rPr>
      <w:spacing w:val="0"/>
      <w:w w:val="100"/>
      <w:kern w:val="0"/>
      <w:sz w:val="22"/>
      <w:szCs w:val="22"/>
      <w:lang w:val="en-US"/>
    </w:rPr>
  </w:style>
  <w:style w:type="paragraph" w:customStyle="1" w:styleId="sha">
    <w:name w:val="sha"/>
    <w:basedOn w:val="Normal"/>
    <w:rsid w:val="00B0068A"/>
    <w:pPr>
      <w:spacing w:line="240" w:lineRule="auto"/>
    </w:pPr>
    <w:rPr>
      <w:rFonts w:ascii="Arial" w:hAnsi="Arial"/>
      <w:spacing w:val="0"/>
      <w:w w:val="100"/>
      <w:kern w:val="0"/>
      <w:sz w:val="24"/>
      <w:szCs w:val="24"/>
      <w:lang w:val="en-US"/>
    </w:rPr>
  </w:style>
  <w:style w:type="paragraph" w:customStyle="1" w:styleId="level54">
    <w:name w:val="_level54"/>
    <w:basedOn w:val="Normal"/>
    <w:rsid w:val="00B006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1800" w:hanging="360"/>
    </w:pPr>
    <w:rPr>
      <w:spacing w:val="0"/>
      <w:w w:val="100"/>
      <w:kern w:val="0"/>
      <w:sz w:val="24"/>
      <w:lang w:val="en-US"/>
    </w:rPr>
  </w:style>
  <w:style w:type="paragraph" w:customStyle="1" w:styleId="body">
    <w:name w:val="body"/>
    <w:basedOn w:val="Normal"/>
    <w:rsid w:val="00B0068A"/>
    <w:pPr>
      <w:spacing w:before="100" w:beforeAutospacing="1" w:after="100" w:afterAutospacing="1" w:line="240" w:lineRule="auto"/>
      <w:ind w:right="200"/>
      <w:jc w:val="both"/>
    </w:pPr>
    <w:rPr>
      <w:rFonts w:ascii="Verdana" w:hAnsi="Verdana"/>
      <w:color w:val="333333"/>
      <w:spacing w:val="0"/>
      <w:w w:val="100"/>
      <w:kern w:val="0"/>
      <w:lang w:val="en-GB" w:eastAsia="en-GB"/>
    </w:rPr>
  </w:style>
  <w:style w:type="paragraph" w:customStyle="1" w:styleId="Tables">
    <w:name w:val="Tables"/>
    <w:basedOn w:val="Normal"/>
    <w:rsid w:val="00B0068A"/>
    <w:pPr>
      <w:spacing w:after="120" w:line="240" w:lineRule="auto"/>
      <w:jc w:val="center"/>
    </w:pPr>
    <w:rPr>
      <w:b/>
      <w:i/>
      <w:spacing w:val="0"/>
      <w:w w:val="100"/>
      <w:kern w:val="0"/>
      <w:sz w:val="24"/>
      <w:szCs w:val="24"/>
      <w:lang w:val="en-US"/>
    </w:rPr>
  </w:style>
  <w:style w:type="paragraph" w:customStyle="1" w:styleId="Figures">
    <w:name w:val="Figures"/>
    <w:basedOn w:val="Normal"/>
    <w:rsid w:val="00B0068A"/>
    <w:pPr>
      <w:spacing w:after="120" w:line="240" w:lineRule="auto"/>
      <w:jc w:val="center"/>
    </w:pPr>
    <w:rPr>
      <w:b/>
      <w:i/>
      <w:spacing w:val="0"/>
      <w:w w:val="100"/>
      <w:kern w:val="0"/>
      <w:sz w:val="24"/>
      <w:szCs w:val="24"/>
      <w:lang w:val="en-US"/>
    </w:rPr>
  </w:style>
  <w:style w:type="paragraph" w:styleId="NormalWeb">
    <w:name w:val="Normal (Web)"/>
    <w:basedOn w:val="Normal"/>
    <w:rsid w:val="00B0068A"/>
    <w:pPr>
      <w:spacing w:before="100" w:beforeAutospacing="1" w:after="100" w:afterAutospacing="1" w:line="240" w:lineRule="auto"/>
    </w:pPr>
    <w:rPr>
      <w:spacing w:val="0"/>
      <w:w w:val="100"/>
      <w:kern w:val="0"/>
      <w:sz w:val="24"/>
      <w:szCs w:val="24"/>
      <w:lang w:val="en-GB" w:eastAsia="en-GB"/>
    </w:rPr>
  </w:style>
  <w:style w:type="paragraph" w:customStyle="1" w:styleId="xl27">
    <w:name w:val="xl27"/>
    <w:basedOn w:val="Normal"/>
    <w:rsid w:val="00B0068A"/>
    <w:pPr>
      <w:spacing w:before="100" w:beforeAutospacing="1" w:after="100" w:afterAutospacing="1" w:line="240" w:lineRule="auto"/>
      <w:textAlignment w:val="top"/>
    </w:pPr>
    <w:rPr>
      <w:rFonts w:ascii="Arial" w:eastAsia="Arial Unicode MS" w:hAnsi="Arial" w:cs="Arial"/>
      <w:b/>
      <w:bCs/>
      <w:spacing w:val="0"/>
      <w:w w:val="100"/>
      <w:kern w:val="0"/>
      <w:sz w:val="24"/>
      <w:szCs w:val="24"/>
      <w:lang w:val="en-US"/>
    </w:rPr>
  </w:style>
  <w:style w:type="character" w:styleId="PageNumber">
    <w:name w:val="page number"/>
    <w:basedOn w:val="DefaultParagraphFont"/>
    <w:rsid w:val="00B0068A"/>
  </w:style>
  <w:style w:type="paragraph" w:styleId="BodyTextIndent">
    <w:name w:val="Body Text Indent"/>
    <w:basedOn w:val="Normal"/>
    <w:rsid w:val="00B0068A"/>
    <w:pPr>
      <w:spacing w:after="120" w:line="240" w:lineRule="auto"/>
      <w:ind w:left="360"/>
      <w:jc w:val="both"/>
    </w:pPr>
    <w:rPr>
      <w:spacing w:val="0"/>
      <w:w w:val="100"/>
      <w:kern w:val="0"/>
      <w:sz w:val="24"/>
      <w:szCs w:val="24"/>
      <w:lang w:val="en-US"/>
    </w:rPr>
  </w:style>
  <w:style w:type="paragraph" w:styleId="BodyTextIndent2">
    <w:name w:val="Body Text Indent 2"/>
    <w:basedOn w:val="Normal"/>
    <w:rsid w:val="00B0068A"/>
    <w:pPr>
      <w:spacing w:after="120" w:line="480" w:lineRule="auto"/>
      <w:ind w:left="360"/>
      <w:jc w:val="both"/>
    </w:pPr>
    <w:rPr>
      <w:spacing w:val="0"/>
      <w:w w:val="100"/>
      <w:kern w:val="0"/>
      <w:sz w:val="24"/>
      <w:szCs w:val="24"/>
      <w:lang w:val="en-US"/>
    </w:rPr>
  </w:style>
  <w:style w:type="paragraph" w:styleId="BodyTextIndent3">
    <w:name w:val="Body Text Indent 3"/>
    <w:basedOn w:val="Normal"/>
    <w:rsid w:val="00B0068A"/>
    <w:pPr>
      <w:spacing w:after="120" w:line="240" w:lineRule="auto"/>
      <w:ind w:left="360"/>
      <w:jc w:val="both"/>
    </w:pPr>
    <w:rPr>
      <w:spacing w:val="0"/>
      <w:w w:val="100"/>
      <w:kern w:val="0"/>
      <w:sz w:val="16"/>
      <w:szCs w:val="16"/>
      <w:lang w:val="en-US"/>
    </w:rPr>
  </w:style>
  <w:style w:type="paragraph" w:customStyle="1" w:styleId="cedaw">
    <w:name w:val="cedaw"/>
    <w:basedOn w:val="Heading1"/>
    <w:rsid w:val="00B0068A"/>
    <w:pPr>
      <w:pBdr>
        <w:top w:val="single" w:sz="4" w:space="1" w:color="auto" w:shadow="1"/>
        <w:left w:val="single" w:sz="4" w:space="4" w:color="auto" w:shadow="1"/>
        <w:bottom w:val="single" w:sz="4" w:space="1" w:color="auto" w:shadow="1"/>
        <w:right w:val="single" w:sz="4" w:space="4" w:color="auto" w:shadow="1"/>
      </w:pBdr>
      <w:tabs>
        <w:tab w:val="clear" w:pos="4680"/>
        <w:tab w:val="num" w:pos="720"/>
      </w:tabs>
      <w:spacing w:before="240" w:after="60"/>
      <w:ind w:left="720" w:hanging="720"/>
    </w:pPr>
    <w:rPr>
      <w:rFonts w:ascii="Arial" w:hAnsi="Arial" w:cs="Arial"/>
      <w:b/>
      <w:bCs/>
      <w:kern w:val="32"/>
      <w:sz w:val="32"/>
      <w:szCs w:val="32"/>
      <w:lang w:val="en-US"/>
    </w:rPr>
  </w:style>
  <w:style w:type="paragraph" w:customStyle="1" w:styleId="Style8">
    <w:name w:val="Style8"/>
    <w:basedOn w:val="Normal"/>
    <w:rsid w:val="00B0068A"/>
    <w:pPr>
      <w:spacing w:after="120" w:line="240" w:lineRule="auto"/>
      <w:jc w:val="both"/>
    </w:pPr>
    <w:rPr>
      <w:spacing w:val="0"/>
      <w:w w:val="100"/>
      <w:kern w:val="0"/>
      <w:sz w:val="22"/>
      <w:szCs w:val="22"/>
      <w:lang w:val="en-US"/>
    </w:rPr>
  </w:style>
  <w:style w:type="paragraph" w:customStyle="1" w:styleId="Style9">
    <w:name w:val="Style9"/>
    <w:basedOn w:val="Normal"/>
    <w:rsid w:val="00B0068A"/>
    <w:pPr>
      <w:spacing w:after="120" w:line="240" w:lineRule="auto"/>
      <w:jc w:val="both"/>
    </w:pPr>
    <w:rPr>
      <w:spacing w:val="0"/>
      <w:w w:val="100"/>
      <w:kern w:val="0"/>
      <w:sz w:val="22"/>
      <w:szCs w:val="22"/>
      <w:lang w:val="en-US"/>
    </w:rPr>
  </w:style>
  <w:style w:type="paragraph" w:styleId="Date">
    <w:name w:val="Date"/>
    <w:basedOn w:val="Normal"/>
    <w:next w:val="Normal"/>
    <w:rsid w:val="00B0068A"/>
    <w:pPr>
      <w:spacing w:after="120" w:line="240" w:lineRule="auto"/>
      <w:jc w:val="both"/>
    </w:pPr>
    <w:rPr>
      <w:spacing w:val="0"/>
      <w:w w:val="100"/>
      <w:kern w:val="0"/>
      <w:sz w:val="24"/>
      <w:szCs w:val="24"/>
      <w:lang w:val="en-US"/>
    </w:rPr>
  </w:style>
  <w:style w:type="paragraph" w:styleId="Caption">
    <w:name w:val="caption"/>
    <w:basedOn w:val="Normal"/>
    <w:next w:val="Normal"/>
    <w:qFormat/>
    <w:rsid w:val="00B0068A"/>
    <w:pPr>
      <w:spacing w:after="120" w:line="240" w:lineRule="auto"/>
      <w:jc w:val="both"/>
    </w:pPr>
    <w:rPr>
      <w:b/>
      <w:bCs/>
      <w:i/>
      <w:iCs/>
      <w:spacing w:val="0"/>
      <w:w w:val="100"/>
      <w:kern w:val="0"/>
      <w:szCs w:val="24"/>
      <w:lang w:val="en-GB" w:eastAsia="en-GB"/>
    </w:rPr>
  </w:style>
  <w:style w:type="paragraph" w:customStyle="1" w:styleId="DefaultText">
    <w:name w:val="Default Text"/>
    <w:basedOn w:val="Normal"/>
    <w:rsid w:val="00B0068A"/>
    <w:pPr>
      <w:overflowPunct w:val="0"/>
      <w:autoSpaceDE w:val="0"/>
      <w:autoSpaceDN w:val="0"/>
      <w:adjustRightInd w:val="0"/>
      <w:spacing w:line="240" w:lineRule="auto"/>
      <w:textAlignment w:val="baseline"/>
    </w:pPr>
    <w:rPr>
      <w:noProof/>
      <w:spacing w:val="0"/>
      <w:w w:val="100"/>
      <w:kern w:val="0"/>
      <w:sz w:val="24"/>
      <w:lang w:val="en-US"/>
    </w:rPr>
  </w:style>
  <w:style w:type="paragraph" w:styleId="PlainText">
    <w:name w:val="Plain Text"/>
    <w:basedOn w:val="Normal"/>
    <w:rsid w:val="00B0068A"/>
    <w:pPr>
      <w:spacing w:line="240" w:lineRule="auto"/>
    </w:pPr>
    <w:rPr>
      <w:rFonts w:ascii="Courier New" w:hAnsi="Courier New" w:cs="Courier New"/>
      <w:spacing w:val="0"/>
      <w:w w:val="100"/>
      <w:kern w:val="0"/>
      <w:lang w:val="en-GB"/>
    </w:rPr>
  </w:style>
  <w:style w:type="paragraph" w:customStyle="1" w:styleId="BT1">
    <w:name w:val="BT 1"/>
    <w:basedOn w:val="Normal"/>
    <w:rsid w:val="00B0068A"/>
    <w:pPr>
      <w:tabs>
        <w:tab w:val="num" w:pos="720"/>
      </w:tabs>
      <w:spacing w:after="120" w:line="240" w:lineRule="auto"/>
      <w:ind w:left="720" w:hanging="360"/>
      <w:jc w:val="both"/>
    </w:pPr>
    <w:rPr>
      <w:spacing w:val="0"/>
      <w:w w:val="100"/>
      <w:kern w:val="0"/>
      <w:sz w:val="24"/>
      <w:szCs w:val="24"/>
      <w:lang w:val="en-US"/>
    </w:rPr>
  </w:style>
  <w:style w:type="character" w:styleId="Hyperlink">
    <w:name w:val="Hyperlink"/>
    <w:basedOn w:val="DefaultParagraphFont"/>
    <w:rsid w:val="00B0068A"/>
    <w:rPr>
      <w:color w:val="0000FF"/>
      <w:u w:val="none"/>
    </w:rPr>
  </w:style>
  <w:style w:type="character" w:styleId="FollowedHyperlink">
    <w:name w:val="FollowedHyperlink"/>
    <w:basedOn w:val="DefaultParagraphFont"/>
    <w:rsid w:val="00B0068A"/>
    <w:rPr>
      <w:color w:val="0000FF"/>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settings" Target="settings.xml"/><Relationship Id="rId21" Type="http://schemas.openxmlformats.org/officeDocument/2006/relationships/oleObject" Target="embeddings/oleObject2.bin"/><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ngcedaw2005@yahoo.com" TargetMode="External"/><Relationship Id="rId25"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8.emf"/><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oleObject" Target="embeddings/oleObject3.bin"/><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image" Target="media/image7.emf"/><Relationship Id="rId27" Type="http://schemas.openxmlformats.org/officeDocument/2006/relationships/oleObject" Target="embeddings/oleObject5.bin"/></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42234</Words>
  <Characters>232290</Characters>
  <Application>Microsoft Office Outlook</Application>
  <DocSecurity>4</DocSecurity>
  <Lines>1935</Lines>
  <Paragraphs>547</Paragraphs>
  <ScaleCrop>false</ScaleCrop>
  <HeadingPairs>
    <vt:vector size="2" baseType="variant">
      <vt:variant>
        <vt:lpstr>Title</vt:lpstr>
      </vt:variant>
      <vt:variant>
        <vt:i4>1</vt:i4>
      </vt:variant>
    </vt:vector>
  </HeadingPairs>
  <TitlesOfParts>
    <vt:vector size="1" baseType="lpstr">
      <vt:lpstr>For French TPU (Oct. 18, 2000)</vt:lpstr>
    </vt:vector>
  </TitlesOfParts>
  <Company> </Company>
  <LinksUpToDate>false</LinksUpToDate>
  <CharactersWithSpaces>273977</CharactersWithSpaces>
  <SharedDoc>false</SharedDoc>
  <HLinks>
    <vt:vector size="6" baseType="variant">
      <vt:variant>
        <vt:i4>589860</vt:i4>
      </vt:variant>
      <vt:variant>
        <vt:i4>0</vt:i4>
      </vt:variant>
      <vt:variant>
        <vt:i4>0</vt:i4>
      </vt:variant>
      <vt:variant>
        <vt:i4>5</vt:i4>
      </vt:variant>
      <vt:variant>
        <vt:lpwstr>mailto:ngcedaw2005@yahoo.com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French TPU (Oct. 18, 2000)</dc:title>
  <dc:subject>Normal Template</dc:subject>
  <dc:creator>Jacqueline Smagacz</dc:creator>
  <cp:keywords/>
  <cp:lastModifiedBy>CMS Installer</cp:lastModifiedBy>
  <cp:revision>5</cp:revision>
  <cp:lastPrinted>2007-07-13T14:49:00Z</cp:lastPrinted>
  <dcterms:created xsi:type="dcterms:W3CDTF">2007-07-13T14:49:00Z</dcterms:created>
  <dcterms:modified xsi:type="dcterms:W3CDTF">2007-07-13T14:57:00Z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JobNo">
    <vt:lpwstr>0668785F</vt:lpwstr>
  </property>
  <property fmtid="{D5CDD505-2E9C-101B-9397-08002B2CF9AE}" pid="5" name="Symbol1">
    <vt:lpwstr>CEDAW/C/NGA/6</vt:lpwstr>
  </property>
  <property fmtid="{D5CDD505-2E9C-101B-9397-08002B2CF9AE}" pid="6" name="Comment">
    <vt:lpwstr/>
  </property>
  <property fmtid="{D5CDD505-2E9C-101B-9397-08002B2CF9AE}" pid="7" name="DraftPages">
    <vt:lpwstr> </vt:lpwstr>
  </property>
  <property fmtid="{D5CDD505-2E9C-101B-9397-08002B2CF9AE}" pid="8" name="Operator">
    <vt:lpwstr>/Chris</vt:lpwstr>
  </property>
</Properties>
</file>