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4974" w14:textId="0EECB28F" w:rsidR="00F16571" w:rsidRDefault="00831F79">
      <w:pPr>
        <w:spacing w:line="240" w:lineRule="auto"/>
        <w:rPr>
          <w:sz w:val="2"/>
          <w:szCs w:val="2"/>
          <w:lang w:val="es-ES"/>
        </w:rPr>
      </w:pPr>
      <w:r>
        <w:rPr>
          <w:rStyle w:val="CommentReference"/>
        </w:rPr>
        <w:commentReference w:id="0"/>
      </w:r>
    </w:p>
    <w:p w14:paraId="298AD86D" w14:textId="77777777" w:rsidR="00831F79" w:rsidRPr="00831F79" w:rsidRDefault="00831F79" w:rsidP="00831F79">
      <w:pPr>
        <w:spacing w:line="20" w:lineRule="exact"/>
        <w:rPr>
          <w:sz w:val="2"/>
          <w:szCs w:val="2"/>
          <w:lang w:val="es-ES"/>
        </w:rPr>
        <w:sectPr w:rsidR="00831F79" w:rsidRPr="00831F79" w:rsidSect="00B11E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195" w:bottom="1152" w:left="1195" w:header="432" w:footer="504" w:gutter="0"/>
          <w:pgNumType w:start="1"/>
          <w:cols w:space="720"/>
          <w:noEndnote/>
          <w:titlePg/>
          <w:docGrid w:linePitch="278"/>
        </w:sectPr>
      </w:pPr>
    </w:p>
    <w:p w14:paraId="5C049DB0" w14:textId="77777777" w:rsidR="00F16571" w:rsidRPr="00961CFD" w:rsidRDefault="00F16571" w:rsidP="001A0D15">
      <w:pPr>
        <w:pStyle w:val="TitleH1"/>
        <w:ind w:left="0" w:right="4270" w:firstLine="0"/>
        <w:rPr>
          <w:lang w:val="es-ES" w:eastAsia="en-US"/>
        </w:rPr>
      </w:pPr>
      <w:r w:rsidRPr="00961CFD">
        <w:rPr>
          <w:lang w:val="es-ES" w:eastAsia="en-US"/>
        </w:rPr>
        <w:t>Comité para la Eliminación de la Discriminación</w:t>
      </w:r>
      <w:r w:rsidR="00503E52" w:rsidRPr="00961CFD">
        <w:rPr>
          <w:lang w:val="es-ES" w:eastAsia="en-US"/>
        </w:rPr>
        <w:t xml:space="preserve"> </w:t>
      </w:r>
      <w:r w:rsidRPr="00961CFD">
        <w:rPr>
          <w:lang w:val="es-ES" w:eastAsia="en-US"/>
        </w:rPr>
        <w:t>contra la Mujer</w:t>
      </w:r>
    </w:p>
    <w:p w14:paraId="38224BC5" w14:textId="77777777" w:rsidR="00F16571" w:rsidRPr="00961CFD" w:rsidRDefault="00F16571">
      <w:pPr>
        <w:pStyle w:val="SingleTxt"/>
        <w:spacing w:after="0" w:line="120" w:lineRule="exact"/>
        <w:rPr>
          <w:sz w:val="10"/>
          <w:szCs w:val="10"/>
          <w:lang w:val="es-ES"/>
        </w:rPr>
      </w:pPr>
    </w:p>
    <w:p w14:paraId="16C1A574" w14:textId="77777777" w:rsidR="00F16571" w:rsidRPr="00961CFD" w:rsidRDefault="00F16571">
      <w:pPr>
        <w:pStyle w:val="SingleTxt"/>
        <w:spacing w:after="0" w:line="120" w:lineRule="exact"/>
        <w:rPr>
          <w:sz w:val="10"/>
          <w:szCs w:val="10"/>
          <w:lang w:val="es-ES"/>
        </w:rPr>
      </w:pPr>
    </w:p>
    <w:p w14:paraId="1DF5014D" w14:textId="77777777" w:rsidR="00352A6C" w:rsidRPr="00961CFD" w:rsidRDefault="00352A6C">
      <w:pPr>
        <w:pStyle w:val="SingleTxt"/>
        <w:spacing w:after="0" w:line="120" w:lineRule="exact"/>
        <w:rPr>
          <w:sz w:val="10"/>
          <w:szCs w:val="10"/>
          <w:lang w:val="es-ES"/>
        </w:rPr>
      </w:pPr>
    </w:p>
    <w:p w14:paraId="5B3F9640" w14:textId="77777777" w:rsidR="00181342" w:rsidRPr="00961CFD" w:rsidRDefault="00181342" w:rsidP="001A0D15">
      <w:pPr>
        <w:pStyle w:val="TitleHCH"/>
        <w:ind w:right="1260"/>
        <w:rPr>
          <w:lang w:val="es-ES" w:eastAsia="en-US"/>
        </w:rPr>
      </w:pPr>
      <w:r w:rsidRPr="00961CFD">
        <w:rPr>
          <w:lang w:val="es-ES" w:eastAsia="en-US"/>
        </w:rPr>
        <w:tab/>
      </w:r>
      <w:r w:rsidRPr="00961CFD">
        <w:rPr>
          <w:lang w:val="es-ES" w:eastAsia="en-US"/>
        </w:rPr>
        <w:tab/>
      </w:r>
      <w:r w:rsidR="0068445C" w:rsidRPr="00961CFD">
        <w:rPr>
          <w:lang w:val="es-ES" w:eastAsia="en-US"/>
        </w:rPr>
        <w:t>Observaciones final</w:t>
      </w:r>
      <w:bookmarkStart w:id="1" w:name="_GoBack"/>
      <w:bookmarkEnd w:id="1"/>
      <w:r w:rsidR="0068445C" w:rsidRPr="00961CFD">
        <w:rPr>
          <w:lang w:val="es-ES" w:eastAsia="en-US"/>
        </w:rPr>
        <w:t>es sobre el informe inicial y el segundo informe periódico combinados de Nauru</w:t>
      </w:r>
      <w:r w:rsidRPr="00961CFD">
        <w:rPr>
          <w:sz w:val="20"/>
          <w:lang w:val="es-ES" w:eastAsia="en-US"/>
        </w:rPr>
        <w:t>*</w:t>
      </w:r>
    </w:p>
    <w:p w14:paraId="317406B1" w14:textId="02A853E8" w:rsidR="00181342" w:rsidRPr="00961CFD" w:rsidRDefault="00181342" w:rsidP="009979B6">
      <w:pPr>
        <w:pStyle w:val="SingleTxt"/>
        <w:spacing w:after="0" w:line="120" w:lineRule="exact"/>
        <w:rPr>
          <w:sz w:val="10"/>
          <w:szCs w:val="10"/>
          <w:lang w:val="es-ES"/>
        </w:rPr>
      </w:pPr>
    </w:p>
    <w:p w14:paraId="4B318E4A" w14:textId="77777777" w:rsidR="00181342" w:rsidRPr="00961CFD" w:rsidRDefault="00181342" w:rsidP="009979B6">
      <w:pPr>
        <w:pStyle w:val="SingleTxt"/>
        <w:spacing w:after="0" w:line="120" w:lineRule="exact"/>
        <w:rPr>
          <w:sz w:val="10"/>
          <w:szCs w:val="10"/>
          <w:lang w:val="es-ES"/>
        </w:rPr>
      </w:pPr>
    </w:p>
    <w:p w14:paraId="472C8C7E" w14:textId="77777777" w:rsidR="009B4B38" w:rsidRPr="00961CFD" w:rsidRDefault="009B4B38" w:rsidP="009B4B38">
      <w:pPr>
        <w:framePr w:w="9792" w:h="432" w:hSpace="180" w:wrap="around" w:vAnchor="page" w:hAnchor="page" w:x="1210" w:y="14041"/>
        <w:spacing w:line="240" w:lineRule="auto"/>
        <w:rPr>
          <w:sz w:val="10"/>
          <w:lang w:val="es-ES"/>
        </w:rPr>
      </w:pPr>
    </w:p>
    <w:p w14:paraId="13168EED" w14:textId="77ECA652" w:rsidR="009B4B38" w:rsidRPr="00961CFD" w:rsidRDefault="009B4B38" w:rsidP="009B4B38">
      <w:pPr>
        <w:framePr w:w="9792" w:h="432" w:hSpace="180" w:wrap="around" w:vAnchor="page" w:hAnchor="page" w:x="1210" w:y="14041"/>
        <w:spacing w:line="240" w:lineRule="auto"/>
        <w:rPr>
          <w:sz w:val="6"/>
          <w:lang w:val="es-ES"/>
        </w:rPr>
      </w:pPr>
    </w:p>
    <w:p w14:paraId="6375C2B5" w14:textId="1363EF1E" w:rsidR="009B4B38" w:rsidRPr="00961CFD" w:rsidRDefault="009B4B38" w:rsidP="008F5D1B">
      <w:pPr>
        <w:framePr w:w="9792" w:h="432" w:hSpace="180" w:wrap="around" w:vAnchor="page" w:hAnchor="page" w:x="1210" w:y="14041"/>
        <w:tabs>
          <w:tab w:val="right" w:pos="1195"/>
          <w:tab w:val="left" w:pos="126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 w:eastAsia="en-US"/>
        </w:rPr>
      </w:pPr>
      <w:r w:rsidRPr="00961CFD">
        <w:rPr>
          <w:sz w:val="17"/>
          <w:lang w:val="es-ES" w:eastAsia="en-US"/>
        </w:rPr>
        <w:tab/>
        <w:t>*</w:t>
      </w:r>
      <w:r w:rsidRPr="00961CFD">
        <w:rPr>
          <w:sz w:val="17"/>
          <w:lang w:val="es-ES" w:eastAsia="en-US"/>
        </w:rPr>
        <w:tab/>
      </w:r>
      <w:r w:rsidR="00131788" w:rsidRPr="00961CFD">
        <w:rPr>
          <w:sz w:val="17"/>
          <w:lang w:val="es-ES" w:eastAsia="en-US"/>
        </w:rPr>
        <w:t>Aprobadas por el Comité en su</w:t>
      </w:r>
      <w:r w:rsidR="00202F8E" w:rsidRPr="00961CFD">
        <w:rPr>
          <w:sz w:val="17"/>
          <w:lang w:val="es-ES" w:eastAsia="en-US"/>
        </w:rPr>
        <w:t xml:space="preserve"> 68</w:t>
      </w:r>
      <w:r w:rsidR="00131788" w:rsidRPr="00961CFD">
        <w:rPr>
          <w:sz w:val="17"/>
          <w:lang w:val="es-ES" w:eastAsia="en-US"/>
        </w:rPr>
        <w:t>º período de sesiones (</w:t>
      </w:r>
      <w:r w:rsidR="00202F8E" w:rsidRPr="00961CFD">
        <w:rPr>
          <w:sz w:val="17"/>
          <w:lang w:val="es-ES" w:eastAsia="en-US"/>
        </w:rPr>
        <w:t xml:space="preserve">23 </w:t>
      </w:r>
      <w:r w:rsidR="00131788" w:rsidRPr="00961CFD">
        <w:rPr>
          <w:sz w:val="17"/>
          <w:lang w:val="es-ES" w:eastAsia="en-US"/>
        </w:rPr>
        <w:t>de octubre a</w:t>
      </w:r>
      <w:r w:rsidR="00202F8E" w:rsidRPr="00961CFD">
        <w:rPr>
          <w:sz w:val="17"/>
          <w:lang w:val="es-ES" w:eastAsia="en-US"/>
        </w:rPr>
        <w:t xml:space="preserve"> 17 </w:t>
      </w:r>
      <w:r w:rsidR="00131788" w:rsidRPr="00961CFD">
        <w:rPr>
          <w:sz w:val="17"/>
          <w:lang w:val="es-ES" w:eastAsia="en-US"/>
        </w:rPr>
        <w:t>de noviembre de</w:t>
      </w:r>
      <w:r w:rsidR="00202F8E" w:rsidRPr="00961CFD">
        <w:rPr>
          <w:sz w:val="17"/>
          <w:lang w:val="es-ES" w:eastAsia="en-US"/>
        </w:rPr>
        <w:t xml:space="preserve"> 2017</w:t>
      </w:r>
      <w:r w:rsidR="00131788" w:rsidRPr="00961CFD">
        <w:rPr>
          <w:sz w:val="17"/>
          <w:lang w:val="es-ES" w:eastAsia="en-US"/>
        </w:rPr>
        <w:t>)</w:t>
      </w:r>
      <w:r w:rsidR="00202F8E" w:rsidRPr="00961CFD">
        <w:rPr>
          <w:sz w:val="17"/>
          <w:lang w:val="es-ES" w:eastAsia="en-US"/>
        </w:rPr>
        <w:t>.</w:t>
      </w:r>
    </w:p>
    <w:p w14:paraId="37BB84D4" w14:textId="5CA31C2B" w:rsidR="005E4AC4" w:rsidRPr="00961CFD" w:rsidRDefault="0068445C" w:rsidP="0068445C">
      <w:pPr>
        <w:pStyle w:val="SingleTxt"/>
        <w:numPr>
          <w:ilvl w:val="0"/>
          <w:numId w:val="31"/>
        </w:numPr>
        <w:tabs>
          <w:tab w:val="num" w:pos="1742"/>
        </w:tabs>
        <w:ind w:left="1267" w:firstLine="0"/>
        <w:rPr>
          <w:szCs w:val="22"/>
          <w:lang w:val="es-ES" w:eastAsia="en-US"/>
        </w:rPr>
      </w:pPr>
      <w:r w:rsidRPr="00961CFD">
        <w:rPr>
          <w:szCs w:val="22"/>
          <w:lang w:val="es-ES" w:eastAsia="en-US"/>
        </w:rPr>
        <w:t>El Comité examinó el informe inicial y el segundo informe periódico combinados de Nauru (</w:t>
      </w:r>
      <w:hyperlink r:id="rId16" w:history="1">
        <w:r w:rsidRPr="00961CFD">
          <w:rPr>
            <w:rStyle w:val="Hyperlink"/>
            <w:szCs w:val="22"/>
            <w:lang w:val="es-ES" w:eastAsia="en-US"/>
          </w:rPr>
          <w:t>CEDAW/C/NRU/</w:t>
        </w:r>
        <w:r w:rsidR="00202F8E" w:rsidRPr="00961CFD">
          <w:rPr>
            <w:rStyle w:val="Hyperlink"/>
            <w:szCs w:val="22"/>
            <w:lang w:val="es-ES" w:eastAsia="en-US"/>
          </w:rPr>
          <w:t>1</w:t>
        </w:r>
        <w:r w:rsidR="00202F8E" w:rsidRPr="00961CFD">
          <w:rPr>
            <w:rStyle w:val="Hyperlink"/>
            <w:szCs w:val="22"/>
            <w:lang w:val="es-ES" w:eastAsia="en-US"/>
          </w:rPr>
          <w:noBreakHyphen/>
          <w:t>2</w:t>
        </w:r>
      </w:hyperlink>
      <w:r w:rsidRPr="00961CFD">
        <w:rPr>
          <w:szCs w:val="22"/>
          <w:lang w:val="es-ES" w:eastAsia="en-US"/>
        </w:rPr>
        <w:t>) en sus sesiones</w:t>
      </w:r>
      <w:r w:rsidR="003C31CB">
        <w:rPr>
          <w:szCs w:val="22"/>
          <w:lang w:val="es-ES" w:eastAsia="en-US"/>
        </w:rPr>
        <w:t xml:space="preserve"> 1</w:t>
      </w:r>
      <w:r w:rsidR="00202F8E" w:rsidRPr="00961CFD">
        <w:rPr>
          <w:szCs w:val="22"/>
          <w:lang w:val="es-ES" w:eastAsia="en-US"/>
        </w:rPr>
        <w:t>538</w:t>
      </w:r>
      <w:r w:rsidRPr="00961CFD">
        <w:rPr>
          <w:szCs w:val="22"/>
          <w:lang w:val="es-ES" w:eastAsia="en-US"/>
        </w:rPr>
        <w:t>ª y</w:t>
      </w:r>
      <w:r w:rsidR="003C31CB">
        <w:rPr>
          <w:szCs w:val="22"/>
          <w:lang w:val="es-ES" w:eastAsia="en-US"/>
        </w:rPr>
        <w:t xml:space="preserve"> 1</w:t>
      </w:r>
      <w:r w:rsidR="00202F8E" w:rsidRPr="00961CFD">
        <w:rPr>
          <w:szCs w:val="22"/>
          <w:lang w:val="es-ES" w:eastAsia="en-US"/>
        </w:rPr>
        <w:t>539</w:t>
      </w:r>
      <w:r w:rsidRPr="00961CFD">
        <w:rPr>
          <w:szCs w:val="22"/>
          <w:lang w:val="es-ES" w:eastAsia="en-US"/>
        </w:rPr>
        <w:t xml:space="preserve">ª (véanse los documentos </w:t>
      </w:r>
      <w:hyperlink r:id="rId17" w:history="1">
        <w:r w:rsidRPr="00961CFD">
          <w:rPr>
            <w:rStyle w:val="Hyperlink"/>
            <w:szCs w:val="22"/>
            <w:lang w:val="es-ES" w:eastAsia="en-US"/>
          </w:rPr>
          <w:t>CEDAW/C</w:t>
        </w:r>
        <w:r w:rsidRPr="00961CFD">
          <w:rPr>
            <w:rStyle w:val="Hyperlink"/>
            <w:szCs w:val="22"/>
            <w:lang w:val="es-ES" w:eastAsia="en-US"/>
          </w:rPr>
          <w:t>/</w:t>
        </w:r>
        <w:r w:rsidRPr="00961CFD">
          <w:rPr>
            <w:rStyle w:val="Hyperlink"/>
            <w:szCs w:val="22"/>
            <w:lang w:val="es-ES" w:eastAsia="en-US"/>
          </w:rPr>
          <w:t>SR</w:t>
        </w:r>
        <w:r w:rsidR="00202F8E" w:rsidRPr="00961CFD">
          <w:rPr>
            <w:rStyle w:val="Hyperlink"/>
            <w:szCs w:val="22"/>
            <w:lang w:val="es-ES" w:eastAsia="en-US"/>
          </w:rPr>
          <w:t>.1538</w:t>
        </w:r>
      </w:hyperlink>
      <w:r w:rsidRPr="00961CFD">
        <w:rPr>
          <w:szCs w:val="22"/>
          <w:lang w:val="es-ES" w:eastAsia="en-US"/>
        </w:rPr>
        <w:t xml:space="preserve"> y </w:t>
      </w:r>
      <w:hyperlink r:id="rId18" w:history="1">
        <w:r w:rsidRPr="00961CFD">
          <w:rPr>
            <w:rStyle w:val="Hyperlink"/>
            <w:szCs w:val="22"/>
            <w:lang w:val="es-ES" w:eastAsia="en-US"/>
          </w:rPr>
          <w:t>CEDAW/C/SR</w:t>
        </w:r>
        <w:r w:rsidR="00202F8E" w:rsidRPr="00961CFD">
          <w:rPr>
            <w:rStyle w:val="Hyperlink"/>
            <w:szCs w:val="22"/>
            <w:lang w:val="es-ES" w:eastAsia="en-US"/>
          </w:rPr>
          <w:t>.1539</w:t>
        </w:r>
      </w:hyperlink>
      <w:r w:rsidRPr="00961CFD">
        <w:rPr>
          <w:szCs w:val="22"/>
          <w:lang w:val="es-ES" w:eastAsia="en-US"/>
        </w:rPr>
        <w:t>), celebradas el</w:t>
      </w:r>
      <w:r w:rsidR="00202F8E" w:rsidRPr="00961CFD">
        <w:rPr>
          <w:szCs w:val="22"/>
          <w:lang w:val="es-ES" w:eastAsia="en-US"/>
        </w:rPr>
        <w:t xml:space="preserve"> 27 </w:t>
      </w:r>
      <w:r w:rsidRPr="00961CFD">
        <w:rPr>
          <w:szCs w:val="22"/>
          <w:lang w:val="es-ES" w:eastAsia="en-US"/>
        </w:rPr>
        <w:t>de octubre de</w:t>
      </w:r>
      <w:r w:rsidR="00202F8E" w:rsidRPr="00961CFD">
        <w:rPr>
          <w:szCs w:val="22"/>
          <w:lang w:val="es-ES" w:eastAsia="en-US"/>
        </w:rPr>
        <w:t xml:space="preserve"> 2017.</w:t>
      </w:r>
      <w:r w:rsidRPr="00961CFD">
        <w:rPr>
          <w:szCs w:val="22"/>
          <w:lang w:val="es-ES" w:eastAsia="en-US"/>
        </w:rPr>
        <w:t xml:space="preserve"> La lista de cuestiones y preguntas del Comité figura en el</w:t>
      </w:r>
      <w:r w:rsidR="00202F8E" w:rsidRPr="00961CFD">
        <w:rPr>
          <w:szCs w:val="22"/>
          <w:lang w:val="es-ES" w:eastAsia="en-US"/>
        </w:rPr>
        <w:t xml:space="preserve"> </w:t>
      </w:r>
      <w:r w:rsidRPr="00961CFD">
        <w:rPr>
          <w:szCs w:val="22"/>
          <w:lang w:val="es-ES" w:eastAsia="en-US"/>
        </w:rPr>
        <w:t xml:space="preserve">documento </w:t>
      </w:r>
      <w:hyperlink r:id="rId19" w:history="1">
        <w:r w:rsidRPr="00961CFD">
          <w:rPr>
            <w:rStyle w:val="Hyperlink"/>
            <w:szCs w:val="22"/>
            <w:lang w:val="es-ES" w:eastAsia="en-US"/>
          </w:rPr>
          <w:t>CEDAW/C/NRU/Q/</w:t>
        </w:r>
        <w:r w:rsidR="00202F8E" w:rsidRPr="00961CFD">
          <w:rPr>
            <w:rStyle w:val="Hyperlink"/>
            <w:szCs w:val="22"/>
            <w:lang w:val="es-ES" w:eastAsia="en-US"/>
          </w:rPr>
          <w:t>1</w:t>
        </w:r>
        <w:r w:rsidR="00202F8E" w:rsidRPr="00961CFD">
          <w:rPr>
            <w:rStyle w:val="Hyperlink"/>
            <w:szCs w:val="22"/>
            <w:lang w:val="es-ES" w:eastAsia="en-US"/>
          </w:rPr>
          <w:noBreakHyphen/>
          <w:t>2</w:t>
        </w:r>
      </w:hyperlink>
      <w:r w:rsidRPr="00961CFD">
        <w:rPr>
          <w:szCs w:val="22"/>
          <w:lang w:val="es-ES" w:eastAsia="en-US"/>
        </w:rPr>
        <w:t xml:space="preserve"> y las respuestas de Nauru figuran en el documento </w:t>
      </w:r>
      <w:hyperlink r:id="rId20" w:history="1">
        <w:r w:rsidRPr="00961CFD">
          <w:rPr>
            <w:rStyle w:val="Hyperlink"/>
            <w:szCs w:val="22"/>
            <w:lang w:val="es-ES" w:eastAsia="en-US"/>
          </w:rPr>
          <w:t>CEDAW/C/NRU/Q/</w:t>
        </w:r>
        <w:r w:rsidR="00202F8E" w:rsidRPr="00961CFD">
          <w:rPr>
            <w:rStyle w:val="Hyperlink"/>
            <w:szCs w:val="22"/>
            <w:lang w:val="es-ES" w:eastAsia="en-US"/>
          </w:rPr>
          <w:t>1</w:t>
        </w:r>
        <w:r w:rsidR="00202F8E" w:rsidRPr="00961CFD">
          <w:rPr>
            <w:rStyle w:val="Hyperlink"/>
            <w:szCs w:val="22"/>
            <w:lang w:val="es-ES" w:eastAsia="en-US"/>
          </w:rPr>
          <w:noBreakHyphen/>
          <w:t>2</w:t>
        </w:r>
        <w:r w:rsidRPr="00961CFD">
          <w:rPr>
            <w:rStyle w:val="Hyperlink"/>
            <w:szCs w:val="22"/>
            <w:lang w:val="es-ES" w:eastAsia="en-US"/>
          </w:rPr>
          <w:t>/Add</w:t>
        </w:r>
        <w:r w:rsidR="00202F8E" w:rsidRPr="00961CFD">
          <w:rPr>
            <w:rStyle w:val="Hyperlink"/>
            <w:szCs w:val="22"/>
            <w:lang w:val="es-ES" w:eastAsia="en-US"/>
          </w:rPr>
          <w:t>.1</w:t>
        </w:r>
      </w:hyperlink>
      <w:r w:rsidR="00202F8E" w:rsidRPr="00961CFD">
        <w:rPr>
          <w:szCs w:val="22"/>
          <w:lang w:val="es-ES" w:eastAsia="en-US"/>
        </w:rPr>
        <w:t>.</w:t>
      </w:r>
    </w:p>
    <w:p w14:paraId="2FE38226" w14:textId="77777777" w:rsidR="00505055" w:rsidRPr="00961CFD" w:rsidRDefault="00505055" w:rsidP="00505055">
      <w:pPr>
        <w:pStyle w:val="SingleTxt"/>
        <w:spacing w:after="0" w:line="120" w:lineRule="exact"/>
        <w:rPr>
          <w:sz w:val="10"/>
          <w:szCs w:val="10"/>
          <w:lang w:val="es-ES"/>
        </w:rPr>
      </w:pPr>
      <w:bookmarkStart w:id="2" w:name="bookmark_14"/>
    </w:p>
    <w:p w14:paraId="4604AA12" w14:textId="77777777" w:rsidR="00505055" w:rsidRPr="00961CFD" w:rsidRDefault="00505055" w:rsidP="00505055">
      <w:pPr>
        <w:pStyle w:val="SingleTxt"/>
        <w:spacing w:after="0" w:line="120" w:lineRule="exact"/>
        <w:rPr>
          <w:sz w:val="10"/>
          <w:szCs w:val="10"/>
          <w:lang w:val="es-ES"/>
        </w:rPr>
      </w:pPr>
    </w:p>
    <w:p w14:paraId="3BFD4C35" w14:textId="407A8092" w:rsidR="005E4AC4" w:rsidRPr="00961CFD" w:rsidRDefault="00505055" w:rsidP="00505055">
      <w:pPr>
        <w:pStyle w:val="H1"/>
        <w:ind w:right="1260"/>
        <w:rPr>
          <w:bCs w:val="0"/>
          <w:szCs w:val="20"/>
          <w:lang w:val="es-ES" w:eastAsia="en-US"/>
        </w:rPr>
      </w:pPr>
      <w:r w:rsidRPr="00961CFD">
        <w:rPr>
          <w:bCs w:val="0"/>
          <w:szCs w:val="20"/>
          <w:lang w:val="es-ES" w:eastAsia="en-US"/>
        </w:rPr>
        <w:tab/>
      </w:r>
      <w:r w:rsidR="005E4AC4" w:rsidRPr="00961CFD">
        <w:rPr>
          <w:bCs w:val="0"/>
          <w:szCs w:val="20"/>
          <w:lang w:val="es-ES" w:eastAsia="en-US"/>
        </w:rPr>
        <w:t>A</w:t>
      </w:r>
      <w:r w:rsidR="00202F8E" w:rsidRPr="00961CFD">
        <w:rPr>
          <w:bCs w:val="0"/>
          <w:szCs w:val="20"/>
          <w:lang w:val="es-ES" w:eastAsia="en-US"/>
        </w:rPr>
        <w:t>.</w:t>
      </w:r>
      <w:r w:rsidR="005E4AC4" w:rsidRPr="00961CFD">
        <w:rPr>
          <w:bCs w:val="0"/>
          <w:szCs w:val="20"/>
          <w:lang w:val="es-ES" w:eastAsia="en-US"/>
        </w:rPr>
        <w:tab/>
        <w:t>Introducción</w:t>
      </w:r>
      <w:bookmarkEnd w:id="2"/>
    </w:p>
    <w:p w14:paraId="7F6154A8" w14:textId="77777777" w:rsidR="00505055" w:rsidRPr="00961CFD" w:rsidRDefault="00505055" w:rsidP="00505055">
      <w:pPr>
        <w:pStyle w:val="SingleTxt"/>
        <w:spacing w:after="0" w:line="120" w:lineRule="exact"/>
        <w:rPr>
          <w:sz w:val="10"/>
          <w:szCs w:val="10"/>
          <w:lang w:val="es-ES"/>
        </w:rPr>
      </w:pPr>
    </w:p>
    <w:p w14:paraId="53F9B534" w14:textId="77777777" w:rsidR="00505055" w:rsidRPr="00961CFD" w:rsidRDefault="00505055" w:rsidP="00505055">
      <w:pPr>
        <w:pStyle w:val="SingleTxt"/>
        <w:spacing w:after="0" w:line="120" w:lineRule="exact"/>
        <w:rPr>
          <w:sz w:val="10"/>
          <w:szCs w:val="10"/>
          <w:lang w:val="es-ES"/>
        </w:rPr>
      </w:pPr>
    </w:p>
    <w:p w14:paraId="2DA9759E" w14:textId="605AF8D7" w:rsidR="003A1004" w:rsidRPr="00961CFD" w:rsidRDefault="003A1004" w:rsidP="009A05C8">
      <w:pPr>
        <w:pStyle w:val="SingleTxt"/>
        <w:numPr>
          <w:ilvl w:val="0"/>
          <w:numId w:val="31"/>
        </w:numPr>
        <w:tabs>
          <w:tab w:val="num" w:pos="1742"/>
        </w:tabs>
        <w:ind w:left="1267" w:firstLine="0"/>
        <w:rPr>
          <w:szCs w:val="22"/>
          <w:lang w:val="es-ES" w:eastAsia="en-US"/>
        </w:rPr>
      </w:pPr>
      <w:bookmarkStart w:id="3" w:name="bookmark_22"/>
      <w:bookmarkStart w:id="4" w:name="bookmark_15"/>
      <w:r w:rsidRPr="00961CFD">
        <w:rPr>
          <w:szCs w:val="22"/>
          <w:lang w:val="es-ES" w:eastAsia="en-US"/>
        </w:rPr>
        <w:t>El Comité agradece que el Estado parte haya presentado su informe inicial y el informe periódico segundo combinados</w:t>
      </w:r>
      <w:r w:rsidR="00202F8E" w:rsidRPr="00961CFD">
        <w:rPr>
          <w:szCs w:val="22"/>
          <w:lang w:val="es-ES" w:eastAsia="en-US"/>
        </w:rPr>
        <w:t>.</w:t>
      </w:r>
      <w:r w:rsidRPr="00961CFD">
        <w:rPr>
          <w:szCs w:val="22"/>
          <w:lang w:val="es-ES" w:eastAsia="en-US"/>
        </w:rPr>
        <w:t xml:space="preserve"> Agradece también sus respuestas escritas a la lista de cuestiones y a las preguntas planteadas por el grupo de trabajo anterior al período de sesiones, así como la presentación oral que realizó la delegación y las</w:t>
      </w:r>
      <w:r w:rsidR="00202F8E" w:rsidRPr="00961CFD">
        <w:rPr>
          <w:szCs w:val="22"/>
          <w:lang w:val="es-ES" w:eastAsia="en-US"/>
        </w:rPr>
        <w:t xml:space="preserve"> </w:t>
      </w:r>
      <w:r w:rsidRPr="00961CFD">
        <w:rPr>
          <w:szCs w:val="22"/>
          <w:lang w:val="es-ES" w:eastAsia="en-US"/>
        </w:rPr>
        <w:t>aclaraciones adicionales que facilitó en respuesta a las preguntas formuladas oralmente por el Comité durante el diálogo</w:t>
      </w:r>
      <w:r w:rsidR="00202F8E" w:rsidRPr="00961CFD">
        <w:rPr>
          <w:szCs w:val="22"/>
          <w:lang w:val="es-ES" w:eastAsia="en-US"/>
        </w:rPr>
        <w:t>.</w:t>
      </w:r>
      <w:bookmarkEnd w:id="3"/>
    </w:p>
    <w:p w14:paraId="5911ED30" w14:textId="24FBEAAA" w:rsidR="003A1004" w:rsidRPr="00961CFD" w:rsidRDefault="003A1004" w:rsidP="009A05C8">
      <w:pPr>
        <w:pStyle w:val="SingleTxt"/>
        <w:numPr>
          <w:ilvl w:val="0"/>
          <w:numId w:val="31"/>
        </w:numPr>
        <w:tabs>
          <w:tab w:val="num" w:pos="1742"/>
        </w:tabs>
        <w:ind w:left="1267" w:firstLine="0"/>
        <w:rPr>
          <w:szCs w:val="22"/>
          <w:lang w:val="es-ES" w:eastAsia="en-US"/>
        </w:rPr>
      </w:pPr>
      <w:bookmarkStart w:id="5" w:name="bookmark_23"/>
      <w:r w:rsidRPr="00961CFD">
        <w:rPr>
          <w:szCs w:val="22"/>
          <w:lang w:val="es-ES" w:eastAsia="en-US"/>
        </w:rPr>
        <w:t>El Comité felicita al Estado parte por su delegación de alto nivel, que estuvo encabezada por la Sra</w:t>
      </w:r>
      <w:r w:rsidR="00202F8E" w:rsidRPr="00961CFD">
        <w:rPr>
          <w:szCs w:val="22"/>
          <w:lang w:val="es-ES" w:eastAsia="en-US"/>
        </w:rPr>
        <w:t xml:space="preserve">. </w:t>
      </w:r>
      <w:r w:rsidRPr="00961CFD">
        <w:rPr>
          <w:szCs w:val="22"/>
          <w:lang w:val="es-ES" w:eastAsia="en-US"/>
        </w:rPr>
        <w:t xml:space="preserve">Charmaine Scotty, Ministra del Interior, Salud, Educación y Ordenación Territorial, e incluía a la Secretaria del Interior y a representantes del Departamento de Asuntos de la Mujer, la División de Servicios para la Familia y la Comunidad y la División de Servicios de Protección de la Infancia del Ministerio del Interior, así </w:t>
      </w:r>
      <w:r w:rsidR="008B7431">
        <w:rPr>
          <w:szCs w:val="22"/>
          <w:lang w:val="es-ES" w:eastAsia="en-US"/>
        </w:rPr>
        <w:t xml:space="preserve">como </w:t>
      </w:r>
      <w:r w:rsidR="00BF6620">
        <w:rPr>
          <w:szCs w:val="22"/>
          <w:lang w:val="es-ES" w:eastAsia="en-US"/>
        </w:rPr>
        <w:t>d</w:t>
      </w:r>
      <w:r w:rsidR="008B7431">
        <w:rPr>
          <w:szCs w:val="22"/>
          <w:lang w:val="es-ES" w:eastAsia="en-US"/>
        </w:rPr>
        <w:t xml:space="preserve">el </w:t>
      </w:r>
      <w:r w:rsidRPr="00961CFD">
        <w:rPr>
          <w:szCs w:val="22"/>
          <w:lang w:val="es-ES" w:eastAsia="en-US"/>
        </w:rPr>
        <w:t>Equipo Regional de Recursos sobre Derechos Humanos de la Secretaría de la Comunidad del Pacífico</w:t>
      </w:r>
      <w:r w:rsidR="00202F8E" w:rsidRPr="00961CFD">
        <w:rPr>
          <w:szCs w:val="22"/>
          <w:lang w:val="es-ES" w:eastAsia="en-US"/>
        </w:rPr>
        <w:t>.</w:t>
      </w:r>
      <w:bookmarkEnd w:id="5"/>
    </w:p>
    <w:p w14:paraId="1FC52C85" w14:textId="77777777" w:rsidR="009A05C8" w:rsidRPr="00961CFD" w:rsidRDefault="009A05C8" w:rsidP="009A05C8">
      <w:pPr>
        <w:pStyle w:val="SingleTxt"/>
        <w:spacing w:after="0" w:line="120" w:lineRule="exact"/>
        <w:rPr>
          <w:sz w:val="10"/>
          <w:szCs w:val="10"/>
          <w:lang w:val="es-ES"/>
        </w:rPr>
      </w:pPr>
    </w:p>
    <w:p w14:paraId="6A49BB3D" w14:textId="77777777" w:rsidR="009A05C8" w:rsidRPr="00961CFD" w:rsidRDefault="009A05C8" w:rsidP="009A05C8">
      <w:pPr>
        <w:pStyle w:val="SingleTxt"/>
        <w:spacing w:after="0" w:line="120" w:lineRule="exact"/>
        <w:rPr>
          <w:sz w:val="10"/>
          <w:szCs w:val="10"/>
          <w:lang w:val="es-ES"/>
        </w:rPr>
      </w:pPr>
    </w:p>
    <w:p w14:paraId="1EADDF4B" w14:textId="431A13F9" w:rsidR="003A1004" w:rsidRPr="00961CFD" w:rsidRDefault="003A1004" w:rsidP="009A05C8">
      <w:pPr>
        <w:pStyle w:val="H1"/>
        <w:ind w:right="1260"/>
        <w:rPr>
          <w:bCs w:val="0"/>
          <w:szCs w:val="20"/>
          <w:lang w:val="es-ES" w:eastAsia="en-US"/>
        </w:rPr>
      </w:pPr>
      <w:bookmarkStart w:id="6" w:name="bookmark_24"/>
      <w:r w:rsidRPr="00961CFD">
        <w:rPr>
          <w:bCs w:val="0"/>
          <w:szCs w:val="20"/>
          <w:lang w:val="es-ES" w:eastAsia="en-US"/>
        </w:rPr>
        <w:tab/>
        <w:t>B</w:t>
      </w:r>
      <w:r w:rsidR="00202F8E" w:rsidRPr="00961CFD">
        <w:rPr>
          <w:bCs w:val="0"/>
          <w:szCs w:val="20"/>
          <w:lang w:val="es-ES" w:eastAsia="en-US"/>
        </w:rPr>
        <w:t>.</w:t>
      </w:r>
      <w:r w:rsidRPr="00961CFD">
        <w:rPr>
          <w:bCs w:val="0"/>
          <w:szCs w:val="20"/>
          <w:lang w:val="es-ES" w:eastAsia="en-US"/>
        </w:rPr>
        <w:tab/>
        <w:t>Aspectos positivos</w:t>
      </w:r>
      <w:bookmarkEnd w:id="6"/>
    </w:p>
    <w:p w14:paraId="0F5C0841" w14:textId="77777777" w:rsidR="009A05C8" w:rsidRPr="00961CFD" w:rsidRDefault="009A05C8" w:rsidP="009A05C8">
      <w:pPr>
        <w:pStyle w:val="SingleTxt"/>
        <w:spacing w:after="0" w:line="120" w:lineRule="exact"/>
        <w:rPr>
          <w:sz w:val="10"/>
          <w:szCs w:val="10"/>
          <w:lang w:val="es-ES"/>
        </w:rPr>
      </w:pPr>
    </w:p>
    <w:p w14:paraId="58B56E71" w14:textId="77777777" w:rsidR="009A05C8" w:rsidRPr="00961CFD" w:rsidRDefault="009A05C8" w:rsidP="009A05C8">
      <w:pPr>
        <w:pStyle w:val="SingleTxt"/>
        <w:spacing w:after="0" w:line="120" w:lineRule="exact"/>
        <w:rPr>
          <w:sz w:val="10"/>
          <w:szCs w:val="10"/>
          <w:lang w:val="es-ES"/>
        </w:rPr>
      </w:pPr>
    </w:p>
    <w:p w14:paraId="18811858" w14:textId="77777777" w:rsidR="00202F8E" w:rsidRPr="00961CFD" w:rsidRDefault="003A1004" w:rsidP="009A05C8">
      <w:pPr>
        <w:pStyle w:val="SingleTxt"/>
        <w:numPr>
          <w:ilvl w:val="0"/>
          <w:numId w:val="31"/>
        </w:numPr>
        <w:tabs>
          <w:tab w:val="num" w:pos="1742"/>
        </w:tabs>
        <w:ind w:left="1267" w:firstLine="0"/>
        <w:rPr>
          <w:szCs w:val="22"/>
          <w:lang w:val="es-ES" w:eastAsia="en-US"/>
        </w:rPr>
      </w:pPr>
      <w:bookmarkStart w:id="7" w:name="bookmark_25"/>
      <w:r w:rsidRPr="00961CFD">
        <w:rPr>
          <w:szCs w:val="22"/>
          <w:lang w:val="es-ES" w:eastAsia="en-US"/>
        </w:rPr>
        <w:t>El Comité acoge con satisfacción los progresos logrados desde la entrada en vigor de la Convención en lo que respecta al Estado parte en</w:t>
      </w:r>
      <w:r w:rsidR="00202F8E" w:rsidRPr="00961CFD">
        <w:rPr>
          <w:szCs w:val="22"/>
          <w:lang w:val="es-ES" w:eastAsia="en-US"/>
        </w:rPr>
        <w:t xml:space="preserve"> 2011 </w:t>
      </w:r>
      <w:r w:rsidRPr="00961CFD">
        <w:rPr>
          <w:szCs w:val="22"/>
          <w:lang w:val="es-ES" w:eastAsia="en-US"/>
        </w:rPr>
        <w:t>en materia de reformas legislativas, en particular la aprobación de los siguientes instrumentos:</w:t>
      </w:r>
      <w:bookmarkEnd w:id="7"/>
    </w:p>
    <w:p w14:paraId="0E8A5DC6" w14:textId="4CB59CB6" w:rsidR="003A1004" w:rsidRPr="00961CFD" w:rsidRDefault="001A0D15" w:rsidP="009A05C8">
      <w:pPr>
        <w:pStyle w:val="SingleTxt"/>
        <w:rPr>
          <w:lang w:val="es-ES" w:eastAsia="en-US"/>
        </w:rPr>
      </w:pPr>
      <w:bookmarkStart w:id="8" w:name="bookmark_26"/>
      <w:r w:rsidRPr="00961CFD">
        <w:rPr>
          <w:noProof/>
          <w:w w:val="100"/>
          <w:lang w:eastAsia="en-GB"/>
        </w:rPr>
        <mc:AlternateContent>
          <mc:Choice Requires="wps">
            <w:drawing>
              <wp:anchor distT="4294967291" distB="4294967291" distL="114300" distR="114300" simplePos="0" relativeHeight="251659264" behindDoc="0" locked="0" layoutInCell="1" allowOverlap="1" wp14:anchorId="4A9410F3" wp14:editId="121144D5">
                <wp:simplePos x="0" y="0"/>
                <wp:positionH relativeFrom="page">
                  <wp:posOffset>1415111</wp:posOffset>
                </wp:positionH>
                <wp:positionV relativeFrom="paragraph">
                  <wp:posOffset>553389</wp:posOffset>
                </wp:positionV>
                <wp:extent cx="9144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070CCD"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111.45pt,43.55pt" to="183.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" strokecolor="#010000" strokeweight=".25pt">
                <o:lock v:ext="edit" shapetype="f"/>
                <w10:wrap anchorx="page"/>
              </v:line>
            </w:pict>
          </mc:Fallback>
        </mc:AlternateContent>
      </w:r>
      <w:r w:rsidR="003A1004" w:rsidRPr="00961CFD">
        <w:rPr>
          <w:lang w:val="es-ES" w:eastAsia="en-US"/>
        </w:rPr>
        <w:tab/>
        <w:t>a)</w:t>
      </w:r>
      <w:r w:rsidR="003A1004" w:rsidRPr="00961CFD">
        <w:rPr>
          <w:lang w:val="es-ES" w:eastAsia="en-US"/>
        </w:rPr>
        <w:tab/>
        <w:t>La Ley de Lucha contra la Violencia Doméstica y de Protección de la Familia de</w:t>
      </w:r>
      <w:r w:rsidR="00202F8E" w:rsidRPr="00961CFD">
        <w:rPr>
          <w:lang w:val="es-ES" w:eastAsia="en-US"/>
        </w:rPr>
        <w:t xml:space="preserve"> 2017</w:t>
      </w:r>
      <w:r w:rsidR="003A1004" w:rsidRPr="00961CFD">
        <w:rPr>
          <w:lang w:val="es-ES" w:eastAsia="en-US"/>
        </w:rPr>
        <w:t>;</w:t>
      </w:r>
      <w:bookmarkEnd w:id="8"/>
    </w:p>
    <w:p w14:paraId="6D3C3AD6" w14:textId="179423BF" w:rsidR="003A1004" w:rsidRPr="00961CFD" w:rsidRDefault="003A1004" w:rsidP="009A05C8">
      <w:pPr>
        <w:pStyle w:val="SingleTxt"/>
        <w:rPr>
          <w:lang w:val="es-ES" w:eastAsia="en-US"/>
        </w:rPr>
      </w:pPr>
      <w:bookmarkStart w:id="9" w:name="bookmark_27"/>
      <w:r w:rsidRPr="00961CFD">
        <w:rPr>
          <w:lang w:val="es-ES" w:eastAsia="en-US"/>
        </w:rPr>
        <w:lastRenderedPageBreak/>
        <w:tab/>
        <w:t>b)</w:t>
      </w:r>
      <w:r w:rsidRPr="00961CFD">
        <w:rPr>
          <w:lang w:val="es-ES" w:eastAsia="en-US"/>
        </w:rPr>
        <w:tab/>
        <w:t>La Ley de la Administración Pública de</w:t>
      </w:r>
      <w:r w:rsidR="00202F8E" w:rsidRPr="00961CFD">
        <w:rPr>
          <w:lang w:val="es-ES" w:eastAsia="en-US"/>
        </w:rPr>
        <w:t xml:space="preserve"> 2016</w:t>
      </w:r>
      <w:r w:rsidRPr="00961CFD">
        <w:rPr>
          <w:lang w:val="es-ES" w:eastAsia="en-US"/>
        </w:rPr>
        <w:t>, que garantiza la igualdad de remuneración por trabajo de igual valor, así como la licencia de maternidad y paternidad;</w:t>
      </w:r>
      <w:bookmarkEnd w:id="9"/>
    </w:p>
    <w:p w14:paraId="3AAA0FA4" w14:textId="03A07A18" w:rsidR="003A1004" w:rsidRPr="00961CFD" w:rsidRDefault="003A1004" w:rsidP="009A05C8">
      <w:pPr>
        <w:pStyle w:val="SingleTxt"/>
        <w:rPr>
          <w:lang w:val="es-ES" w:eastAsia="en-US"/>
        </w:rPr>
      </w:pPr>
      <w:bookmarkStart w:id="10" w:name="bookmark_28"/>
      <w:r w:rsidRPr="00961CFD">
        <w:rPr>
          <w:lang w:val="es-ES" w:eastAsia="en-US"/>
        </w:rPr>
        <w:tab/>
        <w:t>c)</w:t>
      </w:r>
      <w:r w:rsidRPr="00961CFD">
        <w:rPr>
          <w:lang w:val="es-ES" w:eastAsia="en-US"/>
        </w:rPr>
        <w:tab/>
        <w:t>La Ley Penal de</w:t>
      </w:r>
      <w:r w:rsidR="00202F8E" w:rsidRPr="00961CFD">
        <w:rPr>
          <w:lang w:val="es-ES" w:eastAsia="en-US"/>
        </w:rPr>
        <w:t xml:space="preserve"> 2016</w:t>
      </w:r>
      <w:r w:rsidRPr="00961CFD">
        <w:rPr>
          <w:lang w:val="es-ES" w:eastAsia="en-US"/>
        </w:rPr>
        <w:t>, por la que quedó derogado el Código Penal de</w:t>
      </w:r>
      <w:r w:rsidR="00202F8E" w:rsidRPr="00961CFD">
        <w:rPr>
          <w:lang w:val="es-ES" w:eastAsia="en-US"/>
        </w:rPr>
        <w:t xml:space="preserve"> 1899 </w:t>
      </w:r>
      <w:r w:rsidRPr="00961CFD">
        <w:rPr>
          <w:lang w:val="es-ES" w:eastAsia="en-US"/>
        </w:rPr>
        <w:t>y se amplió la definición de violación, se tipificó como delito la violación conyugal y se eliminaron el requisito de corroboración en los casos de delitos sexuales y la admisibilidad de un historial sexual del demandante;</w:t>
      </w:r>
      <w:bookmarkEnd w:id="10"/>
    </w:p>
    <w:p w14:paraId="2926CFA3" w14:textId="31E9F1E7" w:rsidR="003A1004" w:rsidRPr="00961CFD" w:rsidRDefault="003A1004" w:rsidP="009A05C8">
      <w:pPr>
        <w:pStyle w:val="SingleTxt"/>
        <w:rPr>
          <w:lang w:val="es-ES" w:eastAsia="en-US"/>
        </w:rPr>
      </w:pPr>
      <w:bookmarkStart w:id="11" w:name="bookmark_29"/>
      <w:r w:rsidRPr="00961CFD">
        <w:rPr>
          <w:lang w:val="es-ES" w:eastAsia="en-US"/>
        </w:rPr>
        <w:tab/>
        <w:t>d)</w:t>
      </w:r>
      <w:r w:rsidRPr="00961CFD">
        <w:rPr>
          <w:lang w:val="es-ES" w:eastAsia="en-US"/>
        </w:rPr>
        <w:tab/>
        <w:t>La Ley de Adopción de Niños (Enmendada) de</w:t>
      </w:r>
      <w:r w:rsidR="00202F8E" w:rsidRPr="00961CFD">
        <w:rPr>
          <w:lang w:val="es-ES" w:eastAsia="en-US"/>
        </w:rPr>
        <w:t xml:space="preserve"> 2015</w:t>
      </w:r>
      <w:r w:rsidRPr="00961CFD">
        <w:rPr>
          <w:lang w:val="es-ES" w:eastAsia="en-US"/>
        </w:rPr>
        <w:t>, la cual permitió mayores oportunidades para que tanto las niñas como los niños pudieran ser adoptados por las familias;</w:t>
      </w:r>
      <w:bookmarkEnd w:id="11"/>
    </w:p>
    <w:p w14:paraId="50F85783" w14:textId="6EC7C5A7" w:rsidR="003A1004" w:rsidRPr="00961CFD" w:rsidRDefault="003A1004" w:rsidP="009A05C8">
      <w:pPr>
        <w:pStyle w:val="SingleTxt"/>
        <w:rPr>
          <w:lang w:val="es-ES" w:eastAsia="en-US"/>
        </w:rPr>
      </w:pPr>
      <w:bookmarkStart w:id="12" w:name="bookmark_30"/>
      <w:r w:rsidRPr="00961CFD">
        <w:rPr>
          <w:lang w:val="es-ES" w:eastAsia="en-US"/>
        </w:rPr>
        <w:tab/>
        <w:t>e)</w:t>
      </w:r>
      <w:r w:rsidRPr="00961CFD">
        <w:rPr>
          <w:lang w:val="es-ES" w:eastAsia="en-US"/>
        </w:rPr>
        <w:tab/>
        <w:t>La Ley de Educación de</w:t>
      </w:r>
      <w:r w:rsidR="00202F8E" w:rsidRPr="00961CFD">
        <w:rPr>
          <w:lang w:val="es-ES" w:eastAsia="en-US"/>
        </w:rPr>
        <w:t xml:space="preserve"> 2011</w:t>
      </w:r>
      <w:r w:rsidRPr="00961CFD">
        <w:rPr>
          <w:lang w:val="es-ES" w:eastAsia="en-US"/>
        </w:rPr>
        <w:t>, que garantiza que las mujeres y las niñas gocen de igualdad en el acceso a la educación, aumenta la edad para la educación obligatoria de los</w:t>
      </w:r>
      <w:r w:rsidR="00202F8E" w:rsidRPr="00961CFD">
        <w:rPr>
          <w:lang w:val="es-ES" w:eastAsia="en-US"/>
        </w:rPr>
        <w:t xml:space="preserve"> 16 </w:t>
      </w:r>
      <w:r w:rsidRPr="00961CFD">
        <w:rPr>
          <w:lang w:val="es-ES" w:eastAsia="en-US"/>
        </w:rPr>
        <w:t>a los</w:t>
      </w:r>
      <w:r w:rsidR="00202F8E" w:rsidRPr="00961CFD">
        <w:rPr>
          <w:lang w:val="es-ES" w:eastAsia="en-US"/>
        </w:rPr>
        <w:t xml:space="preserve"> 18 </w:t>
      </w:r>
      <w:r w:rsidRPr="00961CFD">
        <w:rPr>
          <w:lang w:val="es-ES" w:eastAsia="en-US"/>
        </w:rPr>
        <w:t>años y establece medidas disciplinarias por el acoso sexual en la escuela</w:t>
      </w:r>
      <w:r w:rsidR="00202F8E" w:rsidRPr="00961CFD">
        <w:rPr>
          <w:lang w:val="es-ES" w:eastAsia="en-US"/>
        </w:rPr>
        <w:t>.</w:t>
      </w:r>
      <w:bookmarkEnd w:id="12"/>
    </w:p>
    <w:p w14:paraId="62421860" w14:textId="77777777" w:rsidR="003A1004" w:rsidRPr="00961CFD" w:rsidRDefault="003A1004" w:rsidP="000E5E84">
      <w:pPr>
        <w:pStyle w:val="SingleTxt"/>
        <w:numPr>
          <w:ilvl w:val="0"/>
          <w:numId w:val="31"/>
        </w:numPr>
        <w:tabs>
          <w:tab w:val="num" w:pos="1742"/>
        </w:tabs>
        <w:ind w:left="1267" w:firstLine="0"/>
        <w:rPr>
          <w:szCs w:val="22"/>
          <w:lang w:val="es-ES" w:eastAsia="en-US"/>
        </w:rPr>
      </w:pPr>
      <w:bookmarkStart w:id="13" w:name="bookmark_31"/>
      <w:r w:rsidRPr="00961CFD">
        <w:rPr>
          <w:szCs w:val="22"/>
          <w:lang w:val="es-ES" w:eastAsia="en-US"/>
        </w:rPr>
        <w:t>El Comité celebra las iniciativas del Estado parte para mejorar su marco institucional y normativo con el fin de acelerar la eliminación de la discriminación contra la mujer y promover la igualdad de género, como la aprobación de los instrumentos siguientes:</w:t>
      </w:r>
      <w:bookmarkEnd w:id="13"/>
    </w:p>
    <w:p w14:paraId="1CAE0846" w14:textId="555C3C49" w:rsidR="003A1004" w:rsidRPr="00961CFD" w:rsidRDefault="003A1004" w:rsidP="000E5E84">
      <w:pPr>
        <w:pStyle w:val="SingleTxt"/>
        <w:rPr>
          <w:lang w:val="es-ES" w:eastAsia="en-US"/>
        </w:rPr>
      </w:pPr>
      <w:bookmarkStart w:id="14" w:name="bookmark_32"/>
      <w:r w:rsidRPr="00961CFD">
        <w:rPr>
          <w:lang w:val="es-ES" w:eastAsia="en-US"/>
        </w:rPr>
        <w:tab/>
        <w:t>a)</w:t>
      </w:r>
      <w:r w:rsidRPr="00961CFD">
        <w:rPr>
          <w:lang w:val="es-ES" w:eastAsia="en-US"/>
        </w:rPr>
        <w:tab/>
        <w:t>La Política Nacional sobre Discapacidad (</w:t>
      </w:r>
      <w:r w:rsidR="00202F8E" w:rsidRPr="00961CFD">
        <w:rPr>
          <w:lang w:val="es-ES" w:eastAsia="en-US"/>
        </w:rPr>
        <w:t>2015</w:t>
      </w:r>
      <w:r w:rsidRPr="00961CFD">
        <w:rPr>
          <w:lang w:val="es-ES" w:eastAsia="en-US"/>
        </w:rPr>
        <w:t>), que da respuesta a las preocupaciones y los problemas que enfrentan las personas con discapacidad, incluidas las mujeres y las niñas;</w:t>
      </w:r>
      <w:bookmarkEnd w:id="14"/>
    </w:p>
    <w:p w14:paraId="5B802066" w14:textId="410A3241" w:rsidR="003A1004" w:rsidRPr="00961CFD" w:rsidRDefault="003A1004" w:rsidP="000E5E84">
      <w:pPr>
        <w:pStyle w:val="SingleTxt"/>
        <w:rPr>
          <w:lang w:val="es-ES" w:eastAsia="en-US"/>
        </w:rPr>
      </w:pPr>
      <w:bookmarkStart w:id="15" w:name="bookmark_33"/>
      <w:r w:rsidRPr="00961CFD">
        <w:rPr>
          <w:lang w:val="es-ES" w:eastAsia="en-US"/>
        </w:rPr>
        <w:tab/>
        <w:t>b)</w:t>
      </w:r>
      <w:r w:rsidRPr="00961CFD">
        <w:rPr>
          <w:lang w:val="es-ES" w:eastAsia="en-US"/>
        </w:rPr>
        <w:tab/>
        <w:t>La Política Nacional de la Mujer (</w:t>
      </w:r>
      <w:r w:rsidR="00202F8E" w:rsidRPr="00961CFD">
        <w:rPr>
          <w:lang w:val="es-ES" w:eastAsia="en-US"/>
        </w:rPr>
        <w:t>2014</w:t>
      </w:r>
      <w:r w:rsidR="00202F8E" w:rsidRPr="00961CFD">
        <w:rPr>
          <w:lang w:val="es-ES" w:eastAsia="en-US"/>
        </w:rPr>
        <w:noBreakHyphen/>
        <w:t>2024</w:t>
      </w:r>
      <w:r w:rsidRPr="00961CFD">
        <w:rPr>
          <w:lang w:val="es-ES" w:eastAsia="en-US"/>
        </w:rPr>
        <w:t>), que ofrece orientación al Gobierno, la sociedad civil y los representantes de la comunidad para el logro de los objetivos relativos a la promoción de la igualdad de género;</w:t>
      </w:r>
      <w:bookmarkEnd w:id="15"/>
    </w:p>
    <w:p w14:paraId="5D67C105" w14:textId="4D2854A5" w:rsidR="003A1004" w:rsidRPr="00961CFD" w:rsidRDefault="003A1004" w:rsidP="000E5E84">
      <w:pPr>
        <w:pStyle w:val="SingleTxt"/>
        <w:rPr>
          <w:lang w:val="es-ES" w:eastAsia="en-US"/>
        </w:rPr>
      </w:pPr>
      <w:bookmarkStart w:id="16" w:name="bookmark_34"/>
      <w:r w:rsidRPr="00961CFD">
        <w:rPr>
          <w:lang w:val="es-ES" w:eastAsia="en-US"/>
        </w:rPr>
        <w:tab/>
        <w:t>c)</w:t>
      </w:r>
      <w:r w:rsidRPr="00961CFD">
        <w:rPr>
          <w:lang w:val="es-ES" w:eastAsia="en-US"/>
        </w:rPr>
        <w:tab/>
        <w:t>El Plan de Acción para las Mujeres Jóvenes (</w:t>
      </w:r>
      <w:r w:rsidR="00202F8E" w:rsidRPr="00961CFD">
        <w:rPr>
          <w:lang w:val="es-ES" w:eastAsia="en-US"/>
        </w:rPr>
        <w:t>2009</w:t>
      </w:r>
      <w:r w:rsidR="00202F8E" w:rsidRPr="00961CFD">
        <w:rPr>
          <w:lang w:val="es-ES" w:eastAsia="en-US"/>
        </w:rPr>
        <w:noBreakHyphen/>
        <w:t>2015</w:t>
      </w:r>
      <w:r w:rsidRPr="00961CFD">
        <w:rPr>
          <w:lang w:val="es-ES" w:eastAsia="en-US"/>
        </w:rPr>
        <w:t>);</w:t>
      </w:r>
      <w:bookmarkEnd w:id="16"/>
    </w:p>
    <w:p w14:paraId="7064C018" w14:textId="6E6C2D19" w:rsidR="003A1004" w:rsidRPr="00961CFD" w:rsidRDefault="003A1004" w:rsidP="000E5E84">
      <w:pPr>
        <w:pStyle w:val="SingleTxt"/>
        <w:rPr>
          <w:lang w:val="es-ES" w:eastAsia="en-US"/>
        </w:rPr>
      </w:pPr>
      <w:bookmarkStart w:id="17" w:name="bookmark_35"/>
      <w:r w:rsidRPr="00961CFD">
        <w:rPr>
          <w:lang w:val="es-ES" w:eastAsia="en-US"/>
        </w:rPr>
        <w:tab/>
        <w:t>d)</w:t>
      </w:r>
      <w:r w:rsidRPr="00961CFD">
        <w:rPr>
          <w:lang w:val="es-ES" w:eastAsia="en-US"/>
        </w:rPr>
        <w:tab/>
        <w:t>El Plan de Acción Nacional sobre la Mujer (</w:t>
      </w:r>
      <w:r w:rsidR="00202F8E" w:rsidRPr="00961CFD">
        <w:rPr>
          <w:lang w:val="es-ES" w:eastAsia="en-US"/>
        </w:rPr>
        <w:t>2005</w:t>
      </w:r>
      <w:r w:rsidR="00202F8E" w:rsidRPr="00961CFD">
        <w:rPr>
          <w:lang w:val="es-ES" w:eastAsia="en-US"/>
        </w:rPr>
        <w:noBreakHyphen/>
        <w:t>2015</w:t>
      </w:r>
      <w:r w:rsidRPr="00961CFD">
        <w:rPr>
          <w:lang w:val="es-ES" w:eastAsia="en-US"/>
        </w:rPr>
        <w:t>), cuyo objetivo es mejorar la calidad de vida de las mujeres;</w:t>
      </w:r>
      <w:bookmarkEnd w:id="17"/>
    </w:p>
    <w:p w14:paraId="642A4C68" w14:textId="1C1E5CD5" w:rsidR="003A1004" w:rsidRPr="00961CFD" w:rsidRDefault="003A1004" w:rsidP="000E5E84">
      <w:pPr>
        <w:pStyle w:val="SingleTxt"/>
        <w:rPr>
          <w:lang w:val="es-ES" w:eastAsia="en-US"/>
        </w:rPr>
      </w:pPr>
      <w:bookmarkStart w:id="18" w:name="bookmark_36"/>
      <w:r w:rsidRPr="00961CFD">
        <w:rPr>
          <w:lang w:val="es-ES" w:eastAsia="en-US"/>
        </w:rPr>
        <w:tab/>
        <w:t>e)</w:t>
      </w:r>
      <w:r w:rsidRPr="00961CFD">
        <w:rPr>
          <w:lang w:val="es-ES" w:eastAsia="en-US"/>
        </w:rPr>
        <w:tab/>
        <w:t>La Estrategia Nacional de Desarrollo Sostenible (</w:t>
      </w:r>
      <w:r w:rsidR="00202F8E" w:rsidRPr="00961CFD">
        <w:rPr>
          <w:lang w:val="es-ES" w:eastAsia="en-US"/>
        </w:rPr>
        <w:t>2005</w:t>
      </w:r>
      <w:r w:rsidR="00202F8E" w:rsidRPr="00961CFD">
        <w:rPr>
          <w:lang w:val="es-ES" w:eastAsia="en-US"/>
        </w:rPr>
        <w:noBreakHyphen/>
        <w:t>2025</w:t>
      </w:r>
      <w:r w:rsidRPr="00961CFD">
        <w:rPr>
          <w:lang w:val="es-ES" w:eastAsia="en-US"/>
        </w:rPr>
        <w:t>), que reconoce los derechos de la mujer, promueve la igualdad de oportunidades y expresa el compromiso de integrar las cuestiones de género en todos los sectores;</w:t>
      </w:r>
      <w:bookmarkEnd w:id="18"/>
    </w:p>
    <w:p w14:paraId="45C21D01" w14:textId="02736914" w:rsidR="003A1004" w:rsidRPr="00961CFD" w:rsidRDefault="003A1004" w:rsidP="000E5E84">
      <w:pPr>
        <w:pStyle w:val="SingleTxt"/>
        <w:rPr>
          <w:lang w:val="es-ES" w:eastAsia="en-US"/>
        </w:rPr>
      </w:pPr>
      <w:bookmarkStart w:id="19" w:name="bookmark_37"/>
      <w:r w:rsidRPr="00961CFD">
        <w:rPr>
          <w:lang w:val="es-ES" w:eastAsia="en-US"/>
        </w:rPr>
        <w:tab/>
        <w:t>f)</w:t>
      </w:r>
      <w:r w:rsidRPr="00961CFD">
        <w:rPr>
          <w:lang w:val="es-ES" w:eastAsia="en-US"/>
        </w:rPr>
        <w:tab/>
        <w:t>El Plan Nacional de Género, que ofrece apoyo a las mujeres y las niñas</w:t>
      </w:r>
      <w:r w:rsidR="00202F8E" w:rsidRPr="00961CFD">
        <w:rPr>
          <w:lang w:val="es-ES" w:eastAsia="en-US"/>
        </w:rPr>
        <w:t xml:space="preserve"> </w:t>
      </w:r>
      <w:r w:rsidRPr="00961CFD">
        <w:rPr>
          <w:lang w:val="es-ES" w:eastAsia="en-US"/>
        </w:rPr>
        <w:t>afectadas por la violencia doméstica, el alcoholismo y el embarazo en la</w:t>
      </w:r>
      <w:r w:rsidR="00202F8E" w:rsidRPr="00961CFD">
        <w:rPr>
          <w:lang w:val="es-ES" w:eastAsia="en-US"/>
        </w:rPr>
        <w:t xml:space="preserve"> </w:t>
      </w:r>
      <w:r w:rsidRPr="00961CFD">
        <w:rPr>
          <w:lang w:val="es-ES" w:eastAsia="en-US"/>
        </w:rPr>
        <w:t>adolescencia</w:t>
      </w:r>
      <w:r w:rsidR="00202F8E" w:rsidRPr="00961CFD">
        <w:rPr>
          <w:lang w:val="es-ES" w:eastAsia="en-US"/>
        </w:rPr>
        <w:t>.</w:t>
      </w:r>
      <w:bookmarkEnd w:id="19"/>
    </w:p>
    <w:p w14:paraId="1435065A" w14:textId="3DDDC960" w:rsidR="003A1004" w:rsidRPr="00961CFD" w:rsidRDefault="003A1004" w:rsidP="000E5E84">
      <w:pPr>
        <w:pStyle w:val="SingleTxt"/>
        <w:numPr>
          <w:ilvl w:val="0"/>
          <w:numId w:val="31"/>
        </w:numPr>
        <w:tabs>
          <w:tab w:val="num" w:pos="1742"/>
        </w:tabs>
        <w:ind w:left="1267" w:firstLine="0"/>
        <w:rPr>
          <w:szCs w:val="22"/>
          <w:lang w:val="es-ES" w:eastAsia="en-US"/>
        </w:rPr>
      </w:pPr>
      <w:bookmarkStart w:id="20" w:name="bookmark_38"/>
      <w:r w:rsidRPr="00961CFD">
        <w:rPr>
          <w:szCs w:val="22"/>
          <w:lang w:val="es-ES" w:eastAsia="en-US"/>
        </w:rPr>
        <w:t>El Comité acoge favorablemente que, con posterioridad a la entrada en vigor de la Convención en el Estado parte, este haya ratificado los siguientes instrumentos internacionales o se haya adherido a ellos:</w:t>
      </w:r>
      <w:bookmarkEnd w:id="20"/>
    </w:p>
    <w:p w14:paraId="51415CBF" w14:textId="60EDA14F" w:rsidR="003A1004" w:rsidRPr="00961CFD" w:rsidRDefault="003A1004" w:rsidP="000E5E84">
      <w:pPr>
        <w:pStyle w:val="SingleTxt"/>
        <w:rPr>
          <w:lang w:val="es-ES" w:eastAsia="en-US"/>
        </w:rPr>
      </w:pPr>
      <w:bookmarkStart w:id="21" w:name="bookmark_39"/>
      <w:r w:rsidRPr="00961CFD">
        <w:rPr>
          <w:lang w:val="es-ES" w:eastAsia="en-US"/>
        </w:rPr>
        <w:tab/>
        <w:t>a)</w:t>
      </w:r>
      <w:r w:rsidRPr="00961CFD">
        <w:rPr>
          <w:lang w:val="es-ES" w:eastAsia="en-US"/>
        </w:rPr>
        <w:tab/>
        <w:t>La Convención contra la Tortura y Otros Tratos o Penas Crueles, Inhumanos o Degradantes y su Protocolo Facultativo, en</w:t>
      </w:r>
      <w:r w:rsidR="00202F8E" w:rsidRPr="00961CFD">
        <w:rPr>
          <w:lang w:val="es-ES" w:eastAsia="en-US"/>
        </w:rPr>
        <w:t xml:space="preserve"> 2012 </w:t>
      </w:r>
      <w:r w:rsidRPr="00961CFD">
        <w:rPr>
          <w:lang w:val="es-ES" w:eastAsia="en-US"/>
        </w:rPr>
        <w:t>y</w:t>
      </w:r>
      <w:r w:rsidR="00202F8E" w:rsidRPr="00961CFD">
        <w:rPr>
          <w:lang w:val="es-ES" w:eastAsia="en-US"/>
        </w:rPr>
        <w:t xml:space="preserve"> 2013</w:t>
      </w:r>
      <w:r w:rsidRPr="00961CFD">
        <w:rPr>
          <w:lang w:val="es-ES" w:eastAsia="en-US"/>
        </w:rPr>
        <w:t>, respectivamente;</w:t>
      </w:r>
      <w:bookmarkEnd w:id="21"/>
    </w:p>
    <w:p w14:paraId="538FF21D" w14:textId="01FFE0F2" w:rsidR="003A1004" w:rsidRPr="00961CFD" w:rsidRDefault="003A1004" w:rsidP="000E5E84">
      <w:pPr>
        <w:pStyle w:val="SingleTxt"/>
        <w:rPr>
          <w:lang w:val="es-ES" w:eastAsia="en-US"/>
        </w:rPr>
      </w:pPr>
      <w:bookmarkStart w:id="22" w:name="bookmark_40"/>
      <w:r w:rsidRPr="00961CFD">
        <w:rPr>
          <w:lang w:val="es-ES" w:eastAsia="en-US"/>
        </w:rPr>
        <w:tab/>
        <w:t>b)</w:t>
      </w:r>
      <w:r w:rsidRPr="00961CFD">
        <w:rPr>
          <w:lang w:val="es-ES" w:eastAsia="en-US"/>
        </w:rPr>
        <w:tab/>
        <w:t>La Convención sobre los Derechos de las Personas con Discapacidad, en</w:t>
      </w:r>
      <w:r w:rsidR="00202F8E" w:rsidRPr="00961CFD">
        <w:rPr>
          <w:lang w:val="es-ES" w:eastAsia="en-US"/>
        </w:rPr>
        <w:t xml:space="preserve"> 2012.</w:t>
      </w:r>
      <w:bookmarkEnd w:id="22"/>
    </w:p>
    <w:p w14:paraId="54481D7F" w14:textId="77777777" w:rsidR="003A1004" w:rsidRPr="00961CFD" w:rsidRDefault="003A1004" w:rsidP="000E5E84">
      <w:pPr>
        <w:pStyle w:val="SingleTxt"/>
        <w:spacing w:after="0" w:line="120" w:lineRule="exact"/>
        <w:rPr>
          <w:sz w:val="10"/>
          <w:szCs w:val="10"/>
          <w:lang w:val="es-ES"/>
        </w:rPr>
      </w:pPr>
    </w:p>
    <w:p w14:paraId="6DA07E9B" w14:textId="77777777" w:rsidR="000E5E84" w:rsidRPr="00961CFD" w:rsidRDefault="000E5E84" w:rsidP="000E5E84">
      <w:pPr>
        <w:pStyle w:val="SingleTxt"/>
        <w:spacing w:after="0" w:line="120" w:lineRule="exact"/>
        <w:rPr>
          <w:sz w:val="10"/>
          <w:szCs w:val="10"/>
          <w:lang w:val="es-ES"/>
        </w:rPr>
      </w:pPr>
    </w:p>
    <w:p w14:paraId="4125E89C" w14:textId="258664A8" w:rsidR="003A1004" w:rsidRPr="00961CFD" w:rsidRDefault="003A1004" w:rsidP="009A05C8">
      <w:pPr>
        <w:pStyle w:val="H1"/>
        <w:ind w:right="1260"/>
        <w:rPr>
          <w:bCs w:val="0"/>
          <w:szCs w:val="20"/>
          <w:lang w:val="es-ES" w:eastAsia="en-US"/>
        </w:rPr>
      </w:pPr>
      <w:bookmarkStart w:id="23" w:name="bookmark_41"/>
      <w:r w:rsidRPr="00961CFD">
        <w:rPr>
          <w:bCs w:val="0"/>
          <w:szCs w:val="20"/>
          <w:lang w:val="es-ES" w:eastAsia="en-US"/>
        </w:rPr>
        <w:tab/>
        <w:t>C</w:t>
      </w:r>
      <w:r w:rsidR="00202F8E" w:rsidRPr="00961CFD">
        <w:rPr>
          <w:bCs w:val="0"/>
          <w:szCs w:val="20"/>
          <w:lang w:val="es-ES" w:eastAsia="en-US"/>
        </w:rPr>
        <w:t>.</w:t>
      </w:r>
      <w:r w:rsidRPr="00961CFD">
        <w:rPr>
          <w:bCs w:val="0"/>
          <w:szCs w:val="20"/>
          <w:lang w:val="es-ES" w:eastAsia="en-US"/>
        </w:rPr>
        <w:tab/>
        <w:t>Parlamento</w:t>
      </w:r>
      <w:bookmarkEnd w:id="23"/>
    </w:p>
    <w:p w14:paraId="66597C84" w14:textId="77777777" w:rsidR="000E5E84" w:rsidRPr="00961CFD" w:rsidRDefault="000E5E84" w:rsidP="000E5E84">
      <w:pPr>
        <w:pStyle w:val="SingleTxt"/>
        <w:spacing w:after="0" w:line="120" w:lineRule="exact"/>
        <w:rPr>
          <w:sz w:val="10"/>
          <w:szCs w:val="10"/>
          <w:lang w:val="es-ES"/>
        </w:rPr>
      </w:pPr>
    </w:p>
    <w:p w14:paraId="120AB79C" w14:textId="77777777" w:rsidR="000E5E84" w:rsidRPr="00961CFD" w:rsidRDefault="000E5E84" w:rsidP="000E5E84">
      <w:pPr>
        <w:pStyle w:val="SingleTxt"/>
        <w:spacing w:after="0" w:line="120" w:lineRule="exact"/>
        <w:rPr>
          <w:sz w:val="10"/>
          <w:szCs w:val="10"/>
          <w:lang w:val="es-ES"/>
        </w:rPr>
      </w:pPr>
    </w:p>
    <w:p w14:paraId="4032A57A" w14:textId="69832D0C" w:rsidR="003A1004" w:rsidRPr="00961CFD" w:rsidRDefault="003A1004" w:rsidP="00EE1419">
      <w:pPr>
        <w:pStyle w:val="SingleTxt"/>
        <w:numPr>
          <w:ilvl w:val="0"/>
          <w:numId w:val="31"/>
        </w:numPr>
        <w:tabs>
          <w:tab w:val="num" w:pos="1742"/>
        </w:tabs>
        <w:ind w:left="1267" w:firstLine="0"/>
        <w:rPr>
          <w:b/>
          <w:szCs w:val="22"/>
          <w:lang w:val="es-ES" w:eastAsia="en-US"/>
        </w:rPr>
      </w:pPr>
      <w:bookmarkStart w:id="24" w:name="bookmark_42"/>
      <w:r w:rsidRPr="00961CFD">
        <w:rPr>
          <w:b/>
          <w:szCs w:val="22"/>
          <w:lang w:val="es-ES" w:eastAsia="en-US"/>
        </w:rPr>
        <w:t>El Comité subraya el papel crucial que desempeña el poder legislativo para asegurar la plena aplicación de la Convención (véase la declaración del Comité sobre sus relaciones con los parlamentarios, aprobada en su</w:t>
      </w:r>
      <w:r w:rsidR="00202F8E" w:rsidRPr="00961CFD">
        <w:rPr>
          <w:b/>
          <w:szCs w:val="22"/>
          <w:lang w:val="es-ES" w:eastAsia="en-US"/>
        </w:rPr>
        <w:t xml:space="preserve"> 45</w:t>
      </w:r>
      <w:r w:rsidRPr="00961CFD">
        <w:rPr>
          <w:b/>
          <w:szCs w:val="22"/>
          <w:lang w:val="es-ES" w:eastAsia="en-US"/>
        </w:rPr>
        <w:t xml:space="preserve">º período </w:t>
      </w:r>
      <w:r w:rsidRPr="00961CFD">
        <w:rPr>
          <w:b/>
          <w:szCs w:val="22"/>
          <w:lang w:val="es-ES" w:eastAsia="en-US"/>
        </w:rPr>
        <w:lastRenderedPageBreak/>
        <w:t>de sesiones, que se celebró en</w:t>
      </w:r>
      <w:r w:rsidR="00202F8E" w:rsidRPr="00961CFD">
        <w:rPr>
          <w:b/>
          <w:szCs w:val="22"/>
          <w:lang w:val="es-ES" w:eastAsia="en-US"/>
        </w:rPr>
        <w:t xml:space="preserve"> 2010</w:t>
      </w:r>
      <w:r w:rsidRPr="00961CFD">
        <w:rPr>
          <w:b/>
          <w:szCs w:val="22"/>
          <w:lang w:val="es-ES" w:eastAsia="en-US"/>
        </w:rPr>
        <w:t>) e invita al Parlamento a que, de conformidad con su mandato, adopte las medidas necesarias para aplicar las presentes observaciones finales desde el momento actual hasta el próximo período de presentación de informes con arreglo a la Convención</w:t>
      </w:r>
      <w:r w:rsidR="00202F8E" w:rsidRPr="00961CFD">
        <w:rPr>
          <w:b/>
          <w:szCs w:val="22"/>
          <w:lang w:val="es-ES" w:eastAsia="en-US"/>
        </w:rPr>
        <w:t>.</w:t>
      </w:r>
      <w:bookmarkEnd w:id="24"/>
    </w:p>
    <w:p w14:paraId="72030FEF" w14:textId="77777777" w:rsidR="000E5E84" w:rsidRPr="00961CFD" w:rsidRDefault="000E5E84" w:rsidP="000E5E84">
      <w:pPr>
        <w:pStyle w:val="SingleTxt"/>
        <w:spacing w:after="0" w:line="120" w:lineRule="exact"/>
        <w:rPr>
          <w:sz w:val="10"/>
          <w:szCs w:val="10"/>
          <w:lang w:val="es-ES"/>
        </w:rPr>
      </w:pPr>
      <w:bookmarkStart w:id="25" w:name="bookmark_43"/>
    </w:p>
    <w:p w14:paraId="7A874320" w14:textId="77777777" w:rsidR="000E5E84" w:rsidRPr="00961CFD" w:rsidRDefault="000E5E84" w:rsidP="000E5E84">
      <w:pPr>
        <w:pStyle w:val="SingleTxt"/>
        <w:spacing w:after="0" w:line="120" w:lineRule="exact"/>
        <w:rPr>
          <w:sz w:val="10"/>
          <w:szCs w:val="10"/>
          <w:lang w:val="es-ES"/>
        </w:rPr>
      </w:pPr>
    </w:p>
    <w:p w14:paraId="322713D8" w14:textId="74DDE411" w:rsidR="003A1004" w:rsidRPr="00961CFD" w:rsidRDefault="003A1004" w:rsidP="009A05C8">
      <w:pPr>
        <w:pStyle w:val="H1"/>
        <w:ind w:right="1260"/>
        <w:rPr>
          <w:bCs w:val="0"/>
          <w:szCs w:val="20"/>
          <w:lang w:val="es-ES" w:eastAsia="en-US"/>
        </w:rPr>
      </w:pPr>
      <w:r w:rsidRPr="00961CFD">
        <w:rPr>
          <w:bCs w:val="0"/>
          <w:szCs w:val="20"/>
          <w:lang w:val="es-ES" w:eastAsia="en-US"/>
        </w:rPr>
        <w:tab/>
        <w:t>D</w:t>
      </w:r>
      <w:r w:rsidR="00202F8E" w:rsidRPr="00961CFD">
        <w:rPr>
          <w:bCs w:val="0"/>
          <w:szCs w:val="20"/>
          <w:lang w:val="es-ES" w:eastAsia="en-US"/>
        </w:rPr>
        <w:t>.</w:t>
      </w:r>
      <w:r w:rsidRPr="00961CFD">
        <w:rPr>
          <w:bCs w:val="0"/>
          <w:szCs w:val="20"/>
          <w:lang w:val="es-ES" w:eastAsia="en-US"/>
        </w:rPr>
        <w:tab/>
        <w:t>Principales motivos de preocupación y recomendaciones</w:t>
      </w:r>
      <w:bookmarkEnd w:id="25"/>
    </w:p>
    <w:p w14:paraId="20310AA1" w14:textId="77777777" w:rsidR="000E5E84" w:rsidRPr="00961CFD" w:rsidRDefault="000E5E84" w:rsidP="000E5E84">
      <w:pPr>
        <w:pStyle w:val="SingleTxt"/>
        <w:spacing w:after="0" w:line="120" w:lineRule="exact"/>
        <w:rPr>
          <w:sz w:val="10"/>
          <w:szCs w:val="10"/>
          <w:lang w:val="es-ES"/>
        </w:rPr>
      </w:pPr>
    </w:p>
    <w:p w14:paraId="14718F11" w14:textId="77777777" w:rsidR="000E5E84" w:rsidRPr="00961CFD" w:rsidRDefault="000E5E84" w:rsidP="000E5E84">
      <w:pPr>
        <w:pStyle w:val="SingleTxt"/>
        <w:spacing w:after="0" w:line="120" w:lineRule="exact"/>
        <w:rPr>
          <w:sz w:val="10"/>
          <w:szCs w:val="10"/>
          <w:lang w:val="es-ES"/>
        </w:rPr>
      </w:pPr>
    </w:p>
    <w:p w14:paraId="638A4B14" w14:textId="1F8FD7A3" w:rsidR="003A1004" w:rsidRPr="00961CFD" w:rsidRDefault="003A1004" w:rsidP="009A05C8">
      <w:pPr>
        <w:pStyle w:val="H23"/>
        <w:ind w:right="1260"/>
        <w:rPr>
          <w:bCs w:val="0"/>
          <w:lang w:val="es-ES" w:eastAsia="en-US"/>
        </w:rPr>
      </w:pPr>
      <w:bookmarkStart w:id="26" w:name="bookmark_44"/>
      <w:r w:rsidRPr="00961CFD">
        <w:rPr>
          <w:bCs w:val="0"/>
          <w:lang w:val="es-ES" w:eastAsia="en-US"/>
        </w:rPr>
        <w:tab/>
      </w:r>
      <w:r w:rsidRPr="00961CFD">
        <w:rPr>
          <w:bCs w:val="0"/>
          <w:lang w:val="es-ES" w:eastAsia="en-US"/>
        </w:rPr>
        <w:tab/>
        <w:t>Visibilidad de la Convención</w:t>
      </w:r>
      <w:bookmarkEnd w:id="26"/>
    </w:p>
    <w:p w14:paraId="4B6F182E" w14:textId="77777777" w:rsidR="000E5E84" w:rsidRPr="00961CFD" w:rsidRDefault="000E5E84" w:rsidP="000E5E84">
      <w:pPr>
        <w:pStyle w:val="SingleTxt"/>
        <w:spacing w:after="0" w:line="120" w:lineRule="exact"/>
        <w:rPr>
          <w:sz w:val="10"/>
          <w:szCs w:val="10"/>
          <w:lang w:val="es-ES"/>
        </w:rPr>
      </w:pPr>
    </w:p>
    <w:p w14:paraId="7FFF7559" w14:textId="4135B9E0" w:rsidR="003A1004" w:rsidRPr="00961CFD" w:rsidRDefault="003A1004" w:rsidP="00EE1419">
      <w:pPr>
        <w:pStyle w:val="SingleTxt"/>
        <w:numPr>
          <w:ilvl w:val="0"/>
          <w:numId w:val="31"/>
        </w:numPr>
        <w:tabs>
          <w:tab w:val="num" w:pos="1742"/>
        </w:tabs>
        <w:ind w:left="1267" w:firstLine="0"/>
        <w:rPr>
          <w:szCs w:val="22"/>
          <w:lang w:val="es-ES" w:eastAsia="en-US"/>
        </w:rPr>
      </w:pPr>
      <w:bookmarkStart w:id="27" w:name="bookmark_45"/>
      <w:r w:rsidRPr="00961CFD">
        <w:rPr>
          <w:szCs w:val="22"/>
          <w:lang w:val="es-ES" w:eastAsia="en-US"/>
        </w:rPr>
        <w:t>Preocupa al Comité que la aplicación de la Convención haya sido limitada en la práctica y que la Convención no se haya difundido suficientemente como base</w:t>
      </w:r>
      <w:r w:rsidR="00202F8E" w:rsidRPr="00961CFD">
        <w:rPr>
          <w:szCs w:val="22"/>
          <w:lang w:val="es-ES" w:eastAsia="en-US"/>
        </w:rPr>
        <w:t xml:space="preserve"> </w:t>
      </w:r>
      <w:r w:rsidRPr="00961CFD">
        <w:rPr>
          <w:szCs w:val="22"/>
          <w:lang w:val="es-ES" w:eastAsia="en-US"/>
        </w:rPr>
        <w:t>jurídica para la adopción de medidas encaminadas a eliminar todas las formas de discriminación contra la mujer y la promoción de la igualdad de género en el</w:t>
      </w:r>
      <w:r w:rsidR="00202F8E" w:rsidRPr="00961CFD">
        <w:rPr>
          <w:szCs w:val="22"/>
          <w:lang w:val="es-ES" w:eastAsia="en-US"/>
        </w:rPr>
        <w:t xml:space="preserve"> </w:t>
      </w:r>
      <w:r w:rsidRPr="00961CFD">
        <w:rPr>
          <w:szCs w:val="22"/>
          <w:lang w:val="es-ES" w:eastAsia="en-US"/>
        </w:rPr>
        <w:t>Estado parte</w:t>
      </w:r>
      <w:r w:rsidR="00202F8E" w:rsidRPr="00961CFD">
        <w:rPr>
          <w:szCs w:val="22"/>
          <w:lang w:val="es-ES" w:eastAsia="en-US"/>
        </w:rPr>
        <w:t>.</w:t>
      </w:r>
      <w:bookmarkEnd w:id="27"/>
    </w:p>
    <w:p w14:paraId="0645D2F8" w14:textId="2A2A67C4" w:rsidR="003A1004" w:rsidRPr="00961CFD" w:rsidRDefault="003A1004" w:rsidP="00EE1419">
      <w:pPr>
        <w:pStyle w:val="SingleTxt"/>
        <w:numPr>
          <w:ilvl w:val="0"/>
          <w:numId w:val="31"/>
        </w:numPr>
        <w:tabs>
          <w:tab w:val="num" w:pos="1742"/>
        </w:tabs>
        <w:ind w:left="1267" w:firstLine="0"/>
        <w:rPr>
          <w:b/>
          <w:szCs w:val="22"/>
          <w:lang w:val="es-ES" w:eastAsia="en-US"/>
        </w:rPr>
      </w:pPr>
      <w:bookmarkStart w:id="28" w:name="bookmark_46"/>
      <w:r w:rsidRPr="00961CFD">
        <w:rPr>
          <w:b/>
          <w:szCs w:val="22"/>
          <w:lang w:val="es-ES" w:eastAsia="en-US"/>
        </w:rPr>
        <w:t>El Comité recomienda que el Estado parte adopte todas las medidas pertinentes para que todas las ramas del Gobierno, incluidos el Parlamento y el poder judicial, conozcan suficientemente y apliquen la Convención y las recomendaciones generales del Comité como marco para todas las leyes, decisiones judiciales y políticas relativas a la igualdad de género y el adelanto de la mujer</w:t>
      </w:r>
      <w:r w:rsidR="00202F8E" w:rsidRPr="00961CFD">
        <w:rPr>
          <w:b/>
          <w:szCs w:val="22"/>
          <w:lang w:val="es-ES" w:eastAsia="en-US"/>
        </w:rPr>
        <w:t>.</w:t>
      </w:r>
      <w:bookmarkEnd w:id="28"/>
    </w:p>
    <w:p w14:paraId="3FBB1C7B" w14:textId="77777777" w:rsidR="000E5E84" w:rsidRPr="00961CFD" w:rsidRDefault="000E5E84" w:rsidP="000E5E84">
      <w:pPr>
        <w:pStyle w:val="SingleTxt"/>
        <w:spacing w:after="0" w:line="120" w:lineRule="exact"/>
        <w:rPr>
          <w:sz w:val="10"/>
          <w:szCs w:val="10"/>
          <w:lang w:val="es-ES"/>
        </w:rPr>
      </w:pPr>
      <w:bookmarkStart w:id="29" w:name="bookmark_47"/>
    </w:p>
    <w:p w14:paraId="084070DB" w14:textId="6B0B5EE0"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Definición de discriminación</w:t>
      </w:r>
      <w:bookmarkEnd w:id="29"/>
    </w:p>
    <w:p w14:paraId="2B3630B1" w14:textId="77777777" w:rsidR="000E5E84" w:rsidRPr="00961CFD" w:rsidRDefault="000E5E84" w:rsidP="000E5E84">
      <w:pPr>
        <w:pStyle w:val="SingleTxt"/>
        <w:spacing w:after="0" w:line="120" w:lineRule="exact"/>
        <w:rPr>
          <w:sz w:val="10"/>
          <w:szCs w:val="10"/>
          <w:lang w:val="es-ES"/>
        </w:rPr>
      </w:pPr>
    </w:p>
    <w:p w14:paraId="40FD428F" w14:textId="77777777" w:rsidR="00202F8E" w:rsidRPr="00961CFD" w:rsidRDefault="003A1004" w:rsidP="00B74BBA">
      <w:pPr>
        <w:pStyle w:val="SingleTxt"/>
        <w:numPr>
          <w:ilvl w:val="0"/>
          <w:numId w:val="31"/>
        </w:numPr>
        <w:tabs>
          <w:tab w:val="num" w:pos="1742"/>
        </w:tabs>
        <w:ind w:left="1267" w:firstLine="0"/>
        <w:rPr>
          <w:szCs w:val="22"/>
          <w:lang w:val="es-ES" w:eastAsia="en-US"/>
        </w:rPr>
      </w:pPr>
      <w:bookmarkStart w:id="30" w:name="bookmark_48"/>
      <w:r w:rsidRPr="00961CFD">
        <w:rPr>
          <w:szCs w:val="22"/>
          <w:lang w:val="es-ES" w:eastAsia="en-US"/>
        </w:rPr>
        <w:t>El Comité observa que la Constitución establece el derecho a las libertades y los derechos fundamentales de toda persona sea cual fuere su sexo</w:t>
      </w:r>
      <w:r w:rsidR="00202F8E" w:rsidRPr="00961CFD">
        <w:rPr>
          <w:szCs w:val="22"/>
          <w:lang w:val="es-ES" w:eastAsia="en-US"/>
        </w:rPr>
        <w:t>.</w:t>
      </w:r>
      <w:r w:rsidRPr="00961CFD">
        <w:rPr>
          <w:szCs w:val="22"/>
          <w:lang w:val="es-ES" w:eastAsia="en-US"/>
        </w:rPr>
        <w:t xml:space="preserve"> No obstante, al Comité le preocupa la falta de una definición exhaustiva de la discriminación contra la mujer y el principio de igualdad entre la mujer y el hombre de conformidad con los artículos</w:t>
      </w:r>
      <w:r w:rsidR="00202F8E" w:rsidRPr="00961CFD">
        <w:rPr>
          <w:szCs w:val="22"/>
          <w:lang w:val="es-ES" w:eastAsia="en-US"/>
        </w:rPr>
        <w:t xml:space="preserve"> 1 </w:t>
      </w:r>
      <w:r w:rsidRPr="00961CFD">
        <w:rPr>
          <w:szCs w:val="22"/>
          <w:lang w:val="es-ES" w:eastAsia="en-US"/>
        </w:rPr>
        <w:t>y</w:t>
      </w:r>
      <w:r w:rsidR="00202F8E" w:rsidRPr="00961CFD">
        <w:rPr>
          <w:szCs w:val="22"/>
          <w:lang w:val="es-ES" w:eastAsia="en-US"/>
        </w:rPr>
        <w:t xml:space="preserve"> 2 </w:t>
      </w:r>
      <w:r w:rsidRPr="00961CFD">
        <w:rPr>
          <w:szCs w:val="22"/>
          <w:lang w:val="es-ES" w:eastAsia="en-US"/>
        </w:rPr>
        <w:t>a) de la Convención</w:t>
      </w:r>
      <w:r w:rsidR="00202F8E" w:rsidRPr="00961CFD">
        <w:rPr>
          <w:szCs w:val="22"/>
          <w:lang w:val="es-ES" w:eastAsia="en-US"/>
        </w:rPr>
        <w:t>.</w:t>
      </w:r>
      <w:r w:rsidRPr="00961CFD">
        <w:rPr>
          <w:szCs w:val="22"/>
          <w:lang w:val="es-ES" w:eastAsia="en-US"/>
        </w:rPr>
        <w:t xml:space="preserve"> También preocupa al Comité que la Constitución no prohíba explícitamente las formas interrelacionadas de discriminación contra la mujer</w:t>
      </w:r>
      <w:r w:rsidR="00202F8E" w:rsidRPr="00961CFD">
        <w:rPr>
          <w:szCs w:val="22"/>
          <w:lang w:val="es-ES" w:eastAsia="en-US"/>
        </w:rPr>
        <w:t>.</w:t>
      </w:r>
      <w:r w:rsidRPr="00961CFD">
        <w:rPr>
          <w:szCs w:val="22"/>
          <w:lang w:val="es-ES" w:eastAsia="en-US"/>
        </w:rPr>
        <w:t xml:space="preserve"> Esta deficiencia se traduce en la ausencia de una legislación adecuada y de medidas específicas para lograr la plena efectividad de los derechos de la mujer en Nauru</w:t>
      </w:r>
      <w:r w:rsidR="00202F8E" w:rsidRPr="00961CFD">
        <w:rPr>
          <w:szCs w:val="22"/>
          <w:lang w:val="es-ES" w:eastAsia="en-US"/>
        </w:rPr>
        <w:t>.</w:t>
      </w:r>
      <w:bookmarkEnd w:id="30"/>
    </w:p>
    <w:p w14:paraId="6ACC2103" w14:textId="2B8FA6C3" w:rsidR="003A1004" w:rsidRPr="00961CFD" w:rsidRDefault="003A1004" w:rsidP="00EE1419">
      <w:pPr>
        <w:pStyle w:val="SingleTxt"/>
        <w:numPr>
          <w:ilvl w:val="0"/>
          <w:numId w:val="31"/>
        </w:numPr>
        <w:tabs>
          <w:tab w:val="num" w:pos="1742"/>
        </w:tabs>
        <w:ind w:left="1267" w:firstLine="0"/>
        <w:rPr>
          <w:b/>
          <w:szCs w:val="22"/>
          <w:lang w:val="es-ES" w:eastAsia="en-US"/>
        </w:rPr>
      </w:pPr>
      <w:bookmarkStart w:id="31" w:name="bookmark_49"/>
      <w:r w:rsidRPr="00961CFD">
        <w:rPr>
          <w:b/>
          <w:szCs w:val="22"/>
          <w:lang w:val="es-ES" w:eastAsia="en-US"/>
        </w:rPr>
        <w:t>El Comité recomienda que, dentro de un plazo claramente definido, el</w:t>
      </w:r>
      <w:r w:rsidR="00202F8E" w:rsidRPr="00961CFD">
        <w:rPr>
          <w:b/>
          <w:szCs w:val="22"/>
          <w:lang w:val="es-ES" w:eastAsia="en-US"/>
        </w:rPr>
        <w:t xml:space="preserve"> </w:t>
      </w:r>
      <w:r w:rsidRPr="00961CFD">
        <w:rPr>
          <w:b/>
          <w:szCs w:val="22"/>
          <w:lang w:val="es-ES" w:eastAsia="en-US"/>
        </w:rPr>
        <w:t>Estado parte:</w:t>
      </w:r>
      <w:bookmarkEnd w:id="31"/>
    </w:p>
    <w:p w14:paraId="4A65A372" w14:textId="77777777" w:rsidR="00202F8E" w:rsidRPr="00961CFD" w:rsidRDefault="00813DCC" w:rsidP="00813DCC">
      <w:pPr>
        <w:pStyle w:val="SingleTxt"/>
        <w:rPr>
          <w:lang w:val="es-ES" w:eastAsia="en-US"/>
        </w:rPr>
      </w:pPr>
      <w:bookmarkStart w:id="32" w:name="bookmark_50"/>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Incorpore en la Constitución una definición exhaustiva de la discriminación contra la mujer de conformidad con el artículo</w:t>
      </w:r>
      <w:r w:rsidR="00202F8E" w:rsidRPr="00961CFD">
        <w:rPr>
          <w:b/>
          <w:lang w:val="es-ES" w:eastAsia="en-US"/>
        </w:rPr>
        <w:t xml:space="preserve"> 1 </w:t>
      </w:r>
      <w:r w:rsidR="003A1004" w:rsidRPr="00961CFD">
        <w:rPr>
          <w:b/>
          <w:lang w:val="es-ES" w:eastAsia="en-US"/>
        </w:rPr>
        <w:t>de la</w:t>
      </w:r>
      <w:r w:rsidR="00202F8E" w:rsidRPr="00961CFD">
        <w:rPr>
          <w:b/>
          <w:lang w:val="es-ES" w:eastAsia="en-US"/>
        </w:rPr>
        <w:t xml:space="preserve"> </w:t>
      </w:r>
      <w:r w:rsidR="003A1004" w:rsidRPr="00961CFD">
        <w:rPr>
          <w:b/>
          <w:lang w:val="es-ES" w:eastAsia="en-US"/>
        </w:rPr>
        <w:t>Convención, que abarque las distintas formas interrelacionadas directas e indirectas de discriminación, así como la discriminación en las esferas pública y</w:t>
      </w:r>
      <w:r w:rsidR="00202F8E" w:rsidRPr="00961CFD">
        <w:rPr>
          <w:b/>
          <w:lang w:val="es-ES" w:eastAsia="en-US"/>
        </w:rPr>
        <w:t xml:space="preserve"> </w:t>
      </w:r>
      <w:r w:rsidR="003A1004" w:rsidRPr="00961CFD">
        <w:rPr>
          <w:b/>
          <w:lang w:val="es-ES" w:eastAsia="en-US"/>
        </w:rPr>
        <w:t>privada;</w:t>
      </w:r>
      <w:bookmarkEnd w:id="32"/>
    </w:p>
    <w:p w14:paraId="1B7081D7" w14:textId="4EEF38DF" w:rsidR="003A1004" w:rsidRPr="00961CFD" w:rsidRDefault="00813DCC" w:rsidP="00813DCC">
      <w:pPr>
        <w:pStyle w:val="SingleTxt"/>
        <w:rPr>
          <w:lang w:val="es-ES" w:eastAsia="en-US"/>
        </w:rPr>
      </w:pPr>
      <w:bookmarkStart w:id="33" w:name="bookmark_51"/>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Incorpore el principio de igualdad entre el hombre y la mujer en la</w:t>
      </w:r>
      <w:r w:rsidR="00202F8E" w:rsidRPr="00961CFD">
        <w:rPr>
          <w:b/>
          <w:lang w:val="es-ES" w:eastAsia="en-US"/>
        </w:rPr>
        <w:t xml:space="preserve"> </w:t>
      </w:r>
      <w:r w:rsidR="003A1004" w:rsidRPr="00961CFD">
        <w:rPr>
          <w:b/>
          <w:lang w:val="es-ES" w:eastAsia="en-US"/>
        </w:rPr>
        <w:t>Constitución;</w:t>
      </w:r>
      <w:bookmarkEnd w:id="33"/>
    </w:p>
    <w:p w14:paraId="4631DD09" w14:textId="1267CA26" w:rsidR="003A1004" w:rsidRPr="00961CFD" w:rsidRDefault="00813DCC" w:rsidP="00813DCC">
      <w:pPr>
        <w:pStyle w:val="SingleTxt"/>
        <w:rPr>
          <w:lang w:val="es-ES" w:eastAsia="en-US"/>
        </w:rPr>
      </w:pPr>
      <w:bookmarkStart w:id="34" w:name="bookmark_52"/>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Revise todas las leyes vigentes, incluidas las leyes que rigen el matrimonio y las relaciones familiares, y elimine todas las disposiciones discriminatorias para garantizar que las leyes sean compatibles con los principios de igualdad y no discriminación consagrados en la Convención</w:t>
      </w:r>
      <w:r w:rsidR="00202F8E" w:rsidRPr="00961CFD">
        <w:rPr>
          <w:b/>
          <w:lang w:val="es-ES" w:eastAsia="en-US"/>
        </w:rPr>
        <w:t>.</w:t>
      </w:r>
      <w:bookmarkEnd w:id="34"/>
    </w:p>
    <w:p w14:paraId="01F98A80" w14:textId="77777777" w:rsidR="000E5E84" w:rsidRPr="00961CFD" w:rsidRDefault="000E5E84" w:rsidP="000E5E84">
      <w:pPr>
        <w:pStyle w:val="SingleTxt"/>
        <w:spacing w:after="0" w:line="120" w:lineRule="exact"/>
        <w:rPr>
          <w:sz w:val="10"/>
          <w:szCs w:val="10"/>
          <w:lang w:val="es-ES"/>
        </w:rPr>
      </w:pPr>
      <w:bookmarkStart w:id="35" w:name="bookmark_53"/>
    </w:p>
    <w:p w14:paraId="5D42F703" w14:textId="3AEEEAF7"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Acceso a la justicia</w:t>
      </w:r>
      <w:bookmarkEnd w:id="35"/>
    </w:p>
    <w:p w14:paraId="6D0B15DE" w14:textId="77777777" w:rsidR="000E5E84" w:rsidRPr="00961CFD" w:rsidRDefault="000E5E84" w:rsidP="000E5E84">
      <w:pPr>
        <w:pStyle w:val="SingleTxt"/>
        <w:spacing w:after="0" w:line="120" w:lineRule="exact"/>
        <w:rPr>
          <w:sz w:val="10"/>
          <w:szCs w:val="10"/>
          <w:lang w:val="es-ES"/>
        </w:rPr>
      </w:pPr>
    </w:p>
    <w:p w14:paraId="5D52C614" w14:textId="07721931" w:rsidR="003A1004" w:rsidRPr="00961CFD" w:rsidRDefault="003A1004" w:rsidP="00EE1419">
      <w:pPr>
        <w:pStyle w:val="SingleTxt"/>
        <w:numPr>
          <w:ilvl w:val="0"/>
          <w:numId w:val="31"/>
        </w:numPr>
        <w:tabs>
          <w:tab w:val="num" w:pos="1742"/>
        </w:tabs>
        <w:ind w:left="1267" w:firstLine="0"/>
        <w:rPr>
          <w:szCs w:val="22"/>
          <w:lang w:val="es-ES" w:eastAsia="en-US"/>
        </w:rPr>
      </w:pPr>
      <w:bookmarkStart w:id="36" w:name="bookmark_54"/>
      <w:r w:rsidRPr="00961CFD">
        <w:rPr>
          <w:szCs w:val="22"/>
          <w:lang w:val="es-ES" w:eastAsia="en-US"/>
        </w:rPr>
        <w:t>El Comité observa con agrado que se ofrece asistencia jurídica gratuita a las mujeres a través de la Oficina del Defensor Público y que las mujeres que carecen de recursos financieros suficientes pueden solicitar una reducción de las costas judiciales</w:t>
      </w:r>
      <w:r w:rsidR="00202F8E" w:rsidRPr="00961CFD">
        <w:rPr>
          <w:szCs w:val="22"/>
          <w:lang w:val="es-ES" w:eastAsia="en-US"/>
        </w:rPr>
        <w:t>.</w:t>
      </w:r>
      <w:r w:rsidRPr="00961CFD">
        <w:rPr>
          <w:szCs w:val="22"/>
          <w:lang w:val="es-ES" w:eastAsia="en-US"/>
        </w:rPr>
        <w:t xml:space="preserve"> No obstante, el Comité está preocupado porque muchas mujeres no son conscientes de sus derechos ni de la forma de hacerlos valer</w:t>
      </w:r>
      <w:r w:rsidR="00202F8E" w:rsidRPr="00961CFD">
        <w:rPr>
          <w:szCs w:val="22"/>
          <w:lang w:val="es-ES" w:eastAsia="en-US"/>
        </w:rPr>
        <w:t>.</w:t>
      </w:r>
      <w:r w:rsidRPr="00961CFD">
        <w:rPr>
          <w:szCs w:val="22"/>
          <w:lang w:val="es-ES" w:eastAsia="en-US"/>
        </w:rPr>
        <w:t xml:space="preserve"> También observa con </w:t>
      </w:r>
      <w:r w:rsidRPr="00961CFD">
        <w:rPr>
          <w:szCs w:val="22"/>
          <w:lang w:val="es-ES" w:eastAsia="en-US"/>
        </w:rPr>
        <w:lastRenderedPageBreak/>
        <w:t>preocupación que muchas víctimas que denuncian la violencia por razón de género a la policía a menudo se abstienen de presentar denuncias judiciales</w:t>
      </w:r>
      <w:r w:rsidR="00202F8E" w:rsidRPr="00961CFD">
        <w:rPr>
          <w:szCs w:val="22"/>
          <w:lang w:val="es-ES" w:eastAsia="en-US"/>
        </w:rPr>
        <w:t>.</w:t>
      </w:r>
      <w:bookmarkEnd w:id="36"/>
    </w:p>
    <w:p w14:paraId="4B85E4C7" w14:textId="083C929B" w:rsidR="003A1004" w:rsidRPr="00961CFD" w:rsidRDefault="003A1004" w:rsidP="00EE1419">
      <w:pPr>
        <w:pStyle w:val="SingleTxt"/>
        <w:numPr>
          <w:ilvl w:val="0"/>
          <w:numId w:val="31"/>
        </w:numPr>
        <w:tabs>
          <w:tab w:val="num" w:pos="1742"/>
        </w:tabs>
        <w:ind w:left="1267" w:firstLine="0"/>
        <w:rPr>
          <w:b/>
          <w:szCs w:val="22"/>
          <w:lang w:val="es-ES" w:eastAsia="en-US"/>
        </w:rPr>
      </w:pPr>
      <w:bookmarkStart w:id="37" w:name="bookmark_55"/>
      <w:r w:rsidRPr="00961CFD">
        <w:rPr>
          <w:b/>
          <w:szCs w:val="22"/>
          <w:lang w:val="es-ES" w:eastAsia="en-US"/>
        </w:rPr>
        <w:t>Recordando su recomendación general núm</w:t>
      </w:r>
      <w:r w:rsidR="00202F8E" w:rsidRPr="00961CFD">
        <w:rPr>
          <w:b/>
          <w:szCs w:val="22"/>
          <w:lang w:val="es-ES" w:eastAsia="en-US"/>
        </w:rPr>
        <w:t xml:space="preserve">. 33 </w:t>
      </w:r>
      <w:r w:rsidRPr="00961CFD">
        <w:rPr>
          <w:b/>
          <w:szCs w:val="22"/>
          <w:lang w:val="es-ES" w:eastAsia="en-US"/>
        </w:rPr>
        <w:t>(</w:t>
      </w:r>
      <w:r w:rsidR="00202F8E" w:rsidRPr="00961CFD">
        <w:rPr>
          <w:b/>
          <w:szCs w:val="22"/>
          <w:lang w:val="es-ES" w:eastAsia="en-US"/>
        </w:rPr>
        <w:t>2015</w:t>
      </w:r>
      <w:r w:rsidRPr="00961CFD">
        <w:rPr>
          <w:b/>
          <w:szCs w:val="22"/>
          <w:lang w:val="es-ES" w:eastAsia="en-US"/>
        </w:rPr>
        <w:t>) sobre el acceso de las mujeres a la justicia, el Comité recomienda que el Estado parte:</w:t>
      </w:r>
      <w:bookmarkEnd w:id="37"/>
    </w:p>
    <w:p w14:paraId="6AA67544" w14:textId="79284367" w:rsidR="003A1004" w:rsidRPr="00961CFD" w:rsidRDefault="00813DCC" w:rsidP="00813DCC">
      <w:pPr>
        <w:pStyle w:val="SingleTxt"/>
        <w:rPr>
          <w:lang w:val="es-ES" w:eastAsia="en-US"/>
        </w:rPr>
      </w:pPr>
      <w:bookmarkStart w:id="38" w:name="bookmark_56"/>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Ponga en marcha actividades de divulgación específicas para difundir de forma eficaz información sobre los mecanismos de justicia, los sistemas jurídicos y la forma en que las mujeres pueden acceder a ellos, y promueva un entorno social en el que sea legítimo y aceptable que las mujeres hagan valer sus derechos;</w:t>
      </w:r>
      <w:bookmarkEnd w:id="38"/>
    </w:p>
    <w:p w14:paraId="0EED9CC7" w14:textId="0AF1B40F" w:rsidR="003A1004" w:rsidRPr="00961CFD" w:rsidRDefault="00813DCC" w:rsidP="00813DCC">
      <w:pPr>
        <w:pStyle w:val="SingleTxt"/>
        <w:rPr>
          <w:lang w:val="es-ES" w:eastAsia="en-US"/>
        </w:rPr>
      </w:pPr>
      <w:bookmarkStart w:id="39" w:name="bookmark_57"/>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Vele por que las mujeres y las niñas tengan acceso a servicios de asistencia jurídica y recursos efectivos en caso de vulneración de sus derechos;</w:t>
      </w:r>
      <w:bookmarkEnd w:id="39"/>
    </w:p>
    <w:p w14:paraId="4CA4476C" w14:textId="5003A7BF" w:rsidR="003A1004" w:rsidRPr="00961CFD" w:rsidRDefault="00813DCC" w:rsidP="00813DCC">
      <w:pPr>
        <w:pStyle w:val="SingleTxt"/>
        <w:rPr>
          <w:lang w:val="es-ES" w:eastAsia="en-US"/>
        </w:rPr>
      </w:pPr>
      <w:bookmarkStart w:id="40" w:name="bookmark_58"/>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Disponga cursos pertinentes para los jueces, los fiscales, los agentes de policía y otros funcionarios encargados de hacer cumplir la ley a fin de aumentar su capacidad para investigar, enjuiciar y resolver los casos de violación de los derechos de la mujer de conformidad con la legislación nacional y los instrumentos internacionales pertinentes</w:t>
      </w:r>
      <w:r w:rsidR="00202F8E" w:rsidRPr="00961CFD">
        <w:rPr>
          <w:lang w:val="es-ES" w:eastAsia="en-US"/>
        </w:rPr>
        <w:t>.</w:t>
      </w:r>
      <w:bookmarkEnd w:id="40"/>
    </w:p>
    <w:p w14:paraId="5554DEDD" w14:textId="77777777" w:rsidR="000E5E84" w:rsidRPr="00961CFD" w:rsidRDefault="000E5E84" w:rsidP="000E5E84">
      <w:pPr>
        <w:pStyle w:val="SingleTxt"/>
        <w:spacing w:after="0" w:line="120" w:lineRule="exact"/>
        <w:rPr>
          <w:sz w:val="10"/>
          <w:szCs w:val="10"/>
          <w:lang w:val="es-ES"/>
        </w:rPr>
      </w:pPr>
      <w:bookmarkStart w:id="41" w:name="bookmark_59"/>
    </w:p>
    <w:p w14:paraId="33F69BF4" w14:textId="67724C30"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Mecanismos nacionales para el adelanto de la mujer</w:t>
      </w:r>
      <w:bookmarkEnd w:id="41"/>
    </w:p>
    <w:p w14:paraId="16C9A70D" w14:textId="77777777" w:rsidR="000E5E84" w:rsidRPr="00961CFD" w:rsidRDefault="000E5E84" w:rsidP="000E5E84">
      <w:pPr>
        <w:pStyle w:val="SingleTxt"/>
        <w:spacing w:after="0" w:line="120" w:lineRule="exact"/>
        <w:rPr>
          <w:sz w:val="10"/>
          <w:szCs w:val="10"/>
          <w:lang w:val="es-ES"/>
        </w:rPr>
      </w:pPr>
    </w:p>
    <w:p w14:paraId="511A552B" w14:textId="517F9EEB" w:rsidR="003A1004" w:rsidRPr="00961CFD" w:rsidRDefault="003A1004" w:rsidP="00EE1419">
      <w:pPr>
        <w:pStyle w:val="SingleTxt"/>
        <w:numPr>
          <w:ilvl w:val="0"/>
          <w:numId w:val="31"/>
        </w:numPr>
        <w:tabs>
          <w:tab w:val="num" w:pos="1742"/>
        </w:tabs>
        <w:ind w:left="1267" w:firstLine="0"/>
        <w:rPr>
          <w:szCs w:val="22"/>
          <w:lang w:val="es-ES" w:eastAsia="en-US"/>
        </w:rPr>
      </w:pPr>
      <w:bookmarkStart w:id="42" w:name="bookmark_60"/>
      <w:r w:rsidRPr="00961CFD">
        <w:rPr>
          <w:szCs w:val="22"/>
          <w:lang w:val="es-ES" w:eastAsia="en-US"/>
        </w:rPr>
        <w:t>El Comité acoge con satisfacción la creación del Departamento de Asuntos de la Mujer, la División de Servicios para la Familia y la Comunidad y la División de</w:t>
      </w:r>
      <w:r w:rsidR="00202F8E" w:rsidRPr="00961CFD">
        <w:rPr>
          <w:szCs w:val="22"/>
          <w:lang w:val="es-ES" w:eastAsia="en-US"/>
        </w:rPr>
        <w:t xml:space="preserve"> </w:t>
      </w:r>
      <w:r w:rsidRPr="00961CFD">
        <w:rPr>
          <w:szCs w:val="22"/>
          <w:lang w:val="es-ES" w:eastAsia="en-US"/>
        </w:rPr>
        <w:t>Servicios de Protección de la Infancia dentro del Ministerio del Interior</w:t>
      </w:r>
      <w:r w:rsidR="00202F8E" w:rsidRPr="00961CFD">
        <w:rPr>
          <w:szCs w:val="22"/>
          <w:lang w:val="es-ES" w:eastAsia="en-US"/>
        </w:rPr>
        <w:t>.</w:t>
      </w:r>
      <w:r w:rsidRPr="00961CFD">
        <w:rPr>
          <w:szCs w:val="22"/>
          <w:lang w:val="es-ES" w:eastAsia="en-US"/>
        </w:rPr>
        <w:t xml:space="preserve"> Sin embargo, al Comité le preocupa que no se hayan asignado recursos humanos y financieros suficientes al Departamento, lo que limita la adopción de medidas proactivas para la igualdad de género y debilita su autoridad y capacidad para garantizar la coordinación en el seno del Gobierno</w:t>
      </w:r>
      <w:bookmarkEnd w:id="42"/>
    </w:p>
    <w:p w14:paraId="5A11E11F" w14:textId="2A7721E8" w:rsidR="003A1004" w:rsidRPr="00961CFD" w:rsidRDefault="003A1004" w:rsidP="006C43B3">
      <w:pPr>
        <w:pStyle w:val="SingleTxt"/>
        <w:numPr>
          <w:ilvl w:val="0"/>
          <w:numId w:val="31"/>
        </w:numPr>
        <w:tabs>
          <w:tab w:val="num" w:pos="1742"/>
        </w:tabs>
        <w:ind w:left="1267" w:firstLine="0"/>
        <w:rPr>
          <w:b/>
          <w:szCs w:val="22"/>
          <w:lang w:val="es-ES" w:eastAsia="en-US"/>
        </w:rPr>
      </w:pPr>
      <w:bookmarkStart w:id="43" w:name="bookmark_61"/>
      <w:r w:rsidRPr="00961CFD">
        <w:rPr>
          <w:b/>
          <w:szCs w:val="22"/>
          <w:lang w:val="es-ES" w:eastAsia="en-US"/>
        </w:rPr>
        <w:t>El Comité recomienda que el Estado parte:</w:t>
      </w:r>
      <w:bookmarkEnd w:id="43"/>
    </w:p>
    <w:p w14:paraId="7AF6447D" w14:textId="6BBE18A2" w:rsidR="003A1004" w:rsidRPr="00961CFD" w:rsidRDefault="00813DCC" w:rsidP="00813DCC">
      <w:pPr>
        <w:pStyle w:val="SingleTxt"/>
        <w:rPr>
          <w:lang w:val="es-ES" w:eastAsia="en-US"/>
        </w:rPr>
      </w:pPr>
      <w:bookmarkStart w:id="44" w:name="bookmark_62"/>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Asigne recursos humanos y financieros suficientes al Departamento de Asuntos de la Mujer;</w:t>
      </w:r>
      <w:bookmarkEnd w:id="44"/>
    </w:p>
    <w:p w14:paraId="54AE74A2" w14:textId="36CC29BD" w:rsidR="003A1004" w:rsidRPr="00961CFD" w:rsidRDefault="00813DCC" w:rsidP="00813DCC">
      <w:pPr>
        <w:pStyle w:val="SingleTxt"/>
        <w:rPr>
          <w:lang w:val="es-ES" w:eastAsia="en-US"/>
        </w:rPr>
      </w:pPr>
      <w:bookmarkStart w:id="45" w:name="bookmark_63"/>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Siga reforzando la autoridad del Departamento de Asuntos de la Mujer en el Gobierno y su capacidad para asegurar la coordinación entre las instituciones pertinentes;</w:t>
      </w:r>
      <w:bookmarkEnd w:id="45"/>
    </w:p>
    <w:p w14:paraId="43BD4331" w14:textId="0BBE0BFD" w:rsidR="003A1004" w:rsidRPr="00961CFD" w:rsidRDefault="00813DCC" w:rsidP="00813DCC">
      <w:pPr>
        <w:pStyle w:val="SingleTxt"/>
        <w:rPr>
          <w:lang w:val="es-ES" w:eastAsia="en-US"/>
        </w:rPr>
      </w:pPr>
      <w:bookmarkStart w:id="46" w:name="bookmark_64"/>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Elabore una estrategia de incorporación de las cuestiones de género que comprenda la elaboración de presupuestos con perspectiva de género y se pueda aplicar en todas las políticas y los programas a todos los niveles para tener en cuenta diversos aspectos de la vida de las mujeres;</w:t>
      </w:r>
      <w:bookmarkEnd w:id="46"/>
    </w:p>
    <w:p w14:paraId="4EC78E8F" w14:textId="60C35954" w:rsidR="003A1004" w:rsidRPr="00961CFD" w:rsidRDefault="00813DCC" w:rsidP="00813DCC">
      <w:pPr>
        <w:pStyle w:val="SingleTxt"/>
        <w:rPr>
          <w:lang w:val="es-ES" w:eastAsia="en-US"/>
        </w:rPr>
      </w:pPr>
      <w:bookmarkStart w:id="47" w:name="bookmark_65"/>
      <w:r w:rsidRPr="00961CFD">
        <w:rPr>
          <w:lang w:val="es-ES" w:eastAsia="en-US"/>
        </w:rPr>
        <w:tab/>
      </w:r>
      <w:r w:rsidR="003A1004" w:rsidRPr="00961CFD">
        <w:rPr>
          <w:lang w:val="es-ES" w:eastAsia="en-US"/>
        </w:rPr>
        <w:t>d)</w:t>
      </w:r>
      <w:r w:rsidR="003A1004" w:rsidRPr="00961CFD">
        <w:rPr>
          <w:lang w:val="es-ES" w:eastAsia="en-US"/>
        </w:rPr>
        <w:tab/>
      </w:r>
      <w:r w:rsidR="003A1004" w:rsidRPr="00961CFD">
        <w:rPr>
          <w:b/>
          <w:lang w:val="es-ES" w:eastAsia="en-US"/>
        </w:rPr>
        <w:t>Diseñe y ejecute programas sustanciales, incluido un plan de acción nacional para la implementación de la Agenda</w:t>
      </w:r>
      <w:r w:rsidR="00202F8E" w:rsidRPr="00961CFD">
        <w:rPr>
          <w:b/>
          <w:lang w:val="es-ES" w:eastAsia="en-US"/>
        </w:rPr>
        <w:t xml:space="preserve"> 2030 </w:t>
      </w:r>
      <w:r w:rsidR="003A1004" w:rsidRPr="00961CFD">
        <w:rPr>
          <w:b/>
          <w:lang w:val="es-ES" w:eastAsia="en-US"/>
        </w:rPr>
        <w:t>para el Desarrollo Sostenible, a fin de lograr la igualdad de género;</w:t>
      </w:r>
      <w:bookmarkEnd w:id="47"/>
    </w:p>
    <w:p w14:paraId="58B4E308" w14:textId="4D4805F8" w:rsidR="003A1004" w:rsidRPr="00961CFD" w:rsidRDefault="00813DCC" w:rsidP="00813DCC">
      <w:pPr>
        <w:pStyle w:val="SingleTxt"/>
        <w:rPr>
          <w:lang w:val="es-ES" w:eastAsia="en-US"/>
        </w:rPr>
      </w:pPr>
      <w:bookmarkStart w:id="48" w:name="bookmark_66"/>
      <w:r w:rsidRPr="00961CFD">
        <w:rPr>
          <w:lang w:val="es-ES" w:eastAsia="en-US"/>
        </w:rPr>
        <w:tab/>
      </w:r>
      <w:r w:rsidR="003A1004" w:rsidRPr="00961CFD">
        <w:rPr>
          <w:lang w:val="es-ES" w:eastAsia="en-US"/>
        </w:rPr>
        <w:t>e)</w:t>
      </w:r>
      <w:r w:rsidR="003A1004" w:rsidRPr="00961CFD">
        <w:rPr>
          <w:lang w:val="es-ES" w:eastAsia="en-US"/>
        </w:rPr>
        <w:tab/>
      </w:r>
      <w:r w:rsidR="003A1004" w:rsidRPr="00961CFD">
        <w:rPr>
          <w:b/>
          <w:lang w:val="es-ES" w:eastAsia="en-US"/>
        </w:rPr>
        <w:t>Establezca un mecanismo nacional para la recopilación sistemática de datos, desglosados por sexo, edad, discapacidad, origen étnico y otros factores pertinentes, a fin de evaluar los progresos en el logro de la igualdad de género y el empoderamiento de la mujer en las esferas pública y privada;</w:t>
      </w:r>
      <w:bookmarkEnd w:id="48"/>
    </w:p>
    <w:p w14:paraId="2E769701" w14:textId="5AE26A7A" w:rsidR="003A1004" w:rsidRPr="00961CFD" w:rsidRDefault="00813DCC" w:rsidP="00813DCC">
      <w:pPr>
        <w:pStyle w:val="SingleTxt"/>
        <w:rPr>
          <w:lang w:val="es-ES" w:eastAsia="en-US"/>
        </w:rPr>
      </w:pPr>
      <w:bookmarkStart w:id="49" w:name="bookmark_67"/>
      <w:r w:rsidRPr="00961CFD">
        <w:rPr>
          <w:lang w:val="es-ES" w:eastAsia="en-US"/>
        </w:rPr>
        <w:tab/>
      </w:r>
      <w:r w:rsidR="003A1004" w:rsidRPr="00961CFD">
        <w:rPr>
          <w:lang w:val="es-ES" w:eastAsia="en-US"/>
        </w:rPr>
        <w:t>f)</w:t>
      </w:r>
      <w:r w:rsidR="003A1004" w:rsidRPr="00961CFD">
        <w:rPr>
          <w:lang w:val="es-ES" w:eastAsia="en-US"/>
        </w:rPr>
        <w:tab/>
      </w:r>
      <w:r w:rsidR="003A1004" w:rsidRPr="00961CFD">
        <w:rPr>
          <w:b/>
          <w:lang w:val="es-ES" w:eastAsia="en-US"/>
        </w:rPr>
        <w:t>Utilice las conclusiones del Estudio sobre la Salud y la Asistencia a la Familia de Nauru (</w:t>
      </w:r>
      <w:r w:rsidR="00202F8E" w:rsidRPr="00961CFD">
        <w:rPr>
          <w:b/>
          <w:lang w:val="es-ES" w:eastAsia="en-US"/>
        </w:rPr>
        <w:t>2014</w:t>
      </w:r>
      <w:r w:rsidR="003A1004" w:rsidRPr="00961CFD">
        <w:rPr>
          <w:b/>
          <w:lang w:val="es-ES" w:eastAsia="en-US"/>
        </w:rPr>
        <w:t>) para orientar las políticas conexas, y trabaje en cooperación con las organizaciones de mujeres, los hombres como asociados, los medios de comunicación y el sector privado</w:t>
      </w:r>
      <w:bookmarkEnd w:id="49"/>
    </w:p>
    <w:p w14:paraId="168BC6D3" w14:textId="77777777" w:rsidR="000E5E84" w:rsidRPr="00961CFD" w:rsidRDefault="000E5E84" w:rsidP="000E5E84">
      <w:pPr>
        <w:pStyle w:val="SingleTxt"/>
        <w:spacing w:after="0" w:line="120" w:lineRule="exact"/>
        <w:rPr>
          <w:sz w:val="10"/>
          <w:szCs w:val="10"/>
          <w:lang w:val="es-ES"/>
        </w:rPr>
      </w:pPr>
      <w:bookmarkStart w:id="50" w:name="bookmark_68"/>
    </w:p>
    <w:p w14:paraId="0B574EBE" w14:textId="73BE259B" w:rsidR="003A1004" w:rsidRPr="00961CFD" w:rsidRDefault="003A1004" w:rsidP="00202F8E">
      <w:pPr>
        <w:pStyle w:val="H23"/>
        <w:ind w:right="1260"/>
        <w:rPr>
          <w:bCs w:val="0"/>
          <w:lang w:val="es-ES" w:eastAsia="en-US"/>
        </w:rPr>
      </w:pPr>
      <w:r w:rsidRPr="00961CFD">
        <w:rPr>
          <w:bCs w:val="0"/>
          <w:lang w:val="es-ES" w:eastAsia="en-US"/>
        </w:rPr>
        <w:lastRenderedPageBreak/>
        <w:tab/>
      </w:r>
      <w:r w:rsidRPr="00961CFD">
        <w:rPr>
          <w:bCs w:val="0"/>
          <w:lang w:val="es-ES" w:eastAsia="en-US"/>
        </w:rPr>
        <w:tab/>
        <w:t>Medidas especiales de carácter temporal</w:t>
      </w:r>
      <w:bookmarkEnd w:id="50"/>
    </w:p>
    <w:p w14:paraId="2F748A71" w14:textId="77777777" w:rsidR="000E5E84" w:rsidRPr="00961CFD" w:rsidRDefault="000E5E84" w:rsidP="00202F8E">
      <w:pPr>
        <w:pStyle w:val="SingleTxt"/>
        <w:keepNext/>
        <w:keepLines/>
        <w:spacing w:after="0" w:line="120" w:lineRule="exact"/>
        <w:rPr>
          <w:sz w:val="10"/>
          <w:szCs w:val="10"/>
          <w:lang w:val="es-ES"/>
        </w:rPr>
      </w:pPr>
    </w:p>
    <w:p w14:paraId="24EFEC77" w14:textId="17FEB479" w:rsidR="003A1004" w:rsidRPr="00961CFD" w:rsidRDefault="003A1004" w:rsidP="00202F8E">
      <w:pPr>
        <w:pStyle w:val="SingleTxt"/>
        <w:keepNext/>
        <w:keepLines/>
        <w:numPr>
          <w:ilvl w:val="0"/>
          <w:numId w:val="31"/>
        </w:numPr>
        <w:tabs>
          <w:tab w:val="num" w:pos="1742"/>
        </w:tabs>
        <w:ind w:left="1267" w:firstLine="0"/>
        <w:rPr>
          <w:szCs w:val="22"/>
          <w:lang w:val="es-ES" w:eastAsia="en-US"/>
        </w:rPr>
      </w:pPr>
      <w:bookmarkStart w:id="51" w:name="bookmark_69"/>
      <w:r w:rsidRPr="00961CFD">
        <w:rPr>
          <w:szCs w:val="22"/>
          <w:lang w:val="es-ES" w:eastAsia="en-US"/>
        </w:rPr>
        <w:t>Al Comité le preocupa la falta de medidas especiales de carácter temporal en la legislación o las políticas del Estado parte, y que tanto las mujeres como los hombres se opusieran a la introducción de medidas especiales de carácter temporal, lo que indica una incorrecta comprensión pública de la finalidad y la índole no discriminatoria de esas medidas</w:t>
      </w:r>
      <w:r w:rsidR="00202F8E" w:rsidRPr="00961CFD">
        <w:rPr>
          <w:szCs w:val="22"/>
          <w:lang w:val="es-ES" w:eastAsia="en-US"/>
        </w:rPr>
        <w:t>.</w:t>
      </w:r>
      <w:bookmarkEnd w:id="51"/>
    </w:p>
    <w:p w14:paraId="234F5BC9" w14:textId="79340D4E" w:rsidR="003A1004" w:rsidRPr="00961CFD" w:rsidRDefault="003A1004" w:rsidP="006C43B3">
      <w:pPr>
        <w:pStyle w:val="SingleTxt"/>
        <w:numPr>
          <w:ilvl w:val="0"/>
          <w:numId w:val="31"/>
        </w:numPr>
        <w:tabs>
          <w:tab w:val="num" w:pos="1742"/>
        </w:tabs>
        <w:ind w:left="1267" w:firstLine="0"/>
        <w:rPr>
          <w:b/>
          <w:szCs w:val="22"/>
          <w:lang w:val="es-ES" w:eastAsia="en-US"/>
        </w:rPr>
      </w:pPr>
      <w:bookmarkStart w:id="52" w:name="bookmark_70"/>
      <w:r w:rsidRPr="00961CFD">
        <w:rPr>
          <w:b/>
          <w:szCs w:val="22"/>
          <w:lang w:val="es-ES" w:eastAsia="en-US"/>
        </w:rPr>
        <w:t>De conformidad con el artículo</w:t>
      </w:r>
      <w:r w:rsidR="00202F8E" w:rsidRPr="00961CFD">
        <w:rPr>
          <w:b/>
          <w:szCs w:val="22"/>
          <w:lang w:val="es-ES" w:eastAsia="en-US"/>
        </w:rPr>
        <w:t xml:space="preserve"> 4</w:t>
      </w:r>
      <w:r w:rsidRPr="00961CFD">
        <w:rPr>
          <w:b/>
          <w:szCs w:val="22"/>
          <w:lang w:val="es-ES" w:eastAsia="en-US"/>
        </w:rPr>
        <w:t>, párrafo</w:t>
      </w:r>
      <w:r w:rsidR="00202F8E" w:rsidRPr="00961CFD">
        <w:rPr>
          <w:b/>
          <w:szCs w:val="22"/>
          <w:lang w:val="es-ES" w:eastAsia="en-US"/>
        </w:rPr>
        <w:t xml:space="preserve"> 1</w:t>
      </w:r>
      <w:r w:rsidRPr="00961CFD">
        <w:rPr>
          <w:b/>
          <w:szCs w:val="22"/>
          <w:lang w:val="es-ES" w:eastAsia="en-US"/>
        </w:rPr>
        <w:t>, de la Convención y recordando su recomendación general núm</w:t>
      </w:r>
      <w:r w:rsidR="00202F8E" w:rsidRPr="00961CFD">
        <w:rPr>
          <w:b/>
          <w:szCs w:val="22"/>
          <w:lang w:val="es-ES" w:eastAsia="en-US"/>
        </w:rPr>
        <w:t xml:space="preserve">. 25 </w:t>
      </w:r>
      <w:r w:rsidRPr="00961CFD">
        <w:rPr>
          <w:b/>
          <w:szCs w:val="22"/>
          <w:lang w:val="es-ES" w:eastAsia="en-US"/>
        </w:rPr>
        <w:t>(</w:t>
      </w:r>
      <w:r w:rsidR="00202F8E" w:rsidRPr="00961CFD">
        <w:rPr>
          <w:b/>
          <w:szCs w:val="22"/>
          <w:lang w:val="es-ES" w:eastAsia="en-US"/>
        </w:rPr>
        <w:t>2004</w:t>
      </w:r>
      <w:r w:rsidRPr="00961CFD">
        <w:rPr>
          <w:b/>
          <w:szCs w:val="22"/>
          <w:lang w:val="es-ES" w:eastAsia="en-US"/>
        </w:rPr>
        <w:t>) sobre las medidas especiales de carácter temporal, el Comité recomienda que el Estado parte adopte y aplique medidas especiales de carácter temporal que incluyan objetivos, cuotas obligatorias y elaboración de presupuestos con perspectiva de género, encaminadas a lograr la igualdad sustantiva entre las mujeres y los hombres en todas las esferas en que las mujeres estén en situación de desventaja o insuficientemente representadas, en particular en la vida política y pública, la educación, el empleo y la salud</w:t>
      </w:r>
      <w:r w:rsidR="00202F8E" w:rsidRPr="00961CFD">
        <w:rPr>
          <w:b/>
          <w:szCs w:val="22"/>
          <w:lang w:val="es-ES" w:eastAsia="en-US"/>
        </w:rPr>
        <w:t>.</w:t>
      </w:r>
      <w:bookmarkEnd w:id="52"/>
    </w:p>
    <w:p w14:paraId="3680FD98" w14:textId="77777777" w:rsidR="000E5E84" w:rsidRPr="00961CFD" w:rsidRDefault="000E5E84" w:rsidP="000E5E84">
      <w:pPr>
        <w:pStyle w:val="SingleTxt"/>
        <w:spacing w:after="0" w:line="120" w:lineRule="exact"/>
        <w:rPr>
          <w:sz w:val="10"/>
          <w:szCs w:val="10"/>
          <w:lang w:val="es-ES"/>
        </w:rPr>
      </w:pPr>
      <w:bookmarkStart w:id="53" w:name="bookmark_71"/>
    </w:p>
    <w:p w14:paraId="75440C6A" w14:textId="77777777" w:rsidR="00202F8E"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Estereotipos y prácticas nocivas</w:t>
      </w:r>
      <w:bookmarkEnd w:id="53"/>
    </w:p>
    <w:p w14:paraId="09667997" w14:textId="383C1D7D" w:rsidR="000E5E84" w:rsidRPr="00961CFD" w:rsidRDefault="000E5E84" w:rsidP="000E5E84">
      <w:pPr>
        <w:pStyle w:val="SingleTxt"/>
        <w:spacing w:after="0" w:line="120" w:lineRule="exact"/>
        <w:rPr>
          <w:sz w:val="10"/>
          <w:szCs w:val="10"/>
          <w:lang w:val="es-ES"/>
        </w:rPr>
      </w:pPr>
    </w:p>
    <w:p w14:paraId="3B53571E" w14:textId="0BC2677C" w:rsidR="003A1004" w:rsidRPr="00961CFD" w:rsidRDefault="003A1004" w:rsidP="006C43B3">
      <w:pPr>
        <w:pStyle w:val="SingleTxt"/>
        <w:numPr>
          <w:ilvl w:val="0"/>
          <w:numId w:val="31"/>
        </w:numPr>
        <w:tabs>
          <w:tab w:val="num" w:pos="1742"/>
        </w:tabs>
        <w:ind w:left="1267" w:firstLine="0"/>
        <w:rPr>
          <w:szCs w:val="22"/>
          <w:lang w:val="es-ES" w:eastAsia="en-US"/>
        </w:rPr>
      </w:pPr>
      <w:bookmarkStart w:id="54" w:name="bookmark_72"/>
      <w:r w:rsidRPr="00961CFD">
        <w:rPr>
          <w:szCs w:val="22"/>
          <w:lang w:val="es-ES" w:eastAsia="en-US"/>
        </w:rPr>
        <w:t>Al Comité le preocupan los estereotipos sociales y culturales que prevalecen en el Estado parte, que la sociedad en Nauru considere que la función primordial de la mujer es la de ser esposa y ama de casa, y que los hombres ejerzan el control sobre la forma de vestir, la movilidad y el comportamiento de las mujeres</w:t>
      </w:r>
      <w:r w:rsidR="00202F8E" w:rsidRPr="00961CFD">
        <w:rPr>
          <w:szCs w:val="22"/>
          <w:lang w:val="es-ES" w:eastAsia="en-US"/>
        </w:rPr>
        <w:t>.</w:t>
      </w:r>
      <w:r w:rsidRPr="00961CFD">
        <w:rPr>
          <w:szCs w:val="22"/>
          <w:lang w:val="es-ES" w:eastAsia="en-US"/>
        </w:rPr>
        <w:t xml:space="preserve"> La</w:t>
      </w:r>
      <w:r w:rsidR="00202F8E" w:rsidRPr="00961CFD">
        <w:rPr>
          <w:szCs w:val="22"/>
          <w:lang w:val="es-ES" w:eastAsia="en-US"/>
        </w:rPr>
        <w:t xml:space="preserve"> </w:t>
      </w:r>
      <w:r w:rsidRPr="00961CFD">
        <w:rPr>
          <w:szCs w:val="22"/>
          <w:lang w:val="es-ES" w:eastAsia="en-US"/>
        </w:rPr>
        <w:t>prevalencia de los estereotipos de género da lugar a una mayor subordinación de las mujeres y las niñas, lo que socava su condición social y su autonomía y constituye una de las causas subyacentes de la violencia de género contra la mujer</w:t>
      </w:r>
      <w:r w:rsidR="00202F8E" w:rsidRPr="00961CFD">
        <w:rPr>
          <w:szCs w:val="22"/>
          <w:lang w:val="es-ES" w:eastAsia="en-US"/>
        </w:rPr>
        <w:t>.</w:t>
      </w:r>
      <w:r w:rsidRPr="00961CFD">
        <w:rPr>
          <w:szCs w:val="22"/>
          <w:lang w:val="es-ES" w:eastAsia="en-US"/>
        </w:rPr>
        <w:t xml:space="preserve"> Al Comité también le preocupa que el Estado parte no haya dado una respuesta adecuada a esta cuestión</w:t>
      </w:r>
      <w:r w:rsidR="00202F8E" w:rsidRPr="00961CFD">
        <w:rPr>
          <w:szCs w:val="22"/>
          <w:lang w:val="es-ES" w:eastAsia="en-US"/>
        </w:rPr>
        <w:t>.</w:t>
      </w:r>
      <w:bookmarkEnd w:id="54"/>
    </w:p>
    <w:p w14:paraId="7EEF1B24" w14:textId="77777777" w:rsidR="00202F8E" w:rsidRPr="00961CFD" w:rsidRDefault="003A1004" w:rsidP="006C43B3">
      <w:pPr>
        <w:pStyle w:val="SingleTxt"/>
        <w:numPr>
          <w:ilvl w:val="0"/>
          <w:numId w:val="31"/>
        </w:numPr>
        <w:tabs>
          <w:tab w:val="num" w:pos="1742"/>
        </w:tabs>
        <w:ind w:left="1267" w:firstLine="0"/>
        <w:rPr>
          <w:b/>
          <w:szCs w:val="22"/>
          <w:lang w:val="es-ES" w:eastAsia="en-US"/>
        </w:rPr>
      </w:pPr>
      <w:bookmarkStart w:id="55" w:name="bookmark_73"/>
      <w:r w:rsidRPr="00961CFD">
        <w:rPr>
          <w:b/>
          <w:szCs w:val="22"/>
          <w:lang w:val="es-ES" w:eastAsia="en-US"/>
        </w:rPr>
        <w:t>El Comité recomienda que el Estado parte:</w:t>
      </w:r>
      <w:bookmarkEnd w:id="55"/>
    </w:p>
    <w:p w14:paraId="5C00B791" w14:textId="4E9D2DB3" w:rsidR="003A1004" w:rsidRPr="00961CFD" w:rsidRDefault="00813DCC" w:rsidP="00813DCC">
      <w:pPr>
        <w:pStyle w:val="SingleTxt"/>
        <w:rPr>
          <w:lang w:val="es-ES" w:eastAsia="en-US"/>
        </w:rPr>
      </w:pPr>
      <w:bookmarkStart w:id="56" w:name="bookmark_74"/>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Intensifique las campañas de educación y de sensibilización dirigidas a las mujeres y a los hombres en todos los niveles de la sociedad, incluidos los líderes políticos, comunitarios y religiosos y los docentes, sobre la igualdad sustantiva entre las mujeres y los hombres, para concienciarlos acerca de la igualdad de género y la importante función de la mujer y sus contribuciones en los ámbitos público y privado;</w:t>
      </w:r>
      <w:bookmarkEnd w:id="56"/>
    </w:p>
    <w:p w14:paraId="228F2BFD" w14:textId="67E835A1" w:rsidR="003A1004" w:rsidRPr="00961CFD" w:rsidRDefault="00813DCC" w:rsidP="00813DCC">
      <w:pPr>
        <w:pStyle w:val="SingleTxt"/>
        <w:rPr>
          <w:lang w:val="es-ES" w:eastAsia="en-US"/>
        </w:rPr>
      </w:pPr>
      <w:bookmarkStart w:id="57" w:name="bookmark_75"/>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Revise los programas educativos, los planes de estudio y los libros de</w:t>
      </w:r>
      <w:r w:rsidR="00202F8E" w:rsidRPr="00961CFD">
        <w:rPr>
          <w:b/>
          <w:lang w:val="es-ES" w:eastAsia="en-US"/>
        </w:rPr>
        <w:t xml:space="preserve"> </w:t>
      </w:r>
      <w:r w:rsidR="003A1004" w:rsidRPr="00961CFD">
        <w:rPr>
          <w:b/>
          <w:lang w:val="es-ES" w:eastAsia="en-US"/>
        </w:rPr>
        <w:t>texto para eliminar las manifestaciones de actitudes patriarcales y los estereotipos de género, con el fin de modificar las causas estructurales y culturales de la discriminación contra la mujer;</w:t>
      </w:r>
      <w:bookmarkEnd w:id="57"/>
    </w:p>
    <w:p w14:paraId="69975B7B" w14:textId="57A6592B" w:rsidR="003A1004" w:rsidRPr="00961CFD" w:rsidRDefault="00813DCC" w:rsidP="00813DCC">
      <w:pPr>
        <w:pStyle w:val="SingleTxt"/>
        <w:rPr>
          <w:lang w:val="es-ES" w:eastAsia="en-US"/>
        </w:rPr>
      </w:pPr>
      <w:bookmarkStart w:id="58" w:name="bookmark_76"/>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Busque la participación de los medios de comunicación, incluidas las redes sociales, para combatir los estereotipos discriminatorios y proyectar una imagen positiva de la mujer y de la igualdad de la condición de la mujer y el hombre en la vida pública y privada</w:t>
      </w:r>
      <w:r w:rsidR="00202F8E" w:rsidRPr="00961CFD">
        <w:rPr>
          <w:b/>
          <w:lang w:val="es-ES" w:eastAsia="en-US"/>
        </w:rPr>
        <w:t>.</w:t>
      </w:r>
      <w:bookmarkEnd w:id="58"/>
    </w:p>
    <w:p w14:paraId="6E9D5DF7" w14:textId="77777777" w:rsidR="000E5E84" w:rsidRPr="00961CFD" w:rsidRDefault="000E5E84" w:rsidP="000E5E84">
      <w:pPr>
        <w:pStyle w:val="SingleTxt"/>
        <w:spacing w:after="0" w:line="120" w:lineRule="exact"/>
        <w:rPr>
          <w:sz w:val="10"/>
          <w:szCs w:val="10"/>
          <w:lang w:val="es-ES"/>
        </w:rPr>
      </w:pPr>
      <w:bookmarkStart w:id="59" w:name="bookmark_77"/>
    </w:p>
    <w:p w14:paraId="262AB63B" w14:textId="2E325549"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Violencia por razón de género contra la mujer</w:t>
      </w:r>
      <w:bookmarkEnd w:id="59"/>
    </w:p>
    <w:p w14:paraId="4F9DC5AE" w14:textId="77777777" w:rsidR="000E5E84" w:rsidRPr="00961CFD" w:rsidRDefault="000E5E84" w:rsidP="000E5E84">
      <w:pPr>
        <w:pStyle w:val="SingleTxt"/>
        <w:spacing w:after="0" w:line="120" w:lineRule="exact"/>
        <w:rPr>
          <w:sz w:val="10"/>
          <w:szCs w:val="10"/>
          <w:lang w:val="es-ES"/>
        </w:rPr>
      </w:pPr>
    </w:p>
    <w:p w14:paraId="72B592A7" w14:textId="23C04697" w:rsidR="003A1004" w:rsidRPr="00961CFD" w:rsidRDefault="003A1004" w:rsidP="006C43B3">
      <w:pPr>
        <w:pStyle w:val="SingleTxt"/>
        <w:numPr>
          <w:ilvl w:val="0"/>
          <w:numId w:val="31"/>
        </w:numPr>
        <w:tabs>
          <w:tab w:val="num" w:pos="1742"/>
        </w:tabs>
        <w:ind w:left="1267" w:firstLine="0"/>
        <w:rPr>
          <w:szCs w:val="22"/>
          <w:lang w:val="es-ES" w:eastAsia="en-US"/>
        </w:rPr>
      </w:pPr>
      <w:bookmarkStart w:id="60" w:name="bookmark_78"/>
      <w:r w:rsidRPr="00961CFD">
        <w:rPr>
          <w:szCs w:val="22"/>
          <w:lang w:val="es-ES" w:eastAsia="en-US"/>
        </w:rPr>
        <w:t>El Comité acoge con satisfacción los esfuerzos del Estado parte para combatir la violencia de género, incluida la aprobación de la nueva Ley Penal y el establecimiento de servicios de apoyo tanto para las víctimas como para los autores</w:t>
      </w:r>
      <w:r w:rsidR="00202F8E" w:rsidRPr="00961CFD">
        <w:rPr>
          <w:szCs w:val="22"/>
          <w:lang w:val="es-ES" w:eastAsia="en-US"/>
        </w:rPr>
        <w:t>.</w:t>
      </w:r>
      <w:r w:rsidRPr="00961CFD">
        <w:rPr>
          <w:szCs w:val="22"/>
          <w:lang w:val="es-ES" w:eastAsia="en-US"/>
        </w:rPr>
        <w:t xml:space="preserve"> No obstante, al Comité le preocupa:</w:t>
      </w:r>
      <w:bookmarkEnd w:id="60"/>
    </w:p>
    <w:p w14:paraId="3AC806D5" w14:textId="1CDDFFD4" w:rsidR="003A1004" w:rsidRPr="00961CFD" w:rsidRDefault="00813DCC" w:rsidP="00813DCC">
      <w:pPr>
        <w:pStyle w:val="SingleTxt"/>
        <w:rPr>
          <w:lang w:val="es-ES" w:eastAsia="en-US"/>
        </w:rPr>
      </w:pPr>
      <w:bookmarkStart w:id="61" w:name="bookmark_79"/>
      <w:r w:rsidRPr="00961CFD">
        <w:rPr>
          <w:lang w:val="es-ES" w:eastAsia="en-US"/>
        </w:rPr>
        <w:tab/>
      </w:r>
      <w:r w:rsidR="003A1004" w:rsidRPr="00961CFD">
        <w:rPr>
          <w:lang w:val="es-ES" w:eastAsia="en-US"/>
        </w:rPr>
        <w:t>a)</w:t>
      </w:r>
      <w:r w:rsidR="003A1004" w:rsidRPr="00961CFD">
        <w:rPr>
          <w:lang w:val="es-ES" w:eastAsia="en-US"/>
        </w:rPr>
        <w:tab/>
        <w:t>La elevada incidencia de la violencia de género contra la mujer, incluida la violencia doméstica y sexual;</w:t>
      </w:r>
      <w:bookmarkEnd w:id="61"/>
    </w:p>
    <w:p w14:paraId="26BADE17" w14:textId="2A294A21" w:rsidR="003A1004" w:rsidRPr="00961CFD" w:rsidRDefault="00813DCC" w:rsidP="00813DCC">
      <w:pPr>
        <w:pStyle w:val="SingleTxt"/>
        <w:rPr>
          <w:lang w:val="es-ES" w:eastAsia="en-US"/>
        </w:rPr>
      </w:pPr>
      <w:bookmarkStart w:id="62" w:name="bookmark_80"/>
      <w:r w:rsidRPr="00961CFD">
        <w:rPr>
          <w:lang w:val="es-ES" w:eastAsia="en-US"/>
        </w:rPr>
        <w:lastRenderedPageBreak/>
        <w:tab/>
      </w:r>
      <w:r w:rsidR="003A1004" w:rsidRPr="00961CFD">
        <w:rPr>
          <w:lang w:val="es-ES" w:eastAsia="en-US"/>
        </w:rPr>
        <w:t>b)</w:t>
      </w:r>
      <w:r w:rsidR="003A1004" w:rsidRPr="00961CFD">
        <w:rPr>
          <w:lang w:val="es-ES" w:eastAsia="en-US"/>
        </w:rPr>
        <w:tab/>
        <w:t>El hecho de que las mujeres rara vez denuncian los casos de violencia de género a la policía por diversas razones, entre ellas los estereotipos discriminatorios, el estigma asociado a las víctimas y la falta de confianza en la policía;</w:t>
      </w:r>
      <w:bookmarkEnd w:id="62"/>
    </w:p>
    <w:p w14:paraId="69E6E17C" w14:textId="10847CA8" w:rsidR="003A1004" w:rsidRPr="00961CFD" w:rsidRDefault="00813DCC" w:rsidP="00813DCC">
      <w:pPr>
        <w:pStyle w:val="SingleTxt"/>
        <w:rPr>
          <w:lang w:val="es-ES" w:eastAsia="en-US"/>
        </w:rPr>
      </w:pPr>
      <w:bookmarkStart w:id="63" w:name="bookmark_81"/>
      <w:r w:rsidRPr="00961CFD">
        <w:rPr>
          <w:lang w:val="es-ES" w:eastAsia="en-US"/>
        </w:rPr>
        <w:tab/>
      </w:r>
      <w:r w:rsidR="003A1004" w:rsidRPr="00961CFD">
        <w:rPr>
          <w:lang w:val="es-ES" w:eastAsia="en-US"/>
        </w:rPr>
        <w:t>c)</w:t>
      </w:r>
      <w:r w:rsidR="003A1004" w:rsidRPr="00961CFD">
        <w:rPr>
          <w:lang w:val="es-ES" w:eastAsia="en-US"/>
        </w:rPr>
        <w:tab/>
        <w:t>La limitada capacidad de las autoridades, incluida la capacidad forense de la policía, para investigar las denuncias de violencia de género contra la mujer y responder adecuadamente;</w:t>
      </w:r>
      <w:bookmarkEnd w:id="63"/>
    </w:p>
    <w:p w14:paraId="596536AD" w14:textId="545B8181" w:rsidR="003A1004" w:rsidRPr="00961CFD" w:rsidRDefault="00813DCC" w:rsidP="00813DCC">
      <w:pPr>
        <w:pStyle w:val="SingleTxt"/>
        <w:rPr>
          <w:lang w:val="es-ES" w:eastAsia="en-US"/>
        </w:rPr>
      </w:pPr>
      <w:bookmarkStart w:id="64" w:name="bookmark_82"/>
      <w:r w:rsidRPr="00961CFD">
        <w:rPr>
          <w:lang w:val="es-ES" w:eastAsia="en-US"/>
        </w:rPr>
        <w:tab/>
      </w:r>
      <w:r w:rsidR="003A1004" w:rsidRPr="00961CFD">
        <w:rPr>
          <w:lang w:val="es-ES" w:eastAsia="en-US"/>
        </w:rPr>
        <w:t>d)</w:t>
      </w:r>
      <w:r w:rsidR="003A1004" w:rsidRPr="00961CFD">
        <w:rPr>
          <w:lang w:val="es-ES" w:eastAsia="en-US"/>
        </w:rPr>
        <w:tab/>
        <w:t>La falta de una reunión sistemática de datos sobre la investigación, el</w:t>
      </w:r>
      <w:r w:rsidR="00202F8E" w:rsidRPr="00961CFD">
        <w:rPr>
          <w:lang w:val="es-ES" w:eastAsia="en-US"/>
        </w:rPr>
        <w:t xml:space="preserve"> </w:t>
      </w:r>
      <w:r w:rsidR="003A1004" w:rsidRPr="00961CFD">
        <w:rPr>
          <w:lang w:val="es-ES" w:eastAsia="en-US"/>
        </w:rPr>
        <w:t>enjuiciamiento y la condena en relación con actos de violencia de género contra la</w:t>
      </w:r>
      <w:r w:rsidR="00202F8E" w:rsidRPr="00961CFD">
        <w:rPr>
          <w:lang w:val="es-ES" w:eastAsia="en-US"/>
        </w:rPr>
        <w:t xml:space="preserve"> </w:t>
      </w:r>
      <w:r w:rsidR="003A1004" w:rsidRPr="00961CFD">
        <w:rPr>
          <w:lang w:val="es-ES" w:eastAsia="en-US"/>
        </w:rPr>
        <w:t>mujer;</w:t>
      </w:r>
      <w:bookmarkEnd w:id="64"/>
    </w:p>
    <w:p w14:paraId="1AEF6284" w14:textId="7F3AB90D" w:rsidR="003A1004" w:rsidRPr="00961CFD" w:rsidRDefault="00813DCC" w:rsidP="00813DCC">
      <w:pPr>
        <w:pStyle w:val="SingleTxt"/>
        <w:rPr>
          <w:lang w:val="es-ES" w:eastAsia="en-US"/>
        </w:rPr>
      </w:pPr>
      <w:bookmarkStart w:id="65" w:name="bookmark_83"/>
      <w:r w:rsidRPr="00961CFD">
        <w:rPr>
          <w:lang w:val="es-ES" w:eastAsia="en-US"/>
        </w:rPr>
        <w:tab/>
      </w:r>
      <w:r w:rsidR="003A1004" w:rsidRPr="00961CFD">
        <w:rPr>
          <w:lang w:val="es-ES" w:eastAsia="en-US"/>
        </w:rPr>
        <w:t>e)</w:t>
      </w:r>
      <w:r w:rsidR="003A1004" w:rsidRPr="00961CFD">
        <w:rPr>
          <w:lang w:val="es-ES" w:eastAsia="en-US"/>
        </w:rPr>
        <w:tab/>
        <w:t>La limitada capacidad del centro de acogida para atender eficazmente las necesidades de las víctimas de la violencia</w:t>
      </w:r>
      <w:r w:rsidR="00202F8E" w:rsidRPr="00961CFD">
        <w:rPr>
          <w:lang w:val="es-ES" w:eastAsia="en-US"/>
        </w:rPr>
        <w:t>.</w:t>
      </w:r>
      <w:bookmarkEnd w:id="65"/>
    </w:p>
    <w:p w14:paraId="6CA3295B" w14:textId="2E4A5EB7" w:rsidR="003A1004" w:rsidRPr="00961CFD" w:rsidRDefault="003A1004" w:rsidP="006C43B3">
      <w:pPr>
        <w:pStyle w:val="SingleTxt"/>
        <w:numPr>
          <w:ilvl w:val="0"/>
          <w:numId w:val="31"/>
        </w:numPr>
        <w:tabs>
          <w:tab w:val="num" w:pos="1742"/>
        </w:tabs>
        <w:ind w:left="1267" w:firstLine="0"/>
        <w:rPr>
          <w:b/>
          <w:szCs w:val="22"/>
          <w:lang w:val="es-ES" w:eastAsia="en-US"/>
        </w:rPr>
      </w:pPr>
      <w:bookmarkStart w:id="66" w:name="bookmark_84"/>
      <w:r w:rsidRPr="00961CFD">
        <w:rPr>
          <w:b/>
          <w:szCs w:val="22"/>
          <w:lang w:val="es-ES" w:eastAsia="en-US"/>
        </w:rPr>
        <w:t>Recordando su recomendación general núm</w:t>
      </w:r>
      <w:r w:rsidR="00202F8E" w:rsidRPr="00961CFD">
        <w:rPr>
          <w:b/>
          <w:szCs w:val="22"/>
          <w:lang w:val="es-ES" w:eastAsia="en-US"/>
        </w:rPr>
        <w:t xml:space="preserve">. 35 </w:t>
      </w:r>
      <w:r w:rsidRPr="00961CFD">
        <w:rPr>
          <w:b/>
          <w:szCs w:val="22"/>
          <w:lang w:val="es-ES" w:eastAsia="en-US"/>
        </w:rPr>
        <w:t>(</w:t>
      </w:r>
      <w:r w:rsidR="00202F8E" w:rsidRPr="00961CFD">
        <w:rPr>
          <w:b/>
          <w:szCs w:val="22"/>
          <w:lang w:val="es-ES" w:eastAsia="en-US"/>
        </w:rPr>
        <w:t>2017</w:t>
      </w:r>
      <w:r w:rsidRPr="00961CFD">
        <w:rPr>
          <w:b/>
          <w:szCs w:val="22"/>
          <w:lang w:val="es-ES" w:eastAsia="en-US"/>
        </w:rPr>
        <w:t>) sobre la violencia por razón de género contra la mujer, por la que se actualiza la recomendación general núm</w:t>
      </w:r>
      <w:r w:rsidR="00202F8E" w:rsidRPr="00961CFD">
        <w:rPr>
          <w:b/>
          <w:szCs w:val="22"/>
          <w:lang w:val="es-ES" w:eastAsia="en-US"/>
        </w:rPr>
        <w:t>. 19</w:t>
      </w:r>
      <w:r w:rsidRPr="00961CFD">
        <w:rPr>
          <w:b/>
          <w:szCs w:val="22"/>
          <w:lang w:val="es-ES" w:eastAsia="en-US"/>
        </w:rPr>
        <w:t>, recomienda que el Estado parte:</w:t>
      </w:r>
      <w:bookmarkEnd w:id="66"/>
    </w:p>
    <w:p w14:paraId="4A768C3B" w14:textId="41E92218" w:rsidR="003A1004" w:rsidRPr="00961CFD" w:rsidRDefault="003A1004" w:rsidP="00813DCC">
      <w:pPr>
        <w:pStyle w:val="SingleTxt"/>
        <w:rPr>
          <w:lang w:val="es-ES" w:eastAsia="en-US"/>
        </w:rPr>
      </w:pPr>
      <w:bookmarkStart w:id="67" w:name="bookmark_85"/>
      <w:r w:rsidRPr="00961CFD">
        <w:rPr>
          <w:lang w:val="es-ES" w:eastAsia="en-US"/>
        </w:rPr>
        <w:tab/>
        <w:t>a)</w:t>
      </w:r>
      <w:r w:rsidRPr="00961CFD">
        <w:rPr>
          <w:lang w:val="es-ES" w:eastAsia="en-US"/>
        </w:rPr>
        <w:tab/>
      </w:r>
      <w:r w:rsidRPr="00961CFD">
        <w:rPr>
          <w:b/>
          <w:lang w:val="es-ES" w:eastAsia="en-US"/>
        </w:rPr>
        <w:t>Elabore y aplique leyes y políticas integrales, incluidos planes de acción nacionales, para prevenir y responder de manera adecuada a la violencia por razón de género contra la mujer, incluida la violencia doméstica;</w:t>
      </w:r>
      <w:bookmarkEnd w:id="67"/>
    </w:p>
    <w:p w14:paraId="40EE9D28" w14:textId="2599AFE6" w:rsidR="003A1004" w:rsidRPr="00961CFD" w:rsidRDefault="003A1004" w:rsidP="00813DCC">
      <w:pPr>
        <w:pStyle w:val="SingleTxt"/>
        <w:rPr>
          <w:lang w:val="es-ES" w:eastAsia="en-US"/>
        </w:rPr>
      </w:pPr>
      <w:bookmarkStart w:id="68" w:name="bookmark_86"/>
      <w:r w:rsidRPr="00961CFD">
        <w:rPr>
          <w:lang w:val="es-ES" w:eastAsia="en-US"/>
        </w:rPr>
        <w:tab/>
        <w:t>b)</w:t>
      </w:r>
      <w:r w:rsidRPr="00961CFD">
        <w:rPr>
          <w:lang w:val="es-ES" w:eastAsia="en-US"/>
        </w:rPr>
        <w:tab/>
      </w:r>
      <w:r w:rsidRPr="00961CFD">
        <w:rPr>
          <w:b/>
          <w:lang w:val="es-ES" w:eastAsia="en-US"/>
        </w:rPr>
        <w:t>Elabore mecanismos eficaces que hagan frente a la violencia de género, incluido un mecanismo nacional multisectorial de remisión en el que participen jueces, agentes de policías locales, trabajadores sociales y sanitarios y otro personal asociado;</w:t>
      </w:r>
      <w:bookmarkEnd w:id="68"/>
    </w:p>
    <w:p w14:paraId="1D0FECB0" w14:textId="31ADB35C" w:rsidR="003A1004" w:rsidRPr="00961CFD" w:rsidRDefault="00813DCC" w:rsidP="0039510D">
      <w:pPr>
        <w:pStyle w:val="SingleTxt"/>
        <w:keepLines/>
        <w:rPr>
          <w:lang w:val="es-ES" w:eastAsia="en-US"/>
        </w:rPr>
      </w:pPr>
      <w:bookmarkStart w:id="69" w:name="bookmark_87"/>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Capacite a los funcionarios encargados de hacer cumplir la ley, incluidos la policía y la judicatura, así como los proveedores de servicios de salud y los trabajadores sociales, para garantizar que puedan responder adecuadamente a las necesidades de las víctimas de la violencia de género, incluida la violencia doméstica y sexual, prestando especial atención a los grupos desfavorecidos de mujeres, como las mujeres con discapacidad y las mujeres refugiadas y solicitantes de asilo;</w:t>
      </w:r>
      <w:bookmarkEnd w:id="69"/>
    </w:p>
    <w:p w14:paraId="06F7D7A9" w14:textId="7DDB19E8" w:rsidR="003A1004" w:rsidRPr="00961CFD" w:rsidRDefault="00813DCC" w:rsidP="00813DCC">
      <w:pPr>
        <w:pStyle w:val="SingleTxt"/>
        <w:rPr>
          <w:lang w:val="es-ES" w:eastAsia="en-US"/>
        </w:rPr>
      </w:pPr>
      <w:bookmarkStart w:id="70" w:name="bookmark_88"/>
      <w:r w:rsidRPr="00961CFD">
        <w:rPr>
          <w:lang w:val="es-ES" w:eastAsia="en-US"/>
        </w:rPr>
        <w:tab/>
      </w:r>
      <w:r w:rsidR="003A1004" w:rsidRPr="00961CFD">
        <w:rPr>
          <w:lang w:val="es-ES" w:eastAsia="en-US"/>
        </w:rPr>
        <w:t>d)</w:t>
      </w:r>
      <w:r w:rsidR="003A1004" w:rsidRPr="00961CFD">
        <w:rPr>
          <w:lang w:val="es-ES" w:eastAsia="en-US"/>
        </w:rPr>
        <w:tab/>
      </w:r>
      <w:r w:rsidR="003A1004" w:rsidRPr="00961CFD">
        <w:rPr>
          <w:b/>
          <w:lang w:val="es-ES" w:eastAsia="en-US"/>
        </w:rPr>
        <w:t>Refuerce y amplíe los servicios del centro de acogida y otros refugios para proporcionar a las mujeres y las niñas que sean víctimas de la violencia de género acceso a servicios de asesoramiento y jurídicos, formación profesional y acceso a oportunidades de generación de ingresos;</w:t>
      </w:r>
      <w:bookmarkEnd w:id="70"/>
    </w:p>
    <w:p w14:paraId="6D1918F4" w14:textId="67A9F61F" w:rsidR="003A1004" w:rsidRPr="00961CFD" w:rsidRDefault="00813DCC" w:rsidP="00813DCC">
      <w:pPr>
        <w:pStyle w:val="SingleTxt"/>
        <w:rPr>
          <w:lang w:val="es-ES" w:eastAsia="en-US"/>
        </w:rPr>
      </w:pPr>
      <w:bookmarkStart w:id="71" w:name="bookmark_89"/>
      <w:r w:rsidRPr="00961CFD">
        <w:rPr>
          <w:lang w:val="es-ES" w:eastAsia="en-US"/>
        </w:rPr>
        <w:tab/>
      </w:r>
      <w:r w:rsidR="003A1004" w:rsidRPr="00961CFD">
        <w:rPr>
          <w:lang w:val="es-ES" w:eastAsia="en-US"/>
        </w:rPr>
        <w:t>e)</w:t>
      </w:r>
      <w:r w:rsidR="003A1004" w:rsidRPr="00961CFD">
        <w:rPr>
          <w:lang w:val="es-ES" w:eastAsia="en-US"/>
        </w:rPr>
        <w:tab/>
      </w:r>
      <w:r w:rsidR="003A1004" w:rsidRPr="00961CFD">
        <w:rPr>
          <w:b/>
          <w:lang w:val="es-ES" w:eastAsia="en-US"/>
        </w:rPr>
        <w:t>Prepare y emprenda campañas de sensibilización, dirigidas a las mujeres, los hombres, las niñas y los niños, para cambiar las normas sociales y culturales que perpetúan la desigualdad de género y la violencia de género contra la mujer y poner fin el estigma asociado a las víctimas;</w:t>
      </w:r>
      <w:bookmarkEnd w:id="71"/>
    </w:p>
    <w:p w14:paraId="76DF2912" w14:textId="29234DAF" w:rsidR="003A1004" w:rsidRPr="00961CFD" w:rsidRDefault="00813DCC" w:rsidP="00813DCC">
      <w:pPr>
        <w:pStyle w:val="SingleTxt"/>
        <w:rPr>
          <w:lang w:val="es-ES" w:eastAsia="en-US"/>
        </w:rPr>
      </w:pPr>
      <w:bookmarkStart w:id="72" w:name="bookmark_90"/>
      <w:r w:rsidRPr="00961CFD">
        <w:rPr>
          <w:lang w:val="es-ES" w:eastAsia="en-US"/>
        </w:rPr>
        <w:tab/>
      </w:r>
      <w:r w:rsidR="003A1004" w:rsidRPr="00961CFD">
        <w:rPr>
          <w:lang w:val="es-ES" w:eastAsia="en-US"/>
        </w:rPr>
        <w:t>f)</w:t>
      </w:r>
      <w:r w:rsidR="003A1004" w:rsidRPr="00961CFD">
        <w:rPr>
          <w:lang w:val="es-ES" w:eastAsia="en-US"/>
        </w:rPr>
        <w:tab/>
      </w:r>
      <w:r w:rsidR="003A1004" w:rsidRPr="00961CFD">
        <w:rPr>
          <w:b/>
          <w:lang w:val="es-ES" w:eastAsia="en-US"/>
        </w:rPr>
        <w:t>Vele por que haya suficientes recursos financieros y de otro tipo para aplicar efectivamente las leyes, las políticas y los programas existentes con el fin de prevenir y combatir la violencia contra la mujer;</w:t>
      </w:r>
      <w:bookmarkEnd w:id="72"/>
    </w:p>
    <w:p w14:paraId="6A378F0C" w14:textId="286CCFD9" w:rsidR="003A1004" w:rsidRPr="00961CFD" w:rsidRDefault="00813DCC" w:rsidP="00813DCC">
      <w:pPr>
        <w:pStyle w:val="SingleTxt"/>
        <w:rPr>
          <w:lang w:val="es-ES" w:eastAsia="en-US"/>
        </w:rPr>
      </w:pPr>
      <w:bookmarkStart w:id="73" w:name="bookmark_91"/>
      <w:r w:rsidRPr="00961CFD">
        <w:rPr>
          <w:lang w:val="es-ES" w:eastAsia="en-US"/>
        </w:rPr>
        <w:tab/>
      </w:r>
      <w:r w:rsidR="003A1004" w:rsidRPr="00961CFD">
        <w:rPr>
          <w:lang w:val="es-ES" w:eastAsia="en-US"/>
        </w:rPr>
        <w:t>g)</w:t>
      </w:r>
      <w:r w:rsidR="003A1004" w:rsidRPr="00961CFD">
        <w:rPr>
          <w:lang w:val="es-ES" w:eastAsia="en-US"/>
        </w:rPr>
        <w:tab/>
      </w:r>
      <w:r w:rsidR="003A1004" w:rsidRPr="00961CFD">
        <w:rPr>
          <w:b/>
          <w:lang w:val="es-ES" w:eastAsia="en-US"/>
        </w:rPr>
        <w:t>Recopile datos estadísticos, desglosados por sexo, edad y relación entre el autor y la víctima, y datos sobre el número de enjuiciamientos y condenas y las penas impuestas a los autores</w:t>
      </w:r>
      <w:r w:rsidR="00202F8E" w:rsidRPr="00961CFD">
        <w:rPr>
          <w:b/>
          <w:lang w:val="es-ES" w:eastAsia="en-US"/>
        </w:rPr>
        <w:t>.</w:t>
      </w:r>
      <w:bookmarkEnd w:id="73"/>
    </w:p>
    <w:p w14:paraId="7077B4C5" w14:textId="77777777" w:rsidR="000E5E84" w:rsidRPr="00961CFD" w:rsidRDefault="000E5E84" w:rsidP="000E5E84">
      <w:pPr>
        <w:pStyle w:val="SingleTxt"/>
        <w:spacing w:after="0" w:line="120" w:lineRule="exact"/>
        <w:rPr>
          <w:sz w:val="10"/>
          <w:szCs w:val="10"/>
          <w:lang w:val="es-ES"/>
        </w:rPr>
      </w:pPr>
      <w:bookmarkStart w:id="74" w:name="bookmark_92"/>
    </w:p>
    <w:p w14:paraId="3B5EDB9C" w14:textId="6BD90996"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Trata y explotación de la prostitución</w:t>
      </w:r>
      <w:bookmarkEnd w:id="74"/>
    </w:p>
    <w:p w14:paraId="411BB4D5" w14:textId="77777777" w:rsidR="000E5E84" w:rsidRPr="00961CFD" w:rsidRDefault="000E5E84" w:rsidP="000E5E84">
      <w:pPr>
        <w:pStyle w:val="SingleTxt"/>
        <w:spacing w:after="0" w:line="120" w:lineRule="exact"/>
        <w:rPr>
          <w:sz w:val="10"/>
          <w:szCs w:val="10"/>
          <w:lang w:val="es-ES"/>
        </w:rPr>
      </w:pPr>
    </w:p>
    <w:p w14:paraId="5EF51BF4" w14:textId="1FCA77F6" w:rsidR="003A1004" w:rsidRPr="00961CFD" w:rsidRDefault="003A1004" w:rsidP="006C43B3">
      <w:pPr>
        <w:pStyle w:val="SingleTxt"/>
        <w:numPr>
          <w:ilvl w:val="0"/>
          <w:numId w:val="31"/>
        </w:numPr>
        <w:tabs>
          <w:tab w:val="num" w:pos="1742"/>
        </w:tabs>
        <w:ind w:left="1267" w:firstLine="0"/>
        <w:rPr>
          <w:szCs w:val="22"/>
          <w:lang w:val="es-ES" w:eastAsia="en-US"/>
        </w:rPr>
      </w:pPr>
      <w:bookmarkStart w:id="75" w:name="bookmark_93"/>
      <w:r w:rsidRPr="00961CFD">
        <w:rPr>
          <w:szCs w:val="22"/>
          <w:lang w:val="es-ES" w:eastAsia="en-US"/>
        </w:rPr>
        <w:t>Al Comité le preocupan las escasas medidas tomadas para luchar contra la trata de personas y la explotación de la prostitución en el Estado parte, así como la</w:t>
      </w:r>
      <w:r w:rsidR="00202F8E" w:rsidRPr="00961CFD">
        <w:rPr>
          <w:szCs w:val="22"/>
          <w:lang w:val="es-ES" w:eastAsia="en-US"/>
        </w:rPr>
        <w:t xml:space="preserve"> </w:t>
      </w:r>
      <w:r w:rsidRPr="00961CFD">
        <w:rPr>
          <w:szCs w:val="22"/>
          <w:lang w:val="es-ES" w:eastAsia="en-US"/>
        </w:rPr>
        <w:t>falta general de concienciación sobre la cuestión</w:t>
      </w:r>
      <w:r w:rsidR="00202F8E" w:rsidRPr="00961CFD">
        <w:rPr>
          <w:szCs w:val="22"/>
          <w:lang w:val="es-ES" w:eastAsia="en-US"/>
        </w:rPr>
        <w:t>.</w:t>
      </w:r>
      <w:r w:rsidRPr="00961CFD">
        <w:rPr>
          <w:szCs w:val="22"/>
          <w:lang w:val="es-ES" w:eastAsia="en-US"/>
        </w:rPr>
        <w:t xml:space="preserve"> Al Comité también le preocupa la </w:t>
      </w:r>
      <w:r w:rsidRPr="00961CFD">
        <w:rPr>
          <w:szCs w:val="22"/>
          <w:lang w:val="es-ES" w:eastAsia="en-US"/>
        </w:rPr>
        <w:lastRenderedPageBreak/>
        <w:t>limitada capacidad para identificar a las víctimas de la trata y la falta de formación especializada sobre la trata impartida a las fuerzas del orden</w:t>
      </w:r>
      <w:r w:rsidR="00202F8E" w:rsidRPr="00961CFD">
        <w:rPr>
          <w:szCs w:val="22"/>
          <w:lang w:val="es-ES" w:eastAsia="en-US"/>
        </w:rPr>
        <w:t>.</w:t>
      </w:r>
      <w:bookmarkEnd w:id="75"/>
    </w:p>
    <w:p w14:paraId="03948748" w14:textId="77777777" w:rsidR="00202F8E" w:rsidRPr="00961CFD" w:rsidRDefault="003A1004" w:rsidP="006C43B3">
      <w:pPr>
        <w:pStyle w:val="SingleTxt"/>
        <w:numPr>
          <w:ilvl w:val="0"/>
          <w:numId w:val="31"/>
        </w:numPr>
        <w:tabs>
          <w:tab w:val="num" w:pos="1742"/>
        </w:tabs>
        <w:ind w:left="1267" w:firstLine="0"/>
        <w:rPr>
          <w:b/>
          <w:szCs w:val="22"/>
          <w:lang w:val="es-ES" w:eastAsia="en-US"/>
        </w:rPr>
      </w:pPr>
      <w:bookmarkStart w:id="76" w:name="bookmark_94"/>
      <w:r w:rsidRPr="00961CFD">
        <w:rPr>
          <w:b/>
          <w:szCs w:val="22"/>
          <w:lang w:val="es-ES" w:eastAsia="en-US"/>
        </w:rPr>
        <w:t>El Comité recomienda que el Estado parte imparta formación a los funcionarios, incluidas las mujeres, encargados de la aplicación de la ley y los departamentos pertinentes sobre la trata de personas y la explotación de la prostitución a fin de aumentar su capacidad para identificar y prestar asistencia a las víctimas potenciales de la trata</w:t>
      </w:r>
      <w:r w:rsidR="00202F8E" w:rsidRPr="00961CFD">
        <w:rPr>
          <w:b/>
          <w:szCs w:val="22"/>
          <w:lang w:val="es-ES" w:eastAsia="en-US"/>
        </w:rPr>
        <w:t>.</w:t>
      </w:r>
      <w:r w:rsidRPr="00961CFD">
        <w:rPr>
          <w:b/>
          <w:szCs w:val="22"/>
          <w:lang w:val="es-ES" w:eastAsia="en-US"/>
        </w:rPr>
        <w:t xml:space="preserve"> También recomienda que el Estado parte establezca un mecanismo para hacer frente a la trata de personas y la explotación de la prostitución de conformidad con los instrumentos internacionales pertinentes, y prevenga la trata y la explotación de la prostitución, mediante, entre otras cosas, campañas de sensibilización pública sobre los riesgos y la naturaleza delictiva de la trata</w:t>
      </w:r>
      <w:r w:rsidR="00202F8E" w:rsidRPr="00961CFD">
        <w:rPr>
          <w:b/>
          <w:szCs w:val="22"/>
          <w:lang w:val="es-ES" w:eastAsia="en-US"/>
        </w:rPr>
        <w:t>.</w:t>
      </w:r>
      <w:bookmarkEnd w:id="76"/>
    </w:p>
    <w:p w14:paraId="7DD90B31" w14:textId="35F14298" w:rsidR="000E5E84" w:rsidRPr="00961CFD" w:rsidRDefault="000E5E84" w:rsidP="000E5E84">
      <w:pPr>
        <w:pStyle w:val="SingleTxt"/>
        <w:spacing w:after="0" w:line="120" w:lineRule="exact"/>
        <w:rPr>
          <w:sz w:val="10"/>
          <w:szCs w:val="10"/>
          <w:lang w:val="es-ES"/>
        </w:rPr>
      </w:pPr>
      <w:bookmarkStart w:id="77" w:name="bookmark_95"/>
    </w:p>
    <w:p w14:paraId="0A8F55CF" w14:textId="7ECC3675"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Participación en la vida política y pública</w:t>
      </w:r>
      <w:bookmarkEnd w:id="77"/>
    </w:p>
    <w:p w14:paraId="37DB952E" w14:textId="77777777" w:rsidR="000E5E84" w:rsidRPr="00961CFD" w:rsidRDefault="000E5E84" w:rsidP="000E5E84">
      <w:pPr>
        <w:pStyle w:val="SingleTxt"/>
        <w:spacing w:after="0" w:line="120" w:lineRule="exact"/>
        <w:rPr>
          <w:sz w:val="10"/>
          <w:szCs w:val="10"/>
          <w:lang w:val="es-ES"/>
        </w:rPr>
      </w:pPr>
    </w:p>
    <w:p w14:paraId="1E902B85" w14:textId="77777777" w:rsidR="00202F8E" w:rsidRPr="00961CFD" w:rsidRDefault="003A1004" w:rsidP="006C43B3">
      <w:pPr>
        <w:pStyle w:val="SingleTxt"/>
        <w:numPr>
          <w:ilvl w:val="0"/>
          <w:numId w:val="31"/>
        </w:numPr>
        <w:tabs>
          <w:tab w:val="num" w:pos="1742"/>
        </w:tabs>
        <w:ind w:left="1267" w:firstLine="0"/>
        <w:rPr>
          <w:szCs w:val="22"/>
          <w:lang w:val="es-ES" w:eastAsia="en-US"/>
        </w:rPr>
      </w:pPr>
      <w:bookmarkStart w:id="78" w:name="bookmark_96"/>
      <w:r w:rsidRPr="00961CFD">
        <w:rPr>
          <w:szCs w:val="22"/>
          <w:lang w:val="es-ES" w:eastAsia="en-US"/>
        </w:rPr>
        <w:t>El Comité observa que no existen disposiciones legales del Estado parte que impidan la participación igualitaria de la mujer en la vida política y pública, y acoge con beneplácito las iniciativas del Estado parte para promover la participación política de las mujeres, entre otras cosas mediante programas de sensibilización</w:t>
      </w:r>
      <w:r w:rsidR="00202F8E" w:rsidRPr="00961CFD">
        <w:rPr>
          <w:szCs w:val="22"/>
          <w:lang w:val="es-ES" w:eastAsia="en-US"/>
        </w:rPr>
        <w:t>.</w:t>
      </w:r>
      <w:r w:rsidRPr="00961CFD">
        <w:rPr>
          <w:szCs w:val="22"/>
          <w:lang w:val="es-ES" w:eastAsia="en-US"/>
        </w:rPr>
        <w:t xml:space="preserve"> Le preocupa, sin embargo, que las mujeres estén considerablemente subrepresentadas en el Parlamento y el Gobierno, en particular en los niveles de decisión, y que los estereotipos discriminatorios, el nepotismo y el favoritismo constituyan obstáculos a la participación plena e igualitaria de las mujeres en la vida política y pública</w:t>
      </w:r>
      <w:r w:rsidR="00202F8E" w:rsidRPr="00961CFD">
        <w:rPr>
          <w:szCs w:val="22"/>
          <w:lang w:val="es-ES" w:eastAsia="en-US"/>
        </w:rPr>
        <w:t>.</w:t>
      </w:r>
      <w:bookmarkEnd w:id="78"/>
    </w:p>
    <w:p w14:paraId="7D3A97E2" w14:textId="74168243" w:rsidR="003A1004" w:rsidRPr="00961CFD" w:rsidRDefault="003A1004" w:rsidP="006C43B3">
      <w:pPr>
        <w:pStyle w:val="SingleTxt"/>
        <w:numPr>
          <w:ilvl w:val="0"/>
          <w:numId w:val="31"/>
        </w:numPr>
        <w:tabs>
          <w:tab w:val="num" w:pos="1742"/>
        </w:tabs>
        <w:ind w:left="1267" w:firstLine="0"/>
        <w:rPr>
          <w:b/>
          <w:szCs w:val="22"/>
          <w:lang w:val="es-ES" w:eastAsia="en-US"/>
        </w:rPr>
      </w:pPr>
      <w:bookmarkStart w:id="79" w:name="bookmark_97"/>
      <w:r w:rsidRPr="00961CFD">
        <w:rPr>
          <w:b/>
          <w:szCs w:val="22"/>
          <w:lang w:val="es-ES" w:eastAsia="en-US"/>
        </w:rPr>
        <w:t>El Comité recomienda que el Estado parte:</w:t>
      </w:r>
      <w:bookmarkEnd w:id="79"/>
    </w:p>
    <w:p w14:paraId="4BE1C5AB" w14:textId="26FE7AE9" w:rsidR="003A1004" w:rsidRPr="00961CFD" w:rsidRDefault="003A1004" w:rsidP="00944D54">
      <w:pPr>
        <w:pStyle w:val="SingleTxt"/>
        <w:rPr>
          <w:lang w:val="es-ES" w:eastAsia="en-US"/>
        </w:rPr>
      </w:pPr>
      <w:bookmarkStart w:id="80" w:name="bookmark_98"/>
      <w:r w:rsidRPr="00961CFD">
        <w:rPr>
          <w:lang w:val="es-ES" w:eastAsia="en-US"/>
        </w:rPr>
        <w:tab/>
        <w:t>a)</w:t>
      </w:r>
      <w:r w:rsidRPr="00961CFD">
        <w:rPr>
          <w:lang w:val="es-ES" w:eastAsia="en-US"/>
        </w:rPr>
        <w:tab/>
      </w:r>
      <w:r w:rsidRPr="00961CFD">
        <w:rPr>
          <w:b/>
          <w:lang w:val="es-ES" w:eastAsia="en-US"/>
        </w:rPr>
        <w:t>Elabore una estrategia global para asegurar que se nombren mujeres en puestos de adopción de decisiones en un pie de igualdad con los hombres, entre otras cosas mediante la capacitación, la contratación con perspectiva de género y otras medidas;</w:t>
      </w:r>
      <w:bookmarkEnd w:id="80"/>
    </w:p>
    <w:p w14:paraId="2F6918C0" w14:textId="71293990" w:rsidR="003A1004" w:rsidRPr="00961CFD" w:rsidRDefault="00944D54" w:rsidP="00944D54">
      <w:pPr>
        <w:pStyle w:val="SingleTxt"/>
        <w:rPr>
          <w:lang w:val="es-ES" w:eastAsia="en-US"/>
        </w:rPr>
      </w:pPr>
      <w:bookmarkStart w:id="81" w:name="bookmark_99"/>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Adopte medidas especiales de carácter temporal, como cuotas obligatorias, en favor de la representación de la mujer en el Parlamento y el Gobierno, en particular en los puestos decisorios, con el fin de acelerar</w:t>
      </w:r>
      <w:r w:rsidR="00202F8E" w:rsidRPr="00961CFD">
        <w:rPr>
          <w:b/>
          <w:lang w:val="es-ES" w:eastAsia="en-US"/>
        </w:rPr>
        <w:t xml:space="preserve"> </w:t>
      </w:r>
      <w:r w:rsidR="003A1004" w:rsidRPr="00961CFD">
        <w:rPr>
          <w:b/>
          <w:lang w:val="es-ES" w:eastAsia="en-US"/>
        </w:rPr>
        <w:t>el</w:t>
      </w:r>
      <w:r w:rsidR="0039510D" w:rsidRPr="00961CFD">
        <w:rPr>
          <w:b/>
          <w:lang w:val="es-ES" w:eastAsia="en-US"/>
        </w:rPr>
        <w:t xml:space="preserve"> </w:t>
      </w:r>
      <w:r w:rsidR="003A1004" w:rsidRPr="00961CFD">
        <w:rPr>
          <w:b/>
          <w:lang w:val="es-ES" w:eastAsia="en-US"/>
        </w:rPr>
        <w:t>logro</w:t>
      </w:r>
      <w:r w:rsidR="0039510D" w:rsidRPr="00961CFD">
        <w:rPr>
          <w:b/>
          <w:lang w:val="es-ES" w:eastAsia="en-US"/>
        </w:rPr>
        <w:t xml:space="preserve"> </w:t>
      </w:r>
      <w:r w:rsidR="003A1004" w:rsidRPr="00961CFD">
        <w:rPr>
          <w:b/>
          <w:lang w:val="es-ES" w:eastAsia="en-US"/>
        </w:rPr>
        <w:t>de la igualdad sustantiva entre las mujeres y los hombres en la vida política y pública;</w:t>
      </w:r>
      <w:bookmarkEnd w:id="81"/>
    </w:p>
    <w:p w14:paraId="6DE7393E" w14:textId="5D300F3F" w:rsidR="003A1004" w:rsidRPr="00961CFD" w:rsidRDefault="00944D54" w:rsidP="00944D54">
      <w:pPr>
        <w:pStyle w:val="SingleTxt"/>
        <w:rPr>
          <w:lang w:val="es-ES" w:eastAsia="en-US"/>
        </w:rPr>
      </w:pPr>
      <w:bookmarkStart w:id="82" w:name="bookmark_100"/>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Imparta capacitación sobre aptitudes de liderazgo a las mujeres, en particular a las posibles candidatas, a fin de prepararlas y empoderarlas para que ocupen cargos electivos y cargos públicos;</w:t>
      </w:r>
      <w:bookmarkEnd w:id="82"/>
    </w:p>
    <w:p w14:paraId="528EB566" w14:textId="77777777" w:rsidR="00202F8E" w:rsidRPr="00961CFD" w:rsidRDefault="00944D54" w:rsidP="00944D54">
      <w:pPr>
        <w:pStyle w:val="SingleTxt"/>
        <w:rPr>
          <w:b/>
          <w:lang w:val="es-ES" w:eastAsia="en-US"/>
        </w:rPr>
      </w:pPr>
      <w:bookmarkStart w:id="83" w:name="bookmark_101"/>
      <w:r w:rsidRPr="00961CFD">
        <w:rPr>
          <w:lang w:val="es-ES" w:eastAsia="en-US"/>
        </w:rPr>
        <w:tab/>
      </w:r>
      <w:r w:rsidR="003A1004" w:rsidRPr="00961CFD">
        <w:rPr>
          <w:lang w:val="es-ES" w:eastAsia="en-US"/>
        </w:rPr>
        <w:t>d)</w:t>
      </w:r>
      <w:r w:rsidR="003A1004" w:rsidRPr="00961CFD">
        <w:rPr>
          <w:lang w:val="es-ES" w:eastAsia="en-US"/>
        </w:rPr>
        <w:tab/>
      </w:r>
      <w:r w:rsidR="003A1004" w:rsidRPr="00961CFD">
        <w:rPr>
          <w:b/>
          <w:lang w:val="es-ES" w:eastAsia="en-US"/>
        </w:rPr>
        <w:t>Lleve a cabo actividades de concienciación sobre la importancia de la participación plena e igualitaria de la mujer en la vida política y pública;</w:t>
      </w:r>
      <w:bookmarkEnd w:id="83"/>
    </w:p>
    <w:p w14:paraId="436647CA" w14:textId="1BE24571" w:rsidR="003A1004" w:rsidRPr="00961CFD" w:rsidRDefault="00944D54" w:rsidP="00944D54">
      <w:pPr>
        <w:pStyle w:val="SingleTxt"/>
        <w:rPr>
          <w:lang w:val="es-ES" w:eastAsia="en-US"/>
        </w:rPr>
      </w:pPr>
      <w:bookmarkStart w:id="84" w:name="bookmark_102"/>
      <w:r w:rsidRPr="00961CFD">
        <w:rPr>
          <w:lang w:val="es-ES" w:eastAsia="en-US"/>
        </w:rPr>
        <w:tab/>
      </w:r>
      <w:r w:rsidR="003A1004" w:rsidRPr="00961CFD">
        <w:rPr>
          <w:lang w:val="es-ES" w:eastAsia="en-US"/>
        </w:rPr>
        <w:t>e)</w:t>
      </w:r>
      <w:r w:rsidR="003A1004" w:rsidRPr="00961CFD">
        <w:rPr>
          <w:lang w:val="es-ES" w:eastAsia="en-US"/>
        </w:rPr>
        <w:tab/>
      </w:r>
      <w:r w:rsidR="003A1004" w:rsidRPr="00961CFD">
        <w:rPr>
          <w:b/>
          <w:lang w:val="es-ES" w:eastAsia="en-US"/>
        </w:rPr>
        <w:t>Haga participar plenamente a las mujeres en la formulación de políticas, programas y planes de acción sobre el desarrollo, el cambio climático y la herencia y el uso de la tierra</w:t>
      </w:r>
      <w:r w:rsidR="00202F8E" w:rsidRPr="00961CFD">
        <w:rPr>
          <w:b/>
          <w:lang w:val="es-ES" w:eastAsia="en-US"/>
        </w:rPr>
        <w:t>.</w:t>
      </w:r>
      <w:bookmarkEnd w:id="84"/>
    </w:p>
    <w:p w14:paraId="45DCE74D" w14:textId="77777777" w:rsidR="000E5E84" w:rsidRPr="00961CFD" w:rsidRDefault="000E5E84" w:rsidP="000E5E84">
      <w:pPr>
        <w:pStyle w:val="SingleTxt"/>
        <w:spacing w:after="0" w:line="120" w:lineRule="exact"/>
        <w:rPr>
          <w:sz w:val="10"/>
          <w:szCs w:val="10"/>
          <w:lang w:val="es-ES"/>
        </w:rPr>
      </w:pPr>
      <w:bookmarkStart w:id="85" w:name="bookmark_103"/>
    </w:p>
    <w:p w14:paraId="46A2436C" w14:textId="77777777"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Nacionalidad</w:t>
      </w:r>
      <w:bookmarkEnd w:id="85"/>
    </w:p>
    <w:p w14:paraId="5A0166E4" w14:textId="77777777" w:rsidR="000E5E84" w:rsidRPr="00961CFD" w:rsidRDefault="000E5E84" w:rsidP="000E5E84">
      <w:pPr>
        <w:pStyle w:val="SingleTxt"/>
        <w:spacing w:after="0" w:line="120" w:lineRule="exact"/>
        <w:rPr>
          <w:sz w:val="10"/>
          <w:szCs w:val="10"/>
          <w:lang w:val="es-ES"/>
        </w:rPr>
      </w:pPr>
    </w:p>
    <w:p w14:paraId="02D51ECF" w14:textId="28321048" w:rsidR="003A1004" w:rsidRPr="00961CFD" w:rsidRDefault="003A1004" w:rsidP="006C43B3">
      <w:pPr>
        <w:pStyle w:val="SingleTxt"/>
        <w:numPr>
          <w:ilvl w:val="0"/>
          <w:numId w:val="31"/>
        </w:numPr>
        <w:tabs>
          <w:tab w:val="num" w:pos="1742"/>
        </w:tabs>
        <w:ind w:left="1267" w:firstLine="0"/>
        <w:rPr>
          <w:szCs w:val="22"/>
          <w:lang w:val="es-ES" w:eastAsia="en-US"/>
        </w:rPr>
      </w:pPr>
      <w:bookmarkStart w:id="86" w:name="bookmark_104"/>
      <w:r w:rsidRPr="00961CFD">
        <w:rPr>
          <w:szCs w:val="22"/>
          <w:lang w:val="es-ES" w:eastAsia="en-US"/>
        </w:rPr>
        <w:t>El Comité acoge con satisfacción la reciente enmienda a la legislación sobre la ciudadanía que dispone la igualdad de derechos de ciudadanía para las mujeres y los hombres nacidos en Nauru</w:t>
      </w:r>
      <w:r w:rsidR="00202F8E" w:rsidRPr="00961CFD">
        <w:rPr>
          <w:szCs w:val="22"/>
          <w:lang w:val="es-ES" w:eastAsia="en-US"/>
        </w:rPr>
        <w:t>.</w:t>
      </w:r>
      <w:r w:rsidRPr="00961CFD">
        <w:rPr>
          <w:szCs w:val="22"/>
          <w:lang w:val="es-ES" w:eastAsia="en-US"/>
        </w:rPr>
        <w:t xml:space="preserve"> Sin embargo, el artículo</w:t>
      </w:r>
      <w:r w:rsidR="00202F8E" w:rsidRPr="00961CFD">
        <w:rPr>
          <w:szCs w:val="22"/>
          <w:lang w:val="es-ES" w:eastAsia="en-US"/>
        </w:rPr>
        <w:t xml:space="preserve"> 74 </w:t>
      </w:r>
      <w:r w:rsidRPr="00961CFD">
        <w:rPr>
          <w:szCs w:val="22"/>
          <w:lang w:val="es-ES" w:eastAsia="en-US"/>
        </w:rPr>
        <w:t>de la Constitución permite que un naurano transmita la nacionalidad a su esposa extranjera, mientras que una naurana no tiene derecho a hacer lo mismo con su marido extranjero</w:t>
      </w:r>
      <w:r w:rsidR="00202F8E" w:rsidRPr="00961CFD">
        <w:rPr>
          <w:szCs w:val="22"/>
          <w:lang w:val="es-ES" w:eastAsia="en-US"/>
        </w:rPr>
        <w:t>.</w:t>
      </w:r>
      <w:r w:rsidRPr="00961CFD">
        <w:rPr>
          <w:szCs w:val="22"/>
          <w:lang w:val="es-ES" w:eastAsia="en-US"/>
        </w:rPr>
        <w:t xml:space="preserve"> Al Comité le preocupa que la Constitución discrimine a las mujeres de Nauru a este respecto</w:t>
      </w:r>
      <w:r w:rsidR="00202F8E" w:rsidRPr="00961CFD">
        <w:rPr>
          <w:szCs w:val="22"/>
          <w:lang w:val="es-ES" w:eastAsia="en-US"/>
        </w:rPr>
        <w:t>.</w:t>
      </w:r>
      <w:bookmarkEnd w:id="86"/>
    </w:p>
    <w:p w14:paraId="450BA6D8" w14:textId="57C73863" w:rsidR="003A1004" w:rsidRPr="00961CFD" w:rsidRDefault="003A1004" w:rsidP="006C43B3">
      <w:pPr>
        <w:pStyle w:val="SingleTxt"/>
        <w:numPr>
          <w:ilvl w:val="0"/>
          <w:numId w:val="31"/>
        </w:numPr>
        <w:tabs>
          <w:tab w:val="num" w:pos="1742"/>
        </w:tabs>
        <w:ind w:left="1267" w:firstLine="0"/>
        <w:rPr>
          <w:b/>
          <w:szCs w:val="22"/>
          <w:lang w:val="es-ES" w:eastAsia="en-US"/>
        </w:rPr>
      </w:pPr>
      <w:bookmarkStart w:id="87" w:name="bookmark_105"/>
      <w:r w:rsidRPr="00961CFD">
        <w:rPr>
          <w:b/>
          <w:szCs w:val="22"/>
          <w:lang w:val="es-ES" w:eastAsia="en-US"/>
        </w:rPr>
        <w:lastRenderedPageBreak/>
        <w:t>El Comité recomienda que el Estado parte modifique el artículo</w:t>
      </w:r>
      <w:r w:rsidR="00202F8E" w:rsidRPr="00961CFD">
        <w:rPr>
          <w:b/>
          <w:szCs w:val="22"/>
          <w:lang w:val="es-ES" w:eastAsia="en-US"/>
        </w:rPr>
        <w:t xml:space="preserve"> 74 </w:t>
      </w:r>
      <w:r w:rsidRPr="00961CFD">
        <w:rPr>
          <w:b/>
          <w:szCs w:val="22"/>
          <w:lang w:val="es-ES" w:eastAsia="en-US"/>
        </w:rPr>
        <w:t>de su Constitución para garantizar la igualdad de derechos de las mujeres y los hombres a adquirir, cambiar, conservar o transmitir su nacionalidad, de conformidad con el artículo</w:t>
      </w:r>
      <w:r w:rsidR="00202F8E" w:rsidRPr="00961CFD">
        <w:rPr>
          <w:b/>
          <w:szCs w:val="22"/>
          <w:lang w:val="es-ES" w:eastAsia="en-US"/>
        </w:rPr>
        <w:t xml:space="preserve"> 9 </w:t>
      </w:r>
      <w:r w:rsidRPr="00961CFD">
        <w:rPr>
          <w:b/>
          <w:szCs w:val="22"/>
          <w:lang w:val="es-ES" w:eastAsia="en-US"/>
        </w:rPr>
        <w:t>de la Convención</w:t>
      </w:r>
      <w:r w:rsidR="00202F8E" w:rsidRPr="00961CFD">
        <w:rPr>
          <w:b/>
          <w:szCs w:val="22"/>
          <w:lang w:val="es-ES" w:eastAsia="en-US"/>
        </w:rPr>
        <w:t>.</w:t>
      </w:r>
      <w:bookmarkEnd w:id="87"/>
    </w:p>
    <w:p w14:paraId="6B0C766C" w14:textId="77777777" w:rsidR="000E5E84" w:rsidRPr="00961CFD" w:rsidRDefault="000E5E84" w:rsidP="000E5E84">
      <w:pPr>
        <w:pStyle w:val="SingleTxt"/>
        <w:spacing w:after="0" w:line="120" w:lineRule="exact"/>
        <w:rPr>
          <w:sz w:val="10"/>
          <w:szCs w:val="10"/>
          <w:lang w:val="es-ES"/>
        </w:rPr>
      </w:pPr>
      <w:bookmarkStart w:id="88" w:name="bookmark_106"/>
    </w:p>
    <w:p w14:paraId="582808CA" w14:textId="77777777"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Educación</w:t>
      </w:r>
      <w:bookmarkEnd w:id="88"/>
    </w:p>
    <w:p w14:paraId="12E61B75" w14:textId="77777777" w:rsidR="000E5E84" w:rsidRPr="00961CFD" w:rsidRDefault="000E5E84" w:rsidP="000E5E84">
      <w:pPr>
        <w:pStyle w:val="SingleTxt"/>
        <w:spacing w:after="0" w:line="120" w:lineRule="exact"/>
        <w:rPr>
          <w:sz w:val="10"/>
          <w:szCs w:val="10"/>
          <w:lang w:val="es-ES"/>
        </w:rPr>
      </w:pPr>
    </w:p>
    <w:p w14:paraId="20B80477" w14:textId="17A50F35" w:rsidR="003A1004" w:rsidRPr="00961CFD" w:rsidRDefault="003A1004" w:rsidP="006C43B3">
      <w:pPr>
        <w:pStyle w:val="SingleTxt"/>
        <w:numPr>
          <w:ilvl w:val="0"/>
          <w:numId w:val="31"/>
        </w:numPr>
        <w:tabs>
          <w:tab w:val="num" w:pos="1742"/>
        </w:tabs>
        <w:ind w:left="1267" w:firstLine="0"/>
        <w:rPr>
          <w:szCs w:val="22"/>
          <w:lang w:val="es-ES" w:eastAsia="en-US"/>
        </w:rPr>
      </w:pPr>
      <w:bookmarkStart w:id="89" w:name="bookmark_107"/>
      <w:r w:rsidRPr="00961CFD">
        <w:rPr>
          <w:szCs w:val="22"/>
          <w:lang w:val="es-ES" w:eastAsia="en-US"/>
        </w:rPr>
        <w:t>El Comité encomia al Estado parte por las medidas adoptadas para mejorar las tasas de matriculación y finalización de estudios, en particular mediante el aumento de</w:t>
      </w:r>
      <w:r w:rsidR="00202F8E" w:rsidRPr="00961CFD">
        <w:rPr>
          <w:szCs w:val="22"/>
          <w:lang w:val="es-ES" w:eastAsia="en-US"/>
        </w:rPr>
        <w:t xml:space="preserve"> 16 </w:t>
      </w:r>
      <w:r w:rsidRPr="00961CFD">
        <w:rPr>
          <w:szCs w:val="22"/>
          <w:lang w:val="es-ES" w:eastAsia="en-US"/>
        </w:rPr>
        <w:t>a</w:t>
      </w:r>
      <w:r w:rsidR="00202F8E" w:rsidRPr="00961CFD">
        <w:rPr>
          <w:szCs w:val="22"/>
          <w:lang w:val="es-ES" w:eastAsia="en-US"/>
        </w:rPr>
        <w:t xml:space="preserve"> 18 </w:t>
      </w:r>
      <w:r w:rsidRPr="00961CFD">
        <w:rPr>
          <w:szCs w:val="22"/>
          <w:lang w:val="es-ES" w:eastAsia="en-US"/>
        </w:rPr>
        <w:t>años de la edad de la educación obligatoria, proporcionando incentivos a los niños que terminen sus estudios e introduciendo un programa de reintegración para los que han abandonado el sistema educativo</w:t>
      </w:r>
      <w:r w:rsidR="00202F8E" w:rsidRPr="00961CFD">
        <w:rPr>
          <w:szCs w:val="22"/>
          <w:lang w:val="es-ES" w:eastAsia="en-US"/>
        </w:rPr>
        <w:t>.</w:t>
      </w:r>
      <w:r w:rsidRPr="00961CFD">
        <w:rPr>
          <w:szCs w:val="22"/>
          <w:lang w:val="es-ES" w:eastAsia="en-US"/>
        </w:rPr>
        <w:t xml:space="preserve"> También observa los esfuerzos realizados por el Estado parte para elaborar planes de estudios y programas de divulgación en las comunidades sobre la salud sexual y reproductiva, junto con los</w:t>
      </w:r>
      <w:r w:rsidR="00202F8E" w:rsidRPr="00961CFD">
        <w:rPr>
          <w:szCs w:val="22"/>
          <w:lang w:val="es-ES" w:eastAsia="en-US"/>
        </w:rPr>
        <w:t xml:space="preserve"> </w:t>
      </w:r>
      <w:r w:rsidRPr="00961CFD">
        <w:rPr>
          <w:szCs w:val="22"/>
          <w:lang w:val="es-ES" w:eastAsia="en-US"/>
        </w:rPr>
        <w:t>asociados para el desarrollo</w:t>
      </w:r>
      <w:r w:rsidR="00202F8E" w:rsidRPr="00961CFD">
        <w:rPr>
          <w:szCs w:val="22"/>
          <w:lang w:val="es-ES" w:eastAsia="en-US"/>
        </w:rPr>
        <w:t>.</w:t>
      </w:r>
      <w:r w:rsidRPr="00961CFD">
        <w:rPr>
          <w:szCs w:val="22"/>
          <w:lang w:val="es-ES" w:eastAsia="en-US"/>
        </w:rPr>
        <w:t xml:space="preserve"> Sin embargo, el Comité observa con preocupación lo siguiente:</w:t>
      </w:r>
      <w:bookmarkEnd w:id="89"/>
    </w:p>
    <w:p w14:paraId="4E8FFC1B" w14:textId="24CC53F7" w:rsidR="003A1004" w:rsidRPr="00961CFD" w:rsidRDefault="000229D5" w:rsidP="000229D5">
      <w:pPr>
        <w:pStyle w:val="SingleTxt"/>
        <w:rPr>
          <w:lang w:val="es-ES" w:eastAsia="en-US"/>
        </w:rPr>
      </w:pPr>
      <w:bookmarkStart w:id="90" w:name="bookmark_108"/>
      <w:r w:rsidRPr="00961CFD">
        <w:rPr>
          <w:lang w:val="es-ES" w:eastAsia="en-US"/>
        </w:rPr>
        <w:tab/>
      </w:r>
      <w:r w:rsidR="003A1004" w:rsidRPr="00961CFD">
        <w:rPr>
          <w:lang w:val="es-ES" w:eastAsia="en-US"/>
        </w:rPr>
        <w:t>a)</w:t>
      </w:r>
      <w:r w:rsidR="003A1004" w:rsidRPr="00961CFD">
        <w:rPr>
          <w:lang w:val="es-ES" w:eastAsia="en-US"/>
        </w:rPr>
        <w:tab/>
        <w:t>El descenso del que se ha informado de las tasas de matriculación, las bajas tasas de finalización de la enseñanza secundaria y el bajo nivel de rendimiento de las niñas y la falta de oportunidades para que las mujeres y las niñas asistan a</w:t>
      </w:r>
      <w:r w:rsidR="00202F8E" w:rsidRPr="00961CFD">
        <w:rPr>
          <w:lang w:val="es-ES" w:eastAsia="en-US"/>
        </w:rPr>
        <w:t xml:space="preserve"> </w:t>
      </w:r>
      <w:r w:rsidR="003A1004" w:rsidRPr="00961CFD">
        <w:rPr>
          <w:lang w:val="es-ES" w:eastAsia="en-US"/>
        </w:rPr>
        <w:t>la</w:t>
      </w:r>
      <w:r w:rsidR="00202F8E" w:rsidRPr="00961CFD">
        <w:rPr>
          <w:lang w:val="es-ES" w:eastAsia="en-US"/>
        </w:rPr>
        <w:t xml:space="preserve"> </w:t>
      </w:r>
      <w:r w:rsidR="003A1004" w:rsidRPr="00961CFD">
        <w:rPr>
          <w:lang w:val="es-ES" w:eastAsia="en-US"/>
        </w:rPr>
        <w:t>universidad;</w:t>
      </w:r>
      <w:bookmarkEnd w:id="90"/>
    </w:p>
    <w:p w14:paraId="04C77E77" w14:textId="42783105" w:rsidR="003A1004" w:rsidRPr="00961CFD" w:rsidRDefault="000229D5" w:rsidP="000229D5">
      <w:pPr>
        <w:pStyle w:val="SingleTxt"/>
        <w:rPr>
          <w:lang w:val="es-ES" w:eastAsia="en-US"/>
        </w:rPr>
      </w:pPr>
      <w:bookmarkStart w:id="91" w:name="bookmark_109"/>
      <w:r w:rsidRPr="00961CFD">
        <w:rPr>
          <w:lang w:val="es-ES" w:eastAsia="en-US"/>
        </w:rPr>
        <w:tab/>
      </w:r>
      <w:r w:rsidR="003A1004" w:rsidRPr="00961CFD">
        <w:rPr>
          <w:lang w:val="es-ES" w:eastAsia="en-US"/>
        </w:rPr>
        <w:t>b)</w:t>
      </w:r>
      <w:r w:rsidR="003A1004" w:rsidRPr="00961CFD">
        <w:rPr>
          <w:lang w:val="es-ES" w:eastAsia="en-US"/>
        </w:rPr>
        <w:tab/>
        <w:t>La elevada tasa de deserción escolar de las niñas debido, entre otras cosas, al embarazo precoz;</w:t>
      </w:r>
      <w:bookmarkEnd w:id="91"/>
    </w:p>
    <w:p w14:paraId="744B48DC" w14:textId="1F5CC7BA" w:rsidR="003A1004" w:rsidRPr="00961CFD" w:rsidRDefault="000229D5" w:rsidP="000229D5">
      <w:pPr>
        <w:pStyle w:val="SingleTxt"/>
        <w:rPr>
          <w:lang w:val="es-ES" w:eastAsia="en-US"/>
        </w:rPr>
      </w:pPr>
      <w:bookmarkStart w:id="92" w:name="bookmark_110"/>
      <w:r w:rsidRPr="00961CFD">
        <w:rPr>
          <w:lang w:val="es-ES" w:eastAsia="en-US"/>
        </w:rPr>
        <w:tab/>
      </w:r>
      <w:r w:rsidR="003A1004" w:rsidRPr="00961CFD">
        <w:rPr>
          <w:lang w:val="es-ES" w:eastAsia="en-US"/>
        </w:rPr>
        <w:t>c)</w:t>
      </w:r>
      <w:r w:rsidR="003A1004" w:rsidRPr="00961CFD">
        <w:rPr>
          <w:lang w:val="es-ES" w:eastAsia="en-US"/>
        </w:rPr>
        <w:tab/>
        <w:t>La insuficiente representación de las mujeres y las niñas en esferas de estudio no tradicionales y en trayectorias profesionales como la tecnología, las matemáticas y la ciencia;</w:t>
      </w:r>
      <w:bookmarkEnd w:id="92"/>
    </w:p>
    <w:p w14:paraId="07371184" w14:textId="182A5185" w:rsidR="003A1004" w:rsidRPr="00961CFD" w:rsidRDefault="000229D5" w:rsidP="000229D5">
      <w:pPr>
        <w:pStyle w:val="SingleTxt"/>
        <w:rPr>
          <w:lang w:val="es-ES" w:eastAsia="en-US"/>
        </w:rPr>
      </w:pPr>
      <w:bookmarkStart w:id="93" w:name="bookmark_111"/>
      <w:r w:rsidRPr="00961CFD">
        <w:rPr>
          <w:lang w:val="es-ES" w:eastAsia="en-US"/>
        </w:rPr>
        <w:tab/>
      </w:r>
      <w:r w:rsidR="003A1004" w:rsidRPr="00961CFD">
        <w:rPr>
          <w:lang w:val="es-ES" w:eastAsia="en-US"/>
        </w:rPr>
        <w:t>d)</w:t>
      </w:r>
      <w:r w:rsidR="003A1004" w:rsidRPr="00961CFD">
        <w:rPr>
          <w:lang w:val="es-ES" w:eastAsia="en-US"/>
        </w:rPr>
        <w:tab/>
        <w:t>La falta de educación apropiada a la edad sobre la salud y los derechos sexuales y reproductivos, incluido el comportamiento sexual responsable, en las escuelas, y la falta de capacitación de los docentes sobre la no discriminación y la igualdad de género;</w:t>
      </w:r>
      <w:bookmarkEnd w:id="93"/>
    </w:p>
    <w:p w14:paraId="66A7B683" w14:textId="7FA2C972" w:rsidR="003A1004" w:rsidRPr="00961CFD" w:rsidRDefault="000229D5" w:rsidP="000229D5">
      <w:pPr>
        <w:pStyle w:val="SingleTxt"/>
        <w:rPr>
          <w:lang w:val="es-ES" w:eastAsia="en-US"/>
        </w:rPr>
      </w:pPr>
      <w:bookmarkStart w:id="94" w:name="bookmark_112"/>
      <w:r w:rsidRPr="00961CFD">
        <w:rPr>
          <w:lang w:val="es-ES" w:eastAsia="en-US"/>
        </w:rPr>
        <w:tab/>
      </w:r>
      <w:r w:rsidR="003A1004" w:rsidRPr="00961CFD">
        <w:rPr>
          <w:lang w:val="es-ES" w:eastAsia="en-US"/>
        </w:rPr>
        <w:t>e)</w:t>
      </w:r>
      <w:r w:rsidR="003A1004" w:rsidRPr="00961CFD">
        <w:rPr>
          <w:lang w:val="es-ES" w:eastAsia="en-US"/>
        </w:rPr>
        <w:tab/>
        <w:t>Los informes que señalan que las niñas refugiadas y solicitantes de asilo</w:t>
      </w:r>
      <w:r w:rsidR="00202F8E" w:rsidRPr="00961CFD">
        <w:rPr>
          <w:lang w:val="es-ES" w:eastAsia="en-US"/>
        </w:rPr>
        <w:t xml:space="preserve"> </w:t>
      </w:r>
      <w:r w:rsidR="003A1004" w:rsidRPr="00961CFD">
        <w:rPr>
          <w:lang w:val="es-ES" w:eastAsia="en-US"/>
        </w:rPr>
        <w:t>son objeto de hostigamiento, acoso y violencia, lo que da lugar a que abandonen la escuela</w:t>
      </w:r>
      <w:r w:rsidR="00202F8E" w:rsidRPr="00961CFD">
        <w:rPr>
          <w:lang w:val="es-ES" w:eastAsia="en-US"/>
        </w:rPr>
        <w:t>.</w:t>
      </w:r>
      <w:bookmarkEnd w:id="94"/>
    </w:p>
    <w:p w14:paraId="4B11BD52" w14:textId="4995B885" w:rsidR="003A1004" w:rsidRPr="00961CFD" w:rsidRDefault="003A1004" w:rsidP="006C43B3">
      <w:pPr>
        <w:pStyle w:val="SingleTxt"/>
        <w:numPr>
          <w:ilvl w:val="0"/>
          <w:numId w:val="31"/>
        </w:numPr>
        <w:tabs>
          <w:tab w:val="num" w:pos="1742"/>
        </w:tabs>
        <w:ind w:left="1267" w:firstLine="0"/>
        <w:rPr>
          <w:b/>
          <w:szCs w:val="22"/>
          <w:lang w:val="es-ES" w:eastAsia="en-US"/>
        </w:rPr>
      </w:pPr>
      <w:bookmarkStart w:id="95" w:name="bookmark_113"/>
      <w:r w:rsidRPr="00961CFD">
        <w:rPr>
          <w:b/>
          <w:szCs w:val="22"/>
          <w:lang w:val="es-ES" w:eastAsia="en-US"/>
        </w:rPr>
        <w:t>El Comité recomienda que el Estado parte:</w:t>
      </w:r>
      <w:bookmarkEnd w:id="95"/>
    </w:p>
    <w:p w14:paraId="0298C4B1" w14:textId="0AE75F81" w:rsidR="003A1004" w:rsidRPr="00961CFD" w:rsidRDefault="00042536" w:rsidP="00042536">
      <w:pPr>
        <w:pStyle w:val="SingleTxt"/>
        <w:rPr>
          <w:lang w:val="es-ES" w:eastAsia="en-US"/>
        </w:rPr>
      </w:pPr>
      <w:bookmarkStart w:id="96" w:name="bookmark_114"/>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Adopte medidas encaminadas a aumentar las tasas de finalización, retención y matriculación de las mujeres y las niñas en todos los niveles de la educación, entre otras cosas mediante la provisión de más becas para las niñas e incentivos y subsidios para sus familias;</w:t>
      </w:r>
      <w:bookmarkEnd w:id="96"/>
    </w:p>
    <w:p w14:paraId="5C038423" w14:textId="77777777" w:rsidR="00202F8E" w:rsidRPr="00961CFD" w:rsidRDefault="00042536" w:rsidP="00042536">
      <w:pPr>
        <w:pStyle w:val="SingleTxt"/>
        <w:rPr>
          <w:lang w:val="es-ES" w:eastAsia="en-US"/>
        </w:rPr>
      </w:pPr>
      <w:bookmarkStart w:id="97" w:name="bookmark_115"/>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Garantice que las niñas que se reintegran a la escuela después de haberla abandonado por razones de embarazo u otras responsabilidades de cuidado de personas a cargo puedan completar su escolarización, analizando y encarando los obstáculos a los que se enfrentan;</w:t>
      </w:r>
      <w:bookmarkEnd w:id="97"/>
    </w:p>
    <w:p w14:paraId="73253922" w14:textId="77777777" w:rsidR="00202F8E" w:rsidRPr="00961CFD" w:rsidRDefault="00042536" w:rsidP="00042536">
      <w:pPr>
        <w:pStyle w:val="SingleTxt"/>
        <w:rPr>
          <w:lang w:val="es-ES" w:eastAsia="en-US"/>
        </w:rPr>
      </w:pPr>
      <w:bookmarkStart w:id="98" w:name="bookmark_116"/>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Aliente y capacite a las mujeres y a las niñas para que elijan esferas de estudio y carreras profesionales no tradicionales, como, por ejemplo, la ciencia, la ingeniería y la gestión, mediante la sensibilización, las becas y los modelos de identificación;</w:t>
      </w:r>
      <w:bookmarkEnd w:id="98"/>
    </w:p>
    <w:p w14:paraId="1A20E442" w14:textId="0DF10A4F" w:rsidR="003A1004" w:rsidRPr="00961CFD" w:rsidRDefault="00042536" w:rsidP="00042536">
      <w:pPr>
        <w:pStyle w:val="SingleTxt"/>
        <w:rPr>
          <w:lang w:val="es-ES" w:eastAsia="en-US"/>
        </w:rPr>
      </w:pPr>
      <w:bookmarkStart w:id="99" w:name="bookmark_117"/>
      <w:r w:rsidRPr="00961CFD">
        <w:rPr>
          <w:lang w:val="es-ES" w:eastAsia="en-US"/>
        </w:rPr>
        <w:tab/>
      </w:r>
      <w:r w:rsidR="003A1004" w:rsidRPr="00961CFD">
        <w:rPr>
          <w:lang w:val="es-ES" w:eastAsia="en-US"/>
        </w:rPr>
        <w:t>d)</w:t>
      </w:r>
      <w:r w:rsidR="003A1004" w:rsidRPr="00961CFD">
        <w:rPr>
          <w:lang w:val="es-ES" w:eastAsia="en-US"/>
        </w:rPr>
        <w:tab/>
      </w:r>
      <w:r w:rsidR="003A1004" w:rsidRPr="00961CFD">
        <w:rPr>
          <w:b/>
          <w:lang w:val="es-ES" w:eastAsia="en-US"/>
        </w:rPr>
        <w:t>Incorpore una educación integral y adecuada a la edad sobre la salud y los derechos sexuales y reproductivos, incluido el comportamiento sexual responsable, centrándose en la prevención de los embarazos en la adolescencia y las infecciones de transmisión sexual, y capacite a los docentes para tratar dichos temas de un modo que tenga en cuenta las cuestiones de género;</w:t>
      </w:r>
      <w:bookmarkEnd w:id="99"/>
    </w:p>
    <w:p w14:paraId="7AE17052" w14:textId="1C0FC7B0" w:rsidR="003A1004" w:rsidRPr="00961CFD" w:rsidRDefault="00042536" w:rsidP="00042536">
      <w:pPr>
        <w:pStyle w:val="SingleTxt"/>
        <w:rPr>
          <w:lang w:val="es-ES" w:eastAsia="en-US"/>
        </w:rPr>
      </w:pPr>
      <w:bookmarkStart w:id="100" w:name="bookmark_118"/>
      <w:r w:rsidRPr="00961CFD">
        <w:rPr>
          <w:lang w:val="es-ES" w:eastAsia="en-US"/>
        </w:rPr>
        <w:lastRenderedPageBreak/>
        <w:tab/>
      </w:r>
      <w:r w:rsidR="003A1004" w:rsidRPr="00961CFD">
        <w:rPr>
          <w:lang w:val="es-ES" w:eastAsia="en-US"/>
        </w:rPr>
        <w:t>e)</w:t>
      </w:r>
      <w:r w:rsidR="003A1004" w:rsidRPr="00961CFD">
        <w:rPr>
          <w:lang w:val="es-ES" w:eastAsia="en-US"/>
        </w:rPr>
        <w:tab/>
      </w:r>
      <w:r w:rsidR="003A1004" w:rsidRPr="00961CFD">
        <w:rPr>
          <w:b/>
          <w:lang w:val="es-ES" w:eastAsia="en-US"/>
        </w:rPr>
        <w:t>Garantice que la legislación y las políticas de educación tengan en cuenta las cuestiones de género, e integre la igualdad de género en la educación a todos los niveles</w:t>
      </w:r>
      <w:r w:rsidR="00202F8E" w:rsidRPr="00961CFD">
        <w:rPr>
          <w:b/>
          <w:lang w:val="es-ES" w:eastAsia="en-US"/>
        </w:rPr>
        <w:t>.</w:t>
      </w:r>
      <w:bookmarkEnd w:id="100"/>
    </w:p>
    <w:p w14:paraId="359EEA68" w14:textId="77777777" w:rsidR="00ED45EF" w:rsidRPr="00961CFD" w:rsidRDefault="00ED45EF" w:rsidP="00ED45EF">
      <w:pPr>
        <w:pStyle w:val="SingleTxt"/>
        <w:spacing w:after="0" w:line="120" w:lineRule="exact"/>
        <w:rPr>
          <w:sz w:val="10"/>
          <w:szCs w:val="10"/>
          <w:lang w:val="es-ES"/>
        </w:rPr>
      </w:pPr>
      <w:bookmarkStart w:id="101" w:name="bookmark_119"/>
    </w:p>
    <w:p w14:paraId="2C9371EC" w14:textId="77777777"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Empleo</w:t>
      </w:r>
      <w:bookmarkEnd w:id="101"/>
    </w:p>
    <w:p w14:paraId="2F8631EB" w14:textId="77777777" w:rsidR="00ED45EF" w:rsidRPr="00961CFD" w:rsidRDefault="00ED45EF" w:rsidP="00ED45EF">
      <w:pPr>
        <w:pStyle w:val="SingleTxt"/>
        <w:spacing w:after="0" w:line="120" w:lineRule="exact"/>
        <w:rPr>
          <w:sz w:val="10"/>
          <w:szCs w:val="10"/>
          <w:lang w:val="es-ES"/>
        </w:rPr>
      </w:pPr>
    </w:p>
    <w:p w14:paraId="0BCA045E" w14:textId="77777777" w:rsidR="00202F8E" w:rsidRPr="00961CFD" w:rsidRDefault="003A1004" w:rsidP="006C43B3">
      <w:pPr>
        <w:pStyle w:val="SingleTxt"/>
        <w:numPr>
          <w:ilvl w:val="0"/>
          <w:numId w:val="31"/>
        </w:numPr>
        <w:tabs>
          <w:tab w:val="num" w:pos="1742"/>
        </w:tabs>
        <w:ind w:left="1267" w:firstLine="0"/>
        <w:rPr>
          <w:szCs w:val="22"/>
          <w:lang w:val="es-ES" w:eastAsia="en-US"/>
        </w:rPr>
      </w:pPr>
      <w:bookmarkStart w:id="102" w:name="bookmark_120"/>
      <w:r w:rsidRPr="00961CFD">
        <w:rPr>
          <w:szCs w:val="22"/>
          <w:lang w:val="es-ES" w:eastAsia="en-US"/>
        </w:rPr>
        <w:t>El Comité acoge con satisfacción la Ley de la Administración Pública de</w:t>
      </w:r>
      <w:r w:rsidR="00202F8E" w:rsidRPr="00961CFD">
        <w:rPr>
          <w:szCs w:val="22"/>
          <w:lang w:val="es-ES" w:eastAsia="en-US"/>
        </w:rPr>
        <w:t xml:space="preserve"> 2016</w:t>
      </w:r>
      <w:r w:rsidRPr="00961CFD">
        <w:rPr>
          <w:szCs w:val="22"/>
          <w:lang w:val="es-ES" w:eastAsia="en-US"/>
        </w:rPr>
        <w:t>, que establece el principio de igual remuneración por trabajo de igual valor y prevé el derecho de la mujer a la licencia de maternidad tras haber completado seis meses de empleo</w:t>
      </w:r>
      <w:r w:rsidR="00202F8E" w:rsidRPr="00961CFD">
        <w:rPr>
          <w:szCs w:val="22"/>
          <w:lang w:val="es-ES" w:eastAsia="en-US"/>
        </w:rPr>
        <w:t>.</w:t>
      </w:r>
      <w:r w:rsidRPr="00961CFD">
        <w:rPr>
          <w:szCs w:val="22"/>
          <w:lang w:val="es-ES" w:eastAsia="en-US"/>
        </w:rPr>
        <w:t xml:space="preserve"> Sin embargo, preocupa al Comité que las mujeres que trabajan en el sector privado no tengan el mismo derecho</w:t>
      </w:r>
      <w:r w:rsidR="00202F8E" w:rsidRPr="00961CFD">
        <w:rPr>
          <w:szCs w:val="22"/>
          <w:lang w:val="es-ES" w:eastAsia="en-US"/>
        </w:rPr>
        <w:t>.</w:t>
      </w:r>
      <w:r w:rsidRPr="00961CFD">
        <w:rPr>
          <w:szCs w:val="22"/>
          <w:lang w:val="es-ES" w:eastAsia="en-US"/>
        </w:rPr>
        <w:t xml:space="preserve"> También le preocupa la ausencia de legislación que prohíba y combata la discriminación por motivo de sexo en el lugar de trabajo, la falta de servicios de guardería y atención de los ancianos, la elevada tasa de desempleo entre las mujeres y las limitadas oportunidades de empleo para</w:t>
      </w:r>
      <w:r w:rsidR="00202F8E" w:rsidRPr="00961CFD">
        <w:rPr>
          <w:szCs w:val="22"/>
          <w:lang w:val="es-ES" w:eastAsia="en-US"/>
        </w:rPr>
        <w:t xml:space="preserve"> </w:t>
      </w:r>
      <w:r w:rsidRPr="00961CFD">
        <w:rPr>
          <w:szCs w:val="22"/>
          <w:lang w:val="es-ES" w:eastAsia="en-US"/>
        </w:rPr>
        <w:t>las mujeres</w:t>
      </w:r>
      <w:r w:rsidR="00202F8E" w:rsidRPr="00961CFD">
        <w:rPr>
          <w:szCs w:val="22"/>
          <w:lang w:val="es-ES" w:eastAsia="en-US"/>
        </w:rPr>
        <w:t>.</w:t>
      </w:r>
      <w:bookmarkEnd w:id="102"/>
    </w:p>
    <w:p w14:paraId="5D4E67FB" w14:textId="760DD5A5" w:rsidR="003A1004" w:rsidRPr="00961CFD" w:rsidRDefault="003A1004" w:rsidP="006C43B3">
      <w:pPr>
        <w:pStyle w:val="SingleTxt"/>
        <w:numPr>
          <w:ilvl w:val="0"/>
          <w:numId w:val="31"/>
        </w:numPr>
        <w:tabs>
          <w:tab w:val="num" w:pos="1742"/>
        </w:tabs>
        <w:ind w:left="1267" w:firstLine="0"/>
        <w:rPr>
          <w:b/>
          <w:szCs w:val="22"/>
          <w:lang w:val="es-ES" w:eastAsia="en-US"/>
        </w:rPr>
      </w:pPr>
      <w:bookmarkStart w:id="103" w:name="bookmark_121"/>
      <w:r w:rsidRPr="00961CFD">
        <w:rPr>
          <w:b/>
          <w:szCs w:val="22"/>
          <w:lang w:val="es-ES" w:eastAsia="en-US"/>
        </w:rPr>
        <w:t>El Comité recomienda que el Estado parte:</w:t>
      </w:r>
      <w:bookmarkEnd w:id="103"/>
    </w:p>
    <w:p w14:paraId="538E4F08" w14:textId="77777777" w:rsidR="00202F8E" w:rsidRPr="00961CFD" w:rsidRDefault="00C55DBA" w:rsidP="00C55DBA">
      <w:pPr>
        <w:pStyle w:val="SingleTxt"/>
        <w:rPr>
          <w:lang w:val="es-ES" w:eastAsia="en-US"/>
        </w:rPr>
      </w:pPr>
      <w:bookmarkStart w:id="104" w:name="bookmark_122"/>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Apruebe legislación que prohíba el acoso sexual en el lugar de trabajo, tanto en el sector público como en el privado, y establezca un mecanismo de denuncia que permita a las víctimas obtener reparación;</w:t>
      </w:r>
      <w:bookmarkEnd w:id="104"/>
    </w:p>
    <w:p w14:paraId="24ACEAEF" w14:textId="77777777" w:rsidR="00202F8E" w:rsidRPr="00961CFD" w:rsidRDefault="00C55DBA" w:rsidP="00826E82">
      <w:pPr>
        <w:pStyle w:val="SingleTxt"/>
        <w:rPr>
          <w:lang w:val="es-ES" w:eastAsia="en-US"/>
        </w:rPr>
      </w:pPr>
      <w:bookmarkStart w:id="105" w:name="bookmark_123"/>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Garantice el derecho a la licencia remunerada de maternidad y de paternidad, a las pausas para la lactancia y a una licencia de enfermedad suficiente en los sectores público y privado, y prohíba expresamente el despido por motivo de embarazo, así como la discriminación sobre la base del estado</w:t>
      </w:r>
      <w:r w:rsidR="00202F8E" w:rsidRPr="00961CFD">
        <w:rPr>
          <w:b/>
          <w:lang w:val="es-ES" w:eastAsia="en-US"/>
        </w:rPr>
        <w:t xml:space="preserve"> </w:t>
      </w:r>
      <w:r w:rsidR="003A1004" w:rsidRPr="00961CFD">
        <w:rPr>
          <w:b/>
          <w:lang w:val="es-ES" w:eastAsia="en-US"/>
        </w:rPr>
        <w:t>civil;</w:t>
      </w:r>
      <w:bookmarkEnd w:id="105"/>
    </w:p>
    <w:p w14:paraId="74D74423" w14:textId="157AD793" w:rsidR="003A1004" w:rsidRPr="00961CFD" w:rsidRDefault="00C55DBA" w:rsidP="00C55DBA">
      <w:pPr>
        <w:pStyle w:val="SingleTxt"/>
        <w:rPr>
          <w:lang w:val="es-ES" w:eastAsia="en-US"/>
        </w:rPr>
      </w:pPr>
      <w:bookmarkStart w:id="106" w:name="bookmark_124"/>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Aumente el acceso de las mujeres a empleos a tiempo completo en el sector formal, entre otras cosas proporcionando servicios públicos asequibles de atención a los ancianos y de guardería para que tanto quienes cuiden a</w:t>
      </w:r>
      <w:r w:rsidR="00202F8E" w:rsidRPr="00961CFD">
        <w:rPr>
          <w:b/>
          <w:lang w:val="es-ES" w:eastAsia="en-US"/>
        </w:rPr>
        <w:t xml:space="preserve"> </w:t>
      </w:r>
      <w:r w:rsidR="003A1004" w:rsidRPr="00961CFD">
        <w:rPr>
          <w:b/>
          <w:lang w:val="es-ES" w:eastAsia="en-US"/>
        </w:rPr>
        <w:t>personas a cargo como los padres puedan conciliar el trabajo con la vida</w:t>
      </w:r>
      <w:r w:rsidR="00202F8E" w:rsidRPr="00961CFD">
        <w:rPr>
          <w:b/>
          <w:lang w:val="es-ES" w:eastAsia="en-US"/>
        </w:rPr>
        <w:t xml:space="preserve"> </w:t>
      </w:r>
      <w:r w:rsidR="003A1004" w:rsidRPr="00961CFD">
        <w:rPr>
          <w:b/>
          <w:lang w:val="es-ES" w:eastAsia="en-US"/>
        </w:rPr>
        <w:t>familiar;</w:t>
      </w:r>
      <w:bookmarkEnd w:id="106"/>
    </w:p>
    <w:p w14:paraId="015DF89E" w14:textId="3E5D9E8F" w:rsidR="003A1004" w:rsidRPr="00961CFD" w:rsidRDefault="00C55DBA" w:rsidP="00C55DBA">
      <w:pPr>
        <w:pStyle w:val="SingleTxt"/>
        <w:rPr>
          <w:lang w:val="es-ES" w:eastAsia="en-US"/>
        </w:rPr>
      </w:pPr>
      <w:bookmarkStart w:id="107" w:name="bookmark_125"/>
      <w:r w:rsidRPr="00961CFD">
        <w:rPr>
          <w:lang w:val="es-ES" w:eastAsia="en-US"/>
        </w:rPr>
        <w:tab/>
      </w:r>
      <w:r w:rsidR="003A1004" w:rsidRPr="00961CFD">
        <w:rPr>
          <w:lang w:val="es-ES" w:eastAsia="en-US"/>
        </w:rPr>
        <w:t>d)</w:t>
      </w:r>
      <w:r w:rsidR="003A1004" w:rsidRPr="00961CFD">
        <w:rPr>
          <w:lang w:val="es-ES" w:eastAsia="en-US"/>
        </w:rPr>
        <w:tab/>
      </w:r>
      <w:r w:rsidR="003A1004" w:rsidRPr="00961CFD">
        <w:rPr>
          <w:b/>
          <w:lang w:val="es-ES" w:eastAsia="en-US"/>
        </w:rPr>
        <w:t>Refuerce los programas de sensibilización pública centrándose, en particular, en la importancia de compartir las responsabilidades familiares;</w:t>
      </w:r>
      <w:bookmarkEnd w:id="107"/>
    </w:p>
    <w:p w14:paraId="0D17694B" w14:textId="7AB3B026" w:rsidR="003A1004" w:rsidRPr="00961CFD" w:rsidRDefault="00C55DBA" w:rsidP="00C55DBA">
      <w:pPr>
        <w:pStyle w:val="SingleTxt"/>
        <w:rPr>
          <w:lang w:val="es-ES" w:eastAsia="en-US"/>
        </w:rPr>
      </w:pPr>
      <w:bookmarkStart w:id="108" w:name="bookmark_126"/>
      <w:r w:rsidRPr="00961CFD">
        <w:rPr>
          <w:lang w:val="es-ES" w:eastAsia="en-US"/>
        </w:rPr>
        <w:tab/>
      </w:r>
      <w:r w:rsidR="003A1004" w:rsidRPr="00961CFD">
        <w:rPr>
          <w:lang w:val="es-ES" w:eastAsia="en-US"/>
        </w:rPr>
        <w:t>e)</w:t>
      </w:r>
      <w:r w:rsidR="003A1004" w:rsidRPr="00961CFD">
        <w:rPr>
          <w:lang w:val="es-ES" w:eastAsia="en-US"/>
        </w:rPr>
        <w:tab/>
      </w:r>
      <w:r w:rsidR="003A1004" w:rsidRPr="00961CFD">
        <w:rPr>
          <w:b/>
          <w:lang w:val="es-ES" w:eastAsia="en-US"/>
        </w:rPr>
        <w:t>Promueva el emprendimiento y la creación de empresas mediante el aumento del acceso de las mujeres a los planes de microcrédito, la información, la capacitación y las nuevas tecnologías</w:t>
      </w:r>
      <w:r w:rsidR="00202F8E" w:rsidRPr="00961CFD">
        <w:rPr>
          <w:b/>
          <w:lang w:val="es-ES" w:eastAsia="en-US"/>
        </w:rPr>
        <w:t>.</w:t>
      </w:r>
      <w:bookmarkEnd w:id="108"/>
    </w:p>
    <w:p w14:paraId="562F15F2" w14:textId="77777777" w:rsidR="00ED45EF" w:rsidRPr="00961CFD" w:rsidRDefault="00ED45EF" w:rsidP="00ED45EF">
      <w:pPr>
        <w:pStyle w:val="SingleTxt"/>
        <w:spacing w:after="0" w:line="120" w:lineRule="exact"/>
        <w:rPr>
          <w:sz w:val="10"/>
          <w:szCs w:val="10"/>
          <w:lang w:val="es-ES"/>
        </w:rPr>
      </w:pPr>
      <w:bookmarkStart w:id="109" w:name="bookmark_127"/>
    </w:p>
    <w:p w14:paraId="6769D6FE" w14:textId="77777777"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Salud</w:t>
      </w:r>
      <w:bookmarkEnd w:id="109"/>
    </w:p>
    <w:p w14:paraId="6269A9FC" w14:textId="77777777" w:rsidR="00ED45EF" w:rsidRPr="00961CFD" w:rsidRDefault="00ED45EF" w:rsidP="00ED45EF">
      <w:pPr>
        <w:pStyle w:val="SingleTxt"/>
        <w:spacing w:after="0" w:line="120" w:lineRule="exact"/>
        <w:rPr>
          <w:sz w:val="10"/>
          <w:szCs w:val="10"/>
          <w:lang w:val="es-ES"/>
        </w:rPr>
      </w:pPr>
    </w:p>
    <w:p w14:paraId="0AAB0EFA" w14:textId="15AEABC8" w:rsidR="003A1004" w:rsidRPr="00961CFD" w:rsidRDefault="003A1004" w:rsidP="006C43B3">
      <w:pPr>
        <w:pStyle w:val="SingleTxt"/>
        <w:numPr>
          <w:ilvl w:val="0"/>
          <w:numId w:val="31"/>
        </w:numPr>
        <w:tabs>
          <w:tab w:val="num" w:pos="1742"/>
        </w:tabs>
        <w:ind w:left="1267" w:firstLine="0"/>
        <w:rPr>
          <w:szCs w:val="22"/>
          <w:lang w:val="es-ES" w:eastAsia="en-US"/>
        </w:rPr>
      </w:pPr>
      <w:bookmarkStart w:id="110" w:name="bookmark_128"/>
      <w:r w:rsidRPr="00961CFD">
        <w:rPr>
          <w:szCs w:val="22"/>
          <w:lang w:val="es-ES" w:eastAsia="en-US"/>
        </w:rPr>
        <w:t>El Comité encomia al Estado parte por su inversión en la salud, incluida la prestación de servicios médicos gratuitos, así como la reciente mejora del hospital y la aplicación experimental de los dispensarios comunitarios en un distrito</w:t>
      </w:r>
      <w:r w:rsidR="00202F8E" w:rsidRPr="00961CFD">
        <w:rPr>
          <w:szCs w:val="22"/>
          <w:lang w:val="es-ES" w:eastAsia="en-US"/>
        </w:rPr>
        <w:t>.</w:t>
      </w:r>
      <w:r w:rsidRPr="00961CFD">
        <w:rPr>
          <w:szCs w:val="22"/>
          <w:lang w:val="es-ES" w:eastAsia="en-US"/>
        </w:rPr>
        <w:t xml:space="preserve"> Sin embargo, sigue preocupado por la situación general de la salud de las mujeres, en particular en lo que respecta a:</w:t>
      </w:r>
      <w:bookmarkEnd w:id="110"/>
    </w:p>
    <w:p w14:paraId="699A3692" w14:textId="77777777" w:rsidR="00202F8E" w:rsidRPr="00961CFD" w:rsidRDefault="00352A46" w:rsidP="00352A46">
      <w:pPr>
        <w:pStyle w:val="SingleTxt"/>
        <w:rPr>
          <w:lang w:val="es-ES" w:eastAsia="en-US"/>
        </w:rPr>
      </w:pPr>
      <w:bookmarkStart w:id="111" w:name="bookmark_129"/>
      <w:r w:rsidRPr="00961CFD">
        <w:rPr>
          <w:lang w:val="es-ES" w:eastAsia="en-US"/>
        </w:rPr>
        <w:tab/>
      </w:r>
      <w:r w:rsidR="003A1004" w:rsidRPr="00961CFD">
        <w:rPr>
          <w:lang w:val="es-ES" w:eastAsia="en-US"/>
        </w:rPr>
        <w:t>a)</w:t>
      </w:r>
      <w:r w:rsidR="003A1004" w:rsidRPr="00961CFD">
        <w:rPr>
          <w:lang w:val="es-ES" w:eastAsia="en-US"/>
        </w:rPr>
        <w:tab/>
        <w:t>La falta de servicios de salud sexual y reproductiva, incluido el acceso limitado a anticonceptivos modernos, para las mujeres y las niñas;</w:t>
      </w:r>
      <w:bookmarkEnd w:id="111"/>
    </w:p>
    <w:p w14:paraId="0BEF013D" w14:textId="4273A553" w:rsidR="003A1004" w:rsidRPr="00961CFD" w:rsidRDefault="00352A46" w:rsidP="00352A46">
      <w:pPr>
        <w:pStyle w:val="SingleTxt"/>
        <w:rPr>
          <w:lang w:val="es-ES" w:eastAsia="en-US"/>
        </w:rPr>
      </w:pPr>
      <w:bookmarkStart w:id="112" w:name="bookmark_130"/>
      <w:r w:rsidRPr="00961CFD">
        <w:rPr>
          <w:lang w:val="es-ES" w:eastAsia="en-US"/>
        </w:rPr>
        <w:tab/>
      </w:r>
      <w:r w:rsidR="003A1004" w:rsidRPr="00961CFD">
        <w:rPr>
          <w:lang w:val="es-ES" w:eastAsia="en-US"/>
        </w:rPr>
        <w:t>b)</w:t>
      </w:r>
      <w:r w:rsidR="003A1004" w:rsidRPr="00961CFD">
        <w:rPr>
          <w:lang w:val="es-ES" w:eastAsia="en-US"/>
        </w:rPr>
        <w:tab/>
        <w:t>La elevada tasa de embarazos precoces y el consiguiente elevado número de matrimonios infantiles;</w:t>
      </w:r>
      <w:bookmarkEnd w:id="112"/>
    </w:p>
    <w:p w14:paraId="6B0F4199" w14:textId="034735DE" w:rsidR="003A1004" w:rsidRPr="00961CFD" w:rsidRDefault="00352A46" w:rsidP="00352A46">
      <w:pPr>
        <w:pStyle w:val="SingleTxt"/>
        <w:rPr>
          <w:lang w:val="es-ES" w:eastAsia="en-US"/>
        </w:rPr>
      </w:pPr>
      <w:bookmarkStart w:id="113" w:name="bookmark_131"/>
      <w:r w:rsidRPr="00961CFD">
        <w:rPr>
          <w:lang w:val="es-ES" w:eastAsia="en-US"/>
        </w:rPr>
        <w:tab/>
      </w:r>
      <w:r w:rsidR="003A1004" w:rsidRPr="00961CFD">
        <w:rPr>
          <w:lang w:val="es-ES" w:eastAsia="en-US"/>
        </w:rPr>
        <w:t>c)</w:t>
      </w:r>
      <w:r w:rsidR="003A1004" w:rsidRPr="00961CFD">
        <w:rPr>
          <w:lang w:val="es-ES" w:eastAsia="en-US"/>
        </w:rPr>
        <w:tab/>
        <w:t>La penalización del aborto, excepto en los casos de violación, incesto o peligro para la vida y la salud de la madre, incluidas pruebas médicas de malformación fetal grave, y el acceso limitado a los servicios de aborto sin riesgo</w:t>
      </w:r>
      <w:r w:rsidR="00202F8E" w:rsidRPr="00961CFD">
        <w:rPr>
          <w:lang w:val="es-ES" w:eastAsia="en-US"/>
        </w:rPr>
        <w:t xml:space="preserve"> </w:t>
      </w:r>
      <w:r w:rsidR="003A1004" w:rsidRPr="00961CFD">
        <w:rPr>
          <w:lang w:val="es-ES" w:eastAsia="en-US"/>
        </w:rPr>
        <w:t>y</w:t>
      </w:r>
      <w:r w:rsidR="00202F8E" w:rsidRPr="00961CFD">
        <w:rPr>
          <w:lang w:val="es-ES" w:eastAsia="en-US"/>
        </w:rPr>
        <w:t xml:space="preserve"> </w:t>
      </w:r>
      <w:r w:rsidR="003A1004" w:rsidRPr="00961CFD">
        <w:rPr>
          <w:lang w:val="es-ES" w:eastAsia="en-US"/>
        </w:rPr>
        <w:t>legal;</w:t>
      </w:r>
      <w:bookmarkEnd w:id="113"/>
    </w:p>
    <w:p w14:paraId="43546C83" w14:textId="19246203" w:rsidR="003A1004" w:rsidRPr="00961CFD" w:rsidRDefault="00352A46" w:rsidP="00352A46">
      <w:pPr>
        <w:pStyle w:val="SingleTxt"/>
        <w:rPr>
          <w:lang w:val="es-ES" w:eastAsia="en-US"/>
        </w:rPr>
      </w:pPr>
      <w:bookmarkStart w:id="114" w:name="bookmark_132"/>
      <w:r w:rsidRPr="00961CFD">
        <w:rPr>
          <w:lang w:val="es-ES" w:eastAsia="en-US"/>
        </w:rPr>
        <w:lastRenderedPageBreak/>
        <w:tab/>
      </w:r>
      <w:r w:rsidR="003A1004" w:rsidRPr="00961CFD">
        <w:rPr>
          <w:lang w:val="es-ES" w:eastAsia="en-US"/>
        </w:rPr>
        <w:t>d)</w:t>
      </w:r>
      <w:r w:rsidR="003A1004" w:rsidRPr="00961CFD">
        <w:rPr>
          <w:lang w:val="es-ES" w:eastAsia="en-US"/>
        </w:rPr>
        <w:tab/>
        <w:t>La exigencia del consentimiento del marido respecto de las decisiones de salud relacionadas con los derechos reproductivos, en particular la ligadura de trompas, lo que es incompatible con el artículo</w:t>
      </w:r>
      <w:r w:rsidR="00202F8E" w:rsidRPr="00961CFD">
        <w:rPr>
          <w:lang w:val="es-ES" w:eastAsia="en-US"/>
        </w:rPr>
        <w:t xml:space="preserve"> 63 </w:t>
      </w:r>
      <w:r w:rsidR="003A1004" w:rsidRPr="00961CFD">
        <w:rPr>
          <w:lang w:val="es-ES" w:eastAsia="en-US"/>
        </w:rPr>
        <w:t>de la Ley Penal y con la recomendación general núm</w:t>
      </w:r>
      <w:r w:rsidR="00202F8E" w:rsidRPr="00961CFD">
        <w:rPr>
          <w:lang w:val="es-ES" w:eastAsia="en-US"/>
        </w:rPr>
        <w:t xml:space="preserve">. 24 </w:t>
      </w:r>
      <w:r w:rsidR="003A1004" w:rsidRPr="00961CFD">
        <w:rPr>
          <w:lang w:val="es-ES" w:eastAsia="en-US"/>
        </w:rPr>
        <w:t>del Comité (</w:t>
      </w:r>
      <w:r w:rsidR="00202F8E" w:rsidRPr="00961CFD">
        <w:rPr>
          <w:lang w:val="es-ES" w:eastAsia="en-US"/>
        </w:rPr>
        <w:t>1999</w:t>
      </w:r>
      <w:r w:rsidR="003A1004" w:rsidRPr="00961CFD">
        <w:rPr>
          <w:lang w:val="es-ES" w:eastAsia="en-US"/>
        </w:rPr>
        <w:t>) sobre la mujer y la salud;</w:t>
      </w:r>
      <w:bookmarkEnd w:id="114"/>
    </w:p>
    <w:p w14:paraId="18D3C704" w14:textId="3CD10591" w:rsidR="003A1004" w:rsidRPr="00961CFD" w:rsidRDefault="00352A46" w:rsidP="00352A46">
      <w:pPr>
        <w:pStyle w:val="SingleTxt"/>
        <w:rPr>
          <w:lang w:val="es-ES" w:eastAsia="en-US"/>
        </w:rPr>
      </w:pPr>
      <w:bookmarkStart w:id="115" w:name="bookmark_133"/>
      <w:r w:rsidRPr="00961CFD">
        <w:rPr>
          <w:lang w:val="es-ES" w:eastAsia="en-US"/>
        </w:rPr>
        <w:tab/>
      </w:r>
      <w:r w:rsidR="003A1004" w:rsidRPr="00961CFD">
        <w:rPr>
          <w:lang w:val="es-ES" w:eastAsia="en-US"/>
        </w:rPr>
        <w:t>e)</w:t>
      </w:r>
      <w:r w:rsidR="003A1004" w:rsidRPr="00961CFD">
        <w:rPr>
          <w:lang w:val="es-ES" w:eastAsia="en-US"/>
        </w:rPr>
        <w:tab/>
        <w:t>La falta de datos en general, y en particular sobre la prevalencia del cáncer cervical y de mama, así como sobre los tratamientos disponibles para las mujeres y las niñas;</w:t>
      </w:r>
      <w:bookmarkEnd w:id="115"/>
    </w:p>
    <w:p w14:paraId="0F86ADBC" w14:textId="1CB3645B" w:rsidR="003A1004" w:rsidRPr="00961CFD" w:rsidRDefault="00352A46" w:rsidP="00352A46">
      <w:pPr>
        <w:pStyle w:val="SingleTxt"/>
        <w:rPr>
          <w:lang w:val="es-ES" w:eastAsia="en-US"/>
        </w:rPr>
      </w:pPr>
      <w:bookmarkStart w:id="116" w:name="bookmark_134"/>
      <w:r w:rsidRPr="00961CFD">
        <w:rPr>
          <w:lang w:val="es-ES" w:eastAsia="en-US"/>
        </w:rPr>
        <w:tab/>
      </w:r>
      <w:r w:rsidR="003A1004" w:rsidRPr="00961CFD">
        <w:rPr>
          <w:lang w:val="es-ES" w:eastAsia="en-US"/>
        </w:rPr>
        <w:t>f)</w:t>
      </w:r>
      <w:r w:rsidR="003A1004" w:rsidRPr="00961CFD">
        <w:rPr>
          <w:lang w:val="es-ES" w:eastAsia="en-US"/>
        </w:rPr>
        <w:tab/>
        <w:t>El estado de salud mental de la mujer, en particular entre las mujeres y las niñas refugiadas y solicitantes de asilo, y la insuficiencia de las medidas adoptadas para dar respuesta al trauma físico y psicológico de las mujeres víctimas de la violencia</w:t>
      </w:r>
      <w:r w:rsidR="00202F8E" w:rsidRPr="00961CFD">
        <w:rPr>
          <w:lang w:val="es-ES" w:eastAsia="en-US"/>
        </w:rPr>
        <w:t>.</w:t>
      </w:r>
      <w:bookmarkEnd w:id="116"/>
    </w:p>
    <w:p w14:paraId="3F48EAED" w14:textId="3B94B7FA" w:rsidR="003A1004" w:rsidRPr="00961CFD" w:rsidRDefault="003A1004" w:rsidP="006C43B3">
      <w:pPr>
        <w:pStyle w:val="SingleTxt"/>
        <w:numPr>
          <w:ilvl w:val="0"/>
          <w:numId w:val="31"/>
        </w:numPr>
        <w:tabs>
          <w:tab w:val="num" w:pos="1742"/>
        </w:tabs>
        <w:ind w:left="1267" w:firstLine="0"/>
        <w:rPr>
          <w:b/>
          <w:szCs w:val="22"/>
          <w:lang w:val="es-ES" w:eastAsia="en-US"/>
        </w:rPr>
      </w:pPr>
      <w:bookmarkStart w:id="117" w:name="bookmark_135"/>
      <w:r w:rsidRPr="00961CFD">
        <w:rPr>
          <w:b/>
          <w:szCs w:val="22"/>
          <w:lang w:val="es-ES" w:eastAsia="en-US"/>
        </w:rPr>
        <w:t>El Comité recomienda que el Estado parte:</w:t>
      </w:r>
      <w:bookmarkEnd w:id="117"/>
    </w:p>
    <w:p w14:paraId="6B694E40" w14:textId="4E7CCB60" w:rsidR="003A1004" w:rsidRPr="00961CFD" w:rsidRDefault="009F71C5" w:rsidP="009F71C5">
      <w:pPr>
        <w:pStyle w:val="SingleTxt"/>
        <w:rPr>
          <w:lang w:val="es-ES" w:eastAsia="en-US"/>
        </w:rPr>
      </w:pPr>
      <w:bookmarkStart w:id="118" w:name="bookmark_136"/>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Acelere la aprobación de una ley de salud pública y de una estrategia nacional amplia para reforzar los derechos de la mujer a la salud, entre otras cosas mediante la implantación en los distritos restantes de dispensarios comunitarios que cuenten con recursos y personal suficientes;</w:t>
      </w:r>
      <w:bookmarkEnd w:id="118"/>
    </w:p>
    <w:p w14:paraId="41EBEA61" w14:textId="6A539573" w:rsidR="003A1004" w:rsidRPr="00961CFD" w:rsidRDefault="009F71C5" w:rsidP="00826E82">
      <w:pPr>
        <w:pStyle w:val="SingleTxt"/>
        <w:rPr>
          <w:lang w:val="es-ES" w:eastAsia="en-US"/>
        </w:rPr>
      </w:pPr>
      <w:bookmarkStart w:id="119" w:name="bookmark_137"/>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Promueva el acceso de las mujeres y las niñas a los servicios de atención de la salud sexual y reproductiva, incluido el acceso a servicios confidenciales de asesoramiento, servicios de planificación familiar, métodos anticonceptivos modernos y asequibles e información exacta sobre el comportamiento sexual responsable, la prevención de los embarazos precoces y las infecciones de transmisión sexual;</w:t>
      </w:r>
      <w:bookmarkEnd w:id="119"/>
    </w:p>
    <w:p w14:paraId="7BFEE1EF" w14:textId="77777777" w:rsidR="00202F8E" w:rsidRPr="00961CFD" w:rsidRDefault="009F71C5" w:rsidP="009F71C5">
      <w:pPr>
        <w:pStyle w:val="SingleTxt"/>
        <w:rPr>
          <w:lang w:val="es-ES" w:eastAsia="en-US"/>
        </w:rPr>
      </w:pPr>
      <w:bookmarkStart w:id="120" w:name="bookmark_138"/>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Apruebe un amplio programa nacional, con objetivos e indicadores claros, para prevenir los embarazos precoces, que debería incluir un estudio sobre el uso (actualmente escaso) de anticonceptivos, especialmente entre los jóvenes, y garantizar el acceso gratuito a métodos anticonceptivos modernos para todas las mujeres y las niñas;</w:t>
      </w:r>
      <w:bookmarkEnd w:id="120"/>
    </w:p>
    <w:p w14:paraId="0AAB6B2E" w14:textId="4B89AEAC" w:rsidR="003A1004" w:rsidRPr="00961CFD" w:rsidRDefault="009F71C5" w:rsidP="009F71C5">
      <w:pPr>
        <w:pStyle w:val="SingleTxt"/>
        <w:rPr>
          <w:lang w:val="es-ES" w:eastAsia="en-US"/>
        </w:rPr>
      </w:pPr>
      <w:bookmarkStart w:id="121" w:name="bookmark_139"/>
      <w:r w:rsidRPr="00961CFD">
        <w:rPr>
          <w:lang w:val="es-ES" w:eastAsia="en-US"/>
        </w:rPr>
        <w:tab/>
      </w:r>
      <w:r w:rsidR="003A1004" w:rsidRPr="00961CFD">
        <w:rPr>
          <w:lang w:val="es-ES" w:eastAsia="en-US"/>
        </w:rPr>
        <w:t>d)</w:t>
      </w:r>
      <w:r w:rsidR="003A1004" w:rsidRPr="00961CFD">
        <w:rPr>
          <w:lang w:val="es-ES" w:eastAsia="en-US"/>
        </w:rPr>
        <w:tab/>
      </w:r>
      <w:r w:rsidR="003A1004" w:rsidRPr="00961CFD">
        <w:rPr>
          <w:b/>
          <w:lang w:val="es-ES" w:eastAsia="en-US"/>
        </w:rPr>
        <w:t>Despenalice el aborto en todos los casos y garantice el acceso de las mujeres al aborto sin riesgo, de modo que los abortos sin riesgo puedan prestarse de manera oportuna en el Estado parte y en el extranjero;</w:t>
      </w:r>
      <w:bookmarkEnd w:id="121"/>
    </w:p>
    <w:p w14:paraId="6D3B7A55" w14:textId="5AA0A6CD" w:rsidR="003A1004" w:rsidRPr="00961CFD" w:rsidRDefault="009F71C5" w:rsidP="009F71C5">
      <w:pPr>
        <w:pStyle w:val="SingleTxt"/>
        <w:rPr>
          <w:lang w:val="es-ES" w:eastAsia="en-US"/>
        </w:rPr>
      </w:pPr>
      <w:bookmarkStart w:id="122" w:name="bookmark_140"/>
      <w:r w:rsidRPr="00961CFD">
        <w:rPr>
          <w:lang w:val="es-ES" w:eastAsia="en-US"/>
        </w:rPr>
        <w:tab/>
      </w:r>
      <w:r w:rsidR="003A1004" w:rsidRPr="00961CFD">
        <w:rPr>
          <w:lang w:val="es-ES" w:eastAsia="en-US"/>
        </w:rPr>
        <w:t>e)</w:t>
      </w:r>
      <w:r w:rsidR="003A1004" w:rsidRPr="00961CFD">
        <w:rPr>
          <w:lang w:val="es-ES" w:eastAsia="en-US"/>
        </w:rPr>
        <w:tab/>
      </w:r>
      <w:r w:rsidR="003A1004" w:rsidRPr="00961CFD">
        <w:rPr>
          <w:b/>
          <w:lang w:val="es-ES" w:eastAsia="en-US"/>
        </w:rPr>
        <w:t>Modifique su legislación para eliminar el requisito del consentimiento del marido respecto de las decisiones de salud relacionadas con los derechos reproductivos, incluida la ligadura de trompas, y vele por que</w:t>
      </w:r>
      <w:r w:rsidR="00202F8E" w:rsidRPr="00961CFD">
        <w:rPr>
          <w:b/>
          <w:lang w:val="es-ES" w:eastAsia="en-US"/>
        </w:rPr>
        <w:t xml:space="preserve"> </w:t>
      </w:r>
      <w:r w:rsidR="003A1004" w:rsidRPr="00961CFD">
        <w:rPr>
          <w:b/>
          <w:lang w:val="es-ES" w:eastAsia="en-US"/>
        </w:rPr>
        <w:t>los</w:t>
      </w:r>
      <w:r w:rsidR="00202F8E" w:rsidRPr="00961CFD">
        <w:rPr>
          <w:b/>
          <w:lang w:val="es-ES" w:eastAsia="en-US"/>
        </w:rPr>
        <w:t xml:space="preserve"> </w:t>
      </w:r>
      <w:r w:rsidR="003A1004" w:rsidRPr="00961CFD">
        <w:rPr>
          <w:b/>
          <w:lang w:val="es-ES" w:eastAsia="en-US"/>
        </w:rPr>
        <w:t>trabajadores sanitarios conozcan la recomendación general núm</w:t>
      </w:r>
      <w:r w:rsidR="00202F8E" w:rsidRPr="00961CFD">
        <w:rPr>
          <w:b/>
          <w:lang w:val="es-ES" w:eastAsia="en-US"/>
        </w:rPr>
        <w:t xml:space="preserve">. 24 </w:t>
      </w:r>
      <w:r w:rsidR="003A1004" w:rsidRPr="00961CFD">
        <w:rPr>
          <w:b/>
          <w:lang w:val="es-ES" w:eastAsia="en-US"/>
        </w:rPr>
        <w:t>del</w:t>
      </w:r>
      <w:r w:rsidR="00202F8E" w:rsidRPr="00961CFD">
        <w:rPr>
          <w:b/>
          <w:lang w:val="es-ES" w:eastAsia="en-US"/>
        </w:rPr>
        <w:t xml:space="preserve"> </w:t>
      </w:r>
      <w:r w:rsidR="003A1004" w:rsidRPr="00961CFD">
        <w:rPr>
          <w:b/>
          <w:lang w:val="es-ES" w:eastAsia="en-US"/>
        </w:rPr>
        <w:t>Comité;</w:t>
      </w:r>
      <w:bookmarkEnd w:id="122"/>
    </w:p>
    <w:p w14:paraId="1DD0F8AE" w14:textId="5039D1C4" w:rsidR="003A1004" w:rsidRPr="00961CFD" w:rsidRDefault="009F71C5" w:rsidP="009F71C5">
      <w:pPr>
        <w:pStyle w:val="SingleTxt"/>
        <w:rPr>
          <w:lang w:val="es-ES" w:eastAsia="en-US"/>
        </w:rPr>
      </w:pPr>
      <w:bookmarkStart w:id="123" w:name="bookmark_141"/>
      <w:r w:rsidRPr="00961CFD">
        <w:rPr>
          <w:lang w:val="es-ES" w:eastAsia="en-US"/>
        </w:rPr>
        <w:tab/>
      </w:r>
      <w:r w:rsidR="003A1004" w:rsidRPr="00961CFD">
        <w:rPr>
          <w:lang w:val="es-ES" w:eastAsia="en-US"/>
        </w:rPr>
        <w:t>f)</w:t>
      </w:r>
      <w:r w:rsidR="003A1004" w:rsidRPr="00961CFD">
        <w:rPr>
          <w:lang w:val="es-ES" w:eastAsia="en-US"/>
        </w:rPr>
        <w:tab/>
      </w:r>
      <w:r w:rsidR="003A1004" w:rsidRPr="00961CFD">
        <w:rPr>
          <w:b/>
          <w:lang w:val="es-ES" w:eastAsia="en-US"/>
        </w:rPr>
        <w:t>Recopile datos desglosados sobre la prevalencia del cáncer cervical y de mama, imparta formación a los profesionales médicos y de atención de la salud sobre la detección precoz, y asigne recursos para la creación de un pabellón de oncología que ofrezca a las mujeres análisis sistemáticos y oportunos de detección del cáncer;</w:t>
      </w:r>
      <w:bookmarkEnd w:id="123"/>
    </w:p>
    <w:p w14:paraId="74E0F0F7" w14:textId="29D15F9F" w:rsidR="003A1004" w:rsidRPr="00961CFD" w:rsidRDefault="009F71C5" w:rsidP="009F71C5">
      <w:pPr>
        <w:pStyle w:val="SingleTxt"/>
        <w:rPr>
          <w:lang w:val="es-ES" w:eastAsia="en-US"/>
        </w:rPr>
      </w:pPr>
      <w:bookmarkStart w:id="124" w:name="bookmark_142"/>
      <w:r w:rsidRPr="00961CFD">
        <w:rPr>
          <w:lang w:val="es-ES" w:eastAsia="en-US"/>
        </w:rPr>
        <w:tab/>
      </w:r>
      <w:r w:rsidR="003A1004" w:rsidRPr="00961CFD">
        <w:rPr>
          <w:lang w:val="es-ES" w:eastAsia="en-US"/>
        </w:rPr>
        <w:t>g)</w:t>
      </w:r>
      <w:r w:rsidR="003A1004" w:rsidRPr="00961CFD">
        <w:rPr>
          <w:lang w:val="es-ES" w:eastAsia="en-US"/>
        </w:rPr>
        <w:tab/>
      </w:r>
      <w:r w:rsidR="003A1004" w:rsidRPr="00961CFD">
        <w:rPr>
          <w:b/>
          <w:lang w:val="es-ES" w:eastAsia="en-US"/>
        </w:rPr>
        <w:t>Facilite el acceso a los servicios de salud mental de las mujeres, en particular de las refugiadas y las solicitantes de asilo, y difunda información sobre los servicios de salud mental disponibles</w:t>
      </w:r>
      <w:r w:rsidR="00202F8E" w:rsidRPr="00961CFD">
        <w:rPr>
          <w:b/>
          <w:lang w:val="es-ES" w:eastAsia="en-US"/>
        </w:rPr>
        <w:t>.</w:t>
      </w:r>
      <w:bookmarkEnd w:id="124"/>
    </w:p>
    <w:p w14:paraId="7489380D" w14:textId="77777777" w:rsidR="00ED45EF" w:rsidRPr="00961CFD" w:rsidRDefault="00ED45EF" w:rsidP="00ED45EF">
      <w:pPr>
        <w:pStyle w:val="SingleTxt"/>
        <w:spacing w:after="0" w:line="120" w:lineRule="exact"/>
        <w:rPr>
          <w:sz w:val="10"/>
          <w:szCs w:val="10"/>
          <w:lang w:val="es-ES"/>
        </w:rPr>
      </w:pPr>
      <w:bookmarkStart w:id="125" w:name="bookmark_143"/>
    </w:p>
    <w:p w14:paraId="4F384288" w14:textId="4FAC7BE1"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Medio ambiente y extracción de fosfatos</w:t>
      </w:r>
      <w:bookmarkEnd w:id="125"/>
    </w:p>
    <w:p w14:paraId="3C5D4654" w14:textId="77777777" w:rsidR="00ED45EF" w:rsidRPr="00961CFD" w:rsidRDefault="00ED45EF" w:rsidP="00ED45EF">
      <w:pPr>
        <w:pStyle w:val="SingleTxt"/>
        <w:spacing w:after="0" w:line="120" w:lineRule="exact"/>
        <w:rPr>
          <w:sz w:val="10"/>
          <w:szCs w:val="10"/>
          <w:lang w:val="es-ES"/>
        </w:rPr>
      </w:pPr>
    </w:p>
    <w:p w14:paraId="615FE612" w14:textId="44A8D674" w:rsidR="003A1004" w:rsidRPr="00961CFD" w:rsidRDefault="003A1004" w:rsidP="00E91424">
      <w:pPr>
        <w:pStyle w:val="SingleTxt"/>
        <w:numPr>
          <w:ilvl w:val="0"/>
          <w:numId w:val="31"/>
        </w:numPr>
        <w:tabs>
          <w:tab w:val="num" w:pos="1742"/>
        </w:tabs>
        <w:ind w:left="1267" w:firstLine="0"/>
        <w:rPr>
          <w:szCs w:val="22"/>
          <w:lang w:val="es-ES" w:eastAsia="en-US"/>
        </w:rPr>
      </w:pPr>
      <w:bookmarkStart w:id="126" w:name="bookmark_144"/>
      <w:r w:rsidRPr="00961CFD">
        <w:rPr>
          <w:szCs w:val="22"/>
          <w:lang w:val="es-ES" w:eastAsia="en-US"/>
        </w:rPr>
        <w:t xml:space="preserve">El Comité toma nota de los desafíos medioambientales específicos a los que se enfrenta el Estado parte, en especial con respecto a las perspectivas futuras de producción local de alimentos, que afectan a la salud y el bienestar de las mujeres y </w:t>
      </w:r>
      <w:r w:rsidRPr="00961CFD">
        <w:rPr>
          <w:szCs w:val="22"/>
          <w:lang w:val="es-ES" w:eastAsia="en-US"/>
        </w:rPr>
        <w:lastRenderedPageBreak/>
        <w:t>las niñas en Nauru</w:t>
      </w:r>
      <w:r w:rsidR="00202F8E" w:rsidRPr="00961CFD">
        <w:rPr>
          <w:szCs w:val="22"/>
          <w:lang w:val="es-ES" w:eastAsia="en-US"/>
        </w:rPr>
        <w:t>.</w:t>
      </w:r>
      <w:r w:rsidRPr="00961CFD">
        <w:rPr>
          <w:szCs w:val="22"/>
          <w:lang w:val="es-ES" w:eastAsia="en-US"/>
        </w:rPr>
        <w:t xml:space="preserve"> Le preocupa que sigan sin afrontarse las consecuencias negativas que tiene la extracción de fosfatos a largo plazo en la salud de la mujer</w:t>
      </w:r>
      <w:r w:rsidR="00202F8E" w:rsidRPr="00961CFD">
        <w:rPr>
          <w:szCs w:val="22"/>
          <w:lang w:val="es-ES" w:eastAsia="en-US"/>
        </w:rPr>
        <w:t>.</w:t>
      </w:r>
      <w:bookmarkEnd w:id="126"/>
    </w:p>
    <w:p w14:paraId="370A2D69" w14:textId="456EA3A3" w:rsidR="003A1004" w:rsidRPr="00961CFD" w:rsidRDefault="003A1004" w:rsidP="00E91424">
      <w:pPr>
        <w:pStyle w:val="SingleTxt"/>
        <w:numPr>
          <w:ilvl w:val="0"/>
          <w:numId w:val="31"/>
        </w:numPr>
        <w:tabs>
          <w:tab w:val="num" w:pos="1742"/>
        </w:tabs>
        <w:ind w:left="1267" w:firstLine="0"/>
        <w:rPr>
          <w:b/>
          <w:szCs w:val="22"/>
          <w:lang w:val="es-ES" w:eastAsia="en-US"/>
        </w:rPr>
      </w:pPr>
      <w:bookmarkStart w:id="127" w:name="bookmark_145"/>
      <w:r w:rsidRPr="00961CFD">
        <w:rPr>
          <w:b/>
          <w:szCs w:val="22"/>
          <w:lang w:val="es-ES" w:eastAsia="en-US"/>
        </w:rPr>
        <w:t>El Comité recomienda que el Estado parte adopte un enfoque que tenga en cuenta las cuestiones de género en la planificación y ejecución de políticas y programas sobre la recuperación de tierras y el desarrollo</w:t>
      </w:r>
      <w:r w:rsidR="00202F8E" w:rsidRPr="00961CFD">
        <w:rPr>
          <w:b/>
          <w:szCs w:val="22"/>
          <w:lang w:val="es-ES" w:eastAsia="en-US"/>
        </w:rPr>
        <w:t>.</w:t>
      </w:r>
      <w:r w:rsidRPr="00961CFD">
        <w:rPr>
          <w:b/>
          <w:szCs w:val="22"/>
          <w:lang w:val="es-ES" w:eastAsia="en-US"/>
        </w:rPr>
        <w:t xml:space="preserve"> También recomienda que el Estado parte vele por que esas políticas y programas tengan plenamente en cuenta las necesidades y preocupaciones de las mujeres, y por que estas participen plenamente en todos los procesos de adopción de decisiones relacionados con esa cuestión</w:t>
      </w:r>
      <w:r w:rsidR="00202F8E" w:rsidRPr="00961CFD">
        <w:rPr>
          <w:b/>
          <w:szCs w:val="22"/>
          <w:lang w:val="es-ES" w:eastAsia="en-US"/>
        </w:rPr>
        <w:t>.</w:t>
      </w:r>
      <w:r w:rsidRPr="00961CFD">
        <w:rPr>
          <w:b/>
          <w:szCs w:val="22"/>
          <w:lang w:val="es-ES" w:eastAsia="en-US"/>
        </w:rPr>
        <w:t xml:space="preserve"> Asimismo, recomienda que el Estado parte adopte medidas especiales para hacer frente a los problemas de salud de las mujeres resultantes de la extracción de fosfatos</w:t>
      </w:r>
      <w:r w:rsidR="00202F8E" w:rsidRPr="00961CFD">
        <w:rPr>
          <w:b/>
          <w:szCs w:val="22"/>
          <w:lang w:val="es-ES" w:eastAsia="en-US"/>
        </w:rPr>
        <w:t>.</w:t>
      </w:r>
      <w:bookmarkEnd w:id="127"/>
    </w:p>
    <w:p w14:paraId="1C7CEC10" w14:textId="77777777" w:rsidR="00ED45EF" w:rsidRPr="00961CFD" w:rsidRDefault="00ED45EF" w:rsidP="00ED45EF">
      <w:pPr>
        <w:pStyle w:val="SingleTxt"/>
        <w:spacing w:after="0" w:line="120" w:lineRule="exact"/>
        <w:rPr>
          <w:sz w:val="10"/>
          <w:szCs w:val="10"/>
          <w:lang w:val="es-ES"/>
        </w:rPr>
      </w:pPr>
      <w:bookmarkStart w:id="128" w:name="bookmark_146"/>
    </w:p>
    <w:p w14:paraId="5DA61AFF" w14:textId="625F1104"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Efectos del cambio climático en las mujeres</w:t>
      </w:r>
      <w:bookmarkEnd w:id="128"/>
    </w:p>
    <w:p w14:paraId="48668EC4" w14:textId="77777777" w:rsidR="00ED45EF" w:rsidRPr="00961CFD" w:rsidRDefault="00ED45EF" w:rsidP="00ED45EF">
      <w:pPr>
        <w:pStyle w:val="SingleTxt"/>
        <w:spacing w:after="0" w:line="120" w:lineRule="exact"/>
        <w:rPr>
          <w:sz w:val="10"/>
          <w:szCs w:val="10"/>
          <w:lang w:val="es-ES"/>
        </w:rPr>
      </w:pPr>
    </w:p>
    <w:p w14:paraId="6275E5DD" w14:textId="77777777" w:rsidR="00202F8E" w:rsidRPr="00961CFD" w:rsidRDefault="003A1004" w:rsidP="00E91424">
      <w:pPr>
        <w:pStyle w:val="SingleTxt"/>
        <w:numPr>
          <w:ilvl w:val="0"/>
          <w:numId w:val="31"/>
        </w:numPr>
        <w:tabs>
          <w:tab w:val="num" w:pos="1742"/>
        </w:tabs>
        <w:ind w:left="1267" w:firstLine="0"/>
        <w:rPr>
          <w:szCs w:val="22"/>
          <w:lang w:val="es-ES" w:eastAsia="en-US"/>
        </w:rPr>
      </w:pPr>
      <w:bookmarkStart w:id="129" w:name="bookmark_147"/>
      <w:r w:rsidRPr="00961CFD">
        <w:rPr>
          <w:szCs w:val="22"/>
          <w:lang w:val="es-ES" w:eastAsia="en-US"/>
        </w:rPr>
        <w:t>El Comité es consciente de la vulnerabilidad del Estado parte al cambio climático, y le preocupa que los efectos del cambio climático afecten de manera desproporcionada a las mujeres y las niñas y que a las mujeres no se les ofrezcan oportunidades adecuadas de participar de manera significativa en la formulación de políticas y en los procesos de adopción de decisiones sobre el cambio climático y la reducción del riesgo de desastres</w:t>
      </w:r>
      <w:r w:rsidR="00202F8E" w:rsidRPr="00961CFD">
        <w:rPr>
          <w:szCs w:val="22"/>
          <w:lang w:val="es-ES" w:eastAsia="en-US"/>
        </w:rPr>
        <w:t>.</w:t>
      </w:r>
      <w:bookmarkEnd w:id="129"/>
    </w:p>
    <w:p w14:paraId="754AE57E" w14:textId="77777777" w:rsidR="00202F8E" w:rsidRPr="00961CFD" w:rsidRDefault="003A1004" w:rsidP="00E91424">
      <w:pPr>
        <w:pStyle w:val="SingleTxt"/>
        <w:numPr>
          <w:ilvl w:val="0"/>
          <w:numId w:val="31"/>
        </w:numPr>
        <w:tabs>
          <w:tab w:val="num" w:pos="1742"/>
        </w:tabs>
        <w:ind w:left="1267" w:firstLine="0"/>
        <w:rPr>
          <w:b/>
          <w:szCs w:val="22"/>
          <w:lang w:val="es-ES" w:eastAsia="en-US"/>
        </w:rPr>
      </w:pPr>
      <w:bookmarkStart w:id="130" w:name="bookmark_148"/>
      <w:r w:rsidRPr="00961CFD">
        <w:rPr>
          <w:b/>
          <w:szCs w:val="22"/>
          <w:lang w:val="es-ES" w:eastAsia="en-US"/>
        </w:rPr>
        <w:t>El Comité recomienda que el Estado parte vele por que las mujeres puedan participar plena y significativamente en la planificación y la ejecución de las políticas y los programas pertinentes, entre otros en los órganos de adopción de decisiones</w:t>
      </w:r>
      <w:r w:rsidR="00202F8E" w:rsidRPr="00961CFD">
        <w:rPr>
          <w:b/>
          <w:szCs w:val="22"/>
          <w:lang w:val="es-ES" w:eastAsia="en-US"/>
        </w:rPr>
        <w:t>.</w:t>
      </w:r>
      <w:r w:rsidRPr="00961CFD">
        <w:rPr>
          <w:b/>
          <w:szCs w:val="22"/>
          <w:lang w:val="es-ES" w:eastAsia="en-US"/>
        </w:rPr>
        <w:t xml:space="preserve"> También recomienda que se integre una perspectiva de género en las políticas y programas nacionales para garantizar que las necesidades y los problemas de la mujer se tengan en cuenta y queden reflejados plenamente y que se evalúen los efectos de dichas políticas y programas sobre la mujer</w:t>
      </w:r>
      <w:r w:rsidR="00202F8E" w:rsidRPr="00961CFD">
        <w:rPr>
          <w:b/>
          <w:szCs w:val="22"/>
          <w:lang w:val="es-ES" w:eastAsia="en-US"/>
        </w:rPr>
        <w:t>.</w:t>
      </w:r>
      <w:bookmarkEnd w:id="130"/>
    </w:p>
    <w:p w14:paraId="358E793D" w14:textId="75E88BDF" w:rsidR="00ED45EF" w:rsidRPr="00961CFD" w:rsidRDefault="00ED45EF" w:rsidP="00ED45EF">
      <w:pPr>
        <w:pStyle w:val="SingleTxt"/>
        <w:spacing w:after="0" w:line="120" w:lineRule="exact"/>
        <w:rPr>
          <w:sz w:val="10"/>
          <w:szCs w:val="10"/>
          <w:lang w:val="es-ES"/>
        </w:rPr>
      </w:pPr>
      <w:bookmarkStart w:id="131" w:name="bookmark_149"/>
    </w:p>
    <w:p w14:paraId="35CDE2D1" w14:textId="21270B30"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Acceso de las mujeres a la tierra</w:t>
      </w:r>
      <w:bookmarkEnd w:id="131"/>
    </w:p>
    <w:p w14:paraId="3683349B" w14:textId="77777777" w:rsidR="00ED45EF" w:rsidRPr="00961CFD" w:rsidRDefault="00ED45EF" w:rsidP="00ED45EF">
      <w:pPr>
        <w:pStyle w:val="SingleTxt"/>
        <w:spacing w:after="0" w:line="120" w:lineRule="exact"/>
        <w:rPr>
          <w:sz w:val="10"/>
          <w:szCs w:val="10"/>
          <w:lang w:val="es-ES"/>
        </w:rPr>
      </w:pPr>
    </w:p>
    <w:p w14:paraId="6285FF7D" w14:textId="16BFF178" w:rsidR="003A1004" w:rsidRPr="00961CFD" w:rsidRDefault="003A1004" w:rsidP="00E91424">
      <w:pPr>
        <w:pStyle w:val="SingleTxt"/>
        <w:numPr>
          <w:ilvl w:val="0"/>
          <w:numId w:val="31"/>
        </w:numPr>
        <w:tabs>
          <w:tab w:val="num" w:pos="1742"/>
        </w:tabs>
        <w:ind w:left="1267" w:firstLine="0"/>
        <w:rPr>
          <w:szCs w:val="22"/>
          <w:lang w:val="es-ES" w:eastAsia="en-US"/>
        </w:rPr>
      </w:pPr>
      <w:bookmarkStart w:id="132" w:name="bookmark_150"/>
      <w:r w:rsidRPr="00961CFD">
        <w:rPr>
          <w:szCs w:val="22"/>
          <w:lang w:val="es-ES" w:eastAsia="en-US"/>
        </w:rPr>
        <w:t>Si bien el Comité observa que el Estado parte es históricamente una sociedad matrilineal, le preocupa que el actual sistema de propiedad de la tierra no garantice la igualdad de derechos de la mujer a la propiedad y la herencia de la tierra, a pesar de que los hogares encabezados por mujeres representan más de una tercera parte de todos los hogares</w:t>
      </w:r>
      <w:r w:rsidR="00202F8E" w:rsidRPr="00961CFD">
        <w:rPr>
          <w:szCs w:val="22"/>
          <w:lang w:val="es-ES" w:eastAsia="en-US"/>
        </w:rPr>
        <w:t>.</w:t>
      </w:r>
      <w:r w:rsidRPr="00961CFD">
        <w:rPr>
          <w:szCs w:val="22"/>
          <w:lang w:val="es-ES" w:eastAsia="en-US"/>
        </w:rPr>
        <w:t xml:space="preserve"> También le preocupa que las opiniones de la mujer no se tengan plenamente en cuenta en los procesos de adopción de decisiones relacionados con la herencia, el arrendamiento o el uso de la tierra</w:t>
      </w:r>
      <w:r w:rsidR="00202F8E" w:rsidRPr="00961CFD">
        <w:rPr>
          <w:szCs w:val="22"/>
          <w:lang w:val="es-ES" w:eastAsia="en-US"/>
        </w:rPr>
        <w:t>.</w:t>
      </w:r>
      <w:bookmarkEnd w:id="132"/>
    </w:p>
    <w:p w14:paraId="1A18D8E9" w14:textId="77777777" w:rsidR="00202F8E" w:rsidRPr="00961CFD" w:rsidRDefault="003A1004" w:rsidP="00E91424">
      <w:pPr>
        <w:pStyle w:val="SingleTxt"/>
        <w:numPr>
          <w:ilvl w:val="0"/>
          <w:numId w:val="31"/>
        </w:numPr>
        <w:tabs>
          <w:tab w:val="num" w:pos="1742"/>
        </w:tabs>
        <w:ind w:left="1267" w:firstLine="0"/>
        <w:rPr>
          <w:b/>
          <w:szCs w:val="22"/>
          <w:lang w:val="es-ES" w:eastAsia="en-US"/>
        </w:rPr>
      </w:pPr>
      <w:bookmarkStart w:id="133" w:name="bookmark_151"/>
      <w:r w:rsidRPr="00961CFD">
        <w:rPr>
          <w:b/>
          <w:szCs w:val="22"/>
          <w:lang w:val="es-ES" w:eastAsia="en-US"/>
        </w:rPr>
        <w:t>El Comité recomienda que el Estado parte:</w:t>
      </w:r>
      <w:bookmarkEnd w:id="133"/>
    </w:p>
    <w:p w14:paraId="3286F9FF" w14:textId="5240C6D6" w:rsidR="003A1004" w:rsidRPr="00961CFD" w:rsidRDefault="00BE0DEA" w:rsidP="00BE0DEA">
      <w:pPr>
        <w:pStyle w:val="SingleTxt"/>
        <w:rPr>
          <w:lang w:val="es-ES" w:eastAsia="en-US"/>
        </w:rPr>
      </w:pPr>
      <w:bookmarkStart w:id="134" w:name="bookmark_152"/>
      <w:r w:rsidRPr="00961CFD">
        <w:rPr>
          <w:lang w:val="es-ES" w:eastAsia="en-US"/>
        </w:rPr>
        <w:tab/>
      </w:r>
      <w:r w:rsidR="003A1004" w:rsidRPr="00961CFD">
        <w:rPr>
          <w:lang w:val="es-ES" w:eastAsia="en-US"/>
        </w:rPr>
        <w:t>a)</w:t>
      </w:r>
      <w:r w:rsidR="003A1004" w:rsidRPr="00961CFD">
        <w:rPr>
          <w:lang w:val="es-ES" w:eastAsia="en-US"/>
        </w:rPr>
        <w:tab/>
      </w:r>
      <w:r w:rsidR="003A1004" w:rsidRPr="00961CFD">
        <w:rPr>
          <w:b/>
          <w:lang w:val="es-ES" w:eastAsia="en-US"/>
        </w:rPr>
        <w:t>Garantice que las mujeres tengan igualdad de derechos a la propiedad y la herencia de la tierra y elimine las prácticas discriminatorias que afectan al pleno disfrute de esos derechos, entre otras cosas velando por que los</w:t>
      </w:r>
      <w:r w:rsidR="00202F8E" w:rsidRPr="00961CFD">
        <w:rPr>
          <w:b/>
          <w:lang w:val="es-ES" w:eastAsia="en-US"/>
        </w:rPr>
        <w:t xml:space="preserve"> </w:t>
      </w:r>
      <w:r w:rsidR="003A1004" w:rsidRPr="00961CFD">
        <w:rPr>
          <w:b/>
          <w:lang w:val="es-ES" w:eastAsia="en-US"/>
        </w:rPr>
        <w:t>líderes comunitarios, los jueces y los magistrados estén capacitados para defender los derechos de la mujer a la tierra;</w:t>
      </w:r>
      <w:bookmarkEnd w:id="134"/>
    </w:p>
    <w:p w14:paraId="7F317836" w14:textId="577A9815" w:rsidR="003A1004" w:rsidRPr="00961CFD" w:rsidRDefault="00BE0DEA" w:rsidP="00BE0DEA">
      <w:pPr>
        <w:pStyle w:val="SingleTxt"/>
        <w:rPr>
          <w:lang w:val="es-ES" w:eastAsia="en-US"/>
        </w:rPr>
      </w:pPr>
      <w:bookmarkStart w:id="135" w:name="bookmark_153"/>
      <w:r w:rsidRPr="00961CFD">
        <w:rPr>
          <w:lang w:val="es-ES" w:eastAsia="en-US"/>
        </w:rPr>
        <w:tab/>
      </w:r>
      <w:r w:rsidR="003A1004" w:rsidRPr="00961CFD">
        <w:rPr>
          <w:lang w:val="es-ES" w:eastAsia="en-US"/>
        </w:rPr>
        <w:t>b)</w:t>
      </w:r>
      <w:r w:rsidR="003A1004" w:rsidRPr="00961CFD">
        <w:rPr>
          <w:lang w:val="es-ES" w:eastAsia="en-US"/>
        </w:rPr>
        <w:tab/>
      </w:r>
      <w:r w:rsidR="003A1004" w:rsidRPr="00961CFD">
        <w:rPr>
          <w:b/>
          <w:lang w:val="es-ES" w:eastAsia="en-US"/>
        </w:rPr>
        <w:t>Garantice la participación plena y significativa de las mujeres en las negociaciones de los acuerdos de arrendamiento y utilización de tierras y procure que sus medios de vida no se vean negativamente afectados por esos</w:t>
      </w:r>
      <w:r w:rsidR="00202F8E" w:rsidRPr="00961CFD">
        <w:rPr>
          <w:b/>
          <w:lang w:val="es-ES" w:eastAsia="en-US"/>
        </w:rPr>
        <w:t xml:space="preserve"> </w:t>
      </w:r>
      <w:r w:rsidR="003A1004" w:rsidRPr="00961CFD">
        <w:rPr>
          <w:b/>
          <w:lang w:val="es-ES" w:eastAsia="en-US"/>
        </w:rPr>
        <w:t>acuerdos</w:t>
      </w:r>
      <w:r w:rsidR="00202F8E" w:rsidRPr="00961CFD">
        <w:rPr>
          <w:b/>
          <w:lang w:val="es-ES" w:eastAsia="en-US"/>
        </w:rPr>
        <w:t>.</w:t>
      </w:r>
      <w:bookmarkEnd w:id="135"/>
    </w:p>
    <w:p w14:paraId="27DDA1E2" w14:textId="77777777" w:rsidR="00F12BC6" w:rsidRPr="00961CFD" w:rsidRDefault="00F12BC6" w:rsidP="00F12BC6">
      <w:pPr>
        <w:pStyle w:val="SingleTxt"/>
        <w:spacing w:after="0" w:line="120" w:lineRule="exact"/>
        <w:rPr>
          <w:sz w:val="10"/>
          <w:szCs w:val="10"/>
          <w:lang w:val="es-ES"/>
        </w:rPr>
      </w:pPr>
      <w:bookmarkStart w:id="136" w:name="bookmark_154"/>
    </w:p>
    <w:p w14:paraId="5BBD5625" w14:textId="77777777" w:rsidR="00202F8E"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Mujeres con discapacidad</w:t>
      </w:r>
      <w:bookmarkEnd w:id="136"/>
    </w:p>
    <w:p w14:paraId="763992F6" w14:textId="72D475EF" w:rsidR="00F12BC6" w:rsidRPr="00961CFD" w:rsidRDefault="00F12BC6" w:rsidP="00F12BC6">
      <w:pPr>
        <w:pStyle w:val="SingleTxt"/>
        <w:spacing w:after="0" w:line="120" w:lineRule="exact"/>
        <w:rPr>
          <w:sz w:val="10"/>
          <w:szCs w:val="10"/>
          <w:lang w:val="es-ES"/>
        </w:rPr>
      </w:pPr>
    </w:p>
    <w:p w14:paraId="2A689F19" w14:textId="77777777" w:rsidR="00202F8E" w:rsidRPr="00961CFD" w:rsidRDefault="003A1004" w:rsidP="00822D42">
      <w:pPr>
        <w:pStyle w:val="SingleTxt"/>
        <w:numPr>
          <w:ilvl w:val="0"/>
          <w:numId w:val="31"/>
        </w:numPr>
        <w:tabs>
          <w:tab w:val="num" w:pos="1742"/>
        </w:tabs>
        <w:ind w:left="1267" w:firstLine="0"/>
        <w:rPr>
          <w:szCs w:val="22"/>
          <w:lang w:val="es-ES" w:eastAsia="en-US"/>
        </w:rPr>
      </w:pPr>
      <w:bookmarkStart w:id="137" w:name="bookmark_155"/>
      <w:r w:rsidRPr="00961CFD">
        <w:rPr>
          <w:szCs w:val="22"/>
          <w:lang w:val="es-ES" w:eastAsia="en-US"/>
        </w:rPr>
        <w:t xml:space="preserve">El Comité acoge con satisfacción los esfuerzos realizados por el Estado parte para atender las necesidades de las mujeres y las niñas con discapacidad, incluida la </w:t>
      </w:r>
      <w:r w:rsidRPr="00961CFD">
        <w:rPr>
          <w:szCs w:val="22"/>
          <w:lang w:val="es-ES" w:eastAsia="en-US"/>
        </w:rPr>
        <w:lastRenderedPageBreak/>
        <w:t>provisión de prestaciones sociales y la mejora de la infraestructura escolar para hacerla accesible a los alumnos con discapacidad</w:t>
      </w:r>
      <w:r w:rsidR="00202F8E" w:rsidRPr="00961CFD">
        <w:rPr>
          <w:szCs w:val="22"/>
          <w:lang w:val="es-ES" w:eastAsia="en-US"/>
        </w:rPr>
        <w:t>.</w:t>
      </w:r>
      <w:r w:rsidRPr="00961CFD">
        <w:rPr>
          <w:szCs w:val="22"/>
          <w:lang w:val="es-ES" w:eastAsia="en-US"/>
        </w:rPr>
        <w:t xml:space="preserve"> Sin embargo, le preocupa que la mayoría de las personas con discapacidad vivan en el hogar y que eso imponga a las mujeres una carga desproporcionada respecto a la atención de esas personas, y que las niñas con discapacidad no estén incluidas en el sistema de educación ordinario</w:t>
      </w:r>
      <w:r w:rsidR="00202F8E" w:rsidRPr="00961CFD">
        <w:rPr>
          <w:szCs w:val="22"/>
          <w:lang w:val="es-ES" w:eastAsia="en-US"/>
        </w:rPr>
        <w:t>.</w:t>
      </w:r>
      <w:bookmarkEnd w:id="137"/>
    </w:p>
    <w:p w14:paraId="0CDABB4C" w14:textId="77777777" w:rsidR="00202F8E" w:rsidRPr="00961CFD" w:rsidRDefault="003A1004" w:rsidP="00822D42">
      <w:pPr>
        <w:pStyle w:val="SingleTxt"/>
        <w:numPr>
          <w:ilvl w:val="0"/>
          <w:numId w:val="31"/>
        </w:numPr>
        <w:tabs>
          <w:tab w:val="num" w:pos="1742"/>
        </w:tabs>
        <w:ind w:left="1267" w:firstLine="0"/>
        <w:rPr>
          <w:b/>
          <w:szCs w:val="22"/>
          <w:lang w:val="es-ES" w:eastAsia="en-US"/>
        </w:rPr>
      </w:pPr>
      <w:bookmarkStart w:id="138" w:name="bookmark_156"/>
      <w:r w:rsidRPr="00961CFD">
        <w:rPr>
          <w:b/>
          <w:szCs w:val="22"/>
          <w:lang w:val="es-ES" w:eastAsia="en-US"/>
        </w:rPr>
        <w:t>El Comité recomienda que el Estado parte establezca servicios públicos de atención para las personas con discapacidad y realice ajustes razonables para que las niñas con discapacidad estudien en el sistema de educación ordinaria</w:t>
      </w:r>
      <w:r w:rsidR="00202F8E" w:rsidRPr="00961CFD">
        <w:rPr>
          <w:b/>
          <w:szCs w:val="22"/>
          <w:lang w:val="es-ES" w:eastAsia="en-US"/>
        </w:rPr>
        <w:t>.</w:t>
      </w:r>
      <w:r w:rsidRPr="00961CFD">
        <w:rPr>
          <w:b/>
          <w:szCs w:val="22"/>
          <w:lang w:val="es-ES" w:eastAsia="en-US"/>
        </w:rPr>
        <w:t xml:space="preserve"> También recomienda que el Estado parte adopte medidas efectivas para proteger los derechos de las mujeres y las niñas con discapacidad, y garantice que tengan acceso a la atención de la salud, la vida social y las oportunidades económicas</w:t>
      </w:r>
      <w:r w:rsidR="00202F8E" w:rsidRPr="00961CFD">
        <w:rPr>
          <w:b/>
          <w:szCs w:val="22"/>
          <w:lang w:val="es-ES" w:eastAsia="en-US"/>
        </w:rPr>
        <w:t>.</w:t>
      </w:r>
      <w:bookmarkEnd w:id="138"/>
    </w:p>
    <w:p w14:paraId="2906E3D3" w14:textId="05CFB837" w:rsidR="00890B07" w:rsidRPr="00961CFD" w:rsidRDefault="00890B07" w:rsidP="00890B07">
      <w:pPr>
        <w:pStyle w:val="SingleTxt"/>
        <w:spacing w:after="0" w:line="120" w:lineRule="exact"/>
        <w:rPr>
          <w:sz w:val="10"/>
          <w:szCs w:val="10"/>
          <w:lang w:val="es-ES"/>
        </w:rPr>
      </w:pPr>
    </w:p>
    <w:p w14:paraId="085ED44C" w14:textId="4ECE8EC5" w:rsidR="003A1004" w:rsidRPr="00961CFD" w:rsidRDefault="003A1004" w:rsidP="009A05C8">
      <w:pPr>
        <w:pStyle w:val="H23"/>
        <w:ind w:right="1260"/>
        <w:rPr>
          <w:bCs w:val="0"/>
          <w:lang w:val="es-ES" w:eastAsia="en-US"/>
        </w:rPr>
      </w:pPr>
      <w:bookmarkStart w:id="139" w:name="bookmark_157"/>
      <w:r w:rsidRPr="00961CFD">
        <w:rPr>
          <w:bCs w:val="0"/>
          <w:lang w:val="es-ES" w:eastAsia="en-US"/>
        </w:rPr>
        <w:tab/>
      </w:r>
      <w:r w:rsidRPr="00961CFD">
        <w:rPr>
          <w:bCs w:val="0"/>
          <w:lang w:val="es-ES" w:eastAsia="en-US"/>
        </w:rPr>
        <w:tab/>
        <w:t>Mujeres refugiadas y solicitantes de asilo</w:t>
      </w:r>
      <w:bookmarkEnd w:id="139"/>
    </w:p>
    <w:p w14:paraId="39031564" w14:textId="77777777" w:rsidR="00F12BC6" w:rsidRPr="00961CFD" w:rsidRDefault="00F12BC6" w:rsidP="00F12BC6">
      <w:pPr>
        <w:pStyle w:val="SingleTxt"/>
        <w:spacing w:after="0" w:line="120" w:lineRule="exact"/>
        <w:rPr>
          <w:sz w:val="10"/>
          <w:szCs w:val="10"/>
          <w:lang w:val="es-ES"/>
        </w:rPr>
      </w:pPr>
    </w:p>
    <w:p w14:paraId="4658767E" w14:textId="63F35BF6" w:rsidR="003A1004" w:rsidRPr="00961CFD" w:rsidRDefault="003A1004" w:rsidP="00822D42">
      <w:pPr>
        <w:pStyle w:val="SingleTxt"/>
        <w:numPr>
          <w:ilvl w:val="0"/>
          <w:numId w:val="31"/>
        </w:numPr>
        <w:tabs>
          <w:tab w:val="num" w:pos="1742"/>
        </w:tabs>
        <w:ind w:left="1267" w:firstLine="0"/>
        <w:rPr>
          <w:szCs w:val="22"/>
          <w:lang w:val="es-ES" w:eastAsia="en-US"/>
        </w:rPr>
      </w:pPr>
      <w:bookmarkStart w:id="140" w:name="bookmark_158"/>
      <w:r w:rsidRPr="00961CFD">
        <w:rPr>
          <w:szCs w:val="22"/>
          <w:lang w:val="es-ES" w:eastAsia="en-US"/>
        </w:rPr>
        <w:t>El Comité toma nota de las iniciativas llevadas a cabo por el Estado parte para mejorar la situación de las mujeres y las niñas refugiadas y solicitantes de asilo enviadas por Australia y que viven actualmente en el centro regional de tránsito de refugiados y en campamentos de detención</w:t>
      </w:r>
      <w:r w:rsidR="00202F8E" w:rsidRPr="00961CFD">
        <w:rPr>
          <w:szCs w:val="22"/>
          <w:lang w:val="es-ES" w:eastAsia="en-US"/>
        </w:rPr>
        <w:t>.</w:t>
      </w:r>
      <w:r w:rsidRPr="00961CFD">
        <w:rPr>
          <w:szCs w:val="22"/>
          <w:lang w:val="es-ES" w:eastAsia="en-US"/>
        </w:rPr>
        <w:t xml:space="preserve"> No obstante, le preocupa su vulnerabilidad a formas interrelacionadas de discriminación y su acceso limitado a los servicios básicos, como la salud, la educación y las oportunidades de empleo, y su seguridad general</w:t>
      </w:r>
      <w:r w:rsidR="00202F8E" w:rsidRPr="00961CFD">
        <w:rPr>
          <w:szCs w:val="22"/>
          <w:lang w:val="es-ES" w:eastAsia="en-US"/>
        </w:rPr>
        <w:t>.</w:t>
      </w:r>
      <w:r w:rsidRPr="00961CFD">
        <w:rPr>
          <w:szCs w:val="22"/>
          <w:lang w:val="es-ES" w:eastAsia="en-US"/>
        </w:rPr>
        <w:t xml:space="preserve"> También le inquieta la alta incidencia de la violencia de género, incluida la violencia sexual, contra las mujeres refugiadas y solicitantes de asilo y el daño mental causado por la detención prolongada</w:t>
      </w:r>
      <w:r w:rsidR="00202F8E" w:rsidRPr="00961CFD">
        <w:rPr>
          <w:szCs w:val="22"/>
          <w:lang w:val="es-ES" w:eastAsia="en-US"/>
        </w:rPr>
        <w:t>.</w:t>
      </w:r>
      <w:bookmarkEnd w:id="140"/>
    </w:p>
    <w:p w14:paraId="4AC69F75" w14:textId="18D28D62" w:rsidR="003A1004" w:rsidRPr="00961CFD" w:rsidRDefault="003A1004" w:rsidP="00822D42">
      <w:pPr>
        <w:pStyle w:val="SingleTxt"/>
        <w:numPr>
          <w:ilvl w:val="0"/>
          <w:numId w:val="31"/>
        </w:numPr>
        <w:tabs>
          <w:tab w:val="num" w:pos="1742"/>
        </w:tabs>
        <w:ind w:left="1267" w:firstLine="0"/>
        <w:rPr>
          <w:b/>
          <w:szCs w:val="22"/>
          <w:lang w:val="es-ES" w:eastAsia="en-US"/>
        </w:rPr>
      </w:pPr>
      <w:bookmarkStart w:id="141" w:name="bookmark_159"/>
      <w:r w:rsidRPr="00961CFD">
        <w:rPr>
          <w:b/>
          <w:szCs w:val="22"/>
          <w:lang w:val="es-ES" w:eastAsia="en-US"/>
        </w:rPr>
        <w:t>El Comité recomienda que el Estado parte proporcione a las mujeres y las niñas refugiadas y solicitantes de asilo un acceso adecuado a los servicios de salud, incluidos los servicios de salud mental y de asesoramiento, a la educación y a las oportunidades de empleo y garantice su seguridad general</w:t>
      </w:r>
      <w:r w:rsidR="00202F8E" w:rsidRPr="00961CFD">
        <w:rPr>
          <w:b/>
          <w:szCs w:val="22"/>
          <w:lang w:val="es-ES" w:eastAsia="en-US"/>
        </w:rPr>
        <w:t>.</w:t>
      </w:r>
      <w:r w:rsidRPr="00961CFD">
        <w:rPr>
          <w:b/>
          <w:szCs w:val="22"/>
          <w:lang w:val="es-ES" w:eastAsia="en-US"/>
        </w:rPr>
        <w:t xml:space="preserve"> También recomienda que el Estado parte proporcione protección y reparación adecuadas a las mujeres y las niñas refugiadas y solicitantes de asilo que han sido víctimas de violencia de género, velando por que tengan acceso a una asistencia jurídica gratuita y por que los autores sean llevados ante la justicia sin impunidad</w:t>
      </w:r>
      <w:r w:rsidR="00202F8E" w:rsidRPr="00961CFD">
        <w:rPr>
          <w:b/>
          <w:szCs w:val="22"/>
          <w:lang w:val="es-ES" w:eastAsia="en-US"/>
        </w:rPr>
        <w:t>.</w:t>
      </w:r>
      <w:bookmarkEnd w:id="141"/>
    </w:p>
    <w:p w14:paraId="40E0239F" w14:textId="77777777" w:rsidR="00F12BC6" w:rsidRPr="00961CFD" w:rsidRDefault="00F12BC6" w:rsidP="00F12BC6">
      <w:pPr>
        <w:pStyle w:val="SingleTxt"/>
        <w:spacing w:after="0" w:line="120" w:lineRule="exact"/>
        <w:rPr>
          <w:sz w:val="10"/>
          <w:szCs w:val="10"/>
          <w:lang w:val="es-ES"/>
        </w:rPr>
      </w:pPr>
      <w:bookmarkStart w:id="142" w:name="bookmark_160"/>
    </w:p>
    <w:p w14:paraId="71C3559D" w14:textId="47627EF3"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Matrimonio y relaciones familiares</w:t>
      </w:r>
      <w:bookmarkEnd w:id="142"/>
    </w:p>
    <w:p w14:paraId="6DB8537B" w14:textId="77777777" w:rsidR="00F12BC6" w:rsidRPr="00961CFD" w:rsidRDefault="00F12BC6" w:rsidP="00F12BC6">
      <w:pPr>
        <w:pStyle w:val="SingleTxt"/>
        <w:spacing w:after="0" w:line="120" w:lineRule="exact"/>
        <w:rPr>
          <w:sz w:val="10"/>
          <w:szCs w:val="10"/>
          <w:lang w:val="es-ES"/>
        </w:rPr>
      </w:pPr>
    </w:p>
    <w:p w14:paraId="536781CE" w14:textId="6F1305FA" w:rsidR="003A1004" w:rsidRPr="00961CFD" w:rsidRDefault="003A1004" w:rsidP="00822D42">
      <w:pPr>
        <w:pStyle w:val="SingleTxt"/>
        <w:numPr>
          <w:ilvl w:val="0"/>
          <w:numId w:val="31"/>
        </w:numPr>
        <w:tabs>
          <w:tab w:val="num" w:pos="1742"/>
        </w:tabs>
        <w:ind w:left="1267" w:firstLine="0"/>
        <w:rPr>
          <w:szCs w:val="22"/>
          <w:lang w:val="es-ES" w:eastAsia="en-US"/>
        </w:rPr>
      </w:pPr>
      <w:bookmarkStart w:id="143" w:name="bookmark_161"/>
      <w:r w:rsidRPr="00961CFD">
        <w:rPr>
          <w:szCs w:val="22"/>
          <w:lang w:val="es-ES" w:eastAsia="en-US"/>
        </w:rPr>
        <w:t>El Comité toma conocimiento de la creación de un tribunal de familia específico</w:t>
      </w:r>
      <w:r w:rsidR="00202F8E" w:rsidRPr="00961CFD">
        <w:rPr>
          <w:szCs w:val="22"/>
          <w:lang w:val="es-ES" w:eastAsia="en-US"/>
        </w:rPr>
        <w:t>.</w:t>
      </w:r>
      <w:r w:rsidRPr="00961CFD">
        <w:rPr>
          <w:szCs w:val="22"/>
          <w:lang w:val="es-ES" w:eastAsia="en-US"/>
        </w:rPr>
        <w:t xml:space="preserve"> Sin embargo, le preocupa que la legislación vigente que rige el matrimonio y las relaciones familiares sea anticuada y contenga disposiciones discriminatorias relativas a las relaciones </w:t>
      </w:r>
      <w:r w:rsidRPr="00961CFD">
        <w:rPr>
          <w:i/>
          <w:szCs w:val="22"/>
          <w:lang w:val="es-ES" w:eastAsia="en-US"/>
        </w:rPr>
        <w:t>de</w:t>
      </w:r>
      <w:r w:rsidR="00202F8E" w:rsidRPr="00961CFD">
        <w:rPr>
          <w:i/>
          <w:szCs w:val="22"/>
          <w:lang w:val="es-ES" w:eastAsia="en-US"/>
        </w:rPr>
        <w:t xml:space="preserve"> </w:t>
      </w:r>
      <w:r w:rsidRPr="00961CFD">
        <w:rPr>
          <w:i/>
          <w:szCs w:val="22"/>
          <w:lang w:val="es-ES" w:eastAsia="en-US"/>
        </w:rPr>
        <w:t>facto</w:t>
      </w:r>
      <w:r w:rsidRPr="00961CFD">
        <w:rPr>
          <w:szCs w:val="22"/>
          <w:lang w:val="es-ES" w:eastAsia="en-US"/>
        </w:rPr>
        <w:t>, la contribución del padre para costear los gastos de embarazo y parto de la madre en caso de que no estén casados, las órdenes de manutención, la distribución de los bienes, la custodia y adopción de los niños y el acceso a estos que son contrarias a la Convención</w:t>
      </w:r>
      <w:r w:rsidR="00202F8E" w:rsidRPr="00961CFD">
        <w:rPr>
          <w:szCs w:val="22"/>
          <w:lang w:val="es-ES" w:eastAsia="en-US"/>
        </w:rPr>
        <w:t>.</w:t>
      </w:r>
      <w:bookmarkEnd w:id="143"/>
    </w:p>
    <w:p w14:paraId="44EB99DF" w14:textId="46831237" w:rsidR="003A1004" w:rsidRPr="00961CFD" w:rsidRDefault="003A1004" w:rsidP="00822D42">
      <w:pPr>
        <w:pStyle w:val="SingleTxt"/>
        <w:numPr>
          <w:ilvl w:val="0"/>
          <w:numId w:val="31"/>
        </w:numPr>
        <w:tabs>
          <w:tab w:val="num" w:pos="1742"/>
        </w:tabs>
        <w:ind w:left="1267" w:firstLine="0"/>
        <w:rPr>
          <w:b/>
          <w:szCs w:val="22"/>
          <w:lang w:val="es-ES" w:eastAsia="en-US"/>
        </w:rPr>
      </w:pPr>
      <w:bookmarkStart w:id="144" w:name="bookmark_162"/>
      <w:r w:rsidRPr="00961CFD">
        <w:rPr>
          <w:b/>
          <w:szCs w:val="22"/>
          <w:lang w:val="es-ES" w:eastAsia="en-US"/>
        </w:rPr>
        <w:t>El Comité recomienda que el Estado parte:</w:t>
      </w:r>
      <w:bookmarkEnd w:id="144"/>
    </w:p>
    <w:p w14:paraId="1D7AD848" w14:textId="021C50BF" w:rsidR="003A1004" w:rsidRPr="00961CFD" w:rsidRDefault="003A1004" w:rsidP="005068D9">
      <w:pPr>
        <w:pStyle w:val="SingleTxt"/>
        <w:rPr>
          <w:lang w:val="es-ES" w:eastAsia="en-US"/>
        </w:rPr>
      </w:pPr>
      <w:bookmarkStart w:id="145" w:name="bookmark_163"/>
      <w:r w:rsidRPr="00961CFD">
        <w:rPr>
          <w:lang w:val="es-ES" w:eastAsia="en-US"/>
        </w:rPr>
        <w:tab/>
        <w:t>a)</w:t>
      </w:r>
      <w:r w:rsidRPr="00961CFD">
        <w:rPr>
          <w:lang w:val="es-ES" w:eastAsia="en-US"/>
        </w:rPr>
        <w:tab/>
      </w:r>
      <w:r w:rsidRPr="00961CFD">
        <w:rPr>
          <w:b/>
          <w:lang w:val="es-ES" w:eastAsia="en-US"/>
        </w:rPr>
        <w:t>Examine, tras las debidas consultas con las partes interesadas, incluidos los grupos de mujeres, toda la legislación que rige el matrimonio y las relaciones familiares, incluidas la Ley de Manutención de</w:t>
      </w:r>
      <w:r w:rsidR="00202F8E" w:rsidRPr="00961CFD">
        <w:rPr>
          <w:b/>
          <w:lang w:val="es-ES" w:eastAsia="en-US"/>
        </w:rPr>
        <w:t xml:space="preserve"> 1959</w:t>
      </w:r>
      <w:r w:rsidRPr="00961CFD">
        <w:rPr>
          <w:b/>
          <w:lang w:val="es-ES" w:eastAsia="en-US"/>
        </w:rPr>
        <w:t>, la Ley de Causas Matrimoniales de</w:t>
      </w:r>
      <w:r w:rsidR="00202F8E" w:rsidRPr="00961CFD">
        <w:rPr>
          <w:b/>
          <w:lang w:val="es-ES" w:eastAsia="en-US"/>
        </w:rPr>
        <w:t xml:space="preserve"> 1973</w:t>
      </w:r>
      <w:r w:rsidRPr="00961CFD">
        <w:rPr>
          <w:b/>
          <w:lang w:val="es-ES" w:eastAsia="en-US"/>
        </w:rPr>
        <w:t>, la Ley de Tutela de los Niños de</w:t>
      </w:r>
      <w:r w:rsidR="00202F8E" w:rsidRPr="00961CFD">
        <w:rPr>
          <w:b/>
          <w:lang w:val="es-ES" w:eastAsia="en-US"/>
        </w:rPr>
        <w:t xml:space="preserve"> 1975 </w:t>
      </w:r>
      <w:r w:rsidRPr="00961CFD">
        <w:rPr>
          <w:b/>
          <w:lang w:val="es-ES" w:eastAsia="en-US"/>
        </w:rPr>
        <w:t>y la Ley de Adopción de Niños (Enmendada) de</w:t>
      </w:r>
      <w:r w:rsidR="00202F8E" w:rsidRPr="00961CFD">
        <w:rPr>
          <w:b/>
          <w:lang w:val="es-ES" w:eastAsia="en-US"/>
        </w:rPr>
        <w:t xml:space="preserve"> 2015</w:t>
      </w:r>
      <w:r w:rsidRPr="00961CFD">
        <w:rPr>
          <w:b/>
          <w:lang w:val="es-ES" w:eastAsia="en-US"/>
        </w:rPr>
        <w:t>, para garantizar su compatibilidad con el principio de igualdad y no discriminación y para llevar a cabo las modificaciones necesarias a fin de adaptarlas plenamente a la Convención y la Convención sobre los Derechos del Niño;</w:t>
      </w:r>
      <w:bookmarkEnd w:id="145"/>
    </w:p>
    <w:p w14:paraId="0CC7F496" w14:textId="2C091B8D" w:rsidR="003A1004" w:rsidRPr="00961CFD" w:rsidRDefault="005068D9" w:rsidP="005068D9">
      <w:pPr>
        <w:pStyle w:val="SingleTxt"/>
        <w:rPr>
          <w:lang w:val="es-ES" w:eastAsia="en-US"/>
        </w:rPr>
      </w:pPr>
      <w:bookmarkStart w:id="146" w:name="bookmark_164"/>
      <w:r w:rsidRPr="00961CFD">
        <w:rPr>
          <w:lang w:val="es-ES" w:eastAsia="en-US"/>
        </w:rPr>
        <w:lastRenderedPageBreak/>
        <w:tab/>
      </w:r>
      <w:r w:rsidR="003A1004" w:rsidRPr="00961CFD">
        <w:rPr>
          <w:lang w:val="es-ES" w:eastAsia="en-US"/>
        </w:rPr>
        <w:t>b)</w:t>
      </w:r>
      <w:r w:rsidR="003A1004" w:rsidRPr="00961CFD">
        <w:rPr>
          <w:lang w:val="es-ES" w:eastAsia="en-US"/>
        </w:rPr>
        <w:tab/>
      </w:r>
      <w:r w:rsidR="003A1004" w:rsidRPr="00961CFD">
        <w:rPr>
          <w:b/>
          <w:lang w:val="es-ES" w:eastAsia="en-US"/>
        </w:rPr>
        <w:t xml:space="preserve">Modifique o derogue todas las disposiciones discriminatorias en relación con la capacidad jurídica, el matrimonio, el divorcio, las relaciones </w:t>
      </w:r>
      <w:r w:rsidR="003A1004" w:rsidRPr="00961CFD">
        <w:rPr>
          <w:b/>
          <w:i/>
          <w:lang w:val="es-ES" w:eastAsia="en-US"/>
        </w:rPr>
        <w:t>de</w:t>
      </w:r>
      <w:r w:rsidR="00202F8E" w:rsidRPr="00961CFD">
        <w:rPr>
          <w:b/>
          <w:i/>
          <w:lang w:val="es-ES" w:eastAsia="en-US"/>
        </w:rPr>
        <w:t xml:space="preserve"> </w:t>
      </w:r>
      <w:r w:rsidR="003A1004" w:rsidRPr="00961CFD">
        <w:rPr>
          <w:b/>
          <w:i/>
          <w:lang w:val="es-ES" w:eastAsia="en-US"/>
        </w:rPr>
        <w:t>facto</w:t>
      </w:r>
      <w:r w:rsidR="003A1004" w:rsidRPr="00961CFD">
        <w:rPr>
          <w:b/>
          <w:lang w:val="es-ES" w:eastAsia="en-US"/>
        </w:rPr>
        <w:t>, la herencia de tierras, la custodia de los hijos y la adopción;</w:t>
      </w:r>
      <w:bookmarkEnd w:id="146"/>
    </w:p>
    <w:p w14:paraId="6DFEDB55" w14:textId="725AC43C" w:rsidR="008E266E" w:rsidRPr="00961CFD" w:rsidRDefault="008E266E">
      <w:pPr>
        <w:suppressAutoHyphens w:val="0"/>
        <w:spacing w:line="240" w:lineRule="auto"/>
        <w:rPr>
          <w:lang w:val="es-ES" w:eastAsia="en-US"/>
        </w:rPr>
      </w:pPr>
      <w:bookmarkStart w:id="147" w:name="bookmark_165"/>
    </w:p>
    <w:p w14:paraId="21A6ED67" w14:textId="77777777" w:rsidR="00202F8E" w:rsidRPr="00961CFD" w:rsidRDefault="005068D9" w:rsidP="005068D9">
      <w:pPr>
        <w:pStyle w:val="SingleTxt"/>
        <w:rPr>
          <w:lang w:val="es-ES" w:eastAsia="en-US"/>
        </w:rPr>
      </w:pPr>
      <w:r w:rsidRPr="00961CFD">
        <w:rPr>
          <w:lang w:val="es-ES" w:eastAsia="en-US"/>
        </w:rPr>
        <w:tab/>
      </w:r>
      <w:r w:rsidR="003A1004" w:rsidRPr="00961CFD">
        <w:rPr>
          <w:lang w:val="es-ES" w:eastAsia="en-US"/>
        </w:rPr>
        <w:t>c)</w:t>
      </w:r>
      <w:r w:rsidR="003A1004" w:rsidRPr="00961CFD">
        <w:rPr>
          <w:lang w:val="es-ES" w:eastAsia="en-US"/>
        </w:rPr>
        <w:tab/>
      </w:r>
      <w:r w:rsidR="003A1004" w:rsidRPr="00961CFD">
        <w:rPr>
          <w:b/>
          <w:lang w:val="es-ES" w:eastAsia="en-US"/>
        </w:rPr>
        <w:t>Consolide y fortalezca las diversas disposiciones del derecho de la familia en un código de la familia unificado e integral para garantizar la</w:t>
      </w:r>
      <w:r w:rsidR="00202F8E" w:rsidRPr="00961CFD">
        <w:rPr>
          <w:b/>
          <w:lang w:val="es-ES" w:eastAsia="en-US"/>
        </w:rPr>
        <w:t xml:space="preserve"> </w:t>
      </w:r>
      <w:r w:rsidR="003A1004" w:rsidRPr="00961CFD">
        <w:rPr>
          <w:b/>
          <w:lang w:val="es-ES" w:eastAsia="en-US"/>
        </w:rPr>
        <w:t>igualdad entre mujeres y hombres en los asuntos relacionados con el matrimonio, el divorcio, la herencia y la custodia de los hijos;</w:t>
      </w:r>
      <w:bookmarkEnd w:id="147"/>
    </w:p>
    <w:p w14:paraId="2C553500" w14:textId="3E50179E" w:rsidR="003A1004" w:rsidRPr="00961CFD" w:rsidRDefault="005068D9" w:rsidP="005068D9">
      <w:pPr>
        <w:pStyle w:val="SingleTxt"/>
        <w:rPr>
          <w:lang w:val="es-ES" w:eastAsia="en-US"/>
        </w:rPr>
      </w:pPr>
      <w:bookmarkStart w:id="148" w:name="bookmark_166"/>
      <w:r w:rsidRPr="00961CFD">
        <w:rPr>
          <w:lang w:val="es-ES" w:eastAsia="en-US"/>
        </w:rPr>
        <w:tab/>
      </w:r>
      <w:r w:rsidR="003A1004" w:rsidRPr="00961CFD">
        <w:rPr>
          <w:lang w:val="es-ES" w:eastAsia="en-US"/>
        </w:rPr>
        <w:t>d)</w:t>
      </w:r>
      <w:r w:rsidR="003A1004" w:rsidRPr="00961CFD">
        <w:rPr>
          <w:lang w:val="es-ES" w:eastAsia="en-US"/>
        </w:rPr>
        <w:tab/>
      </w:r>
      <w:r w:rsidR="003A1004" w:rsidRPr="00961CFD">
        <w:rPr>
          <w:b/>
          <w:lang w:val="es-ES" w:eastAsia="en-US"/>
        </w:rPr>
        <w:t xml:space="preserve">Vele por la condición jurídica y la protección legal de los derechos económicos de las mujeres en las uniones </w:t>
      </w:r>
      <w:r w:rsidR="003A1004" w:rsidRPr="00961CFD">
        <w:rPr>
          <w:b/>
          <w:i/>
          <w:lang w:val="es-ES" w:eastAsia="en-US"/>
        </w:rPr>
        <w:t>de</w:t>
      </w:r>
      <w:r w:rsidR="00202F8E" w:rsidRPr="00961CFD">
        <w:rPr>
          <w:b/>
          <w:i/>
          <w:lang w:val="es-ES" w:eastAsia="en-US"/>
        </w:rPr>
        <w:t xml:space="preserve"> </w:t>
      </w:r>
      <w:r w:rsidR="003A1004" w:rsidRPr="00961CFD">
        <w:rPr>
          <w:b/>
          <w:i/>
          <w:lang w:val="es-ES" w:eastAsia="en-US"/>
        </w:rPr>
        <w:t>facto</w:t>
      </w:r>
      <w:r w:rsidR="003A1004" w:rsidRPr="00961CFD">
        <w:rPr>
          <w:b/>
          <w:lang w:val="es-ES" w:eastAsia="en-US"/>
        </w:rPr>
        <w:t>, así como de los hijos fruto de tales uniones, de conformidad con la recomendación general núm</w:t>
      </w:r>
      <w:r w:rsidR="00202F8E" w:rsidRPr="00961CFD">
        <w:rPr>
          <w:b/>
          <w:lang w:val="es-ES" w:eastAsia="en-US"/>
        </w:rPr>
        <w:t xml:space="preserve">. 29 </w:t>
      </w:r>
      <w:r w:rsidR="003A1004" w:rsidRPr="00961CFD">
        <w:rPr>
          <w:b/>
          <w:lang w:val="es-ES" w:eastAsia="en-US"/>
        </w:rPr>
        <w:t>(</w:t>
      </w:r>
      <w:r w:rsidR="00202F8E" w:rsidRPr="00961CFD">
        <w:rPr>
          <w:b/>
          <w:lang w:val="es-ES" w:eastAsia="en-US"/>
        </w:rPr>
        <w:t>2013</w:t>
      </w:r>
      <w:r w:rsidR="003A1004" w:rsidRPr="00961CFD">
        <w:rPr>
          <w:b/>
          <w:lang w:val="es-ES" w:eastAsia="en-US"/>
        </w:rPr>
        <w:t>) sobre las consecuencias económicas del matrimonio, las relaciones familiares y su disolución;</w:t>
      </w:r>
      <w:bookmarkEnd w:id="148"/>
    </w:p>
    <w:p w14:paraId="55B58737" w14:textId="77777777" w:rsidR="00202F8E" w:rsidRPr="00961CFD" w:rsidRDefault="005068D9" w:rsidP="008E266E">
      <w:pPr>
        <w:pStyle w:val="SingleTxt"/>
        <w:rPr>
          <w:lang w:val="es-ES" w:eastAsia="en-US"/>
        </w:rPr>
      </w:pPr>
      <w:bookmarkStart w:id="149" w:name="bookmark_167"/>
      <w:r w:rsidRPr="00961CFD">
        <w:rPr>
          <w:lang w:val="es-ES" w:eastAsia="en-US"/>
        </w:rPr>
        <w:tab/>
      </w:r>
      <w:r w:rsidR="003A1004" w:rsidRPr="00961CFD">
        <w:rPr>
          <w:lang w:val="es-ES" w:eastAsia="en-US"/>
        </w:rPr>
        <w:t>e)</w:t>
      </w:r>
      <w:r w:rsidR="003A1004" w:rsidRPr="00961CFD">
        <w:rPr>
          <w:lang w:val="es-ES" w:eastAsia="en-US"/>
        </w:rPr>
        <w:tab/>
      </w:r>
      <w:r w:rsidR="003A1004" w:rsidRPr="00961CFD">
        <w:rPr>
          <w:b/>
          <w:lang w:val="es-ES" w:eastAsia="en-US"/>
        </w:rPr>
        <w:t>Asigne recursos humanos, técnicos y financieros suficientes al tribunal de familia, en particular a los funcionarios especializados en derecho de la familia y a los psicólogos y los asesores, y vele por que los oficiales judiciales reciban una formación adecuada en general y en materia de desarrollo de capacidades para ayudar en el proceso de conciliación</w:t>
      </w:r>
      <w:r w:rsidR="00202F8E" w:rsidRPr="00961CFD">
        <w:rPr>
          <w:b/>
          <w:lang w:val="es-ES" w:eastAsia="en-US"/>
        </w:rPr>
        <w:t>.</w:t>
      </w:r>
      <w:bookmarkEnd w:id="149"/>
    </w:p>
    <w:p w14:paraId="19A8152F" w14:textId="78FB2489" w:rsidR="00F12BC6" w:rsidRPr="00961CFD" w:rsidRDefault="00F12BC6" w:rsidP="00F12BC6">
      <w:pPr>
        <w:pStyle w:val="SingleTxt"/>
        <w:spacing w:after="0" w:line="120" w:lineRule="exact"/>
        <w:rPr>
          <w:sz w:val="10"/>
          <w:szCs w:val="10"/>
          <w:lang w:val="es-ES"/>
        </w:rPr>
      </w:pPr>
      <w:bookmarkStart w:id="150" w:name="bookmark_168"/>
    </w:p>
    <w:p w14:paraId="6041731B" w14:textId="32B930C7"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Protocolo Facultativo de la Convención</w:t>
      </w:r>
      <w:bookmarkEnd w:id="150"/>
    </w:p>
    <w:p w14:paraId="49E9B424" w14:textId="77777777" w:rsidR="00F12BC6" w:rsidRPr="00961CFD" w:rsidRDefault="00F12BC6" w:rsidP="00F12BC6">
      <w:pPr>
        <w:pStyle w:val="SingleTxt"/>
        <w:spacing w:after="0" w:line="120" w:lineRule="exact"/>
        <w:rPr>
          <w:sz w:val="10"/>
          <w:szCs w:val="10"/>
          <w:lang w:val="es-ES"/>
        </w:rPr>
      </w:pPr>
    </w:p>
    <w:p w14:paraId="25B0A10C" w14:textId="01EE4D54" w:rsidR="003A1004" w:rsidRPr="00961CFD" w:rsidRDefault="003A1004" w:rsidP="00822D42">
      <w:pPr>
        <w:pStyle w:val="SingleTxt"/>
        <w:numPr>
          <w:ilvl w:val="0"/>
          <w:numId w:val="31"/>
        </w:numPr>
        <w:tabs>
          <w:tab w:val="num" w:pos="1742"/>
        </w:tabs>
        <w:ind w:left="1267" w:firstLine="0"/>
        <w:rPr>
          <w:b/>
          <w:szCs w:val="22"/>
          <w:lang w:val="es-ES" w:eastAsia="en-US"/>
        </w:rPr>
      </w:pPr>
      <w:bookmarkStart w:id="151" w:name="bookmark_169"/>
      <w:r w:rsidRPr="00961CFD">
        <w:rPr>
          <w:b/>
          <w:szCs w:val="22"/>
          <w:lang w:val="es-ES" w:eastAsia="en-US"/>
        </w:rPr>
        <w:t>El Comité alienta al Estado parte a que ratifique el Protocolo Facultativo de la Convención</w:t>
      </w:r>
      <w:r w:rsidR="00202F8E" w:rsidRPr="00961CFD">
        <w:rPr>
          <w:b/>
          <w:szCs w:val="22"/>
          <w:lang w:val="es-ES" w:eastAsia="en-US"/>
        </w:rPr>
        <w:t>.</w:t>
      </w:r>
      <w:bookmarkEnd w:id="151"/>
    </w:p>
    <w:p w14:paraId="041F0648" w14:textId="77777777" w:rsidR="00F12BC6" w:rsidRPr="00961CFD" w:rsidRDefault="00F12BC6" w:rsidP="00F12BC6">
      <w:pPr>
        <w:pStyle w:val="SingleTxt"/>
        <w:spacing w:after="0" w:line="120" w:lineRule="exact"/>
        <w:rPr>
          <w:sz w:val="10"/>
          <w:szCs w:val="10"/>
          <w:lang w:val="es-ES"/>
        </w:rPr>
      </w:pPr>
      <w:bookmarkStart w:id="152" w:name="bookmark_170"/>
    </w:p>
    <w:p w14:paraId="70FF2E96" w14:textId="77777777" w:rsidR="00202F8E"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Declaración y Plataforma de Acción de Beijing</w:t>
      </w:r>
      <w:bookmarkEnd w:id="152"/>
    </w:p>
    <w:p w14:paraId="0B252D20" w14:textId="07E1802F" w:rsidR="00F12BC6" w:rsidRPr="00961CFD" w:rsidRDefault="00F12BC6" w:rsidP="00F12BC6">
      <w:pPr>
        <w:pStyle w:val="SingleTxt"/>
        <w:spacing w:after="0" w:line="120" w:lineRule="exact"/>
        <w:rPr>
          <w:sz w:val="10"/>
          <w:szCs w:val="10"/>
          <w:lang w:val="es-ES"/>
        </w:rPr>
      </w:pPr>
    </w:p>
    <w:p w14:paraId="2C40D554" w14:textId="6F14F4A8" w:rsidR="003A1004" w:rsidRPr="00961CFD" w:rsidRDefault="003A1004" w:rsidP="00822D42">
      <w:pPr>
        <w:pStyle w:val="SingleTxt"/>
        <w:numPr>
          <w:ilvl w:val="0"/>
          <w:numId w:val="31"/>
        </w:numPr>
        <w:tabs>
          <w:tab w:val="num" w:pos="1742"/>
        </w:tabs>
        <w:ind w:left="1267" w:firstLine="0"/>
        <w:rPr>
          <w:b/>
          <w:szCs w:val="22"/>
          <w:lang w:val="es-ES" w:eastAsia="en-US"/>
        </w:rPr>
      </w:pPr>
      <w:bookmarkStart w:id="153" w:name="bookmark_171"/>
      <w:r w:rsidRPr="00961CFD">
        <w:rPr>
          <w:b/>
          <w:szCs w:val="22"/>
          <w:lang w:val="es-ES" w:eastAsia="en-US"/>
        </w:rPr>
        <w:t>El Comité exhorta al Estado parte a que utilice la Declaración y la Plataforma de Acción de Beijing en su labor dirigida a aplicar las disposiciones de la Convención</w:t>
      </w:r>
      <w:r w:rsidR="00202F8E" w:rsidRPr="00961CFD">
        <w:rPr>
          <w:b/>
          <w:szCs w:val="22"/>
          <w:lang w:val="es-ES" w:eastAsia="en-US"/>
        </w:rPr>
        <w:t>.</w:t>
      </w:r>
      <w:bookmarkEnd w:id="153"/>
    </w:p>
    <w:p w14:paraId="4E44D3E7" w14:textId="77777777" w:rsidR="00F12BC6" w:rsidRPr="00961CFD" w:rsidRDefault="00F12BC6" w:rsidP="00F12BC6">
      <w:pPr>
        <w:pStyle w:val="SingleTxt"/>
        <w:spacing w:after="0" w:line="120" w:lineRule="exact"/>
        <w:rPr>
          <w:sz w:val="10"/>
          <w:szCs w:val="10"/>
          <w:lang w:val="es-ES"/>
        </w:rPr>
      </w:pPr>
      <w:bookmarkStart w:id="154" w:name="bookmark_172"/>
    </w:p>
    <w:p w14:paraId="2B07A7F2" w14:textId="77777777" w:rsidR="00202F8E"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Agenda</w:t>
      </w:r>
      <w:r w:rsidR="00202F8E" w:rsidRPr="00961CFD">
        <w:rPr>
          <w:bCs w:val="0"/>
          <w:lang w:val="es-ES" w:eastAsia="en-US"/>
        </w:rPr>
        <w:t xml:space="preserve"> 2030 </w:t>
      </w:r>
      <w:r w:rsidRPr="00961CFD">
        <w:rPr>
          <w:bCs w:val="0"/>
          <w:lang w:val="es-ES" w:eastAsia="en-US"/>
        </w:rPr>
        <w:t>para el Desarrollo Sostenible</w:t>
      </w:r>
      <w:bookmarkEnd w:id="154"/>
    </w:p>
    <w:p w14:paraId="37AC2C9B" w14:textId="08AB3472" w:rsidR="00F12BC6" w:rsidRPr="00961CFD" w:rsidRDefault="00F12BC6" w:rsidP="00F12BC6">
      <w:pPr>
        <w:pStyle w:val="SingleTxt"/>
        <w:spacing w:after="0" w:line="120" w:lineRule="exact"/>
        <w:rPr>
          <w:sz w:val="10"/>
          <w:szCs w:val="10"/>
          <w:lang w:val="es-ES"/>
        </w:rPr>
      </w:pPr>
    </w:p>
    <w:p w14:paraId="63381145" w14:textId="07368EC3" w:rsidR="003A1004" w:rsidRPr="00961CFD" w:rsidRDefault="003A1004" w:rsidP="00822D42">
      <w:pPr>
        <w:pStyle w:val="SingleTxt"/>
        <w:numPr>
          <w:ilvl w:val="0"/>
          <w:numId w:val="31"/>
        </w:numPr>
        <w:tabs>
          <w:tab w:val="num" w:pos="1742"/>
        </w:tabs>
        <w:ind w:left="1267" w:firstLine="0"/>
        <w:rPr>
          <w:b/>
          <w:szCs w:val="22"/>
          <w:lang w:val="es-ES" w:eastAsia="en-US"/>
        </w:rPr>
      </w:pPr>
      <w:bookmarkStart w:id="155" w:name="bookmark_173"/>
      <w:r w:rsidRPr="00961CFD">
        <w:rPr>
          <w:b/>
          <w:szCs w:val="22"/>
          <w:lang w:val="es-ES" w:eastAsia="en-US"/>
        </w:rPr>
        <w:t>El Comité pide que se haga efectiva la igualdad de género sustantiva, de conformidad con las disposiciones de la Convención, durante el proceso de implementación de la Agenda</w:t>
      </w:r>
      <w:r w:rsidR="00202F8E" w:rsidRPr="00961CFD">
        <w:rPr>
          <w:b/>
          <w:szCs w:val="22"/>
          <w:lang w:val="es-ES" w:eastAsia="en-US"/>
        </w:rPr>
        <w:t xml:space="preserve"> 2030 </w:t>
      </w:r>
      <w:r w:rsidRPr="00961CFD">
        <w:rPr>
          <w:b/>
          <w:szCs w:val="22"/>
          <w:lang w:val="es-ES" w:eastAsia="en-US"/>
        </w:rPr>
        <w:t>para el Desarrollo Sostenible</w:t>
      </w:r>
      <w:r w:rsidR="00202F8E" w:rsidRPr="00961CFD">
        <w:rPr>
          <w:b/>
          <w:szCs w:val="22"/>
          <w:lang w:val="es-ES" w:eastAsia="en-US"/>
        </w:rPr>
        <w:t>.</w:t>
      </w:r>
      <w:bookmarkEnd w:id="155"/>
    </w:p>
    <w:p w14:paraId="78FB7189" w14:textId="77777777" w:rsidR="00F12BC6" w:rsidRPr="00961CFD" w:rsidRDefault="00F12BC6" w:rsidP="00F12BC6">
      <w:pPr>
        <w:pStyle w:val="SingleTxt"/>
        <w:spacing w:after="0" w:line="120" w:lineRule="exact"/>
        <w:rPr>
          <w:sz w:val="10"/>
          <w:szCs w:val="10"/>
          <w:lang w:val="es-ES"/>
        </w:rPr>
      </w:pPr>
      <w:bookmarkStart w:id="156" w:name="bookmark_174"/>
    </w:p>
    <w:p w14:paraId="4D74531B" w14:textId="77777777" w:rsidR="00202F8E"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Difusión</w:t>
      </w:r>
      <w:bookmarkEnd w:id="156"/>
    </w:p>
    <w:p w14:paraId="5BADEF62" w14:textId="5FC2C109" w:rsidR="00F12BC6" w:rsidRPr="00961CFD" w:rsidRDefault="00F12BC6" w:rsidP="00F12BC6">
      <w:pPr>
        <w:pStyle w:val="SingleTxt"/>
        <w:spacing w:after="0" w:line="120" w:lineRule="exact"/>
        <w:rPr>
          <w:sz w:val="10"/>
          <w:szCs w:val="10"/>
          <w:lang w:val="es-ES"/>
        </w:rPr>
      </w:pPr>
    </w:p>
    <w:p w14:paraId="3AC56642" w14:textId="7009E1D3" w:rsidR="003A1004" w:rsidRPr="00961CFD" w:rsidRDefault="003A1004" w:rsidP="00822D42">
      <w:pPr>
        <w:pStyle w:val="SingleTxt"/>
        <w:numPr>
          <w:ilvl w:val="0"/>
          <w:numId w:val="31"/>
        </w:numPr>
        <w:tabs>
          <w:tab w:val="num" w:pos="1742"/>
        </w:tabs>
        <w:ind w:left="1267" w:firstLine="0"/>
        <w:rPr>
          <w:b/>
          <w:szCs w:val="22"/>
          <w:lang w:val="es-ES" w:eastAsia="en-US"/>
        </w:rPr>
      </w:pPr>
      <w:bookmarkStart w:id="157" w:name="bookmark_175"/>
      <w:r w:rsidRPr="00961CFD">
        <w:rPr>
          <w:b/>
          <w:szCs w:val="22"/>
          <w:lang w:val="es-ES" w:eastAsia="en-US"/>
        </w:rPr>
        <w:t>El Comité solicita al Estado parte que se asegure de que se difundan puntualmente las presentes observaciones finales, en los idiomas oficiales del Estado parte, entre las instituciones públicas pertinentes de todos los niveles (nacional, regional y local), en particular el Gobierno, los ministerios, el Parlamento y el poder judicial, para permitir que se lleven plenamente a la práctica</w:t>
      </w:r>
      <w:r w:rsidR="00202F8E" w:rsidRPr="00961CFD">
        <w:rPr>
          <w:b/>
          <w:szCs w:val="22"/>
          <w:lang w:val="es-ES" w:eastAsia="en-US"/>
        </w:rPr>
        <w:t>.</w:t>
      </w:r>
      <w:bookmarkEnd w:id="157"/>
    </w:p>
    <w:p w14:paraId="41F0BBC8" w14:textId="77777777" w:rsidR="00F12BC6" w:rsidRPr="00961CFD" w:rsidRDefault="00F12BC6" w:rsidP="00F12BC6">
      <w:pPr>
        <w:pStyle w:val="SingleTxt"/>
        <w:spacing w:after="0" w:line="120" w:lineRule="exact"/>
        <w:rPr>
          <w:sz w:val="10"/>
          <w:szCs w:val="10"/>
          <w:lang w:val="es-ES"/>
        </w:rPr>
      </w:pPr>
      <w:bookmarkStart w:id="158" w:name="bookmark_176"/>
    </w:p>
    <w:p w14:paraId="4B60BE46" w14:textId="1B740A80"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Asistencia técnica</w:t>
      </w:r>
      <w:bookmarkEnd w:id="158"/>
    </w:p>
    <w:p w14:paraId="59705C5E" w14:textId="77777777" w:rsidR="00F12BC6" w:rsidRPr="00961CFD" w:rsidRDefault="00F12BC6" w:rsidP="00F12BC6">
      <w:pPr>
        <w:pStyle w:val="SingleTxt"/>
        <w:spacing w:after="0" w:line="120" w:lineRule="exact"/>
        <w:rPr>
          <w:sz w:val="10"/>
          <w:szCs w:val="10"/>
          <w:lang w:val="es-ES"/>
        </w:rPr>
      </w:pPr>
    </w:p>
    <w:p w14:paraId="4694734A" w14:textId="7CA95C1A" w:rsidR="003A1004" w:rsidRPr="00961CFD" w:rsidRDefault="003A1004" w:rsidP="00822D42">
      <w:pPr>
        <w:pStyle w:val="SingleTxt"/>
        <w:numPr>
          <w:ilvl w:val="0"/>
          <w:numId w:val="31"/>
        </w:numPr>
        <w:tabs>
          <w:tab w:val="num" w:pos="1742"/>
        </w:tabs>
        <w:ind w:left="1267" w:firstLine="0"/>
        <w:rPr>
          <w:b/>
          <w:szCs w:val="22"/>
          <w:lang w:val="es-ES" w:eastAsia="en-US"/>
        </w:rPr>
      </w:pPr>
      <w:bookmarkStart w:id="159" w:name="bookmark_177"/>
      <w:r w:rsidRPr="00961CFD">
        <w:rPr>
          <w:b/>
          <w:szCs w:val="22"/>
          <w:lang w:val="es-ES" w:eastAsia="en-US"/>
        </w:rPr>
        <w:t>El Comité recomienda al Estado parte que vincule la aplicación de la Convención con su labor de desarrollo y que recabe asistencia técnica regional o internacional al respecto</w:t>
      </w:r>
      <w:r w:rsidR="00202F8E" w:rsidRPr="00961CFD">
        <w:rPr>
          <w:b/>
          <w:szCs w:val="22"/>
          <w:lang w:val="es-ES" w:eastAsia="en-US"/>
        </w:rPr>
        <w:t>.</w:t>
      </w:r>
      <w:bookmarkEnd w:id="159"/>
    </w:p>
    <w:p w14:paraId="4817C25D" w14:textId="77777777" w:rsidR="00F12BC6" w:rsidRPr="00961CFD" w:rsidRDefault="00F12BC6" w:rsidP="00F12BC6">
      <w:pPr>
        <w:pStyle w:val="SingleTxt"/>
        <w:spacing w:after="0" w:line="120" w:lineRule="exact"/>
        <w:rPr>
          <w:sz w:val="10"/>
          <w:szCs w:val="10"/>
          <w:lang w:val="es-ES"/>
        </w:rPr>
      </w:pPr>
      <w:bookmarkStart w:id="160" w:name="bookmark_178"/>
    </w:p>
    <w:p w14:paraId="1130AA7D" w14:textId="77777777" w:rsidR="00202F8E" w:rsidRPr="00961CFD" w:rsidRDefault="003A1004" w:rsidP="00961CFD">
      <w:pPr>
        <w:pStyle w:val="H23"/>
        <w:ind w:right="1260"/>
        <w:rPr>
          <w:bCs w:val="0"/>
          <w:lang w:val="es-ES" w:eastAsia="en-US"/>
        </w:rPr>
      </w:pPr>
      <w:r w:rsidRPr="00961CFD">
        <w:rPr>
          <w:bCs w:val="0"/>
          <w:lang w:val="es-ES" w:eastAsia="en-US"/>
        </w:rPr>
        <w:lastRenderedPageBreak/>
        <w:tab/>
      </w:r>
      <w:r w:rsidRPr="00961CFD">
        <w:rPr>
          <w:bCs w:val="0"/>
          <w:lang w:val="es-ES" w:eastAsia="en-US"/>
        </w:rPr>
        <w:tab/>
        <w:t>Ratificación de otros tratados</w:t>
      </w:r>
      <w:bookmarkEnd w:id="160"/>
    </w:p>
    <w:p w14:paraId="33FBD702" w14:textId="02A50EAD" w:rsidR="00F12BC6" w:rsidRPr="00961CFD" w:rsidRDefault="00F12BC6" w:rsidP="00961CFD">
      <w:pPr>
        <w:pStyle w:val="SingleTxt"/>
        <w:keepNext/>
        <w:keepLines/>
        <w:spacing w:after="0" w:line="120" w:lineRule="exact"/>
        <w:rPr>
          <w:sz w:val="10"/>
          <w:szCs w:val="10"/>
          <w:lang w:val="es-ES"/>
        </w:rPr>
      </w:pPr>
    </w:p>
    <w:p w14:paraId="5F743221" w14:textId="03DAC0DA" w:rsidR="003A1004" w:rsidRPr="00961CFD" w:rsidRDefault="003A1004" w:rsidP="00961CFD">
      <w:pPr>
        <w:pStyle w:val="SingleTxt"/>
        <w:keepNext/>
        <w:keepLines/>
        <w:numPr>
          <w:ilvl w:val="0"/>
          <w:numId w:val="31"/>
        </w:numPr>
        <w:tabs>
          <w:tab w:val="num" w:pos="1742"/>
        </w:tabs>
        <w:ind w:left="1267" w:firstLine="0"/>
        <w:rPr>
          <w:b/>
          <w:szCs w:val="22"/>
          <w:lang w:val="es-ES" w:eastAsia="en-US"/>
        </w:rPr>
      </w:pPr>
      <w:bookmarkStart w:id="161" w:name="bookmark_179"/>
      <w:r w:rsidRPr="00961CFD">
        <w:rPr>
          <w:b/>
          <w:szCs w:val="22"/>
          <w:lang w:val="es-ES" w:eastAsia="en-US"/>
        </w:rPr>
        <w:t>El Comité señala que la adhesión del Estado parte a los nueve principales instrumentos internacionales de derechos humanos</w:t>
      </w:r>
      <w:r w:rsidRPr="00961CFD">
        <w:rPr>
          <w:szCs w:val="22"/>
          <w:vertAlign w:val="superscript"/>
          <w:lang w:val="es-ES" w:eastAsia="en-US"/>
        </w:rPr>
        <w:footnoteReference w:id="1"/>
      </w:r>
      <w:r w:rsidRPr="00961CFD">
        <w:rPr>
          <w:b/>
          <w:szCs w:val="22"/>
          <w:lang w:val="es-ES" w:eastAsia="en-US"/>
        </w:rPr>
        <w:t xml:space="preserve"> mejoraría el modo en que las mujeres disfrutan de sus derechos humanos y libertades fundamentales en todos los aspectos de la vida, por lo que lo alienta a que ratifique el Pacto</w:t>
      </w:r>
      <w:r w:rsidR="00202F8E" w:rsidRPr="00961CFD">
        <w:rPr>
          <w:b/>
          <w:szCs w:val="22"/>
          <w:lang w:val="es-ES" w:eastAsia="en-US"/>
        </w:rPr>
        <w:t xml:space="preserve"> </w:t>
      </w:r>
      <w:r w:rsidRPr="00961CFD">
        <w:rPr>
          <w:b/>
          <w:szCs w:val="22"/>
          <w:lang w:val="es-ES" w:eastAsia="en-US"/>
        </w:rPr>
        <w:t>Internacional de Derechos Económicos, Sociales y Culturales, el Pacto Internacional de Derechos Civiles y Políticos, la Convención Internacional sobre la Eliminación de Todas las Formas de Discriminación Racial, la Convención Internacional sobre la Protección de los Derechos de Todos los Trabajadores Migratorios y de sus Familiares y la Convención Internacional para la Protección de Todas las Personas contra las Desapariciones Forzadas, en los que todavía no es parte</w:t>
      </w:r>
      <w:r w:rsidR="00202F8E" w:rsidRPr="00961CFD">
        <w:rPr>
          <w:b/>
          <w:szCs w:val="22"/>
          <w:lang w:val="es-ES" w:eastAsia="en-US"/>
        </w:rPr>
        <w:t>.</w:t>
      </w:r>
      <w:bookmarkEnd w:id="161"/>
    </w:p>
    <w:p w14:paraId="07B403FE" w14:textId="77777777" w:rsidR="00F12BC6" w:rsidRPr="00961CFD" w:rsidRDefault="00F12BC6" w:rsidP="00F12BC6">
      <w:pPr>
        <w:pStyle w:val="SingleTxt"/>
        <w:spacing w:after="0" w:line="120" w:lineRule="exact"/>
        <w:rPr>
          <w:sz w:val="10"/>
          <w:szCs w:val="10"/>
          <w:lang w:val="es-ES"/>
        </w:rPr>
      </w:pPr>
      <w:bookmarkStart w:id="163" w:name="bookmark_181"/>
    </w:p>
    <w:p w14:paraId="2009DF3F" w14:textId="65345A9C" w:rsidR="003A1004"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Seguimiento de las observaciones finales</w:t>
      </w:r>
      <w:bookmarkEnd w:id="163"/>
    </w:p>
    <w:p w14:paraId="35C641AA" w14:textId="77777777" w:rsidR="00F12BC6" w:rsidRPr="00961CFD" w:rsidRDefault="00F12BC6" w:rsidP="00F12BC6">
      <w:pPr>
        <w:pStyle w:val="SingleTxt"/>
        <w:spacing w:after="0" w:line="120" w:lineRule="exact"/>
        <w:rPr>
          <w:sz w:val="10"/>
          <w:szCs w:val="10"/>
          <w:lang w:val="es-ES"/>
        </w:rPr>
      </w:pPr>
    </w:p>
    <w:p w14:paraId="6326B751" w14:textId="77777777" w:rsidR="00202F8E" w:rsidRPr="00961CFD" w:rsidRDefault="003A1004" w:rsidP="006A1E56">
      <w:pPr>
        <w:pStyle w:val="SingleTxt"/>
        <w:numPr>
          <w:ilvl w:val="0"/>
          <w:numId w:val="31"/>
        </w:numPr>
        <w:tabs>
          <w:tab w:val="num" w:pos="1742"/>
        </w:tabs>
        <w:ind w:left="1267" w:firstLine="0"/>
        <w:rPr>
          <w:b/>
          <w:szCs w:val="22"/>
          <w:lang w:val="es-ES" w:eastAsia="en-US"/>
        </w:rPr>
      </w:pPr>
      <w:bookmarkStart w:id="164" w:name="bookmark_182"/>
      <w:r w:rsidRPr="00961CFD">
        <w:rPr>
          <w:b/>
          <w:szCs w:val="22"/>
          <w:lang w:val="es-ES" w:eastAsia="en-US"/>
        </w:rPr>
        <w:t>El Comité solicita al Estado parte que, en el plazo de dos años, proporcione información por escrito sobre las medidas adoptadas para poner</w:t>
      </w:r>
      <w:r w:rsidR="00202F8E" w:rsidRPr="00961CFD">
        <w:rPr>
          <w:b/>
          <w:szCs w:val="22"/>
          <w:lang w:val="es-ES" w:eastAsia="en-US"/>
        </w:rPr>
        <w:t xml:space="preserve"> </w:t>
      </w:r>
      <w:r w:rsidRPr="00961CFD">
        <w:rPr>
          <w:b/>
          <w:szCs w:val="22"/>
          <w:lang w:val="es-ES" w:eastAsia="en-US"/>
        </w:rPr>
        <w:t>en práctica las recomendaciones que figuran en los párrafos</w:t>
      </w:r>
      <w:r w:rsidR="00202F8E" w:rsidRPr="00961CFD">
        <w:rPr>
          <w:b/>
          <w:szCs w:val="22"/>
          <w:lang w:val="es-ES" w:eastAsia="en-US"/>
        </w:rPr>
        <w:t xml:space="preserve"> 29 </w:t>
      </w:r>
      <w:r w:rsidRPr="00961CFD">
        <w:rPr>
          <w:b/>
          <w:szCs w:val="22"/>
          <w:lang w:val="es-ES" w:eastAsia="en-US"/>
        </w:rPr>
        <w:t>b),</w:t>
      </w:r>
      <w:r w:rsidR="00202F8E" w:rsidRPr="00961CFD">
        <w:rPr>
          <w:b/>
          <w:szCs w:val="22"/>
          <w:lang w:val="es-ES" w:eastAsia="en-US"/>
        </w:rPr>
        <w:t xml:space="preserve"> 33 </w:t>
      </w:r>
      <w:r w:rsidRPr="00961CFD">
        <w:rPr>
          <w:b/>
          <w:szCs w:val="22"/>
          <w:lang w:val="es-ES" w:eastAsia="en-US"/>
        </w:rPr>
        <w:t>b),</w:t>
      </w:r>
      <w:r w:rsidR="00202F8E" w:rsidRPr="00961CFD">
        <w:rPr>
          <w:b/>
          <w:szCs w:val="22"/>
          <w:lang w:val="es-ES" w:eastAsia="en-US"/>
        </w:rPr>
        <w:t xml:space="preserve"> 33 </w:t>
      </w:r>
      <w:r w:rsidRPr="00961CFD">
        <w:rPr>
          <w:b/>
          <w:szCs w:val="22"/>
          <w:lang w:val="es-ES" w:eastAsia="en-US"/>
        </w:rPr>
        <w:t>f) y</w:t>
      </w:r>
      <w:r w:rsidR="00202F8E" w:rsidRPr="00961CFD">
        <w:rPr>
          <w:b/>
          <w:szCs w:val="22"/>
          <w:lang w:val="es-ES" w:eastAsia="en-US"/>
        </w:rPr>
        <w:t xml:space="preserve"> 39 </w:t>
      </w:r>
      <w:r w:rsidRPr="00961CFD">
        <w:rPr>
          <w:b/>
          <w:szCs w:val="22"/>
          <w:lang w:val="es-ES" w:eastAsia="en-US"/>
        </w:rPr>
        <w:t>a)</w:t>
      </w:r>
      <w:r w:rsidR="00202F8E" w:rsidRPr="00961CFD">
        <w:rPr>
          <w:b/>
          <w:szCs w:val="22"/>
          <w:lang w:val="es-ES" w:eastAsia="en-US"/>
        </w:rPr>
        <w:t>.</w:t>
      </w:r>
      <w:bookmarkEnd w:id="164"/>
    </w:p>
    <w:p w14:paraId="3B674D84" w14:textId="13093443" w:rsidR="00F12BC6" w:rsidRPr="00961CFD" w:rsidRDefault="00F12BC6" w:rsidP="00F12BC6">
      <w:pPr>
        <w:pStyle w:val="SingleTxt"/>
        <w:spacing w:after="0" w:line="120" w:lineRule="exact"/>
        <w:rPr>
          <w:sz w:val="10"/>
          <w:szCs w:val="10"/>
          <w:lang w:val="es-ES"/>
        </w:rPr>
      </w:pPr>
      <w:bookmarkStart w:id="165" w:name="bookmark_183"/>
    </w:p>
    <w:p w14:paraId="3AC404F5" w14:textId="77777777" w:rsidR="00202F8E" w:rsidRPr="00961CFD" w:rsidRDefault="003A1004" w:rsidP="009A05C8">
      <w:pPr>
        <w:pStyle w:val="H23"/>
        <w:ind w:right="1260"/>
        <w:rPr>
          <w:bCs w:val="0"/>
          <w:lang w:val="es-ES" w:eastAsia="en-US"/>
        </w:rPr>
      </w:pPr>
      <w:r w:rsidRPr="00961CFD">
        <w:rPr>
          <w:bCs w:val="0"/>
          <w:lang w:val="es-ES" w:eastAsia="en-US"/>
        </w:rPr>
        <w:tab/>
      </w:r>
      <w:r w:rsidRPr="00961CFD">
        <w:rPr>
          <w:bCs w:val="0"/>
          <w:lang w:val="es-ES" w:eastAsia="en-US"/>
        </w:rPr>
        <w:tab/>
        <w:t>Elaboración del próximo informe</w:t>
      </w:r>
      <w:bookmarkEnd w:id="165"/>
    </w:p>
    <w:p w14:paraId="29982725" w14:textId="6B3DBE8D" w:rsidR="00F12BC6" w:rsidRPr="00961CFD" w:rsidRDefault="00F12BC6" w:rsidP="00F12BC6">
      <w:pPr>
        <w:pStyle w:val="SingleTxt"/>
        <w:spacing w:after="0" w:line="120" w:lineRule="exact"/>
        <w:rPr>
          <w:sz w:val="10"/>
          <w:szCs w:val="10"/>
          <w:lang w:val="es-ES"/>
        </w:rPr>
      </w:pPr>
    </w:p>
    <w:p w14:paraId="4D226E43" w14:textId="4DDD1391" w:rsidR="003A1004" w:rsidRPr="00961CFD" w:rsidRDefault="003A1004" w:rsidP="006A1E56">
      <w:pPr>
        <w:pStyle w:val="SingleTxt"/>
        <w:numPr>
          <w:ilvl w:val="0"/>
          <w:numId w:val="31"/>
        </w:numPr>
        <w:tabs>
          <w:tab w:val="num" w:pos="1742"/>
        </w:tabs>
        <w:ind w:left="1267" w:firstLine="0"/>
        <w:rPr>
          <w:b/>
          <w:szCs w:val="22"/>
          <w:lang w:val="es-ES" w:eastAsia="en-US"/>
        </w:rPr>
      </w:pPr>
      <w:bookmarkStart w:id="166" w:name="bookmark_184"/>
      <w:r w:rsidRPr="00961CFD">
        <w:rPr>
          <w:b/>
          <w:szCs w:val="22"/>
          <w:lang w:val="es-ES" w:eastAsia="en-US"/>
        </w:rPr>
        <w:t>El Comité invita al Estado parte a que presente su tercer informe periódico en noviembre de</w:t>
      </w:r>
      <w:r w:rsidR="00202F8E" w:rsidRPr="00961CFD">
        <w:rPr>
          <w:b/>
          <w:szCs w:val="22"/>
          <w:lang w:val="es-ES" w:eastAsia="en-US"/>
        </w:rPr>
        <w:t xml:space="preserve"> 2021.</w:t>
      </w:r>
      <w:r w:rsidRPr="00961CFD">
        <w:rPr>
          <w:b/>
          <w:szCs w:val="22"/>
          <w:lang w:val="es-ES" w:eastAsia="en-US"/>
        </w:rPr>
        <w:t xml:space="preserve"> El informe debe presentarse puntualmente y, en caso de retraso, debe abarcar todo el período de tiempo que transcurra hasta su presentación</w:t>
      </w:r>
      <w:r w:rsidR="00202F8E" w:rsidRPr="00961CFD">
        <w:rPr>
          <w:b/>
          <w:szCs w:val="22"/>
          <w:lang w:val="es-ES" w:eastAsia="en-US"/>
        </w:rPr>
        <w:t>.</w:t>
      </w:r>
      <w:bookmarkEnd w:id="166"/>
    </w:p>
    <w:p w14:paraId="3CECE68B" w14:textId="38CA0F61" w:rsidR="005E4AC4" w:rsidRPr="00961CFD" w:rsidRDefault="003A1004" w:rsidP="006A1E56">
      <w:pPr>
        <w:pStyle w:val="SingleTxt"/>
        <w:numPr>
          <w:ilvl w:val="0"/>
          <w:numId w:val="31"/>
        </w:numPr>
        <w:tabs>
          <w:tab w:val="num" w:pos="1742"/>
        </w:tabs>
        <w:ind w:left="1267" w:firstLine="0"/>
        <w:rPr>
          <w:b/>
          <w:szCs w:val="22"/>
          <w:lang w:val="es-ES" w:eastAsia="en-US"/>
        </w:rPr>
      </w:pPr>
      <w:bookmarkStart w:id="167" w:name="bookmark_185"/>
      <w:r w:rsidRPr="00961CFD">
        <w:rPr>
          <w:b/>
          <w:szCs w:val="22"/>
          <w:lang w:val="es-ES" w:eastAsia="en-US"/>
        </w:rPr>
        <w:t>El Comité solicita al Estado parte que se atenga a las directrices armonizadas para la presentación de informes en virtud de los tratados internacionales de derechos humanos, incluidas las orientaciones relativas</w:t>
      </w:r>
      <w:r w:rsidR="00202F8E" w:rsidRPr="00961CFD">
        <w:rPr>
          <w:b/>
          <w:szCs w:val="22"/>
          <w:lang w:val="es-ES" w:eastAsia="en-US"/>
        </w:rPr>
        <w:t xml:space="preserve"> </w:t>
      </w:r>
      <w:r w:rsidRPr="00961CFD">
        <w:rPr>
          <w:b/>
          <w:szCs w:val="22"/>
          <w:lang w:val="es-ES" w:eastAsia="en-US"/>
        </w:rPr>
        <w:t>al documento básico común y a los informes sobre tratados específicos (véase</w:t>
      </w:r>
      <w:r w:rsidR="00202F8E" w:rsidRPr="00961CFD">
        <w:rPr>
          <w:b/>
          <w:szCs w:val="22"/>
          <w:lang w:val="es-ES" w:eastAsia="en-US"/>
        </w:rPr>
        <w:t xml:space="preserve"> </w:t>
      </w:r>
      <w:hyperlink r:id="rId21" w:history="1">
        <w:r w:rsidRPr="00961CFD">
          <w:rPr>
            <w:rStyle w:val="Hyperlink"/>
            <w:b/>
            <w:szCs w:val="22"/>
            <w:lang w:val="es-ES" w:eastAsia="en-US"/>
          </w:rPr>
          <w:t>HRI/GEN/</w:t>
        </w:r>
        <w:r w:rsidR="00202F8E" w:rsidRPr="00961CFD">
          <w:rPr>
            <w:rStyle w:val="Hyperlink"/>
            <w:b/>
            <w:szCs w:val="22"/>
            <w:lang w:val="es-ES" w:eastAsia="en-US"/>
          </w:rPr>
          <w:t>2</w:t>
        </w:r>
        <w:r w:rsidRPr="00961CFD">
          <w:rPr>
            <w:rStyle w:val="Hyperlink"/>
            <w:b/>
            <w:szCs w:val="22"/>
            <w:lang w:val="es-ES" w:eastAsia="en-US"/>
          </w:rPr>
          <w:t>/Rev</w:t>
        </w:r>
        <w:r w:rsidR="00202F8E" w:rsidRPr="00961CFD">
          <w:rPr>
            <w:rStyle w:val="Hyperlink"/>
            <w:b/>
            <w:szCs w:val="22"/>
            <w:lang w:val="es-ES" w:eastAsia="en-US"/>
          </w:rPr>
          <w:t>.6</w:t>
        </w:r>
      </w:hyperlink>
      <w:r w:rsidRPr="00961CFD">
        <w:rPr>
          <w:b/>
          <w:szCs w:val="22"/>
          <w:lang w:val="es-ES" w:eastAsia="en-US"/>
        </w:rPr>
        <w:t>,</w:t>
      </w:r>
      <w:r w:rsidR="00202F8E" w:rsidRPr="00961CFD">
        <w:rPr>
          <w:b/>
          <w:szCs w:val="22"/>
          <w:lang w:val="es-ES" w:eastAsia="en-US"/>
        </w:rPr>
        <w:t xml:space="preserve"> </w:t>
      </w:r>
      <w:r w:rsidRPr="00961CFD">
        <w:rPr>
          <w:b/>
          <w:szCs w:val="22"/>
          <w:lang w:val="es-ES" w:eastAsia="en-US"/>
        </w:rPr>
        <w:t>cap</w:t>
      </w:r>
      <w:r w:rsidR="00202F8E" w:rsidRPr="00961CFD">
        <w:rPr>
          <w:b/>
          <w:szCs w:val="22"/>
          <w:lang w:val="es-ES" w:eastAsia="en-US"/>
        </w:rPr>
        <w:t xml:space="preserve">. </w:t>
      </w:r>
      <w:r w:rsidRPr="00961CFD">
        <w:rPr>
          <w:b/>
          <w:szCs w:val="22"/>
          <w:lang w:val="es-ES" w:eastAsia="en-US"/>
        </w:rPr>
        <w:t>I)</w:t>
      </w:r>
      <w:r w:rsidR="00202F8E" w:rsidRPr="00961CFD">
        <w:rPr>
          <w:b/>
          <w:szCs w:val="22"/>
          <w:lang w:val="es-ES" w:eastAsia="en-US"/>
        </w:rPr>
        <w:t>.</w:t>
      </w:r>
      <w:bookmarkEnd w:id="4"/>
      <w:bookmarkEnd w:id="167"/>
    </w:p>
    <w:p w14:paraId="6755330B" w14:textId="77777777" w:rsidR="00827C33" w:rsidRPr="00961CFD" w:rsidRDefault="00661FE1" w:rsidP="009979B6">
      <w:pPr>
        <w:pStyle w:val="SingleTxt"/>
        <w:rPr>
          <w:lang w:val="es-ES" w:eastAsia="en-US"/>
        </w:rPr>
      </w:pPr>
      <w:r w:rsidRPr="00961CFD">
        <w:rPr>
          <w:noProof/>
          <w:w w:val="100"/>
          <w:lang w:eastAsia="en-GB"/>
        </w:rPr>
        <mc:AlternateContent>
          <mc:Choice Requires="wps">
            <w:drawing>
              <wp:anchor distT="4294967287" distB="4294967287" distL="114300" distR="114300" simplePos="0" relativeHeight="251657216" behindDoc="0" locked="0" layoutInCell="1" allowOverlap="1" wp14:anchorId="1BE5C024" wp14:editId="5808D927">
                <wp:simplePos x="0" y="0"/>
                <wp:positionH relativeFrom="column">
                  <wp:posOffset>2669540</wp:posOffset>
                </wp:positionH>
                <wp:positionV relativeFrom="paragraph">
                  <wp:posOffset>304799</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CF03C" id="Straight Connector 4" o:spid="_x0000_s1026" style="position:absolute;z-index:25165721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A/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" strokecolor="#010000" strokeweight=".25pt"/>
            </w:pict>
          </mc:Fallback>
        </mc:AlternateContent>
      </w:r>
    </w:p>
    <w:sectPr w:rsidR="00827C33" w:rsidRPr="00961CFD" w:rsidSect="00691C0B">
      <w:endnotePr>
        <w:numFmt w:val="decimal"/>
      </w:endnotePr>
      <w:type w:val="continuous"/>
      <w:pgSz w:w="12240" w:h="15840" w:code="1"/>
      <w:pgMar w:top="1440" w:right="1195" w:bottom="1152" w:left="1195" w:header="432" w:footer="504"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4:25:00Z" w:initials="Start">
    <w:p w14:paraId="53822AC6" w14:textId="77777777" w:rsidR="00831F79" w:rsidRDefault="00831F7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NO&gt;&gt;N1739423S&lt;&lt;ODS JOB NO&gt;&gt;</w:t>
      </w:r>
    </w:p>
    <w:p w14:paraId="499561FB" w14:textId="77777777" w:rsidR="00831F79" w:rsidRDefault="00831F79">
      <w:pPr>
        <w:pStyle w:val="CommentText"/>
      </w:pPr>
      <w:r>
        <w:t>&lt;&lt;ODS DOC SYMBOL1&gt;&gt;CEDAW/C/NRU/CO/1-2&lt;&lt;ODS DOC SYMBOL1&gt;&gt;</w:t>
      </w:r>
    </w:p>
    <w:p w14:paraId="1009827D" w14:textId="02DCAB56" w:rsidR="00831F79" w:rsidRDefault="00831F7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9827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3BD3" w14:textId="77777777" w:rsidR="0084672C" w:rsidRDefault="0084672C">
      <w:r>
        <w:separator/>
      </w:r>
    </w:p>
  </w:endnote>
  <w:endnote w:type="continuationSeparator" w:id="0">
    <w:p w14:paraId="142554C4" w14:textId="77777777" w:rsidR="0084672C" w:rsidRDefault="0084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Futura"/>
    <w:panose1 w:val="020B08030503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202F8E" w:rsidRPr="003C31CB" w14:paraId="7B77FEDE" w14:textId="77777777">
      <w:trPr>
        <w:jc w:val="right"/>
      </w:trPr>
      <w:tc>
        <w:tcPr>
          <w:tcW w:w="5028" w:type="dxa"/>
        </w:tcPr>
        <w:p w14:paraId="6B68E7DF" w14:textId="04AFB143" w:rsidR="00202F8E" w:rsidRDefault="00202F8E" w:rsidP="00A744CE">
          <w:pPr>
            <w:pStyle w:val="Footer"/>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DF35D8">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35D8">
            <w:rPr>
              <w:w w:val="103"/>
            </w:rPr>
            <w:t>14</w:t>
          </w:r>
          <w:r>
            <w:rPr>
              <w:w w:val="103"/>
            </w:rPr>
            <w:fldChar w:fldCharType="end"/>
          </w:r>
        </w:p>
      </w:tc>
      <w:tc>
        <w:tcPr>
          <w:tcW w:w="5028" w:type="dxa"/>
        </w:tcPr>
        <w:p w14:paraId="329439BE" w14:textId="14FB6B02" w:rsidR="00202F8E" w:rsidRPr="003C31CB" w:rsidRDefault="003C31CB" w:rsidP="00A744CE">
          <w:pPr>
            <w:pStyle w:val="Footer"/>
            <w:jc w:val="right"/>
            <w:rPr>
              <w:b w:val="0"/>
              <w:bCs w:val="0"/>
              <w:w w:val="103"/>
              <w:sz w:val="14"/>
              <w:szCs w:val="14"/>
            </w:rPr>
          </w:pPr>
          <w:r w:rsidRPr="003C31CB">
            <w:rPr>
              <w:b w:val="0"/>
              <w:bCs w:val="0"/>
              <w:w w:val="103"/>
              <w:sz w:val="14"/>
              <w:szCs w:val="14"/>
            </w:rPr>
            <w:t>17-20377</w:t>
          </w:r>
        </w:p>
      </w:tc>
    </w:tr>
  </w:tbl>
  <w:p w14:paraId="45798A7A" w14:textId="77777777" w:rsidR="00202F8E" w:rsidRDefault="00202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5028"/>
      <w:gridCol w:w="5028"/>
    </w:tblGrid>
    <w:tr w:rsidR="00202F8E" w14:paraId="5D20CC3C" w14:textId="77777777">
      <w:trPr>
        <w:jc w:val="right"/>
      </w:trPr>
      <w:tc>
        <w:tcPr>
          <w:tcW w:w="5028" w:type="dxa"/>
        </w:tcPr>
        <w:p w14:paraId="51113253" w14:textId="0B3EFF15" w:rsidR="00202F8E" w:rsidRPr="003C31CB" w:rsidRDefault="003C31CB" w:rsidP="00A744CE">
          <w:pPr>
            <w:pStyle w:val="Footer"/>
            <w:rPr>
              <w:b w:val="0"/>
              <w:bCs w:val="0"/>
              <w:w w:val="103"/>
              <w:sz w:val="14"/>
              <w:szCs w:val="14"/>
            </w:rPr>
          </w:pPr>
          <w:r w:rsidRPr="003C31CB">
            <w:rPr>
              <w:b w:val="0"/>
              <w:bCs w:val="0"/>
              <w:w w:val="103"/>
              <w:sz w:val="14"/>
              <w:szCs w:val="14"/>
            </w:rPr>
            <w:t>17-20377</w:t>
          </w:r>
        </w:p>
      </w:tc>
      <w:tc>
        <w:tcPr>
          <w:tcW w:w="5028" w:type="dxa"/>
        </w:tcPr>
        <w:p w14:paraId="1BC484A1" w14:textId="4F0768DE" w:rsidR="00202F8E" w:rsidRDefault="00202F8E" w:rsidP="00A744CE">
          <w:pPr>
            <w:pStyle w:val="Footer"/>
            <w:jc w:val="right"/>
            <w:rPr>
              <w:b w:val="0"/>
              <w:bCs w:val="0"/>
              <w:w w:val="103"/>
              <w:sz w:val="14"/>
              <w:szCs w:val="14"/>
            </w:rPr>
          </w:pPr>
          <w:r>
            <w:rPr>
              <w:w w:val="103"/>
            </w:rPr>
            <w:fldChar w:fldCharType="begin"/>
          </w:r>
          <w:r>
            <w:rPr>
              <w:w w:val="103"/>
            </w:rPr>
            <w:instrText xml:space="preserve"> PAGE  \* Arabic  \* MERGEFORMAT </w:instrText>
          </w:r>
          <w:r>
            <w:rPr>
              <w:w w:val="103"/>
            </w:rPr>
            <w:fldChar w:fldCharType="separate"/>
          </w:r>
          <w:r w:rsidR="00DF35D8">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35D8">
            <w:rPr>
              <w:w w:val="103"/>
            </w:rPr>
            <w:t>14</w:t>
          </w:r>
          <w:r>
            <w:rPr>
              <w:w w:val="103"/>
            </w:rPr>
            <w:fldChar w:fldCharType="end"/>
          </w:r>
        </w:p>
      </w:tc>
    </w:tr>
  </w:tbl>
  <w:p w14:paraId="4E47F908" w14:textId="77777777" w:rsidR="00202F8E" w:rsidRDefault="00202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202F8E" w14:paraId="4CD72BFF" w14:textId="77777777">
      <w:tc>
        <w:tcPr>
          <w:tcW w:w="3801" w:type="dxa"/>
        </w:tcPr>
        <w:p w14:paraId="3E98D2D0" w14:textId="74B6B861" w:rsidR="00202F8E" w:rsidRDefault="00202F8E">
          <w:pPr>
            <w:pStyle w:val="ReleaseDate"/>
            <w:rPr>
              <w:noProof/>
            </w:rPr>
          </w:pPr>
          <w:r>
            <w:rPr>
              <w:noProof/>
            </w:rPr>
            <w:t>17-20377</w:t>
          </w:r>
          <w:r w:rsidR="003C31CB">
            <w:rPr>
              <w:noProof/>
            </w:rPr>
            <w:t>X</w:t>
          </w:r>
          <w:r>
            <w:rPr>
              <w:noProof/>
            </w:rPr>
            <w:t xml:space="preserve"> (S)</w:t>
          </w:r>
        </w:p>
        <w:p w14:paraId="71BF35DB" w14:textId="18BDA613" w:rsidR="00202F8E" w:rsidRDefault="00202F8E">
          <w:pPr>
            <w:pStyle w:val="Footer"/>
            <w:spacing w:before="80" w:line="210" w:lineRule="exact"/>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*1720377*</w:t>
          </w:r>
        </w:p>
      </w:tc>
      <w:tc>
        <w:tcPr>
          <w:tcW w:w="5028" w:type="dxa"/>
        </w:tcPr>
        <w:p w14:paraId="4F8217C8" w14:textId="77777777" w:rsidR="00202F8E" w:rsidRDefault="00202F8E">
          <w:pPr>
            <w:pStyle w:val="Footer"/>
            <w:jc w:val="right"/>
            <w:rPr>
              <w:b w:val="0"/>
              <w:bCs w:val="0"/>
              <w:sz w:val="20"/>
              <w:szCs w:val="20"/>
            </w:rPr>
          </w:pPr>
          <w:r>
            <w:rPr>
              <w:lang w:val="en-GB" w:eastAsia="en-GB"/>
            </w:rPr>
            <w:drawing>
              <wp:anchor distT="0" distB="0" distL="114300" distR="114300" simplePos="0" relativeHeight="251657216" behindDoc="0" locked="0" layoutInCell="1" allowOverlap="1" wp14:anchorId="3E75F6C3" wp14:editId="4E886EE1">
                <wp:simplePos x="0" y="0"/>
                <wp:positionH relativeFrom="column">
                  <wp:posOffset>3133090</wp:posOffset>
                </wp:positionH>
                <wp:positionV relativeFrom="paragraph">
                  <wp:posOffset>-363220</wp:posOffset>
                </wp:positionV>
                <wp:extent cx="694690" cy="69469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20"/>
              <w:lang w:val="en-GB" w:eastAsia="en-GB"/>
            </w:rPr>
            <w:drawing>
              <wp:inline distT="0" distB="0" distL="0" distR="0" wp14:anchorId="631297FC" wp14:editId="5B5D8E1D">
                <wp:extent cx="1035050" cy="207010"/>
                <wp:effectExtent l="0" t="0" r="0" b="0"/>
                <wp:docPr id="4" name="Picture 5" descr="Description: Description: Description: Description: Description: Description: Description: Description: Description: Description: Description: Description: 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207010"/>
                        </a:xfrm>
                        <a:prstGeom prst="rect">
                          <a:avLst/>
                        </a:prstGeom>
                        <a:noFill/>
                        <a:ln>
                          <a:noFill/>
                        </a:ln>
                      </pic:spPr>
                    </pic:pic>
                  </a:graphicData>
                </a:graphic>
              </wp:inline>
            </w:drawing>
          </w:r>
        </w:p>
      </w:tc>
    </w:tr>
  </w:tbl>
  <w:p w14:paraId="75BFB564" w14:textId="77777777" w:rsidR="00202F8E" w:rsidRDefault="00202F8E">
    <w:pPr>
      <w:pStyle w:val="Footer"/>
      <w:spacing w:line="56" w:lineRule="auto"/>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EFE6" w14:textId="77777777" w:rsidR="0084672C" w:rsidRDefault="0084672C">
      <w:pPr>
        <w:pStyle w:val="Footer"/>
        <w:spacing w:after="80"/>
        <w:ind w:left="792"/>
        <w:rPr>
          <w:sz w:val="16"/>
          <w:szCs w:val="16"/>
        </w:rPr>
      </w:pPr>
      <w:r>
        <w:rPr>
          <w:sz w:val="16"/>
          <w:szCs w:val="16"/>
        </w:rPr>
        <w:t>__________________</w:t>
      </w:r>
    </w:p>
  </w:footnote>
  <w:footnote w:type="continuationSeparator" w:id="0">
    <w:p w14:paraId="3C164576" w14:textId="77777777" w:rsidR="0084672C" w:rsidRDefault="0084672C">
      <w:pPr>
        <w:pStyle w:val="Footer"/>
        <w:spacing w:after="80"/>
        <w:ind w:left="792"/>
        <w:rPr>
          <w:sz w:val="16"/>
          <w:szCs w:val="16"/>
        </w:rPr>
      </w:pPr>
      <w:r>
        <w:rPr>
          <w:sz w:val="16"/>
          <w:szCs w:val="16"/>
        </w:rPr>
        <w:t>__________________</w:t>
      </w:r>
    </w:p>
  </w:footnote>
  <w:footnote w:id="1">
    <w:p w14:paraId="2F21DA22" w14:textId="167A32C8" w:rsidR="00202F8E" w:rsidRPr="005471EB" w:rsidRDefault="00202F8E" w:rsidP="005471EB">
      <w:pPr>
        <w:pStyle w:val="FootnoteText"/>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spacing w:val="4"/>
          <w:kern w:val="0"/>
          <w:szCs w:val="22"/>
          <w:lang w:val="es-ES" w:eastAsia="en-US"/>
        </w:rPr>
      </w:pPr>
      <w:bookmarkStart w:id="162" w:name="footnoteBookmark_180"/>
      <w:r w:rsidRPr="005471EB">
        <w:rPr>
          <w:spacing w:val="4"/>
          <w:kern w:val="0"/>
          <w:szCs w:val="22"/>
          <w:lang w:val="es-ES" w:eastAsia="en-US"/>
        </w:rPr>
        <w:tab/>
      </w:r>
      <w:r w:rsidRPr="005471EB">
        <w:rPr>
          <w:spacing w:val="4"/>
          <w:kern w:val="0"/>
          <w:szCs w:val="22"/>
          <w:vertAlign w:val="superscript"/>
          <w:lang w:val="es-ES" w:eastAsia="en-US"/>
        </w:rPr>
        <w:footnoteRef/>
      </w:r>
      <w:r w:rsidRPr="005471EB">
        <w:rPr>
          <w:spacing w:val="4"/>
          <w:kern w:val="0"/>
          <w:szCs w:val="22"/>
          <w:lang w:val="es-ES" w:eastAsia="en-US"/>
        </w:rPr>
        <w:tab/>
        <w:t>El Pacto Internacional de Derechos Económicos, Sociales y Culturales; el Pacto Internacional de</w:t>
      </w:r>
      <w:r>
        <w:rPr>
          <w:spacing w:val="4"/>
          <w:kern w:val="0"/>
          <w:szCs w:val="22"/>
          <w:lang w:val="es-ES" w:eastAsia="en-US"/>
        </w:rPr>
        <w:t xml:space="preserve"> </w:t>
      </w:r>
      <w:r w:rsidRPr="005471EB">
        <w:rPr>
          <w:spacing w:val="4"/>
          <w:kern w:val="0"/>
          <w:szCs w:val="22"/>
          <w:lang w:val="es-ES" w:eastAsia="en-US"/>
        </w:rPr>
        <w:t>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w:t>
      </w:r>
      <w:r>
        <w:rPr>
          <w:spacing w:val="4"/>
          <w:kern w:val="0"/>
          <w:szCs w:val="22"/>
          <w:lang w:val="es-ES" w:eastAsia="en-US"/>
        </w:rPr>
        <w:t xml:space="preserve"> </w:t>
      </w:r>
      <w:r w:rsidRPr="005471EB">
        <w:rPr>
          <w:spacing w:val="4"/>
          <w:kern w:val="0"/>
          <w:szCs w:val="22"/>
          <w:lang w:val="es-ES" w:eastAsia="en-US"/>
        </w:rPr>
        <w:t>Familiares; la Convención Internacional para la Protección de Todas las Personas contra las Desapariciones Forzadas; y la Convención sobre los Derechos de las Personas con Discapacidad.</w:t>
      </w:r>
      <w:bookmarkEnd w:id="16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02F8E" w14:paraId="2AA92331" w14:textId="77777777">
      <w:trPr>
        <w:trHeight w:hRule="exact" w:val="864"/>
      </w:trPr>
      <w:tc>
        <w:tcPr>
          <w:tcW w:w="4838" w:type="dxa"/>
          <w:tcBorders>
            <w:bottom w:val="single" w:sz="2" w:space="0" w:color="000000"/>
          </w:tcBorders>
          <w:vAlign w:val="bottom"/>
        </w:tcPr>
        <w:p w14:paraId="1039E917" w14:textId="77777777" w:rsidR="00202F8E" w:rsidRDefault="00202F8E">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CEDAW/C/NRU/CO/1-2</w:t>
          </w:r>
          <w:r>
            <w:rPr>
              <w:b/>
              <w:bCs/>
            </w:rPr>
            <w:fldChar w:fldCharType="end"/>
          </w:r>
        </w:p>
      </w:tc>
      <w:tc>
        <w:tcPr>
          <w:tcW w:w="5028" w:type="dxa"/>
          <w:tcBorders>
            <w:bottom w:val="single" w:sz="2" w:space="0" w:color="000000"/>
          </w:tcBorders>
          <w:vAlign w:val="bottom"/>
        </w:tcPr>
        <w:p w14:paraId="18AFC870" w14:textId="77777777" w:rsidR="00202F8E" w:rsidRDefault="00202F8E">
          <w:pPr>
            <w:pStyle w:val="Header"/>
          </w:pPr>
        </w:p>
      </w:tc>
    </w:tr>
  </w:tbl>
  <w:p w14:paraId="35B7D29D" w14:textId="77777777" w:rsidR="00202F8E" w:rsidRDefault="00202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02F8E" w:rsidRPr="007034AD" w14:paraId="23DBE241" w14:textId="77777777">
      <w:trPr>
        <w:trHeight w:hRule="exact" w:val="864"/>
      </w:trPr>
      <w:tc>
        <w:tcPr>
          <w:tcW w:w="4838" w:type="dxa"/>
          <w:tcBorders>
            <w:bottom w:val="single" w:sz="2" w:space="0" w:color="000000"/>
          </w:tcBorders>
          <w:vAlign w:val="bottom"/>
        </w:tcPr>
        <w:p w14:paraId="6B79ADC8" w14:textId="77777777" w:rsidR="00202F8E" w:rsidRDefault="00202F8E">
          <w:pPr>
            <w:pStyle w:val="Header"/>
          </w:pPr>
        </w:p>
      </w:tc>
      <w:tc>
        <w:tcPr>
          <w:tcW w:w="5028" w:type="dxa"/>
          <w:tcBorders>
            <w:bottom w:val="single" w:sz="2" w:space="0" w:color="000000"/>
          </w:tcBorders>
          <w:vAlign w:val="bottom"/>
        </w:tcPr>
        <w:p w14:paraId="360CCB31" w14:textId="77777777" w:rsidR="00202F8E" w:rsidRDefault="00202F8E">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CEDAW/C/NRU/CO/1-2</w:t>
          </w:r>
          <w:r>
            <w:rPr>
              <w:b/>
              <w:bCs/>
            </w:rPr>
            <w:fldChar w:fldCharType="end"/>
          </w:r>
        </w:p>
      </w:tc>
    </w:tr>
  </w:tbl>
  <w:p w14:paraId="4583AE15" w14:textId="77777777" w:rsidR="00202F8E" w:rsidRDefault="00202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2592"/>
      <w:gridCol w:w="245"/>
      <w:gridCol w:w="2390"/>
      <w:gridCol w:w="245"/>
      <w:gridCol w:w="3140"/>
      <w:gridCol w:w="21"/>
    </w:tblGrid>
    <w:tr w:rsidR="00202F8E" w:rsidRPr="00B416F8" w14:paraId="5C562E27" w14:textId="77777777" w:rsidTr="000973A0">
      <w:trPr>
        <w:trHeight w:hRule="exact" w:val="864"/>
      </w:trPr>
      <w:tc>
        <w:tcPr>
          <w:tcW w:w="1267" w:type="dxa"/>
          <w:tcBorders>
            <w:bottom w:val="single" w:sz="4" w:space="0" w:color="auto"/>
          </w:tcBorders>
          <w:vAlign w:val="bottom"/>
        </w:tcPr>
        <w:p w14:paraId="649CF6FB" w14:textId="77777777" w:rsidR="00202F8E" w:rsidRDefault="00202F8E">
          <w:pPr>
            <w:pStyle w:val="Header"/>
            <w:spacing w:after="120"/>
          </w:pPr>
        </w:p>
      </w:tc>
      <w:tc>
        <w:tcPr>
          <w:tcW w:w="2592" w:type="dxa"/>
          <w:tcBorders>
            <w:bottom w:val="single" w:sz="4" w:space="0" w:color="auto"/>
          </w:tcBorders>
          <w:vAlign w:val="bottom"/>
        </w:tcPr>
        <w:p w14:paraId="74BBE461" w14:textId="77777777" w:rsidR="00202F8E" w:rsidRPr="0043124C" w:rsidRDefault="00202F8E" w:rsidP="0043124C">
          <w:pPr>
            <w:pStyle w:val="HCh"/>
            <w:spacing w:after="80"/>
            <w:rPr>
              <w:b w:val="0"/>
              <w:bCs w:val="0"/>
              <w:spacing w:val="2"/>
              <w:w w:val="96"/>
              <w:szCs w:val="24"/>
              <w:lang w:val="es-ES"/>
            </w:rPr>
          </w:pPr>
          <w:r w:rsidRPr="0043124C">
            <w:rPr>
              <w:b w:val="0"/>
              <w:bCs w:val="0"/>
              <w:spacing w:val="2"/>
              <w:w w:val="96"/>
              <w:szCs w:val="24"/>
              <w:lang w:val="es-ES"/>
            </w:rPr>
            <w:t>Naciones Unidas</w:t>
          </w:r>
        </w:p>
      </w:tc>
      <w:tc>
        <w:tcPr>
          <w:tcW w:w="245" w:type="dxa"/>
          <w:tcBorders>
            <w:bottom w:val="single" w:sz="4" w:space="0" w:color="auto"/>
          </w:tcBorders>
          <w:vAlign w:val="bottom"/>
        </w:tcPr>
        <w:p w14:paraId="67355E56" w14:textId="77777777" w:rsidR="00202F8E" w:rsidRDefault="00202F8E">
          <w:pPr>
            <w:pStyle w:val="Header"/>
            <w:spacing w:after="120"/>
          </w:pPr>
        </w:p>
      </w:tc>
      <w:tc>
        <w:tcPr>
          <w:tcW w:w="5796" w:type="dxa"/>
          <w:gridSpan w:val="4"/>
          <w:tcBorders>
            <w:bottom w:val="single" w:sz="4" w:space="0" w:color="auto"/>
          </w:tcBorders>
          <w:vAlign w:val="bottom"/>
        </w:tcPr>
        <w:p w14:paraId="05710840" w14:textId="77777777" w:rsidR="00202F8E" w:rsidRPr="00ED4C2B" w:rsidRDefault="00202F8E" w:rsidP="00131788">
          <w:pPr>
            <w:spacing w:after="80" w:line="240" w:lineRule="auto"/>
            <w:jc w:val="right"/>
            <w:rPr>
              <w:position w:val="-4"/>
              <w:lang w:val="es-ES"/>
            </w:rPr>
          </w:pPr>
          <w:r w:rsidRPr="00ED4C2B">
            <w:rPr>
              <w:noProof/>
              <w:position w:val="-4"/>
              <w:sz w:val="40"/>
              <w:szCs w:val="40"/>
              <w:lang w:val="es-ES"/>
            </w:rPr>
            <w:t>CEDAW</w:t>
          </w:r>
          <w:r w:rsidRPr="00ED4C2B">
            <w:rPr>
              <w:noProof/>
              <w:position w:val="-4"/>
              <w:lang w:val="es-ES"/>
            </w:rPr>
            <w:t>/C/</w:t>
          </w:r>
          <w:r>
            <w:rPr>
              <w:noProof/>
              <w:position w:val="-4"/>
              <w:lang w:val="es-ES"/>
            </w:rPr>
            <w:t>NRU</w:t>
          </w:r>
          <w:r w:rsidRPr="00ED4C2B">
            <w:rPr>
              <w:noProof/>
              <w:position w:val="-4"/>
              <w:lang w:val="es-ES"/>
            </w:rPr>
            <w:t>/</w:t>
          </w:r>
          <w:r>
            <w:rPr>
              <w:noProof/>
              <w:position w:val="-4"/>
              <w:lang w:val="es-ES"/>
            </w:rPr>
            <w:t>CO/1-2</w:t>
          </w:r>
        </w:p>
      </w:tc>
    </w:tr>
    <w:tr w:rsidR="00202F8E" w:rsidRPr="00B74BBA" w14:paraId="1594D9D0" w14:textId="77777777" w:rsidTr="000973A0">
      <w:trPr>
        <w:gridAfter w:val="1"/>
        <w:wAfter w:w="21" w:type="dxa"/>
        <w:trHeight w:hRule="exact" w:val="2880"/>
      </w:trPr>
      <w:tc>
        <w:tcPr>
          <w:tcW w:w="1267" w:type="dxa"/>
          <w:tcBorders>
            <w:top w:val="single" w:sz="4" w:space="0" w:color="auto"/>
            <w:bottom w:val="single" w:sz="12" w:space="0" w:color="auto"/>
          </w:tcBorders>
        </w:tcPr>
        <w:p w14:paraId="71358321" w14:textId="77777777" w:rsidR="00202F8E" w:rsidRDefault="00202F8E">
          <w:pPr>
            <w:pStyle w:val="Header"/>
            <w:spacing w:before="120"/>
            <w:jc w:val="center"/>
          </w:pPr>
          <w:r>
            <w:rPr>
              <w:lang w:val="en-GB" w:eastAsia="en-GB"/>
            </w:rPr>
            <w:drawing>
              <wp:inline distT="0" distB="0" distL="0" distR="0" wp14:anchorId="422098DF" wp14:editId="77958756">
                <wp:extent cx="673100" cy="569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959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2CF47795" w14:textId="39BBC82C" w:rsidR="00202F8E" w:rsidRPr="00862864" w:rsidRDefault="00202F8E" w:rsidP="00961CFD">
          <w:pPr>
            <w:suppressAutoHyphens w:val="0"/>
            <w:spacing w:before="120" w:line="380" w:lineRule="exact"/>
            <w:ind w:right="192"/>
            <w:rPr>
              <w:b/>
              <w:spacing w:val="0"/>
              <w:w w:val="100"/>
              <w:kern w:val="0"/>
              <w:sz w:val="34"/>
              <w:szCs w:val="40"/>
              <w:lang w:val="es-ES"/>
            </w:rPr>
          </w:pPr>
          <w:r w:rsidRPr="00862864">
            <w:rPr>
              <w:b/>
              <w:spacing w:val="0"/>
              <w:w w:val="100"/>
              <w:kern w:val="0"/>
              <w:sz w:val="34"/>
              <w:szCs w:val="40"/>
              <w:lang w:val="es-ES"/>
            </w:rPr>
            <w:t>Convención sobre la Eliminación de Todas las Formas de Discriminación contra la Mujer</w:t>
          </w:r>
        </w:p>
      </w:tc>
      <w:tc>
        <w:tcPr>
          <w:tcW w:w="245" w:type="dxa"/>
          <w:tcBorders>
            <w:top w:val="single" w:sz="4" w:space="0" w:color="auto"/>
            <w:bottom w:val="single" w:sz="12" w:space="0" w:color="auto"/>
          </w:tcBorders>
        </w:tcPr>
        <w:p w14:paraId="399C6CDD" w14:textId="77777777" w:rsidR="00202F8E" w:rsidRDefault="00202F8E">
          <w:pPr>
            <w:pStyle w:val="Header"/>
            <w:spacing w:before="109"/>
          </w:pPr>
        </w:p>
      </w:tc>
      <w:tc>
        <w:tcPr>
          <w:tcW w:w="3140" w:type="dxa"/>
          <w:tcBorders>
            <w:top w:val="single" w:sz="4" w:space="0" w:color="auto"/>
            <w:bottom w:val="single" w:sz="12" w:space="0" w:color="auto"/>
          </w:tcBorders>
        </w:tcPr>
        <w:p w14:paraId="41093D0A" w14:textId="77777777" w:rsidR="00202F8E" w:rsidRDefault="00202F8E">
          <w:pPr>
            <w:pStyle w:val="Distribution"/>
            <w:rPr>
              <w:lang w:val="es-ES"/>
            </w:rPr>
          </w:pPr>
          <w:r>
            <w:rPr>
              <w:color w:val="010000"/>
              <w:lang w:val="es-ES"/>
            </w:rPr>
            <w:t>Distr. general</w:t>
          </w:r>
        </w:p>
        <w:p w14:paraId="1A7791E9" w14:textId="77777777" w:rsidR="00202F8E" w:rsidRDefault="00202F8E">
          <w:pPr>
            <w:pStyle w:val="Publication"/>
            <w:rPr>
              <w:color w:val="010000"/>
              <w:lang w:val="es-ES"/>
            </w:rPr>
          </w:pPr>
          <w:r>
            <w:rPr>
              <w:color w:val="010000"/>
              <w:lang w:val="es-ES"/>
            </w:rPr>
            <w:t>22</w:t>
          </w:r>
          <w:r w:rsidRPr="00691C0B">
            <w:rPr>
              <w:color w:val="010000"/>
              <w:lang w:val="es-ES"/>
            </w:rPr>
            <w:t xml:space="preserve"> de </w:t>
          </w:r>
          <w:r>
            <w:rPr>
              <w:color w:val="010000"/>
              <w:lang w:val="es-ES"/>
            </w:rPr>
            <w:t>noviembre</w:t>
          </w:r>
          <w:r w:rsidRPr="00691C0B">
            <w:rPr>
              <w:color w:val="010000"/>
              <w:lang w:val="es-ES"/>
            </w:rPr>
            <w:t xml:space="preserve"> de 2017</w:t>
          </w:r>
        </w:p>
        <w:p w14:paraId="782552FC" w14:textId="77777777" w:rsidR="00202F8E" w:rsidRPr="00B11E0C" w:rsidRDefault="00202F8E">
          <w:pPr>
            <w:pStyle w:val="Original"/>
            <w:rPr>
              <w:lang w:val="es-ES"/>
            </w:rPr>
          </w:pPr>
          <w:r>
            <w:rPr>
              <w:color w:val="010000"/>
              <w:lang w:val="es-ES"/>
            </w:rPr>
            <w:t>Español</w:t>
          </w:r>
          <w:r>
            <w:rPr>
              <w:color w:val="010000"/>
              <w:lang w:val="es-ES"/>
            </w:rPr>
            <w:br/>
            <w:t>Original:</w:t>
          </w:r>
          <w:r w:rsidRPr="00B11E0C">
            <w:rPr>
              <w:color w:val="010000"/>
              <w:lang w:val="es-ES"/>
            </w:rPr>
            <w:t xml:space="preserve"> </w:t>
          </w:r>
          <w:r>
            <w:rPr>
              <w:color w:val="010000"/>
              <w:lang w:val="es-ES"/>
            </w:rPr>
            <w:t>inglés</w:t>
          </w:r>
        </w:p>
        <w:p w14:paraId="4AED885B" w14:textId="77777777" w:rsidR="00202F8E" w:rsidRPr="00B11E0C" w:rsidRDefault="00202F8E">
          <w:pPr>
            <w:rPr>
              <w:lang w:val="es-ES"/>
            </w:rPr>
          </w:pPr>
        </w:p>
      </w:tc>
    </w:tr>
  </w:tbl>
  <w:p w14:paraId="0A74B05F" w14:textId="77777777" w:rsidR="00202F8E" w:rsidRDefault="00202F8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rPr>
        <w:rFonts w:cs="Times New Roman"/>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F73"/>
    <w:multiLevelType w:val="hybridMultilevel"/>
    <w:tmpl w:val="CCFA383C"/>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3" w15:restartNumberingAfterBreak="0">
    <w:nsid w:val="07A330DD"/>
    <w:multiLevelType w:val="hybridMultilevel"/>
    <w:tmpl w:val="ADB43E14"/>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15:restartNumberingAfterBreak="0">
    <w:nsid w:val="10F41A50"/>
    <w:multiLevelType w:val="hybridMultilevel"/>
    <w:tmpl w:val="9766C430"/>
    <w:lvl w:ilvl="0" w:tplc="202CC31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5" w15:restartNumberingAfterBreak="0">
    <w:nsid w:val="11B91852"/>
    <w:multiLevelType w:val="hybridMultilevel"/>
    <w:tmpl w:val="2D8E24B6"/>
    <w:lvl w:ilvl="0" w:tplc="54A46870">
      <w:start w:val="1"/>
      <w:numFmt w:val="decimal"/>
      <w:lvlText w:val="%1."/>
      <w:lvlJc w:val="left"/>
      <w:pPr>
        <w:ind w:left="1500" w:hanging="360"/>
      </w:pPr>
      <w:rPr>
        <w:rFonts w:cs="Times New Roman" w:hint="default"/>
      </w:rPr>
    </w:lvl>
    <w:lvl w:ilvl="1" w:tplc="08090019">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6" w15:restartNumberingAfterBreak="0">
    <w:nsid w:val="147635A0"/>
    <w:multiLevelType w:val="multilevel"/>
    <w:tmpl w:val="C988F3DE"/>
    <w:name w:val="TOC"/>
    <w:lvl w:ilvl="0">
      <w:start w:val="1"/>
      <w:numFmt w:val="decimal"/>
      <w:lvlText w:val="%1."/>
      <w:lvlJc w:val="right"/>
      <w:pPr>
        <w:tabs>
          <w:tab w:val="num" w:pos="1296"/>
        </w:tabs>
        <w:ind w:left="1296" w:hanging="216"/>
      </w:pPr>
      <w:rPr>
        <w:rFonts w:cs="Times New Roman" w:hint="default"/>
      </w:rPr>
    </w:lvl>
    <w:lvl w:ilvl="1">
      <w:start w:val="1"/>
      <w:numFmt w:val="upperLetter"/>
      <w:lvlText w:val="%2."/>
      <w:lvlJc w:val="left"/>
      <w:pPr>
        <w:tabs>
          <w:tab w:val="num" w:pos="1728"/>
        </w:tabs>
        <w:ind w:left="1728" w:hanging="432"/>
      </w:pPr>
      <w:rPr>
        <w:rFonts w:cs="Times New Roman" w:hint="default"/>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7" w15:restartNumberingAfterBreak="0">
    <w:nsid w:val="2AC04B30"/>
    <w:multiLevelType w:val="hybridMultilevel"/>
    <w:tmpl w:val="F9D86C0E"/>
    <w:lvl w:ilvl="0" w:tplc="B968817C">
      <w:start w:val="1"/>
      <w:numFmt w:val="decimal"/>
      <w:lvlText w:val="%1."/>
      <w:lvlJc w:val="left"/>
      <w:pPr>
        <w:ind w:left="1987" w:hanging="360"/>
      </w:pPr>
      <w:rPr>
        <w:rFonts w:cs="Times New Roman"/>
        <w:b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8" w15:restartNumberingAfterBreak="0">
    <w:nsid w:val="345260FC"/>
    <w:multiLevelType w:val="hybridMultilevel"/>
    <w:tmpl w:val="9FDA04FC"/>
    <w:lvl w:ilvl="0" w:tplc="ABF086FA">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9"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start w:val="1"/>
      <w:numFmt w:val="bullet"/>
      <w:lvlText w:val="o"/>
      <w:lvlJc w:val="left"/>
      <w:pPr>
        <w:ind w:left="3527" w:hanging="360"/>
      </w:pPr>
      <w:rPr>
        <w:rFonts w:ascii="Courier New" w:hAnsi="Courier New" w:hint="default"/>
      </w:rPr>
    </w:lvl>
    <w:lvl w:ilvl="2" w:tplc="04090005">
      <w:start w:val="1"/>
      <w:numFmt w:val="bullet"/>
      <w:lvlText w:val=""/>
      <w:lvlJc w:val="left"/>
      <w:pPr>
        <w:ind w:left="4247" w:hanging="360"/>
      </w:pPr>
      <w:rPr>
        <w:rFonts w:ascii="Wingdings" w:hAnsi="Wingdings" w:hint="default"/>
      </w:rPr>
    </w:lvl>
    <w:lvl w:ilvl="3" w:tplc="04090001">
      <w:start w:val="1"/>
      <w:numFmt w:val="bullet"/>
      <w:lvlText w:val=""/>
      <w:lvlJc w:val="left"/>
      <w:pPr>
        <w:ind w:left="4967" w:hanging="360"/>
      </w:pPr>
      <w:rPr>
        <w:rFonts w:ascii="Symbol" w:hAnsi="Symbol" w:hint="default"/>
      </w:rPr>
    </w:lvl>
    <w:lvl w:ilvl="4" w:tplc="04090003">
      <w:start w:val="1"/>
      <w:numFmt w:val="bullet"/>
      <w:lvlText w:val="o"/>
      <w:lvlJc w:val="left"/>
      <w:pPr>
        <w:ind w:left="5687" w:hanging="360"/>
      </w:pPr>
      <w:rPr>
        <w:rFonts w:ascii="Courier New" w:hAnsi="Courier New" w:hint="default"/>
      </w:rPr>
    </w:lvl>
    <w:lvl w:ilvl="5" w:tplc="04090005">
      <w:start w:val="1"/>
      <w:numFmt w:val="bullet"/>
      <w:lvlText w:val=""/>
      <w:lvlJc w:val="left"/>
      <w:pPr>
        <w:ind w:left="6407" w:hanging="360"/>
      </w:pPr>
      <w:rPr>
        <w:rFonts w:ascii="Wingdings" w:hAnsi="Wingdings" w:hint="default"/>
      </w:rPr>
    </w:lvl>
    <w:lvl w:ilvl="6" w:tplc="04090001">
      <w:start w:val="1"/>
      <w:numFmt w:val="bullet"/>
      <w:lvlText w:val=""/>
      <w:lvlJc w:val="left"/>
      <w:pPr>
        <w:ind w:left="7127" w:hanging="360"/>
      </w:pPr>
      <w:rPr>
        <w:rFonts w:ascii="Symbol" w:hAnsi="Symbol" w:hint="default"/>
      </w:rPr>
    </w:lvl>
    <w:lvl w:ilvl="7" w:tplc="04090003">
      <w:start w:val="1"/>
      <w:numFmt w:val="bullet"/>
      <w:lvlText w:val="o"/>
      <w:lvlJc w:val="left"/>
      <w:pPr>
        <w:ind w:left="7847" w:hanging="360"/>
      </w:pPr>
      <w:rPr>
        <w:rFonts w:ascii="Courier New" w:hAnsi="Courier New" w:hint="default"/>
      </w:rPr>
    </w:lvl>
    <w:lvl w:ilvl="8" w:tplc="04090005">
      <w:start w:val="1"/>
      <w:numFmt w:val="bullet"/>
      <w:lvlText w:val=""/>
      <w:lvlJc w:val="left"/>
      <w:pPr>
        <w:ind w:left="8567" w:hanging="360"/>
      </w:pPr>
      <w:rPr>
        <w:rFonts w:ascii="Wingdings" w:hAnsi="Wingdings" w:hint="default"/>
      </w:rPr>
    </w:lvl>
  </w:abstractNum>
  <w:abstractNum w:abstractNumId="10" w15:restartNumberingAfterBreak="0">
    <w:nsid w:val="39263805"/>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start w:val="1"/>
      <w:numFmt w:val="bullet"/>
      <w:lvlText w:val="o"/>
      <w:lvlJc w:val="left"/>
      <w:pPr>
        <w:ind w:left="4003" w:hanging="360"/>
      </w:pPr>
      <w:rPr>
        <w:rFonts w:ascii="Courier New" w:hAnsi="Courier New" w:hint="default"/>
      </w:rPr>
    </w:lvl>
    <w:lvl w:ilvl="2" w:tplc="08090005">
      <w:start w:val="1"/>
      <w:numFmt w:val="bullet"/>
      <w:lvlText w:val=""/>
      <w:lvlJc w:val="left"/>
      <w:pPr>
        <w:ind w:left="4723" w:hanging="360"/>
      </w:pPr>
      <w:rPr>
        <w:rFonts w:ascii="Wingdings" w:hAnsi="Wingdings" w:hint="default"/>
      </w:rPr>
    </w:lvl>
    <w:lvl w:ilvl="3" w:tplc="08090001">
      <w:start w:val="1"/>
      <w:numFmt w:val="bullet"/>
      <w:lvlText w:val=""/>
      <w:lvlJc w:val="left"/>
      <w:pPr>
        <w:ind w:left="5443" w:hanging="360"/>
      </w:pPr>
      <w:rPr>
        <w:rFonts w:ascii="Symbol" w:hAnsi="Symbol" w:hint="default"/>
      </w:rPr>
    </w:lvl>
    <w:lvl w:ilvl="4" w:tplc="08090003">
      <w:start w:val="1"/>
      <w:numFmt w:val="bullet"/>
      <w:lvlText w:val="o"/>
      <w:lvlJc w:val="left"/>
      <w:pPr>
        <w:ind w:left="6163" w:hanging="360"/>
      </w:pPr>
      <w:rPr>
        <w:rFonts w:ascii="Courier New" w:hAnsi="Courier New" w:hint="default"/>
      </w:rPr>
    </w:lvl>
    <w:lvl w:ilvl="5" w:tplc="08090005">
      <w:start w:val="1"/>
      <w:numFmt w:val="bullet"/>
      <w:lvlText w:val=""/>
      <w:lvlJc w:val="left"/>
      <w:pPr>
        <w:ind w:left="6883" w:hanging="360"/>
      </w:pPr>
      <w:rPr>
        <w:rFonts w:ascii="Wingdings" w:hAnsi="Wingdings" w:hint="default"/>
      </w:rPr>
    </w:lvl>
    <w:lvl w:ilvl="6" w:tplc="08090001">
      <w:start w:val="1"/>
      <w:numFmt w:val="bullet"/>
      <w:lvlText w:val=""/>
      <w:lvlJc w:val="left"/>
      <w:pPr>
        <w:ind w:left="7603" w:hanging="360"/>
      </w:pPr>
      <w:rPr>
        <w:rFonts w:ascii="Symbol" w:hAnsi="Symbol" w:hint="default"/>
      </w:rPr>
    </w:lvl>
    <w:lvl w:ilvl="7" w:tplc="08090003">
      <w:start w:val="1"/>
      <w:numFmt w:val="bullet"/>
      <w:lvlText w:val="o"/>
      <w:lvlJc w:val="left"/>
      <w:pPr>
        <w:ind w:left="8323" w:hanging="360"/>
      </w:pPr>
      <w:rPr>
        <w:rFonts w:ascii="Courier New" w:hAnsi="Courier New" w:hint="default"/>
      </w:rPr>
    </w:lvl>
    <w:lvl w:ilvl="8" w:tplc="08090005">
      <w:start w:val="1"/>
      <w:numFmt w:val="bullet"/>
      <w:lvlText w:val=""/>
      <w:lvlJc w:val="left"/>
      <w:pPr>
        <w:ind w:left="9043" w:hanging="360"/>
      </w:pPr>
      <w:rPr>
        <w:rFonts w:ascii="Wingdings" w:hAnsi="Wingdings" w:hint="default"/>
      </w:rPr>
    </w:lvl>
  </w:abstractNum>
  <w:abstractNum w:abstractNumId="12" w15:restartNumberingAfterBreak="0">
    <w:nsid w:val="3DBF0852"/>
    <w:multiLevelType w:val="hybridMultilevel"/>
    <w:tmpl w:val="C27A695E"/>
    <w:lvl w:ilvl="0" w:tplc="64C8DA10">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3" w15:restartNumberingAfterBreak="0">
    <w:nsid w:val="426B38DA"/>
    <w:multiLevelType w:val="hybridMultilevel"/>
    <w:tmpl w:val="F8428662"/>
    <w:lvl w:ilvl="0" w:tplc="EBDE3312">
      <w:start w:val="1"/>
      <w:numFmt w:val="decimal"/>
      <w:lvlText w:val="%1."/>
      <w:lvlJc w:val="left"/>
      <w:pPr>
        <w:ind w:left="1987" w:hanging="360"/>
      </w:pPr>
      <w:rPr>
        <w:rFonts w:cs="Times New Roman"/>
        <w:b w:val="0"/>
        <w:i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14" w15:restartNumberingAfterBreak="0">
    <w:nsid w:val="4AF00D84"/>
    <w:multiLevelType w:val="hybridMultilevel"/>
    <w:tmpl w:val="8A9AB0EC"/>
    <w:lvl w:ilvl="0" w:tplc="0D26C9FA">
      <w:start w:val="1"/>
      <w:numFmt w:val="decimal"/>
      <w:lvlText w:val="%1."/>
      <w:lvlJc w:val="left"/>
      <w:pPr>
        <w:ind w:left="2268"/>
      </w:pPr>
      <w:rPr>
        <w:rFonts w:cs="Times New Roman" w:hint="default"/>
        <w:b w:val="0"/>
      </w:rPr>
    </w:lvl>
    <w:lvl w:ilvl="1" w:tplc="04090019" w:tentative="1">
      <w:start w:val="1"/>
      <w:numFmt w:val="lowerLetter"/>
      <w:lvlText w:val="%2."/>
      <w:lvlJc w:val="left"/>
      <w:pPr>
        <w:ind w:left="2574" w:hanging="360"/>
      </w:pPr>
      <w:rPr>
        <w:rFonts w:cs="Times New Roman"/>
      </w:rPr>
    </w:lvl>
    <w:lvl w:ilvl="2" w:tplc="E56C0CB2">
      <w:start w:val="1"/>
      <w:numFmt w:val="decimal"/>
      <w:lvlText w:val="%3."/>
      <w:lvlJc w:val="left"/>
      <w:pPr>
        <w:ind w:left="1134"/>
      </w:pPr>
      <w:rPr>
        <w:rFonts w:cs="Times New Roman" w:hint="default"/>
        <w:b w:val="0"/>
        <w:i w:val="0"/>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5" w15:restartNumberingAfterBreak="0">
    <w:nsid w:val="4F414453"/>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6" w15:restartNumberingAfterBreak="0">
    <w:nsid w:val="4FC61EC7"/>
    <w:multiLevelType w:val="hybridMultilevel"/>
    <w:tmpl w:val="C7441142"/>
    <w:lvl w:ilvl="0" w:tplc="395833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3E417AC"/>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18" w15:restartNumberingAfterBreak="0">
    <w:nsid w:val="5893510D"/>
    <w:multiLevelType w:val="hybridMultilevel"/>
    <w:tmpl w:val="A404C4C4"/>
    <w:lvl w:ilvl="0" w:tplc="E2625DE6">
      <w:start w:val="1"/>
      <w:numFmt w:val="decimal"/>
      <w:lvlText w:val="%1."/>
      <w:lvlJc w:val="left"/>
      <w:pPr>
        <w:ind w:left="1747" w:hanging="480"/>
      </w:pPr>
      <w:rPr>
        <w:rFonts w:cs="Times New Roman" w:hint="default"/>
      </w:rPr>
    </w:lvl>
    <w:lvl w:ilvl="1" w:tplc="0C0A0019" w:tentative="1">
      <w:start w:val="1"/>
      <w:numFmt w:val="lowerLetter"/>
      <w:lvlText w:val="%2."/>
      <w:lvlJc w:val="left"/>
      <w:pPr>
        <w:ind w:left="2347" w:hanging="360"/>
      </w:pPr>
      <w:rPr>
        <w:rFonts w:cs="Times New Roman"/>
      </w:rPr>
    </w:lvl>
    <w:lvl w:ilvl="2" w:tplc="0C0A001B" w:tentative="1">
      <w:start w:val="1"/>
      <w:numFmt w:val="lowerRoman"/>
      <w:lvlText w:val="%3."/>
      <w:lvlJc w:val="right"/>
      <w:pPr>
        <w:ind w:left="3067" w:hanging="180"/>
      </w:pPr>
      <w:rPr>
        <w:rFonts w:cs="Times New Roman"/>
      </w:rPr>
    </w:lvl>
    <w:lvl w:ilvl="3" w:tplc="0C0A000F" w:tentative="1">
      <w:start w:val="1"/>
      <w:numFmt w:val="decimal"/>
      <w:lvlText w:val="%4."/>
      <w:lvlJc w:val="left"/>
      <w:pPr>
        <w:ind w:left="3787" w:hanging="360"/>
      </w:pPr>
      <w:rPr>
        <w:rFonts w:cs="Times New Roman"/>
      </w:rPr>
    </w:lvl>
    <w:lvl w:ilvl="4" w:tplc="0C0A0019" w:tentative="1">
      <w:start w:val="1"/>
      <w:numFmt w:val="lowerLetter"/>
      <w:lvlText w:val="%5."/>
      <w:lvlJc w:val="left"/>
      <w:pPr>
        <w:ind w:left="4507" w:hanging="360"/>
      </w:pPr>
      <w:rPr>
        <w:rFonts w:cs="Times New Roman"/>
      </w:rPr>
    </w:lvl>
    <w:lvl w:ilvl="5" w:tplc="0C0A001B" w:tentative="1">
      <w:start w:val="1"/>
      <w:numFmt w:val="lowerRoman"/>
      <w:lvlText w:val="%6."/>
      <w:lvlJc w:val="right"/>
      <w:pPr>
        <w:ind w:left="5227" w:hanging="180"/>
      </w:pPr>
      <w:rPr>
        <w:rFonts w:cs="Times New Roman"/>
      </w:rPr>
    </w:lvl>
    <w:lvl w:ilvl="6" w:tplc="0C0A000F" w:tentative="1">
      <w:start w:val="1"/>
      <w:numFmt w:val="decimal"/>
      <w:lvlText w:val="%7."/>
      <w:lvlJc w:val="left"/>
      <w:pPr>
        <w:ind w:left="5947" w:hanging="360"/>
      </w:pPr>
      <w:rPr>
        <w:rFonts w:cs="Times New Roman"/>
      </w:rPr>
    </w:lvl>
    <w:lvl w:ilvl="7" w:tplc="0C0A0019" w:tentative="1">
      <w:start w:val="1"/>
      <w:numFmt w:val="lowerLetter"/>
      <w:lvlText w:val="%8."/>
      <w:lvlJc w:val="left"/>
      <w:pPr>
        <w:ind w:left="6667" w:hanging="360"/>
      </w:pPr>
      <w:rPr>
        <w:rFonts w:cs="Times New Roman"/>
      </w:rPr>
    </w:lvl>
    <w:lvl w:ilvl="8" w:tplc="0C0A001B" w:tentative="1">
      <w:start w:val="1"/>
      <w:numFmt w:val="lowerRoman"/>
      <w:lvlText w:val="%9."/>
      <w:lvlJc w:val="right"/>
      <w:pPr>
        <w:ind w:left="7387" w:hanging="180"/>
      </w:pPr>
      <w:rPr>
        <w:rFonts w:cs="Times New Roman"/>
      </w:rPr>
    </w:lvl>
  </w:abstractNum>
  <w:abstractNum w:abstractNumId="19" w15:restartNumberingAfterBreak="0">
    <w:nsid w:val="60990A32"/>
    <w:multiLevelType w:val="hybridMultilevel"/>
    <w:tmpl w:val="CF580928"/>
    <w:lvl w:ilvl="0" w:tplc="0C0A000F">
      <w:start w:val="1"/>
      <w:numFmt w:val="decimal"/>
      <w:lvlText w:val="%1."/>
      <w:lvlJc w:val="left"/>
      <w:pPr>
        <w:ind w:left="2460" w:hanging="360"/>
      </w:pPr>
      <w:rPr>
        <w:rFonts w:cs="Times New Roman" w:hint="default"/>
      </w:rPr>
    </w:lvl>
    <w:lvl w:ilvl="1" w:tplc="0C0A0019" w:tentative="1">
      <w:start w:val="1"/>
      <w:numFmt w:val="lowerLetter"/>
      <w:lvlText w:val="%2."/>
      <w:lvlJc w:val="left"/>
      <w:pPr>
        <w:ind w:left="3180" w:hanging="360"/>
      </w:pPr>
      <w:rPr>
        <w:rFonts w:cs="Times New Roman"/>
      </w:rPr>
    </w:lvl>
    <w:lvl w:ilvl="2" w:tplc="0C0A001B" w:tentative="1">
      <w:start w:val="1"/>
      <w:numFmt w:val="lowerRoman"/>
      <w:lvlText w:val="%3."/>
      <w:lvlJc w:val="right"/>
      <w:pPr>
        <w:ind w:left="3900" w:hanging="180"/>
      </w:pPr>
      <w:rPr>
        <w:rFonts w:cs="Times New Roman"/>
      </w:rPr>
    </w:lvl>
    <w:lvl w:ilvl="3" w:tplc="0C0A000F" w:tentative="1">
      <w:start w:val="1"/>
      <w:numFmt w:val="decimal"/>
      <w:lvlText w:val="%4."/>
      <w:lvlJc w:val="left"/>
      <w:pPr>
        <w:ind w:left="4620" w:hanging="360"/>
      </w:pPr>
      <w:rPr>
        <w:rFonts w:cs="Times New Roman"/>
      </w:rPr>
    </w:lvl>
    <w:lvl w:ilvl="4" w:tplc="0C0A0019" w:tentative="1">
      <w:start w:val="1"/>
      <w:numFmt w:val="lowerLetter"/>
      <w:lvlText w:val="%5."/>
      <w:lvlJc w:val="left"/>
      <w:pPr>
        <w:ind w:left="5340" w:hanging="360"/>
      </w:pPr>
      <w:rPr>
        <w:rFonts w:cs="Times New Roman"/>
      </w:rPr>
    </w:lvl>
    <w:lvl w:ilvl="5" w:tplc="0C0A001B" w:tentative="1">
      <w:start w:val="1"/>
      <w:numFmt w:val="lowerRoman"/>
      <w:lvlText w:val="%6."/>
      <w:lvlJc w:val="right"/>
      <w:pPr>
        <w:ind w:left="6060" w:hanging="180"/>
      </w:pPr>
      <w:rPr>
        <w:rFonts w:cs="Times New Roman"/>
      </w:rPr>
    </w:lvl>
    <w:lvl w:ilvl="6" w:tplc="0C0A000F" w:tentative="1">
      <w:start w:val="1"/>
      <w:numFmt w:val="decimal"/>
      <w:lvlText w:val="%7."/>
      <w:lvlJc w:val="left"/>
      <w:pPr>
        <w:ind w:left="6780" w:hanging="360"/>
      </w:pPr>
      <w:rPr>
        <w:rFonts w:cs="Times New Roman"/>
      </w:rPr>
    </w:lvl>
    <w:lvl w:ilvl="7" w:tplc="0C0A0019" w:tentative="1">
      <w:start w:val="1"/>
      <w:numFmt w:val="lowerLetter"/>
      <w:lvlText w:val="%8."/>
      <w:lvlJc w:val="left"/>
      <w:pPr>
        <w:ind w:left="7500" w:hanging="360"/>
      </w:pPr>
      <w:rPr>
        <w:rFonts w:cs="Times New Roman"/>
      </w:rPr>
    </w:lvl>
    <w:lvl w:ilvl="8" w:tplc="0C0A001B" w:tentative="1">
      <w:start w:val="1"/>
      <w:numFmt w:val="lowerRoman"/>
      <w:lvlText w:val="%9."/>
      <w:lvlJc w:val="right"/>
      <w:pPr>
        <w:ind w:left="8220" w:hanging="180"/>
      </w:pPr>
      <w:rPr>
        <w:rFonts w:cs="Times New Roman"/>
      </w:rPr>
    </w:lvl>
  </w:abstractNum>
  <w:abstractNum w:abstractNumId="20" w15:restartNumberingAfterBreak="0">
    <w:nsid w:val="61EE311B"/>
    <w:multiLevelType w:val="hybridMultilevel"/>
    <w:tmpl w:val="694E5F4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2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start w:val="1"/>
      <w:numFmt w:val="bullet"/>
      <w:lvlText w:val="o"/>
      <w:lvlJc w:val="left"/>
      <w:pPr>
        <w:ind w:left="3056" w:hanging="360"/>
      </w:pPr>
      <w:rPr>
        <w:rFonts w:ascii="Courier New" w:hAnsi="Courier New" w:hint="default"/>
      </w:rPr>
    </w:lvl>
    <w:lvl w:ilvl="2" w:tplc="04090005">
      <w:start w:val="1"/>
      <w:numFmt w:val="bullet"/>
      <w:lvlText w:val=""/>
      <w:lvlJc w:val="left"/>
      <w:pPr>
        <w:ind w:left="3776" w:hanging="360"/>
      </w:pPr>
      <w:rPr>
        <w:rFonts w:ascii="Wingdings" w:hAnsi="Wingdings" w:hint="default"/>
      </w:rPr>
    </w:lvl>
    <w:lvl w:ilvl="3" w:tplc="04090001">
      <w:start w:val="1"/>
      <w:numFmt w:val="bullet"/>
      <w:lvlText w:val=""/>
      <w:lvlJc w:val="left"/>
      <w:pPr>
        <w:ind w:left="4496" w:hanging="360"/>
      </w:pPr>
      <w:rPr>
        <w:rFonts w:ascii="Symbol" w:hAnsi="Symbol" w:hint="default"/>
      </w:rPr>
    </w:lvl>
    <w:lvl w:ilvl="4" w:tplc="04090003">
      <w:start w:val="1"/>
      <w:numFmt w:val="bullet"/>
      <w:lvlText w:val="o"/>
      <w:lvlJc w:val="left"/>
      <w:pPr>
        <w:ind w:left="5216" w:hanging="360"/>
      </w:pPr>
      <w:rPr>
        <w:rFonts w:ascii="Courier New" w:hAnsi="Courier New" w:hint="default"/>
      </w:rPr>
    </w:lvl>
    <w:lvl w:ilvl="5" w:tplc="04090005">
      <w:start w:val="1"/>
      <w:numFmt w:val="bullet"/>
      <w:lvlText w:val=""/>
      <w:lvlJc w:val="left"/>
      <w:pPr>
        <w:ind w:left="5936" w:hanging="360"/>
      </w:pPr>
      <w:rPr>
        <w:rFonts w:ascii="Wingdings" w:hAnsi="Wingdings" w:hint="default"/>
      </w:rPr>
    </w:lvl>
    <w:lvl w:ilvl="6" w:tplc="04090001">
      <w:start w:val="1"/>
      <w:numFmt w:val="bullet"/>
      <w:lvlText w:val=""/>
      <w:lvlJc w:val="left"/>
      <w:pPr>
        <w:ind w:left="6656" w:hanging="360"/>
      </w:pPr>
      <w:rPr>
        <w:rFonts w:ascii="Symbol" w:hAnsi="Symbol" w:hint="default"/>
      </w:rPr>
    </w:lvl>
    <w:lvl w:ilvl="7" w:tplc="04090003">
      <w:start w:val="1"/>
      <w:numFmt w:val="bullet"/>
      <w:lvlText w:val="o"/>
      <w:lvlJc w:val="left"/>
      <w:pPr>
        <w:ind w:left="7376" w:hanging="360"/>
      </w:pPr>
      <w:rPr>
        <w:rFonts w:ascii="Courier New" w:hAnsi="Courier New" w:hint="default"/>
      </w:rPr>
    </w:lvl>
    <w:lvl w:ilvl="8" w:tplc="04090005">
      <w:start w:val="1"/>
      <w:numFmt w:val="bullet"/>
      <w:lvlText w:val=""/>
      <w:lvlJc w:val="left"/>
      <w:pPr>
        <w:ind w:left="8096" w:hanging="360"/>
      </w:pPr>
      <w:rPr>
        <w:rFonts w:ascii="Wingdings" w:hAnsi="Wingdings" w:hint="default"/>
      </w:rPr>
    </w:lvl>
  </w:abstractNum>
  <w:abstractNum w:abstractNumId="22" w15:restartNumberingAfterBreak="0">
    <w:nsid w:val="7D447351"/>
    <w:multiLevelType w:val="hybridMultilevel"/>
    <w:tmpl w:val="A4E2242C"/>
    <w:lvl w:ilvl="0" w:tplc="F800C600">
      <w:start w:val="1"/>
      <w:numFmt w:val="decimal"/>
      <w:lvlText w:val="%1."/>
      <w:lvlJc w:val="left"/>
      <w:pPr>
        <w:ind w:left="1134"/>
      </w:pPr>
      <w:rPr>
        <w:rFonts w:cs="Times New Roman" w:hint="default"/>
      </w:rPr>
    </w:lvl>
    <w:lvl w:ilvl="1" w:tplc="08090019" w:tentative="1">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9"/>
  </w:num>
  <w:num w:numId="12">
    <w:abstractNumId w:val="21"/>
  </w:num>
  <w:num w:numId="13">
    <w:abstractNumId w:val="11"/>
  </w:num>
  <w:num w:numId="14">
    <w:abstractNumId w:val="13"/>
  </w:num>
  <w:num w:numId="15">
    <w:abstractNumId w:val="18"/>
  </w:num>
  <w:num w:numId="16">
    <w:abstractNumId w:val="0"/>
  </w:num>
  <w:num w:numId="17">
    <w:abstractNumId w:val="20"/>
  </w:num>
  <w:num w:numId="18">
    <w:abstractNumId w:val="6"/>
  </w:num>
  <w:num w:numId="19">
    <w:abstractNumId w:val="1"/>
    <w:lvlOverride w:ilvl="0">
      <w:lvl w:ilvl="0" w:tplc="9008FA9E">
        <w:start w:val="1"/>
        <w:numFmt w:val="bullet"/>
        <w:lvlText w:val="•"/>
        <w:lvlJc w:val="left"/>
        <w:pPr>
          <w:tabs>
            <w:tab w:val="num" w:pos="1701"/>
          </w:tabs>
          <w:ind w:left="1701" w:hanging="170"/>
        </w:pPr>
        <w:rPr>
          <w:rFonts w:ascii="Times New Roman" w:hAnsi="Times New Roman" w:hint="default"/>
        </w:rPr>
      </w:lvl>
    </w:lvlOverride>
  </w:num>
  <w:num w:numId="20">
    <w:abstractNumId w:val="16"/>
    <w:lvlOverride w:ilvl="0">
      <w:lvl w:ilvl="0" w:tplc="395833DC">
        <w:start w:val="1"/>
        <w:numFmt w:val="decimal"/>
        <w:lvlText w:val="%1."/>
        <w:lvlJc w:val="left"/>
        <w:pPr>
          <w:ind w:left="1080" w:hanging="360"/>
        </w:pPr>
        <w:rPr>
          <w:rFonts w:cs="Times New Roman" w:hint="default"/>
        </w:rPr>
      </w:lvl>
    </w:lvlOverride>
  </w:num>
  <w:num w:numId="21">
    <w:abstractNumId w:val="14"/>
    <w:lvlOverride w:ilvl="0">
      <w:lvl w:ilvl="0" w:tplc="0D26C9FA">
        <w:numFmt w:val="decimal"/>
        <w:lvlText w:val=""/>
        <w:lvlJc w:val="left"/>
        <w:rPr>
          <w:rFonts w:cs="Times New Roman"/>
        </w:rPr>
      </w:lvl>
    </w:lvlOverride>
    <w:lvlOverride w:ilvl="1">
      <w:lvl w:ilvl="1" w:tplc="04090019">
        <w:numFmt w:val="decimal"/>
        <w:lvlText w:val=""/>
        <w:lvlJc w:val="left"/>
        <w:rPr>
          <w:rFonts w:cs="Times New Roman"/>
        </w:rPr>
      </w:lvl>
    </w:lvlOverride>
    <w:lvlOverride w:ilvl="2">
      <w:lvl w:ilvl="2" w:tplc="E56C0CB2">
        <w:start w:val="1"/>
        <w:numFmt w:val="decimal"/>
        <w:lvlText w:val="%3."/>
        <w:lvlJc w:val="left"/>
        <w:pPr>
          <w:ind w:left="1134"/>
        </w:pPr>
        <w:rPr>
          <w:rFonts w:cs="Times New Roman" w:hint="default"/>
          <w:b w:val="0"/>
          <w:i w:val="0"/>
        </w:rPr>
      </w:lvl>
    </w:lvlOverride>
  </w:num>
  <w:num w:numId="22">
    <w:abstractNumId w:val="12"/>
  </w:num>
  <w:num w:numId="23">
    <w:abstractNumId w:val="10"/>
  </w:num>
  <w:num w:numId="24">
    <w:abstractNumId w:val="22"/>
  </w:num>
  <w:num w:numId="25">
    <w:abstractNumId w:val="17"/>
  </w:num>
  <w:num w:numId="26">
    <w:abstractNumId w:val="19"/>
  </w:num>
  <w:num w:numId="27">
    <w:abstractNumId w:val="5"/>
  </w:num>
  <w:num w:numId="28">
    <w:abstractNumId w:val="15"/>
  </w:num>
  <w:num w:numId="29">
    <w:abstractNumId w:val="3"/>
  </w:num>
  <w:num w:numId="30">
    <w:abstractNumId w:val="8"/>
  </w:num>
  <w:num w:numId="31">
    <w:abstractNumId w:val="7"/>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7*"/>
    <w:docVar w:name="jobn" w:val="17-20377 (S)"/>
    <w:docVar w:name="JobNo" w:val="1720377S"/>
    <w:docVar w:name="ODSRefJobNo" w:val="1739423S"/>
    <w:docVar w:name="sss1" w:val="CEDAW/C/NRU/CO/1-2"/>
    <w:docVar w:name="sss2" w:val="-"/>
  </w:docVars>
  <w:rsids>
    <w:rsidRoot w:val="0056215F"/>
    <w:rsid w:val="00000FA2"/>
    <w:rsid w:val="000015D7"/>
    <w:rsid w:val="000021CA"/>
    <w:rsid w:val="0000301C"/>
    <w:rsid w:val="000044BD"/>
    <w:rsid w:val="00006ABE"/>
    <w:rsid w:val="00010CB2"/>
    <w:rsid w:val="00011F66"/>
    <w:rsid w:val="000130C5"/>
    <w:rsid w:val="000134E2"/>
    <w:rsid w:val="000137FE"/>
    <w:rsid w:val="00013C9F"/>
    <w:rsid w:val="000156C9"/>
    <w:rsid w:val="00016FFB"/>
    <w:rsid w:val="0001793F"/>
    <w:rsid w:val="00021540"/>
    <w:rsid w:val="000226FD"/>
    <w:rsid w:val="000229D5"/>
    <w:rsid w:val="00023BDE"/>
    <w:rsid w:val="000243C1"/>
    <w:rsid w:val="00024B08"/>
    <w:rsid w:val="00024E5A"/>
    <w:rsid w:val="00025848"/>
    <w:rsid w:val="000258AB"/>
    <w:rsid w:val="00027828"/>
    <w:rsid w:val="000308AA"/>
    <w:rsid w:val="00031362"/>
    <w:rsid w:val="00032100"/>
    <w:rsid w:val="0003242E"/>
    <w:rsid w:val="000329BC"/>
    <w:rsid w:val="00034259"/>
    <w:rsid w:val="000405A7"/>
    <w:rsid w:val="00041883"/>
    <w:rsid w:val="00041CAB"/>
    <w:rsid w:val="00042536"/>
    <w:rsid w:val="000453D3"/>
    <w:rsid w:val="00045480"/>
    <w:rsid w:val="00045DEF"/>
    <w:rsid w:val="000460A8"/>
    <w:rsid w:val="00047F6D"/>
    <w:rsid w:val="00050956"/>
    <w:rsid w:val="000509B8"/>
    <w:rsid w:val="00051981"/>
    <w:rsid w:val="00051D6F"/>
    <w:rsid w:val="00052994"/>
    <w:rsid w:val="00054828"/>
    <w:rsid w:val="0005594B"/>
    <w:rsid w:val="00056CC8"/>
    <w:rsid w:val="00057F15"/>
    <w:rsid w:val="00057FD3"/>
    <w:rsid w:val="00060FB4"/>
    <w:rsid w:val="00062E0F"/>
    <w:rsid w:val="0006620A"/>
    <w:rsid w:val="00066C39"/>
    <w:rsid w:val="00070481"/>
    <w:rsid w:val="00070D7C"/>
    <w:rsid w:val="00073257"/>
    <w:rsid w:val="00073B00"/>
    <w:rsid w:val="00075E3E"/>
    <w:rsid w:val="00076050"/>
    <w:rsid w:val="00076459"/>
    <w:rsid w:val="0007729C"/>
    <w:rsid w:val="00077C68"/>
    <w:rsid w:val="00077DB0"/>
    <w:rsid w:val="00080953"/>
    <w:rsid w:val="00081CC0"/>
    <w:rsid w:val="000820B0"/>
    <w:rsid w:val="000873DA"/>
    <w:rsid w:val="0009142F"/>
    <w:rsid w:val="000930EA"/>
    <w:rsid w:val="00094436"/>
    <w:rsid w:val="000950BC"/>
    <w:rsid w:val="00095653"/>
    <w:rsid w:val="00096611"/>
    <w:rsid w:val="0009675E"/>
    <w:rsid w:val="000973A0"/>
    <w:rsid w:val="000A1401"/>
    <w:rsid w:val="000A1601"/>
    <w:rsid w:val="000A1DE2"/>
    <w:rsid w:val="000A455D"/>
    <w:rsid w:val="000B2AB1"/>
    <w:rsid w:val="000B2C6A"/>
    <w:rsid w:val="000B407F"/>
    <w:rsid w:val="000B4CA3"/>
    <w:rsid w:val="000B5343"/>
    <w:rsid w:val="000B6F32"/>
    <w:rsid w:val="000B7349"/>
    <w:rsid w:val="000C0792"/>
    <w:rsid w:val="000C30BC"/>
    <w:rsid w:val="000C4942"/>
    <w:rsid w:val="000C49BE"/>
    <w:rsid w:val="000C676D"/>
    <w:rsid w:val="000D07EC"/>
    <w:rsid w:val="000D24F2"/>
    <w:rsid w:val="000D3616"/>
    <w:rsid w:val="000D4520"/>
    <w:rsid w:val="000D7435"/>
    <w:rsid w:val="000D7DC3"/>
    <w:rsid w:val="000E098E"/>
    <w:rsid w:val="000E3AD3"/>
    <w:rsid w:val="000E3E97"/>
    <w:rsid w:val="000E413B"/>
    <w:rsid w:val="000E454F"/>
    <w:rsid w:val="000E4DB4"/>
    <w:rsid w:val="000E578F"/>
    <w:rsid w:val="000E5E84"/>
    <w:rsid w:val="000E6736"/>
    <w:rsid w:val="000E7174"/>
    <w:rsid w:val="000E7902"/>
    <w:rsid w:val="000E795E"/>
    <w:rsid w:val="000E7960"/>
    <w:rsid w:val="000F0681"/>
    <w:rsid w:val="000F0730"/>
    <w:rsid w:val="000F09C2"/>
    <w:rsid w:val="000F0FA4"/>
    <w:rsid w:val="000F191E"/>
    <w:rsid w:val="000F1CED"/>
    <w:rsid w:val="000F2DE4"/>
    <w:rsid w:val="000F5752"/>
    <w:rsid w:val="000F6381"/>
    <w:rsid w:val="000F6E1A"/>
    <w:rsid w:val="00100B22"/>
    <w:rsid w:val="001026A3"/>
    <w:rsid w:val="00103408"/>
    <w:rsid w:val="00103E5C"/>
    <w:rsid w:val="00104C2F"/>
    <w:rsid w:val="00104FC0"/>
    <w:rsid w:val="00105C9B"/>
    <w:rsid w:val="001065F1"/>
    <w:rsid w:val="00107D5F"/>
    <w:rsid w:val="0011019F"/>
    <w:rsid w:val="00110D7E"/>
    <w:rsid w:val="001115D1"/>
    <w:rsid w:val="00111F5A"/>
    <w:rsid w:val="0011241F"/>
    <w:rsid w:val="00112598"/>
    <w:rsid w:val="00113764"/>
    <w:rsid w:val="00114F9E"/>
    <w:rsid w:val="0011565A"/>
    <w:rsid w:val="001158C0"/>
    <w:rsid w:val="00117BB8"/>
    <w:rsid w:val="0012032E"/>
    <w:rsid w:val="001208CF"/>
    <w:rsid w:val="001223CB"/>
    <w:rsid w:val="00122FEC"/>
    <w:rsid w:val="00126361"/>
    <w:rsid w:val="0012652C"/>
    <w:rsid w:val="00127234"/>
    <w:rsid w:val="001300B9"/>
    <w:rsid w:val="00130CCC"/>
    <w:rsid w:val="00131771"/>
    <w:rsid w:val="00131788"/>
    <w:rsid w:val="00131E97"/>
    <w:rsid w:val="0013254D"/>
    <w:rsid w:val="00132F77"/>
    <w:rsid w:val="0013504C"/>
    <w:rsid w:val="00135DA1"/>
    <w:rsid w:val="00136ECF"/>
    <w:rsid w:val="00145F81"/>
    <w:rsid w:val="00146E4B"/>
    <w:rsid w:val="001477DE"/>
    <w:rsid w:val="001505B6"/>
    <w:rsid w:val="00151777"/>
    <w:rsid w:val="00152C51"/>
    <w:rsid w:val="001531AF"/>
    <w:rsid w:val="00153789"/>
    <w:rsid w:val="00154A7D"/>
    <w:rsid w:val="00154D37"/>
    <w:rsid w:val="001575F0"/>
    <w:rsid w:val="001605CF"/>
    <w:rsid w:val="0016213B"/>
    <w:rsid w:val="00163673"/>
    <w:rsid w:val="00164BCE"/>
    <w:rsid w:val="00164D53"/>
    <w:rsid w:val="001652E9"/>
    <w:rsid w:val="001653FB"/>
    <w:rsid w:val="00165B98"/>
    <w:rsid w:val="00165CBD"/>
    <w:rsid w:val="00172B60"/>
    <w:rsid w:val="0017380E"/>
    <w:rsid w:val="00174504"/>
    <w:rsid w:val="001745C0"/>
    <w:rsid w:val="001770D1"/>
    <w:rsid w:val="001801E4"/>
    <w:rsid w:val="001809B5"/>
    <w:rsid w:val="00181342"/>
    <w:rsid w:val="00182B15"/>
    <w:rsid w:val="00184193"/>
    <w:rsid w:val="00184809"/>
    <w:rsid w:val="00184C73"/>
    <w:rsid w:val="0018615A"/>
    <w:rsid w:val="001917A6"/>
    <w:rsid w:val="00191E88"/>
    <w:rsid w:val="0019245C"/>
    <w:rsid w:val="00192845"/>
    <w:rsid w:val="00192FC2"/>
    <w:rsid w:val="0019362C"/>
    <w:rsid w:val="001936F0"/>
    <w:rsid w:val="001947AD"/>
    <w:rsid w:val="00194CD0"/>
    <w:rsid w:val="00196A9E"/>
    <w:rsid w:val="00197346"/>
    <w:rsid w:val="001A06E7"/>
    <w:rsid w:val="001A077F"/>
    <w:rsid w:val="001A0D15"/>
    <w:rsid w:val="001A1DC8"/>
    <w:rsid w:val="001A3A43"/>
    <w:rsid w:val="001A3BE9"/>
    <w:rsid w:val="001A4034"/>
    <w:rsid w:val="001A527F"/>
    <w:rsid w:val="001A5D2D"/>
    <w:rsid w:val="001A5D75"/>
    <w:rsid w:val="001A6BBE"/>
    <w:rsid w:val="001B071E"/>
    <w:rsid w:val="001B0B41"/>
    <w:rsid w:val="001B1926"/>
    <w:rsid w:val="001B1FD5"/>
    <w:rsid w:val="001B2793"/>
    <w:rsid w:val="001B2AEA"/>
    <w:rsid w:val="001B3651"/>
    <w:rsid w:val="001B54FB"/>
    <w:rsid w:val="001B5845"/>
    <w:rsid w:val="001B5E9D"/>
    <w:rsid w:val="001B6CFE"/>
    <w:rsid w:val="001B7446"/>
    <w:rsid w:val="001B74B6"/>
    <w:rsid w:val="001B7AA8"/>
    <w:rsid w:val="001C0012"/>
    <w:rsid w:val="001C155E"/>
    <w:rsid w:val="001C1D0F"/>
    <w:rsid w:val="001C266D"/>
    <w:rsid w:val="001C26F7"/>
    <w:rsid w:val="001C5625"/>
    <w:rsid w:val="001C5971"/>
    <w:rsid w:val="001C7E54"/>
    <w:rsid w:val="001D1351"/>
    <w:rsid w:val="001D1798"/>
    <w:rsid w:val="001D1F8D"/>
    <w:rsid w:val="001D4790"/>
    <w:rsid w:val="001D5FF9"/>
    <w:rsid w:val="001D674D"/>
    <w:rsid w:val="001D6CB7"/>
    <w:rsid w:val="001D7216"/>
    <w:rsid w:val="001E06EC"/>
    <w:rsid w:val="001E077C"/>
    <w:rsid w:val="001E0B55"/>
    <w:rsid w:val="001E2717"/>
    <w:rsid w:val="001E3499"/>
    <w:rsid w:val="001E4D56"/>
    <w:rsid w:val="001E5AE9"/>
    <w:rsid w:val="001E6CDB"/>
    <w:rsid w:val="001E6F8E"/>
    <w:rsid w:val="001E6FE2"/>
    <w:rsid w:val="001E7805"/>
    <w:rsid w:val="001F167E"/>
    <w:rsid w:val="001F2BDA"/>
    <w:rsid w:val="001F2E45"/>
    <w:rsid w:val="001F5923"/>
    <w:rsid w:val="001F5AEA"/>
    <w:rsid w:val="001F5FE7"/>
    <w:rsid w:val="001F670D"/>
    <w:rsid w:val="001F6818"/>
    <w:rsid w:val="001F6E66"/>
    <w:rsid w:val="001F78BC"/>
    <w:rsid w:val="001F7C50"/>
    <w:rsid w:val="001F7CCF"/>
    <w:rsid w:val="0020186B"/>
    <w:rsid w:val="00202F8E"/>
    <w:rsid w:val="00203422"/>
    <w:rsid w:val="00203A1A"/>
    <w:rsid w:val="00204227"/>
    <w:rsid w:val="00207D01"/>
    <w:rsid w:val="00210D7F"/>
    <w:rsid w:val="002119AE"/>
    <w:rsid w:val="00211F3F"/>
    <w:rsid w:val="00213104"/>
    <w:rsid w:val="002141E3"/>
    <w:rsid w:val="002148DC"/>
    <w:rsid w:val="00217415"/>
    <w:rsid w:val="002179A1"/>
    <w:rsid w:val="00217D97"/>
    <w:rsid w:val="0022004C"/>
    <w:rsid w:val="002206B4"/>
    <w:rsid w:val="00221573"/>
    <w:rsid w:val="00221C16"/>
    <w:rsid w:val="00222AD1"/>
    <w:rsid w:val="00222D9B"/>
    <w:rsid w:val="0022370B"/>
    <w:rsid w:val="00223E81"/>
    <w:rsid w:val="00225B63"/>
    <w:rsid w:val="002310B7"/>
    <w:rsid w:val="00231747"/>
    <w:rsid w:val="00231B68"/>
    <w:rsid w:val="00232F19"/>
    <w:rsid w:val="00233409"/>
    <w:rsid w:val="002339E2"/>
    <w:rsid w:val="00234170"/>
    <w:rsid w:val="002346A6"/>
    <w:rsid w:val="00234C5B"/>
    <w:rsid w:val="00236DA6"/>
    <w:rsid w:val="00236E6D"/>
    <w:rsid w:val="00237ED9"/>
    <w:rsid w:val="00240E5F"/>
    <w:rsid w:val="00241EED"/>
    <w:rsid w:val="00243655"/>
    <w:rsid w:val="002448F7"/>
    <w:rsid w:val="002453F5"/>
    <w:rsid w:val="00246417"/>
    <w:rsid w:val="00246892"/>
    <w:rsid w:val="00247E83"/>
    <w:rsid w:val="002508E9"/>
    <w:rsid w:val="00251A44"/>
    <w:rsid w:val="00251DDD"/>
    <w:rsid w:val="002539FA"/>
    <w:rsid w:val="00253D26"/>
    <w:rsid w:val="00254277"/>
    <w:rsid w:val="002549C4"/>
    <w:rsid w:val="00255264"/>
    <w:rsid w:val="002554B9"/>
    <w:rsid w:val="00255F10"/>
    <w:rsid w:val="00256A49"/>
    <w:rsid w:val="0025759D"/>
    <w:rsid w:val="00261D48"/>
    <w:rsid w:val="00261FDB"/>
    <w:rsid w:val="00264279"/>
    <w:rsid w:val="002665CB"/>
    <w:rsid w:val="002704B6"/>
    <w:rsid w:val="002706D6"/>
    <w:rsid w:val="002713B7"/>
    <w:rsid w:val="0027290F"/>
    <w:rsid w:val="002741C3"/>
    <w:rsid w:val="00274B66"/>
    <w:rsid w:val="00274BA3"/>
    <w:rsid w:val="00275106"/>
    <w:rsid w:val="00275598"/>
    <w:rsid w:val="00276B79"/>
    <w:rsid w:val="002813E6"/>
    <w:rsid w:val="00281885"/>
    <w:rsid w:val="00284AF2"/>
    <w:rsid w:val="002853D5"/>
    <w:rsid w:val="002877DA"/>
    <w:rsid w:val="00287926"/>
    <w:rsid w:val="00287D43"/>
    <w:rsid w:val="002901C3"/>
    <w:rsid w:val="00290C42"/>
    <w:rsid w:val="002939E8"/>
    <w:rsid w:val="00294980"/>
    <w:rsid w:val="0029552C"/>
    <w:rsid w:val="00296E6C"/>
    <w:rsid w:val="002972CA"/>
    <w:rsid w:val="002A2A24"/>
    <w:rsid w:val="002A3356"/>
    <w:rsid w:val="002A46FA"/>
    <w:rsid w:val="002A5739"/>
    <w:rsid w:val="002A5D97"/>
    <w:rsid w:val="002A5DBE"/>
    <w:rsid w:val="002A6C02"/>
    <w:rsid w:val="002A7247"/>
    <w:rsid w:val="002B0165"/>
    <w:rsid w:val="002B0DEC"/>
    <w:rsid w:val="002B1614"/>
    <w:rsid w:val="002B4B8E"/>
    <w:rsid w:val="002B649C"/>
    <w:rsid w:val="002B67EC"/>
    <w:rsid w:val="002B6C6C"/>
    <w:rsid w:val="002B77DF"/>
    <w:rsid w:val="002C0552"/>
    <w:rsid w:val="002C12A1"/>
    <w:rsid w:val="002C171C"/>
    <w:rsid w:val="002C2E6F"/>
    <w:rsid w:val="002C3AE4"/>
    <w:rsid w:val="002C53F1"/>
    <w:rsid w:val="002C69A3"/>
    <w:rsid w:val="002D0A3F"/>
    <w:rsid w:val="002D25CC"/>
    <w:rsid w:val="002D4228"/>
    <w:rsid w:val="002D4776"/>
    <w:rsid w:val="002D5B9D"/>
    <w:rsid w:val="002E1A4F"/>
    <w:rsid w:val="002E1C17"/>
    <w:rsid w:val="002E201C"/>
    <w:rsid w:val="002E5492"/>
    <w:rsid w:val="002E7009"/>
    <w:rsid w:val="002F0184"/>
    <w:rsid w:val="002F0531"/>
    <w:rsid w:val="002F0B71"/>
    <w:rsid w:val="002F0B79"/>
    <w:rsid w:val="002F3909"/>
    <w:rsid w:val="002F5FAC"/>
    <w:rsid w:val="002F7170"/>
    <w:rsid w:val="00300297"/>
    <w:rsid w:val="00303242"/>
    <w:rsid w:val="00306640"/>
    <w:rsid w:val="0030669C"/>
    <w:rsid w:val="00312D4B"/>
    <w:rsid w:val="003147FC"/>
    <w:rsid w:val="00314F83"/>
    <w:rsid w:val="00316C23"/>
    <w:rsid w:val="00320E1B"/>
    <w:rsid w:val="00321305"/>
    <w:rsid w:val="00321A47"/>
    <w:rsid w:val="00322E87"/>
    <w:rsid w:val="00323CF9"/>
    <w:rsid w:val="00323E9C"/>
    <w:rsid w:val="003245CB"/>
    <w:rsid w:val="003268E2"/>
    <w:rsid w:val="00326A29"/>
    <w:rsid w:val="0032749A"/>
    <w:rsid w:val="00327EBA"/>
    <w:rsid w:val="003302D1"/>
    <w:rsid w:val="00331963"/>
    <w:rsid w:val="00331C78"/>
    <w:rsid w:val="00332088"/>
    <w:rsid w:val="003345CC"/>
    <w:rsid w:val="00340230"/>
    <w:rsid w:val="00340C1F"/>
    <w:rsid w:val="00341AF8"/>
    <w:rsid w:val="00343E74"/>
    <w:rsid w:val="00343FEC"/>
    <w:rsid w:val="003464E2"/>
    <w:rsid w:val="003466DC"/>
    <w:rsid w:val="003471DC"/>
    <w:rsid w:val="00347A79"/>
    <w:rsid w:val="00347DD3"/>
    <w:rsid w:val="00350876"/>
    <w:rsid w:val="00352A46"/>
    <w:rsid w:val="00352A6C"/>
    <w:rsid w:val="00353A06"/>
    <w:rsid w:val="003556E1"/>
    <w:rsid w:val="00357410"/>
    <w:rsid w:val="00357AA1"/>
    <w:rsid w:val="00361ECB"/>
    <w:rsid w:val="003635B1"/>
    <w:rsid w:val="00363B13"/>
    <w:rsid w:val="003643FB"/>
    <w:rsid w:val="00364F28"/>
    <w:rsid w:val="00365017"/>
    <w:rsid w:val="00366102"/>
    <w:rsid w:val="00370AA7"/>
    <w:rsid w:val="00371892"/>
    <w:rsid w:val="00371BC1"/>
    <w:rsid w:val="003769DF"/>
    <w:rsid w:val="00376C4C"/>
    <w:rsid w:val="003774A9"/>
    <w:rsid w:val="0037786A"/>
    <w:rsid w:val="00383922"/>
    <w:rsid w:val="003843C6"/>
    <w:rsid w:val="00384763"/>
    <w:rsid w:val="0038518C"/>
    <w:rsid w:val="00387FE0"/>
    <w:rsid w:val="0039024C"/>
    <w:rsid w:val="00391EF9"/>
    <w:rsid w:val="00391F54"/>
    <w:rsid w:val="00392746"/>
    <w:rsid w:val="003928D1"/>
    <w:rsid w:val="00392946"/>
    <w:rsid w:val="003946DD"/>
    <w:rsid w:val="0039510D"/>
    <w:rsid w:val="00395DFD"/>
    <w:rsid w:val="003A09C3"/>
    <w:rsid w:val="003A1004"/>
    <w:rsid w:val="003A5087"/>
    <w:rsid w:val="003A6507"/>
    <w:rsid w:val="003A7B35"/>
    <w:rsid w:val="003B05A0"/>
    <w:rsid w:val="003B0DE7"/>
    <w:rsid w:val="003B102B"/>
    <w:rsid w:val="003B6918"/>
    <w:rsid w:val="003C05E2"/>
    <w:rsid w:val="003C0D55"/>
    <w:rsid w:val="003C31CB"/>
    <w:rsid w:val="003C3A7D"/>
    <w:rsid w:val="003C3F09"/>
    <w:rsid w:val="003C42F4"/>
    <w:rsid w:val="003C43F7"/>
    <w:rsid w:val="003D0ED4"/>
    <w:rsid w:val="003D1038"/>
    <w:rsid w:val="003D157E"/>
    <w:rsid w:val="003D427B"/>
    <w:rsid w:val="003D4BD4"/>
    <w:rsid w:val="003D5797"/>
    <w:rsid w:val="003D7F08"/>
    <w:rsid w:val="003E0D98"/>
    <w:rsid w:val="003E4A6D"/>
    <w:rsid w:val="003E7000"/>
    <w:rsid w:val="003E72BD"/>
    <w:rsid w:val="003E78BF"/>
    <w:rsid w:val="003F1E2B"/>
    <w:rsid w:val="003F49AB"/>
    <w:rsid w:val="003F4EDB"/>
    <w:rsid w:val="003F5778"/>
    <w:rsid w:val="003F64A5"/>
    <w:rsid w:val="003F6918"/>
    <w:rsid w:val="003F6ACC"/>
    <w:rsid w:val="003F7EC3"/>
    <w:rsid w:val="00401E19"/>
    <w:rsid w:val="0040560E"/>
    <w:rsid w:val="00405629"/>
    <w:rsid w:val="00407301"/>
    <w:rsid w:val="00410A02"/>
    <w:rsid w:val="00411C7D"/>
    <w:rsid w:val="00412218"/>
    <w:rsid w:val="004125C5"/>
    <w:rsid w:val="00412ACF"/>
    <w:rsid w:val="0041341E"/>
    <w:rsid w:val="0041494A"/>
    <w:rsid w:val="00414F44"/>
    <w:rsid w:val="0041500E"/>
    <w:rsid w:val="00415B44"/>
    <w:rsid w:val="00416E8C"/>
    <w:rsid w:val="00417309"/>
    <w:rsid w:val="004225AC"/>
    <w:rsid w:val="00425258"/>
    <w:rsid w:val="0042710E"/>
    <w:rsid w:val="004271EA"/>
    <w:rsid w:val="0043124C"/>
    <w:rsid w:val="00432CEB"/>
    <w:rsid w:val="00432FF9"/>
    <w:rsid w:val="00434183"/>
    <w:rsid w:val="00436FEA"/>
    <w:rsid w:val="004411C5"/>
    <w:rsid w:val="00441580"/>
    <w:rsid w:val="00441EF4"/>
    <w:rsid w:val="00441FF4"/>
    <w:rsid w:val="004423AB"/>
    <w:rsid w:val="00443330"/>
    <w:rsid w:val="00443A4A"/>
    <w:rsid w:val="00444725"/>
    <w:rsid w:val="004472AD"/>
    <w:rsid w:val="00447DF5"/>
    <w:rsid w:val="00452F29"/>
    <w:rsid w:val="004530B3"/>
    <w:rsid w:val="0045397A"/>
    <w:rsid w:val="00453E64"/>
    <w:rsid w:val="00455CD0"/>
    <w:rsid w:val="004567BB"/>
    <w:rsid w:val="00457ADA"/>
    <w:rsid w:val="00463B57"/>
    <w:rsid w:val="00465353"/>
    <w:rsid w:val="004677E2"/>
    <w:rsid w:val="00470EE0"/>
    <w:rsid w:val="00471052"/>
    <w:rsid w:val="004715CF"/>
    <w:rsid w:val="0047515B"/>
    <w:rsid w:val="00475672"/>
    <w:rsid w:val="0047572C"/>
    <w:rsid w:val="004774B3"/>
    <w:rsid w:val="00477F9F"/>
    <w:rsid w:val="004818A0"/>
    <w:rsid w:val="00481C51"/>
    <w:rsid w:val="004827FB"/>
    <w:rsid w:val="004831A5"/>
    <w:rsid w:val="00485031"/>
    <w:rsid w:val="00485B77"/>
    <w:rsid w:val="00487D0A"/>
    <w:rsid w:val="004903B1"/>
    <w:rsid w:val="004907C3"/>
    <w:rsid w:val="00492648"/>
    <w:rsid w:val="00494C70"/>
    <w:rsid w:val="00496B26"/>
    <w:rsid w:val="00497BF5"/>
    <w:rsid w:val="00497FE2"/>
    <w:rsid w:val="004A06AE"/>
    <w:rsid w:val="004A2748"/>
    <w:rsid w:val="004A36EA"/>
    <w:rsid w:val="004A47B7"/>
    <w:rsid w:val="004A492C"/>
    <w:rsid w:val="004A5068"/>
    <w:rsid w:val="004A635B"/>
    <w:rsid w:val="004A6F00"/>
    <w:rsid w:val="004A7D94"/>
    <w:rsid w:val="004B1595"/>
    <w:rsid w:val="004B48C0"/>
    <w:rsid w:val="004B6AB6"/>
    <w:rsid w:val="004B6D7B"/>
    <w:rsid w:val="004B732D"/>
    <w:rsid w:val="004B77E3"/>
    <w:rsid w:val="004B7B7A"/>
    <w:rsid w:val="004B7F75"/>
    <w:rsid w:val="004C0A4B"/>
    <w:rsid w:val="004C0DA8"/>
    <w:rsid w:val="004C17D1"/>
    <w:rsid w:val="004C2F9E"/>
    <w:rsid w:val="004C5733"/>
    <w:rsid w:val="004C599F"/>
    <w:rsid w:val="004C72E0"/>
    <w:rsid w:val="004C76C5"/>
    <w:rsid w:val="004C782B"/>
    <w:rsid w:val="004C7A38"/>
    <w:rsid w:val="004C7E05"/>
    <w:rsid w:val="004D0839"/>
    <w:rsid w:val="004D0C85"/>
    <w:rsid w:val="004D2970"/>
    <w:rsid w:val="004D3027"/>
    <w:rsid w:val="004D580C"/>
    <w:rsid w:val="004D5846"/>
    <w:rsid w:val="004D6800"/>
    <w:rsid w:val="004D7A08"/>
    <w:rsid w:val="004E3F55"/>
    <w:rsid w:val="004E4352"/>
    <w:rsid w:val="004E5426"/>
    <w:rsid w:val="004E5FF2"/>
    <w:rsid w:val="004E669B"/>
    <w:rsid w:val="004E6D44"/>
    <w:rsid w:val="004F0853"/>
    <w:rsid w:val="004F09C3"/>
    <w:rsid w:val="004F1019"/>
    <w:rsid w:val="004F269C"/>
    <w:rsid w:val="004F2B25"/>
    <w:rsid w:val="004F4085"/>
    <w:rsid w:val="004F410A"/>
    <w:rsid w:val="004F4AA8"/>
    <w:rsid w:val="004F71A8"/>
    <w:rsid w:val="00502499"/>
    <w:rsid w:val="00502739"/>
    <w:rsid w:val="00503E52"/>
    <w:rsid w:val="00504FB7"/>
    <w:rsid w:val="00505055"/>
    <w:rsid w:val="0050641A"/>
    <w:rsid w:val="005068D9"/>
    <w:rsid w:val="00511E5A"/>
    <w:rsid w:val="00514854"/>
    <w:rsid w:val="00515323"/>
    <w:rsid w:val="00516D15"/>
    <w:rsid w:val="00516FA4"/>
    <w:rsid w:val="005200EA"/>
    <w:rsid w:val="005229CF"/>
    <w:rsid w:val="00525AF7"/>
    <w:rsid w:val="00525D70"/>
    <w:rsid w:val="005300F6"/>
    <w:rsid w:val="005307B8"/>
    <w:rsid w:val="005312B5"/>
    <w:rsid w:val="00531F33"/>
    <w:rsid w:val="00533A03"/>
    <w:rsid w:val="00534D74"/>
    <w:rsid w:val="00537BFB"/>
    <w:rsid w:val="00537D2B"/>
    <w:rsid w:val="00541089"/>
    <w:rsid w:val="00542A9C"/>
    <w:rsid w:val="00542FE7"/>
    <w:rsid w:val="00543905"/>
    <w:rsid w:val="00544AE5"/>
    <w:rsid w:val="00546F5D"/>
    <w:rsid w:val="005471EB"/>
    <w:rsid w:val="0055086E"/>
    <w:rsid w:val="005513EE"/>
    <w:rsid w:val="0055474C"/>
    <w:rsid w:val="00554CEC"/>
    <w:rsid w:val="00556788"/>
    <w:rsid w:val="00556945"/>
    <w:rsid w:val="0055753C"/>
    <w:rsid w:val="00560735"/>
    <w:rsid w:val="005607F2"/>
    <w:rsid w:val="00560CC9"/>
    <w:rsid w:val="005619C0"/>
    <w:rsid w:val="0056215F"/>
    <w:rsid w:val="00566B69"/>
    <w:rsid w:val="00567F84"/>
    <w:rsid w:val="005709A1"/>
    <w:rsid w:val="005709F9"/>
    <w:rsid w:val="00571F37"/>
    <w:rsid w:val="005729BA"/>
    <w:rsid w:val="00573299"/>
    <w:rsid w:val="0057512C"/>
    <w:rsid w:val="0057797B"/>
    <w:rsid w:val="005818F0"/>
    <w:rsid w:val="005818F4"/>
    <w:rsid w:val="005827E6"/>
    <w:rsid w:val="00583963"/>
    <w:rsid w:val="00586761"/>
    <w:rsid w:val="00586902"/>
    <w:rsid w:val="00586986"/>
    <w:rsid w:val="00587482"/>
    <w:rsid w:val="0058794A"/>
    <w:rsid w:val="00591C19"/>
    <w:rsid w:val="00594A53"/>
    <w:rsid w:val="00594EA7"/>
    <w:rsid w:val="00595BC5"/>
    <w:rsid w:val="00595FBF"/>
    <w:rsid w:val="00596BA4"/>
    <w:rsid w:val="0059798B"/>
    <w:rsid w:val="00597F87"/>
    <w:rsid w:val="005A18A0"/>
    <w:rsid w:val="005A1973"/>
    <w:rsid w:val="005A243E"/>
    <w:rsid w:val="005A3449"/>
    <w:rsid w:val="005A3D90"/>
    <w:rsid w:val="005A4534"/>
    <w:rsid w:val="005A49FD"/>
    <w:rsid w:val="005A4F49"/>
    <w:rsid w:val="005B0A07"/>
    <w:rsid w:val="005B0B96"/>
    <w:rsid w:val="005B1BBD"/>
    <w:rsid w:val="005B1E30"/>
    <w:rsid w:val="005B426E"/>
    <w:rsid w:val="005B500B"/>
    <w:rsid w:val="005B5025"/>
    <w:rsid w:val="005B5D78"/>
    <w:rsid w:val="005B6440"/>
    <w:rsid w:val="005B67B6"/>
    <w:rsid w:val="005B6B7F"/>
    <w:rsid w:val="005B79C5"/>
    <w:rsid w:val="005C0C5A"/>
    <w:rsid w:val="005C2441"/>
    <w:rsid w:val="005C311D"/>
    <w:rsid w:val="005C394D"/>
    <w:rsid w:val="005C493E"/>
    <w:rsid w:val="005C5080"/>
    <w:rsid w:val="005C5A80"/>
    <w:rsid w:val="005C639D"/>
    <w:rsid w:val="005C66E3"/>
    <w:rsid w:val="005C76B7"/>
    <w:rsid w:val="005D0BE5"/>
    <w:rsid w:val="005D1801"/>
    <w:rsid w:val="005D2A61"/>
    <w:rsid w:val="005D3D41"/>
    <w:rsid w:val="005D3F3D"/>
    <w:rsid w:val="005D7A0E"/>
    <w:rsid w:val="005E0744"/>
    <w:rsid w:val="005E0C30"/>
    <w:rsid w:val="005E107A"/>
    <w:rsid w:val="005E125B"/>
    <w:rsid w:val="005E360C"/>
    <w:rsid w:val="005E3697"/>
    <w:rsid w:val="005E4A05"/>
    <w:rsid w:val="005E4AC4"/>
    <w:rsid w:val="005E4B59"/>
    <w:rsid w:val="005E7164"/>
    <w:rsid w:val="005F03CA"/>
    <w:rsid w:val="005F0A8C"/>
    <w:rsid w:val="005F27EC"/>
    <w:rsid w:val="005F443D"/>
    <w:rsid w:val="005F5764"/>
    <w:rsid w:val="005F6860"/>
    <w:rsid w:val="00600132"/>
    <w:rsid w:val="00601E37"/>
    <w:rsid w:val="0060256A"/>
    <w:rsid w:val="006034E2"/>
    <w:rsid w:val="006035F9"/>
    <w:rsid w:val="00603BDA"/>
    <w:rsid w:val="0060441D"/>
    <w:rsid w:val="00604E50"/>
    <w:rsid w:val="00605495"/>
    <w:rsid w:val="00605D8D"/>
    <w:rsid w:val="006073AB"/>
    <w:rsid w:val="00607981"/>
    <w:rsid w:val="00610819"/>
    <w:rsid w:val="00610AC8"/>
    <w:rsid w:val="0061160A"/>
    <w:rsid w:val="00612D2E"/>
    <w:rsid w:val="00613AA7"/>
    <w:rsid w:val="00614E10"/>
    <w:rsid w:val="00615073"/>
    <w:rsid w:val="006162A7"/>
    <w:rsid w:val="00616577"/>
    <w:rsid w:val="006165A5"/>
    <w:rsid w:val="00617904"/>
    <w:rsid w:val="00620726"/>
    <w:rsid w:val="006208E6"/>
    <w:rsid w:val="00620A95"/>
    <w:rsid w:val="0062207B"/>
    <w:rsid w:val="006242A5"/>
    <w:rsid w:val="00624417"/>
    <w:rsid w:val="006246A9"/>
    <w:rsid w:val="0062527E"/>
    <w:rsid w:val="006300B5"/>
    <w:rsid w:val="006300C2"/>
    <w:rsid w:val="00630BD8"/>
    <w:rsid w:val="00634617"/>
    <w:rsid w:val="00634FA8"/>
    <w:rsid w:val="00635451"/>
    <w:rsid w:val="00635760"/>
    <w:rsid w:val="006360A9"/>
    <w:rsid w:val="006365D0"/>
    <w:rsid w:val="0064046C"/>
    <w:rsid w:val="00640816"/>
    <w:rsid w:val="006412C0"/>
    <w:rsid w:val="006415B9"/>
    <w:rsid w:val="00645A2F"/>
    <w:rsid w:val="00647F62"/>
    <w:rsid w:val="00650571"/>
    <w:rsid w:val="006511CB"/>
    <w:rsid w:val="00651CB9"/>
    <w:rsid w:val="006520C7"/>
    <w:rsid w:val="0065341F"/>
    <w:rsid w:val="00653B25"/>
    <w:rsid w:val="00654DE3"/>
    <w:rsid w:val="00655DC6"/>
    <w:rsid w:val="00655F4D"/>
    <w:rsid w:val="00656459"/>
    <w:rsid w:val="00657313"/>
    <w:rsid w:val="00657FD6"/>
    <w:rsid w:val="0066134F"/>
    <w:rsid w:val="0066144E"/>
    <w:rsid w:val="00661FE1"/>
    <w:rsid w:val="0066368E"/>
    <w:rsid w:val="0066426D"/>
    <w:rsid w:val="00665391"/>
    <w:rsid w:val="006675C4"/>
    <w:rsid w:val="0067014A"/>
    <w:rsid w:val="00671C4A"/>
    <w:rsid w:val="00673A86"/>
    <w:rsid w:val="00673D70"/>
    <w:rsid w:val="00677800"/>
    <w:rsid w:val="00677C8D"/>
    <w:rsid w:val="00680515"/>
    <w:rsid w:val="00681FD5"/>
    <w:rsid w:val="0068445C"/>
    <w:rsid w:val="006845F9"/>
    <w:rsid w:val="00684D76"/>
    <w:rsid w:val="00686BDE"/>
    <w:rsid w:val="006904DC"/>
    <w:rsid w:val="00691296"/>
    <w:rsid w:val="00691C0B"/>
    <w:rsid w:val="00694438"/>
    <w:rsid w:val="00694C40"/>
    <w:rsid w:val="00694DAB"/>
    <w:rsid w:val="006964B0"/>
    <w:rsid w:val="00696C4F"/>
    <w:rsid w:val="00696CE2"/>
    <w:rsid w:val="00696DA0"/>
    <w:rsid w:val="0069758C"/>
    <w:rsid w:val="006A012D"/>
    <w:rsid w:val="006A188B"/>
    <w:rsid w:val="006A1E56"/>
    <w:rsid w:val="006A216F"/>
    <w:rsid w:val="006A33A3"/>
    <w:rsid w:val="006A39AB"/>
    <w:rsid w:val="006A45EA"/>
    <w:rsid w:val="006A630B"/>
    <w:rsid w:val="006A7C03"/>
    <w:rsid w:val="006A7C8D"/>
    <w:rsid w:val="006A7D5D"/>
    <w:rsid w:val="006B1090"/>
    <w:rsid w:val="006B1100"/>
    <w:rsid w:val="006B2F19"/>
    <w:rsid w:val="006B4C74"/>
    <w:rsid w:val="006B4FAA"/>
    <w:rsid w:val="006B513C"/>
    <w:rsid w:val="006B5AF3"/>
    <w:rsid w:val="006B6458"/>
    <w:rsid w:val="006B6CD0"/>
    <w:rsid w:val="006B6EDE"/>
    <w:rsid w:val="006C0277"/>
    <w:rsid w:val="006C3073"/>
    <w:rsid w:val="006C3400"/>
    <w:rsid w:val="006C3723"/>
    <w:rsid w:val="006C3D8A"/>
    <w:rsid w:val="006C43B3"/>
    <w:rsid w:val="006C465B"/>
    <w:rsid w:val="006C4C17"/>
    <w:rsid w:val="006C4E6F"/>
    <w:rsid w:val="006C7E5F"/>
    <w:rsid w:val="006D077A"/>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34AD"/>
    <w:rsid w:val="00704652"/>
    <w:rsid w:val="007067FB"/>
    <w:rsid w:val="00706FFC"/>
    <w:rsid w:val="00707C2F"/>
    <w:rsid w:val="00707CEE"/>
    <w:rsid w:val="00710880"/>
    <w:rsid w:val="007108C3"/>
    <w:rsid w:val="00712595"/>
    <w:rsid w:val="00716FBE"/>
    <w:rsid w:val="00717723"/>
    <w:rsid w:val="00721ADF"/>
    <w:rsid w:val="0072210F"/>
    <w:rsid w:val="007222CF"/>
    <w:rsid w:val="0072272F"/>
    <w:rsid w:val="00724074"/>
    <w:rsid w:val="00724DC3"/>
    <w:rsid w:val="007272D0"/>
    <w:rsid w:val="007273A7"/>
    <w:rsid w:val="00730B23"/>
    <w:rsid w:val="00731357"/>
    <w:rsid w:val="00731664"/>
    <w:rsid w:val="00734332"/>
    <w:rsid w:val="00736C07"/>
    <w:rsid w:val="00736E7A"/>
    <w:rsid w:val="007417DD"/>
    <w:rsid w:val="007444A3"/>
    <w:rsid w:val="00744698"/>
    <w:rsid w:val="00744E46"/>
    <w:rsid w:val="00744F35"/>
    <w:rsid w:val="00747836"/>
    <w:rsid w:val="0074783E"/>
    <w:rsid w:val="00750A8E"/>
    <w:rsid w:val="00752A69"/>
    <w:rsid w:val="0075363A"/>
    <w:rsid w:val="007537A5"/>
    <w:rsid w:val="00753D40"/>
    <w:rsid w:val="00754D5B"/>
    <w:rsid w:val="00756A93"/>
    <w:rsid w:val="007579F8"/>
    <w:rsid w:val="007608D8"/>
    <w:rsid w:val="00760D7B"/>
    <w:rsid w:val="00761483"/>
    <w:rsid w:val="00761545"/>
    <w:rsid w:val="00762A8D"/>
    <w:rsid w:val="0076370D"/>
    <w:rsid w:val="0076482E"/>
    <w:rsid w:val="00764EF1"/>
    <w:rsid w:val="00765152"/>
    <w:rsid w:val="00765B72"/>
    <w:rsid w:val="007669B0"/>
    <w:rsid w:val="00767C83"/>
    <w:rsid w:val="007752BE"/>
    <w:rsid w:val="00776168"/>
    <w:rsid w:val="0077656B"/>
    <w:rsid w:val="007772CC"/>
    <w:rsid w:val="0078007F"/>
    <w:rsid w:val="00780BE7"/>
    <w:rsid w:val="0078199E"/>
    <w:rsid w:val="00781D65"/>
    <w:rsid w:val="00783F24"/>
    <w:rsid w:val="0078480B"/>
    <w:rsid w:val="007871DE"/>
    <w:rsid w:val="00787D22"/>
    <w:rsid w:val="00792C8E"/>
    <w:rsid w:val="007932C1"/>
    <w:rsid w:val="0079386A"/>
    <w:rsid w:val="00795305"/>
    <w:rsid w:val="007968C8"/>
    <w:rsid w:val="00796A8E"/>
    <w:rsid w:val="007A196D"/>
    <w:rsid w:val="007A4518"/>
    <w:rsid w:val="007A4F17"/>
    <w:rsid w:val="007A4F77"/>
    <w:rsid w:val="007A5254"/>
    <w:rsid w:val="007A6B23"/>
    <w:rsid w:val="007A6CEF"/>
    <w:rsid w:val="007A6F6C"/>
    <w:rsid w:val="007A78A7"/>
    <w:rsid w:val="007B3AC6"/>
    <w:rsid w:val="007B5ECA"/>
    <w:rsid w:val="007B6885"/>
    <w:rsid w:val="007B6AD0"/>
    <w:rsid w:val="007B74E7"/>
    <w:rsid w:val="007C05FF"/>
    <w:rsid w:val="007C29F7"/>
    <w:rsid w:val="007C3EEC"/>
    <w:rsid w:val="007C5499"/>
    <w:rsid w:val="007C5AD3"/>
    <w:rsid w:val="007C78B7"/>
    <w:rsid w:val="007D0989"/>
    <w:rsid w:val="007D275C"/>
    <w:rsid w:val="007D2E6A"/>
    <w:rsid w:val="007D586B"/>
    <w:rsid w:val="007D5E0A"/>
    <w:rsid w:val="007D649F"/>
    <w:rsid w:val="007D7C7B"/>
    <w:rsid w:val="007E18FA"/>
    <w:rsid w:val="007E1D71"/>
    <w:rsid w:val="007E1F6C"/>
    <w:rsid w:val="007E290A"/>
    <w:rsid w:val="007E304E"/>
    <w:rsid w:val="007E3D89"/>
    <w:rsid w:val="007E3F05"/>
    <w:rsid w:val="007E46AE"/>
    <w:rsid w:val="007E5210"/>
    <w:rsid w:val="007E5A87"/>
    <w:rsid w:val="007E697F"/>
    <w:rsid w:val="007E716C"/>
    <w:rsid w:val="007E7AFA"/>
    <w:rsid w:val="007F23CE"/>
    <w:rsid w:val="007F2954"/>
    <w:rsid w:val="007F3C8D"/>
    <w:rsid w:val="007F3E59"/>
    <w:rsid w:val="007F4A1D"/>
    <w:rsid w:val="007F5F1E"/>
    <w:rsid w:val="007F621D"/>
    <w:rsid w:val="007F6537"/>
    <w:rsid w:val="00801706"/>
    <w:rsid w:val="00802C43"/>
    <w:rsid w:val="00804CB4"/>
    <w:rsid w:val="00806970"/>
    <w:rsid w:val="0080697C"/>
    <w:rsid w:val="00806BB2"/>
    <w:rsid w:val="00810655"/>
    <w:rsid w:val="00810F2C"/>
    <w:rsid w:val="00812539"/>
    <w:rsid w:val="008134C8"/>
    <w:rsid w:val="00813DCC"/>
    <w:rsid w:val="00816CF9"/>
    <w:rsid w:val="00822D42"/>
    <w:rsid w:val="00822F82"/>
    <w:rsid w:val="00826E82"/>
    <w:rsid w:val="00826ECD"/>
    <w:rsid w:val="00827519"/>
    <w:rsid w:val="00827C33"/>
    <w:rsid w:val="00831F79"/>
    <w:rsid w:val="00832814"/>
    <w:rsid w:val="00835605"/>
    <w:rsid w:val="00835A0F"/>
    <w:rsid w:val="00836679"/>
    <w:rsid w:val="00837F18"/>
    <w:rsid w:val="00843B36"/>
    <w:rsid w:val="008446CE"/>
    <w:rsid w:val="00844846"/>
    <w:rsid w:val="0084672C"/>
    <w:rsid w:val="008470B8"/>
    <w:rsid w:val="0084786F"/>
    <w:rsid w:val="0085025D"/>
    <w:rsid w:val="00851B04"/>
    <w:rsid w:val="00852178"/>
    <w:rsid w:val="00853CD2"/>
    <w:rsid w:val="00853FF3"/>
    <w:rsid w:val="0085451D"/>
    <w:rsid w:val="00854EC8"/>
    <w:rsid w:val="008603B4"/>
    <w:rsid w:val="00861579"/>
    <w:rsid w:val="00862864"/>
    <w:rsid w:val="0086344D"/>
    <w:rsid w:val="008640BE"/>
    <w:rsid w:val="008641A7"/>
    <w:rsid w:val="008642D7"/>
    <w:rsid w:val="0086531E"/>
    <w:rsid w:val="00865C17"/>
    <w:rsid w:val="00867748"/>
    <w:rsid w:val="0086797E"/>
    <w:rsid w:val="0087030C"/>
    <w:rsid w:val="00870BAC"/>
    <w:rsid w:val="0087268C"/>
    <w:rsid w:val="00872D3A"/>
    <w:rsid w:val="00874731"/>
    <w:rsid w:val="00875539"/>
    <w:rsid w:val="00875AA2"/>
    <w:rsid w:val="00875D2D"/>
    <w:rsid w:val="0088069E"/>
    <w:rsid w:val="00880CB5"/>
    <w:rsid w:val="00880D90"/>
    <w:rsid w:val="00882652"/>
    <w:rsid w:val="0088316B"/>
    <w:rsid w:val="00884D77"/>
    <w:rsid w:val="008858E6"/>
    <w:rsid w:val="00885F41"/>
    <w:rsid w:val="0089053A"/>
    <w:rsid w:val="00890B07"/>
    <w:rsid w:val="008915FF"/>
    <w:rsid w:val="00891DB1"/>
    <w:rsid w:val="008926F4"/>
    <w:rsid w:val="00893324"/>
    <w:rsid w:val="00895AA1"/>
    <w:rsid w:val="00896C72"/>
    <w:rsid w:val="008971FD"/>
    <w:rsid w:val="008A2623"/>
    <w:rsid w:val="008A2F69"/>
    <w:rsid w:val="008A4B89"/>
    <w:rsid w:val="008A609F"/>
    <w:rsid w:val="008A6769"/>
    <w:rsid w:val="008A7260"/>
    <w:rsid w:val="008A7B66"/>
    <w:rsid w:val="008B026E"/>
    <w:rsid w:val="008B22EF"/>
    <w:rsid w:val="008B367A"/>
    <w:rsid w:val="008B38BA"/>
    <w:rsid w:val="008B423A"/>
    <w:rsid w:val="008B4249"/>
    <w:rsid w:val="008B4A41"/>
    <w:rsid w:val="008B5960"/>
    <w:rsid w:val="008B6E0B"/>
    <w:rsid w:val="008B7431"/>
    <w:rsid w:val="008C016E"/>
    <w:rsid w:val="008C0422"/>
    <w:rsid w:val="008C04D4"/>
    <w:rsid w:val="008C22B5"/>
    <w:rsid w:val="008C22D8"/>
    <w:rsid w:val="008C394A"/>
    <w:rsid w:val="008C3E90"/>
    <w:rsid w:val="008C4CE3"/>
    <w:rsid w:val="008C54D3"/>
    <w:rsid w:val="008C6B4B"/>
    <w:rsid w:val="008C7168"/>
    <w:rsid w:val="008D006F"/>
    <w:rsid w:val="008D03CA"/>
    <w:rsid w:val="008D2331"/>
    <w:rsid w:val="008D2798"/>
    <w:rsid w:val="008D285F"/>
    <w:rsid w:val="008D73A5"/>
    <w:rsid w:val="008E05E4"/>
    <w:rsid w:val="008E0A8C"/>
    <w:rsid w:val="008E181E"/>
    <w:rsid w:val="008E2435"/>
    <w:rsid w:val="008E255A"/>
    <w:rsid w:val="008E266E"/>
    <w:rsid w:val="008E2700"/>
    <w:rsid w:val="008E3CCE"/>
    <w:rsid w:val="008E4C20"/>
    <w:rsid w:val="008E70E9"/>
    <w:rsid w:val="008E736E"/>
    <w:rsid w:val="008E77FE"/>
    <w:rsid w:val="008E7B06"/>
    <w:rsid w:val="008F2D31"/>
    <w:rsid w:val="008F3AD2"/>
    <w:rsid w:val="008F5B48"/>
    <w:rsid w:val="008F5D1B"/>
    <w:rsid w:val="008F5F33"/>
    <w:rsid w:val="008F78FD"/>
    <w:rsid w:val="00900E88"/>
    <w:rsid w:val="00902473"/>
    <w:rsid w:val="00902717"/>
    <w:rsid w:val="00902D37"/>
    <w:rsid w:val="00902F4F"/>
    <w:rsid w:val="00902F7B"/>
    <w:rsid w:val="009036CB"/>
    <w:rsid w:val="00905226"/>
    <w:rsid w:val="0090602F"/>
    <w:rsid w:val="0091016F"/>
    <w:rsid w:val="009117E9"/>
    <w:rsid w:val="00913169"/>
    <w:rsid w:val="00913843"/>
    <w:rsid w:val="00914CC1"/>
    <w:rsid w:val="009154A1"/>
    <w:rsid w:val="0091682C"/>
    <w:rsid w:val="00916EBB"/>
    <w:rsid w:val="00917137"/>
    <w:rsid w:val="00920276"/>
    <w:rsid w:val="0092063C"/>
    <w:rsid w:val="00920F8E"/>
    <w:rsid w:val="0092264E"/>
    <w:rsid w:val="00922B54"/>
    <w:rsid w:val="00923057"/>
    <w:rsid w:val="00923331"/>
    <w:rsid w:val="00923563"/>
    <w:rsid w:val="00924CEA"/>
    <w:rsid w:val="00924DA4"/>
    <w:rsid w:val="009251E6"/>
    <w:rsid w:val="0092570A"/>
    <w:rsid w:val="00926CD2"/>
    <w:rsid w:val="00926D4B"/>
    <w:rsid w:val="00927DEE"/>
    <w:rsid w:val="00930C56"/>
    <w:rsid w:val="009315C5"/>
    <w:rsid w:val="00931E72"/>
    <w:rsid w:val="00932493"/>
    <w:rsid w:val="00933F74"/>
    <w:rsid w:val="00933F9A"/>
    <w:rsid w:val="00934AED"/>
    <w:rsid w:val="00934BC8"/>
    <w:rsid w:val="00935F51"/>
    <w:rsid w:val="00936E96"/>
    <w:rsid w:val="00936F56"/>
    <w:rsid w:val="00937653"/>
    <w:rsid w:val="00937A4F"/>
    <w:rsid w:val="00940A1A"/>
    <w:rsid w:val="009416B6"/>
    <w:rsid w:val="00941EDA"/>
    <w:rsid w:val="00944452"/>
    <w:rsid w:val="00944D54"/>
    <w:rsid w:val="00944FB6"/>
    <w:rsid w:val="00945C9B"/>
    <w:rsid w:val="009465F0"/>
    <w:rsid w:val="00946814"/>
    <w:rsid w:val="00947B76"/>
    <w:rsid w:val="00952A4F"/>
    <w:rsid w:val="00953BDD"/>
    <w:rsid w:val="00954097"/>
    <w:rsid w:val="00955C4C"/>
    <w:rsid w:val="009567F0"/>
    <w:rsid w:val="00956D53"/>
    <w:rsid w:val="00956E53"/>
    <w:rsid w:val="00956F40"/>
    <w:rsid w:val="00957F32"/>
    <w:rsid w:val="00961CFD"/>
    <w:rsid w:val="00961D71"/>
    <w:rsid w:val="00961E03"/>
    <w:rsid w:val="00962EFE"/>
    <w:rsid w:val="00963A67"/>
    <w:rsid w:val="009642DF"/>
    <w:rsid w:val="00965183"/>
    <w:rsid w:val="00966166"/>
    <w:rsid w:val="00966C76"/>
    <w:rsid w:val="00967985"/>
    <w:rsid w:val="00970662"/>
    <w:rsid w:val="0097107C"/>
    <w:rsid w:val="00974073"/>
    <w:rsid w:val="009757AD"/>
    <w:rsid w:val="00976852"/>
    <w:rsid w:val="009774C1"/>
    <w:rsid w:val="00977F9F"/>
    <w:rsid w:val="009824C8"/>
    <w:rsid w:val="00986111"/>
    <w:rsid w:val="00986D82"/>
    <w:rsid w:val="00987852"/>
    <w:rsid w:val="00993204"/>
    <w:rsid w:val="00993D19"/>
    <w:rsid w:val="00993D85"/>
    <w:rsid w:val="009943E5"/>
    <w:rsid w:val="009946BE"/>
    <w:rsid w:val="009956B4"/>
    <w:rsid w:val="0099600D"/>
    <w:rsid w:val="00996DC7"/>
    <w:rsid w:val="009979B6"/>
    <w:rsid w:val="00997C03"/>
    <w:rsid w:val="00997FBF"/>
    <w:rsid w:val="009A05C8"/>
    <w:rsid w:val="009A08CC"/>
    <w:rsid w:val="009A08DF"/>
    <w:rsid w:val="009A2118"/>
    <w:rsid w:val="009A2A0B"/>
    <w:rsid w:val="009A52B5"/>
    <w:rsid w:val="009A5913"/>
    <w:rsid w:val="009A64C4"/>
    <w:rsid w:val="009A7BFC"/>
    <w:rsid w:val="009A7DED"/>
    <w:rsid w:val="009B0CFA"/>
    <w:rsid w:val="009B4B38"/>
    <w:rsid w:val="009B6B79"/>
    <w:rsid w:val="009C0098"/>
    <w:rsid w:val="009C12F0"/>
    <w:rsid w:val="009C20D0"/>
    <w:rsid w:val="009C219D"/>
    <w:rsid w:val="009C2B0B"/>
    <w:rsid w:val="009C3FA5"/>
    <w:rsid w:val="009C4614"/>
    <w:rsid w:val="009C7D16"/>
    <w:rsid w:val="009C7F5B"/>
    <w:rsid w:val="009D1A10"/>
    <w:rsid w:val="009D2271"/>
    <w:rsid w:val="009D23EF"/>
    <w:rsid w:val="009D3A01"/>
    <w:rsid w:val="009D3EFA"/>
    <w:rsid w:val="009D51E6"/>
    <w:rsid w:val="009D5ECA"/>
    <w:rsid w:val="009D6159"/>
    <w:rsid w:val="009D6BCF"/>
    <w:rsid w:val="009D6CEC"/>
    <w:rsid w:val="009D7F7A"/>
    <w:rsid w:val="009E1D8F"/>
    <w:rsid w:val="009E1EC0"/>
    <w:rsid w:val="009E2D53"/>
    <w:rsid w:val="009E33FF"/>
    <w:rsid w:val="009E6C4F"/>
    <w:rsid w:val="009E70E6"/>
    <w:rsid w:val="009F0EFA"/>
    <w:rsid w:val="009F11CF"/>
    <w:rsid w:val="009F1279"/>
    <w:rsid w:val="009F1E59"/>
    <w:rsid w:val="009F2C4D"/>
    <w:rsid w:val="009F3966"/>
    <w:rsid w:val="009F4284"/>
    <w:rsid w:val="009F607C"/>
    <w:rsid w:val="009F68B5"/>
    <w:rsid w:val="009F71C5"/>
    <w:rsid w:val="009F75F1"/>
    <w:rsid w:val="009F79AF"/>
    <w:rsid w:val="00A00D98"/>
    <w:rsid w:val="00A020B8"/>
    <w:rsid w:val="00A0449E"/>
    <w:rsid w:val="00A0545A"/>
    <w:rsid w:val="00A05B1C"/>
    <w:rsid w:val="00A0627B"/>
    <w:rsid w:val="00A07847"/>
    <w:rsid w:val="00A07F2E"/>
    <w:rsid w:val="00A12857"/>
    <w:rsid w:val="00A15BC4"/>
    <w:rsid w:val="00A16DCD"/>
    <w:rsid w:val="00A16FC1"/>
    <w:rsid w:val="00A17083"/>
    <w:rsid w:val="00A224BA"/>
    <w:rsid w:val="00A231B7"/>
    <w:rsid w:val="00A236F7"/>
    <w:rsid w:val="00A24811"/>
    <w:rsid w:val="00A2503D"/>
    <w:rsid w:val="00A251C7"/>
    <w:rsid w:val="00A25D6E"/>
    <w:rsid w:val="00A2656D"/>
    <w:rsid w:val="00A26996"/>
    <w:rsid w:val="00A274FC"/>
    <w:rsid w:val="00A309AC"/>
    <w:rsid w:val="00A31A71"/>
    <w:rsid w:val="00A327BA"/>
    <w:rsid w:val="00A32842"/>
    <w:rsid w:val="00A32B20"/>
    <w:rsid w:val="00A33319"/>
    <w:rsid w:val="00A3386D"/>
    <w:rsid w:val="00A33C7F"/>
    <w:rsid w:val="00A35945"/>
    <w:rsid w:val="00A35C59"/>
    <w:rsid w:val="00A372C6"/>
    <w:rsid w:val="00A4014F"/>
    <w:rsid w:val="00A4086D"/>
    <w:rsid w:val="00A423C0"/>
    <w:rsid w:val="00A42423"/>
    <w:rsid w:val="00A42868"/>
    <w:rsid w:val="00A4417C"/>
    <w:rsid w:val="00A44A1E"/>
    <w:rsid w:val="00A4565A"/>
    <w:rsid w:val="00A46A19"/>
    <w:rsid w:val="00A5071B"/>
    <w:rsid w:val="00A50ED5"/>
    <w:rsid w:val="00A51741"/>
    <w:rsid w:val="00A517AF"/>
    <w:rsid w:val="00A52CCD"/>
    <w:rsid w:val="00A545B2"/>
    <w:rsid w:val="00A554A0"/>
    <w:rsid w:val="00A56356"/>
    <w:rsid w:val="00A568B1"/>
    <w:rsid w:val="00A5745C"/>
    <w:rsid w:val="00A615C6"/>
    <w:rsid w:val="00A649C2"/>
    <w:rsid w:val="00A653A2"/>
    <w:rsid w:val="00A662FA"/>
    <w:rsid w:val="00A6651F"/>
    <w:rsid w:val="00A675FD"/>
    <w:rsid w:val="00A67A30"/>
    <w:rsid w:val="00A70565"/>
    <w:rsid w:val="00A719F9"/>
    <w:rsid w:val="00A71BB0"/>
    <w:rsid w:val="00A73F78"/>
    <w:rsid w:val="00A744CE"/>
    <w:rsid w:val="00A74979"/>
    <w:rsid w:val="00A7696A"/>
    <w:rsid w:val="00A769C4"/>
    <w:rsid w:val="00A77231"/>
    <w:rsid w:val="00A7736C"/>
    <w:rsid w:val="00A77583"/>
    <w:rsid w:val="00A77C93"/>
    <w:rsid w:val="00A77FFB"/>
    <w:rsid w:val="00A8089E"/>
    <w:rsid w:val="00A80B21"/>
    <w:rsid w:val="00A81690"/>
    <w:rsid w:val="00A822E9"/>
    <w:rsid w:val="00A83498"/>
    <w:rsid w:val="00A83C88"/>
    <w:rsid w:val="00A850B7"/>
    <w:rsid w:val="00A85B80"/>
    <w:rsid w:val="00A90B22"/>
    <w:rsid w:val="00A90C30"/>
    <w:rsid w:val="00A9295C"/>
    <w:rsid w:val="00AA0393"/>
    <w:rsid w:val="00AA1A58"/>
    <w:rsid w:val="00AA4141"/>
    <w:rsid w:val="00AA4BEA"/>
    <w:rsid w:val="00AA5215"/>
    <w:rsid w:val="00AA7474"/>
    <w:rsid w:val="00AB0936"/>
    <w:rsid w:val="00AB222F"/>
    <w:rsid w:val="00AB2280"/>
    <w:rsid w:val="00AB238A"/>
    <w:rsid w:val="00AB546D"/>
    <w:rsid w:val="00AB681A"/>
    <w:rsid w:val="00AB71AF"/>
    <w:rsid w:val="00AB72B7"/>
    <w:rsid w:val="00AB7FA5"/>
    <w:rsid w:val="00AC1F01"/>
    <w:rsid w:val="00AC2E56"/>
    <w:rsid w:val="00AC310E"/>
    <w:rsid w:val="00AC3BFA"/>
    <w:rsid w:val="00AC6D46"/>
    <w:rsid w:val="00AD17F6"/>
    <w:rsid w:val="00AD2268"/>
    <w:rsid w:val="00AD4C00"/>
    <w:rsid w:val="00AD4D03"/>
    <w:rsid w:val="00AD64D8"/>
    <w:rsid w:val="00AD7301"/>
    <w:rsid w:val="00AE00C7"/>
    <w:rsid w:val="00AE1D5D"/>
    <w:rsid w:val="00AE3886"/>
    <w:rsid w:val="00AE3E85"/>
    <w:rsid w:val="00AE40E0"/>
    <w:rsid w:val="00AE425E"/>
    <w:rsid w:val="00AE6470"/>
    <w:rsid w:val="00AE6AFF"/>
    <w:rsid w:val="00AE73CC"/>
    <w:rsid w:val="00AF0A9D"/>
    <w:rsid w:val="00AF0ED9"/>
    <w:rsid w:val="00AF5B2A"/>
    <w:rsid w:val="00AF5B60"/>
    <w:rsid w:val="00AF617D"/>
    <w:rsid w:val="00AF6C82"/>
    <w:rsid w:val="00AF7784"/>
    <w:rsid w:val="00B02147"/>
    <w:rsid w:val="00B041F5"/>
    <w:rsid w:val="00B10B5D"/>
    <w:rsid w:val="00B10EBD"/>
    <w:rsid w:val="00B11176"/>
    <w:rsid w:val="00B11E0C"/>
    <w:rsid w:val="00B124AB"/>
    <w:rsid w:val="00B12658"/>
    <w:rsid w:val="00B13D70"/>
    <w:rsid w:val="00B14126"/>
    <w:rsid w:val="00B150ED"/>
    <w:rsid w:val="00B16B46"/>
    <w:rsid w:val="00B170A3"/>
    <w:rsid w:val="00B24A17"/>
    <w:rsid w:val="00B25FD4"/>
    <w:rsid w:val="00B27C06"/>
    <w:rsid w:val="00B322D3"/>
    <w:rsid w:val="00B377FF"/>
    <w:rsid w:val="00B37801"/>
    <w:rsid w:val="00B37A0A"/>
    <w:rsid w:val="00B400C6"/>
    <w:rsid w:val="00B400FD"/>
    <w:rsid w:val="00B40BC7"/>
    <w:rsid w:val="00B416F8"/>
    <w:rsid w:val="00B434BE"/>
    <w:rsid w:val="00B43918"/>
    <w:rsid w:val="00B44C9A"/>
    <w:rsid w:val="00B4752D"/>
    <w:rsid w:val="00B518D4"/>
    <w:rsid w:val="00B51E41"/>
    <w:rsid w:val="00B525EC"/>
    <w:rsid w:val="00B52F52"/>
    <w:rsid w:val="00B53945"/>
    <w:rsid w:val="00B545B3"/>
    <w:rsid w:val="00B54B9F"/>
    <w:rsid w:val="00B551C0"/>
    <w:rsid w:val="00B61B0D"/>
    <w:rsid w:val="00B62DB0"/>
    <w:rsid w:val="00B636CF"/>
    <w:rsid w:val="00B63FF7"/>
    <w:rsid w:val="00B64723"/>
    <w:rsid w:val="00B64EA7"/>
    <w:rsid w:val="00B64FFD"/>
    <w:rsid w:val="00B6608A"/>
    <w:rsid w:val="00B66235"/>
    <w:rsid w:val="00B67B92"/>
    <w:rsid w:val="00B704AF"/>
    <w:rsid w:val="00B71152"/>
    <w:rsid w:val="00B72250"/>
    <w:rsid w:val="00B74BBA"/>
    <w:rsid w:val="00B76E81"/>
    <w:rsid w:val="00B77BB2"/>
    <w:rsid w:val="00B8044B"/>
    <w:rsid w:val="00B804EC"/>
    <w:rsid w:val="00B81452"/>
    <w:rsid w:val="00B8270B"/>
    <w:rsid w:val="00B82AC7"/>
    <w:rsid w:val="00B84FA6"/>
    <w:rsid w:val="00B8583F"/>
    <w:rsid w:val="00B85869"/>
    <w:rsid w:val="00B8709A"/>
    <w:rsid w:val="00B90747"/>
    <w:rsid w:val="00B93C4E"/>
    <w:rsid w:val="00B93E9A"/>
    <w:rsid w:val="00B95BBF"/>
    <w:rsid w:val="00B975D2"/>
    <w:rsid w:val="00BA0548"/>
    <w:rsid w:val="00BA06FA"/>
    <w:rsid w:val="00BA0720"/>
    <w:rsid w:val="00BA07D8"/>
    <w:rsid w:val="00BA0F90"/>
    <w:rsid w:val="00BA1398"/>
    <w:rsid w:val="00BA1EA2"/>
    <w:rsid w:val="00BA2044"/>
    <w:rsid w:val="00BA2239"/>
    <w:rsid w:val="00BA2886"/>
    <w:rsid w:val="00BA4C71"/>
    <w:rsid w:val="00BA4E0D"/>
    <w:rsid w:val="00BA76AF"/>
    <w:rsid w:val="00BB1977"/>
    <w:rsid w:val="00BB1AD4"/>
    <w:rsid w:val="00BB3145"/>
    <w:rsid w:val="00BB59DB"/>
    <w:rsid w:val="00BB5EDD"/>
    <w:rsid w:val="00BC2DFF"/>
    <w:rsid w:val="00BC371A"/>
    <w:rsid w:val="00BC41F2"/>
    <w:rsid w:val="00BC42C0"/>
    <w:rsid w:val="00BC447F"/>
    <w:rsid w:val="00BC44EE"/>
    <w:rsid w:val="00BC4536"/>
    <w:rsid w:val="00BD0908"/>
    <w:rsid w:val="00BD0DCE"/>
    <w:rsid w:val="00BD1FF5"/>
    <w:rsid w:val="00BD2782"/>
    <w:rsid w:val="00BD33F2"/>
    <w:rsid w:val="00BD54BF"/>
    <w:rsid w:val="00BD601D"/>
    <w:rsid w:val="00BD636C"/>
    <w:rsid w:val="00BD7175"/>
    <w:rsid w:val="00BD7B4E"/>
    <w:rsid w:val="00BD7C26"/>
    <w:rsid w:val="00BE0233"/>
    <w:rsid w:val="00BE0DC8"/>
    <w:rsid w:val="00BE0DEA"/>
    <w:rsid w:val="00BE23E9"/>
    <w:rsid w:val="00BE54EF"/>
    <w:rsid w:val="00BE79D1"/>
    <w:rsid w:val="00BF0332"/>
    <w:rsid w:val="00BF13A7"/>
    <w:rsid w:val="00BF3055"/>
    <w:rsid w:val="00BF35B3"/>
    <w:rsid w:val="00BF38EE"/>
    <w:rsid w:val="00BF3A36"/>
    <w:rsid w:val="00BF4169"/>
    <w:rsid w:val="00BF472E"/>
    <w:rsid w:val="00BF4D24"/>
    <w:rsid w:val="00BF6620"/>
    <w:rsid w:val="00BF707D"/>
    <w:rsid w:val="00BF7146"/>
    <w:rsid w:val="00BF77F0"/>
    <w:rsid w:val="00BF7DFA"/>
    <w:rsid w:val="00C01A83"/>
    <w:rsid w:val="00C03A3C"/>
    <w:rsid w:val="00C03CD1"/>
    <w:rsid w:val="00C07058"/>
    <w:rsid w:val="00C11584"/>
    <w:rsid w:val="00C121EB"/>
    <w:rsid w:val="00C1252E"/>
    <w:rsid w:val="00C12789"/>
    <w:rsid w:val="00C15933"/>
    <w:rsid w:val="00C167E7"/>
    <w:rsid w:val="00C203C9"/>
    <w:rsid w:val="00C20B4C"/>
    <w:rsid w:val="00C20CC5"/>
    <w:rsid w:val="00C21D9D"/>
    <w:rsid w:val="00C2494E"/>
    <w:rsid w:val="00C24D28"/>
    <w:rsid w:val="00C262FE"/>
    <w:rsid w:val="00C26EC5"/>
    <w:rsid w:val="00C27D47"/>
    <w:rsid w:val="00C307BD"/>
    <w:rsid w:val="00C31C68"/>
    <w:rsid w:val="00C3258B"/>
    <w:rsid w:val="00C3344D"/>
    <w:rsid w:val="00C33DA4"/>
    <w:rsid w:val="00C3525B"/>
    <w:rsid w:val="00C35789"/>
    <w:rsid w:val="00C4084D"/>
    <w:rsid w:val="00C416DD"/>
    <w:rsid w:val="00C42166"/>
    <w:rsid w:val="00C421CA"/>
    <w:rsid w:val="00C4296C"/>
    <w:rsid w:val="00C433B8"/>
    <w:rsid w:val="00C43559"/>
    <w:rsid w:val="00C4446E"/>
    <w:rsid w:val="00C44610"/>
    <w:rsid w:val="00C463AE"/>
    <w:rsid w:val="00C51E36"/>
    <w:rsid w:val="00C54CC6"/>
    <w:rsid w:val="00C55DBA"/>
    <w:rsid w:val="00C604D0"/>
    <w:rsid w:val="00C608D1"/>
    <w:rsid w:val="00C61226"/>
    <w:rsid w:val="00C643AB"/>
    <w:rsid w:val="00C64C5A"/>
    <w:rsid w:val="00C65EDC"/>
    <w:rsid w:val="00C7015F"/>
    <w:rsid w:val="00C7062B"/>
    <w:rsid w:val="00C711CC"/>
    <w:rsid w:val="00C71380"/>
    <w:rsid w:val="00C72EF9"/>
    <w:rsid w:val="00C75F91"/>
    <w:rsid w:val="00C819A4"/>
    <w:rsid w:val="00C8247E"/>
    <w:rsid w:val="00C82A3E"/>
    <w:rsid w:val="00C83786"/>
    <w:rsid w:val="00C84B2D"/>
    <w:rsid w:val="00C85CCE"/>
    <w:rsid w:val="00C85F0F"/>
    <w:rsid w:val="00C864BB"/>
    <w:rsid w:val="00C870AF"/>
    <w:rsid w:val="00C903D3"/>
    <w:rsid w:val="00C90AE8"/>
    <w:rsid w:val="00C91877"/>
    <w:rsid w:val="00C91CCF"/>
    <w:rsid w:val="00C926AF"/>
    <w:rsid w:val="00C93DC9"/>
    <w:rsid w:val="00C9718B"/>
    <w:rsid w:val="00CA07E4"/>
    <w:rsid w:val="00CA14BB"/>
    <w:rsid w:val="00CA605D"/>
    <w:rsid w:val="00CA72F7"/>
    <w:rsid w:val="00CA760E"/>
    <w:rsid w:val="00CA7E13"/>
    <w:rsid w:val="00CB0A07"/>
    <w:rsid w:val="00CB0E45"/>
    <w:rsid w:val="00CB1B5C"/>
    <w:rsid w:val="00CB2F01"/>
    <w:rsid w:val="00CB4EE2"/>
    <w:rsid w:val="00CB5E72"/>
    <w:rsid w:val="00CB6168"/>
    <w:rsid w:val="00CB71DA"/>
    <w:rsid w:val="00CB7402"/>
    <w:rsid w:val="00CB79FC"/>
    <w:rsid w:val="00CC1C6D"/>
    <w:rsid w:val="00CC211A"/>
    <w:rsid w:val="00CC4AF3"/>
    <w:rsid w:val="00CC5B87"/>
    <w:rsid w:val="00CC7952"/>
    <w:rsid w:val="00CD07D6"/>
    <w:rsid w:val="00CD2056"/>
    <w:rsid w:val="00CD2497"/>
    <w:rsid w:val="00CD2501"/>
    <w:rsid w:val="00CD362B"/>
    <w:rsid w:val="00CD39B2"/>
    <w:rsid w:val="00CD3B11"/>
    <w:rsid w:val="00CD4E68"/>
    <w:rsid w:val="00CD5CFD"/>
    <w:rsid w:val="00CD5D29"/>
    <w:rsid w:val="00CD7F8F"/>
    <w:rsid w:val="00CE0ECB"/>
    <w:rsid w:val="00CE1B29"/>
    <w:rsid w:val="00CE29C5"/>
    <w:rsid w:val="00CE3C21"/>
    <w:rsid w:val="00CE6599"/>
    <w:rsid w:val="00CF08B0"/>
    <w:rsid w:val="00CF0A5E"/>
    <w:rsid w:val="00CF12EE"/>
    <w:rsid w:val="00CF2576"/>
    <w:rsid w:val="00CF25FD"/>
    <w:rsid w:val="00CF43A2"/>
    <w:rsid w:val="00CF5802"/>
    <w:rsid w:val="00CF5FF2"/>
    <w:rsid w:val="00CF6DDE"/>
    <w:rsid w:val="00CF6FF1"/>
    <w:rsid w:val="00CF7311"/>
    <w:rsid w:val="00CF734C"/>
    <w:rsid w:val="00CF76C2"/>
    <w:rsid w:val="00D02158"/>
    <w:rsid w:val="00D048A7"/>
    <w:rsid w:val="00D051B9"/>
    <w:rsid w:val="00D05543"/>
    <w:rsid w:val="00D05C08"/>
    <w:rsid w:val="00D10574"/>
    <w:rsid w:val="00D10A31"/>
    <w:rsid w:val="00D10B54"/>
    <w:rsid w:val="00D13BFB"/>
    <w:rsid w:val="00D151CD"/>
    <w:rsid w:val="00D15F0D"/>
    <w:rsid w:val="00D16C00"/>
    <w:rsid w:val="00D16DEE"/>
    <w:rsid w:val="00D20003"/>
    <w:rsid w:val="00D21327"/>
    <w:rsid w:val="00D23427"/>
    <w:rsid w:val="00D23BCF"/>
    <w:rsid w:val="00D244DC"/>
    <w:rsid w:val="00D24660"/>
    <w:rsid w:val="00D269E0"/>
    <w:rsid w:val="00D270FD"/>
    <w:rsid w:val="00D27122"/>
    <w:rsid w:val="00D3059E"/>
    <w:rsid w:val="00D30AFD"/>
    <w:rsid w:val="00D30B9C"/>
    <w:rsid w:val="00D30EE8"/>
    <w:rsid w:val="00D379B4"/>
    <w:rsid w:val="00D40316"/>
    <w:rsid w:val="00D413BF"/>
    <w:rsid w:val="00D426B1"/>
    <w:rsid w:val="00D429B7"/>
    <w:rsid w:val="00D42D47"/>
    <w:rsid w:val="00D43055"/>
    <w:rsid w:val="00D431D5"/>
    <w:rsid w:val="00D43232"/>
    <w:rsid w:val="00D43BD4"/>
    <w:rsid w:val="00D44AD6"/>
    <w:rsid w:val="00D44E66"/>
    <w:rsid w:val="00D513B3"/>
    <w:rsid w:val="00D5247A"/>
    <w:rsid w:val="00D5404C"/>
    <w:rsid w:val="00D54736"/>
    <w:rsid w:val="00D54B65"/>
    <w:rsid w:val="00D54C22"/>
    <w:rsid w:val="00D5591C"/>
    <w:rsid w:val="00D60635"/>
    <w:rsid w:val="00D60660"/>
    <w:rsid w:val="00D62A21"/>
    <w:rsid w:val="00D632CA"/>
    <w:rsid w:val="00D637D0"/>
    <w:rsid w:val="00D6383F"/>
    <w:rsid w:val="00D6526E"/>
    <w:rsid w:val="00D703FE"/>
    <w:rsid w:val="00D7165F"/>
    <w:rsid w:val="00D719E5"/>
    <w:rsid w:val="00D745EE"/>
    <w:rsid w:val="00D74E0C"/>
    <w:rsid w:val="00D750EB"/>
    <w:rsid w:val="00D7639F"/>
    <w:rsid w:val="00D77944"/>
    <w:rsid w:val="00D77BBA"/>
    <w:rsid w:val="00D8487F"/>
    <w:rsid w:val="00D84F53"/>
    <w:rsid w:val="00D8517F"/>
    <w:rsid w:val="00D86EAE"/>
    <w:rsid w:val="00D874E3"/>
    <w:rsid w:val="00D876BF"/>
    <w:rsid w:val="00D936C9"/>
    <w:rsid w:val="00D94AF5"/>
    <w:rsid w:val="00D95834"/>
    <w:rsid w:val="00D95F0F"/>
    <w:rsid w:val="00D96B8B"/>
    <w:rsid w:val="00DA2205"/>
    <w:rsid w:val="00DA26DF"/>
    <w:rsid w:val="00DA2FC4"/>
    <w:rsid w:val="00DA4772"/>
    <w:rsid w:val="00DA4FD4"/>
    <w:rsid w:val="00DA58BE"/>
    <w:rsid w:val="00DA6EC8"/>
    <w:rsid w:val="00DA7D84"/>
    <w:rsid w:val="00DA7E22"/>
    <w:rsid w:val="00DB0521"/>
    <w:rsid w:val="00DB237C"/>
    <w:rsid w:val="00DB32C6"/>
    <w:rsid w:val="00DB537B"/>
    <w:rsid w:val="00DB623E"/>
    <w:rsid w:val="00DC053C"/>
    <w:rsid w:val="00DC0A38"/>
    <w:rsid w:val="00DC15F1"/>
    <w:rsid w:val="00DC220C"/>
    <w:rsid w:val="00DC285B"/>
    <w:rsid w:val="00DC40E4"/>
    <w:rsid w:val="00DC4D20"/>
    <w:rsid w:val="00DD022C"/>
    <w:rsid w:val="00DD0473"/>
    <w:rsid w:val="00DD0B1F"/>
    <w:rsid w:val="00DD281C"/>
    <w:rsid w:val="00DD2E70"/>
    <w:rsid w:val="00DD3878"/>
    <w:rsid w:val="00DD53BD"/>
    <w:rsid w:val="00DD7D50"/>
    <w:rsid w:val="00DE03BF"/>
    <w:rsid w:val="00DE0C29"/>
    <w:rsid w:val="00DE4CF1"/>
    <w:rsid w:val="00DE5C73"/>
    <w:rsid w:val="00DE64A2"/>
    <w:rsid w:val="00DE71AF"/>
    <w:rsid w:val="00DF27DD"/>
    <w:rsid w:val="00DF35D8"/>
    <w:rsid w:val="00DF6642"/>
    <w:rsid w:val="00DF6E4F"/>
    <w:rsid w:val="00E02BE4"/>
    <w:rsid w:val="00E04238"/>
    <w:rsid w:val="00E049B4"/>
    <w:rsid w:val="00E0514B"/>
    <w:rsid w:val="00E05A3F"/>
    <w:rsid w:val="00E05FB1"/>
    <w:rsid w:val="00E06DAD"/>
    <w:rsid w:val="00E103B0"/>
    <w:rsid w:val="00E10D36"/>
    <w:rsid w:val="00E1107B"/>
    <w:rsid w:val="00E147DD"/>
    <w:rsid w:val="00E16E00"/>
    <w:rsid w:val="00E21237"/>
    <w:rsid w:val="00E2569F"/>
    <w:rsid w:val="00E2614B"/>
    <w:rsid w:val="00E268D5"/>
    <w:rsid w:val="00E26E2E"/>
    <w:rsid w:val="00E32DD6"/>
    <w:rsid w:val="00E33FE5"/>
    <w:rsid w:val="00E34A2A"/>
    <w:rsid w:val="00E35AF0"/>
    <w:rsid w:val="00E362B3"/>
    <w:rsid w:val="00E37EE7"/>
    <w:rsid w:val="00E406E4"/>
    <w:rsid w:val="00E41E3B"/>
    <w:rsid w:val="00E422E3"/>
    <w:rsid w:val="00E433E0"/>
    <w:rsid w:val="00E43688"/>
    <w:rsid w:val="00E4452B"/>
    <w:rsid w:val="00E44559"/>
    <w:rsid w:val="00E45616"/>
    <w:rsid w:val="00E456C6"/>
    <w:rsid w:val="00E47526"/>
    <w:rsid w:val="00E47820"/>
    <w:rsid w:val="00E47B5C"/>
    <w:rsid w:val="00E5289B"/>
    <w:rsid w:val="00E535FA"/>
    <w:rsid w:val="00E55CF2"/>
    <w:rsid w:val="00E56BA7"/>
    <w:rsid w:val="00E5771D"/>
    <w:rsid w:val="00E5772B"/>
    <w:rsid w:val="00E5794E"/>
    <w:rsid w:val="00E57C52"/>
    <w:rsid w:val="00E60187"/>
    <w:rsid w:val="00E606E9"/>
    <w:rsid w:val="00E6382D"/>
    <w:rsid w:val="00E63FCD"/>
    <w:rsid w:val="00E64F8A"/>
    <w:rsid w:val="00E65894"/>
    <w:rsid w:val="00E663C9"/>
    <w:rsid w:val="00E67750"/>
    <w:rsid w:val="00E677E7"/>
    <w:rsid w:val="00E71190"/>
    <w:rsid w:val="00E72CE7"/>
    <w:rsid w:val="00E73A7A"/>
    <w:rsid w:val="00E75CA7"/>
    <w:rsid w:val="00E763F4"/>
    <w:rsid w:val="00E76523"/>
    <w:rsid w:val="00E766F9"/>
    <w:rsid w:val="00E76A46"/>
    <w:rsid w:val="00E76B5C"/>
    <w:rsid w:val="00E7701B"/>
    <w:rsid w:val="00E80A39"/>
    <w:rsid w:val="00E81989"/>
    <w:rsid w:val="00E81B24"/>
    <w:rsid w:val="00E836AF"/>
    <w:rsid w:val="00E85601"/>
    <w:rsid w:val="00E85EF4"/>
    <w:rsid w:val="00E85EFB"/>
    <w:rsid w:val="00E85F80"/>
    <w:rsid w:val="00E86E91"/>
    <w:rsid w:val="00E90083"/>
    <w:rsid w:val="00E91424"/>
    <w:rsid w:val="00E92B55"/>
    <w:rsid w:val="00E92CEE"/>
    <w:rsid w:val="00E94566"/>
    <w:rsid w:val="00E94800"/>
    <w:rsid w:val="00E94860"/>
    <w:rsid w:val="00E96491"/>
    <w:rsid w:val="00E97C4F"/>
    <w:rsid w:val="00EA19C9"/>
    <w:rsid w:val="00EA63A7"/>
    <w:rsid w:val="00EA659F"/>
    <w:rsid w:val="00EA739D"/>
    <w:rsid w:val="00EB02F7"/>
    <w:rsid w:val="00EB146E"/>
    <w:rsid w:val="00EB1E10"/>
    <w:rsid w:val="00EB3F54"/>
    <w:rsid w:val="00EB4B23"/>
    <w:rsid w:val="00EB61B9"/>
    <w:rsid w:val="00EB7547"/>
    <w:rsid w:val="00EB7684"/>
    <w:rsid w:val="00EC008D"/>
    <w:rsid w:val="00EC0FD6"/>
    <w:rsid w:val="00EC2B23"/>
    <w:rsid w:val="00EC49C5"/>
    <w:rsid w:val="00EC4A17"/>
    <w:rsid w:val="00EC58CC"/>
    <w:rsid w:val="00EC744D"/>
    <w:rsid w:val="00ED10BE"/>
    <w:rsid w:val="00ED1D3A"/>
    <w:rsid w:val="00ED256B"/>
    <w:rsid w:val="00ED2850"/>
    <w:rsid w:val="00ED44D2"/>
    <w:rsid w:val="00ED45EF"/>
    <w:rsid w:val="00ED4C2B"/>
    <w:rsid w:val="00ED65A6"/>
    <w:rsid w:val="00ED74DD"/>
    <w:rsid w:val="00EE0440"/>
    <w:rsid w:val="00EE08E8"/>
    <w:rsid w:val="00EE1419"/>
    <w:rsid w:val="00EE1EE0"/>
    <w:rsid w:val="00EE6196"/>
    <w:rsid w:val="00EE6349"/>
    <w:rsid w:val="00EE77A2"/>
    <w:rsid w:val="00EF0867"/>
    <w:rsid w:val="00EF09B6"/>
    <w:rsid w:val="00EF0A2F"/>
    <w:rsid w:val="00EF1536"/>
    <w:rsid w:val="00EF31CF"/>
    <w:rsid w:val="00EF478C"/>
    <w:rsid w:val="00EF4C0F"/>
    <w:rsid w:val="00EF5557"/>
    <w:rsid w:val="00EF5966"/>
    <w:rsid w:val="00EF63BE"/>
    <w:rsid w:val="00EF7692"/>
    <w:rsid w:val="00F00A6C"/>
    <w:rsid w:val="00F0224C"/>
    <w:rsid w:val="00F02806"/>
    <w:rsid w:val="00F02A49"/>
    <w:rsid w:val="00F02C16"/>
    <w:rsid w:val="00F07EF1"/>
    <w:rsid w:val="00F115B7"/>
    <w:rsid w:val="00F11F96"/>
    <w:rsid w:val="00F126CB"/>
    <w:rsid w:val="00F12BC6"/>
    <w:rsid w:val="00F12DCE"/>
    <w:rsid w:val="00F12FAD"/>
    <w:rsid w:val="00F13B57"/>
    <w:rsid w:val="00F141EC"/>
    <w:rsid w:val="00F142CB"/>
    <w:rsid w:val="00F16571"/>
    <w:rsid w:val="00F16A17"/>
    <w:rsid w:val="00F16E74"/>
    <w:rsid w:val="00F20BE3"/>
    <w:rsid w:val="00F20E96"/>
    <w:rsid w:val="00F21E44"/>
    <w:rsid w:val="00F22336"/>
    <w:rsid w:val="00F228FC"/>
    <w:rsid w:val="00F245E4"/>
    <w:rsid w:val="00F25A51"/>
    <w:rsid w:val="00F260C9"/>
    <w:rsid w:val="00F272B2"/>
    <w:rsid w:val="00F27CCD"/>
    <w:rsid w:val="00F30B11"/>
    <w:rsid w:val="00F30F4A"/>
    <w:rsid w:val="00F31418"/>
    <w:rsid w:val="00F32DEE"/>
    <w:rsid w:val="00F33D33"/>
    <w:rsid w:val="00F34519"/>
    <w:rsid w:val="00F34A43"/>
    <w:rsid w:val="00F3522A"/>
    <w:rsid w:val="00F35998"/>
    <w:rsid w:val="00F41FCA"/>
    <w:rsid w:val="00F423D6"/>
    <w:rsid w:val="00F44C19"/>
    <w:rsid w:val="00F44F26"/>
    <w:rsid w:val="00F455C2"/>
    <w:rsid w:val="00F457C3"/>
    <w:rsid w:val="00F45C7C"/>
    <w:rsid w:val="00F45F79"/>
    <w:rsid w:val="00F470C5"/>
    <w:rsid w:val="00F47CAA"/>
    <w:rsid w:val="00F502BA"/>
    <w:rsid w:val="00F5059C"/>
    <w:rsid w:val="00F5362C"/>
    <w:rsid w:val="00F5385D"/>
    <w:rsid w:val="00F538CE"/>
    <w:rsid w:val="00F55B9C"/>
    <w:rsid w:val="00F573A4"/>
    <w:rsid w:val="00F57711"/>
    <w:rsid w:val="00F615E4"/>
    <w:rsid w:val="00F6247F"/>
    <w:rsid w:val="00F630EF"/>
    <w:rsid w:val="00F64960"/>
    <w:rsid w:val="00F64E3D"/>
    <w:rsid w:val="00F65186"/>
    <w:rsid w:val="00F65A4D"/>
    <w:rsid w:val="00F67987"/>
    <w:rsid w:val="00F67DD9"/>
    <w:rsid w:val="00F7009B"/>
    <w:rsid w:val="00F70C0E"/>
    <w:rsid w:val="00F7137F"/>
    <w:rsid w:val="00F71B25"/>
    <w:rsid w:val="00F71CE2"/>
    <w:rsid w:val="00F724E2"/>
    <w:rsid w:val="00F73835"/>
    <w:rsid w:val="00F73A5A"/>
    <w:rsid w:val="00F742F9"/>
    <w:rsid w:val="00F7764C"/>
    <w:rsid w:val="00F80A20"/>
    <w:rsid w:val="00F819EA"/>
    <w:rsid w:val="00F81FBC"/>
    <w:rsid w:val="00F82744"/>
    <w:rsid w:val="00F828C2"/>
    <w:rsid w:val="00F82F67"/>
    <w:rsid w:val="00F83463"/>
    <w:rsid w:val="00F8507F"/>
    <w:rsid w:val="00F85329"/>
    <w:rsid w:val="00F864B6"/>
    <w:rsid w:val="00F90544"/>
    <w:rsid w:val="00F91B5F"/>
    <w:rsid w:val="00F922F9"/>
    <w:rsid w:val="00F9421B"/>
    <w:rsid w:val="00F94818"/>
    <w:rsid w:val="00F94FF9"/>
    <w:rsid w:val="00F95D36"/>
    <w:rsid w:val="00F9791A"/>
    <w:rsid w:val="00FA02D8"/>
    <w:rsid w:val="00FA0BA7"/>
    <w:rsid w:val="00FA2355"/>
    <w:rsid w:val="00FA2933"/>
    <w:rsid w:val="00FA406A"/>
    <w:rsid w:val="00FA5990"/>
    <w:rsid w:val="00FA59BC"/>
    <w:rsid w:val="00FA6422"/>
    <w:rsid w:val="00FA72B1"/>
    <w:rsid w:val="00FB05EA"/>
    <w:rsid w:val="00FB21F4"/>
    <w:rsid w:val="00FB2AE2"/>
    <w:rsid w:val="00FB3A54"/>
    <w:rsid w:val="00FB3D04"/>
    <w:rsid w:val="00FB43F5"/>
    <w:rsid w:val="00FB71FE"/>
    <w:rsid w:val="00FC3370"/>
    <w:rsid w:val="00FC372B"/>
    <w:rsid w:val="00FC3C0B"/>
    <w:rsid w:val="00FC43F4"/>
    <w:rsid w:val="00FC527B"/>
    <w:rsid w:val="00FC62E0"/>
    <w:rsid w:val="00FD0195"/>
    <w:rsid w:val="00FD1831"/>
    <w:rsid w:val="00FD2AD5"/>
    <w:rsid w:val="00FD4657"/>
    <w:rsid w:val="00FD489F"/>
    <w:rsid w:val="00FD6F36"/>
    <w:rsid w:val="00FD78CF"/>
    <w:rsid w:val="00FD7E27"/>
    <w:rsid w:val="00FE0CE3"/>
    <w:rsid w:val="00FE18BF"/>
    <w:rsid w:val="00FE1BEC"/>
    <w:rsid w:val="00FE3E5B"/>
    <w:rsid w:val="00FE49B3"/>
    <w:rsid w:val="00FE5AB7"/>
    <w:rsid w:val="00FE6063"/>
    <w:rsid w:val="00FF1C46"/>
    <w:rsid w:val="00FF3A79"/>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276588"/>
  <w14:defaultImageDpi w14:val="0"/>
  <w15:docId w15:val="{F6495BB4-72B7-458E-B897-A6959EB2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exact"/>
    </w:pPr>
    <w:rPr>
      <w:spacing w:val="4"/>
      <w:w w:val="103"/>
      <w:kern w:val="14"/>
      <w:lang w:val="en-GB" w:eastAsia="es-ES"/>
    </w:rPr>
  </w:style>
  <w:style w:type="paragraph" w:styleId="Heading7">
    <w:name w:val="heading 7"/>
    <w:basedOn w:val="Normal"/>
    <w:next w:val="Normal"/>
    <w:link w:val="Heading7Char"/>
    <w:uiPriority w:val="9"/>
    <w:semiHidden/>
    <w:unhideWhenUsed/>
    <w:qFormat/>
    <w:rsid w:val="00603BDA"/>
    <w:pPr>
      <w:keepNext/>
      <w:keepLines/>
      <w:numPr>
        <w:ilvl w:val="6"/>
        <w:numId w:val="18"/>
      </w:numPr>
      <w:spacing w:before="200"/>
      <w:outlineLvl w:val="6"/>
    </w:pPr>
    <w:rPr>
      <w:rFonts w:ascii="Cambria" w:eastAsia="SimSun" w:hAnsi="Cambria"/>
      <w:i/>
      <w:iCs/>
      <w:color w:val="404040"/>
      <w:lang w:val="es-ES" w:eastAsia="en-US"/>
    </w:rPr>
  </w:style>
  <w:style w:type="paragraph" w:styleId="Heading8">
    <w:name w:val="heading 8"/>
    <w:basedOn w:val="Normal"/>
    <w:next w:val="Normal"/>
    <w:link w:val="Heading8Char"/>
    <w:uiPriority w:val="9"/>
    <w:semiHidden/>
    <w:unhideWhenUsed/>
    <w:qFormat/>
    <w:rsid w:val="00603BDA"/>
    <w:pPr>
      <w:keepNext/>
      <w:keepLines/>
      <w:numPr>
        <w:ilvl w:val="7"/>
        <w:numId w:val="18"/>
      </w:numPr>
      <w:spacing w:before="200"/>
      <w:outlineLvl w:val="7"/>
    </w:pPr>
    <w:rPr>
      <w:rFonts w:ascii="Cambria" w:eastAsia="SimSun" w:hAnsi="Cambria"/>
      <w:color w:val="404040"/>
      <w:lang w:val="es-ES" w:eastAsia="en-US"/>
    </w:rPr>
  </w:style>
  <w:style w:type="paragraph" w:styleId="Heading9">
    <w:name w:val="heading 9"/>
    <w:basedOn w:val="Normal"/>
    <w:next w:val="Normal"/>
    <w:link w:val="Heading9Char"/>
    <w:uiPriority w:val="9"/>
    <w:semiHidden/>
    <w:unhideWhenUsed/>
    <w:qFormat/>
    <w:rsid w:val="00603BDA"/>
    <w:pPr>
      <w:keepNext/>
      <w:keepLines/>
      <w:numPr>
        <w:ilvl w:val="8"/>
        <w:numId w:val="18"/>
      </w:numPr>
      <w:spacing w:before="200"/>
      <w:outlineLvl w:val="8"/>
    </w:pPr>
    <w:rPr>
      <w:rFonts w:ascii="Cambria" w:eastAsia="SimSun" w:hAnsi="Cambria"/>
      <w:i/>
      <w:iCs/>
      <w:color w:val="404040"/>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locked/>
    <w:rsid w:val="00603BDA"/>
    <w:rPr>
      <w:rFonts w:ascii="Cambria" w:eastAsia="SimSun" w:hAnsi="Cambria"/>
      <w:i/>
      <w:iCs/>
      <w:color w:val="404040"/>
      <w:spacing w:val="4"/>
      <w:w w:val="103"/>
      <w:kern w:val="14"/>
      <w:lang w:eastAsia="en-US"/>
    </w:rPr>
  </w:style>
  <w:style w:type="character" w:customStyle="1" w:styleId="Heading8Char">
    <w:name w:val="Heading 8 Char"/>
    <w:basedOn w:val="DefaultParagraphFont"/>
    <w:link w:val="Heading8"/>
    <w:uiPriority w:val="9"/>
    <w:semiHidden/>
    <w:locked/>
    <w:rsid w:val="00603BDA"/>
    <w:rPr>
      <w:rFonts w:ascii="Cambria" w:eastAsia="SimSun" w:hAnsi="Cambria"/>
      <w:color w:val="404040"/>
      <w:spacing w:val="4"/>
      <w:w w:val="103"/>
      <w:kern w:val="14"/>
      <w:lang w:eastAsia="en-US"/>
    </w:rPr>
  </w:style>
  <w:style w:type="character" w:customStyle="1" w:styleId="Heading9Char">
    <w:name w:val="Heading 9 Char"/>
    <w:basedOn w:val="DefaultParagraphFont"/>
    <w:link w:val="Heading9"/>
    <w:uiPriority w:val="9"/>
    <w:semiHidden/>
    <w:locked/>
    <w:rsid w:val="00603BDA"/>
    <w:rPr>
      <w:rFonts w:ascii="Cambria" w:eastAsia="SimSun" w:hAnsi="Cambria"/>
      <w:i/>
      <w:iCs/>
      <w:color w:val="404040"/>
      <w:spacing w:val="4"/>
      <w:w w:val="103"/>
      <w:kern w:val="14"/>
      <w:lang w:eastAsia="en-US"/>
    </w:rPr>
  </w:style>
  <w:style w:type="paragraph" w:customStyle="1" w:styleId="H1">
    <w:name w:val="_ H_1"/>
    <w:basedOn w:val="Normal"/>
    <w:next w:val="SingleTxt"/>
    <w:qForma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SingleTxt"/>
    <w:qFormat/>
    <w:pPr>
      <w:spacing w:line="300" w:lineRule="exact"/>
      <w:ind w:left="0" w:right="0" w:firstLine="0"/>
    </w:pPr>
    <w:rPr>
      <w:spacing w:val="-2"/>
      <w:sz w:val="28"/>
      <w:szCs w:val="28"/>
    </w:rPr>
  </w:style>
  <w:style w:type="paragraph" w:customStyle="1" w:styleId="HM">
    <w:name w:val="_ H __M"/>
    <w:basedOn w:val="HCh"/>
    <w:next w:val="Normal"/>
    <w:qFormat/>
    <w:pPr>
      <w:spacing w:line="360" w:lineRule="exact"/>
    </w:pPr>
    <w:rPr>
      <w:spacing w:val="-3"/>
      <w:w w:val="99"/>
      <w:sz w:val="34"/>
      <w:szCs w:val="34"/>
    </w:rPr>
  </w:style>
  <w:style w:type="paragraph" w:customStyle="1" w:styleId="H23">
    <w:name w:val="_ H_2/3"/>
    <w:basedOn w:val="H1"/>
    <w:next w:val="SingleTxt"/>
    <w:qFormat/>
    <w:pPr>
      <w:spacing w:line="240" w:lineRule="exact"/>
      <w:outlineLvl w:val="1"/>
    </w:pPr>
    <w:rPr>
      <w:spacing w:val="2"/>
      <w:sz w:val="20"/>
      <w:szCs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qFormat/>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pacing w:val="4"/>
      <w:w w:val="103"/>
      <w:kern w:val="14"/>
      <w:sz w:val="16"/>
      <w:lang w:val="en-GB" w:eastAsia="x-none"/>
    </w:rPr>
  </w:style>
  <w:style w:type="character" w:styleId="CommentReference">
    <w:name w:val="annotation reference"/>
    <w:basedOn w:val="DefaultParagraphFont"/>
    <w:uiPriority w:val="99"/>
    <w:semiHidden/>
    <w:rPr>
      <w:rFonts w:cs="Times New Roman"/>
      <w:sz w:val="6"/>
    </w:rPr>
  </w:style>
  <w:style w:type="character" w:styleId="FootnoteReference">
    <w:name w:val="footnote reference"/>
    <w:aliases w:val="4_G,Ref,de nota al pie,Footnote Reference Number,ftref,Footnotes refss,Footnote Reference1,16 Point,Superscript 6 Point,Times 10 Point,Exposant 3 Point,Footnote symbol,Footnote reference number,EN Footnote Reference,note TESI,сноска"/>
    <w:basedOn w:val="DefaultParagraphFont"/>
    <w:qFormat/>
    <w:rPr>
      <w:rFonts w:cs="Times New Roman"/>
      <w:color w:val="auto"/>
      <w:spacing w:val="5"/>
      <w:w w:val="103"/>
      <w:kern w:val="14"/>
      <w:position w:val="0"/>
      <w:vertAlign w:val="superscript"/>
    </w:rPr>
  </w:style>
  <w:style w:type="character" w:styleId="EndnoteReference">
    <w:name w:val="endnote reference"/>
    <w:basedOn w:val="DefaultParagraphFont"/>
    <w:uiPriority w:val="99"/>
    <w:semiHidden/>
    <w:rPr>
      <w:rFonts w:cs="Times New Roman"/>
      <w:color w:val="auto"/>
      <w:spacing w:val="5"/>
      <w:w w:val="103"/>
      <w:kern w:val="14"/>
      <w:position w:val="0"/>
      <w:vertAlign w:val="superscript"/>
    </w:rPr>
  </w:style>
  <w:style w:type="paragraph" w:styleId="FootnoteText">
    <w:name w:val="footnote text"/>
    <w:aliases w:val="5_G,fn,Footnote Text Char Char Char,single space,Текст сноски Знак,Footnote Reference2,FA Fu,Footnote Text Char Char Char Char Char,Footnote Text Char Char Char Car,Footnote Text Char Char Char Car Car Car Car Car Car,Fußnote,Char,f,ADB"/>
    <w:basedOn w:val="Normal"/>
    <w:link w:val="FootnoteTextChar"/>
    <w:qFormat/>
    <w:pPr>
      <w:widowControl w:val="0"/>
      <w:tabs>
        <w:tab w:val="right" w:pos="418"/>
      </w:tabs>
      <w:spacing w:line="210" w:lineRule="exact"/>
      <w:ind w:left="475" w:hanging="475"/>
    </w:pPr>
    <w:rPr>
      <w:spacing w:val="5"/>
      <w:sz w:val="17"/>
      <w:szCs w:val="17"/>
    </w:rPr>
  </w:style>
  <w:style w:type="character" w:customStyle="1" w:styleId="FootnoteTextChar">
    <w:name w:val="Footnote Text Char"/>
    <w:aliases w:val="5_G Char,fn Char,Footnote Text Char Char Char Char,single space Char,Текст сноски Знак Char,Footnote Reference2 Char,FA Fu Char,Footnote Text Char Char Char Char Char Char,Footnote Text Char Char Char Car Char,Fußnote Char,Char Char"/>
    <w:basedOn w:val="DefaultParagraphFont"/>
    <w:link w:val="FootnoteText"/>
    <w:locked/>
    <w:rPr>
      <w:rFonts w:cs="Times New Roman"/>
      <w:spacing w:val="4"/>
      <w:w w:val="103"/>
      <w:kern w:val="14"/>
      <w:lang w:val="en-GB" w:eastAsia="x-none"/>
    </w:rPr>
  </w:style>
  <w:style w:type="paragraph" w:styleId="EndnoteText">
    <w:name w:val="endnote text"/>
    <w:basedOn w:val="FootnoteText"/>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pacing w:val="4"/>
      <w:w w:val="103"/>
      <w:kern w:val="14"/>
      <w:lang w:val="en-GB" w:eastAsia="x-none"/>
    </w:rPr>
  </w:style>
  <w:style w:type="paragraph" w:styleId="Footer">
    <w:name w:val="footer"/>
    <w:basedOn w:val="Normal"/>
    <w:link w:val="FooterChar"/>
    <w:uiPriority w:val="99"/>
    <w:pPr>
      <w:tabs>
        <w:tab w:val="center" w:pos="4320"/>
        <w:tab w:val="right" w:pos="8640"/>
      </w:tabs>
      <w:suppressAutoHyphens w:val="0"/>
      <w:spacing w:line="240" w:lineRule="auto"/>
    </w:pPr>
    <w:rPr>
      <w:b/>
      <w:bCs/>
      <w:noProof/>
      <w:spacing w:val="0"/>
      <w:w w:val="100"/>
      <w:kern w:val="0"/>
      <w:sz w:val="17"/>
      <w:szCs w:val="17"/>
      <w:lang w:val="es-ES"/>
    </w:rPr>
  </w:style>
  <w:style w:type="character" w:customStyle="1" w:styleId="FooterChar">
    <w:name w:val="Footer Char"/>
    <w:basedOn w:val="DefaultParagraphFont"/>
    <w:link w:val="Footer"/>
    <w:uiPriority w:val="99"/>
    <w:semiHidden/>
    <w:locked/>
    <w:rPr>
      <w:rFonts w:cs="Times New Roman"/>
      <w:spacing w:val="4"/>
      <w:w w:val="103"/>
      <w:kern w:val="14"/>
      <w:lang w:val="en-GB" w:eastAsia="x-none"/>
    </w:rPr>
  </w:style>
  <w:style w:type="paragraph" w:styleId="Header">
    <w:name w:val="header"/>
    <w:basedOn w:val="Normal"/>
    <w:link w:val="HeaderChar"/>
    <w:uiPriority w:val="99"/>
    <w:pPr>
      <w:tabs>
        <w:tab w:val="center" w:pos="4320"/>
        <w:tab w:val="right" w:pos="8640"/>
      </w:tabs>
      <w:suppressAutoHyphens w:val="0"/>
      <w:spacing w:line="240" w:lineRule="auto"/>
    </w:pPr>
    <w:rPr>
      <w:noProof/>
      <w:spacing w:val="0"/>
      <w:w w:val="100"/>
      <w:kern w:val="0"/>
      <w:sz w:val="17"/>
      <w:szCs w:val="17"/>
      <w:lang w:val="es-ES"/>
    </w:rPr>
  </w:style>
  <w:style w:type="character" w:customStyle="1" w:styleId="HeaderChar">
    <w:name w:val="Header Char"/>
    <w:basedOn w:val="DefaultParagraphFont"/>
    <w:link w:val="Header"/>
    <w:uiPriority w:val="99"/>
    <w:semiHidden/>
    <w:locked/>
    <w:rPr>
      <w:rFonts w:cs="Times New Roman"/>
      <w:spacing w:val="4"/>
      <w:w w:val="103"/>
      <w:kern w:val="14"/>
      <w:lang w:val="en-GB" w:eastAsia="x-none"/>
    </w:rPr>
  </w:style>
  <w:style w:type="character" w:styleId="LineNumber">
    <w:name w:val="line number"/>
    <w:basedOn w:val="DefaultParagraphFont"/>
    <w:uiPriority w:val="99"/>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PlainText">
    <w:name w:val="Plain Text"/>
    <w:basedOn w:val="Normal"/>
    <w:link w:val="PlainTextChar"/>
    <w:uiPriority w:val="99"/>
    <w:pPr>
      <w:suppressAutoHyphens w:val="0"/>
      <w:spacing w:line="240" w:lineRule="auto"/>
    </w:pPr>
    <w:rPr>
      <w:rFonts w:ascii="Courier New" w:hAnsi="Courier New" w:cs="Courier New"/>
      <w:spacing w:val="0"/>
      <w:w w:val="100"/>
      <w:kern w:val="0"/>
      <w:lang w:val="en-US"/>
    </w:rPr>
  </w:style>
  <w:style w:type="character" w:customStyle="1" w:styleId="PlainTextChar">
    <w:name w:val="Plain Text Char"/>
    <w:basedOn w:val="DefaultParagraphFont"/>
    <w:link w:val="PlainText"/>
    <w:uiPriority w:val="99"/>
    <w:semiHidden/>
    <w:locked/>
    <w:rPr>
      <w:rFonts w:ascii="Courier New" w:hAnsi="Courier New" w:cs="Times New Roman"/>
      <w:spacing w:val="4"/>
      <w:w w:val="103"/>
      <w:kern w:val="14"/>
      <w:lang w:val="en-GB" w:eastAsia="x-none"/>
    </w:rPr>
  </w:style>
  <w:style w:type="table" w:styleId="TableGrid">
    <w:name w:val="Table Grid"/>
    <w:basedOn w:val="TableNormal"/>
    <w:uiPriority w:val="59"/>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rPr>
      <w:spacing w:val="4"/>
      <w:w w:val="103"/>
      <w:kern w:val="14"/>
      <w:lang w:val="en-GB" w:eastAsia="es-ES"/>
    </w:rPr>
  </w:style>
  <w:style w:type="paragraph" w:customStyle="1" w:styleId="TitleH1">
    <w:name w:val="Title_H1"/>
    <w:basedOn w:val="H1"/>
    <w:next w:val="Normal"/>
    <w:qFormat/>
    <w:pPr>
      <w:keepNext w:val="0"/>
      <w:keepLines w:val="0"/>
    </w:pPr>
  </w:style>
  <w:style w:type="paragraph" w:customStyle="1" w:styleId="Session">
    <w:name w:val="Session"/>
    <w:basedOn w:val="H23"/>
    <w:pPr>
      <w:ind w:left="0" w:firstLine="0"/>
    </w:pPr>
    <w:rPr>
      <w:spacing w:val="4"/>
    </w:rPr>
  </w:style>
  <w:style w:type="paragraph" w:customStyle="1" w:styleId="AgendaTitleH2">
    <w:name w:val="Agenda_Title_H2"/>
    <w:basedOn w:val="TitleH1"/>
    <w:next w:val="Normal"/>
    <w:pPr>
      <w:keepNext/>
      <w:keepLines/>
      <w:spacing w:line="240" w:lineRule="exact"/>
      <w:ind w:left="0" w:firstLine="0"/>
      <w:outlineLvl w:val="1"/>
    </w:pPr>
    <w:rPr>
      <w:sz w:val="20"/>
      <w:szCs w:val="20"/>
    </w:rPr>
  </w:style>
  <w:style w:type="paragraph" w:customStyle="1" w:styleId="TitleHCH">
    <w:name w:val="Title_H_CH"/>
    <w:basedOn w:val="HCh"/>
    <w:next w:val="SingleTxt"/>
    <w:qFormat/>
    <w:pPr>
      <w:ind w:left="1267" w:right="1267" w:hanging="1267"/>
    </w:pPr>
  </w:style>
  <w:style w:type="paragraph" w:customStyle="1" w:styleId="TitleH2">
    <w:name w:val="Title_H2"/>
    <w:basedOn w:val="H23"/>
    <w:qFormat/>
  </w:style>
  <w:style w:type="paragraph" w:customStyle="1" w:styleId="Distribution">
    <w:name w:val="Distribution"/>
    <w:next w:val="Normal"/>
    <w:pPr>
      <w:spacing w:before="240"/>
    </w:pPr>
    <w:rPr>
      <w:spacing w:val="4"/>
      <w:w w:val="103"/>
      <w:kern w:val="14"/>
      <w:lang w:val="en-GB" w:eastAsia="es-ES"/>
    </w:rPr>
  </w:style>
  <w:style w:type="paragraph" w:customStyle="1" w:styleId="Publication">
    <w:name w:val="Publication"/>
    <w:next w:val="Normal"/>
    <w:rPr>
      <w:spacing w:val="4"/>
      <w:w w:val="103"/>
      <w:kern w:val="14"/>
      <w:lang w:val="en-GB" w:eastAsia="es-ES"/>
    </w:rPr>
  </w:style>
  <w:style w:type="paragraph" w:customStyle="1" w:styleId="Original">
    <w:name w:val="Original"/>
    <w:next w:val="Normal"/>
    <w:rPr>
      <w:spacing w:val="4"/>
      <w:w w:val="103"/>
      <w:kern w:val="14"/>
      <w:lang w:val="en-GB" w:eastAsia="es-ES"/>
    </w:rPr>
  </w:style>
  <w:style w:type="paragraph" w:customStyle="1" w:styleId="ReleaseDate">
    <w:name w:val="Release Date"/>
    <w:next w:val="Footer"/>
    <w:rPr>
      <w:spacing w:val="4"/>
      <w:w w:val="103"/>
      <w:kern w:val="14"/>
      <w:lang w:val="en-GB" w:eastAsia="es-ES"/>
    </w:rPr>
  </w:style>
  <w:style w:type="character" w:styleId="Hyperlink">
    <w:name w:val="Hyperlink"/>
    <w:basedOn w:val="DefaultParagraphFont"/>
    <w:uiPriority w:val="99"/>
    <w:rPr>
      <w:rFonts w:cs="Times New Roman"/>
      <w:color w:val="0000FF"/>
      <w:u w:val="none"/>
    </w:rPr>
  </w:style>
  <w:style w:type="paragraph" w:customStyle="1" w:styleId="Bullet1">
    <w:name w:val="Bullet 1"/>
    <w:basedOn w:val="Normal"/>
    <w:pPr>
      <w:numPr>
        <w:numId w:val="12"/>
      </w:numPr>
      <w:spacing w:after="120" w:line="240" w:lineRule="atLeast"/>
      <w:ind w:left="1743" w:right="1267" w:hanging="130"/>
      <w:jc w:val="both"/>
    </w:pPr>
  </w:style>
  <w:style w:type="paragraph" w:customStyle="1" w:styleId="Bullet2">
    <w:name w:val="Bullet 2"/>
    <w:basedOn w:val="Normal"/>
    <w:pPr>
      <w:numPr>
        <w:numId w:val="11"/>
      </w:numPr>
      <w:spacing w:after="120"/>
      <w:ind w:left="2217" w:right="1264" w:hanging="130"/>
      <w:jc w:val="both"/>
    </w:pPr>
  </w:style>
  <w:style w:type="paragraph" w:customStyle="1" w:styleId="Bullet3">
    <w:name w:val="Bullet 3"/>
    <w:basedOn w:val="SingleTxt"/>
    <w:pPr>
      <w:numPr>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locked/>
    <w:rPr>
      <w:rFonts w:cs="Times New Roman"/>
      <w:spacing w:val="4"/>
      <w:w w:val="103"/>
      <w:kern w:val="14"/>
      <w:lang w:val="en-GB" w:eastAsia="x-none"/>
    </w:rPr>
  </w:style>
  <w:style w:type="character" w:customStyle="1" w:styleId="CarCar1">
    <w:name w:val="Car Car1"/>
    <w:locked/>
    <w:rPr>
      <w:spacing w:val="4"/>
      <w:w w:val="103"/>
      <w:kern w:val="14"/>
      <w:lang w:val="en-GB" w:eastAsia="x-non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pacing w:val="4"/>
      <w:w w:val="103"/>
      <w:kern w:val="14"/>
      <w:lang w:val="en-GB" w:eastAsia="x-none"/>
    </w:rPr>
  </w:style>
  <w:style w:type="character" w:customStyle="1" w:styleId="CarCar">
    <w:name w:val="Car Car"/>
    <w:locked/>
    <w:rPr>
      <w:b/>
      <w:spacing w:val="4"/>
      <w:w w:val="103"/>
      <w:kern w:val="14"/>
      <w:lang w:val="en-GB" w:eastAsia="x-none"/>
    </w:rPr>
  </w:style>
  <w:style w:type="character" w:styleId="FollowedHyperlink">
    <w:name w:val="FollowedHyperlink"/>
    <w:basedOn w:val="DefaultParagraphFont"/>
    <w:uiPriority w:val="99"/>
    <w:rPr>
      <w:rFonts w:cs="Times New Roman"/>
      <w:color w:val="0000FF"/>
      <w:u w:val="none"/>
    </w:rPr>
  </w:style>
  <w:style w:type="character" w:customStyle="1" w:styleId="tw4winMark">
    <w:name w:val="tw4winMark"/>
    <w:rPr>
      <w:rFonts w:ascii="Courier New" w:hAnsi="Courier New"/>
      <w:vanish/>
      <w:color w:val="800080"/>
      <w:sz w:val="24"/>
      <w:vertAlign w:val="subscript"/>
    </w:rPr>
  </w:style>
  <w:style w:type="character" w:customStyle="1" w:styleId="preferred">
    <w:name w:val="preferred"/>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Number2">
    <w:name w:val="List Number 2"/>
    <w:basedOn w:val="Normal"/>
    <w:uiPriority w:val="99"/>
    <w:rsid w:val="00352A6C"/>
    <w:pPr>
      <w:tabs>
        <w:tab w:val="num" w:pos="643"/>
      </w:tabs>
      <w:spacing w:line="240" w:lineRule="atLeast"/>
      <w:ind w:left="643" w:hanging="360"/>
    </w:pPr>
    <w:rPr>
      <w:spacing w:val="0"/>
      <w:w w:val="100"/>
      <w:kern w:val="0"/>
      <w:lang w:eastAsia="en-US"/>
    </w:rPr>
  </w:style>
  <w:style w:type="paragraph" w:customStyle="1" w:styleId="7P">
    <w:name w:val="_ 7_ P"/>
    <w:basedOn w:val="Normal"/>
    <w:next w:val="Normal"/>
    <w:qFormat/>
    <w:rsid w:val="00BA20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lang w:val="es-ES" w:eastAsia="en-US"/>
    </w:rPr>
  </w:style>
  <w:style w:type="paragraph" w:styleId="ListParagraph">
    <w:name w:val="List Paragraph"/>
    <w:basedOn w:val="Normal"/>
    <w:link w:val="ListParagraphChar"/>
    <w:uiPriority w:val="34"/>
    <w:qFormat/>
    <w:rsid w:val="00603BDA"/>
    <w:pPr>
      <w:ind w:left="720"/>
      <w:contextualSpacing/>
    </w:pPr>
    <w:rPr>
      <w:lang w:val="es-ES" w:eastAsia="en-US"/>
    </w:rPr>
  </w:style>
  <w:style w:type="character" w:customStyle="1" w:styleId="ListParagraphChar">
    <w:name w:val="List Paragraph Char"/>
    <w:link w:val="ListParagraph"/>
    <w:uiPriority w:val="34"/>
    <w:locked/>
    <w:rsid w:val="00603BDA"/>
    <w:rPr>
      <w:spacing w:val="4"/>
      <w:w w:val="103"/>
      <w:kern w:val="14"/>
      <w:lang w:val="x-none" w:eastAsia="en-US"/>
    </w:rPr>
  </w:style>
  <w:style w:type="character" w:customStyle="1" w:styleId="SingleTxtChar">
    <w:name w:val="__Single Txt Char"/>
    <w:link w:val="SingleTxt"/>
    <w:locked/>
    <w:rsid w:val="00ED74DD"/>
    <w:rPr>
      <w:spacing w:val="4"/>
      <w:w w:val="103"/>
      <w:kern w:val="14"/>
      <w:lang w:val="en-GB" w:eastAsia="es-ES"/>
    </w:rPr>
  </w:style>
  <w:style w:type="table" w:customStyle="1" w:styleId="TableGrid2">
    <w:name w:val="Table Grid2"/>
    <w:basedOn w:val="TableNormal"/>
    <w:next w:val="TableGrid"/>
    <w:uiPriority w:val="39"/>
    <w:rsid w:val="009A52B5"/>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A">
    <w:name w:val="Body A"/>
    <w:rsid w:val="005E4AC4"/>
    <w:pPr>
      <w:suppressAutoHyphens/>
      <w:spacing w:line="240" w:lineRule="atLeast"/>
    </w:pPr>
    <w:rPr>
      <w:rFonts w:eastAsia="Arial Unicode MS" w:cs="Arial Unicode MS"/>
      <w:color w:val="000000"/>
      <w:u w:color="000000"/>
      <w:lang w:val="en-US" w:eastAsia="en-GB"/>
    </w:rPr>
  </w:style>
  <w:style w:type="paragraph" w:styleId="Revision">
    <w:name w:val="Revision"/>
    <w:hidden/>
    <w:uiPriority w:val="99"/>
    <w:semiHidden/>
    <w:rsid w:val="00465353"/>
    <w:rPr>
      <w:spacing w:val="4"/>
      <w:w w:val="103"/>
      <w:kern w:val="1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s://undocs.org/es/CEDAW/C/SR.1539" TargetMode="External"/><Relationship Id="rId3" Type="http://schemas.openxmlformats.org/officeDocument/2006/relationships/styles" Target="styles.xml"/><Relationship Id="rId21" Type="http://schemas.openxmlformats.org/officeDocument/2006/relationships/hyperlink" Target="http://undocs.org/HRI/GEN/2/Rev.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ndocs.org/es/CEDAW/C/SR.1538" TargetMode="External"/><Relationship Id="rId2" Type="http://schemas.openxmlformats.org/officeDocument/2006/relationships/numbering" Target="numbering.xml"/><Relationship Id="rId16" Type="http://schemas.openxmlformats.org/officeDocument/2006/relationships/hyperlink" Target="https://undocs.org/es/CEDAW/C/NRU/1-2" TargetMode="External"/><Relationship Id="rId20" Type="http://schemas.openxmlformats.org/officeDocument/2006/relationships/hyperlink" Target="https://undocs.org/es/CEDAW/C/NRU/Q/1-2/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undocs.org/es/CEDAW/C/NRU/Q/1-2"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906B-D083-4844-A239-A0447876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6525</Words>
  <Characters>34183</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QC</dc:creator>
  <cp:lastModifiedBy>Victoria Villalobos Ayala De Rivera</cp:lastModifiedBy>
  <cp:revision>2</cp:revision>
  <cp:lastPrinted>2016-03-30T20:24:00Z</cp:lastPrinted>
  <dcterms:created xsi:type="dcterms:W3CDTF">2018-01-17T19:35:00Z</dcterms:created>
  <dcterms:modified xsi:type="dcterms:W3CDTF">2018-01-17T19:35:00Z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1720377S</vt:lpwstr>
  </property>
  <property fmtid="{D5CDD505-2E9C-101B-9397-08002B2CF9AE}" pid="3" name="ODSRefJobNo">
    <vt:lpwstr>1739423S</vt:lpwstr>
  </property>
  <property fmtid="{D5CDD505-2E9C-101B-9397-08002B2CF9AE}" pid="4" name="Symbol1">
    <vt:lpwstr>CEDAW/C/NRU/CO/1-2</vt:lpwstr>
  </property>
  <property fmtid="{D5CDD505-2E9C-101B-9397-08002B2CF9AE}" pid="5" name="Symbol2">
    <vt:lpwstr/>
  </property>
  <property fmtid="{D5CDD505-2E9C-101B-9397-08002B2CF9AE}" pid="6" name="Category">
    <vt:lpwstr>Document</vt:lpwstr>
  </property>
  <property fmtid="{D5CDD505-2E9C-101B-9397-08002B2CF9AE}" pid="7" name="Original">
    <vt:lpwstr>inglés</vt:lpwstr>
  </property>
  <property fmtid="{D5CDD505-2E9C-101B-9397-08002B2CF9AE}" pid="8" name="Title1">
    <vt:lpwstr>Comité para la Eliminación de la Discriminación contra la Mujer_x000d_</vt:lpwstr>
  </property>
  <property fmtid="{D5CDD505-2E9C-101B-9397-08002B2CF9AE}" pid="9" name="Title2">
    <vt:lpwstr>		Observaciones finales sobre el informe inicial y el segundo informe periódico combinados de Nauru*_x000d_</vt:lpwstr>
  </property>
</Properties>
</file>