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E3A5" w14:textId="77777777" w:rsidR="008E6851" w:rsidRPr="00F701D1" w:rsidRDefault="008E6851" w:rsidP="008E6851">
      <w:pPr>
        <w:spacing w:line="60" w:lineRule="exact"/>
        <w:rPr>
          <w:color w:val="010000"/>
          <w:sz w:val="2"/>
          <w:lang w:val="en-US"/>
        </w:rPr>
        <w:sectPr w:rsidR="008E6851" w:rsidRPr="00F701D1" w:rsidSect="00DF07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F701D1">
        <w:rPr>
          <w:rStyle w:val="CommentReference"/>
        </w:rPr>
        <w:commentReference w:id="0"/>
      </w:r>
    </w:p>
    <w:p w14:paraId="6BF15D7F" w14:textId="625A1F97" w:rsidR="008E6851" w:rsidRPr="00F701D1" w:rsidRDefault="00DF07EA" w:rsidP="0032102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5070"/>
      </w:pPr>
      <w:r w:rsidRPr="00F701D1">
        <w:t>Комитет по ликвидации дискриминации в отношении женщин</w:t>
      </w:r>
    </w:p>
    <w:p w14:paraId="367AD7C5" w14:textId="21B47A55" w:rsidR="00321021" w:rsidRPr="00F701D1" w:rsidRDefault="00321021" w:rsidP="00321021">
      <w:pPr>
        <w:pStyle w:val="SingleTxt"/>
        <w:spacing w:after="0" w:line="120" w:lineRule="exact"/>
        <w:rPr>
          <w:sz w:val="10"/>
        </w:rPr>
      </w:pPr>
    </w:p>
    <w:p w14:paraId="23C5D996" w14:textId="6A099D94" w:rsidR="00321021" w:rsidRPr="00F701D1" w:rsidRDefault="00321021" w:rsidP="00321021">
      <w:pPr>
        <w:pStyle w:val="SingleTxt"/>
        <w:spacing w:after="0" w:line="120" w:lineRule="exact"/>
        <w:rPr>
          <w:sz w:val="10"/>
        </w:rPr>
      </w:pPr>
    </w:p>
    <w:p w14:paraId="0DEF352C" w14:textId="2CD79CDF" w:rsidR="00321021" w:rsidRPr="00F701D1" w:rsidRDefault="00321021" w:rsidP="00321021">
      <w:pPr>
        <w:pStyle w:val="SingleTxt"/>
        <w:spacing w:after="0" w:line="120" w:lineRule="exact"/>
        <w:rPr>
          <w:sz w:val="10"/>
        </w:rPr>
      </w:pPr>
    </w:p>
    <w:p w14:paraId="66A9E037" w14:textId="4673BE00" w:rsidR="00321021" w:rsidRPr="00F701D1" w:rsidRDefault="00321021" w:rsidP="00AA36C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</w:rPr>
      </w:pPr>
      <w:r w:rsidRPr="00F701D1">
        <w:tab/>
      </w:r>
      <w:r w:rsidRPr="00F701D1">
        <w:tab/>
        <w:t>Заключительные замечания по шестому периодическому докладу Намибии</w:t>
      </w:r>
      <w:r w:rsidRPr="00F701D1">
        <w:rPr>
          <w:rStyle w:val="FootnoteReference"/>
          <w:b w:val="0"/>
          <w:sz w:val="20"/>
        </w:rPr>
        <w:footnoteReference w:customMarkFollows="1" w:id="1"/>
        <w:t>*</w:t>
      </w:r>
    </w:p>
    <w:p w14:paraId="614CEDB3" w14:textId="5F47D4DA" w:rsidR="005D6A91" w:rsidRPr="00F701D1" w:rsidRDefault="005D6A91" w:rsidP="005D6A91">
      <w:pPr>
        <w:pStyle w:val="SingleTxt"/>
        <w:spacing w:after="0" w:line="120" w:lineRule="exact"/>
        <w:rPr>
          <w:sz w:val="10"/>
        </w:rPr>
      </w:pPr>
    </w:p>
    <w:p w14:paraId="61BD8D74" w14:textId="3FE88850" w:rsidR="005D6A91" w:rsidRPr="00F701D1" w:rsidRDefault="005D6A91" w:rsidP="005D6A91">
      <w:pPr>
        <w:pStyle w:val="SingleTxt"/>
        <w:spacing w:after="0" w:line="120" w:lineRule="exact"/>
        <w:rPr>
          <w:sz w:val="10"/>
        </w:rPr>
      </w:pPr>
    </w:p>
    <w:p w14:paraId="16BB7CEB" w14:textId="75D67696" w:rsidR="00757996" w:rsidRPr="00757996" w:rsidRDefault="00757996" w:rsidP="00757996">
      <w:pPr>
        <w:pStyle w:val="SingleTxt"/>
      </w:pPr>
      <w:r w:rsidRPr="00757996">
        <w:t>1.</w:t>
      </w:r>
      <w:r w:rsidRPr="00757996">
        <w:tab/>
        <w:t>Комитет рассмотрел шестой периодический доклад Намибии (</w:t>
      </w:r>
      <w:hyperlink r:id="rId18" w:history="1">
        <w:r w:rsidRPr="00757996">
          <w:rPr>
            <w:rStyle w:val="Hyperlink"/>
          </w:rPr>
          <w:t>CEDAW/C/NAM/6</w:t>
        </w:r>
      </w:hyperlink>
      <w:r w:rsidRPr="00757996">
        <w:t>) на своих 1887-м и 1888-м заседаниях (</w:t>
      </w:r>
      <w:hyperlink r:id="rId19" w:history="1">
        <w:r w:rsidRPr="00757996">
          <w:rPr>
            <w:rStyle w:val="Hyperlink"/>
          </w:rPr>
          <w:t>CEDAW/C/SR.1887</w:t>
        </w:r>
      </w:hyperlink>
      <w:r w:rsidRPr="00757996">
        <w:t xml:space="preserve"> и </w:t>
      </w:r>
      <w:hyperlink r:id="rId20" w:history="1">
        <w:r w:rsidRPr="00757996">
          <w:rPr>
            <w:rStyle w:val="Hyperlink"/>
          </w:rPr>
          <w:t>CEDAW/C/SR.1888</w:t>
        </w:r>
      </w:hyperlink>
      <w:r w:rsidRPr="00757996">
        <w:t xml:space="preserve">), состоявшихся 17 июня 2022 года. Перечень тем и вопросов, поднятых </w:t>
      </w:r>
      <w:proofErr w:type="spellStart"/>
      <w:r w:rsidRPr="00757996">
        <w:t>предсессионной</w:t>
      </w:r>
      <w:proofErr w:type="spellEnd"/>
      <w:r w:rsidRPr="00757996">
        <w:t xml:space="preserve"> рабочей группой, содержится в документе </w:t>
      </w:r>
      <w:hyperlink r:id="rId21" w:history="1">
        <w:r w:rsidRPr="00757996">
          <w:rPr>
            <w:rStyle w:val="Hyperlink"/>
          </w:rPr>
          <w:t>CEDAW/C/NAM/Q/6</w:t>
        </w:r>
      </w:hyperlink>
      <w:r w:rsidRPr="00757996">
        <w:t xml:space="preserve">, а ответы Намибии </w:t>
      </w:r>
      <w:bookmarkStart w:id="1" w:name="_Hlk110369342"/>
      <w:r w:rsidRPr="00757996">
        <w:t>—</w:t>
      </w:r>
      <w:bookmarkEnd w:id="1"/>
      <w:r w:rsidRPr="00757996">
        <w:t xml:space="preserve"> в документе </w:t>
      </w:r>
      <w:hyperlink r:id="rId22" w:history="1">
        <w:r w:rsidRPr="00757996">
          <w:rPr>
            <w:rStyle w:val="Hyperlink"/>
          </w:rPr>
          <w:t>CEDAW/C/NAM/RQ/6</w:t>
        </w:r>
      </w:hyperlink>
      <w:r w:rsidRPr="00757996">
        <w:t>.</w:t>
      </w:r>
    </w:p>
    <w:p w14:paraId="79B279F7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7E1BD366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31B3EFCE" w14:textId="06581976" w:rsidR="00757996" w:rsidRPr="00F701D1" w:rsidRDefault="00757996" w:rsidP="007579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F701D1">
        <w:tab/>
        <w:t>A.</w:t>
      </w:r>
      <w:r w:rsidRPr="00F701D1">
        <w:tab/>
        <w:t>Введение</w:t>
      </w:r>
    </w:p>
    <w:p w14:paraId="54E53BEA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047C4D3F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5F0380A9" w14:textId="3F905C4B" w:rsidR="00757996" w:rsidRPr="00757996" w:rsidRDefault="00757996" w:rsidP="00757996">
      <w:pPr>
        <w:pStyle w:val="SingleTxt"/>
      </w:pPr>
      <w:r w:rsidRPr="00757996">
        <w:t>2.</w:t>
      </w:r>
      <w:r w:rsidRPr="00757996">
        <w:tab/>
        <w:t>Комитет высоко оценивает представление государством-участником своего шестого периодического доклада. Он также высоко оценивает доклад государства-участника о последующей деятельности по выполнению предыдущих заключительных замечаний Комитета (</w:t>
      </w:r>
      <w:hyperlink r:id="rId23" w:history="1">
        <w:r w:rsidRPr="003416D9">
          <w:rPr>
            <w:rStyle w:val="Hyperlink"/>
            <w:lang w:val="en-GB"/>
          </w:rPr>
          <w:t>CEDAW</w:t>
        </w:r>
        <w:r w:rsidRPr="003416D9">
          <w:rPr>
            <w:rStyle w:val="Hyperlink"/>
          </w:rPr>
          <w:t>/</w:t>
        </w:r>
        <w:r w:rsidRPr="003416D9">
          <w:rPr>
            <w:rStyle w:val="Hyperlink"/>
            <w:lang w:val="en-GB"/>
          </w:rPr>
          <w:t>C</w:t>
        </w:r>
        <w:r w:rsidRPr="003416D9">
          <w:rPr>
            <w:rStyle w:val="Hyperlink"/>
          </w:rPr>
          <w:t>/</w:t>
        </w:r>
        <w:r w:rsidRPr="003416D9">
          <w:rPr>
            <w:rStyle w:val="Hyperlink"/>
            <w:lang w:val="en-GB"/>
          </w:rPr>
          <w:t>NAM</w:t>
        </w:r>
        <w:r w:rsidRPr="003416D9">
          <w:rPr>
            <w:rStyle w:val="Hyperlink"/>
          </w:rPr>
          <w:t>/</w:t>
        </w:r>
        <w:r w:rsidRPr="003416D9">
          <w:rPr>
            <w:rStyle w:val="Hyperlink"/>
            <w:lang w:val="en-GB"/>
          </w:rPr>
          <w:t>CO</w:t>
        </w:r>
        <w:r w:rsidRPr="003416D9">
          <w:rPr>
            <w:rStyle w:val="Hyperlink"/>
          </w:rPr>
          <w:t>/4–5/</w:t>
        </w:r>
        <w:r w:rsidRPr="003416D9">
          <w:rPr>
            <w:rStyle w:val="Hyperlink"/>
            <w:lang w:val="en-GB"/>
          </w:rPr>
          <w:t>Add</w:t>
        </w:r>
        <w:r w:rsidRPr="003416D9">
          <w:rPr>
            <w:rStyle w:val="Hyperlink"/>
          </w:rPr>
          <w:t>.1</w:t>
        </w:r>
      </w:hyperlink>
      <w:r w:rsidRPr="00757996">
        <w:t xml:space="preserve">) и его письменные ответы на перечень тем и вопросов, поднятых </w:t>
      </w:r>
      <w:proofErr w:type="spellStart"/>
      <w:r w:rsidRPr="00757996">
        <w:t>предсессионной</w:t>
      </w:r>
      <w:proofErr w:type="spellEnd"/>
      <w:r w:rsidRPr="00757996">
        <w:t xml:space="preserve"> рабочей группой. Он приветствует устное выступление делегации и дополнительные разъяснения, представленные в ответ на вопросы, заданные устно Комитетом в ходе диалога.</w:t>
      </w:r>
    </w:p>
    <w:p w14:paraId="246BB088" w14:textId="77777777" w:rsidR="00757996" w:rsidRPr="00757996" w:rsidRDefault="00757996" w:rsidP="00757996">
      <w:pPr>
        <w:pStyle w:val="SingleTxt"/>
      </w:pPr>
      <w:r w:rsidRPr="00757996">
        <w:t>3.</w:t>
      </w:r>
      <w:r w:rsidRPr="00757996">
        <w:tab/>
        <w:t xml:space="preserve">Комитет выражает признательность государству-участнику за направление делегации высокого уровня, которую возглавляла г-жа </w:t>
      </w:r>
      <w:proofErr w:type="spellStart"/>
      <w:r w:rsidRPr="00757996">
        <w:t>Дорин</w:t>
      </w:r>
      <w:proofErr w:type="spellEnd"/>
      <w:r w:rsidRPr="00757996">
        <w:t xml:space="preserve"> </w:t>
      </w:r>
      <w:proofErr w:type="spellStart"/>
      <w:r w:rsidRPr="00757996">
        <w:t>Сиока</w:t>
      </w:r>
      <w:proofErr w:type="spellEnd"/>
      <w:r w:rsidRPr="00757996">
        <w:t>, министр по вопросам гендерного равенства, искоренения бедности и социального обеспечения, и в состав которой также входили представители Министерства образования, искусства и культуры, Министерства по вопросам гендерного равенства, искоренения бедности и социального обеспечения, Министерства юстиции, Министерства труда, производственных отношений и создания рабочих мест, а также сотрудники Постоянного представительства Намибии при Отделении Организации Объединенных Наций и других международных организациях в Женеве.</w:t>
      </w:r>
    </w:p>
    <w:p w14:paraId="6763FD1A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3197CA40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387A0A93" w14:textId="77777777" w:rsidR="00757996" w:rsidRPr="00F701D1" w:rsidRDefault="00757996">
      <w:pPr>
        <w:spacing w:after="200" w:line="276" w:lineRule="auto"/>
        <w:rPr>
          <w:b/>
          <w:sz w:val="24"/>
        </w:rPr>
      </w:pPr>
      <w:r w:rsidRPr="00F701D1">
        <w:br w:type="page"/>
      </w:r>
    </w:p>
    <w:p w14:paraId="526022C7" w14:textId="04A13BA6" w:rsidR="00757996" w:rsidRPr="00F701D1" w:rsidRDefault="00757996" w:rsidP="007579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lastRenderedPageBreak/>
        <w:tab/>
        <w:t>B.</w:t>
      </w:r>
      <w:r w:rsidRPr="00F701D1">
        <w:tab/>
        <w:t>Положительные аспекты</w:t>
      </w:r>
    </w:p>
    <w:p w14:paraId="7A2B061C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2563E6FD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4D23102C" w14:textId="20317035" w:rsidR="00757996" w:rsidRPr="00757996" w:rsidRDefault="00757996" w:rsidP="00757996">
      <w:pPr>
        <w:pStyle w:val="SingleTxt"/>
      </w:pPr>
      <w:r w:rsidRPr="00757996">
        <w:t>4.</w:t>
      </w:r>
      <w:r w:rsidRPr="00757996">
        <w:tab/>
        <w:t>Комитет приветствует прогресс, достигнутый после рассмотрения в 2015 году объединенных четвертого и пятого периодических докладов государства-участника (</w:t>
      </w:r>
      <w:hyperlink r:id="rId24" w:history="1">
        <w:r w:rsidRPr="003416D9">
          <w:rPr>
            <w:rStyle w:val="Hyperlink"/>
          </w:rPr>
          <w:t>CEDAW/C/NAM/4–5</w:t>
        </w:r>
      </w:hyperlink>
      <w:r w:rsidRPr="00757996">
        <w:t xml:space="preserve">) в проведении законодательных реформ, в частности, в принятии следующих законов: </w:t>
      </w:r>
    </w:p>
    <w:p w14:paraId="553046B1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Закон о борьбе с торговлей людьми (№ 1 от 2018 года); </w:t>
      </w:r>
    </w:p>
    <w:p w14:paraId="3814E4EB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Закон о государственных закупках (№ 15 от 2015 года), который вступил в силу в 2017 году и предусматривает преференциальный режим для предприятий, принадлежащих женщинам, в процессах государственных закупок; </w:t>
      </w:r>
    </w:p>
    <w:p w14:paraId="149EE570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 xml:space="preserve">Закон о гибком режиме землевладения (№ 4 от 2012 года), который вступил в силу в 2018 году и который облегчает доступ женщин к земле. </w:t>
      </w:r>
    </w:p>
    <w:p w14:paraId="2ED4B9E7" w14:textId="77777777" w:rsidR="00757996" w:rsidRPr="00757996" w:rsidRDefault="00757996" w:rsidP="00757996">
      <w:pPr>
        <w:pStyle w:val="SingleTxt"/>
      </w:pPr>
      <w:r w:rsidRPr="00757996">
        <w:t>5.</w:t>
      </w:r>
      <w:r w:rsidRPr="00757996">
        <w:tab/>
        <w:t>Комитет с удовлетворением отмечает усилия государства-участника по совершенствованию институциональной и политической базы, направленные на ускорение ликвидации дискриминации в отношении женщин и поощрение гендерного равенства, в частности путем принятия следующих документов или учреждения следующих органов:</w:t>
      </w:r>
    </w:p>
    <w:p w14:paraId="31EC9FF2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Национальный план действий по вопросам женщин, мира и безопасности в период 2019–2024 годов; </w:t>
      </w:r>
    </w:p>
    <w:p w14:paraId="5DC0D643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Национальный план действий по борьбе с гендерным насилием </w:t>
      </w:r>
      <w:bookmarkStart w:id="2" w:name="_Hlk109068692"/>
      <w:r w:rsidRPr="00757996">
        <w:t xml:space="preserve">в период </w:t>
      </w:r>
      <w:bookmarkEnd w:id="2"/>
      <w:r w:rsidRPr="00757996">
        <w:t xml:space="preserve">2019–2023 </w:t>
      </w:r>
      <w:bookmarkStart w:id="3" w:name="_Hlk109051565"/>
      <w:r w:rsidRPr="00757996">
        <w:t>год</w:t>
      </w:r>
      <w:bookmarkEnd w:id="3"/>
      <w:r w:rsidRPr="00757996">
        <w:t>ов;</w:t>
      </w:r>
    </w:p>
    <w:p w14:paraId="49E8AFE4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Порядок и правила оплаты труда 2018 года, согласно которым устанавливается минимальная заработная плата для домашних работников и от работодателей требуется регистрация домашних работников для получения пособий по социальному обеспечению;</w:t>
      </w:r>
    </w:p>
    <w:p w14:paraId="7EB098B6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  <w:t>Национальный план развития 5 в период 2017</w:t>
      </w:r>
      <w:bookmarkStart w:id="4" w:name="_Hlk109049866"/>
      <w:r w:rsidRPr="00757996">
        <w:t>–</w:t>
      </w:r>
      <w:bookmarkEnd w:id="4"/>
      <w:r w:rsidRPr="00757996">
        <w:t>2022 годов;</w:t>
      </w:r>
    </w:p>
    <w:p w14:paraId="57DF8AFB" w14:textId="77777777" w:rsidR="00757996" w:rsidRPr="00757996" w:rsidRDefault="00757996" w:rsidP="00757996">
      <w:pPr>
        <w:pStyle w:val="SingleTxt"/>
      </w:pPr>
      <w:r w:rsidRPr="00757996">
        <w:tab/>
        <w:t>e)</w:t>
      </w:r>
      <w:r w:rsidRPr="00757996">
        <w:tab/>
        <w:t xml:space="preserve">Введение бесплатного среднего образования в 2016 году; </w:t>
      </w:r>
    </w:p>
    <w:p w14:paraId="35E3AB9B" w14:textId="77777777" w:rsidR="00757996" w:rsidRPr="00757996" w:rsidRDefault="00757996" w:rsidP="00757996">
      <w:pPr>
        <w:pStyle w:val="SingleTxt"/>
      </w:pPr>
      <w:r w:rsidRPr="00757996">
        <w:tab/>
        <w:t>f)</w:t>
      </w:r>
      <w:r w:rsidRPr="00757996">
        <w:tab/>
        <w:t>Национальный план действий по осуществлению заключительных замечаний Комитета по объединенным четвертому и пятому периодическим докладам Намибии.</w:t>
      </w:r>
    </w:p>
    <w:p w14:paraId="7A3B2CC7" w14:textId="7A0D4289" w:rsidR="00757996" w:rsidRPr="00757996" w:rsidRDefault="00757996" w:rsidP="00757996">
      <w:pPr>
        <w:pStyle w:val="SingleTxt"/>
      </w:pPr>
      <w:r w:rsidRPr="00757996">
        <w:t>6.</w:t>
      </w:r>
      <w:r w:rsidRPr="00757996">
        <w:tab/>
        <w:t>Комитет приветствует тот факт, что в период, прошедший после рассмотрения объединенных четвертого и пятого периодических докладов, государство-участник ратифицировало Конвенцию о достойном труде домашних работников 2011 года (№ 189) и Конвенцию об искоренении насилия и домогательств в сфере труда 2019 года (№ 190) Международной организации труда 9</w:t>
      </w:r>
      <w:r w:rsidRPr="00F701D1">
        <w:t> </w:t>
      </w:r>
      <w:r w:rsidRPr="00757996">
        <w:t xml:space="preserve">декабря 2020 года. </w:t>
      </w:r>
    </w:p>
    <w:p w14:paraId="0981688A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01668A5C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4B31B578" w14:textId="2455DDD8" w:rsidR="00757996" w:rsidRPr="00F701D1" w:rsidRDefault="00757996" w:rsidP="007579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  <w:t>C.</w:t>
      </w:r>
      <w:r w:rsidRPr="00F701D1">
        <w:tab/>
        <w:t>Цели в области устойчивого развития</w:t>
      </w:r>
    </w:p>
    <w:p w14:paraId="7C1C6B64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5B8A5E9A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4D0B9B14" w14:textId="6950CB0B" w:rsidR="00757996" w:rsidRPr="00757996" w:rsidRDefault="00757996" w:rsidP="00757996">
      <w:pPr>
        <w:pStyle w:val="SingleTxt"/>
        <w:rPr>
          <w:b/>
        </w:rPr>
      </w:pPr>
      <w:r w:rsidRPr="00757996">
        <w:t>7.</w:t>
      </w:r>
      <w:r w:rsidRPr="00757996">
        <w:tab/>
      </w:r>
      <w:r w:rsidRPr="00757996">
        <w:rPr>
          <w:b/>
          <w:bCs/>
        </w:rPr>
        <w:t>Комитет приветствует международную поддержку целей в области устойчивого развития и призывает к достижению гендерного равенства де-юре (по закону) и де-факто (по существу)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 w:rsidRPr="00757996">
        <w:t xml:space="preserve"> </w:t>
      </w:r>
      <w:r w:rsidRPr="00757996">
        <w:rPr>
          <w:b/>
          <w:bCs/>
        </w:rPr>
        <w:t>Комитет напоминает о важности цели 5 и об учете принципов равенства и недискриминации во всех 17 целях.</w:t>
      </w:r>
      <w:r w:rsidRPr="00757996">
        <w:t xml:space="preserve"> </w:t>
      </w:r>
      <w:r w:rsidRPr="00757996">
        <w:rPr>
          <w:b/>
          <w:bCs/>
        </w:rPr>
        <w:t xml:space="preserve">Он настоятельно призывает государство-участник признать женщин в качестве движущей силы процесса достижения устойчивого </w:t>
      </w:r>
      <w:r w:rsidRPr="00757996">
        <w:rPr>
          <w:b/>
          <w:bCs/>
        </w:rPr>
        <w:lastRenderedPageBreak/>
        <w:t>развития государства-участника и принять с этой целью соответствующие политику и стратегии.</w:t>
      </w:r>
    </w:p>
    <w:p w14:paraId="4B9E69DD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76ED4CA1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514929FA" w14:textId="4143734A" w:rsidR="00757996" w:rsidRPr="00F701D1" w:rsidRDefault="00757996" w:rsidP="007579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  <w:t>D.</w:t>
      </w:r>
      <w:r w:rsidRPr="00F701D1">
        <w:tab/>
        <w:t>Парламент</w:t>
      </w:r>
    </w:p>
    <w:p w14:paraId="58179D37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4E7F57CC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7EDC423E" w14:textId="23AA5542" w:rsidR="00757996" w:rsidRPr="00757996" w:rsidRDefault="00757996" w:rsidP="00757996">
      <w:pPr>
        <w:pStyle w:val="SingleTxt"/>
        <w:rPr>
          <w:b/>
        </w:rPr>
      </w:pPr>
      <w:r w:rsidRPr="00757996">
        <w:t>8.</w:t>
      </w:r>
      <w:r w:rsidRPr="00757996">
        <w:tab/>
      </w:r>
      <w:r w:rsidRPr="00757996">
        <w:rPr>
          <w:b/>
          <w:bCs/>
        </w:rPr>
        <w:t xml:space="preserve">Комитет подчеркивает решающую роль законодательной власти в обеспечении полного осуществления Конвенции (см. </w:t>
      </w:r>
      <w:hyperlink r:id="rId25" w:history="1">
        <w:r w:rsidRPr="00757996">
          <w:rPr>
            <w:rStyle w:val="Hyperlink"/>
            <w:b/>
            <w:bCs/>
            <w:lang w:val="en-GB"/>
          </w:rPr>
          <w:t>A</w:t>
        </w:r>
        <w:r w:rsidRPr="00757996">
          <w:rPr>
            <w:rStyle w:val="Hyperlink"/>
            <w:b/>
            <w:bCs/>
          </w:rPr>
          <w:t>/65/38</w:t>
        </w:r>
      </w:hyperlink>
      <w:r w:rsidRPr="00757996">
        <w:rPr>
          <w:b/>
          <w:bCs/>
        </w:rPr>
        <w:t xml:space="preserve">, часть вторая, приложение </w:t>
      </w:r>
      <w:r w:rsidRPr="00757996">
        <w:rPr>
          <w:b/>
          <w:bCs/>
          <w:lang w:val="en-GB"/>
        </w:rPr>
        <w:t>VI</w:t>
      </w:r>
      <w:r w:rsidRPr="00757996">
        <w:rPr>
          <w:b/>
          <w:bCs/>
        </w:rPr>
        <w:t>). Он предлагает Национальной ассамблее предпринять в соответствии с ее мандатом необходимые шаги по выполнению настоящих заключительных замечаний в период до представления следующего периодического доклада по Конвенции.</w:t>
      </w:r>
      <w:r w:rsidRPr="00757996">
        <w:t xml:space="preserve"> </w:t>
      </w:r>
    </w:p>
    <w:p w14:paraId="633179D6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545B5E9D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62E65056" w14:textId="7C1BDF88" w:rsidR="00757996" w:rsidRPr="00F701D1" w:rsidRDefault="00757996" w:rsidP="007579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  <w:t>E.</w:t>
      </w:r>
      <w:r w:rsidRPr="00F701D1">
        <w:tab/>
        <w:t>Основные проблемные области и рекомендации</w:t>
      </w:r>
    </w:p>
    <w:p w14:paraId="31437FFA" w14:textId="1C484D8B" w:rsidR="00757996" w:rsidRPr="00FF4430" w:rsidRDefault="00757996" w:rsidP="00FF4430">
      <w:pPr>
        <w:pStyle w:val="SingleTxt"/>
        <w:spacing w:after="0" w:line="120" w:lineRule="exact"/>
        <w:rPr>
          <w:b/>
          <w:sz w:val="10"/>
        </w:rPr>
      </w:pPr>
    </w:p>
    <w:p w14:paraId="1CD38B3D" w14:textId="77777777" w:rsidR="00FF4430" w:rsidRPr="00F701D1" w:rsidRDefault="00FF4430" w:rsidP="00757996">
      <w:pPr>
        <w:pStyle w:val="SingleTxt"/>
        <w:spacing w:after="0" w:line="120" w:lineRule="exact"/>
        <w:rPr>
          <w:b/>
          <w:sz w:val="10"/>
        </w:rPr>
      </w:pPr>
    </w:p>
    <w:p w14:paraId="38A4F159" w14:textId="38925066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Права женщин и гендерное равенство в связи с пандемией и усилиями по</w:t>
      </w:r>
      <w:r w:rsidR="00FF4430">
        <w:t> </w:t>
      </w:r>
      <w:r w:rsidRPr="00F701D1">
        <w:t>восстановлению</w:t>
      </w:r>
    </w:p>
    <w:p w14:paraId="36F538BE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2ACBB1B5" w14:textId="58957AB3" w:rsidR="00757996" w:rsidRPr="00757996" w:rsidRDefault="00757996" w:rsidP="00757996">
      <w:pPr>
        <w:pStyle w:val="SingleTxt"/>
      </w:pPr>
      <w:r w:rsidRPr="00757996">
        <w:t>9.</w:t>
      </w:r>
      <w:r w:rsidRPr="00757996">
        <w:tab/>
        <w:t>Комитет с удовлетворением отмечает принятие государством-участником планов ответных мер по борьбе с гендерным насилием в отношении женщин и девочек во время пандемии коронавирусного заболевания</w:t>
      </w:r>
      <w:r w:rsidRPr="00757996" w:rsidDel="001A326C">
        <w:t xml:space="preserve"> </w:t>
      </w:r>
      <w:r w:rsidRPr="00757996">
        <w:t>(</w:t>
      </w:r>
      <w:r w:rsidRPr="00757996">
        <w:rPr>
          <w:lang w:val="en-GB"/>
        </w:rPr>
        <w:t>COVID</w:t>
      </w:r>
      <w:r w:rsidRPr="00757996">
        <w:t>-19) и продолжающуюся выдачу защитных предписаний во время пандемии (</w:t>
      </w:r>
      <w:hyperlink r:id="rId26" w:history="1">
        <w:r w:rsidRPr="00757996">
          <w:rPr>
            <w:rStyle w:val="Hyperlink"/>
            <w:lang w:val="en-GB"/>
          </w:rPr>
          <w:t>CEDAW</w:t>
        </w:r>
        <w:r w:rsidRPr="00757996">
          <w:rPr>
            <w:rStyle w:val="Hyperlink"/>
          </w:rPr>
          <w:t>/</w:t>
        </w:r>
        <w:r w:rsidRPr="00757996">
          <w:rPr>
            <w:rStyle w:val="Hyperlink"/>
            <w:lang w:val="en-GB"/>
          </w:rPr>
          <w:t>C</w:t>
        </w:r>
        <w:r w:rsidRPr="00757996">
          <w:rPr>
            <w:rStyle w:val="Hyperlink"/>
          </w:rPr>
          <w:t>/</w:t>
        </w:r>
        <w:r w:rsidRPr="00757996">
          <w:rPr>
            <w:rStyle w:val="Hyperlink"/>
            <w:lang w:val="en-GB"/>
          </w:rPr>
          <w:t>NAM</w:t>
        </w:r>
        <w:r w:rsidRPr="00757996">
          <w:rPr>
            <w:rStyle w:val="Hyperlink"/>
          </w:rPr>
          <w:t>/</w:t>
        </w:r>
        <w:r w:rsidRPr="00757996">
          <w:rPr>
            <w:rStyle w:val="Hyperlink"/>
            <w:lang w:val="en-GB"/>
          </w:rPr>
          <w:t>RQ</w:t>
        </w:r>
        <w:r w:rsidRPr="00757996">
          <w:rPr>
            <w:rStyle w:val="Hyperlink"/>
          </w:rPr>
          <w:t>/6</w:t>
        </w:r>
      </w:hyperlink>
      <w:r w:rsidRPr="00757996">
        <w:t xml:space="preserve">, пункты 4 и 9). Однако Комитет по-прежнему обеспокоен тем, что женщины несоразмерно сильно пострадали от пандемии, которая оказала негативное социально-экономическое воздействие и привела к росту масштабов бедности, в том числе среди женщин, занятых в неформальном секторе экономики. В частности, Комитет озабочен отсутствием информации о мерах, принятых для обеспечения того, чтобы: </w:t>
      </w:r>
    </w:p>
    <w:p w14:paraId="636D4671" w14:textId="799107EE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пакеты мер экономического стимулирования и чрезвычайной помощи были специально предназначены для домохозяйств и предприятий, возглавляемых женщинами, которые несоразмерно сильно пострадали от пандемии (</w:t>
      </w:r>
      <w:hyperlink r:id="rId27" w:history="1">
        <w:r w:rsidRPr="00757996">
          <w:rPr>
            <w:rStyle w:val="Hyperlink"/>
          </w:rPr>
          <w:t>CEDAW/C/NAM/RQ/6</w:t>
        </w:r>
      </w:hyperlink>
      <w:r w:rsidRPr="00757996">
        <w:t xml:space="preserve">, пункты 6–7); </w:t>
      </w:r>
    </w:p>
    <w:p w14:paraId="72344726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женщины участвовали в принятии решений на высоком уровне по вопросам реагирования на COVID-19 и планов восстановления после него.</w:t>
      </w:r>
    </w:p>
    <w:p w14:paraId="5A9A5E6F" w14:textId="77777777" w:rsidR="00757996" w:rsidRPr="00757996" w:rsidRDefault="00757996" w:rsidP="00757996">
      <w:pPr>
        <w:pStyle w:val="SingleTxt"/>
      </w:pPr>
      <w:r w:rsidRPr="00757996">
        <w:t>10.</w:t>
      </w:r>
      <w:r w:rsidRPr="00757996">
        <w:tab/>
      </w:r>
      <w:r w:rsidRPr="00757996">
        <w:rPr>
          <w:b/>
          <w:bCs/>
        </w:rPr>
        <w:t xml:space="preserve">В соответствии со своим руководством по обязательствам государств-участников Конвенции в контексте </w:t>
      </w:r>
      <w:r w:rsidRPr="00757996">
        <w:rPr>
          <w:b/>
          <w:bCs/>
          <w:lang w:val="en-GB"/>
        </w:rPr>
        <w:t>COVID</w:t>
      </w:r>
      <w:r w:rsidRPr="00757996">
        <w:rPr>
          <w:b/>
          <w:bCs/>
        </w:rPr>
        <w:t>-19, выпущенным 22 апреля 2020 года, Комитет рекомендует государству-участнику:</w:t>
      </w:r>
    </w:p>
    <w:p w14:paraId="6F25BC3C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обеспечить, чтобы программы и меры по смягчению социально-экономических последствий пандемии были ориентированы на все группы женщин;</w:t>
      </w:r>
      <w:r w:rsidRPr="00757996">
        <w:t xml:space="preserve"> </w:t>
      </w:r>
    </w:p>
    <w:p w14:paraId="15B349ED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поощрять и облегчать равноправное участие женщин, включая женщин из числа коренных народов и женщин-инвалидов, в официальных национальных программах по восстановлению после пандемии, реализуемых государством-участником, и в принятии соответствующих решений.</w:t>
      </w:r>
    </w:p>
    <w:p w14:paraId="1174D208" w14:textId="77777777" w:rsidR="00757996" w:rsidRPr="00F701D1" w:rsidRDefault="00757996" w:rsidP="00757996">
      <w:pPr>
        <w:pStyle w:val="SingleTxt"/>
        <w:spacing w:after="0" w:line="120" w:lineRule="exact"/>
        <w:rPr>
          <w:b/>
          <w:sz w:val="10"/>
        </w:rPr>
      </w:pPr>
    </w:p>
    <w:p w14:paraId="1A27D3F4" w14:textId="61A83F35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Распространение информации о Конвенции, Факультативном протоколе к ней и общих рекомендациях Комитета</w:t>
      </w:r>
    </w:p>
    <w:p w14:paraId="24B24760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04FAFCBA" w14:textId="49AA48A9" w:rsidR="00757996" w:rsidRPr="00757996" w:rsidRDefault="00757996" w:rsidP="00757996">
      <w:pPr>
        <w:pStyle w:val="SingleTxt"/>
      </w:pPr>
      <w:r w:rsidRPr="00757996">
        <w:t>11.</w:t>
      </w:r>
      <w:r w:rsidRPr="00757996">
        <w:tab/>
        <w:t xml:space="preserve">Комитет приветствует усилия, предпринятые государством-участником для повышения осведомленности женщин об их правах, в том числе путем перевода Конвенции на местные языки, и для распространения заключительных замечаний и общих рекомендаций Комитета среди членов парламента и </w:t>
      </w:r>
      <w:r w:rsidRPr="00757996">
        <w:lastRenderedPageBreak/>
        <w:t xml:space="preserve">широкой общественности. Вместе с тем Комитет испытывает обеспокоенность по поводу того, что: </w:t>
      </w:r>
    </w:p>
    <w:p w14:paraId="2BBE312E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отсутствует информация о программах по наращиванию потенциала для судей, прокуроров и адвокатов;</w:t>
      </w:r>
    </w:p>
    <w:p w14:paraId="3A7181BC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не завершена работа над созданием национальной базы данных для отслеживания выполнения рекомендаций Комитета и других международных механизмов по правам человека. </w:t>
      </w:r>
    </w:p>
    <w:p w14:paraId="2F8AE2D6" w14:textId="4BEA2CAC" w:rsidR="00757996" w:rsidRPr="00757996" w:rsidRDefault="00757996" w:rsidP="00757996">
      <w:pPr>
        <w:pStyle w:val="SingleTxt"/>
      </w:pPr>
      <w:r w:rsidRPr="00757996">
        <w:t>12.</w:t>
      </w:r>
      <w:r w:rsidRPr="00757996">
        <w:tab/>
      </w:r>
      <w:r w:rsidRPr="00757996">
        <w:rPr>
          <w:b/>
          <w:bCs/>
        </w:rPr>
        <w:t>Ссылаясь на свои предыдущие рекомендации (</w:t>
      </w:r>
      <w:hyperlink r:id="rId28" w:history="1">
        <w:r w:rsidRPr="00757996">
          <w:rPr>
            <w:rStyle w:val="Hyperlink"/>
            <w:b/>
            <w:bCs/>
            <w:lang w:val="en-GB"/>
          </w:rPr>
          <w:t>CEDAW</w:t>
        </w:r>
        <w:r w:rsidRPr="00757996">
          <w:rPr>
            <w:rStyle w:val="Hyperlink"/>
            <w:b/>
            <w:bCs/>
          </w:rPr>
          <w:t>/</w:t>
        </w:r>
        <w:r w:rsidRPr="00757996">
          <w:rPr>
            <w:rStyle w:val="Hyperlink"/>
            <w:b/>
            <w:bCs/>
            <w:lang w:val="en-GB"/>
          </w:rPr>
          <w:t>C</w:t>
        </w:r>
        <w:r w:rsidRPr="00757996">
          <w:rPr>
            <w:rStyle w:val="Hyperlink"/>
            <w:b/>
            <w:bCs/>
          </w:rPr>
          <w:t>/</w:t>
        </w:r>
        <w:r w:rsidRPr="00757996">
          <w:rPr>
            <w:rStyle w:val="Hyperlink"/>
            <w:b/>
            <w:bCs/>
            <w:lang w:val="en-GB"/>
          </w:rPr>
          <w:t>NAM</w:t>
        </w:r>
        <w:r w:rsidRPr="00757996">
          <w:rPr>
            <w:rStyle w:val="Hyperlink"/>
            <w:b/>
            <w:bCs/>
          </w:rPr>
          <w:t>/</w:t>
        </w:r>
        <w:r w:rsidRPr="00757996">
          <w:rPr>
            <w:rStyle w:val="Hyperlink"/>
            <w:b/>
            <w:bCs/>
            <w:lang w:val="en-GB"/>
          </w:rPr>
          <w:t>CO</w:t>
        </w:r>
        <w:r w:rsidRPr="00757996">
          <w:rPr>
            <w:rStyle w:val="Hyperlink"/>
            <w:b/>
            <w:bCs/>
          </w:rPr>
          <w:t>/</w:t>
        </w:r>
        <w:r w:rsidR="00FF4430">
          <w:rPr>
            <w:rStyle w:val="Hyperlink"/>
            <w:b/>
            <w:bCs/>
          </w:rPr>
          <w:br/>
        </w:r>
        <w:r w:rsidRPr="00757996">
          <w:rPr>
            <w:rStyle w:val="Hyperlink"/>
            <w:b/>
            <w:bCs/>
          </w:rPr>
          <w:t>4-5</w:t>
        </w:r>
      </w:hyperlink>
      <w:r w:rsidRPr="00757996">
        <w:rPr>
          <w:b/>
          <w:bCs/>
        </w:rPr>
        <w:t>, пункт 9), Комитет рекомендует государству-участнику:</w:t>
      </w:r>
    </w:p>
    <w:p w14:paraId="7E2D07E7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обеспечить систематическое повышение квалификации судей, прокуроров, адвокатов, а также государственных служащих, сотрудников полиции и других правоохранительных органов по вопросам, касающимся Конвенции, Факультативного протокола к ней и общих рекомендаций Комитета;</w:t>
      </w:r>
      <w:r w:rsidRPr="00757996">
        <w:t xml:space="preserve"> </w:t>
      </w:r>
    </w:p>
    <w:p w14:paraId="209512CB" w14:textId="5D65D97D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активизировать усилия по созданию национальной базы данных, содержащей информацию с разбивкой по полу, для отслеживания выполнения рекомендаций Комитета.</w:t>
      </w:r>
    </w:p>
    <w:p w14:paraId="717B656A" w14:textId="77777777" w:rsidR="00757996" w:rsidRPr="00F701D1" w:rsidRDefault="00757996" w:rsidP="00757996">
      <w:pPr>
        <w:pStyle w:val="SingleTxt"/>
        <w:spacing w:after="0" w:line="120" w:lineRule="exact"/>
        <w:rPr>
          <w:b/>
          <w:sz w:val="10"/>
        </w:rPr>
      </w:pPr>
    </w:p>
    <w:p w14:paraId="11FEC28D" w14:textId="4CAB3E9B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Правовой статус Конвенции и согласование законов</w:t>
      </w:r>
    </w:p>
    <w:p w14:paraId="331D5874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757A55AA" w14:textId="71C09C05" w:rsidR="00757996" w:rsidRPr="00757996" w:rsidRDefault="00757996" w:rsidP="00757996">
      <w:pPr>
        <w:pStyle w:val="SingleTxt"/>
      </w:pPr>
      <w:r w:rsidRPr="00757996">
        <w:t>13.</w:t>
      </w:r>
      <w:r w:rsidRPr="00757996">
        <w:tab/>
        <w:t>Комитет с озабоченностью отмечает задержки в завершении гендерного анализа всех законов обычного права, проводимого Комиссией по реформе и развитию законодательства, и в отмене Постановления об управлении коренными народами (1928)), дискриминирующего женщин, состоящих в браке (</w:t>
      </w:r>
      <w:hyperlink r:id="rId29" w:history="1">
        <w:r w:rsidRPr="00757996">
          <w:rPr>
            <w:rStyle w:val="Hyperlink"/>
          </w:rPr>
          <w:t>CEDAW/C/NAM/6</w:t>
        </w:r>
      </w:hyperlink>
      <w:r w:rsidRPr="00757996">
        <w:t xml:space="preserve">, пункты 37 и 98). </w:t>
      </w:r>
    </w:p>
    <w:p w14:paraId="71354EAB" w14:textId="77777777" w:rsidR="00757996" w:rsidRPr="00757996" w:rsidRDefault="00757996" w:rsidP="00757996">
      <w:pPr>
        <w:pStyle w:val="SingleTxt"/>
        <w:rPr>
          <w:b/>
        </w:rPr>
      </w:pPr>
      <w:r w:rsidRPr="00757996">
        <w:t>14.</w:t>
      </w:r>
      <w:r w:rsidRPr="00757996">
        <w:tab/>
      </w:r>
      <w:r w:rsidRPr="00757996">
        <w:rPr>
          <w:b/>
          <w:bCs/>
        </w:rPr>
        <w:t>Комитет рекомендует государству-участнику обеспечить примат статутного права над обычным правом, который закреплен в статье 66 (1) Конституции, ускорить пересмотр всех обычных законов и изменить или отменить любые законы, не совместимые с Конвенцией.</w:t>
      </w:r>
      <w:r w:rsidRPr="00757996">
        <w:t xml:space="preserve"> </w:t>
      </w:r>
    </w:p>
    <w:p w14:paraId="225093AA" w14:textId="77777777" w:rsidR="00757996" w:rsidRPr="00F701D1" w:rsidRDefault="00757996" w:rsidP="00757996">
      <w:pPr>
        <w:pStyle w:val="SingleTxt"/>
        <w:spacing w:after="0" w:line="120" w:lineRule="exact"/>
        <w:rPr>
          <w:b/>
          <w:sz w:val="10"/>
        </w:rPr>
      </w:pPr>
    </w:p>
    <w:p w14:paraId="2517F653" w14:textId="7CD56A01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Определение дискриминации и законодательные рамки</w:t>
      </w:r>
    </w:p>
    <w:p w14:paraId="3E0D8C3A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23519FE7" w14:textId="052E6E58" w:rsidR="00757996" w:rsidRPr="00757996" w:rsidRDefault="00757996" w:rsidP="00757996">
      <w:pPr>
        <w:pStyle w:val="SingleTxt"/>
      </w:pPr>
      <w:r w:rsidRPr="00757996">
        <w:t>15.</w:t>
      </w:r>
      <w:r w:rsidRPr="00757996">
        <w:tab/>
        <w:t>Комитет отмечает усилия государства-участника по принятию и изменению законодательства, влияющего на осуществление женщинами своих прав, включая законопроект о внесении поправок по борьбе с изнасилованиями, законопроект о внесении поправок по борьбе с домашним насилием, законопроект о браке, законопроект о браках по обычному праву, законопроект о разводе, законопроект о внесении поправок по алиментам, законопроект о единообразной собственности супругов, законопроект о межгосударственном наследовании, законопроект о запрещении пыток и законопроект о правосудии в отношении детей (</w:t>
      </w:r>
      <w:hyperlink r:id="rId30" w:history="1">
        <w:r w:rsidRPr="00757996">
          <w:rPr>
            <w:rStyle w:val="Hyperlink"/>
          </w:rPr>
          <w:t>CEDAW/C/NAM/6</w:t>
        </w:r>
      </w:hyperlink>
      <w:r w:rsidRPr="00757996">
        <w:t>, пункты 10–16). Он также отмечает принятие Закона об отмене устаревших законов (</w:t>
      </w:r>
      <w:r w:rsidRPr="003416D9">
        <w:t>№</w:t>
      </w:r>
      <w:r w:rsidRPr="00757996">
        <w:rPr>
          <w:b/>
          <w:bCs/>
        </w:rPr>
        <w:t xml:space="preserve"> </w:t>
      </w:r>
      <w:r w:rsidRPr="00757996">
        <w:t xml:space="preserve">21 от 2018 года). Тем не менее Комитет с озабоченностью отмечает: </w:t>
      </w:r>
    </w:p>
    <w:p w14:paraId="0D701AEA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отсутствие упоминания сроков принятия вышеупомянутых законопроектов;</w:t>
      </w:r>
    </w:p>
    <w:p w14:paraId="20C54D1D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сохранение в статье 10 Конституции ограничительного перечня запрещенных оснований для дискриминации, который не охватывает дискриминацию по признаку семейного положения, и отсутствие всеобъемлющего юридического определения дискриминации в соответствии со статьей 1 Конвенции. </w:t>
      </w:r>
    </w:p>
    <w:p w14:paraId="4C2C1DA9" w14:textId="614BE9A1" w:rsidR="00757996" w:rsidRPr="00757996" w:rsidRDefault="00757996" w:rsidP="00757996">
      <w:pPr>
        <w:pStyle w:val="SingleTxt"/>
        <w:rPr>
          <w:b/>
          <w:bCs/>
        </w:rPr>
      </w:pPr>
      <w:r w:rsidRPr="00757996">
        <w:t>16.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</w:t>
      </w:r>
      <w:r w:rsidRPr="00FF4430">
        <w:rPr>
          <w:b/>
          <w:bCs/>
        </w:rPr>
        <w:t>28 (2010)</w:t>
      </w:r>
      <w:r w:rsidRPr="00757996">
        <w:rPr>
          <w:b/>
          <w:bCs/>
        </w:rPr>
        <w:t xml:space="preserve"> об основных обязательствах государств-участников по статье 2 Конвенции и предыдущие </w:t>
      </w:r>
      <w:r w:rsidRPr="00757996">
        <w:rPr>
          <w:b/>
          <w:bCs/>
        </w:rPr>
        <w:lastRenderedPageBreak/>
        <w:t>заключительные замечания Комитета (</w:t>
      </w:r>
      <w:hyperlink r:id="rId31" w:history="1">
        <w:r w:rsidRPr="00757996">
          <w:rPr>
            <w:rStyle w:val="Hyperlink"/>
            <w:b/>
            <w:lang w:val="en-GB"/>
          </w:rPr>
          <w:t>CEDAW</w:t>
        </w:r>
        <w:r w:rsidRPr="00757996">
          <w:rPr>
            <w:rStyle w:val="Hyperlink"/>
            <w:b/>
          </w:rPr>
          <w:t>/</w:t>
        </w:r>
        <w:r w:rsidRPr="00757996">
          <w:rPr>
            <w:rStyle w:val="Hyperlink"/>
            <w:b/>
            <w:lang w:val="en-GB"/>
          </w:rPr>
          <w:t>C</w:t>
        </w:r>
        <w:r w:rsidRPr="00757996">
          <w:rPr>
            <w:rStyle w:val="Hyperlink"/>
            <w:b/>
          </w:rPr>
          <w:t>/</w:t>
        </w:r>
        <w:r w:rsidRPr="00757996">
          <w:rPr>
            <w:rStyle w:val="Hyperlink"/>
            <w:b/>
            <w:lang w:val="en-GB"/>
          </w:rPr>
          <w:t>NAM</w:t>
        </w:r>
        <w:r w:rsidRPr="00757996">
          <w:rPr>
            <w:rStyle w:val="Hyperlink"/>
            <w:b/>
          </w:rPr>
          <w:t>/</w:t>
        </w:r>
        <w:r w:rsidRPr="00757996">
          <w:rPr>
            <w:rStyle w:val="Hyperlink"/>
            <w:b/>
            <w:lang w:val="en-GB"/>
          </w:rPr>
          <w:t>CO</w:t>
        </w:r>
        <w:r w:rsidRPr="00757996">
          <w:rPr>
            <w:rStyle w:val="Hyperlink"/>
            <w:b/>
          </w:rPr>
          <w:t>/4-5</w:t>
        </w:r>
      </w:hyperlink>
      <w:r w:rsidRPr="00757996">
        <w:rPr>
          <w:b/>
        </w:rPr>
        <w:t xml:space="preserve">, </w:t>
      </w:r>
      <w:r w:rsidRPr="00757996">
        <w:rPr>
          <w:b/>
          <w:bCs/>
        </w:rPr>
        <w:t>пункт 11), Комитет рекомендует государству-участнику:</w:t>
      </w:r>
    </w:p>
    <w:p w14:paraId="537ACB36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ускорить принятие всех законопроектов, направленных на обеспечение формального и фактического равенства женщин и мужчин, и включить учитывающий гендерную специфику подход во все соответствующие законы;</w:t>
      </w:r>
    </w:p>
    <w:p w14:paraId="28D2C942" w14:textId="62D5B9AD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принять всеобъемлющие юридические определения, запрещающие все формы дискриминации в отношении женщин, включая прямую и косвенную дискриминацию в государственной и частной сферах, а также перекрестные формы дискриминации, в соответствии со статьей 1 Конвенции либо путем принятия другого соответствующего законодательства и включения «семейного и иного положения» в число запрещенных оснований для дискриминации в статье 10 Конституции согласно статье</w:t>
      </w:r>
      <w:r w:rsidRPr="00F701D1">
        <w:rPr>
          <w:b/>
          <w:bCs/>
        </w:rPr>
        <w:t> </w:t>
      </w:r>
      <w:r w:rsidRPr="00757996">
        <w:rPr>
          <w:b/>
          <w:bCs/>
        </w:rPr>
        <w:t>1 Конвенции.</w:t>
      </w:r>
      <w:r w:rsidRPr="00757996">
        <w:t xml:space="preserve"> </w:t>
      </w:r>
    </w:p>
    <w:p w14:paraId="51558C20" w14:textId="77777777" w:rsidR="00757996" w:rsidRPr="00F701D1" w:rsidRDefault="00757996" w:rsidP="00757996">
      <w:pPr>
        <w:pStyle w:val="SingleTxt"/>
        <w:spacing w:after="0" w:line="120" w:lineRule="exact"/>
        <w:rPr>
          <w:b/>
          <w:sz w:val="10"/>
        </w:rPr>
      </w:pPr>
    </w:p>
    <w:p w14:paraId="397FBF5F" w14:textId="28C965DD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Доступ женщин к правосудию</w:t>
      </w:r>
    </w:p>
    <w:p w14:paraId="0A60E351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74DD638B" w14:textId="384EA027" w:rsidR="00757996" w:rsidRPr="00757996" w:rsidRDefault="00757996" w:rsidP="00757996">
      <w:pPr>
        <w:pStyle w:val="SingleTxt"/>
        <w:ind w:right="1290"/>
      </w:pPr>
      <w:r w:rsidRPr="00757996">
        <w:t>17.</w:t>
      </w:r>
      <w:r w:rsidRPr="00757996">
        <w:tab/>
        <w:t>Комитет с удовлетворением отмечает учреждение специализированных судов для рассмотрения дел о гендерном насилии (</w:t>
      </w:r>
      <w:hyperlink r:id="rId32" w:history="1">
        <w:r w:rsidRPr="00757996">
          <w:rPr>
            <w:rStyle w:val="Hyperlink"/>
          </w:rPr>
          <w:t>CEDAW/C/NAM/RQ/6</w:t>
        </w:r>
      </w:hyperlink>
      <w:r w:rsidRPr="00757996">
        <w:t xml:space="preserve">, пункт 17). В то же время он с озабоченностью отмечает: </w:t>
      </w:r>
    </w:p>
    <w:p w14:paraId="6C40C900" w14:textId="3B62C9C4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недостаточное увеличение квалификационной суммы для получения юридической помощи, что по-прежнему исключает из числа претендентов многих женщин со скромным доходом (</w:t>
      </w:r>
      <w:hyperlink r:id="rId33" w:history="1">
        <w:r w:rsidRPr="00757996">
          <w:rPr>
            <w:rStyle w:val="Hyperlink"/>
            <w:lang w:val="en-GB"/>
          </w:rPr>
          <w:t>CEDAW</w:t>
        </w:r>
        <w:r w:rsidRPr="00757996">
          <w:rPr>
            <w:rStyle w:val="Hyperlink"/>
          </w:rPr>
          <w:t>/</w:t>
        </w:r>
        <w:r w:rsidRPr="00757996">
          <w:rPr>
            <w:rStyle w:val="Hyperlink"/>
            <w:lang w:val="en-GB"/>
          </w:rPr>
          <w:t>C</w:t>
        </w:r>
        <w:r w:rsidRPr="00757996">
          <w:rPr>
            <w:rStyle w:val="Hyperlink"/>
          </w:rPr>
          <w:t>/</w:t>
        </w:r>
        <w:r w:rsidRPr="00757996">
          <w:rPr>
            <w:rStyle w:val="Hyperlink"/>
            <w:lang w:val="en-GB"/>
          </w:rPr>
          <w:t>NAM</w:t>
        </w:r>
        <w:r w:rsidRPr="00757996">
          <w:rPr>
            <w:rStyle w:val="Hyperlink"/>
          </w:rPr>
          <w:t>/</w:t>
        </w:r>
        <w:r w:rsidRPr="00757996">
          <w:rPr>
            <w:rStyle w:val="Hyperlink"/>
            <w:lang w:val="en-GB"/>
          </w:rPr>
          <w:t>RQ</w:t>
        </w:r>
        <w:r w:rsidRPr="00757996">
          <w:rPr>
            <w:rStyle w:val="Hyperlink"/>
          </w:rPr>
          <w:t>/6</w:t>
        </w:r>
      </w:hyperlink>
      <w:r w:rsidRPr="00757996">
        <w:t>, пункт 14);</w:t>
      </w:r>
    </w:p>
    <w:p w14:paraId="0C6BE86F" w14:textId="57E336A0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ограниченный характер реализация «Проекта перемен», направленного на поддержку доступа к бесплатной юридической помощи (</w:t>
      </w:r>
      <w:hyperlink r:id="rId34" w:history="1">
        <w:r w:rsidRPr="00757996">
          <w:rPr>
            <w:rStyle w:val="Hyperlink"/>
          </w:rPr>
          <w:t>CEDAW/C/NAM/RQ/6</w:t>
        </w:r>
      </w:hyperlink>
      <w:r w:rsidRPr="00757996">
        <w:t xml:space="preserve">, пункт 15), и отсутствие информации о дальнейших мерах по расширению доступа к правосудию для женщин, в частности женщин, подающих на развод и возбуждающих дела о гендерном насилии; </w:t>
      </w:r>
    </w:p>
    <w:p w14:paraId="22C09F4D" w14:textId="42B36A79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отсутствие конкретных мер по облегчению доступа к механизмам подачи юридических жалоб на общинном уровне, несмотря на то что сельские женщины и женщины из числа коренных народов получают информацию о доступе к системе юридической помощи (</w:t>
      </w:r>
      <w:hyperlink r:id="rId35" w:history="1">
        <w:r w:rsidRPr="00757996">
          <w:rPr>
            <w:rStyle w:val="Hyperlink"/>
          </w:rPr>
          <w:t>CEDAW/C/NAM/RQ/6</w:t>
        </w:r>
      </w:hyperlink>
      <w:r w:rsidRPr="00757996">
        <w:t>, пункт 16).</w:t>
      </w:r>
    </w:p>
    <w:p w14:paraId="52AC108F" w14:textId="333513B3" w:rsidR="00757996" w:rsidRPr="00757996" w:rsidRDefault="00757996" w:rsidP="00757996">
      <w:pPr>
        <w:pStyle w:val="SingleTxt"/>
        <w:rPr>
          <w:b/>
          <w:bCs/>
        </w:rPr>
      </w:pPr>
      <w:r w:rsidRPr="00757996">
        <w:t>18.</w:t>
      </w:r>
      <w:r w:rsidRPr="00757996">
        <w:tab/>
      </w:r>
      <w:r w:rsidRPr="00757996">
        <w:rPr>
          <w:b/>
          <w:bCs/>
        </w:rPr>
        <w:t xml:space="preserve">Руководствуясь своей общей рекомендацией № </w:t>
      </w:r>
      <w:r w:rsidRPr="00FF4430">
        <w:rPr>
          <w:b/>
          <w:bCs/>
        </w:rPr>
        <w:t>33 (2015)</w:t>
      </w:r>
      <w:r w:rsidRPr="00757996">
        <w:rPr>
          <w:b/>
          <w:bCs/>
        </w:rPr>
        <w:t xml:space="preserve"> о доступе женщин к правосудию, Комитет рекомендует государству-участнику:</w:t>
      </w:r>
    </w:p>
    <w:p w14:paraId="2E0411A5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предоставить женщинам, не имеющим достаточных средств, возможность отстаивать свои права в рамках судебных разбирательств во всех областях права;</w:t>
      </w:r>
      <w:r w:rsidRPr="00757996">
        <w:t xml:space="preserve"> </w:t>
      </w:r>
    </w:p>
    <w:p w14:paraId="6D25BCA8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увеличить объем финансирования деятельности управления юридической помощи государства-участника в министерстве юстиции и фонде юридической помощи;</w:t>
      </w:r>
      <w:r w:rsidRPr="00757996">
        <w:t xml:space="preserve"> </w:t>
      </w:r>
    </w:p>
    <w:p w14:paraId="5235E953" w14:textId="77777777" w:rsidR="00757996" w:rsidRPr="00F701D1" w:rsidRDefault="00757996" w:rsidP="00757996">
      <w:pPr>
        <w:pStyle w:val="SingleTxt"/>
        <w:rPr>
          <w:b/>
          <w:bCs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обеспечить, чтобы женщины, в частности сельские женщины и женщины из числа коренных народов, а также женщины, подающие на развод или возбуждающие дела о гендерном насилии, имели эффективный доступ к правосудию во всех регионах государства-участника.</w:t>
      </w:r>
    </w:p>
    <w:p w14:paraId="653AF050" w14:textId="77777777" w:rsidR="00757996" w:rsidRPr="00F701D1" w:rsidRDefault="00757996" w:rsidP="00757996">
      <w:pPr>
        <w:pStyle w:val="SingleTxt"/>
        <w:spacing w:after="0" w:line="120" w:lineRule="exact"/>
        <w:rPr>
          <w:b/>
          <w:bCs/>
          <w:sz w:val="10"/>
        </w:rPr>
      </w:pPr>
    </w:p>
    <w:p w14:paraId="75C6B267" w14:textId="77777777" w:rsidR="00757996" w:rsidRPr="00F701D1" w:rsidRDefault="00757996">
      <w:pPr>
        <w:spacing w:after="200" w:line="276" w:lineRule="auto"/>
        <w:rPr>
          <w:b/>
          <w:spacing w:val="2"/>
        </w:rPr>
      </w:pPr>
      <w:r w:rsidRPr="00F701D1">
        <w:br w:type="page"/>
      </w:r>
    </w:p>
    <w:p w14:paraId="73E3D1FE" w14:textId="284B8F57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lastRenderedPageBreak/>
        <w:tab/>
      </w:r>
      <w:r w:rsidRPr="00F701D1">
        <w:tab/>
        <w:t>Национальные механизмы по улучшению положения женщин</w:t>
      </w:r>
    </w:p>
    <w:p w14:paraId="352FB265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05FBE43B" w14:textId="21221FEE" w:rsidR="00757996" w:rsidRPr="00757996" w:rsidRDefault="00757996" w:rsidP="00757996">
      <w:pPr>
        <w:pStyle w:val="SingleTxt"/>
      </w:pPr>
      <w:r w:rsidRPr="00757996">
        <w:t>19.</w:t>
      </w:r>
      <w:r w:rsidRPr="00757996">
        <w:tab/>
      </w:r>
      <w:r w:rsidRPr="00757996">
        <w:rPr>
          <w:b/>
          <w:bCs/>
        </w:rPr>
        <w:t>Комитет с обеспокоенностью отмечает:</w:t>
      </w:r>
    </w:p>
    <w:p w14:paraId="2B6F4EBA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отсутствие возобновления или продления национальной гендерной политики (2010–2020 годы) и национального плана действий в области прав человека (2015–2019 годы); </w:t>
      </w:r>
    </w:p>
    <w:p w14:paraId="682BFE40" w14:textId="03DC109A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отсутствие необходимых данных с разбивкой по полу, которые позволили бы осуществлять адекватный мониторинг и давать оценку проводимой политики и реализуемых стратегий государства-участника по поощрению прав женщин. </w:t>
      </w:r>
    </w:p>
    <w:p w14:paraId="7AC5BE6E" w14:textId="77777777" w:rsidR="00757996" w:rsidRPr="00757996" w:rsidRDefault="00757996" w:rsidP="00757996">
      <w:pPr>
        <w:pStyle w:val="SingleTxt"/>
      </w:pPr>
      <w:r w:rsidRPr="00757996">
        <w:t>20.</w:t>
      </w:r>
      <w:r w:rsidRPr="00757996">
        <w:tab/>
      </w:r>
      <w:r w:rsidRPr="00757996">
        <w:rPr>
          <w:b/>
          <w:bCs/>
        </w:rPr>
        <w:t>Комитет рекомендует государству-участнику:</w:t>
      </w:r>
    </w:p>
    <w:p w14:paraId="0F27725B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ускорить принятие обновленной национальной гендерной политики и национального плана действий в области прав человека, а также обеспечить их эффективное осуществление с помощью надлежащего распределения ресурсов и механизмов координации на национальном и местном уровнях;</w:t>
      </w:r>
    </w:p>
    <w:p w14:paraId="775AD237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определить показатели для всех целей гендерного равенства в национальной политике и стратегиях и активизировать систематический сбор данных с разбивкой по полу.</w:t>
      </w:r>
      <w:r w:rsidRPr="00757996">
        <w:t xml:space="preserve"> </w:t>
      </w:r>
    </w:p>
    <w:p w14:paraId="4876CD51" w14:textId="77777777" w:rsidR="00757996" w:rsidRPr="00F701D1" w:rsidRDefault="00757996" w:rsidP="00757996">
      <w:pPr>
        <w:pStyle w:val="SingleTxt"/>
        <w:spacing w:after="0" w:line="120" w:lineRule="exact"/>
        <w:rPr>
          <w:b/>
          <w:sz w:val="10"/>
        </w:rPr>
      </w:pPr>
    </w:p>
    <w:p w14:paraId="723F7AEB" w14:textId="334DBDCA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Национальные правозащитные учреждения </w:t>
      </w:r>
    </w:p>
    <w:p w14:paraId="3724F732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085B7BCA" w14:textId="10AF7B97" w:rsidR="00757996" w:rsidRPr="00757996" w:rsidRDefault="00757996" w:rsidP="00757996">
      <w:pPr>
        <w:pStyle w:val="SingleTxt"/>
      </w:pPr>
      <w:r w:rsidRPr="00757996">
        <w:t>21.</w:t>
      </w:r>
      <w:r w:rsidRPr="00757996">
        <w:tab/>
        <w:t>Комитет отмечает, что Канцелярия Омбудсмена Намибии не имеет конкретного мандата по защите и поощрению прав женщин.</w:t>
      </w:r>
    </w:p>
    <w:p w14:paraId="38A8B5F2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>22.</w:t>
      </w:r>
      <w:r w:rsidRPr="00757996">
        <w:tab/>
      </w:r>
      <w:r w:rsidRPr="00757996">
        <w:rPr>
          <w:b/>
          <w:bCs/>
        </w:rPr>
        <w:t>Комитет рекомендует государству-участнику наделить Канцелярию Омбудсмена конкретным мандатом по поощрению и защите прав женщин и рассмотрению жалоб женщин и девочек в рамках конфиденциальной и учитывающей гендерные аспекты процедуры.</w:t>
      </w:r>
    </w:p>
    <w:p w14:paraId="2206210D" w14:textId="77777777" w:rsidR="00757996" w:rsidRPr="00F701D1" w:rsidRDefault="00757996" w:rsidP="00757996">
      <w:pPr>
        <w:pStyle w:val="SingleTxt"/>
        <w:spacing w:after="0" w:line="120" w:lineRule="exact"/>
        <w:rPr>
          <w:b/>
          <w:sz w:val="10"/>
        </w:rPr>
      </w:pPr>
    </w:p>
    <w:p w14:paraId="3B58DC48" w14:textId="602EAA2A" w:rsidR="00757996" w:rsidRPr="00F701D1" w:rsidRDefault="00757996" w:rsidP="00757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Временные специальные меры</w:t>
      </w:r>
    </w:p>
    <w:p w14:paraId="1A90CEC0" w14:textId="77777777" w:rsidR="00757996" w:rsidRPr="00F701D1" w:rsidRDefault="00757996" w:rsidP="00757996">
      <w:pPr>
        <w:pStyle w:val="SingleTxt"/>
        <w:spacing w:after="0" w:line="120" w:lineRule="exact"/>
        <w:rPr>
          <w:sz w:val="10"/>
        </w:rPr>
      </w:pPr>
    </w:p>
    <w:p w14:paraId="5B07880D" w14:textId="1A650D65" w:rsidR="00757996" w:rsidRPr="00757996" w:rsidRDefault="00757996" w:rsidP="00757996">
      <w:pPr>
        <w:pStyle w:val="SingleTxt"/>
      </w:pPr>
      <w:r w:rsidRPr="00757996">
        <w:t>23.</w:t>
      </w:r>
      <w:r w:rsidRPr="00757996">
        <w:tab/>
        <w:t>Комитет приветствует исполнение Закона о позитивных действиях (в</w:t>
      </w:r>
      <w:r w:rsidRPr="00F701D1">
        <w:t> </w:t>
      </w:r>
      <w:r w:rsidRPr="00757996">
        <w:t xml:space="preserve">сфере занятости) (№ 29 от 1998 года) и Политики позитивных действий по участию женщин в общественной жизни, а также осуществление мер, принятых с целью повышения уровня представленности женщин на руководящих должностях, и внедрение системы оценочных листов для расширения позитивных действий на рабочем месте. Тем не менее Комитет обеспокоен ограниченным использованием временных специальных мер на других направлениях, охватываемых Конвенцией, где группы женщин </w:t>
      </w:r>
      <w:proofErr w:type="spellStart"/>
      <w:r w:rsidRPr="00757996">
        <w:t>недопредставлены</w:t>
      </w:r>
      <w:proofErr w:type="spellEnd"/>
      <w:r w:rsidRPr="00757996">
        <w:t xml:space="preserve"> или находятся в неблагоприятном положении, таких как: </w:t>
      </w:r>
    </w:p>
    <w:p w14:paraId="4AFB4904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участие женщин с </w:t>
      </w:r>
      <w:bookmarkStart w:id="5" w:name="_Hlk109051689"/>
      <w:r w:rsidRPr="00757996">
        <w:t>инвалидностью</w:t>
      </w:r>
      <w:bookmarkEnd w:id="5"/>
      <w:r w:rsidRPr="00757996">
        <w:t xml:space="preserve"> в трудовой деятельности в составе рабочей силы; </w:t>
      </w:r>
    </w:p>
    <w:p w14:paraId="252D06AE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представленность женщин из числа коренных народов в политической и общественной жизни. </w:t>
      </w:r>
    </w:p>
    <w:p w14:paraId="4B660E16" w14:textId="6AFDF266" w:rsidR="00757996" w:rsidRPr="00757996" w:rsidRDefault="00757996" w:rsidP="00757996">
      <w:pPr>
        <w:pStyle w:val="SingleTxt"/>
        <w:rPr>
          <w:b/>
        </w:rPr>
      </w:pPr>
      <w:r w:rsidRPr="00757996">
        <w:t>24.</w:t>
      </w:r>
      <w:r w:rsidRPr="00757996">
        <w:tab/>
      </w:r>
      <w:r w:rsidRPr="00757996">
        <w:rPr>
          <w:b/>
          <w:bCs/>
        </w:rPr>
        <w:t xml:space="preserve">В соответствии со статьей 4 (1) Конвенции и общей рекомендацией Комитета № </w:t>
      </w:r>
      <w:r w:rsidRPr="00FF4430">
        <w:rPr>
          <w:b/>
          <w:bCs/>
        </w:rPr>
        <w:t>25 (2004)</w:t>
      </w:r>
      <w:r w:rsidRPr="00757996">
        <w:rPr>
          <w:b/>
          <w:bCs/>
        </w:rPr>
        <w:t xml:space="preserve"> о временных специальных мерах Комитет рекомендует государству-участнику принять временные специальные меры, с целью ускорения обеспечения реального равенства и ликвидации перекрестных форм дискриминации, в частности:</w:t>
      </w:r>
      <w:r w:rsidRPr="00757996">
        <w:t xml:space="preserve"> </w:t>
      </w:r>
    </w:p>
    <w:p w14:paraId="253749C5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lastRenderedPageBreak/>
        <w:tab/>
        <w:t>a)</w:t>
      </w:r>
      <w:r w:rsidRPr="00757996">
        <w:rPr>
          <w:b/>
          <w:bCs/>
        </w:rPr>
        <w:tab/>
        <w:t>позитивные действия для женщин с инвалидностью в составе рабочей силы, включая улучшение доступности физических пространств как на рабочих местах, так и в учебных заведениях;</w:t>
      </w:r>
    </w:p>
    <w:p w14:paraId="5515D3FF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кампании по набору персонала и механизмы существенной поддержки для поощрения женщин из числа коренных народов к поступлению на государственную службу.</w:t>
      </w:r>
      <w:r w:rsidRPr="00757996">
        <w:t xml:space="preserve"> </w:t>
      </w:r>
    </w:p>
    <w:p w14:paraId="7926A852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4172B7C7" w14:textId="2ACF98D3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Стереотипы и вредные виды практики</w:t>
      </w:r>
    </w:p>
    <w:p w14:paraId="35890FCC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69011479" w14:textId="5B14518A" w:rsidR="00757996" w:rsidRPr="00757996" w:rsidRDefault="00757996" w:rsidP="00757996">
      <w:pPr>
        <w:pStyle w:val="SingleTxt"/>
      </w:pPr>
      <w:r w:rsidRPr="00757996">
        <w:t>25.</w:t>
      </w:r>
      <w:r w:rsidRPr="00757996">
        <w:tab/>
        <w:t>Комитет отмечает усилия государства-участника по борьбе с дискриминационными гендерными стереотипами и вредными видами практики, такими как проведение исследований по вопросу о детских браках, а также информационно-просветительские кампании, ориентированные на традиционных лидеров и мужчин и мальчиков. Вместе с тем он с обеспокоенностью отмечает:</w:t>
      </w:r>
    </w:p>
    <w:p w14:paraId="697B5539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распространенность детских браков;</w:t>
      </w:r>
    </w:p>
    <w:p w14:paraId="3B8161CB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сохранение в государстве-участнике дискриминационных гендерных стереотипов и вредных видов практики, включая детские браки, левират, сексуальные инициации и полигамию.</w:t>
      </w:r>
    </w:p>
    <w:p w14:paraId="6D918CC6" w14:textId="77F61DF7" w:rsidR="00757996" w:rsidRPr="00757996" w:rsidRDefault="00757996" w:rsidP="00757996">
      <w:pPr>
        <w:pStyle w:val="SingleTxt"/>
        <w:rPr>
          <w:b/>
          <w:bCs/>
        </w:rPr>
      </w:pPr>
      <w:r w:rsidRPr="00757996">
        <w:t>26.</w:t>
      </w:r>
      <w:r w:rsidRPr="00757996">
        <w:tab/>
      </w:r>
      <w:r w:rsidRPr="00757996">
        <w:rPr>
          <w:b/>
          <w:bCs/>
        </w:rPr>
        <w:t>В соответствии с совместной общей рекомендацией № 31 Комитета по ликвидации дискриминации в отношении женщин/замечанием общего порядка № 18 Комитета по правам ребенка (2014) по вредной практике, Комитет рекомендует государству-участнику:</w:t>
      </w:r>
    </w:p>
    <w:p w14:paraId="03D27494" w14:textId="78086F55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устранить коренные причины детских браков, в том числе путем выполнения рекомендаций, содержащихся в его исследовании о детских браках (</w:t>
      </w:r>
      <w:hyperlink r:id="rId36" w:history="1">
        <w:r w:rsidRPr="00757996">
          <w:rPr>
            <w:rStyle w:val="Hyperlink"/>
            <w:b/>
            <w:bCs/>
          </w:rPr>
          <w:t>CEDAW/C/NAM/RQ/6</w:t>
        </w:r>
      </w:hyperlink>
      <w:r w:rsidRPr="00757996">
        <w:rPr>
          <w:b/>
          <w:bCs/>
        </w:rPr>
        <w:t>, пункт 103);</w:t>
      </w:r>
    </w:p>
    <w:p w14:paraId="3BCF13EE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инициировать углубленное и основанное на широком участии исследование об этих общинах и условиях, в которых сохраняются вредные виды практики, включая полигамию, насильственную сексуальную инициацию/груминг и чистки, продолжать вовлекать традиционных лидеров и сообщества в борьбу с гендерными стереотипами и вредными видами практики с помощью программ повышения осведомленности, в первую очередь ориентированных на мужчин и мальчиков, и разработать национальную стратегию по предотвращению вредных видов практики.</w:t>
      </w:r>
    </w:p>
    <w:p w14:paraId="5477CE3C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123C53DA" w14:textId="662FD7D4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Гендерное насилие в отношении женщин</w:t>
      </w:r>
    </w:p>
    <w:p w14:paraId="2841AB16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2F698320" w14:textId="76A405BD" w:rsidR="00757996" w:rsidRPr="00757996" w:rsidRDefault="00757996" w:rsidP="00757996">
      <w:pPr>
        <w:pStyle w:val="SingleTxt"/>
      </w:pPr>
      <w:r w:rsidRPr="00757996">
        <w:t>27.</w:t>
      </w:r>
      <w:r w:rsidRPr="00757996">
        <w:tab/>
        <w:t>Комитет отмечает принятие и осуществление Национального плана действий по борьбе с гендерным насилием на период 2019–2023 годов, основанного на рекомендациях, сформулированных в Национальном базовом исследовании по вопросу о гендерном насилии 2017 года (</w:t>
      </w:r>
      <w:hyperlink r:id="rId37" w:history="1">
        <w:r w:rsidRPr="00757996">
          <w:rPr>
            <w:rStyle w:val="Hyperlink"/>
          </w:rPr>
          <w:t>CEDAW/C/NAM/6</w:t>
        </w:r>
      </w:hyperlink>
      <w:r w:rsidRPr="00757996">
        <w:t xml:space="preserve">, пункты 103 и 113). Он также приветствует создание групп защиты от гендерного насилия и специализированных судов, существование телефона доверия по вопросам борьбы с гендерным насилием для взрослых и детей и проведение соответствующих информационно-просветительских кампаний. Вместе с тем он с озабоченностью отмечает: </w:t>
      </w:r>
    </w:p>
    <w:p w14:paraId="7DD82D8D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задержки в принятии законопроекта о внесении поправок по борьбе с изнасилованиями, законопроекта о внесении поправок по борьбе с домашним насилием, законопроекта о сексуальной эксплуатации и законопроекта о домогательствах; </w:t>
      </w:r>
    </w:p>
    <w:p w14:paraId="7D9EFBDB" w14:textId="77777777" w:rsidR="003D43BB" w:rsidRPr="00F701D1" w:rsidRDefault="003D43BB">
      <w:pPr>
        <w:spacing w:after="200" w:line="276" w:lineRule="auto"/>
      </w:pPr>
      <w:r w:rsidRPr="00F701D1">
        <w:br w:type="page"/>
      </w:r>
    </w:p>
    <w:p w14:paraId="69586CA3" w14:textId="5730EF60" w:rsidR="00757996" w:rsidRPr="00757996" w:rsidRDefault="00757996" w:rsidP="00757996">
      <w:pPr>
        <w:pStyle w:val="SingleTxt"/>
      </w:pPr>
      <w:r w:rsidRPr="00757996">
        <w:lastRenderedPageBreak/>
        <w:tab/>
        <w:t>b)</w:t>
      </w:r>
      <w:r w:rsidRPr="00757996">
        <w:tab/>
        <w:t>сообщения о высоком уровне распространенности насилия со стороны интимного партнера и других форм гендерного насилия в отношении женщин, порой приводящих к их гибели, включая изнасилования, сексуальное насилие, сексуальные домогательства и домашнее насилие, а также о росте масштабов гендерного насилия в отношении женщин во время пандемии COVID-19, что вылилось в общественные протесты в 2020 году;</w:t>
      </w:r>
    </w:p>
    <w:p w14:paraId="004C9125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 xml:space="preserve">выявление факторов взаимоотношений, таких как структурное неравенство в распределении властных отношений, злоупотребление алкоголем, детские браки и безработица, как важнейших факторов гендерного насилия в отношении женщин, согласно результатам проведенного в 2017 году Национального базового исследования по вопросу о гендерном насилии; </w:t>
      </w:r>
    </w:p>
    <w:p w14:paraId="1468E973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  <w:t xml:space="preserve">ограниченный доступ женщин, в особенности сельских женщин и девочек и женщин и девочек, принадлежащих к коренным народам, к защитным предписаниям, возмещению ущерба, приютам и психосоциальному лечению и консультированию, особенно для сельских и принадлежащих к коренным народам женщин и девочек. </w:t>
      </w:r>
    </w:p>
    <w:p w14:paraId="17D08C51" w14:textId="39E3B328" w:rsidR="00757996" w:rsidRPr="00757996" w:rsidRDefault="00757996" w:rsidP="00757996">
      <w:pPr>
        <w:pStyle w:val="SingleTxt"/>
        <w:rPr>
          <w:b/>
        </w:rPr>
      </w:pPr>
      <w:r w:rsidRPr="00757996">
        <w:t>28.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№ </w:t>
      </w:r>
      <w:r w:rsidRPr="0026395B">
        <w:rPr>
          <w:b/>
          <w:bCs/>
        </w:rPr>
        <w:t>35 (2017)</w:t>
      </w:r>
      <w:r w:rsidRPr="00757996">
        <w:rPr>
          <w:b/>
          <w:bCs/>
        </w:rPr>
        <w:t xml:space="preserve"> о гендерном насилии в отношении женщин, обновляя общую рекомендацию № 19, Комитет рекомендует государству-участнику:</w:t>
      </w:r>
      <w:r w:rsidRPr="00757996">
        <w:t xml:space="preserve"> </w:t>
      </w:r>
    </w:p>
    <w:p w14:paraId="6159332B" w14:textId="77777777" w:rsidR="00F701D1" w:rsidRPr="00757996" w:rsidRDefault="00757996" w:rsidP="00757996">
      <w:pPr>
        <w:pStyle w:val="SingleTxt"/>
        <w:rPr>
          <w:b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незамедлительно принять находящиеся на рассмотрении законопроекты о гендерном насилии, в том числе о сексуальном насилии;</w:t>
      </w:r>
      <w:r w:rsidR="00F701D1" w:rsidRPr="00F701D1">
        <w:t xml:space="preserve"> </w:t>
      </w:r>
    </w:p>
    <w:p w14:paraId="408B47B3" w14:textId="360CDA1B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 xml:space="preserve">провести реформы, объявленные государством-участником в 2020 году, и оценить их результаты, в том числе в отношении создания реестра сексуальных преступников, пересмотра приговоров для сексуальных преступников, внесения поправок в национальное законодательство, предусматривающих возбуждение уголовного преследования </w:t>
      </w:r>
      <w:r w:rsidRPr="00757996">
        <w:rPr>
          <w:b/>
          <w:bCs/>
          <w:lang w:val="en-GB"/>
        </w:rPr>
        <w:t>ex</w:t>
      </w:r>
      <w:r w:rsidRPr="00757996">
        <w:rPr>
          <w:b/>
          <w:bCs/>
        </w:rPr>
        <w:t xml:space="preserve"> </w:t>
      </w:r>
      <w:r w:rsidRPr="00757996">
        <w:rPr>
          <w:b/>
          <w:bCs/>
          <w:lang w:val="en-GB"/>
        </w:rPr>
        <w:t>officio</w:t>
      </w:r>
      <w:r w:rsidRPr="00757996">
        <w:rPr>
          <w:b/>
          <w:bCs/>
        </w:rPr>
        <w:t xml:space="preserve"> (экс-</w:t>
      </w:r>
      <w:proofErr w:type="spellStart"/>
      <w:r w:rsidRPr="00757996">
        <w:rPr>
          <w:b/>
          <w:bCs/>
        </w:rPr>
        <w:t>официо</w:t>
      </w:r>
      <w:proofErr w:type="spellEnd"/>
      <w:r w:rsidRPr="00757996">
        <w:rPr>
          <w:b/>
          <w:bCs/>
        </w:rPr>
        <w:t>) в случае отзыва жалоб на гендерное насилие, создания подразделений по защите от гендерного насилия, доступных 24 часа в сутки, семь дней в неделю, развертывания дистанционных и мобильных подразделений для облегчения подачи жалоб, увеличения объема ресурсов, выделяемых правоохранительным органам, и включения профилактики гендерного насилия в учебные программы на всех уровнях образования;</w:t>
      </w:r>
    </w:p>
    <w:p w14:paraId="3A4A83EE" w14:textId="0D7D193A" w:rsidR="00757996" w:rsidRPr="00757996" w:rsidRDefault="00757996" w:rsidP="00757996">
      <w:pPr>
        <w:pStyle w:val="SingleTxt"/>
        <w:rPr>
          <w:b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усилить общинные группы поддержки, программы вовлечения мужчин (</w:t>
      </w:r>
      <w:hyperlink r:id="rId38" w:history="1">
        <w:r w:rsidRPr="00757996">
          <w:rPr>
            <w:rStyle w:val="Hyperlink"/>
            <w:b/>
            <w:bCs/>
          </w:rPr>
          <w:t>CEDAW/C/NAM/6</w:t>
        </w:r>
      </w:hyperlink>
      <w:r w:rsidRPr="00757996">
        <w:rPr>
          <w:b/>
          <w:bCs/>
        </w:rPr>
        <w:t xml:space="preserve">, пункты 114–115) и программы повышения осведомленности, такие как национальная кампания нулевой терпимости под названием “Love </w:t>
      </w:r>
      <w:proofErr w:type="spellStart"/>
      <w:r w:rsidRPr="00757996">
        <w:rPr>
          <w:b/>
          <w:bCs/>
        </w:rPr>
        <w:t>is</w:t>
      </w:r>
      <w:proofErr w:type="spellEnd"/>
      <w:r w:rsidRPr="00757996">
        <w:rPr>
          <w:b/>
          <w:bCs/>
        </w:rPr>
        <w:t xml:space="preserve">…” («Любовь </w:t>
      </w:r>
      <w:r w:rsidR="00D222C6" w:rsidRPr="00A03B96">
        <w:rPr>
          <w:rFonts w:asciiTheme="majorBidi" w:hAnsiTheme="majorBidi" w:cstheme="majorBidi"/>
          <w:szCs w:val="20"/>
        </w:rPr>
        <w:t>—</w:t>
      </w:r>
      <w:r w:rsidRPr="00757996">
        <w:rPr>
          <w:b/>
          <w:bCs/>
        </w:rPr>
        <w:t xml:space="preserve"> это…») (2015), и продолжать наращивание потенциала медицинских работников, сотрудников полиции, специалистов судебных органов и организаций гражданского общества в области предотвращения и реагирования на случаи гендерного насилия, поддержки жертв и защиты свидетелей;</w:t>
      </w:r>
    </w:p>
    <w:p w14:paraId="57B41C7F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</w:r>
      <w:r w:rsidRPr="00757996">
        <w:rPr>
          <w:b/>
          <w:bCs/>
        </w:rPr>
        <w:t>обеспечить наличие в каждом полицейском участке сотрудников полиции, прошедших подготовку по вопросам реагирования на гендерное насилие, и обеспечить эффективный доступ к защитным предписаниям, возмещению ущерба, приютам и психосоциальному лечению и консультированию для женщин и девочек, пострадавших от гендерного насилия, во всех районах государства-участника.</w:t>
      </w:r>
      <w:r w:rsidRPr="00757996">
        <w:t xml:space="preserve"> </w:t>
      </w:r>
    </w:p>
    <w:p w14:paraId="698E0637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33B62894" w14:textId="4A0D857E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Торговля людьми и эксплуатация проституции </w:t>
      </w:r>
    </w:p>
    <w:p w14:paraId="0721AA5D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6E3F7394" w14:textId="133D7966" w:rsidR="00757996" w:rsidRPr="00757996" w:rsidRDefault="00757996" w:rsidP="00757996">
      <w:pPr>
        <w:pStyle w:val="SingleTxt"/>
      </w:pPr>
      <w:r w:rsidRPr="00757996">
        <w:t>29.</w:t>
      </w:r>
      <w:r w:rsidRPr="00757996">
        <w:tab/>
        <w:t xml:space="preserve">Комитет принимает к сведению принятие Закона о борьбе с торговлей людьми (№ 1 от 2018 года), базовое исследование по проблеме торговли людьми </w:t>
      </w:r>
      <w:r w:rsidRPr="00757996">
        <w:lastRenderedPageBreak/>
        <w:t>(</w:t>
      </w:r>
      <w:hyperlink r:id="rId39" w:history="1">
        <w:r w:rsidRPr="00757996">
          <w:rPr>
            <w:rStyle w:val="Hyperlink"/>
          </w:rPr>
          <w:t>CEDAW/C/NAM/6</w:t>
        </w:r>
      </w:hyperlink>
      <w:r w:rsidRPr="00757996">
        <w:t>, пункт 118) и информационно-просветительские кампании, проводимые Отделом расследований особо тяжких преступлений в составе полиции Намибии. Комитет, однако, испытывает по поводу:</w:t>
      </w:r>
    </w:p>
    <w:p w14:paraId="1341EF5A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сообщений о торговле женщинами и девочками из государства-участника, в государство-участник и транзитом через него; </w:t>
      </w:r>
    </w:p>
    <w:p w14:paraId="63880977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заниженных показателей отчетности и низких показателей судебного преследования в случаях торговли женщинами и девочками;</w:t>
      </w:r>
    </w:p>
    <w:p w14:paraId="74DFF5CA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отсутствия адекватной поддержки жертв и приютов, доступных для женщин и девочек, пострадавших от торговли людьми;</w:t>
      </w:r>
    </w:p>
    <w:p w14:paraId="4EE5453C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  <w:t>отсутствие информации о женщинах, занимающихся проституцией, особенно о поддержке женщин, желающих бросить это занятие.</w:t>
      </w:r>
    </w:p>
    <w:p w14:paraId="4C9DFC91" w14:textId="3E58D9BA" w:rsidR="00757996" w:rsidRPr="00757996" w:rsidRDefault="00757996" w:rsidP="00757996">
      <w:pPr>
        <w:pStyle w:val="SingleTxt"/>
      </w:pPr>
      <w:r w:rsidRPr="00757996">
        <w:t>30.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№ </w:t>
      </w:r>
      <w:r w:rsidRPr="00F94DAC">
        <w:rPr>
          <w:b/>
          <w:bCs/>
        </w:rPr>
        <w:t>38 (2020)</w:t>
      </w:r>
      <w:r w:rsidRPr="00757996">
        <w:rPr>
          <w:b/>
          <w:bCs/>
        </w:rPr>
        <w:t xml:space="preserve"> о торговле женщинами и девочками в контексте глобальной миграции, Комитет рекомендует государству-участнику:</w:t>
      </w:r>
    </w:p>
    <w:p w14:paraId="63EF247C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завершить разработку национального плана действий по борьбе с торговлей людьми и выделить достаточные людские, технические и финансовые ресурсы на его выполнение, в том числе путем сотрудничества с международными организациями, и продолжить усилия по наращиванию потенциала сотрудников правоохранительных и иммиграционных органов по раннему выявлению жертв торговли людьми и направлению их в соответствующие службы;</w:t>
      </w:r>
      <w:r w:rsidRPr="00757996">
        <w:t xml:space="preserve"> </w:t>
      </w:r>
    </w:p>
    <w:p w14:paraId="685792C5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активизировать усилия по повышению осведомленности, направленные на поощрение направления сообщений о торговле женщинами и девочками, особенно в индустрии туризма и посредством онлайн-вербовки, ускорять судебное преследование и укреплять сотрудничество со странами происхождения, транзита и назначения на международном, региональном и двустороннем уровнях;</w:t>
      </w:r>
    </w:p>
    <w:p w14:paraId="02A674B9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продолжить усилия по укреплению национального механизма перенаправления жертв и его стандартных операционных процедур, а также предоставлять женщинам и девочкам, пострадавших от торговли людьми, доступ к приютам, медицинской, психосоциальной и юридической помощи;</w:t>
      </w:r>
      <w:r w:rsidRPr="00757996">
        <w:t xml:space="preserve"> </w:t>
      </w:r>
    </w:p>
    <w:p w14:paraId="46D898ED" w14:textId="77777777" w:rsidR="00757996" w:rsidRPr="00757996" w:rsidRDefault="00757996" w:rsidP="00757996">
      <w:pPr>
        <w:pStyle w:val="SingleTxt"/>
      </w:pPr>
      <w:r w:rsidRPr="00757996">
        <w:tab/>
        <w:t xml:space="preserve">d) </w:t>
      </w:r>
      <w:r w:rsidRPr="00757996">
        <w:tab/>
      </w:r>
      <w:r w:rsidRPr="00757996">
        <w:rPr>
          <w:b/>
          <w:bCs/>
        </w:rPr>
        <w:t>анализировать и устранять коренные причины проституции и предоставлять женщинам и девочкам, желающим оставить занятие проституцией, программы выхода из нее и альтернативные возможности получения дохода.</w:t>
      </w:r>
    </w:p>
    <w:p w14:paraId="342B32E4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7E6F8D05" w14:textId="31917466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Равноправное участие в политической и общественной жизни</w:t>
      </w:r>
    </w:p>
    <w:p w14:paraId="1990D6DF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1881F041" w14:textId="274F6AAD" w:rsidR="00757996" w:rsidRPr="00757996" w:rsidRDefault="00757996" w:rsidP="00757996">
      <w:pPr>
        <w:pStyle w:val="SingleTxt"/>
      </w:pPr>
      <w:r w:rsidRPr="00757996">
        <w:t>31.</w:t>
      </w:r>
      <w:r w:rsidRPr="00757996">
        <w:tab/>
        <w:t>Комитет приветствует меры, принятые государством-участником для укрепления потенциала женщин в сфере политики, в том числе на уровне</w:t>
      </w:r>
      <w:r w:rsidR="00F701D1" w:rsidRPr="00F701D1">
        <w:t xml:space="preserve"> </w:t>
      </w:r>
      <w:r w:rsidR="00F701D1" w:rsidRPr="00757996">
        <w:t>п</w:t>
      </w:r>
      <w:r w:rsidRPr="00757996">
        <w:t xml:space="preserve">арламентариев, местных политиков и членов политических партий, что нашло отражение в том, что государство-участник заняло двенадцатое место в мире по числу женщин в парламенте по версии Структуры Организации Объединенных Наций по вопросам гендерного равенства и расширения прав и возможностей женщин («ООН-женщины») и получило награду кампании «Гендер </w:t>
      </w:r>
      <w:r w:rsidR="003D43BB" w:rsidRPr="00F701D1">
        <w:rPr>
          <w:rFonts w:asciiTheme="majorBidi" w:hAnsiTheme="majorBidi" w:cstheme="majorBidi"/>
          <w:szCs w:val="20"/>
        </w:rPr>
        <w:t>—</w:t>
      </w:r>
      <w:r w:rsidRPr="00757996">
        <w:t xml:space="preserve"> моя повестка дня» в 2017 году за прогресс в продвижении паритета на руководящих должностях. Комитет, тем не менее, с озабоченностью отмечает следующее:</w:t>
      </w:r>
    </w:p>
    <w:p w14:paraId="4BEAB5C5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сохраняющуюся </w:t>
      </w:r>
      <w:proofErr w:type="spellStart"/>
      <w:r w:rsidRPr="00757996">
        <w:t>недопредставленность</w:t>
      </w:r>
      <w:proofErr w:type="spellEnd"/>
      <w:r w:rsidRPr="00757996">
        <w:t xml:space="preserve"> женщин в некоторых областях политической и общественной жизни, особенно в Национальном совете, а также на руководящих государственных должностях, на дипломатической </w:t>
      </w:r>
      <w:r w:rsidRPr="00757996">
        <w:lastRenderedPageBreak/>
        <w:t xml:space="preserve">службе, в органах государственного управления, судебной системе и Спортивной комиссии Намибии; </w:t>
      </w:r>
    </w:p>
    <w:p w14:paraId="064C1D56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отсутствие надлежащих мер, направленных на обеспечение равной представленности женщин и мужчин из числа кандидатов в избирательных списках, и ограниченное участие женщин, принадлежащих к коренным народам, в политической и общественной жизни. </w:t>
      </w:r>
    </w:p>
    <w:p w14:paraId="310E2CC2" w14:textId="790A1028" w:rsidR="00757996" w:rsidRPr="00757996" w:rsidRDefault="00757996" w:rsidP="00757996">
      <w:pPr>
        <w:pStyle w:val="SingleTxt"/>
      </w:pPr>
      <w:r w:rsidRPr="00757996">
        <w:t>32.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№ </w:t>
      </w:r>
      <w:r w:rsidRPr="00F94DAC">
        <w:rPr>
          <w:b/>
          <w:bCs/>
        </w:rPr>
        <w:t>23 (1997)</w:t>
      </w:r>
      <w:r w:rsidRPr="00757996">
        <w:rPr>
          <w:b/>
          <w:bCs/>
        </w:rPr>
        <w:t xml:space="preserve"> об участии женщин в политической и общественной жизни, Комитет рекомендует государству-участнику:</w:t>
      </w:r>
    </w:p>
    <w:p w14:paraId="07D7D104" w14:textId="189D583E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принять меры с целью</w:t>
      </w:r>
      <w:r w:rsidR="00F701D1" w:rsidRPr="00F701D1">
        <w:rPr>
          <w:b/>
          <w:bCs/>
        </w:rPr>
        <w:t xml:space="preserve"> </w:t>
      </w:r>
      <w:r w:rsidR="00F701D1" w:rsidRPr="00757996">
        <w:rPr>
          <w:b/>
          <w:bCs/>
        </w:rPr>
        <w:t>у</w:t>
      </w:r>
      <w:r w:rsidRPr="00757996">
        <w:rPr>
          <w:b/>
          <w:bCs/>
        </w:rPr>
        <w:t>скорения усилий по достижению гендерного паритета на национальном и местном уровнях управления, в частности на руководящих должностях в Кабинете министров, судебной системе, государственной службе, дипломатической службе и в спортивных комиссиях, а также проводить информационно-просветительские кампании и наращивать потенциал для продвижения гендерного паритета, позитивного мужского поведения и участия обездоленных групп женщин, в том числе женщин из числа коренных народов и женщин с инвалидностью, в политической и общественной жизни;</w:t>
      </w:r>
    </w:p>
    <w:p w14:paraId="7D7A4551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внести поправки в Закон о выборах с целью достижения гендерного паритета и принять временные специальные меры, такие как квоты, для увеличения числа женщин-кандидатов</w:t>
      </w:r>
      <w:bookmarkStart w:id="6" w:name="_Hlk110365112"/>
      <w:r w:rsidRPr="00757996">
        <w:rPr>
          <w:b/>
          <w:bCs/>
        </w:rPr>
        <w:t xml:space="preserve">, добивающихся успехов </w:t>
      </w:r>
      <w:bookmarkEnd w:id="6"/>
      <w:r w:rsidRPr="00757996">
        <w:rPr>
          <w:b/>
          <w:bCs/>
        </w:rPr>
        <w:t>на региональных выборах, а также женщин, принадлежащих к коренным народам, избранных в законодательные органы всех уровней.</w:t>
      </w:r>
    </w:p>
    <w:p w14:paraId="2E6A0C21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56C21D79" w14:textId="5937028F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Женщины и мир и безопасность </w:t>
      </w:r>
    </w:p>
    <w:p w14:paraId="440D2B63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6FF19E45" w14:textId="35602235" w:rsidR="00757996" w:rsidRPr="00757996" w:rsidRDefault="00757996" w:rsidP="00757996">
      <w:pPr>
        <w:pStyle w:val="SingleTxt"/>
      </w:pPr>
      <w:r w:rsidRPr="00757996">
        <w:t>33.</w:t>
      </w:r>
      <w:r w:rsidRPr="00757996">
        <w:tab/>
        <w:t xml:space="preserve">Комитет с удовлетворением отмечает постоянные усилия Намибии и ее важную роль в поощрении усилий по включению женщин в процессы в поддержку мира и безопасности. Он приветствует принятие национального плана действий по вопросам женщин, мира и безопасности на период 2019–2024 годов и начало работы Центра по вопросам женщин, мира и безопасности. Вместе с тем Комитет с обеспокоенностью отмечает отсутствие информации относительно: </w:t>
      </w:r>
    </w:p>
    <w:p w14:paraId="2351ABD0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ресурсов, выделенных на реализацию национального плана действий по вопросам женщин, мира и безопасности в период 2019–2024 годов; </w:t>
      </w:r>
    </w:p>
    <w:p w14:paraId="0F391006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функционирования механизмов, обеспечивающих эффективное участие гражданского общества в его реализации, мониторинге и оценке.</w:t>
      </w:r>
    </w:p>
    <w:p w14:paraId="1B287845" w14:textId="386701CA" w:rsidR="00757996" w:rsidRPr="00757996" w:rsidRDefault="00757996" w:rsidP="00757996">
      <w:pPr>
        <w:pStyle w:val="SingleTxt"/>
        <w:rPr>
          <w:b/>
          <w:bCs/>
        </w:rPr>
      </w:pPr>
      <w:r w:rsidRPr="00757996">
        <w:t>34.</w:t>
      </w:r>
      <w:r w:rsidRPr="00757996">
        <w:tab/>
      </w:r>
      <w:r w:rsidRPr="00757996">
        <w:rPr>
          <w:b/>
          <w:bCs/>
        </w:rPr>
        <w:t xml:space="preserve">В соответствии со своей общей рекомендацией № </w:t>
      </w:r>
      <w:r w:rsidRPr="00F94DAC">
        <w:rPr>
          <w:b/>
          <w:bCs/>
        </w:rPr>
        <w:t>30 (2013)</w:t>
      </w:r>
      <w:r w:rsidRPr="00757996">
        <w:rPr>
          <w:b/>
          <w:bCs/>
        </w:rPr>
        <w:t xml:space="preserve">, касающейся положения женщин в условиях предотвращения конфликтов, в конфликтных и постконфликтных ситуациях, резолюцией </w:t>
      </w:r>
      <w:hyperlink r:id="rId40" w:history="1">
        <w:r w:rsidRPr="00757996">
          <w:rPr>
            <w:rStyle w:val="Hyperlink"/>
            <w:b/>
            <w:bCs/>
          </w:rPr>
          <w:t>1325 (2000)</w:t>
        </w:r>
      </w:hyperlink>
      <w:r w:rsidRPr="00757996">
        <w:rPr>
          <w:b/>
          <w:bCs/>
        </w:rPr>
        <w:t xml:space="preserve"> Совета Безопасности и последующими резолюциями по вопросу о женщинах и мире и безопасности Комитет рекомендует государству-участнику:</w:t>
      </w:r>
      <w:r w:rsidRPr="00757996">
        <w:t xml:space="preserve"> </w:t>
      </w:r>
    </w:p>
    <w:p w14:paraId="7A9AAA7B" w14:textId="62BC8403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 xml:space="preserve">обеспечить выделение достаточных ресурсов на реализацию национального плана действий по выполнению резолюции </w:t>
      </w:r>
      <w:hyperlink r:id="rId41" w:history="1">
        <w:r w:rsidRPr="00757996">
          <w:rPr>
            <w:rStyle w:val="Hyperlink"/>
            <w:b/>
            <w:bCs/>
          </w:rPr>
          <w:t>1325 (2000)</w:t>
        </w:r>
      </w:hyperlink>
      <w:r w:rsidRPr="00757996">
        <w:rPr>
          <w:b/>
          <w:bCs/>
        </w:rPr>
        <w:t xml:space="preserve"> Совета Безопасности о женщинах и мире и безопасности;</w:t>
      </w:r>
      <w:r w:rsidRPr="00757996">
        <w:t xml:space="preserve"> </w:t>
      </w:r>
    </w:p>
    <w:p w14:paraId="1A8B3276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обеспечить эффективное участие женских правозащитных организаций в реализации, мониторинге и оценке национального плана действий.</w:t>
      </w:r>
      <w:r w:rsidRPr="00757996">
        <w:t xml:space="preserve"> </w:t>
      </w:r>
    </w:p>
    <w:p w14:paraId="4C8C2388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691BA36B" w14:textId="48465087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Гражданство</w:t>
      </w:r>
    </w:p>
    <w:p w14:paraId="14C2EA4A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645935CE" w14:textId="75215AED" w:rsidR="00757996" w:rsidRPr="00757996" w:rsidRDefault="00757996" w:rsidP="00757996">
      <w:pPr>
        <w:pStyle w:val="SingleTxt"/>
      </w:pPr>
      <w:r w:rsidRPr="00757996">
        <w:lastRenderedPageBreak/>
        <w:t>35.</w:t>
      </w:r>
      <w:r w:rsidRPr="00757996">
        <w:tab/>
        <w:t>Комитет приветствует создание электронной системы регистрации рождений во всех районных больницах (</w:t>
      </w:r>
      <w:hyperlink r:id="rId42" w:history="1">
        <w:r w:rsidRPr="00757996">
          <w:rPr>
            <w:rStyle w:val="Hyperlink"/>
          </w:rPr>
          <w:t>CEDAW/C/NAM/6</w:t>
        </w:r>
      </w:hyperlink>
      <w:r w:rsidRPr="00757996">
        <w:t>, пункт 51) и решение Высокого суда Намибии от 2021 года о признании ребенка намибийских родителей, рожденного в результате суррогатного материнства за рубежом, гражданином Намибии по происхождению. Тем не менее он с обеспокоенностью отмечает:</w:t>
      </w:r>
    </w:p>
    <w:p w14:paraId="4D721C4B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отсутствие законодательной базы, регулирующей вопросы гражданства детей, рожденных в результате суррогатного материнства, за пределами государства-участника; </w:t>
      </w:r>
    </w:p>
    <w:p w14:paraId="2DB437C6" w14:textId="47863490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отсутствие ратификации государством-участником Конвенции 1954</w:t>
      </w:r>
      <w:r w:rsidR="003D43BB" w:rsidRPr="00F701D1">
        <w:t> </w:t>
      </w:r>
      <w:r w:rsidRPr="00757996">
        <w:t xml:space="preserve">года о статусе апатридов и Конвенции 1961 года о сокращении </w:t>
      </w:r>
      <w:proofErr w:type="spellStart"/>
      <w:r w:rsidRPr="00757996">
        <w:t>безгражданства</w:t>
      </w:r>
      <w:proofErr w:type="spellEnd"/>
      <w:r w:rsidRPr="00757996">
        <w:t xml:space="preserve">; </w:t>
      </w:r>
    </w:p>
    <w:p w14:paraId="5A25AC49" w14:textId="77777777" w:rsidR="00F701D1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сохранение большого числа незарегистрированных рождений, особенно в сельской местности;</w:t>
      </w:r>
      <w:r w:rsidR="00F701D1" w:rsidRPr="00F701D1">
        <w:t xml:space="preserve"> </w:t>
      </w:r>
    </w:p>
    <w:p w14:paraId="3DC601A8" w14:textId="724F465B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  <w:t xml:space="preserve">ситуации, когда женщины становятся жертвами браков по расчету с иностранцами, желающими въехать в государство-участник. </w:t>
      </w:r>
    </w:p>
    <w:p w14:paraId="703A6C8F" w14:textId="6C65A1BF" w:rsidR="00757996" w:rsidRPr="00757996" w:rsidRDefault="00757996" w:rsidP="00757996">
      <w:pPr>
        <w:pStyle w:val="SingleTxt"/>
      </w:pPr>
      <w:r w:rsidRPr="00757996">
        <w:t>36.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№ 32 (2014) о гендерных аспектах статуса беженца, убежища, гражданства и </w:t>
      </w:r>
      <w:proofErr w:type="spellStart"/>
      <w:r w:rsidRPr="00757996">
        <w:rPr>
          <w:b/>
          <w:bCs/>
        </w:rPr>
        <w:t>безгражданства</w:t>
      </w:r>
      <w:proofErr w:type="spellEnd"/>
      <w:r w:rsidRPr="00757996">
        <w:rPr>
          <w:b/>
          <w:bCs/>
        </w:rPr>
        <w:t xml:space="preserve"> женщин, Комитет рекомендует государству-участнику:</w:t>
      </w:r>
    </w:p>
    <w:p w14:paraId="0C63A4AF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принять законодательные положения, предусматривающие приобретение намибийского гражданства по происхождению ребенком, рожденным намибийским родителем от суррогатного материнства за рубежом;</w:t>
      </w:r>
    </w:p>
    <w:p w14:paraId="65B1956E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</w:r>
      <w:r w:rsidRPr="00757996">
        <w:rPr>
          <w:b/>
          <w:bCs/>
        </w:rPr>
        <w:t xml:space="preserve">ратифицировать Конвенцию 1954 года о статусе апатридов и Конвенцию 1961 года о сокращении </w:t>
      </w:r>
      <w:proofErr w:type="spellStart"/>
      <w:r w:rsidRPr="00757996">
        <w:rPr>
          <w:b/>
          <w:bCs/>
        </w:rPr>
        <w:t>безгражданства</w:t>
      </w:r>
      <w:proofErr w:type="spellEnd"/>
      <w:r w:rsidRPr="00757996">
        <w:rPr>
          <w:b/>
          <w:bCs/>
        </w:rPr>
        <w:t>;</w:t>
      </w:r>
      <w:r w:rsidRPr="00757996">
        <w:t xml:space="preserve"> </w:t>
      </w:r>
    </w:p>
    <w:p w14:paraId="68BE7E37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продолжать содействовать регистрации рождений, в том числе в случаях, когда у матерей нет документов, удостоверяющих личность, или когда они являются беженками или искательницами убежища, посредством использования электронных систем регистрации рождений, а также активизировать усилия по развертыванию мобильных подразделений гражданского реестра для выдачи свидетельств о рождении в сельских и отдаленных районах и в общинах коренных народов;</w:t>
      </w:r>
    </w:p>
    <w:p w14:paraId="6EFCFB57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d)</w:t>
      </w:r>
      <w:r w:rsidRPr="00757996">
        <w:tab/>
      </w:r>
      <w:r w:rsidRPr="00757996">
        <w:rPr>
          <w:b/>
          <w:bCs/>
        </w:rPr>
        <w:t>принять законопроект о браке и повышать осведомленность в соответствующих вопросах с целью защиты женщин, состоящих в браке по расчету или подвергающихся риску его заключения.</w:t>
      </w:r>
      <w:r w:rsidRPr="00757996">
        <w:t xml:space="preserve"> </w:t>
      </w:r>
    </w:p>
    <w:p w14:paraId="1D6EBF8A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7A432001" w14:textId="029B5DEB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Образование</w:t>
      </w:r>
    </w:p>
    <w:p w14:paraId="4B569533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7C2FB9AD" w14:textId="3CB6C955" w:rsidR="00757996" w:rsidRPr="00757996" w:rsidRDefault="00757996" w:rsidP="00757996">
      <w:pPr>
        <w:pStyle w:val="SingleTxt"/>
      </w:pPr>
      <w:r w:rsidRPr="00757996">
        <w:t>37.</w:t>
      </w:r>
      <w:r w:rsidRPr="00757996">
        <w:tab/>
        <w:t>Комитет приветствует предоставление бесплатного начального и среднего образования, а также проведение уроков жизненных навыков и соответствующего возрасту обучения по вопросам охраны сексуального и репродуктивного здоровья и защиты прав в государстве-участнике. Он также отмечает распространение буклета по профориентации и взаимодействию с девочками с целью повышения их интереса к нетрадиционным областям обучения. Вместе с тем Комитет с озабоченностью отмечает:</w:t>
      </w:r>
    </w:p>
    <w:p w14:paraId="4DF310AB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отсутствие надлежащего комплексного просвещения по вопросам сексуального и репродуктивного здоровья и прав подростков, в том числе по вопросам ответственного сексуального поведения, использования современных средств контрацепции и профилактики заболеваний, передаваемых половым путем, что чревато ранней беременностью среди девочек школьного возраста;</w:t>
      </w:r>
    </w:p>
    <w:p w14:paraId="00D33C7A" w14:textId="77777777" w:rsidR="00757996" w:rsidRPr="00757996" w:rsidRDefault="00757996" w:rsidP="00757996">
      <w:pPr>
        <w:pStyle w:val="SingleTxt"/>
      </w:pPr>
      <w:r w:rsidRPr="00757996">
        <w:lastRenderedPageBreak/>
        <w:tab/>
        <w:t>b)</w:t>
      </w:r>
      <w:r w:rsidRPr="00757996">
        <w:tab/>
        <w:t>высокий уровень отсева среди беременных девушек и молодых матерей и отсутствие информации о влиянии программ, направленных на поощрение беременных девушек и молодых матерей к продолжению образования во время и после беременности, а также о наличии доступного ухода за детьми и поддержки средств к существованию;</w:t>
      </w:r>
    </w:p>
    <w:p w14:paraId="42C3CB51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сообщения о случаях телесных наказаний и гендерного насилия, дискриминации и издевательств в школе, особенно в отношении девочек из числа коренных народов;</w:t>
      </w:r>
    </w:p>
    <w:p w14:paraId="6C5BC8B4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</w:r>
      <w:proofErr w:type="spellStart"/>
      <w:r w:rsidRPr="00757996">
        <w:t>недопредставленность</w:t>
      </w:r>
      <w:proofErr w:type="spellEnd"/>
      <w:r w:rsidRPr="00757996">
        <w:t xml:space="preserve"> женщин, обучающихся нетрадиционным специальностям и выбирающим нетрадиционные карьерные направления; </w:t>
      </w:r>
    </w:p>
    <w:p w14:paraId="182F8460" w14:textId="77777777" w:rsidR="00757996" w:rsidRPr="00757996" w:rsidRDefault="00757996" w:rsidP="00757996">
      <w:pPr>
        <w:pStyle w:val="SingleTxt"/>
      </w:pPr>
      <w:r w:rsidRPr="00757996">
        <w:tab/>
        <w:t>e)</w:t>
      </w:r>
      <w:r w:rsidRPr="00757996">
        <w:tab/>
        <w:t xml:space="preserve">нехватку гигиенических средств и санитарно-гигиенических помещений, доступных для девочек в школе. </w:t>
      </w:r>
    </w:p>
    <w:p w14:paraId="71F60866" w14:textId="0EBB0A67" w:rsidR="00757996" w:rsidRPr="00757996" w:rsidRDefault="00757996" w:rsidP="00757996">
      <w:pPr>
        <w:pStyle w:val="SingleTxt"/>
      </w:pPr>
      <w:r w:rsidRPr="00757996">
        <w:t>38.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№ </w:t>
      </w:r>
      <w:r w:rsidRPr="00B83ED4">
        <w:rPr>
          <w:b/>
          <w:bCs/>
        </w:rPr>
        <w:t>36 (2017)</w:t>
      </w:r>
      <w:r w:rsidRPr="00757996">
        <w:rPr>
          <w:b/>
          <w:bCs/>
        </w:rPr>
        <w:t xml:space="preserve"> о праве девочек и женщин на образование, Комитет рекомендует государству-участнику пропагандировать важность образования для девочек на всех уровнях в качестве основы для расширения их прав и возможностей, а также:</w:t>
      </w:r>
    </w:p>
    <w:p w14:paraId="06AD33BC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обеспечить, чтобы все девочки и мальчики в государстве-участнике имели доступ к соответствующему их возрасту, основанному на фактах и научно достоверному просвещению по вопросам сексуального и репродуктивного здоровья и защиты прав, которое охватывает ответственное сексуальное поведение, использование современных контрацептивов и профилактику заболеваний, передаваемых половым путем, и не содержит дискриминационных гендерных стереотипов;</w:t>
      </w:r>
    </w:p>
    <w:p w14:paraId="3DA65E62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повысить эффективность осуществления, мониторинга и оценки действующих программ по сокращению отсева из школ по причине ранней беременности и содействию возвращению в школу матерей после родов, а также обеспечить, чтобы все беременные девочки и молодые матери получали поддержку, позволяющую им оставаться в школе, путем предоставления доступа к бесплатным учреждениям по уходу за детьми и помощи в обеспечении средств к существованию, в том числе путем предоставления стипендий и организации семинаров по расширению прав и возможностей, проводимых государством-участником, Фондом финансовой помощи студентам Намибии, а также путем реализации секторальной стратегии в отношении принимаемых в школах мер по предупреждению случаев беременности среди учениц и оказанию им необходимой помощи;</w:t>
      </w:r>
      <w:r w:rsidRPr="00757996">
        <w:t xml:space="preserve"> </w:t>
      </w:r>
    </w:p>
    <w:p w14:paraId="327F9A16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обеспечить соблюдение запрета на телесные наказания, закрепленного в статье 56 Закона об образовании (№ 3 от 2020 года), и продолжить программы по наращиванию потенциала в области ненасильственных средств поддержания дисциплины в рамках Национальной рамочной программы обеспечения безопасности школ (2018) и информационно-просветительских программ Министерства образования, искусств и культуры;</w:t>
      </w:r>
    </w:p>
    <w:p w14:paraId="3A25ABDB" w14:textId="77777777" w:rsidR="003D43BB" w:rsidRPr="00F701D1" w:rsidRDefault="003D43BB">
      <w:pPr>
        <w:spacing w:after="200" w:line="276" w:lineRule="auto"/>
      </w:pPr>
      <w:r w:rsidRPr="00F701D1">
        <w:br w:type="page"/>
      </w:r>
    </w:p>
    <w:p w14:paraId="4E689797" w14:textId="77777777" w:rsidR="00F701D1" w:rsidRPr="00757996" w:rsidRDefault="00757996" w:rsidP="00757996">
      <w:pPr>
        <w:pStyle w:val="SingleTxt"/>
      </w:pPr>
      <w:r w:rsidRPr="00757996">
        <w:lastRenderedPageBreak/>
        <w:tab/>
        <w:t>d)</w:t>
      </w:r>
      <w:r w:rsidRPr="00757996">
        <w:tab/>
      </w:r>
      <w:r w:rsidRPr="00757996">
        <w:rPr>
          <w:b/>
          <w:bCs/>
        </w:rPr>
        <w:t>содействовать участию женщин и девочек в нетрадиционных областях обучения и их выбору нетрадиционных карьерных направлений, в частности в области науки, технологии, инженерии и математики, а также информационно-коммуникационных технологий;</w:t>
      </w:r>
      <w:r w:rsidR="00F701D1" w:rsidRPr="00F701D1">
        <w:t xml:space="preserve"> </w:t>
      </w:r>
    </w:p>
    <w:p w14:paraId="1686D6C3" w14:textId="1D8C4896" w:rsidR="00757996" w:rsidRPr="00757996" w:rsidRDefault="00757996" w:rsidP="00757996">
      <w:pPr>
        <w:pStyle w:val="SingleTxt"/>
      </w:pPr>
      <w:r w:rsidRPr="00757996">
        <w:tab/>
        <w:t>e)</w:t>
      </w:r>
      <w:r w:rsidRPr="00757996">
        <w:tab/>
      </w:r>
      <w:r w:rsidRPr="00757996">
        <w:rPr>
          <w:b/>
          <w:bCs/>
        </w:rPr>
        <w:t>обеспечить надлежащие санитарные условия и бесплатные гигиенические прокладки для девочек в школах, в том числе в рамках проекта «Достоинство», и включить в школьные программы надлежащего просвещения с учетом возраста относительно гигиенических потребностей во время менструации.</w:t>
      </w:r>
    </w:p>
    <w:p w14:paraId="4D0746D0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4DE9A705" w14:textId="523EC48D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Занятость</w:t>
      </w:r>
    </w:p>
    <w:p w14:paraId="18586FC7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17B93CCA" w14:textId="2B34817D" w:rsidR="00757996" w:rsidRPr="00757996" w:rsidRDefault="00757996" w:rsidP="00757996">
      <w:pPr>
        <w:pStyle w:val="SingleTxt"/>
      </w:pPr>
      <w:r w:rsidRPr="00757996">
        <w:t>39.</w:t>
      </w:r>
      <w:r w:rsidRPr="00757996">
        <w:tab/>
        <w:t>Комитет приветствует меры, принятые с целью поддержки женщин в вопросах открытия бизнеса и предотвращения сексуальных домогательств, в том числе путем создания Трехстороннего рабочего комитета по осуществлению Конвенции Международной организации труда о насилии и домогательствах 2019 года (№ 190). В то же время Комитет с обеспокоенностью отмечает:</w:t>
      </w:r>
    </w:p>
    <w:p w14:paraId="385DE048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непропорционально высокое число женщин, которые являются безработными; </w:t>
      </w:r>
    </w:p>
    <w:p w14:paraId="04720E44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сохраняющуюся вертикальную и горизонтальную сегрегацию на рынке труда;</w:t>
      </w:r>
    </w:p>
    <w:p w14:paraId="2699ED98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 xml:space="preserve">растущий разрыв в оплате труда мужчин и женщин; </w:t>
      </w:r>
    </w:p>
    <w:p w14:paraId="7A3C9E1B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  <w:t>тот факт, что статистические данные о сексуальных домогательствах на рабочем месте ограничиваются случаями, доведенными до сведения Канцелярии Комиссара по труду;</w:t>
      </w:r>
    </w:p>
    <w:p w14:paraId="028A735D" w14:textId="77777777" w:rsidR="00757996" w:rsidRPr="00757996" w:rsidRDefault="00757996" w:rsidP="00757996">
      <w:pPr>
        <w:pStyle w:val="SingleTxt"/>
      </w:pPr>
      <w:r w:rsidRPr="00757996">
        <w:tab/>
        <w:t>e)</w:t>
      </w:r>
      <w:r w:rsidRPr="00757996">
        <w:tab/>
        <w:t xml:space="preserve">высокую долю женщин, занятых в неформальном секторе экономики, и то, что в Закон о социальном обеспечении еще не внесены поправки, обеспечивающие защиту материнства и социальную защиту женщин, занятых в неформальном секторе экономики; </w:t>
      </w:r>
    </w:p>
    <w:p w14:paraId="14786C83" w14:textId="77777777" w:rsidR="00757996" w:rsidRPr="00757996" w:rsidRDefault="00757996" w:rsidP="00757996">
      <w:pPr>
        <w:pStyle w:val="SingleTxt"/>
      </w:pPr>
      <w:r w:rsidRPr="00757996">
        <w:tab/>
        <w:t>f)</w:t>
      </w:r>
      <w:r w:rsidRPr="00757996">
        <w:tab/>
        <w:t>отсутствие должной информации о действующих механизмах, обеспечивающих женщинам, работающим в качестве домашней прислуги, условия занятости, закрепленные в Постановлении об оплате труда домашних работников 2018 года.</w:t>
      </w:r>
    </w:p>
    <w:p w14:paraId="6AE79A22" w14:textId="77777777" w:rsidR="00757996" w:rsidRPr="00757996" w:rsidRDefault="00757996" w:rsidP="00757996">
      <w:pPr>
        <w:pStyle w:val="SingleTxt"/>
        <w:rPr>
          <w:b/>
        </w:rPr>
      </w:pPr>
      <w:r w:rsidRPr="00757996">
        <w:t>40.</w:t>
      </w:r>
      <w:r w:rsidRPr="00757996">
        <w:tab/>
      </w:r>
      <w:r w:rsidRPr="00757996">
        <w:rPr>
          <w:b/>
          <w:bCs/>
        </w:rPr>
        <w:t>В соответствии с задачей 8.5 Целей в области устойчивого развития по содействию полной и производительной занятости и достойной работе для всех женщин и мужчин Комитет рекомендует государству-участнику:</w:t>
      </w:r>
    </w:p>
    <w:p w14:paraId="5210F234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повышать уровень профессиональной подготовки женщин и девушек в целях сокращения уровня безработицы и обеспечить, чтобы Национальная служба занятости уделяла приоритетное внимание женщинам как целевой группе;</w:t>
      </w:r>
      <w:r w:rsidRPr="00757996">
        <w:t xml:space="preserve"> </w:t>
      </w:r>
    </w:p>
    <w:p w14:paraId="6F288570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решить проблему горизонтальной и вертикальной профессиональной сегрегации на рынке труда, в том числе путем обеспечения соблюдения Закона о позитивных действиях (в сфере занятости) (№ 29 от 1998 года) и Закона о внесении поправок в Закон о позитивных действиях (в сфере занятости) (№ 6 от 2007 года), укрепления Комиссии по обеспечению равенства в сфере занятости и увеличения доступности недорогих детских учреждений;</w:t>
      </w:r>
    </w:p>
    <w:p w14:paraId="3F8ACD09" w14:textId="77777777" w:rsidR="00B83ED4" w:rsidRDefault="00B83ED4">
      <w:pPr>
        <w:spacing w:after="200" w:line="276" w:lineRule="auto"/>
      </w:pPr>
      <w:r>
        <w:br w:type="page"/>
      </w:r>
    </w:p>
    <w:p w14:paraId="0093FDA5" w14:textId="388ACA97" w:rsidR="00757996" w:rsidRPr="00757996" w:rsidRDefault="00757996" w:rsidP="00757996">
      <w:pPr>
        <w:pStyle w:val="SingleTxt"/>
        <w:rPr>
          <w:b/>
        </w:rPr>
      </w:pPr>
      <w:r w:rsidRPr="00757996">
        <w:lastRenderedPageBreak/>
        <w:tab/>
        <w:t>c)</w:t>
      </w:r>
      <w:r w:rsidRPr="00757996">
        <w:tab/>
      </w:r>
      <w:r w:rsidRPr="00757996">
        <w:rPr>
          <w:b/>
          <w:bCs/>
        </w:rPr>
        <w:t xml:space="preserve">обеспечить реализацию принципа равной оплаты за труд равной ценности путем i) проведения регулярных трудовых инспекций, </w:t>
      </w:r>
      <w:proofErr w:type="spellStart"/>
      <w:r w:rsidRPr="00757996">
        <w:rPr>
          <w:b/>
          <w:bCs/>
        </w:rPr>
        <w:t>ii</w:t>
      </w:r>
      <w:proofErr w:type="spellEnd"/>
      <w:r w:rsidRPr="00757996">
        <w:rPr>
          <w:b/>
          <w:bCs/>
        </w:rPr>
        <w:t xml:space="preserve">) применения гендерно нейтральных аналитических методов классификации и оценки должностей, </w:t>
      </w:r>
      <w:proofErr w:type="spellStart"/>
      <w:r w:rsidRPr="00757996">
        <w:rPr>
          <w:b/>
          <w:bCs/>
        </w:rPr>
        <w:t>iii</w:t>
      </w:r>
      <w:proofErr w:type="spellEnd"/>
      <w:r w:rsidRPr="00757996">
        <w:rPr>
          <w:b/>
          <w:bCs/>
        </w:rPr>
        <w:t xml:space="preserve">) проведения регулярных обследований заработной платы, </w:t>
      </w:r>
      <w:proofErr w:type="spellStart"/>
      <w:r w:rsidRPr="00757996">
        <w:rPr>
          <w:b/>
          <w:bCs/>
        </w:rPr>
        <w:t>iv</w:t>
      </w:r>
      <w:proofErr w:type="spellEnd"/>
      <w:r w:rsidRPr="00757996">
        <w:rPr>
          <w:b/>
          <w:bCs/>
        </w:rPr>
        <w:t>) поощрения работодателей к публикации описательной части данных о гендерном разрыве в оплате труда с целью лучшего понимания причин гендерного разрыва в заработной плате и принятия соответствующих мер по исправлению ситуации, а также v) обеспечения соблюдения принципа недискриминации в оплате труда женщин и мужчин, закрепленного в статье 95 a) Конституции;</w:t>
      </w:r>
      <w:r w:rsidRPr="00757996">
        <w:t xml:space="preserve"> </w:t>
      </w:r>
    </w:p>
    <w:p w14:paraId="48766268" w14:textId="3256FF59" w:rsidR="00757996" w:rsidRPr="00757996" w:rsidRDefault="00757996" w:rsidP="00757996">
      <w:pPr>
        <w:pStyle w:val="SingleTxt"/>
        <w:rPr>
          <w:b/>
        </w:rPr>
      </w:pPr>
      <w:r w:rsidRPr="00757996">
        <w:tab/>
        <w:t>d)</w:t>
      </w:r>
      <w:r w:rsidRPr="00757996">
        <w:tab/>
      </w:r>
      <w:r w:rsidRPr="00757996">
        <w:rPr>
          <w:b/>
          <w:bCs/>
        </w:rPr>
        <w:t>обеспечить выполнение раздела 5 Закона о труде (№ 11 от 2007</w:t>
      </w:r>
      <w:r w:rsidR="003D43BB" w:rsidRPr="00F701D1">
        <w:rPr>
          <w:b/>
          <w:bCs/>
        </w:rPr>
        <w:t> </w:t>
      </w:r>
      <w:r w:rsidRPr="00757996">
        <w:rPr>
          <w:b/>
          <w:bCs/>
        </w:rPr>
        <w:t>года) и принять конкретные меры по предотвращению сексуальных домогательств на рабочем месте, в том числе путем введения конкретной уголовной ответственности за сексуальные домогательства, продвижения кодексов поведения на рабочем месте, повышения осведомленности и предоставления юридической помощи жертвам;</w:t>
      </w:r>
    </w:p>
    <w:p w14:paraId="00AA03DB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e)</w:t>
      </w:r>
      <w:r w:rsidRPr="00757996">
        <w:tab/>
      </w:r>
      <w:r w:rsidRPr="00757996">
        <w:rPr>
          <w:b/>
          <w:bCs/>
        </w:rPr>
        <w:t>расширить участие женщин в формальном секторе экономики и обеспечить, чтобы женщины, занятые в неформальном секторе экономики, были охвачены актами и положениями о защите материнства и социальной защите;</w:t>
      </w:r>
    </w:p>
    <w:p w14:paraId="15629FDC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f)</w:t>
      </w:r>
      <w:r w:rsidRPr="00757996">
        <w:tab/>
      </w:r>
      <w:r w:rsidRPr="00757996">
        <w:rPr>
          <w:b/>
          <w:bCs/>
        </w:rPr>
        <w:t>увеличить число трудовых инспекций Министерства труда, производственных отношений и создания рабочих мест для обеспечения соблюдения Постановления о внутренней заработной плате 2018 года, особенно в сельских районах, и повысить осведомленность о действующем механизме подачи жалоб.</w:t>
      </w:r>
      <w:r w:rsidRPr="00757996">
        <w:t xml:space="preserve"> </w:t>
      </w:r>
    </w:p>
    <w:p w14:paraId="55BE6DE2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039B705A" w14:textId="4E8EC23D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Здравоохранение</w:t>
      </w:r>
    </w:p>
    <w:p w14:paraId="27D6EDA3" w14:textId="77777777" w:rsidR="003D43BB" w:rsidRPr="00F701D1" w:rsidRDefault="003D43BB" w:rsidP="003D43BB">
      <w:pPr>
        <w:pStyle w:val="SingleTxt"/>
        <w:spacing w:after="0" w:line="120" w:lineRule="exact"/>
        <w:rPr>
          <w:b/>
          <w:bCs/>
          <w:sz w:val="10"/>
        </w:rPr>
      </w:pPr>
    </w:p>
    <w:p w14:paraId="7D31D8DD" w14:textId="444AB3E2" w:rsidR="00757996" w:rsidRPr="00757996" w:rsidRDefault="00757996" w:rsidP="00757996">
      <w:pPr>
        <w:pStyle w:val="SingleTxt"/>
        <w:rPr>
          <w:b/>
        </w:rPr>
      </w:pPr>
      <w:r w:rsidRPr="00757996">
        <w:rPr>
          <w:bCs/>
        </w:rPr>
        <w:t>41.</w:t>
      </w:r>
      <w:r w:rsidRPr="00757996">
        <w:rPr>
          <w:b/>
        </w:rPr>
        <w:tab/>
        <w:t>Комитет отмечает прогресс, достигнутый в снижении уровня передачи ВИЧ/СПИДа от матери ребенку, и высокую доступность наборов для тестирования на ВИЧ/СПИД. Вместе с тем Комитет с обеспокоенностью отмечает:</w:t>
      </w:r>
    </w:p>
    <w:p w14:paraId="7C598643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объявление абортов вне закона и тот факт, что исключения делаются только в случаях угрозы жизни беременной женщины или ребенка, а также в случаях, когда беременность является результатом изнасилования;</w:t>
      </w:r>
    </w:p>
    <w:p w14:paraId="1180B732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снижение числа женщин, имеющих доступ к услугам дородового ухода, и увеличение числа зарегистрированных случаев оскорбительного поведения медицинских работников во время схваток и родов;</w:t>
      </w:r>
    </w:p>
    <w:p w14:paraId="1200C093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ограниченный доступ женщин к безопасным абортам и услугам после аборта;</w:t>
      </w:r>
    </w:p>
    <w:p w14:paraId="41E87ED9" w14:textId="6AE3C5E0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  <w:t>низкий уровень использования контрацептивов, несмотря на то что противозачаточные средства доступны бесплатно во всех государственных медицинских учреждениях (</w:t>
      </w:r>
      <w:hyperlink r:id="rId43" w:history="1">
        <w:r w:rsidRPr="00757996">
          <w:rPr>
            <w:rStyle w:val="Hyperlink"/>
          </w:rPr>
          <w:t>CEDAW/C/NAM/6</w:t>
        </w:r>
      </w:hyperlink>
      <w:r w:rsidRPr="00757996">
        <w:t xml:space="preserve">, пункт 157; </w:t>
      </w:r>
      <w:hyperlink r:id="rId44" w:history="1">
        <w:r w:rsidRPr="00757996">
          <w:rPr>
            <w:rStyle w:val="Hyperlink"/>
          </w:rPr>
          <w:t>CEDAW/C/NAM/RQ/6</w:t>
        </w:r>
      </w:hyperlink>
      <w:r w:rsidRPr="00757996">
        <w:t>, пункт 69);</w:t>
      </w:r>
    </w:p>
    <w:p w14:paraId="0F57348F" w14:textId="77777777" w:rsidR="00757996" w:rsidRPr="00757996" w:rsidRDefault="00757996" w:rsidP="00757996">
      <w:pPr>
        <w:pStyle w:val="SingleTxt"/>
      </w:pPr>
      <w:r w:rsidRPr="00757996">
        <w:tab/>
        <w:t>e)</w:t>
      </w:r>
      <w:r w:rsidRPr="00757996">
        <w:tab/>
        <w:t>ограниченный доступ женщин, включая женщин с инвалидностью, женщин из числа коренных народов и лесбиянок, бисексуалок, трансгендерных и интерсексуальных женщин, к услугам по охране сексуального и репродуктивного здоровья;</w:t>
      </w:r>
    </w:p>
    <w:p w14:paraId="1F8810BE" w14:textId="77777777" w:rsidR="00757996" w:rsidRPr="00757996" w:rsidRDefault="00757996" w:rsidP="00757996">
      <w:pPr>
        <w:pStyle w:val="SingleTxt"/>
      </w:pPr>
      <w:r w:rsidRPr="00757996">
        <w:lastRenderedPageBreak/>
        <w:tab/>
        <w:t>f)</w:t>
      </w:r>
      <w:r w:rsidRPr="00757996">
        <w:tab/>
        <w:t>сообщения о том, что ежегодный уровень заболеваемости ВИЧ/СПИДом среди взрослых в возрасте от 15 до 64 лет и уровень новых случаев инфицирования непропорционально высок среди женщин;</w:t>
      </w:r>
    </w:p>
    <w:p w14:paraId="6DADA971" w14:textId="77777777" w:rsidR="00F701D1" w:rsidRPr="00757996" w:rsidRDefault="00757996" w:rsidP="00757996">
      <w:pPr>
        <w:pStyle w:val="SingleTxt"/>
      </w:pPr>
      <w:r w:rsidRPr="00757996">
        <w:tab/>
        <w:t>g)</w:t>
      </w:r>
      <w:r w:rsidRPr="00757996">
        <w:tab/>
        <w:t>отсутствие информации о распространенности принудительной стерилизации ВИЧ-положительных женщин в государстве-участнике и то, что, согласно разделу 4 Закона об абортах и стерилизации (№ 2 от 1975 года), разрешается стерилизация женщин без их согласия при определенных условиях.</w:t>
      </w:r>
      <w:r w:rsidR="00F701D1" w:rsidRPr="00F701D1">
        <w:t xml:space="preserve"> </w:t>
      </w:r>
    </w:p>
    <w:p w14:paraId="3C7DBDF2" w14:textId="5A1CCB7B" w:rsidR="00757996" w:rsidRPr="00757996" w:rsidRDefault="00757996" w:rsidP="00757996">
      <w:pPr>
        <w:pStyle w:val="SingleTxt"/>
        <w:rPr>
          <w:b/>
        </w:rPr>
      </w:pPr>
      <w:r w:rsidRPr="00757996">
        <w:t>42.</w:t>
      </w:r>
      <w:r w:rsidRPr="00757996">
        <w:tab/>
      </w:r>
      <w:r w:rsidRPr="00757996">
        <w:rPr>
          <w:b/>
          <w:bCs/>
        </w:rPr>
        <w:t xml:space="preserve">Комитет напоминает о своей общей рекомендации № </w:t>
      </w:r>
      <w:r w:rsidRPr="00B83ED4">
        <w:rPr>
          <w:b/>
          <w:bCs/>
        </w:rPr>
        <w:t>24 (1999)</w:t>
      </w:r>
      <w:r w:rsidRPr="00757996">
        <w:rPr>
          <w:b/>
          <w:bCs/>
        </w:rPr>
        <w:t xml:space="preserve"> о женщинах и здоровье и рекомендует государству-участнику:</w:t>
      </w:r>
    </w:p>
    <w:p w14:paraId="3EECCD59" w14:textId="10ED0A88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внести поправки в статью 3</w:t>
      </w:r>
      <w:r w:rsidR="00153D30">
        <w:rPr>
          <w:b/>
          <w:bCs/>
        </w:rPr>
        <w:t> </w:t>
      </w:r>
      <w:r w:rsidRPr="00757996">
        <w:rPr>
          <w:b/>
          <w:bCs/>
        </w:rPr>
        <w:t xml:space="preserve">(1) Закона об абортах и стерилизации (№ 2 от 1975 года) с целью отмены уголовной ответственности за аборты во всех случаях и их легализации, как минимум, в случаях изнасилования, кровосмешения, серьезных нарушений развития плода и риска для здоровья или жизни беременной женщины, признавая, что объявление абортов вне закона является одной из форм гендерного насилия в отношении женщин, в соответствии с общей рекомендацией № </w:t>
      </w:r>
      <w:r w:rsidRPr="00153D30">
        <w:rPr>
          <w:b/>
          <w:bCs/>
        </w:rPr>
        <w:t>35 (2017)</w:t>
      </w:r>
      <w:r w:rsidRPr="00757996">
        <w:rPr>
          <w:b/>
          <w:bCs/>
        </w:rPr>
        <w:t xml:space="preserve"> о гендерном насилии в отношении женщин;</w:t>
      </w:r>
    </w:p>
    <w:p w14:paraId="1D8EA068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расследовать ситуацию со снижением в последнее время числа женщин, получающих дородовый уход, с целью устранения ее причин и обеспечить уважение прав человека и достоинства женщин в сфере охраны материнства;</w:t>
      </w:r>
    </w:p>
    <w:p w14:paraId="03AC7DCB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улучшить доступ женщин к безопасному аборту и услугам после аборта путем устранения обременительных административных процедур для получения разрешения и путем привлечения традиционных лидеров и гражданского общества к кампаниям по предотвращению стигмы и дискриминации в отношении женщин и девочек, обращающихся за услугами безопасного аборта;</w:t>
      </w:r>
    </w:p>
    <w:p w14:paraId="0B627737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d)</w:t>
      </w:r>
      <w:r w:rsidRPr="00757996">
        <w:tab/>
      </w:r>
      <w:r w:rsidRPr="00757996">
        <w:rPr>
          <w:b/>
          <w:bCs/>
        </w:rPr>
        <w:t>расширить доступ к качественным услугам по планированию семьи и современным контрацептивам для женщин репродуктивного возраста, особенно женщин с ограниченным доходом, и активизировать усилия Министерства здравоохранения и социальных служб по предоставлению информационно-просветительских услуг для населения в сельских районах;</w:t>
      </w:r>
    </w:p>
    <w:p w14:paraId="04B7659A" w14:textId="77777777" w:rsidR="00F701D1" w:rsidRPr="00757996" w:rsidRDefault="00757996" w:rsidP="00757996">
      <w:pPr>
        <w:pStyle w:val="SingleTxt"/>
        <w:rPr>
          <w:b/>
        </w:rPr>
      </w:pPr>
      <w:r w:rsidRPr="00757996">
        <w:tab/>
        <w:t>e)</w:t>
      </w:r>
      <w:r w:rsidRPr="00757996">
        <w:tab/>
      </w:r>
      <w:r w:rsidRPr="00757996">
        <w:rPr>
          <w:b/>
          <w:bCs/>
        </w:rPr>
        <w:t>обеспечить безопасный и надлежащий доступ к услугам по охране сексуального и репродуктивного здоровья в отсутствие дискриминации и распространять информацию и материалы по клиническим ресурсам среди практикующих врачей и женщин, включая женщин с инвалидностью, женщин из числа коренных народов и лесбиянок, бисексуалок, трансгендеров и интерсексуалов;</w:t>
      </w:r>
      <w:r w:rsidR="00F701D1" w:rsidRPr="00F701D1">
        <w:t xml:space="preserve"> </w:t>
      </w:r>
    </w:p>
    <w:p w14:paraId="7BDAB172" w14:textId="0AC16624" w:rsidR="00757996" w:rsidRPr="00757996" w:rsidRDefault="00757996" w:rsidP="00757996">
      <w:pPr>
        <w:pStyle w:val="SingleTxt"/>
      </w:pPr>
      <w:r w:rsidRPr="00757996">
        <w:tab/>
        <w:t>f)</w:t>
      </w:r>
      <w:r w:rsidRPr="00757996">
        <w:tab/>
      </w:r>
      <w:r w:rsidRPr="00757996">
        <w:rPr>
          <w:b/>
          <w:bCs/>
        </w:rPr>
        <w:t>решить проблему высокой распространенности ВИЧ/СПИДа среди женщин, реализовать «дорожную карту» по искоренению передачи ВИЧ от матери ребенку и обеспечить доступ к бесплатному антиретровирусному лечению;</w:t>
      </w:r>
    </w:p>
    <w:p w14:paraId="0FD64EB0" w14:textId="77777777" w:rsidR="00757996" w:rsidRPr="00757996" w:rsidRDefault="00757996" w:rsidP="00757996">
      <w:pPr>
        <w:pStyle w:val="SingleTxt"/>
      </w:pPr>
      <w:r w:rsidRPr="00757996">
        <w:tab/>
        <w:t>g)</w:t>
      </w:r>
      <w:r w:rsidRPr="00757996">
        <w:tab/>
      </w:r>
      <w:r w:rsidRPr="00757996">
        <w:rPr>
          <w:b/>
          <w:bCs/>
        </w:rPr>
        <w:t>провести исследование по вопросу о принудительной стерилизации ВИЧ-положительных женщин и обеспечить, чтобы ни одна стерилизация не проводилась без свободного, предварительного и информированного согласия соответствующей женщины.</w:t>
      </w:r>
      <w:r w:rsidRPr="00757996">
        <w:t xml:space="preserve"> </w:t>
      </w:r>
    </w:p>
    <w:p w14:paraId="6B4FD3C5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1F6A909F" w14:textId="77777777" w:rsidR="00153D30" w:rsidRDefault="00153D30">
      <w:pPr>
        <w:spacing w:after="200" w:line="276" w:lineRule="auto"/>
        <w:rPr>
          <w:b/>
          <w:spacing w:val="2"/>
        </w:rPr>
      </w:pPr>
      <w:r>
        <w:br w:type="page"/>
      </w:r>
    </w:p>
    <w:p w14:paraId="2B957B8C" w14:textId="70B9B53B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lastRenderedPageBreak/>
        <w:tab/>
      </w:r>
      <w:r w:rsidRPr="00F701D1">
        <w:tab/>
        <w:t xml:space="preserve">Расширение экономических прав и возможностей </w:t>
      </w:r>
    </w:p>
    <w:p w14:paraId="646CEEBA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20B179E3" w14:textId="6FF073ED" w:rsidR="00757996" w:rsidRPr="00757996" w:rsidRDefault="00757996" w:rsidP="00757996">
      <w:pPr>
        <w:pStyle w:val="SingleTxt"/>
      </w:pPr>
      <w:r w:rsidRPr="00757996">
        <w:t>43.</w:t>
      </w:r>
      <w:r w:rsidRPr="00757996">
        <w:tab/>
        <w:t xml:space="preserve">Комитет принимает к сведению План процветания </w:t>
      </w:r>
      <w:proofErr w:type="spellStart"/>
      <w:r w:rsidRPr="00757996">
        <w:t>Харамби</w:t>
      </w:r>
      <w:proofErr w:type="spellEnd"/>
      <w:r w:rsidRPr="00757996">
        <w:t xml:space="preserve"> II (2021–2025</w:t>
      </w:r>
      <w:r w:rsidR="003D43BB" w:rsidRPr="00F701D1">
        <w:t> </w:t>
      </w:r>
      <w:r w:rsidRPr="00757996">
        <w:t xml:space="preserve">годы) и План национального развития </w:t>
      </w:r>
      <w:r w:rsidR="003D43BB" w:rsidRPr="00F701D1">
        <w:rPr>
          <w:rFonts w:asciiTheme="majorBidi" w:hAnsiTheme="majorBidi" w:cstheme="majorBidi"/>
          <w:szCs w:val="20"/>
        </w:rPr>
        <w:t>—</w:t>
      </w:r>
      <w:r w:rsidRPr="00757996">
        <w:t xml:space="preserve"> 5 (2017–2022 годы). Вместе с тем он с обеспокоенностью отмечает:</w:t>
      </w:r>
    </w:p>
    <w:p w14:paraId="539DACA4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высокий уровень бедности в государстве-участнике, особенно в домохозяйствах, возглавляемых женщинами;</w:t>
      </w:r>
    </w:p>
    <w:p w14:paraId="62F4EBBD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ограниченный доступ женщин, в особенности сельских женщин, к банковским займам и финансовым кредитам;</w:t>
      </w:r>
    </w:p>
    <w:p w14:paraId="69049B88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 xml:space="preserve">отсутствие грантов и подготовки по вопросам предпринимательства для женщин; </w:t>
      </w:r>
    </w:p>
    <w:p w14:paraId="70CFA37E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  <w:t xml:space="preserve">отсутствие необходимой информации о влиянии усилий государства-участника по распространению «зеленой экономики» на направление по расширению экономических прав и возможностей женщин. </w:t>
      </w:r>
    </w:p>
    <w:p w14:paraId="68C018F9" w14:textId="77777777" w:rsidR="00757996" w:rsidRPr="00757996" w:rsidRDefault="00757996" w:rsidP="00757996">
      <w:pPr>
        <w:pStyle w:val="SingleTxt"/>
      </w:pPr>
      <w:r w:rsidRPr="00757996">
        <w:t>44.</w:t>
      </w:r>
      <w:r w:rsidRPr="00757996">
        <w:tab/>
      </w:r>
      <w:r w:rsidRPr="00757996">
        <w:rPr>
          <w:b/>
          <w:bCs/>
        </w:rPr>
        <w:t>Комитет рекомендует государству-участнику:</w:t>
      </w:r>
    </w:p>
    <w:p w14:paraId="2C8B0092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принять конкретные меры по борьбе с бедностью и обеспечить учет гендерной проблематики в своих планах развития;</w:t>
      </w:r>
    </w:p>
    <w:p w14:paraId="6BA19B08" w14:textId="77777777" w:rsidR="00757996" w:rsidRPr="00757996" w:rsidRDefault="00757996" w:rsidP="00757996">
      <w:pPr>
        <w:pStyle w:val="SingleTxt"/>
        <w:rPr>
          <w:b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обеспечить равный доступ женщин к банковским кредитам, ипотеке и другим формам финансового кредитования, таким как низкопроцентные кредиты без залога и льготные кредиты, через Сельскохозяйственный банк Намибии и Банк развития Намибии;</w:t>
      </w:r>
    </w:p>
    <w:p w14:paraId="31C57260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расширить доступ женщин к грантам, обучению и поддержке предпринимательства, предоставляемым, например, Министерством торговли, индустриализации и развития малых и средних предприятий (МСП) и общественно-территориальными природоохранными объединениями, а также в рамках программы “</w:t>
      </w:r>
      <w:proofErr w:type="spellStart"/>
      <w:r w:rsidRPr="00757996">
        <w:rPr>
          <w:b/>
          <w:bCs/>
        </w:rPr>
        <w:t>Awome</w:t>
      </w:r>
      <w:proofErr w:type="spellEnd"/>
      <w:r w:rsidRPr="00757996">
        <w:rPr>
          <w:b/>
          <w:bCs/>
        </w:rPr>
        <w:t>” («</w:t>
      </w:r>
      <w:proofErr w:type="spellStart"/>
      <w:r w:rsidRPr="00757996">
        <w:rPr>
          <w:b/>
          <w:bCs/>
        </w:rPr>
        <w:t>Авоме</w:t>
      </w:r>
      <w:proofErr w:type="spellEnd"/>
      <w:r w:rsidRPr="00757996">
        <w:rPr>
          <w:b/>
          <w:bCs/>
        </w:rPr>
        <w:t>») по обеспечению достойной работы и экономической безопасности (2017–2020 годы);</w:t>
      </w:r>
    </w:p>
    <w:p w14:paraId="7EC19913" w14:textId="77777777" w:rsidR="00757996" w:rsidRPr="00757996" w:rsidRDefault="00757996" w:rsidP="00757996">
      <w:pPr>
        <w:pStyle w:val="SingleTxt"/>
      </w:pPr>
      <w:r w:rsidRPr="00757996">
        <w:tab/>
        <w:t>d)</w:t>
      </w:r>
      <w:r w:rsidRPr="00757996">
        <w:tab/>
      </w:r>
      <w:r w:rsidRPr="00757996">
        <w:rPr>
          <w:b/>
          <w:bCs/>
        </w:rPr>
        <w:t>обеспечить участие сельских женщин в «зеленой экономике» государства-участника, например, в Программе рационального использования природных ресурсов на уровне общин, и извлечь из этого пользу.</w:t>
      </w:r>
      <w:r w:rsidRPr="00757996">
        <w:t xml:space="preserve"> </w:t>
      </w:r>
    </w:p>
    <w:p w14:paraId="63F366E0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641A63B0" w14:textId="769C4441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Сельские женщины</w:t>
      </w:r>
    </w:p>
    <w:p w14:paraId="26C9B2CF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636F4574" w14:textId="2310CDA9" w:rsidR="00757996" w:rsidRPr="00757996" w:rsidRDefault="00757996" w:rsidP="00757996">
      <w:pPr>
        <w:pStyle w:val="SingleTxt"/>
      </w:pPr>
      <w:r w:rsidRPr="00757996">
        <w:t>45.</w:t>
      </w:r>
      <w:r w:rsidRPr="00757996">
        <w:tab/>
        <w:t>Комитет отмечает квоту на представительство женщин в общинных земельных советах в рамках Закона о реформе общинных земель (№ 5 от 2002</w:t>
      </w:r>
      <w:r w:rsidR="003D43BB" w:rsidRPr="00F701D1">
        <w:t> </w:t>
      </w:r>
      <w:r w:rsidRPr="00757996">
        <w:t xml:space="preserve">года) и то, что Закон о гибком режиме землевладения (№ 4 от 2012 года) способствует доступу женщин к земле. Тем не менее Комитет по-прежнему с обеспокоенностью отмечает: </w:t>
      </w:r>
    </w:p>
    <w:p w14:paraId="3EC87045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 xml:space="preserve">отсутствие дезагрегированных статистических данных о земельной собственности, включая собственность женщин на землю; </w:t>
      </w:r>
    </w:p>
    <w:p w14:paraId="2A87EDF2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тот факт, что сельские женщины непропорционально сильно пострадали от пандемии коронавирусной инфекции (COVID-19) и не имеют доступа к базовым услугам и социальной защите.</w:t>
      </w:r>
    </w:p>
    <w:p w14:paraId="3BC01F73" w14:textId="2C65798E" w:rsidR="00757996" w:rsidRPr="00757996" w:rsidRDefault="00757996" w:rsidP="00757996">
      <w:pPr>
        <w:pStyle w:val="SingleTxt"/>
        <w:rPr>
          <w:b/>
          <w:bCs/>
        </w:rPr>
      </w:pPr>
      <w:r w:rsidRPr="00757996">
        <w:t>46.</w:t>
      </w:r>
      <w:r w:rsidRPr="00757996">
        <w:tab/>
      </w:r>
      <w:r w:rsidRPr="00757996">
        <w:rPr>
          <w:b/>
          <w:bCs/>
        </w:rPr>
        <w:t xml:space="preserve">В соответствии со своей общей рекомендацией № </w:t>
      </w:r>
      <w:r w:rsidRPr="00153D30">
        <w:rPr>
          <w:b/>
          <w:bCs/>
        </w:rPr>
        <w:t>34 (2016)</w:t>
      </w:r>
      <w:r w:rsidRPr="00757996">
        <w:rPr>
          <w:b/>
          <w:bCs/>
        </w:rPr>
        <w:t xml:space="preserve"> о правах сельских женщин Комитет рекомендует государству-участнику:</w:t>
      </w:r>
      <w:r w:rsidRPr="00757996">
        <w:t xml:space="preserve"> </w:t>
      </w:r>
    </w:p>
    <w:p w14:paraId="54836401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расширить доступ женщин к земле и их представительство в соответствующих процессах принятия решений;</w:t>
      </w:r>
      <w:r w:rsidRPr="00757996">
        <w:t xml:space="preserve"> </w:t>
      </w:r>
    </w:p>
    <w:p w14:paraId="4FA0636A" w14:textId="4BF50916" w:rsidR="00757996" w:rsidRDefault="00757996" w:rsidP="00757996">
      <w:pPr>
        <w:pStyle w:val="SingleTxt"/>
        <w:rPr>
          <w:b/>
          <w:bCs/>
        </w:rPr>
      </w:pPr>
      <w:r w:rsidRPr="00757996">
        <w:lastRenderedPageBreak/>
        <w:tab/>
        <w:t>b)</w:t>
      </w:r>
      <w:r w:rsidRPr="00757996">
        <w:tab/>
      </w:r>
      <w:r w:rsidRPr="00757996">
        <w:rPr>
          <w:b/>
          <w:bCs/>
        </w:rPr>
        <w:t>обеспечить доступ сельских женщин к социальной защите и базовым услугам в таких областях, как здравоохранение, питание, жилье, электричество, мобильные системы денежных переводов, транспорт, водоснабжение и санитария, в том числе через продовольственные банки и помощь, получаемую от Министерства земельной реформы и Министерства по ликвидации нищеты и социальному обеспечению.</w:t>
      </w:r>
    </w:p>
    <w:p w14:paraId="126A7C4B" w14:textId="1A2F00EC" w:rsidR="00153D30" w:rsidRPr="00153D30" w:rsidRDefault="00153D30" w:rsidP="00153D30">
      <w:pPr>
        <w:pStyle w:val="SingleTxt"/>
        <w:spacing w:after="0" w:line="120" w:lineRule="exact"/>
        <w:rPr>
          <w:b/>
          <w:bCs/>
          <w:sz w:val="10"/>
        </w:rPr>
      </w:pPr>
    </w:p>
    <w:p w14:paraId="5712A64F" w14:textId="56AE7E85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Женщины с инвалидностью </w:t>
      </w:r>
    </w:p>
    <w:p w14:paraId="78EB4F61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01830583" w14:textId="3F2B067B" w:rsidR="00757996" w:rsidRPr="00757996" w:rsidRDefault="00757996" w:rsidP="00757996">
      <w:pPr>
        <w:pStyle w:val="SingleTxt"/>
      </w:pPr>
      <w:r w:rsidRPr="00757996">
        <w:t>47.</w:t>
      </w:r>
      <w:r w:rsidRPr="00757996">
        <w:tab/>
        <w:t>Комитет принимает к сведению Национальную повестку дня для детей, которая обеспечивает равный доступ к услугам по санитарно-гигиеническому просвещению и поддержке детей с инвалидностью (</w:t>
      </w:r>
      <w:hyperlink r:id="rId45" w:history="1">
        <w:r w:rsidRPr="00757996">
          <w:rPr>
            <w:rStyle w:val="Hyperlink"/>
          </w:rPr>
          <w:t>CEDAW/C/NAM/6</w:t>
        </w:r>
      </w:hyperlink>
      <w:r w:rsidRPr="00757996">
        <w:t>, пункт</w:t>
      </w:r>
      <w:r w:rsidR="003D43BB" w:rsidRPr="00F701D1">
        <w:t> </w:t>
      </w:r>
      <w:r w:rsidRPr="00757996">
        <w:t xml:space="preserve">23). Комитет, тем не менее, с обеспокоенностью отмечает: </w:t>
      </w:r>
    </w:p>
    <w:p w14:paraId="1A7719C8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препятствия, с которыми сталкиваются женщины и девочки с инвалидностью в плане доступа к инклюзивному образованию;</w:t>
      </w:r>
    </w:p>
    <w:p w14:paraId="6624C10E" w14:textId="04AB5A96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высокий уровень безработицы среди женщин с инвалидностью, их подавляющее большинство на низкооплачиваемой работе, а также применение медицинского подхода к инвалидности в разделе 5</w:t>
      </w:r>
      <w:r w:rsidR="003D43BB" w:rsidRPr="00F701D1">
        <w:t> </w:t>
      </w:r>
      <w:r w:rsidRPr="00757996">
        <w:t>1)</w:t>
      </w:r>
      <w:r w:rsidR="003D43BB" w:rsidRPr="00F701D1">
        <w:t> </w:t>
      </w:r>
      <w:r w:rsidRPr="00757996">
        <w:t>e) Органического закона о труде и трудящихся (№ 11 от 2007) и в разделе 18</w:t>
      </w:r>
      <w:r w:rsidR="003D43BB" w:rsidRPr="00F701D1">
        <w:t> </w:t>
      </w:r>
      <w:r w:rsidRPr="00757996">
        <w:t>2)</w:t>
      </w:r>
      <w:r w:rsidR="003D43BB" w:rsidRPr="00F701D1">
        <w:t> </w:t>
      </w:r>
      <w:r w:rsidRPr="00757996">
        <w:t>b) Закона о позитивных действиях (в сфере занятости) (</w:t>
      </w:r>
      <w:bookmarkStart w:id="7" w:name="_Hlk110586882"/>
      <w:r w:rsidRPr="00757996">
        <w:t>№</w:t>
      </w:r>
      <w:bookmarkEnd w:id="7"/>
      <w:r w:rsidRPr="00757996">
        <w:t xml:space="preserve"> 29 от 1998 года);</w:t>
      </w:r>
    </w:p>
    <w:p w14:paraId="2B0F32A8" w14:textId="77777777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трудности, с которыми сталкиваются женщины с инвалидностью в доступе к продовольствию, жилью и медицинским услугам, включая услуги по охране сексуального и репродуктивного здоровья.</w:t>
      </w:r>
    </w:p>
    <w:p w14:paraId="01171CDE" w14:textId="3FB53E92" w:rsidR="00757996" w:rsidRPr="00757996" w:rsidRDefault="00757996" w:rsidP="00757996">
      <w:pPr>
        <w:pStyle w:val="SingleTxt"/>
        <w:rPr>
          <w:b/>
          <w:bCs/>
        </w:rPr>
      </w:pPr>
      <w:r w:rsidRPr="00757996">
        <w:t>48.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№ </w:t>
      </w:r>
      <w:r w:rsidRPr="00153D30">
        <w:rPr>
          <w:b/>
          <w:bCs/>
        </w:rPr>
        <w:t>18 (1991)</w:t>
      </w:r>
      <w:r w:rsidRPr="00757996">
        <w:rPr>
          <w:b/>
          <w:bCs/>
        </w:rPr>
        <w:t xml:space="preserve"> о женщинах-инвалидах, Комитет рекомендует государству-участнику:</w:t>
      </w:r>
    </w:p>
    <w:p w14:paraId="6EBB2F36" w14:textId="3CBEEC42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проводить в полном объеме отраслевую политику по инклюзивному образованию (2013) и обеспечивать поддержку девочек с инвалидностью в школах и доступность школьных зданий, включая санитарно-гигиенические помещения, и учебных материалов;</w:t>
      </w:r>
    </w:p>
    <w:p w14:paraId="1E0F1E29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внести поправки в Органический закон о труде и трудящихся и Закон о позитивных действиях (в сфере занятости) с целью включения в них правозащитной модели инвалидности и содействия доступу женщин с инвалидностью к возможностям трудоустройства и руководящим должностям;</w:t>
      </w:r>
      <w:r w:rsidRPr="00757996">
        <w:t xml:space="preserve"> </w:t>
      </w:r>
    </w:p>
    <w:p w14:paraId="4504CD5B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провести мониторинг распределения так называемого «пособия по инвалидности», социальных выплат и продовольственной помощи, и разработать конкретную политику по расширению возможностей доступного жилья и земельной собственности для женщин с инвалидностью, а также обеспечить разумные приспособления в сфере здравоохранения.</w:t>
      </w:r>
    </w:p>
    <w:p w14:paraId="0A3054AA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6446FA51" w14:textId="037A698F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Женщины, принадлежащие к коренным народам </w:t>
      </w:r>
    </w:p>
    <w:p w14:paraId="7E4FE8AE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11FDE299" w14:textId="7B2CBCB2" w:rsidR="00757996" w:rsidRPr="00757996" w:rsidRDefault="00757996" w:rsidP="00757996">
      <w:pPr>
        <w:pStyle w:val="SingleTxt"/>
      </w:pPr>
      <w:r w:rsidRPr="00757996">
        <w:t>49.</w:t>
      </w:r>
      <w:r w:rsidRPr="00757996">
        <w:tab/>
        <w:t xml:space="preserve">Комитет отмечает, что Министерство земельной реформы предоставляет семена и услуги по вспашке общине народности сан, которая получает помощь в случае засухи в виде продовольствия и финансовой поддержки в целях реализации небольших по масштабам проектов. Тем не менее Комитет обеспокоен сообщениями о том, что женщины и девочки общины сан продолжают демонстрировать низкие показатели в учебе и что они имеют ограниченный доступ к возможностям трудоустройства и медицинским услугам. </w:t>
      </w:r>
    </w:p>
    <w:p w14:paraId="31906B09" w14:textId="77777777" w:rsidR="00153D30" w:rsidRDefault="00153D30">
      <w:pPr>
        <w:spacing w:after="200" w:line="276" w:lineRule="auto"/>
      </w:pPr>
      <w:r>
        <w:br w:type="page"/>
      </w:r>
    </w:p>
    <w:p w14:paraId="51EDCCD5" w14:textId="272E2D66" w:rsidR="00F701D1" w:rsidRPr="00757996" w:rsidRDefault="00757996" w:rsidP="00757996">
      <w:pPr>
        <w:pStyle w:val="SingleTxt"/>
        <w:rPr>
          <w:b/>
          <w:bCs/>
        </w:rPr>
      </w:pPr>
      <w:r w:rsidRPr="00757996">
        <w:lastRenderedPageBreak/>
        <w:t>50.</w:t>
      </w:r>
      <w:r w:rsidRPr="00757996">
        <w:tab/>
      </w:r>
      <w:r w:rsidRPr="00757996">
        <w:rPr>
          <w:b/>
          <w:bCs/>
        </w:rPr>
        <w:t>Комитет рекомендует государству-участнику принять меры для обеспечения того, чтобы женщины и девочки, принадлежащие к коренным народам, включая женщин и девочек общины народности сан, имели адекватный доступ к услугам в области образования, в сфере занятости, к медицинскому обслуживанию и услугам по расширению экономических прав и возможностей, особенно в сельских районах.</w:t>
      </w:r>
      <w:r w:rsidR="00F701D1" w:rsidRPr="00F701D1">
        <w:t xml:space="preserve"> </w:t>
      </w:r>
    </w:p>
    <w:p w14:paraId="059660BF" w14:textId="2AD7FBD2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72D4350E" w14:textId="00B11663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Изменение климата и снижение риска бедствий </w:t>
      </w:r>
    </w:p>
    <w:p w14:paraId="215CD055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52043C3E" w14:textId="750A25E6" w:rsidR="00757996" w:rsidRPr="00757996" w:rsidRDefault="00757996" w:rsidP="00757996">
      <w:pPr>
        <w:pStyle w:val="SingleTxt"/>
      </w:pPr>
      <w:r w:rsidRPr="00757996">
        <w:t>51.</w:t>
      </w:r>
      <w:r w:rsidRPr="00757996">
        <w:tab/>
        <w:t>Комитет испытывает озабоченность по поводу:</w:t>
      </w:r>
    </w:p>
    <w:p w14:paraId="0787EE91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отсутствия информации о мерах, принятых государством-участником для обеспечения того, чтобы политика в области изменения климата и энергетики, и, в частности, политика в области добычи и экспорта нефти и газа, учитывала дифференцированное и непропорциональное воздействие изменения климата и деградации окружающей среды на женщин, особенно на сельских женщин и женщин из числа коренных народов;</w:t>
      </w:r>
    </w:p>
    <w:p w14:paraId="04D7F491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 xml:space="preserve">недостаточных мер, принятых с той целью, чтобы разрешение на разведку и разработку месторождений нефти и газа в регионе </w:t>
      </w:r>
      <w:proofErr w:type="spellStart"/>
      <w:r w:rsidRPr="00757996">
        <w:t>Каванго</w:t>
      </w:r>
      <w:proofErr w:type="spellEnd"/>
      <w:r w:rsidRPr="00757996">
        <w:t xml:space="preserve"> не нарушало права сельских женщин и девочек на доступ к чистой воде, продовольствию и медицинскому обслуживанию.</w:t>
      </w:r>
    </w:p>
    <w:p w14:paraId="6BCE0184" w14:textId="68B5D346" w:rsidR="00757996" w:rsidRPr="00757996" w:rsidRDefault="00757996" w:rsidP="00757996">
      <w:pPr>
        <w:pStyle w:val="SingleTxt"/>
        <w:rPr>
          <w:b/>
        </w:rPr>
      </w:pPr>
      <w:r w:rsidRPr="00757996">
        <w:t>52.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</w:t>
      </w:r>
      <w:bookmarkStart w:id="8" w:name="_Hlk110368010"/>
      <w:r w:rsidRPr="00757996">
        <w:rPr>
          <w:b/>
          <w:bCs/>
        </w:rPr>
        <w:t>№</w:t>
      </w:r>
      <w:bookmarkEnd w:id="8"/>
      <w:r w:rsidRPr="00757996">
        <w:rPr>
          <w:b/>
          <w:bCs/>
        </w:rPr>
        <w:t xml:space="preserve"> </w:t>
      </w:r>
      <w:r w:rsidRPr="00153D30">
        <w:rPr>
          <w:b/>
          <w:bCs/>
        </w:rPr>
        <w:t>37 (2018)</w:t>
      </w:r>
      <w:r w:rsidRPr="00757996">
        <w:rPr>
          <w:b/>
          <w:bCs/>
        </w:rPr>
        <w:t xml:space="preserve"> о гендерных аспектах снижения риска бедствий в контексте изменения климата, Комитет рекомендует государству-участнику:</w:t>
      </w:r>
      <w:r w:rsidRPr="00757996">
        <w:t xml:space="preserve"> </w:t>
      </w:r>
    </w:p>
    <w:p w14:paraId="591D108D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провести оценку воздействия на окружающую среду и права человека в связи с деятельностью по разведке нефти и газа в государстве-участнике, в частности ее воздействия на положение женщин и девочек, принять соответствующие меры по смягчению последствий и защите, а также обеспечить значимое участие женщин в соответствующих консультациях и процессах принятия решений;</w:t>
      </w:r>
    </w:p>
    <w:p w14:paraId="4B10C4C4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</w:r>
      <w:r w:rsidRPr="00757996">
        <w:rPr>
          <w:b/>
          <w:bCs/>
        </w:rPr>
        <w:t xml:space="preserve">обеспечить, чтобы любые решения по эксплуатации нефти и газа в регионе </w:t>
      </w:r>
      <w:proofErr w:type="spellStart"/>
      <w:r w:rsidRPr="00757996">
        <w:rPr>
          <w:b/>
          <w:bCs/>
        </w:rPr>
        <w:t>Каванго</w:t>
      </w:r>
      <w:proofErr w:type="spellEnd"/>
      <w:r w:rsidRPr="00757996">
        <w:rPr>
          <w:b/>
          <w:bCs/>
        </w:rPr>
        <w:t xml:space="preserve"> принимались с полного, предварительного и информированного согласия местных общин, включая женщин и девочек.</w:t>
      </w:r>
      <w:r w:rsidRPr="00757996">
        <w:t xml:space="preserve"> </w:t>
      </w:r>
    </w:p>
    <w:p w14:paraId="7A8E7C7D" w14:textId="77777777" w:rsidR="003D43BB" w:rsidRPr="00F701D1" w:rsidRDefault="003D43BB" w:rsidP="003D43BB">
      <w:pPr>
        <w:pStyle w:val="SingleTxt"/>
        <w:spacing w:after="0" w:line="120" w:lineRule="exact"/>
        <w:rPr>
          <w:b/>
          <w:sz w:val="10"/>
        </w:rPr>
      </w:pPr>
    </w:p>
    <w:p w14:paraId="5D598159" w14:textId="474AC896" w:rsidR="00757996" w:rsidRPr="00F701D1" w:rsidRDefault="00757996" w:rsidP="003D43B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Брак и семейные отношения</w:t>
      </w:r>
    </w:p>
    <w:p w14:paraId="1DA090B9" w14:textId="77777777" w:rsidR="003D43BB" w:rsidRPr="00F701D1" w:rsidRDefault="003D43BB" w:rsidP="003D43BB">
      <w:pPr>
        <w:pStyle w:val="SingleTxt"/>
        <w:spacing w:after="0" w:line="120" w:lineRule="exact"/>
        <w:rPr>
          <w:sz w:val="10"/>
        </w:rPr>
      </w:pPr>
    </w:p>
    <w:p w14:paraId="4DC40D9F" w14:textId="1AFE0207" w:rsidR="00757996" w:rsidRPr="00757996" w:rsidRDefault="00757996" w:rsidP="00757996">
      <w:pPr>
        <w:pStyle w:val="SingleTxt"/>
      </w:pPr>
      <w:r w:rsidRPr="00757996">
        <w:t>53.</w:t>
      </w:r>
      <w:r w:rsidRPr="00757996">
        <w:tab/>
        <w:t xml:space="preserve">Комитет отмечает, что вдовы могут наследовать общинные земли от своих умерших мужей в соответствии со статьей 26 Закона о реформе общинных земель (№ 5 от 2002 года). </w:t>
      </w:r>
      <w:proofErr w:type="spellStart"/>
      <w:r w:rsidRPr="00757996">
        <w:t>Ткм</w:t>
      </w:r>
      <w:proofErr w:type="spellEnd"/>
      <w:r w:rsidRPr="00757996">
        <w:t xml:space="preserve"> не менее он с озабоченностью отмечает: </w:t>
      </w:r>
    </w:p>
    <w:p w14:paraId="754B61E1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  <w:t>задержки с принятием законопроекта о браке, законопроекта о разводе, законопроекта о единообразной собственности супругов и законопроекта о внесении поправок о выплате алиментов;</w:t>
      </w:r>
    </w:p>
    <w:p w14:paraId="67F6DBC3" w14:textId="77777777" w:rsidR="00757996" w:rsidRPr="00757996" w:rsidRDefault="00757996" w:rsidP="00757996">
      <w:pPr>
        <w:pStyle w:val="SingleTxt"/>
      </w:pPr>
      <w:r w:rsidRPr="00757996">
        <w:tab/>
        <w:t>b)</w:t>
      </w:r>
      <w:r w:rsidRPr="00757996">
        <w:tab/>
        <w:t>отсутствие указания минимального возраста вступления в брак для союзов по обычному праву, положения о том, что детский брак является уголовно наказуемым только для девочек младше 16 лет, и положения о том, что термин «совершеннолетие» в статье 14(1) Конституции не имеет четкого определения;</w:t>
      </w:r>
    </w:p>
    <w:p w14:paraId="0459BEC1" w14:textId="70A469EF" w:rsidR="00757996" w:rsidRPr="00757996" w:rsidRDefault="00757996" w:rsidP="00757996">
      <w:pPr>
        <w:pStyle w:val="SingleTxt"/>
      </w:pPr>
      <w:r w:rsidRPr="00757996">
        <w:tab/>
        <w:t>c)</w:t>
      </w:r>
      <w:r w:rsidRPr="00757996">
        <w:tab/>
        <w:t>заявление государства-участника о том, что оно «не намерено упразднять полигамию» и что оно «не считает ее вредной практикой» (</w:t>
      </w:r>
      <w:hyperlink r:id="rId46" w:history="1">
        <w:r w:rsidRPr="00757996">
          <w:rPr>
            <w:rStyle w:val="Hyperlink"/>
          </w:rPr>
          <w:t>CEDAW/C/NAM/RQ/6</w:t>
        </w:r>
      </w:hyperlink>
      <w:r w:rsidRPr="00757996">
        <w:t xml:space="preserve">, пункт 26); </w:t>
      </w:r>
    </w:p>
    <w:p w14:paraId="4CE54DA1" w14:textId="77777777" w:rsidR="00153D30" w:rsidRDefault="00153D30">
      <w:pPr>
        <w:spacing w:after="200" w:line="276" w:lineRule="auto"/>
      </w:pPr>
      <w:r>
        <w:br w:type="page"/>
      </w:r>
    </w:p>
    <w:p w14:paraId="01F7AFB5" w14:textId="22771174" w:rsidR="00757996" w:rsidRPr="00757996" w:rsidRDefault="00757996" w:rsidP="00757996">
      <w:pPr>
        <w:pStyle w:val="SingleTxt"/>
      </w:pPr>
      <w:r w:rsidRPr="00757996">
        <w:lastRenderedPageBreak/>
        <w:tab/>
        <w:t>d)</w:t>
      </w:r>
      <w:r w:rsidRPr="00757996">
        <w:tab/>
        <w:t xml:space="preserve">сообщения о сохраняющейся практике лишения вдовы имущества, которое она делила с мужем, и отсутствие информации о мерах, принятых для обеспечения того, чтобы женщины не лишались имущества после расторжения их брака или союза. </w:t>
      </w:r>
    </w:p>
    <w:p w14:paraId="161C7212" w14:textId="6668EEEE" w:rsidR="00757996" w:rsidRPr="00757996" w:rsidRDefault="00757996" w:rsidP="00757996">
      <w:pPr>
        <w:pStyle w:val="SingleTxt"/>
      </w:pPr>
      <w:r w:rsidRPr="00757996">
        <w:t>54.</w:t>
      </w:r>
      <w:r w:rsidRPr="00757996">
        <w:tab/>
      </w:r>
      <w:r w:rsidRPr="00757996">
        <w:rPr>
          <w:b/>
          <w:bCs/>
        </w:rPr>
        <w:t xml:space="preserve">Ссылаясь на свою общую рекомендацию № </w:t>
      </w:r>
      <w:r w:rsidRPr="00153D30">
        <w:rPr>
          <w:b/>
          <w:bCs/>
        </w:rPr>
        <w:t>21 (1994)</w:t>
      </w:r>
      <w:r w:rsidRPr="00757996">
        <w:rPr>
          <w:b/>
          <w:bCs/>
        </w:rPr>
        <w:t xml:space="preserve"> о равенстве в браке и семейных отношениях и свою общую рекомендацию № </w:t>
      </w:r>
      <w:r w:rsidRPr="00153D30">
        <w:rPr>
          <w:b/>
          <w:bCs/>
        </w:rPr>
        <w:t>29 (2013)</w:t>
      </w:r>
      <w:r w:rsidRPr="00757996">
        <w:rPr>
          <w:b/>
          <w:bCs/>
        </w:rPr>
        <w:t xml:space="preserve"> об экономических последствиях брака, семейных отношений и их расторжения, Комитет рекомендует государству-участнику:</w:t>
      </w:r>
    </w:p>
    <w:p w14:paraId="5C50E2AC" w14:textId="77777777" w:rsidR="00757996" w:rsidRPr="00757996" w:rsidRDefault="00757996" w:rsidP="00757996">
      <w:pPr>
        <w:pStyle w:val="SingleTxt"/>
      </w:pPr>
      <w:r w:rsidRPr="00757996">
        <w:tab/>
        <w:t>a)</w:t>
      </w:r>
      <w:r w:rsidRPr="00757996">
        <w:tab/>
      </w:r>
      <w:r w:rsidRPr="00757996">
        <w:rPr>
          <w:b/>
          <w:bCs/>
        </w:rPr>
        <w:t>ускорить принятие рассматриваемых законопроектов для обеспечения гендерного равенства в браке и семейных отношениях;</w:t>
      </w:r>
    </w:p>
    <w:p w14:paraId="2614D1ED" w14:textId="62A31486" w:rsidR="00757996" w:rsidRPr="00757996" w:rsidRDefault="00757996" w:rsidP="00757996">
      <w:pPr>
        <w:pStyle w:val="SingleTxt"/>
        <w:rPr>
          <w:b/>
        </w:rPr>
      </w:pPr>
      <w:r w:rsidRPr="00757996">
        <w:tab/>
        <w:t>b)</w:t>
      </w:r>
      <w:r w:rsidRPr="00757996">
        <w:tab/>
      </w:r>
      <w:r w:rsidRPr="00757996">
        <w:rPr>
          <w:b/>
          <w:bCs/>
        </w:rPr>
        <w:t>внести поправки в Закон об уходе за детьми и их защите (№</w:t>
      </w:r>
      <w:r w:rsidR="00F701D1" w:rsidRPr="00F701D1">
        <w:rPr>
          <w:b/>
          <w:bCs/>
        </w:rPr>
        <w:t xml:space="preserve"> </w:t>
      </w:r>
      <w:r w:rsidR="00F701D1" w:rsidRPr="00757996">
        <w:rPr>
          <w:b/>
          <w:bCs/>
        </w:rPr>
        <w:t>3</w:t>
      </w:r>
      <w:r w:rsidRPr="00757996">
        <w:rPr>
          <w:b/>
          <w:bCs/>
        </w:rPr>
        <w:t xml:space="preserve"> от 2015 года) и Закон о браке (№ 25 от 1961 года), чтобы устранить все исключения из минимального брачного возраста в 18 лет для женщин и мужчин, уточнить значение термина «совершеннолетие» в статье 14</w:t>
      </w:r>
      <w:r w:rsidR="00153D30">
        <w:rPr>
          <w:b/>
          <w:bCs/>
        </w:rPr>
        <w:t> </w:t>
      </w:r>
      <w:r w:rsidRPr="00757996">
        <w:rPr>
          <w:b/>
          <w:bCs/>
        </w:rPr>
        <w:t>(1) Конституции, обеспечить, чтобы минимальный брачный возраст в 18 лет применялся ко всем бракам и союзам в государстве-участнике, и поддерживать девушек, состоящих в браке, путем создания механизмов для расширения их доступа к образованию и профессиональной подготовке, а также путем предоставления информации о сексуальном и репродуктивном здоровье и правах;</w:t>
      </w:r>
    </w:p>
    <w:p w14:paraId="07C64B17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c)</w:t>
      </w:r>
      <w:r w:rsidRPr="00757996">
        <w:tab/>
      </w:r>
      <w:r w:rsidRPr="00757996">
        <w:rPr>
          <w:b/>
          <w:bCs/>
        </w:rPr>
        <w:t>поощрять открытые и инклюзивные общественные дискуссии для борьбы с оправданием дискриминационной практики во имя культуры и выработки консенсуса в отношении воздействия вредных видов практики, таких как полигамия и детские браки, а также продолжать работу по пересмотру обычного законодательства совместно с традиционными властями и другими заинтересованными сторонами для обеспечения его соответствия Конвенции;</w:t>
      </w:r>
      <w:r w:rsidRPr="00757996">
        <w:t xml:space="preserve"> </w:t>
      </w:r>
    </w:p>
    <w:p w14:paraId="5D3B6A99" w14:textId="77777777" w:rsidR="00757996" w:rsidRPr="00757996" w:rsidRDefault="00757996" w:rsidP="00757996">
      <w:pPr>
        <w:pStyle w:val="SingleTxt"/>
        <w:rPr>
          <w:b/>
          <w:bCs/>
        </w:rPr>
      </w:pPr>
      <w:r w:rsidRPr="00757996">
        <w:tab/>
        <w:t>d)</w:t>
      </w:r>
      <w:r w:rsidRPr="00757996">
        <w:tab/>
      </w:r>
      <w:r w:rsidRPr="00757996">
        <w:rPr>
          <w:b/>
          <w:bCs/>
        </w:rPr>
        <w:t>информировать женщин об их экономических и имущественных правах и предоставлять юридическую помощь женщинам в отстаивании этих прав при расторжении их брака или союза.</w:t>
      </w:r>
    </w:p>
    <w:p w14:paraId="487BC09C" w14:textId="77777777" w:rsidR="00F701D1" w:rsidRPr="00F701D1" w:rsidRDefault="00F701D1" w:rsidP="00F701D1">
      <w:pPr>
        <w:pStyle w:val="SingleTxt"/>
        <w:spacing w:after="0" w:line="120" w:lineRule="exact"/>
        <w:rPr>
          <w:b/>
          <w:sz w:val="10"/>
        </w:rPr>
      </w:pPr>
    </w:p>
    <w:p w14:paraId="4B756718" w14:textId="515F1A2B" w:rsidR="00757996" w:rsidRPr="00F701D1" w:rsidRDefault="00757996" w:rsidP="00F701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Сбор и анализ данных </w:t>
      </w:r>
    </w:p>
    <w:p w14:paraId="5DE6443A" w14:textId="77777777" w:rsidR="00F701D1" w:rsidRPr="00F701D1" w:rsidRDefault="00F701D1" w:rsidP="00F701D1">
      <w:pPr>
        <w:pStyle w:val="SingleTxt"/>
        <w:spacing w:after="0" w:line="120" w:lineRule="exact"/>
        <w:rPr>
          <w:sz w:val="10"/>
        </w:rPr>
      </w:pPr>
    </w:p>
    <w:p w14:paraId="7200D2B1" w14:textId="4E98FB1C" w:rsidR="00757996" w:rsidRPr="00757996" w:rsidRDefault="00757996" w:rsidP="00757996">
      <w:pPr>
        <w:pStyle w:val="SingleTxt"/>
      </w:pPr>
      <w:r w:rsidRPr="00757996">
        <w:t>55.</w:t>
      </w:r>
      <w:r w:rsidRPr="00757996">
        <w:tab/>
        <w:t xml:space="preserve">Комитет озабочен тем, что дезагрегированные данные имеются в некоторых, но не во всех областях, имеющих отношение к осуществлению прав женщин, в частности они отсутствуют в отношении вредных видов практики, гендерного насилия в отношении женщин, торговли людьми, проституции, сексуальных домогательств на рабочем месте и государственной помощи, предоставляемой женщинам. </w:t>
      </w:r>
    </w:p>
    <w:p w14:paraId="107519CB" w14:textId="77777777" w:rsidR="00F701D1" w:rsidRPr="00757996" w:rsidRDefault="00757996" w:rsidP="00757996">
      <w:pPr>
        <w:pStyle w:val="SingleTxt"/>
        <w:rPr>
          <w:b/>
          <w:bCs/>
        </w:rPr>
      </w:pPr>
      <w:r w:rsidRPr="00757996">
        <w:t>56.</w:t>
      </w:r>
      <w:r w:rsidRPr="00757996">
        <w:tab/>
      </w:r>
      <w:r w:rsidRPr="00757996">
        <w:rPr>
          <w:b/>
          <w:bCs/>
        </w:rPr>
        <w:t>Комитет рекомендует государству-участнику активизировать усилия по совершенствованию систематического сбора, распространения и анализа данных, касающихся прав женщин, с разбивкой по полу, возрасту, этнической принадлежности, религии, географическому положению, инвалидности и социально-экономическим условиям, во всех сферах.</w:t>
      </w:r>
      <w:r w:rsidR="00F701D1" w:rsidRPr="00F701D1">
        <w:t xml:space="preserve"> </w:t>
      </w:r>
    </w:p>
    <w:p w14:paraId="1B3BF9C9" w14:textId="776B3FFC" w:rsidR="00F701D1" w:rsidRPr="00F701D1" w:rsidRDefault="00F701D1" w:rsidP="00F701D1">
      <w:pPr>
        <w:pStyle w:val="SingleTxt"/>
        <w:spacing w:after="0" w:line="120" w:lineRule="exact"/>
        <w:rPr>
          <w:b/>
          <w:sz w:val="10"/>
        </w:rPr>
      </w:pPr>
    </w:p>
    <w:p w14:paraId="1EE41B15" w14:textId="65D443DA" w:rsidR="00757996" w:rsidRPr="00F701D1" w:rsidRDefault="00757996" w:rsidP="00F701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Поправка к статье 20 (1) Конвенции </w:t>
      </w:r>
    </w:p>
    <w:p w14:paraId="44302B89" w14:textId="77777777" w:rsidR="00F701D1" w:rsidRPr="00F701D1" w:rsidRDefault="00F701D1" w:rsidP="00F701D1">
      <w:pPr>
        <w:pStyle w:val="SingleTxt"/>
        <w:spacing w:after="0" w:line="120" w:lineRule="exact"/>
        <w:rPr>
          <w:sz w:val="10"/>
        </w:rPr>
      </w:pPr>
    </w:p>
    <w:p w14:paraId="2FEFB9DD" w14:textId="66EA4399" w:rsidR="00757996" w:rsidRPr="00757996" w:rsidRDefault="00757996" w:rsidP="00757996">
      <w:pPr>
        <w:pStyle w:val="SingleTxt"/>
        <w:rPr>
          <w:b/>
          <w:bCs/>
        </w:rPr>
      </w:pPr>
      <w:r w:rsidRPr="00757996">
        <w:t>57.</w:t>
      </w:r>
      <w:r w:rsidRPr="00757996">
        <w:tab/>
      </w:r>
      <w:r w:rsidRPr="00757996">
        <w:rPr>
          <w:b/>
          <w:bCs/>
        </w:rPr>
        <w:t>Комитет призывает государство-участник как можно скорее принять поправку к статье 20 (1) Конвенции, касающуюся времени проведения заседаний Комитета.</w:t>
      </w:r>
    </w:p>
    <w:p w14:paraId="16C88E8A" w14:textId="77777777" w:rsidR="00F701D1" w:rsidRPr="00F701D1" w:rsidRDefault="00F701D1" w:rsidP="00F701D1">
      <w:pPr>
        <w:pStyle w:val="SingleTxt"/>
        <w:spacing w:after="0" w:line="120" w:lineRule="exact"/>
        <w:rPr>
          <w:b/>
          <w:sz w:val="10"/>
        </w:rPr>
      </w:pPr>
    </w:p>
    <w:p w14:paraId="1F4DB211" w14:textId="77777777" w:rsidR="00153D30" w:rsidRDefault="00153D30">
      <w:pPr>
        <w:spacing w:after="200" w:line="276" w:lineRule="auto"/>
        <w:rPr>
          <w:b/>
          <w:spacing w:val="2"/>
        </w:rPr>
      </w:pPr>
      <w:r>
        <w:br w:type="page"/>
      </w:r>
    </w:p>
    <w:p w14:paraId="1ABA26D5" w14:textId="25574062" w:rsidR="00757996" w:rsidRPr="00F701D1" w:rsidRDefault="00757996" w:rsidP="00F701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lastRenderedPageBreak/>
        <w:tab/>
      </w:r>
      <w:r w:rsidRPr="00F701D1">
        <w:tab/>
        <w:t xml:space="preserve">Пекинская декларация и Платформа действий </w:t>
      </w:r>
    </w:p>
    <w:p w14:paraId="534DD271" w14:textId="77777777" w:rsidR="00F701D1" w:rsidRPr="00F701D1" w:rsidRDefault="00F701D1" w:rsidP="00F701D1">
      <w:pPr>
        <w:pStyle w:val="SingleTxt"/>
        <w:spacing w:after="0" w:line="120" w:lineRule="exact"/>
        <w:rPr>
          <w:sz w:val="10"/>
        </w:rPr>
      </w:pPr>
    </w:p>
    <w:p w14:paraId="72708128" w14:textId="27110732" w:rsidR="00757996" w:rsidRPr="00757996" w:rsidRDefault="00757996" w:rsidP="00757996">
      <w:pPr>
        <w:pStyle w:val="SingleTxt"/>
      </w:pPr>
      <w:r w:rsidRPr="00757996">
        <w:t>58.</w:t>
      </w:r>
      <w:r w:rsidRPr="00757996">
        <w:tab/>
      </w:r>
      <w:r w:rsidRPr="00757996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дальнейшую оценку реализации прав, закрепленных в Конвенции, в контексте 25</w:t>
      </w:r>
      <w:r w:rsidRPr="00757996">
        <w:t>–</w:t>
      </w:r>
      <w:r w:rsidRPr="00757996">
        <w:rPr>
          <w:b/>
          <w:bCs/>
        </w:rPr>
        <w:t>летнего обзора осуществления Декларации и Платформы в целях достижения реального равенства между женщинами и мужчинами.</w:t>
      </w:r>
    </w:p>
    <w:p w14:paraId="6E891BD2" w14:textId="77777777" w:rsidR="00F701D1" w:rsidRPr="00F701D1" w:rsidRDefault="00F701D1" w:rsidP="00F701D1">
      <w:pPr>
        <w:pStyle w:val="SingleTxt"/>
        <w:spacing w:after="0" w:line="120" w:lineRule="exact"/>
        <w:rPr>
          <w:b/>
          <w:sz w:val="10"/>
        </w:rPr>
      </w:pPr>
    </w:p>
    <w:p w14:paraId="6117DC2E" w14:textId="3A94F67A" w:rsidR="00757996" w:rsidRPr="00F701D1" w:rsidRDefault="00757996" w:rsidP="00F701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Распространение информации </w:t>
      </w:r>
    </w:p>
    <w:p w14:paraId="39061D0B" w14:textId="77777777" w:rsidR="00F701D1" w:rsidRPr="00F701D1" w:rsidRDefault="00F701D1" w:rsidP="00F701D1">
      <w:pPr>
        <w:pStyle w:val="SingleTxt"/>
        <w:spacing w:after="0" w:line="120" w:lineRule="exact"/>
        <w:rPr>
          <w:sz w:val="10"/>
        </w:rPr>
      </w:pPr>
    </w:p>
    <w:p w14:paraId="6B66CC44" w14:textId="1CFD35D0" w:rsidR="00757996" w:rsidRPr="00757996" w:rsidRDefault="00757996" w:rsidP="00757996">
      <w:pPr>
        <w:pStyle w:val="SingleTxt"/>
      </w:pPr>
      <w:r w:rsidRPr="00757996">
        <w:t>59.</w:t>
      </w:r>
      <w:r w:rsidRPr="00757996">
        <w:tab/>
      </w:r>
      <w:r w:rsidRPr="00757996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(официальных языках) государства-участника среди соответствующих государственных учреждений на всех уровнях (национальном, региональном, местном), в частности в правительстве, парламенте и судебных органах, в целях обеспечения их полного выполнения.</w:t>
      </w:r>
      <w:r w:rsidRPr="00757996">
        <w:t xml:space="preserve"> </w:t>
      </w:r>
    </w:p>
    <w:p w14:paraId="61B73AB2" w14:textId="28608202" w:rsidR="00757996" w:rsidRPr="00F701D1" w:rsidRDefault="00757996" w:rsidP="00F701D1">
      <w:pPr>
        <w:pStyle w:val="SingleTxt"/>
        <w:spacing w:after="0" w:line="120" w:lineRule="exact"/>
        <w:rPr>
          <w:b/>
          <w:sz w:val="10"/>
        </w:rPr>
      </w:pPr>
    </w:p>
    <w:p w14:paraId="4D53B161" w14:textId="1C7A04B2" w:rsidR="00757996" w:rsidRPr="00F701D1" w:rsidRDefault="00F701D1" w:rsidP="00F701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</w:r>
      <w:r w:rsidR="00757996" w:rsidRPr="00F701D1">
        <w:t>Ратификация других договоров</w:t>
      </w:r>
    </w:p>
    <w:p w14:paraId="4098C5B3" w14:textId="77777777" w:rsidR="00F701D1" w:rsidRPr="00F701D1" w:rsidRDefault="00F701D1" w:rsidP="00F701D1">
      <w:pPr>
        <w:pStyle w:val="SingleTxt"/>
        <w:spacing w:after="0" w:line="120" w:lineRule="exact"/>
        <w:rPr>
          <w:sz w:val="10"/>
        </w:rPr>
      </w:pPr>
    </w:p>
    <w:p w14:paraId="1EC8B39A" w14:textId="1012E99C" w:rsidR="00757996" w:rsidRPr="00757996" w:rsidRDefault="00757996" w:rsidP="00757996">
      <w:pPr>
        <w:pStyle w:val="SingleTxt"/>
      </w:pPr>
      <w:r w:rsidRPr="00757996">
        <w:t>60.</w:t>
      </w:r>
      <w:r w:rsidRPr="00757996">
        <w:tab/>
      </w:r>
      <w:r w:rsidRPr="00757996">
        <w:rPr>
          <w:b/>
          <w:bCs/>
        </w:rPr>
        <w:t xml:space="preserve">Комитет отмечает, что присоединение государства-участника к </w:t>
      </w:r>
      <w:proofErr w:type="gramStart"/>
      <w:r w:rsidRPr="00757996">
        <w:rPr>
          <w:b/>
          <w:bCs/>
        </w:rPr>
        <w:t>девяти основным</w:t>
      </w:r>
      <w:proofErr w:type="gramEnd"/>
      <w:r w:rsidRPr="00757996">
        <w:rPr>
          <w:b/>
          <w:bCs/>
        </w:rPr>
        <w:t xml:space="preserve"> международным документам по правам человека</w:t>
      </w:r>
      <w:r w:rsidRPr="00F701D1">
        <w:rPr>
          <w:rStyle w:val="FootnoteReference"/>
          <w:bCs/>
        </w:rPr>
        <w:footnoteReference w:id="2"/>
      </w:r>
      <w:r w:rsidRPr="00757996">
        <w:rPr>
          <w:b/>
          <w:bCs/>
        </w:rPr>
        <w:t xml:space="preserve"> будет способствовать более полному осуществлению женщинами их прав человека и основных свобод во всех сферах жизни. Поэтому Комитет призывает государство-участник ратифицировать Международную конвенцию для защиты всех лиц от насильственных исчезновений, Международную конвенцию о защите прав всех трудящихся-мигрантов и членов их семей, Факультативный протокол к Конвенции против пыток, Факультативный протокол к Международному пакту об экономических, социальных и культурных правах и Факультативный протокол к Конвенции о правах ребенка, касающийся процедуры сообщений, участником которых оно еще не является.</w:t>
      </w:r>
      <w:r w:rsidRPr="00757996">
        <w:t xml:space="preserve"> </w:t>
      </w:r>
    </w:p>
    <w:p w14:paraId="56DB425B" w14:textId="77777777" w:rsidR="00F701D1" w:rsidRPr="00F701D1" w:rsidRDefault="00F701D1" w:rsidP="00F701D1">
      <w:pPr>
        <w:pStyle w:val="SingleTxt"/>
        <w:spacing w:after="0" w:line="120" w:lineRule="exact"/>
        <w:rPr>
          <w:b/>
          <w:sz w:val="10"/>
        </w:rPr>
      </w:pPr>
    </w:p>
    <w:p w14:paraId="149EDADD" w14:textId="3FE532D1" w:rsidR="00757996" w:rsidRPr="00F701D1" w:rsidRDefault="00757996" w:rsidP="00F701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>Последующие меры по выполнению заключительных замечаний</w:t>
      </w:r>
    </w:p>
    <w:p w14:paraId="365B7615" w14:textId="77777777" w:rsidR="00F701D1" w:rsidRPr="00F701D1" w:rsidRDefault="00F701D1" w:rsidP="00F701D1">
      <w:pPr>
        <w:pStyle w:val="SingleTxt"/>
        <w:spacing w:after="0" w:line="120" w:lineRule="exact"/>
        <w:rPr>
          <w:sz w:val="10"/>
        </w:rPr>
      </w:pPr>
    </w:p>
    <w:p w14:paraId="2D3F0171" w14:textId="0EAD4B26" w:rsidR="00757996" w:rsidRPr="00757996" w:rsidRDefault="00757996" w:rsidP="00757996">
      <w:pPr>
        <w:pStyle w:val="SingleTxt"/>
      </w:pPr>
      <w:r w:rsidRPr="00757996">
        <w:t>61.</w:t>
      </w:r>
      <w:r w:rsidRPr="00757996">
        <w:tab/>
      </w:r>
      <w:r w:rsidRPr="00757996">
        <w:rPr>
          <w:b/>
          <w:bCs/>
        </w:rPr>
        <w:t>Комитет сожалеет, что государство-участник не представило информацию о мерах, принятых для выполнения конкретных рекомендаций, определенных для немедленного принятия мер в его самых последних заключительных замечаниях, и просит государство-участник представить в течение двух лет письменную информацию о мерах, принятых для выполнения рекомендаций, содержащихся в указанных выше пунктах 12 b), 16</w:t>
      </w:r>
      <w:r w:rsidR="00F701D1" w:rsidRPr="00F701D1">
        <w:rPr>
          <w:b/>
          <w:bCs/>
        </w:rPr>
        <w:t> </w:t>
      </w:r>
      <w:r w:rsidRPr="00757996">
        <w:rPr>
          <w:b/>
          <w:bCs/>
        </w:rPr>
        <w:t>a), 28 d) и 54 b).</w:t>
      </w:r>
    </w:p>
    <w:p w14:paraId="15C34062" w14:textId="77777777" w:rsidR="00F701D1" w:rsidRPr="00F701D1" w:rsidRDefault="00F701D1" w:rsidP="00F701D1">
      <w:pPr>
        <w:pStyle w:val="SingleTxt"/>
        <w:spacing w:after="0" w:line="120" w:lineRule="exact"/>
        <w:rPr>
          <w:b/>
          <w:sz w:val="10"/>
        </w:rPr>
      </w:pPr>
    </w:p>
    <w:p w14:paraId="65270585" w14:textId="29289AB1" w:rsidR="00757996" w:rsidRPr="00F701D1" w:rsidRDefault="00757996" w:rsidP="00F701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1D1">
        <w:tab/>
      </w:r>
      <w:r w:rsidRPr="00F701D1">
        <w:tab/>
        <w:t xml:space="preserve">Подготовка следующего доклада </w:t>
      </w:r>
    </w:p>
    <w:p w14:paraId="0580970E" w14:textId="77777777" w:rsidR="00F701D1" w:rsidRPr="00F701D1" w:rsidRDefault="00F701D1" w:rsidP="00F701D1">
      <w:pPr>
        <w:pStyle w:val="SingleTxt"/>
        <w:spacing w:after="0" w:line="120" w:lineRule="exact"/>
        <w:rPr>
          <w:sz w:val="10"/>
        </w:rPr>
      </w:pPr>
    </w:p>
    <w:p w14:paraId="250BA55F" w14:textId="0E6F77A4" w:rsidR="00757996" w:rsidRPr="00757996" w:rsidRDefault="00757996" w:rsidP="00757996">
      <w:pPr>
        <w:pStyle w:val="SingleTxt"/>
      </w:pPr>
      <w:r w:rsidRPr="00757996">
        <w:t>62.</w:t>
      </w:r>
      <w:r w:rsidRPr="00757996">
        <w:tab/>
      </w:r>
      <w:r w:rsidRPr="00757996">
        <w:rPr>
          <w:b/>
          <w:bCs/>
        </w:rPr>
        <w:t>Комитет предлагает государству-участнику представить свой седьмой периодический доклад, который должен быть препровожден в июле 2026</w:t>
      </w:r>
      <w:r w:rsidR="00F701D1" w:rsidRPr="00F701D1">
        <w:rPr>
          <w:b/>
          <w:bCs/>
        </w:rPr>
        <w:t> </w:t>
      </w:r>
      <w:r w:rsidRPr="00757996">
        <w:rPr>
          <w:b/>
          <w:bCs/>
        </w:rPr>
        <w:t>года.</w:t>
      </w:r>
      <w:r w:rsidRPr="00757996">
        <w:t xml:space="preserve"> </w:t>
      </w:r>
      <w:r w:rsidRPr="00757996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4AD3F01F" w14:textId="6E80DA13" w:rsidR="00757996" w:rsidRPr="00757996" w:rsidRDefault="00757996" w:rsidP="00757996">
      <w:pPr>
        <w:pStyle w:val="SingleTxt"/>
      </w:pPr>
      <w:r w:rsidRPr="00757996">
        <w:lastRenderedPageBreak/>
        <w:t>63.</w:t>
      </w:r>
      <w:r w:rsidRPr="00757996">
        <w:tab/>
      </w:r>
      <w:r w:rsidRPr="00757996">
        <w:rPr>
          <w:b/>
          <w:bCs/>
        </w:rPr>
        <w:t>Комитет просит государство-участник соблюдать согласованные руководящие принципы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47" w:history="1">
        <w:r w:rsidRPr="00757996">
          <w:rPr>
            <w:rStyle w:val="Hyperlink"/>
            <w:b/>
            <w:bCs/>
          </w:rPr>
          <w:t>HRI/GEN/2/Rev.6</w:t>
        </w:r>
      </w:hyperlink>
      <w:r w:rsidRPr="00757996">
        <w:rPr>
          <w:b/>
          <w:bCs/>
        </w:rPr>
        <w:t>, глава I).</w:t>
      </w:r>
    </w:p>
    <w:p w14:paraId="56C2317D" w14:textId="1FBE8361" w:rsidR="005D6A91" w:rsidRPr="00F701D1" w:rsidRDefault="00AA36C3" w:rsidP="00757996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B2ACF" wp14:editId="507B281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12065" t="6985" r="698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32B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" strokecolor="#010000" strokeweight=".25pt"/>
            </w:pict>
          </mc:Fallback>
        </mc:AlternateContent>
      </w:r>
    </w:p>
    <w:sectPr w:rsidR="005D6A91" w:rsidRPr="00F701D1" w:rsidSect="00DF07EA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09-07T13:02:00Z" w:initials="Start">
    <w:p w14:paraId="027B8FD5" w14:textId="77777777" w:rsidR="008E6851" w:rsidRPr="00DF07EA" w:rsidRDefault="008E685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F07EA">
        <w:rPr>
          <w:lang w:val="en-US"/>
        </w:rPr>
        <w:t>&lt;&lt;ODS JOB NO&gt;&gt;N2242071R&lt;&lt;ODS JOB NO&gt;&gt;</w:t>
      </w:r>
    </w:p>
    <w:p w14:paraId="7739670C" w14:textId="77777777" w:rsidR="008E6851" w:rsidRPr="00DF07EA" w:rsidRDefault="008E6851">
      <w:pPr>
        <w:pStyle w:val="CommentText"/>
        <w:rPr>
          <w:lang w:val="en-US"/>
        </w:rPr>
      </w:pPr>
      <w:r w:rsidRPr="00DF07EA">
        <w:rPr>
          <w:lang w:val="en-US"/>
        </w:rPr>
        <w:t>&lt;&lt;ODS DOC SYMBOL1&gt;&gt;</w:t>
      </w:r>
      <w:r>
        <w:t>С</w:t>
      </w:r>
      <w:r w:rsidRPr="00DF07EA">
        <w:rPr>
          <w:lang w:val="en-US"/>
        </w:rPr>
        <w:t>EDAW/C/NAM/CO/6&lt;&lt;ODS DOC SYMBOL1&gt;&gt;</w:t>
      </w:r>
    </w:p>
    <w:p w14:paraId="15DB1F80" w14:textId="7033360F" w:rsidR="008E6851" w:rsidRDefault="008E6851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DB1F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14FC" w16cex:dateUtc="2022-09-07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B1F80" w16cid:durableId="26C314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980" w14:textId="77777777" w:rsidR="00ED1020" w:rsidRDefault="00ED1020" w:rsidP="001824A1">
      <w:pPr>
        <w:spacing w:line="240" w:lineRule="auto"/>
      </w:pPr>
      <w:r>
        <w:separator/>
      </w:r>
    </w:p>
  </w:endnote>
  <w:endnote w:type="continuationSeparator" w:id="0">
    <w:p w14:paraId="1DC31D1C" w14:textId="77777777" w:rsidR="00ED1020" w:rsidRDefault="00ED102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8"/>
      <w:gridCol w:w="5028"/>
    </w:tblGrid>
    <w:tr w:rsidR="008E6851" w14:paraId="48FD03DF" w14:textId="77777777" w:rsidTr="008E6851">
      <w:tc>
        <w:tcPr>
          <w:tcW w:w="5028" w:type="dxa"/>
          <w:shd w:val="clear" w:color="auto" w:fill="auto"/>
          <w:vAlign w:val="bottom"/>
        </w:tcPr>
        <w:p w14:paraId="0B63BD54" w14:textId="164CDE76" w:rsidR="008E6851" w:rsidRPr="008E6851" w:rsidRDefault="008E6851" w:rsidP="008E685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14:paraId="0C62E522" w14:textId="26B52530" w:rsidR="008E6851" w:rsidRPr="008E6851" w:rsidRDefault="008E6851" w:rsidP="008E685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8244C">
            <w:rPr>
              <w:b w:val="0"/>
              <w:color w:val="000000"/>
              <w:sz w:val="14"/>
            </w:rPr>
            <w:t>22-10901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7A827056" w14:textId="77777777" w:rsidR="008E6851" w:rsidRPr="008E6851" w:rsidRDefault="008E6851" w:rsidP="008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8"/>
      <w:gridCol w:w="5028"/>
    </w:tblGrid>
    <w:tr w:rsidR="008E6851" w14:paraId="49309B65" w14:textId="77777777" w:rsidTr="008E6851">
      <w:tc>
        <w:tcPr>
          <w:tcW w:w="5028" w:type="dxa"/>
          <w:shd w:val="clear" w:color="auto" w:fill="auto"/>
          <w:vAlign w:val="bottom"/>
        </w:tcPr>
        <w:p w14:paraId="65674FCD" w14:textId="21ACF998" w:rsidR="008E6851" w:rsidRPr="008E6851" w:rsidRDefault="008E6851" w:rsidP="008E685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8244C">
            <w:rPr>
              <w:b w:val="0"/>
              <w:color w:val="000000"/>
              <w:sz w:val="14"/>
            </w:rPr>
            <w:t>22-10901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476D5A5E" w14:textId="77F769F2" w:rsidR="008E6851" w:rsidRPr="008E6851" w:rsidRDefault="008E6851" w:rsidP="008E685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51E024BD" w14:textId="77777777" w:rsidR="008E6851" w:rsidRPr="008E6851" w:rsidRDefault="008E6851" w:rsidP="008E6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8E6851" w14:paraId="626749C7" w14:textId="77777777" w:rsidTr="008E6851">
      <w:tc>
        <w:tcPr>
          <w:tcW w:w="3830" w:type="dxa"/>
        </w:tcPr>
        <w:p w14:paraId="6EE80BE1" w14:textId="2BE2B194" w:rsidR="008E6851" w:rsidRDefault="008E6851" w:rsidP="008E6851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15E8F2A4" wp14:editId="4C871FBE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22-10901</w:t>
          </w:r>
          <w:r w:rsidR="00F40613">
            <w:t>Х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DF07EA">
            <w:rPr>
              <w:color w:val="010000"/>
              <w:lang w:val="en-US"/>
            </w:rPr>
            <w:t>14</w:t>
          </w:r>
          <w:r>
            <w:rPr>
              <w:color w:val="010000"/>
            </w:rPr>
            <w:t>0</w:t>
          </w:r>
          <w:r w:rsidR="00DF07EA">
            <w:rPr>
              <w:color w:val="010000"/>
              <w:lang w:val="en-US"/>
            </w:rPr>
            <w:t>7</w:t>
          </w:r>
          <w:r>
            <w:rPr>
              <w:color w:val="010000"/>
            </w:rPr>
            <w:t xml:space="preserve">22    </w:t>
          </w:r>
          <w:r w:rsidR="00DF07EA">
            <w:rPr>
              <w:color w:val="010000"/>
              <w:lang w:val="en-US"/>
            </w:rPr>
            <w:t>13</w:t>
          </w:r>
          <w:r>
            <w:rPr>
              <w:color w:val="010000"/>
            </w:rPr>
            <w:t>0922</w:t>
          </w:r>
        </w:p>
        <w:p w14:paraId="32F4B046" w14:textId="571CB13F" w:rsidR="008E6851" w:rsidRPr="008E6851" w:rsidRDefault="008E6851" w:rsidP="008E685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*2210901*</w:t>
          </w:r>
        </w:p>
      </w:tc>
      <w:tc>
        <w:tcPr>
          <w:tcW w:w="5028" w:type="dxa"/>
        </w:tcPr>
        <w:p w14:paraId="701B4D09" w14:textId="645A8D46" w:rsidR="008E6851" w:rsidRDefault="008E6851" w:rsidP="008E685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0EAB0CB" wp14:editId="2DCFC0E6">
                <wp:extent cx="2703582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D49AA2" w14:textId="77777777" w:rsidR="008E6851" w:rsidRPr="008E6851" w:rsidRDefault="008E6851" w:rsidP="008E685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40F8" w14:textId="77777777" w:rsidR="00ED1020" w:rsidRPr="00757996" w:rsidRDefault="00ED1020" w:rsidP="00757996">
      <w:pPr>
        <w:pStyle w:val="Footer"/>
        <w:spacing w:after="80"/>
        <w:ind w:left="792"/>
      </w:pPr>
      <w:r w:rsidRPr="00757996">
        <w:t>__________________</w:t>
      </w:r>
    </w:p>
  </w:footnote>
  <w:footnote w:type="continuationSeparator" w:id="0">
    <w:p w14:paraId="4AD59813" w14:textId="77777777" w:rsidR="00ED1020" w:rsidRPr="00757996" w:rsidRDefault="00ED1020" w:rsidP="00757996">
      <w:pPr>
        <w:pStyle w:val="Footer"/>
        <w:spacing w:after="80"/>
        <w:ind w:left="792"/>
      </w:pPr>
      <w:r w:rsidRPr="00757996">
        <w:t>__________________</w:t>
      </w:r>
    </w:p>
  </w:footnote>
  <w:footnote w:id="1">
    <w:p w14:paraId="2B140D65" w14:textId="2ADE106A" w:rsidR="00321021" w:rsidRDefault="00321021" w:rsidP="007579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="005D6A91" w:rsidRPr="005D6A91">
        <w:t>Приняты Комитетом на его восемьдесят второй сессии (13 июня – 1 июля 2022 года).</w:t>
      </w:r>
    </w:p>
  </w:footnote>
  <w:footnote w:id="2">
    <w:p w14:paraId="7466832C" w14:textId="3713CCCB" w:rsidR="00757996" w:rsidRDefault="00757996" w:rsidP="007579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F525B"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</w:t>
      </w:r>
      <w:r w:rsidRPr="00CF525B">
        <w:rPr>
          <w:rFonts w:eastAsia="Times New Roman"/>
          <w:color w:val="333333"/>
          <w:sz w:val="21"/>
          <w:szCs w:val="21"/>
          <w:shd w:val="clear" w:color="auto" w:fill="FFFFFF"/>
        </w:rPr>
        <w:t xml:space="preserve"> </w:t>
      </w:r>
      <w:r w:rsidRPr="00CF525B">
        <w:t>Конвенция о ликвидации всех форм дискриминации в отношении женщин;</w:t>
      </w:r>
      <w:r>
        <w:t xml:space="preserve"> </w:t>
      </w:r>
      <w:r w:rsidRPr="00CF525B">
        <w:t>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</w:t>
      </w:r>
      <w:r w:rsidRPr="00CF525B">
        <w:rPr>
          <w:rFonts w:eastAsia="Times New Roman"/>
          <w:color w:val="333333"/>
          <w:sz w:val="21"/>
          <w:szCs w:val="21"/>
          <w:shd w:val="clear" w:color="auto" w:fill="FFFFFF"/>
        </w:rPr>
        <w:t xml:space="preserve"> </w:t>
      </w:r>
      <w:r w:rsidRPr="00CF525B">
        <w:t>Международная конвенция для защиты всех лиц от насильственных исчезновений</w:t>
      </w:r>
      <w:r>
        <w:t xml:space="preserve"> и</w:t>
      </w:r>
      <w:r w:rsidRPr="00CF525B">
        <w:t xml:space="preserve"> </w:t>
      </w:r>
      <w:r>
        <w:t>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5028"/>
    </w:tblGrid>
    <w:tr w:rsidR="008E6851" w14:paraId="0DBBAD47" w14:textId="77777777" w:rsidTr="008E6851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5D4D0B96" w14:textId="53DF7DF0" w:rsidR="008E6851" w:rsidRPr="008E6851" w:rsidRDefault="008E6851" w:rsidP="008E685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244C">
            <w:rPr>
              <w:b/>
            </w:rPr>
            <w:t>СEDAW/C/NAM/CO/6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6FC25820" w14:textId="77777777" w:rsidR="008E6851" w:rsidRDefault="008E6851" w:rsidP="008E6851">
          <w:pPr>
            <w:pStyle w:val="Header"/>
          </w:pPr>
        </w:p>
      </w:tc>
    </w:tr>
  </w:tbl>
  <w:p w14:paraId="3CD7D5A8" w14:textId="77777777" w:rsidR="008E6851" w:rsidRPr="008E6851" w:rsidRDefault="008E6851" w:rsidP="008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5028"/>
    </w:tblGrid>
    <w:tr w:rsidR="008E6851" w14:paraId="7BE852A8" w14:textId="77777777" w:rsidTr="008E6851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26D0EAAC" w14:textId="77777777" w:rsidR="008E6851" w:rsidRDefault="008E6851" w:rsidP="008E6851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37C7828E" w14:textId="5A3291F4" w:rsidR="008E6851" w:rsidRPr="008E6851" w:rsidRDefault="008E6851" w:rsidP="008E685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244C">
            <w:rPr>
              <w:b/>
            </w:rPr>
            <w:t>СEDAW/C/NAM/CO/6</w:t>
          </w:r>
          <w:r>
            <w:rPr>
              <w:b/>
            </w:rPr>
            <w:fldChar w:fldCharType="end"/>
          </w:r>
        </w:p>
      </w:tc>
    </w:tr>
  </w:tbl>
  <w:p w14:paraId="14759512" w14:textId="77777777" w:rsidR="008E6851" w:rsidRPr="008E6851" w:rsidRDefault="008E6851" w:rsidP="008E6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8E6851" w14:paraId="00F3D359" w14:textId="77777777" w:rsidTr="008E685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1AB52534" w14:textId="3A670425" w:rsidR="008E6851" w:rsidRPr="008E6851" w:rsidRDefault="008E6851" w:rsidP="008E685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260FD4E" w14:textId="77777777" w:rsidR="008E6851" w:rsidRDefault="008E6851" w:rsidP="008E6851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DE262C4" w14:textId="0EB4A6B0" w:rsidR="008E6851" w:rsidRPr="008E6851" w:rsidRDefault="008E6851" w:rsidP="008E685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СEDAW</w:t>
          </w:r>
          <w:r>
            <w:rPr>
              <w:sz w:val="20"/>
            </w:rPr>
            <w:t>/C/NAM/CO/6</w:t>
          </w:r>
        </w:p>
      </w:tc>
    </w:tr>
    <w:tr w:rsidR="008E6851" w:rsidRPr="00AA36C3" w14:paraId="4B5F63F7" w14:textId="77777777" w:rsidTr="008E6851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4FF9E27" w14:textId="0A56C7BE" w:rsidR="008E6851" w:rsidRPr="008E6851" w:rsidRDefault="008E6851" w:rsidP="008E6851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3E397D1F" wp14:editId="6E1F242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D630712" w14:textId="74B8CE2D" w:rsidR="008E6851" w:rsidRPr="00DF07EA" w:rsidRDefault="00DF07EA" w:rsidP="00DF07EA">
          <w:pPr>
            <w:pStyle w:val="XLarge"/>
            <w:spacing w:before="109"/>
            <w:rPr>
              <w:bCs/>
            </w:rPr>
          </w:pPr>
          <w:r w:rsidRPr="00DF07EA">
            <w:rPr>
              <w:bCs/>
            </w:rPr>
            <w:t>Конвенция о ликвидации всех форм дискриминации в</w:t>
          </w:r>
          <w:r>
            <w:rPr>
              <w:bCs/>
              <w:lang w:val="en-US"/>
            </w:rPr>
            <w:t> </w:t>
          </w:r>
          <w:r w:rsidRPr="00DF07EA">
            <w:rPr>
              <w:bCs/>
            </w:rP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B133F20" w14:textId="77777777" w:rsidR="008E6851" w:rsidRPr="008E6851" w:rsidRDefault="008E6851" w:rsidP="008E6851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EB4A189" w14:textId="77777777" w:rsidR="008E6851" w:rsidRPr="00DF07EA" w:rsidRDefault="008E6851" w:rsidP="008E6851">
          <w:pPr>
            <w:pStyle w:val="Distribution"/>
            <w:rPr>
              <w:color w:val="000000"/>
              <w:lang w:val="en-US"/>
            </w:rPr>
          </w:pPr>
          <w:r w:rsidRPr="00DF07EA">
            <w:rPr>
              <w:color w:val="000000"/>
              <w:lang w:val="en-US"/>
            </w:rPr>
            <w:t>Distr.: General</w:t>
          </w:r>
        </w:p>
        <w:p w14:paraId="5AD38140" w14:textId="228330CF" w:rsidR="008E6851" w:rsidRPr="00DF07EA" w:rsidRDefault="00DF07EA" w:rsidP="008E6851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 xml:space="preserve">12 July </w:t>
          </w:r>
          <w:r w:rsidR="008E6851" w:rsidRPr="00DF07EA">
            <w:rPr>
              <w:color w:val="000000"/>
              <w:lang w:val="en-US"/>
            </w:rPr>
            <w:t>2022</w:t>
          </w:r>
        </w:p>
        <w:p w14:paraId="0A309A57" w14:textId="77777777" w:rsidR="008E6851" w:rsidRPr="00DF07EA" w:rsidRDefault="008E6851" w:rsidP="008E6851">
          <w:pPr>
            <w:rPr>
              <w:color w:val="000000"/>
              <w:lang w:val="en-US"/>
            </w:rPr>
          </w:pPr>
          <w:r w:rsidRPr="00DF07EA">
            <w:rPr>
              <w:color w:val="000000"/>
              <w:lang w:val="en-US"/>
            </w:rPr>
            <w:t>Russian</w:t>
          </w:r>
        </w:p>
        <w:p w14:paraId="72B13F99" w14:textId="77777777" w:rsidR="008E6851" w:rsidRPr="00DF07EA" w:rsidRDefault="008E6851" w:rsidP="008E6851">
          <w:pPr>
            <w:pStyle w:val="Original"/>
            <w:rPr>
              <w:color w:val="000000"/>
              <w:lang w:val="en-US"/>
            </w:rPr>
          </w:pPr>
          <w:r w:rsidRPr="00DF07EA">
            <w:rPr>
              <w:color w:val="000000"/>
              <w:lang w:val="en-US"/>
            </w:rPr>
            <w:t>Original: English</w:t>
          </w:r>
        </w:p>
        <w:p w14:paraId="0C69A158" w14:textId="75A915AB" w:rsidR="008E6851" w:rsidRPr="00DF07EA" w:rsidRDefault="008E6851" w:rsidP="008E6851">
          <w:pPr>
            <w:rPr>
              <w:lang w:val="en-US"/>
            </w:rPr>
          </w:pPr>
        </w:p>
      </w:tc>
    </w:tr>
  </w:tbl>
  <w:p w14:paraId="7441DF02" w14:textId="77777777" w:rsidR="008E6851" w:rsidRPr="00DF07EA" w:rsidRDefault="008E6851" w:rsidP="008E685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7AF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0A3328"/>
    <w:multiLevelType w:val="hybridMultilevel"/>
    <w:tmpl w:val="2932BAE8"/>
    <w:lvl w:ilvl="0" w:tplc="0F465466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0437593B"/>
    <w:multiLevelType w:val="multilevel"/>
    <w:tmpl w:val="C7FE0806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4B41177"/>
    <w:multiLevelType w:val="multilevel"/>
    <w:tmpl w:val="70561472"/>
    <w:lvl w:ilvl="0">
      <w:start w:val="1"/>
      <w:numFmt w:val="bullet"/>
      <w:pStyle w:val="ListNumber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8FB3DC3"/>
    <w:multiLevelType w:val="hybridMultilevel"/>
    <w:tmpl w:val="A1C0C29E"/>
    <w:lvl w:ilvl="0" w:tplc="B160494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0AA332A2"/>
    <w:multiLevelType w:val="hybridMultilevel"/>
    <w:tmpl w:val="F15012B6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275DF"/>
    <w:multiLevelType w:val="hybridMultilevel"/>
    <w:tmpl w:val="2932BAE8"/>
    <w:lvl w:ilvl="0" w:tplc="0F465466">
      <w:start w:val="1"/>
      <w:numFmt w:val="lowerLetter"/>
      <w:pStyle w:val="ListNumber5"/>
      <w:lvlText w:val="%1)"/>
      <w:lvlJc w:val="left"/>
      <w:pPr>
        <w:ind w:left="2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1" w15:restartNumberingAfterBreak="0">
    <w:nsid w:val="0D954887"/>
    <w:multiLevelType w:val="hybridMultilevel"/>
    <w:tmpl w:val="2B362816"/>
    <w:lvl w:ilvl="0" w:tplc="035ACCE6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3294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40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2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44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0F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A7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08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E0A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7F4154"/>
    <w:multiLevelType w:val="multilevel"/>
    <w:tmpl w:val="E5F46286"/>
    <w:lvl w:ilvl="0">
      <w:start w:val="5"/>
      <w:numFmt w:val="decimal"/>
      <w:pStyle w:val="ListNumber4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120EB"/>
    <w:multiLevelType w:val="hybridMultilevel"/>
    <w:tmpl w:val="59D4AE60"/>
    <w:lvl w:ilvl="0" w:tplc="0D4454D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C8442C"/>
    <w:multiLevelType w:val="hybridMultilevel"/>
    <w:tmpl w:val="263E907E"/>
    <w:lvl w:ilvl="0" w:tplc="EDE04A7E">
      <w:start w:val="1"/>
      <w:numFmt w:val="lowerLetter"/>
      <w:lvlText w:val="%1)"/>
      <w:lvlJc w:val="left"/>
      <w:pPr>
        <w:ind w:left="2628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27272C06"/>
    <w:multiLevelType w:val="hybridMultilevel"/>
    <w:tmpl w:val="A03828FE"/>
    <w:lvl w:ilvl="0" w:tplc="8B02556C">
      <w:start w:val="1"/>
      <w:numFmt w:val="lowerLetter"/>
      <w:pStyle w:val="Bullet2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8992832"/>
    <w:multiLevelType w:val="hybridMultilevel"/>
    <w:tmpl w:val="43E8A8D8"/>
    <w:lvl w:ilvl="0" w:tplc="44F01D9C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2A704D20"/>
    <w:multiLevelType w:val="hybridMultilevel"/>
    <w:tmpl w:val="F5AC6B4A"/>
    <w:lvl w:ilvl="0" w:tplc="2F7AAC44">
      <w:start w:val="3"/>
      <w:numFmt w:val="lowerLetter"/>
      <w:lvlText w:val="%1)"/>
      <w:lvlJc w:val="left"/>
      <w:pPr>
        <w:ind w:left="2061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211F"/>
    <w:multiLevelType w:val="hybridMultilevel"/>
    <w:tmpl w:val="69CC3368"/>
    <w:lvl w:ilvl="0" w:tplc="966E6D3E">
      <w:start w:val="1"/>
      <w:numFmt w:val="lowerLetter"/>
      <w:lvlText w:val="%1)"/>
      <w:lvlJc w:val="left"/>
      <w:pPr>
        <w:ind w:left="2061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2285FBE"/>
    <w:multiLevelType w:val="hybridMultilevel"/>
    <w:tmpl w:val="5DB42828"/>
    <w:lvl w:ilvl="0" w:tplc="5E066D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ACF4EB2"/>
    <w:multiLevelType w:val="hybridMultilevel"/>
    <w:tmpl w:val="CB6C816A"/>
    <w:lvl w:ilvl="0" w:tplc="9AA4189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D374AD0E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764A78E6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5A636B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01AB670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63AC3C8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1B0A3EA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CA026BFA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B46E7C5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BD053D4"/>
    <w:multiLevelType w:val="hybridMultilevel"/>
    <w:tmpl w:val="D518B7F0"/>
    <w:lvl w:ilvl="0" w:tplc="966E6D3E">
      <w:start w:val="1"/>
      <w:numFmt w:val="lowerLetter"/>
      <w:lvlText w:val="%1)"/>
      <w:lvlJc w:val="left"/>
      <w:pPr>
        <w:ind w:left="2061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3C327C21"/>
    <w:multiLevelType w:val="hybridMultilevel"/>
    <w:tmpl w:val="285CDFE0"/>
    <w:lvl w:ilvl="0" w:tplc="DA8A5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3765C"/>
    <w:multiLevelType w:val="hybridMultilevel"/>
    <w:tmpl w:val="61EC2EFE"/>
    <w:lvl w:ilvl="0" w:tplc="0DD87E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BB47F2"/>
    <w:multiLevelType w:val="hybridMultilevel"/>
    <w:tmpl w:val="90C083B2"/>
    <w:lvl w:ilvl="0" w:tplc="2F02B0FC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5" w15:restartNumberingAfterBreak="0">
    <w:nsid w:val="44E42048"/>
    <w:multiLevelType w:val="hybridMultilevel"/>
    <w:tmpl w:val="8668BC6A"/>
    <w:lvl w:ilvl="0" w:tplc="9432C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87AB0"/>
    <w:multiLevelType w:val="multilevel"/>
    <w:tmpl w:val="E56634CE"/>
    <w:lvl w:ilvl="0">
      <w:start w:val="1"/>
      <w:numFmt w:val="bullet"/>
      <w:pStyle w:val="ListNumbe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FC64F0"/>
    <w:multiLevelType w:val="hybridMultilevel"/>
    <w:tmpl w:val="0CCC41A2"/>
    <w:lvl w:ilvl="0" w:tplc="E948F4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B57"/>
    <w:multiLevelType w:val="hybridMultilevel"/>
    <w:tmpl w:val="4F14337C"/>
    <w:lvl w:ilvl="0" w:tplc="EF8680E4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9" w15:restartNumberingAfterBreak="0">
    <w:nsid w:val="55A43A6B"/>
    <w:multiLevelType w:val="hybridMultilevel"/>
    <w:tmpl w:val="3C5058D4"/>
    <w:lvl w:ilvl="0" w:tplc="6AB06C6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55B70B07"/>
    <w:multiLevelType w:val="hybridMultilevel"/>
    <w:tmpl w:val="6DC8F7E8"/>
    <w:lvl w:ilvl="0" w:tplc="1F8CB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46BBC"/>
    <w:multiLevelType w:val="hybridMultilevel"/>
    <w:tmpl w:val="E7207878"/>
    <w:lvl w:ilvl="0" w:tplc="FF04E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50A70"/>
    <w:multiLevelType w:val="hybridMultilevel"/>
    <w:tmpl w:val="ABE4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07CC8"/>
    <w:multiLevelType w:val="hybridMultilevel"/>
    <w:tmpl w:val="C7EE8062"/>
    <w:lvl w:ilvl="0" w:tplc="6D4A0F4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5EB16D32"/>
    <w:multiLevelType w:val="hybridMultilevel"/>
    <w:tmpl w:val="F4C00734"/>
    <w:lvl w:ilvl="0" w:tplc="C9F6862E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142E07"/>
    <w:multiLevelType w:val="hybridMultilevel"/>
    <w:tmpl w:val="114E24E2"/>
    <w:lvl w:ilvl="0" w:tplc="10280ED8">
      <w:start w:val="4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B2E12"/>
    <w:multiLevelType w:val="hybridMultilevel"/>
    <w:tmpl w:val="550C1162"/>
    <w:lvl w:ilvl="0" w:tplc="6A0E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30C6F"/>
    <w:multiLevelType w:val="hybridMultilevel"/>
    <w:tmpl w:val="90C083B2"/>
    <w:lvl w:ilvl="0" w:tplc="2F02B0FC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9" w15:restartNumberingAfterBreak="0">
    <w:nsid w:val="68AD07B2"/>
    <w:multiLevelType w:val="hybridMultilevel"/>
    <w:tmpl w:val="7FEE3222"/>
    <w:lvl w:ilvl="0" w:tplc="74F0BE7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D18C37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544F32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9A74CA1A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ED961AAA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2E8ACDF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586E107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683ADCB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6B507914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A311CCA"/>
    <w:multiLevelType w:val="hybridMultilevel"/>
    <w:tmpl w:val="02BC3BE2"/>
    <w:lvl w:ilvl="0" w:tplc="E0C457C8">
      <w:start w:val="1"/>
      <w:numFmt w:val="lowerLetter"/>
      <w:pStyle w:val="Bullet1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03C7357"/>
    <w:multiLevelType w:val="hybridMultilevel"/>
    <w:tmpl w:val="2202FAFC"/>
    <w:lvl w:ilvl="0" w:tplc="96B4F9E4">
      <w:start w:val="1"/>
      <w:numFmt w:val="lowerLetter"/>
      <w:pStyle w:val="Bullet3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116364E"/>
    <w:multiLevelType w:val="hybridMultilevel"/>
    <w:tmpl w:val="75BAE8AA"/>
    <w:lvl w:ilvl="0" w:tplc="A88C8DB2">
      <w:start w:val="1"/>
      <w:numFmt w:val="lowerLetter"/>
      <w:pStyle w:val="ListContinue2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2ED3083"/>
    <w:multiLevelType w:val="hybridMultilevel"/>
    <w:tmpl w:val="07F6A654"/>
    <w:lvl w:ilvl="0" w:tplc="EE8C3238">
      <w:start w:val="1"/>
      <w:numFmt w:val="lowerLetter"/>
      <w:lvlText w:val="%1)"/>
      <w:lvlJc w:val="left"/>
      <w:pPr>
        <w:ind w:left="326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9"/>
  </w:num>
  <w:num w:numId="2">
    <w:abstractNumId w:val="20"/>
  </w:num>
  <w:num w:numId="3">
    <w:abstractNumId w:val="11"/>
  </w:num>
  <w:num w:numId="4">
    <w:abstractNumId w:val="35"/>
  </w:num>
  <w:num w:numId="5">
    <w:abstractNumId w:val="44"/>
  </w:num>
  <w:num w:numId="6">
    <w:abstractNumId w:val="34"/>
  </w:num>
  <w:num w:numId="7">
    <w:abstractNumId w:val="31"/>
  </w:num>
  <w:num w:numId="8">
    <w:abstractNumId w:val="16"/>
  </w:num>
  <w:num w:numId="9">
    <w:abstractNumId w:val="30"/>
  </w:num>
  <w:num w:numId="10">
    <w:abstractNumId w:val="43"/>
  </w:num>
  <w:num w:numId="11">
    <w:abstractNumId w:val="32"/>
  </w:num>
  <w:num w:numId="12">
    <w:abstractNumId w:val="13"/>
  </w:num>
  <w:num w:numId="13">
    <w:abstractNumId w:val="33"/>
  </w:num>
  <w:num w:numId="14">
    <w:abstractNumId w:val="14"/>
  </w:num>
  <w:num w:numId="15">
    <w:abstractNumId w:val="24"/>
  </w:num>
  <w:num w:numId="16">
    <w:abstractNumId w:val="27"/>
  </w:num>
  <w:num w:numId="17">
    <w:abstractNumId w:val="29"/>
  </w:num>
  <w:num w:numId="18">
    <w:abstractNumId w:val="23"/>
  </w:num>
  <w:num w:numId="19">
    <w:abstractNumId w:val="40"/>
  </w:num>
  <w:num w:numId="20">
    <w:abstractNumId w:val="15"/>
  </w:num>
  <w:num w:numId="21">
    <w:abstractNumId w:val="41"/>
  </w:num>
  <w:num w:numId="22">
    <w:abstractNumId w:val="42"/>
  </w:num>
  <w:num w:numId="23">
    <w:abstractNumId w:val="6"/>
  </w:num>
  <w:num w:numId="24">
    <w:abstractNumId w:val="26"/>
  </w:num>
  <w:num w:numId="25">
    <w:abstractNumId w:val="7"/>
  </w:num>
  <w:num w:numId="26">
    <w:abstractNumId w:val="12"/>
  </w:num>
  <w:num w:numId="27">
    <w:abstractNumId w:val="10"/>
  </w:num>
  <w:num w:numId="28">
    <w:abstractNumId w:val="8"/>
  </w:num>
  <w:num w:numId="29">
    <w:abstractNumId w:val="19"/>
  </w:num>
  <w:num w:numId="30">
    <w:abstractNumId w:val="22"/>
  </w:num>
  <w:num w:numId="31">
    <w:abstractNumId w:val="21"/>
  </w:num>
  <w:num w:numId="32">
    <w:abstractNumId w:val="18"/>
  </w:num>
  <w:num w:numId="33">
    <w:abstractNumId w:val="38"/>
  </w:num>
  <w:num w:numId="34">
    <w:abstractNumId w:val="36"/>
  </w:num>
  <w:num w:numId="35">
    <w:abstractNumId w:val="17"/>
  </w:num>
  <w:num w:numId="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hideGrammaticalErrors/>
  <w:proofState w:spelling="clean" w:grammar="clean"/>
  <w:defaultTabStop w:val="475"/>
  <w:autoHyphenation/>
  <w:hyphenationZone w:val="220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10901*"/>
    <w:docVar w:name="CreationDt" w:val="07/09/2022 1:02: PM"/>
    <w:docVar w:name="DocCategory" w:val="Doc"/>
    <w:docVar w:name="DocType" w:val="Final"/>
    <w:docVar w:name="DutyStation" w:val="New York"/>
    <w:docVar w:name="FooterJN" w:val="22-10901"/>
    <w:docVar w:name="jobn" w:val="22-10901 (R)"/>
    <w:docVar w:name="jobnDT" w:val="22-10901 (R)   070922"/>
    <w:docVar w:name="jobnDTDT" w:val="22-10901 (R)   070922   070922"/>
    <w:docVar w:name="JobNo" w:val="2210901R"/>
    <w:docVar w:name="JobNo2" w:val="2242071R"/>
    <w:docVar w:name="LocalDrive" w:val="-1"/>
    <w:docVar w:name="OandT" w:val=" "/>
    <w:docVar w:name="sss1" w:val="СEDAW/C/NAM/CO/6"/>
    <w:docVar w:name="sss2" w:val="-"/>
    <w:docVar w:name="Symbol1" w:val="СEDAW/C/NAM/CO/6"/>
    <w:docVar w:name="Symbol2" w:val="-"/>
    <w:docVar w:name="Title1" w:val="_x0009__x0009_Заключительные замечания по шестому периодическому докладу Намибии*_x000d_"/>
  </w:docVars>
  <w:rsids>
    <w:rsidRoot w:val="008C01AF"/>
    <w:rsid w:val="00003F8C"/>
    <w:rsid w:val="00057473"/>
    <w:rsid w:val="000A1A1B"/>
    <w:rsid w:val="000F420C"/>
    <w:rsid w:val="00126DD6"/>
    <w:rsid w:val="00153D30"/>
    <w:rsid w:val="001824A1"/>
    <w:rsid w:val="00187B19"/>
    <w:rsid w:val="001B0786"/>
    <w:rsid w:val="001F2DE0"/>
    <w:rsid w:val="001F427A"/>
    <w:rsid w:val="001F7371"/>
    <w:rsid w:val="001F744C"/>
    <w:rsid w:val="00210AF4"/>
    <w:rsid w:val="00210EC3"/>
    <w:rsid w:val="00215A7D"/>
    <w:rsid w:val="00230727"/>
    <w:rsid w:val="0026395B"/>
    <w:rsid w:val="002718AF"/>
    <w:rsid w:val="00281505"/>
    <w:rsid w:val="002839AF"/>
    <w:rsid w:val="002D2C61"/>
    <w:rsid w:val="002F4047"/>
    <w:rsid w:val="00321021"/>
    <w:rsid w:val="003218EF"/>
    <w:rsid w:val="003228A2"/>
    <w:rsid w:val="00323373"/>
    <w:rsid w:val="00326DFF"/>
    <w:rsid w:val="003324E7"/>
    <w:rsid w:val="003416D9"/>
    <w:rsid w:val="003807EF"/>
    <w:rsid w:val="0038495D"/>
    <w:rsid w:val="00386BED"/>
    <w:rsid w:val="003D43BB"/>
    <w:rsid w:val="003F07D5"/>
    <w:rsid w:val="003F4A82"/>
    <w:rsid w:val="003F4B59"/>
    <w:rsid w:val="003F7347"/>
    <w:rsid w:val="00402AB0"/>
    <w:rsid w:val="004240B1"/>
    <w:rsid w:val="00425FDE"/>
    <w:rsid w:val="004275D7"/>
    <w:rsid w:val="004279A5"/>
    <w:rsid w:val="00431502"/>
    <w:rsid w:val="00432AC6"/>
    <w:rsid w:val="004648A0"/>
    <w:rsid w:val="004731F9"/>
    <w:rsid w:val="004C6340"/>
    <w:rsid w:val="004F2475"/>
    <w:rsid w:val="005127BC"/>
    <w:rsid w:val="00533F5C"/>
    <w:rsid w:val="00542D6F"/>
    <w:rsid w:val="00550AF2"/>
    <w:rsid w:val="005644C2"/>
    <w:rsid w:val="00571999"/>
    <w:rsid w:val="00593A5D"/>
    <w:rsid w:val="00596A10"/>
    <w:rsid w:val="005A118A"/>
    <w:rsid w:val="005A2266"/>
    <w:rsid w:val="005B58D8"/>
    <w:rsid w:val="005D6A91"/>
    <w:rsid w:val="005D6D15"/>
    <w:rsid w:val="005D6DC4"/>
    <w:rsid w:val="0060693C"/>
    <w:rsid w:val="00635C39"/>
    <w:rsid w:val="00643F79"/>
    <w:rsid w:val="006B0972"/>
    <w:rsid w:val="006B6814"/>
    <w:rsid w:val="006D4969"/>
    <w:rsid w:val="006E5CA5"/>
    <w:rsid w:val="00705A84"/>
    <w:rsid w:val="00726630"/>
    <w:rsid w:val="00747272"/>
    <w:rsid w:val="00757996"/>
    <w:rsid w:val="00777B6E"/>
    <w:rsid w:val="007A5922"/>
    <w:rsid w:val="007B2C7B"/>
    <w:rsid w:val="007D2E54"/>
    <w:rsid w:val="007F130B"/>
    <w:rsid w:val="007F7A33"/>
    <w:rsid w:val="0080025F"/>
    <w:rsid w:val="0080233B"/>
    <w:rsid w:val="0083640B"/>
    <w:rsid w:val="00840363"/>
    <w:rsid w:val="00843551"/>
    <w:rsid w:val="008740F8"/>
    <w:rsid w:val="008B4A4B"/>
    <w:rsid w:val="008B535F"/>
    <w:rsid w:val="008C01AF"/>
    <w:rsid w:val="008C7CB4"/>
    <w:rsid w:val="008D7164"/>
    <w:rsid w:val="008E0493"/>
    <w:rsid w:val="008E3D70"/>
    <w:rsid w:val="008E6851"/>
    <w:rsid w:val="008F7111"/>
    <w:rsid w:val="009031A9"/>
    <w:rsid w:val="0092653E"/>
    <w:rsid w:val="0096420F"/>
    <w:rsid w:val="009707EE"/>
    <w:rsid w:val="00972652"/>
    <w:rsid w:val="009A1A35"/>
    <w:rsid w:val="009A5E79"/>
    <w:rsid w:val="009B0859"/>
    <w:rsid w:val="009D4A72"/>
    <w:rsid w:val="009D5859"/>
    <w:rsid w:val="009F077A"/>
    <w:rsid w:val="00A57ABA"/>
    <w:rsid w:val="00A72FF5"/>
    <w:rsid w:val="00A80FFA"/>
    <w:rsid w:val="00AA0CE4"/>
    <w:rsid w:val="00AA36C3"/>
    <w:rsid w:val="00AC1D38"/>
    <w:rsid w:val="00AC7CA0"/>
    <w:rsid w:val="00B306AF"/>
    <w:rsid w:val="00B53168"/>
    <w:rsid w:val="00B535EE"/>
    <w:rsid w:val="00B72F0F"/>
    <w:rsid w:val="00B745E4"/>
    <w:rsid w:val="00B74A9D"/>
    <w:rsid w:val="00B83ED4"/>
    <w:rsid w:val="00B95A96"/>
    <w:rsid w:val="00BD5153"/>
    <w:rsid w:val="00C06BC2"/>
    <w:rsid w:val="00C16534"/>
    <w:rsid w:val="00C26FCC"/>
    <w:rsid w:val="00C4078E"/>
    <w:rsid w:val="00C41769"/>
    <w:rsid w:val="00C45C26"/>
    <w:rsid w:val="00C54064"/>
    <w:rsid w:val="00C71CD0"/>
    <w:rsid w:val="00CA4BB0"/>
    <w:rsid w:val="00D11AF9"/>
    <w:rsid w:val="00D222C6"/>
    <w:rsid w:val="00D760D3"/>
    <w:rsid w:val="00D82575"/>
    <w:rsid w:val="00D82BC5"/>
    <w:rsid w:val="00D96F14"/>
    <w:rsid w:val="00DF07EA"/>
    <w:rsid w:val="00DF78D1"/>
    <w:rsid w:val="00E03929"/>
    <w:rsid w:val="00E10D88"/>
    <w:rsid w:val="00E144A8"/>
    <w:rsid w:val="00E25037"/>
    <w:rsid w:val="00E26E6E"/>
    <w:rsid w:val="00E2760B"/>
    <w:rsid w:val="00E33771"/>
    <w:rsid w:val="00E546A5"/>
    <w:rsid w:val="00E720E8"/>
    <w:rsid w:val="00E7414B"/>
    <w:rsid w:val="00E757E5"/>
    <w:rsid w:val="00E8244C"/>
    <w:rsid w:val="00EA5652"/>
    <w:rsid w:val="00EC2A36"/>
    <w:rsid w:val="00ED1020"/>
    <w:rsid w:val="00ED31CE"/>
    <w:rsid w:val="00EF1631"/>
    <w:rsid w:val="00F13ADE"/>
    <w:rsid w:val="00F14515"/>
    <w:rsid w:val="00F20945"/>
    <w:rsid w:val="00F23757"/>
    <w:rsid w:val="00F2422B"/>
    <w:rsid w:val="00F40613"/>
    <w:rsid w:val="00F62150"/>
    <w:rsid w:val="00F63321"/>
    <w:rsid w:val="00F66E0A"/>
    <w:rsid w:val="00F67EAE"/>
    <w:rsid w:val="00F701D1"/>
    <w:rsid w:val="00F81CC1"/>
    <w:rsid w:val="00F94DAC"/>
    <w:rsid w:val="00FB09B3"/>
    <w:rsid w:val="00FB1E56"/>
    <w:rsid w:val="00FB731E"/>
    <w:rsid w:val="00FC2FD3"/>
    <w:rsid w:val="00FE4B67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89B1B26"/>
  <w15:chartTrackingRefBased/>
  <w15:docId w15:val="{48222E2B-36A3-4594-938B-1B91D63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D515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D5153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BD5153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BD5153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qFormat/>
    <w:rsid w:val="0075799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3"/>
    </w:pPr>
    <w:rPr>
      <w:spacing w:val="0"/>
      <w:w w:val="100"/>
      <w:kern w:val="0"/>
      <w:szCs w:val="20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75799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4"/>
    </w:pPr>
    <w:rPr>
      <w:spacing w:val="0"/>
      <w:w w:val="100"/>
      <w:kern w:val="0"/>
      <w:szCs w:val="20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75799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5"/>
    </w:pPr>
    <w:rPr>
      <w:spacing w:val="0"/>
      <w:w w:val="100"/>
      <w:kern w:val="0"/>
      <w:szCs w:val="20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75799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6"/>
    </w:pPr>
    <w:rPr>
      <w:spacing w:val="0"/>
      <w:w w:val="100"/>
      <w:kern w:val="0"/>
      <w:szCs w:val="20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75799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7"/>
    </w:pPr>
    <w:rPr>
      <w:spacing w:val="0"/>
      <w:w w:val="100"/>
      <w:kern w:val="0"/>
      <w:szCs w:val="20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75799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8"/>
    </w:pPr>
    <w:rPr>
      <w:spacing w:val="0"/>
      <w:w w:val="100"/>
      <w:kern w:val="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BD5153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BD5153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BD5153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D515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D515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D5153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BD515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D515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D515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BD5153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BD515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D5153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BD515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BD5153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BD5153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D5153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BD5153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BD5153"/>
    <w:pPr>
      <w:spacing w:before="240"/>
    </w:pPr>
    <w:rPr>
      <w:szCs w:val="20"/>
    </w:rPr>
  </w:style>
  <w:style w:type="character" w:styleId="EndnoteReference">
    <w:name w:val="endnote reference"/>
    <w:aliases w:val="1_G"/>
    <w:basedOn w:val="DefaultParagraphFont"/>
    <w:qFormat/>
    <w:rsid w:val="00BD515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qFormat/>
    <w:rsid w:val="00BD5153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D5153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aliases w:val="3_G"/>
    <w:basedOn w:val="Normal"/>
    <w:link w:val="FooterChar"/>
    <w:unhideWhenUsed/>
    <w:rsid w:val="00BD5153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BD5153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uiPriority w:val="99"/>
    <w:qFormat/>
    <w:rsid w:val="00BD515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BD5153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BD5153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aliases w:val="6_G"/>
    <w:basedOn w:val="Normal"/>
    <w:link w:val="HeaderChar"/>
    <w:rsid w:val="00BD5153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BD5153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D5153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BD5153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BD5153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BD5153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BD5153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BD5153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BD5153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BD5153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BD5153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BD5153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BD5153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BD5153"/>
    <w:rPr>
      <w:szCs w:val="20"/>
    </w:rPr>
  </w:style>
  <w:style w:type="paragraph" w:customStyle="1" w:styleId="Publication">
    <w:name w:val="Publication"/>
    <w:basedOn w:val="Normal"/>
    <w:next w:val="Normal"/>
    <w:qFormat/>
    <w:rsid w:val="00BD5153"/>
  </w:style>
  <w:style w:type="paragraph" w:customStyle="1" w:styleId="ReleaseDate">
    <w:name w:val="ReleaseDate"/>
    <w:basedOn w:val="Normal"/>
    <w:next w:val="Normal"/>
    <w:qFormat/>
    <w:rsid w:val="00BD5153"/>
    <w:rPr>
      <w:szCs w:val="20"/>
    </w:rPr>
  </w:style>
  <w:style w:type="paragraph" w:customStyle="1" w:styleId="Small">
    <w:name w:val="Small"/>
    <w:basedOn w:val="Normal"/>
    <w:next w:val="Normal"/>
    <w:qFormat/>
    <w:rsid w:val="00BD515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D5153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BD515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BD515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BD5153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8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85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85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757996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757996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6Char">
    <w:name w:val="Heading 6 Char"/>
    <w:basedOn w:val="DefaultParagraphFont"/>
    <w:link w:val="Heading6"/>
    <w:semiHidden/>
    <w:rsid w:val="00757996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7Char">
    <w:name w:val="Heading 7 Char"/>
    <w:basedOn w:val="DefaultParagraphFont"/>
    <w:link w:val="Heading7"/>
    <w:semiHidden/>
    <w:rsid w:val="00757996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8Char">
    <w:name w:val="Heading 8 Char"/>
    <w:basedOn w:val="DefaultParagraphFont"/>
    <w:link w:val="Heading8"/>
    <w:semiHidden/>
    <w:rsid w:val="00757996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9Char">
    <w:name w:val="Heading 9 Char"/>
    <w:basedOn w:val="DefaultParagraphFont"/>
    <w:link w:val="Heading9"/>
    <w:semiHidden/>
    <w:rsid w:val="00757996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HMG">
    <w:name w:val="_ H __M_G"/>
    <w:basedOn w:val="Normal"/>
    <w:next w:val="Normal"/>
    <w:qFormat/>
    <w:rsid w:val="00757996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  <w:outlineLvl w:val="0"/>
    </w:pPr>
    <w:rPr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757996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757996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757996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3"/>
    </w:pPr>
    <w:rPr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757996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4"/>
    </w:pPr>
    <w:rPr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757996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5"/>
    </w:pPr>
    <w:rPr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757996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Normal"/>
    <w:next w:val="Normal"/>
    <w:rsid w:val="0075799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75799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75799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75799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757996"/>
    <w:pPr>
      <w:numPr>
        <w:numId w:val="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qFormat/>
    <w:rsid w:val="00757996"/>
    <w:pPr>
      <w:numPr>
        <w:numId w:val="2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ParNoG">
    <w:name w:val="_ParNo_G"/>
    <w:basedOn w:val="Normal"/>
    <w:qFormat/>
    <w:rsid w:val="00757996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table" w:styleId="TableGrid">
    <w:name w:val="Table Grid"/>
    <w:basedOn w:val="TableNormal"/>
    <w:rsid w:val="0075799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ageNumber">
    <w:name w:val="page number"/>
    <w:aliases w:val="7_G"/>
    <w:basedOn w:val="DefaultParagraphFont"/>
    <w:qFormat/>
    <w:rsid w:val="00757996"/>
    <w:rPr>
      <w:rFonts w:ascii="Times New Roman" w:hAnsi="Times New Roman"/>
      <w:b/>
      <w:sz w:val="18"/>
      <w:lang w:val="en-GB"/>
    </w:rPr>
  </w:style>
  <w:style w:type="character" w:customStyle="1" w:styleId="SingleTxtGChar">
    <w:name w:val="_ Single Txt_G Char"/>
    <w:link w:val="SingleTxtG"/>
    <w:locked/>
    <w:rsid w:val="00757996"/>
    <w:rPr>
      <w:rFonts w:ascii="Times New Roman" w:eastAsiaTheme="minorHAnsi" w:hAnsi="Times New Roman" w:cs="Times New Roman"/>
      <w:sz w:val="20"/>
      <w:szCs w:val="20"/>
      <w:lang w:eastAsia="en-US"/>
    </w:rPr>
  </w:style>
  <w:style w:type="numbering" w:styleId="111111">
    <w:name w:val="Outline List 2"/>
    <w:basedOn w:val="NoList"/>
    <w:semiHidden/>
    <w:rsid w:val="00757996"/>
    <w:pPr>
      <w:numPr>
        <w:numId w:val="4"/>
      </w:numPr>
    </w:pPr>
  </w:style>
  <w:style w:type="numbering" w:styleId="1ai">
    <w:name w:val="Outline List 1"/>
    <w:basedOn w:val="NoList"/>
    <w:semiHidden/>
    <w:rsid w:val="00757996"/>
    <w:pPr>
      <w:numPr>
        <w:numId w:val="5"/>
      </w:numPr>
    </w:pPr>
  </w:style>
  <w:style w:type="table" w:customStyle="1" w:styleId="TableGrid1">
    <w:name w:val="Table Grid1"/>
    <w:basedOn w:val="TableNormal"/>
    <w:rsid w:val="0075799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7996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ndocs.org/ru/CEDAW/C/NAM/6" TargetMode="External"/><Relationship Id="rId26" Type="http://schemas.openxmlformats.org/officeDocument/2006/relationships/hyperlink" Target="https://undocs.org/ru/CEDAW/C/NAM/RQ/6" TargetMode="External"/><Relationship Id="rId39" Type="http://schemas.openxmlformats.org/officeDocument/2006/relationships/hyperlink" Target="https://undocs.org/ru/CEDAW/C/NAM/6" TargetMode="External"/><Relationship Id="rId21" Type="http://schemas.openxmlformats.org/officeDocument/2006/relationships/hyperlink" Target="https://undocs.org/ru/CEDAW/C/NAM/Q/6" TargetMode="External"/><Relationship Id="rId34" Type="http://schemas.openxmlformats.org/officeDocument/2006/relationships/hyperlink" Target="https://undocs.org/ru/CEDAW/C/NAM/RQ/6" TargetMode="External"/><Relationship Id="rId42" Type="http://schemas.openxmlformats.org/officeDocument/2006/relationships/hyperlink" Target="https://undocs.org/ru/CEDAW/C/NAM/6" TargetMode="External"/><Relationship Id="rId47" Type="http://schemas.openxmlformats.org/officeDocument/2006/relationships/hyperlink" Target="https://undocs.org/ru/HRI/GEN/2/Rev.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9" Type="http://schemas.openxmlformats.org/officeDocument/2006/relationships/hyperlink" Target="https://undocs.org/ru/CEDAW/C/NAM/6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NAM/4" TargetMode="External"/><Relationship Id="rId32" Type="http://schemas.openxmlformats.org/officeDocument/2006/relationships/hyperlink" Target="https://undocs.org/ru/CEDAW/C/NAM/RQ/6" TargetMode="External"/><Relationship Id="rId37" Type="http://schemas.openxmlformats.org/officeDocument/2006/relationships/hyperlink" Target="https://undocs.org/ru/CEDAW/C/NAM/6" TargetMode="External"/><Relationship Id="rId40" Type="http://schemas.openxmlformats.org/officeDocument/2006/relationships/hyperlink" Target="https://undocs.org/ru/S/RES/1325(2000)" TargetMode="External"/><Relationship Id="rId45" Type="http://schemas.openxmlformats.org/officeDocument/2006/relationships/hyperlink" Target="https://undocs.org/ru/CEDAW/C/NAM/6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NAM/CO/4" TargetMode="External"/><Relationship Id="rId28" Type="http://schemas.openxmlformats.org/officeDocument/2006/relationships/hyperlink" Target="https://undocs.org/ru/CEDAW/C/NAM/CO/4-5" TargetMode="External"/><Relationship Id="rId36" Type="http://schemas.openxmlformats.org/officeDocument/2006/relationships/hyperlink" Target="https://undocs.org/ru/CEDAW/C/NAM/RQ/6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SR.1887" TargetMode="External"/><Relationship Id="rId31" Type="http://schemas.openxmlformats.org/officeDocument/2006/relationships/hyperlink" Target="https://undocs.org/ru/CEDAW/C/NAM/CO/4-5" TargetMode="External"/><Relationship Id="rId44" Type="http://schemas.openxmlformats.org/officeDocument/2006/relationships/hyperlink" Target="https://undocs.org/ru/CEDAW/C/NAM/RQ/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NAM/RQ/6" TargetMode="External"/><Relationship Id="rId27" Type="http://schemas.openxmlformats.org/officeDocument/2006/relationships/hyperlink" Target="https://undocs.org/ru/CEDAW/C/NAM/RQ/6" TargetMode="External"/><Relationship Id="rId30" Type="http://schemas.openxmlformats.org/officeDocument/2006/relationships/hyperlink" Target="https://undocs.org/ru/CEDAW/C/NAM/6" TargetMode="External"/><Relationship Id="rId35" Type="http://schemas.openxmlformats.org/officeDocument/2006/relationships/hyperlink" Target="https://undocs.org/ru/CEDAW/C/NAM/RQ/6" TargetMode="External"/><Relationship Id="rId43" Type="http://schemas.openxmlformats.org/officeDocument/2006/relationships/hyperlink" Target="https://undocs.org/ru/CEDAW/C/NAM/6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5" Type="http://schemas.openxmlformats.org/officeDocument/2006/relationships/hyperlink" Target="https://undocs.org/ru/A/65/38" TargetMode="External"/><Relationship Id="rId33" Type="http://schemas.openxmlformats.org/officeDocument/2006/relationships/hyperlink" Target="https://undocs.org/ru/CEDAW/C/NAM/RQ/6" TargetMode="External"/><Relationship Id="rId38" Type="http://schemas.openxmlformats.org/officeDocument/2006/relationships/hyperlink" Target="https://undocs.org/ru/CEDAW/C/NAM/6" TargetMode="External"/><Relationship Id="rId46" Type="http://schemas.openxmlformats.org/officeDocument/2006/relationships/hyperlink" Target="https://undocs.org/ru/CEDAW/C/NAM/RQ/6" TargetMode="External"/><Relationship Id="rId20" Type="http://schemas.openxmlformats.org/officeDocument/2006/relationships/hyperlink" Target="https://undocs.org/ru/CEDAW/C/SR.1888" TargetMode="External"/><Relationship Id="rId41" Type="http://schemas.openxmlformats.org/officeDocument/2006/relationships/hyperlink" Target="https://undocs.org/ru/S/RES/1325(200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291-5D89-4B53-9F99-68E5F1FC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8208</Words>
  <Characters>46789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Zemlinskaya</dc:creator>
  <cp:keywords/>
  <dc:description/>
  <cp:lastModifiedBy>Irina Galitchskaia</cp:lastModifiedBy>
  <cp:revision>10</cp:revision>
  <cp:lastPrinted>2022-09-13T19:32:00Z</cp:lastPrinted>
  <dcterms:created xsi:type="dcterms:W3CDTF">2022-09-13T19:28:00Z</dcterms:created>
  <dcterms:modified xsi:type="dcterms:W3CDTF">2022-09-13T19:32:00Z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2210901R</vt:lpwstr>
  </property>
  <property fmtid="{D5CDD505-2E9C-101B-9397-08002B2CF9AE}" pid="3" name="ODSRefJobNo">
    <vt:lpwstr>2242071R</vt:lpwstr>
  </property>
  <property fmtid="{D5CDD505-2E9C-101B-9397-08002B2CF9AE}" pid="4" name="Symbol1">
    <vt:lpwstr>СEDAW/C/NAM/CO/6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шестому периодическому докладу Намибии*_x000d_</vt:lpwstr>
  </property>
</Properties>
</file>