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CA543E"/>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A543E" w:rsidP="00CA543E">
            <w:pPr>
              <w:jc w:val="right"/>
            </w:pPr>
            <w:r w:rsidRPr="00CA543E">
              <w:rPr>
                <w:sz w:val="40"/>
              </w:rPr>
              <w:t>CRPD</w:t>
            </w:r>
            <w:r>
              <w:t>/C/MDA/CO/1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A543E" w:rsidP="003C5869">
            <w:pPr>
              <w:spacing w:before="240"/>
            </w:pPr>
            <w:r>
              <w:t>Distr. générale</w:t>
            </w:r>
          </w:p>
          <w:p w:rsidR="00CA543E" w:rsidRDefault="00CA543E" w:rsidP="00CA543E">
            <w:pPr>
              <w:spacing w:line="240" w:lineRule="exact"/>
            </w:pPr>
            <w:r>
              <w:t>18 mai 2017</w:t>
            </w:r>
          </w:p>
          <w:p w:rsidR="00CA543E" w:rsidRDefault="00CA543E" w:rsidP="00CA543E">
            <w:pPr>
              <w:spacing w:line="240" w:lineRule="exact"/>
            </w:pPr>
            <w:r>
              <w:t>Français</w:t>
            </w:r>
          </w:p>
          <w:p w:rsidR="00CA543E" w:rsidRPr="00DB58B5" w:rsidRDefault="00CA543E" w:rsidP="00CA543E">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562BB0" w:rsidRPr="0007644F" w:rsidRDefault="00562BB0" w:rsidP="001965FA">
      <w:pPr>
        <w:pStyle w:val="HChG"/>
      </w:pPr>
      <w:r>
        <w:tab/>
      </w:r>
      <w:r>
        <w:tab/>
        <w:t xml:space="preserve">Observations finales concernant le rapport initial </w:t>
      </w:r>
      <w:r w:rsidR="001965FA">
        <w:br/>
      </w:r>
      <w:r>
        <w:t>de</w:t>
      </w:r>
      <w:r w:rsidRPr="0007644F">
        <w:t xml:space="preserve"> </w:t>
      </w:r>
      <w:r>
        <w:t xml:space="preserve">la </w:t>
      </w:r>
      <w:r w:rsidRPr="0007644F">
        <w:t>République</w:t>
      </w:r>
      <w:r>
        <w:t xml:space="preserve"> de</w:t>
      </w:r>
      <w:r w:rsidRPr="0007644F">
        <w:t xml:space="preserve"> Moldova</w:t>
      </w:r>
      <w:r w:rsidR="001965FA" w:rsidRPr="001965FA">
        <w:rPr>
          <w:rStyle w:val="Appelnotedebasdep"/>
          <w:b w:val="0"/>
          <w:sz w:val="20"/>
          <w:vertAlign w:val="baseline"/>
        </w:rPr>
        <w:footnoteReference w:customMarkFollows="1" w:id="2"/>
        <w:t>*</w:t>
      </w:r>
    </w:p>
    <w:p w:rsidR="00562BB0" w:rsidRPr="0007644F" w:rsidRDefault="00562BB0" w:rsidP="001965FA">
      <w:pPr>
        <w:pStyle w:val="HChG"/>
      </w:pPr>
      <w:r w:rsidRPr="0007644F">
        <w:tab/>
        <w:t>I.</w:t>
      </w:r>
      <w:r w:rsidRPr="0007644F">
        <w:tab/>
        <w:t>Introduction</w:t>
      </w:r>
    </w:p>
    <w:p w:rsidR="00562BB0" w:rsidRPr="0007644F" w:rsidRDefault="00562BB0" w:rsidP="001965FA">
      <w:pPr>
        <w:pStyle w:val="SingleTxtG"/>
      </w:pPr>
      <w:r>
        <w:t>1.</w:t>
      </w:r>
      <w:r>
        <w:tab/>
        <w:t>Le Comité a examiné le rapport initial de la République de</w:t>
      </w:r>
      <w:r w:rsidRPr="0007644F">
        <w:t xml:space="preserve"> Moldova (CRPD/C/MDA/1) </w:t>
      </w:r>
      <w:r>
        <w:t>à ses</w:t>
      </w:r>
      <w:r w:rsidRPr="0007644F">
        <w:t xml:space="preserve"> 300</w:t>
      </w:r>
      <w:r w:rsidRPr="00DB55A1">
        <w:rPr>
          <w:vertAlign w:val="superscript"/>
        </w:rPr>
        <w:t>e</w:t>
      </w:r>
      <w:r>
        <w:t xml:space="preserve"> et </w:t>
      </w:r>
      <w:r w:rsidRPr="0007644F">
        <w:t>301</w:t>
      </w:r>
      <w:r w:rsidRPr="00DB55A1">
        <w:rPr>
          <w:vertAlign w:val="superscript"/>
        </w:rPr>
        <w:t>e</w:t>
      </w:r>
      <w:r w:rsidR="00F908C4">
        <w:t> </w:t>
      </w:r>
      <w:r>
        <w:t>séance</w:t>
      </w:r>
      <w:r w:rsidRPr="0007644F">
        <w:t xml:space="preserve">s, </w:t>
      </w:r>
      <w:r>
        <w:t>les</w:t>
      </w:r>
      <w:r w:rsidRPr="0007644F">
        <w:t xml:space="preserve"> 21 </w:t>
      </w:r>
      <w:r>
        <w:t>et</w:t>
      </w:r>
      <w:r w:rsidRPr="0007644F">
        <w:t xml:space="preserve"> 22</w:t>
      </w:r>
      <w:r w:rsidR="00F908C4">
        <w:t> </w:t>
      </w:r>
      <w:r>
        <w:t>mars</w:t>
      </w:r>
      <w:r w:rsidRPr="0007644F">
        <w:t xml:space="preserve"> 2017</w:t>
      </w:r>
      <w:r>
        <w:t xml:space="preserve"> </w:t>
      </w:r>
      <w:r w:rsidRPr="0007644F">
        <w:t xml:space="preserve">(CRPD/C/SR.300 </w:t>
      </w:r>
      <w:r>
        <w:t>et CRPD/C/SR.301). Il a adopté les présentes observations finales à sa 320</w:t>
      </w:r>
      <w:r w:rsidRPr="00D8511E">
        <w:rPr>
          <w:vertAlign w:val="superscript"/>
        </w:rPr>
        <w:t>e</w:t>
      </w:r>
      <w:r w:rsidR="00F908C4">
        <w:t> </w:t>
      </w:r>
      <w:r>
        <w:t>séance</w:t>
      </w:r>
      <w:r w:rsidRPr="0007644F">
        <w:t xml:space="preserve">, </w:t>
      </w:r>
      <w:r>
        <w:t>le 4</w:t>
      </w:r>
      <w:r w:rsidR="00F908C4">
        <w:t> </w:t>
      </w:r>
      <w:r>
        <w:t>av</w:t>
      </w:r>
      <w:r w:rsidRPr="0007644F">
        <w:t xml:space="preserve">ril 2017. </w:t>
      </w:r>
    </w:p>
    <w:p w:rsidR="00562BB0" w:rsidRPr="0007644F" w:rsidRDefault="00562BB0" w:rsidP="001965FA">
      <w:pPr>
        <w:pStyle w:val="SingleTxtG"/>
      </w:pPr>
      <w:r>
        <w:t>2.</w:t>
      </w:r>
      <w:r>
        <w:tab/>
        <w:t>Le Comité accueille avec satisfaction le rapport initial de la République de Moldova, qui a été établi conformément aux directives du Comité concernant l’établissement des rapports</w:t>
      </w:r>
      <w:r w:rsidRPr="0007644F">
        <w:t xml:space="preserve">, </w:t>
      </w:r>
      <w:r>
        <w:t>et remercie l’État partie des réponses écrites</w:t>
      </w:r>
      <w:r w:rsidRPr="0007644F">
        <w:t xml:space="preserve"> (CRPD/C/MDA/Q/1/Add.1) </w:t>
      </w:r>
      <w:r>
        <w:t>apportées à la liste de points établie par le Comité</w:t>
      </w:r>
      <w:r w:rsidRPr="0007644F">
        <w:t xml:space="preserve"> (CRPD/C/MDA/Q/1).</w:t>
      </w:r>
    </w:p>
    <w:p w:rsidR="00562BB0" w:rsidRPr="0007644F" w:rsidRDefault="00562BB0" w:rsidP="001965FA">
      <w:pPr>
        <w:pStyle w:val="SingleTxtG"/>
      </w:pPr>
      <w:r w:rsidRPr="0007644F">
        <w:t>3.</w:t>
      </w:r>
      <w:r w:rsidRPr="0007644F">
        <w:tab/>
      </w:r>
      <w:r w:rsidRPr="005A1AD3">
        <w:t>Le Comité se félicite du dialo</w:t>
      </w:r>
      <w:r>
        <w:t xml:space="preserve">gue fructueux qu’il a eu avec l’importante délégation de l’État partie et remercie l’État partie d’avoir dépêché une délégation de haut niveau, notamment composée de représentants des ministères compétents. </w:t>
      </w:r>
    </w:p>
    <w:p w:rsidR="00562BB0" w:rsidRPr="0007644F" w:rsidRDefault="00562BB0" w:rsidP="001965FA">
      <w:pPr>
        <w:pStyle w:val="HChG"/>
      </w:pPr>
      <w:r w:rsidRPr="0007644F">
        <w:tab/>
        <w:t>II.</w:t>
      </w:r>
      <w:r w:rsidRPr="0007644F">
        <w:tab/>
      </w:r>
      <w:r>
        <w:t>Aspects positifs</w:t>
      </w:r>
    </w:p>
    <w:p w:rsidR="00562BB0" w:rsidRPr="0007644F" w:rsidRDefault="00562BB0" w:rsidP="001965FA">
      <w:pPr>
        <w:pStyle w:val="SingleTxtG"/>
        <w:keepNext/>
      </w:pPr>
      <w:r w:rsidRPr="0007644F">
        <w:t>4.</w:t>
      </w:r>
      <w:r w:rsidRPr="0007644F">
        <w:tab/>
      </w:r>
      <w:bookmarkStart w:id="0" w:name="_Hlk483292602"/>
      <w:r>
        <w:t xml:space="preserve">Le Comité </w:t>
      </w:r>
      <w:bookmarkEnd w:id="0"/>
      <w:r>
        <w:t>félicite l’État partie d’avoir pris les mesures ci-après</w:t>
      </w:r>
      <w:r w:rsidR="001965FA">
        <w:t> </w:t>
      </w:r>
      <w:r w:rsidRPr="0007644F">
        <w:t>:</w:t>
      </w:r>
    </w:p>
    <w:p w:rsidR="00562BB0" w:rsidRPr="0007644F" w:rsidRDefault="00562BB0" w:rsidP="001965FA">
      <w:pPr>
        <w:pStyle w:val="SingleTxtG"/>
        <w:ind w:firstLine="567"/>
      </w:pPr>
      <w:r w:rsidRPr="0007644F">
        <w:t>a)</w:t>
      </w:r>
      <w:r w:rsidRPr="0007644F">
        <w:tab/>
      </w:r>
      <w:r>
        <w:t>Adoption de la loi n</w:t>
      </w:r>
      <w:r w:rsidR="00F908C4" w:rsidRPr="00F908C4">
        <w:rPr>
          <w:vertAlign w:val="superscript"/>
        </w:rPr>
        <w:t>o</w:t>
      </w:r>
      <w:r w:rsidR="00F908C4">
        <w:t> </w:t>
      </w:r>
      <w:r w:rsidRPr="0007644F">
        <w:t xml:space="preserve">121 </w:t>
      </w:r>
      <w:r>
        <w:t>du 25</w:t>
      </w:r>
      <w:r w:rsidR="00F908C4">
        <w:t> </w:t>
      </w:r>
      <w:r>
        <w:t>mai 2012 sur l’égalité</w:t>
      </w:r>
      <w:r w:rsidRPr="0007644F">
        <w:t xml:space="preserve"> </w:t>
      </w:r>
      <w:r>
        <w:t>et création du</w:t>
      </w:r>
      <w:r w:rsidRPr="00013EF8">
        <w:rPr>
          <w:lang w:val="fr-FR"/>
        </w:rPr>
        <w:t xml:space="preserve"> Conseil pour la prévention et </w:t>
      </w:r>
      <w:r>
        <w:rPr>
          <w:lang w:val="fr-FR"/>
        </w:rPr>
        <w:t>la répression</w:t>
      </w:r>
      <w:r w:rsidRPr="00013EF8">
        <w:rPr>
          <w:lang w:val="fr-FR"/>
        </w:rPr>
        <w:t xml:space="preserve"> </w:t>
      </w:r>
      <w:r>
        <w:rPr>
          <w:lang w:val="fr-FR"/>
        </w:rPr>
        <w:t xml:space="preserve">de la </w:t>
      </w:r>
      <w:r w:rsidRPr="00013EF8">
        <w:rPr>
          <w:lang w:val="fr-FR"/>
        </w:rPr>
        <w:t>discrimination et pour l</w:t>
      </w:r>
      <w:r>
        <w:rPr>
          <w:lang w:val="fr-FR"/>
        </w:rPr>
        <w:t>’</w:t>
      </w:r>
      <w:r w:rsidRPr="00013EF8">
        <w:rPr>
          <w:lang w:val="fr-FR"/>
        </w:rPr>
        <w:t>égalité</w:t>
      </w:r>
      <w:r>
        <w:rPr>
          <w:lang w:val="fr-FR"/>
        </w:rPr>
        <w:t>,</w:t>
      </w:r>
      <w:r>
        <w:t xml:space="preserve"> en vue</w:t>
      </w:r>
      <w:r w:rsidRPr="0007644F">
        <w:t xml:space="preserve"> </w:t>
      </w:r>
      <w:r>
        <w:t>d’éliminer la</w:t>
      </w:r>
      <w:r w:rsidRPr="0007644F">
        <w:t xml:space="preserve"> discrimination </w:t>
      </w:r>
      <w:r>
        <w:t>fondée sur le handicap</w:t>
      </w:r>
      <w:r w:rsidR="001965FA">
        <w:t> </w:t>
      </w:r>
      <w:r w:rsidRPr="0007644F">
        <w:t>;</w:t>
      </w:r>
    </w:p>
    <w:p w:rsidR="00562BB0" w:rsidRPr="0007644F" w:rsidRDefault="00562BB0" w:rsidP="001965FA">
      <w:pPr>
        <w:pStyle w:val="SingleTxtG"/>
        <w:ind w:firstLine="567"/>
      </w:pPr>
      <w:r w:rsidRPr="0007644F">
        <w:t>b)</w:t>
      </w:r>
      <w:r w:rsidRPr="0007644F">
        <w:tab/>
      </w:r>
      <w:r>
        <w:rPr>
          <w:lang w:val="fr-FR"/>
        </w:rPr>
        <w:t>Adoption de la l</w:t>
      </w:r>
      <w:r w:rsidRPr="003A3EA7">
        <w:rPr>
          <w:lang w:val="fr-FR"/>
        </w:rPr>
        <w:t xml:space="preserve">oi </w:t>
      </w:r>
      <w:r w:rsidR="00F908C4">
        <w:t>n</w:t>
      </w:r>
      <w:r w:rsidR="00F908C4" w:rsidRPr="00F908C4">
        <w:rPr>
          <w:vertAlign w:val="superscript"/>
        </w:rPr>
        <w:t>o</w:t>
      </w:r>
      <w:r w:rsidR="00F908C4">
        <w:t> </w:t>
      </w:r>
      <w:r w:rsidRPr="003A3EA7">
        <w:rPr>
          <w:lang w:val="fr-FR"/>
        </w:rPr>
        <w:t>60 du 30 mars</w:t>
      </w:r>
      <w:r w:rsidR="00F908C4">
        <w:rPr>
          <w:lang w:val="fr-FR"/>
        </w:rPr>
        <w:t xml:space="preserve"> </w:t>
      </w:r>
      <w:r w:rsidRPr="003A3EA7">
        <w:rPr>
          <w:lang w:val="fr-FR"/>
        </w:rPr>
        <w:t>2012 relative à l</w:t>
      </w:r>
      <w:r>
        <w:rPr>
          <w:lang w:val="fr-FR"/>
        </w:rPr>
        <w:t>’</w:t>
      </w:r>
      <w:r w:rsidRPr="003A3EA7">
        <w:rPr>
          <w:lang w:val="fr-FR"/>
        </w:rPr>
        <w:t>insertion sociale des personnes handicapées</w:t>
      </w:r>
      <w:r w:rsidRPr="0007644F">
        <w:t xml:space="preserve">, </w:t>
      </w:r>
      <w:r>
        <w:t>qui vise à garantir les droits des personnes handicapées au même titre que ceux du reste de la population</w:t>
      </w:r>
      <w:r w:rsidRPr="0007644F">
        <w:t>.</w:t>
      </w:r>
    </w:p>
    <w:p w:rsidR="00562BB0" w:rsidRPr="0007644F" w:rsidRDefault="00562BB0" w:rsidP="001965FA">
      <w:pPr>
        <w:pStyle w:val="SingleTxtG"/>
        <w:keepNext/>
      </w:pPr>
      <w:r w:rsidRPr="0007644F">
        <w:t>5.</w:t>
      </w:r>
      <w:r w:rsidRPr="0007644F">
        <w:tab/>
      </w:r>
      <w:r w:rsidRPr="00F14870">
        <w:t>Le Comité</w:t>
      </w:r>
      <w:r>
        <w:t xml:space="preserve"> prend note avec satisfaction</w:t>
      </w:r>
      <w:r w:rsidR="001965FA">
        <w:t> </w:t>
      </w:r>
      <w:r w:rsidRPr="0007644F">
        <w:t xml:space="preserve">: </w:t>
      </w:r>
    </w:p>
    <w:p w:rsidR="00562BB0" w:rsidRPr="0007644F" w:rsidRDefault="00562BB0" w:rsidP="001965FA">
      <w:pPr>
        <w:pStyle w:val="SingleTxtG"/>
        <w:ind w:firstLine="567"/>
      </w:pPr>
      <w:r w:rsidRPr="0007644F">
        <w:t>a)</w:t>
      </w:r>
      <w:r w:rsidRPr="0007644F">
        <w:tab/>
      </w:r>
      <w:r>
        <w:t xml:space="preserve">De la décision gouvernementale </w:t>
      </w:r>
      <w:r w:rsidR="00F908C4">
        <w:t>n</w:t>
      </w:r>
      <w:r w:rsidR="00F908C4" w:rsidRPr="00F908C4">
        <w:rPr>
          <w:vertAlign w:val="superscript"/>
        </w:rPr>
        <w:t>o</w:t>
      </w:r>
      <w:r w:rsidR="00F908C4">
        <w:t> </w:t>
      </w:r>
      <w:r>
        <w:t>44 (</w:t>
      </w:r>
      <w:r w:rsidRPr="0007644F">
        <w:t>3</w:t>
      </w:r>
      <w:r w:rsidR="00F908C4">
        <w:t> </w:t>
      </w:r>
      <w:r>
        <w:t>mars 2016) portant approbation du plan d’action pour la mise en œuvre de réformes de désinstitutionnalisation</w:t>
      </w:r>
      <w:r w:rsidR="001965FA">
        <w:t> </w:t>
      </w:r>
      <w:r w:rsidRPr="00B558C3">
        <w:t>;</w:t>
      </w:r>
    </w:p>
    <w:p w:rsidR="00562BB0" w:rsidRPr="0007644F" w:rsidRDefault="00562BB0" w:rsidP="001965FA">
      <w:pPr>
        <w:pStyle w:val="SingleTxtG"/>
        <w:ind w:firstLine="567"/>
      </w:pPr>
      <w:r w:rsidRPr="0007644F">
        <w:t>b)</w:t>
      </w:r>
      <w:r w:rsidRPr="0007644F">
        <w:tab/>
      </w:r>
      <w:r>
        <w:t xml:space="preserve">De la décision gouvernementale </w:t>
      </w:r>
      <w:r w:rsidR="00F908C4">
        <w:t>n</w:t>
      </w:r>
      <w:r w:rsidR="00F908C4" w:rsidRPr="00F908C4">
        <w:rPr>
          <w:vertAlign w:val="superscript"/>
        </w:rPr>
        <w:t>o</w:t>
      </w:r>
      <w:r w:rsidR="00F908C4">
        <w:t> </w:t>
      </w:r>
      <w:r w:rsidRPr="0007644F">
        <w:t>523</w:t>
      </w:r>
      <w:r>
        <w:t xml:space="preserve"> (11</w:t>
      </w:r>
      <w:r w:rsidR="00F908C4">
        <w:t> </w:t>
      </w:r>
      <w:r>
        <w:t>juillet 2011) portant approbation</w:t>
      </w:r>
      <w:r w:rsidRPr="0007644F">
        <w:t xml:space="preserve"> </w:t>
      </w:r>
      <w:r>
        <w:t>du</w:t>
      </w:r>
      <w:r w:rsidRPr="0007644F">
        <w:t xml:space="preserve"> programme </w:t>
      </w:r>
      <w:r>
        <w:t>de développement de l’éducation inclusive (</w:t>
      </w:r>
      <w:r w:rsidRPr="0007644F">
        <w:t>2011-2020</w:t>
      </w:r>
      <w:r>
        <w:t>)</w:t>
      </w:r>
      <w:r w:rsidRPr="0007644F">
        <w:t xml:space="preserve">, </w:t>
      </w:r>
      <w:r>
        <w:t>qui vise à garantir l’égalité d’accès de tous les enfants à un enseignement de qualité</w:t>
      </w:r>
      <w:r w:rsidRPr="0007644F">
        <w:t>.</w:t>
      </w:r>
      <w:r>
        <w:t xml:space="preserve"> </w:t>
      </w:r>
    </w:p>
    <w:p w:rsidR="00562BB0" w:rsidRPr="0007644F" w:rsidRDefault="00562BB0" w:rsidP="001965FA">
      <w:pPr>
        <w:pStyle w:val="HChG"/>
      </w:pPr>
      <w:r w:rsidRPr="0007644F">
        <w:lastRenderedPageBreak/>
        <w:tab/>
        <w:t>III.</w:t>
      </w:r>
      <w:r w:rsidRPr="0007644F">
        <w:tab/>
      </w:r>
      <w:r>
        <w:t>Principaux sujets de préoccupation et recommandations</w:t>
      </w:r>
    </w:p>
    <w:p w:rsidR="00562BB0" w:rsidRPr="0007644F" w:rsidRDefault="00562BB0" w:rsidP="001965FA">
      <w:pPr>
        <w:pStyle w:val="H1G"/>
      </w:pPr>
      <w:r w:rsidRPr="0007644F">
        <w:tab/>
        <w:t>A.</w:t>
      </w:r>
      <w:r w:rsidRPr="0007644F">
        <w:tab/>
      </w:r>
      <w:r>
        <w:t>Principes généraux et obligations générales (art</w:t>
      </w:r>
      <w:r w:rsidRPr="0007644F">
        <w:t>. 1</w:t>
      </w:r>
      <w:r w:rsidRPr="00D2770D">
        <w:rPr>
          <w:vertAlign w:val="superscript"/>
        </w:rPr>
        <w:t>er</w:t>
      </w:r>
      <w:r w:rsidR="00084B98">
        <w:t xml:space="preserve"> </w:t>
      </w:r>
      <w:r>
        <w:t xml:space="preserve">à </w:t>
      </w:r>
      <w:r w:rsidRPr="0007644F">
        <w:t>4)</w:t>
      </w:r>
    </w:p>
    <w:p w:rsidR="00562BB0" w:rsidRPr="0007644F" w:rsidRDefault="00562BB0" w:rsidP="001965FA">
      <w:pPr>
        <w:pStyle w:val="SingleTxtG"/>
        <w:keepNext/>
      </w:pPr>
      <w:r>
        <w:t>6.</w:t>
      </w:r>
      <w:r>
        <w:tab/>
        <w:t>L</w:t>
      </w:r>
      <w:r w:rsidRPr="0007644F">
        <w:t>e Com</w:t>
      </w:r>
      <w:r>
        <w:t>ité constate avec préoccupation que dans l’État partie, la question du handicap continue d’être le plus souvent abordée d’un point de vue médical</w:t>
      </w:r>
      <w:r w:rsidRPr="0007644F">
        <w:t>,</w:t>
      </w:r>
      <w:r>
        <w:t xml:space="preserve"> comme l’attestent le cadre juridique régissant le handicap et l’évaluation médicale du handicap</w:t>
      </w:r>
      <w:r w:rsidRPr="0007644F">
        <w:t xml:space="preserve">, </w:t>
      </w:r>
      <w:r>
        <w:t>notamment la manière dont on détermine l’aptitude des personnes handicapées au travail</w:t>
      </w:r>
      <w:r w:rsidRPr="0007644F">
        <w:t xml:space="preserve">. </w:t>
      </w:r>
      <w:r>
        <w:t>L</w:t>
      </w:r>
      <w:r w:rsidRPr="0007644F">
        <w:t>e</w:t>
      </w:r>
      <w:r>
        <w:t xml:space="preserve"> Comité est également préoccupé par les points suivants</w:t>
      </w:r>
      <w:r w:rsidR="001965FA">
        <w:t> </w:t>
      </w:r>
      <w:r w:rsidRPr="0007644F">
        <w:t>:</w:t>
      </w:r>
    </w:p>
    <w:p w:rsidR="00562BB0" w:rsidRPr="0007644F" w:rsidRDefault="00562BB0" w:rsidP="001965FA">
      <w:pPr>
        <w:pStyle w:val="SingleTxtG"/>
        <w:ind w:firstLine="567"/>
      </w:pPr>
      <w:r w:rsidRPr="0007644F">
        <w:t>a)</w:t>
      </w:r>
      <w:r w:rsidRPr="0007644F">
        <w:tab/>
      </w:r>
      <w:r>
        <w:t>Les politiques et stratégies relatives au handicap et leur mise en œuvre relèvent essentiellement de la compétence du Ministère du travail, de la protection sociale et de la famille et il n’existe pas de mécanisme opérationnel qui permette de faciliter la coordination entre les différentes institutions publiques et la concertation avec les organisations de personnes handicapées</w:t>
      </w:r>
      <w:r w:rsidR="001965FA">
        <w:t> </w:t>
      </w:r>
      <w:r w:rsidRPr="0007644F">
        <w:t xml:space="preserve">; </w:t>
      </w:r>
    </w:p>
    <w:p w:rsidR="00562BB0" w:rsidRPr="0007644F" w:rsidRDefault="00562BB0" w:rsidP="001965FA">
      <w:pPr>
        <w:pStyle w:val="SingleTxtG"/>
        <w:ind w:firstLine="567"/>
      </w:pPr>
      <w:r>
        <w:t>b)</w:t>
      </w:r>
      <w:r>
        <w:tab/>
        <w:t>L</w:t>
      </w:r>
      <w:r w:rsidRPr="0007644F">
        <w:t>e</w:t>
      </w:r>
      <w:r>
        <w:t>s</w:t>
      </w:r>
      <w:r w:rsidRPr="0007644F">
        <w:t xml:space="preserve"> </w:t>
      </w:r>
      <w:r>
        <w:t>notions</w:t>
      </w:r>
      <w:r w:rsidRPr="0007644F">
        <w:t xml:space="preserve"> </w:t>
      </w:r>
      <w:r>
        <w:t>d’aménagement raisonnable et de conception universelle ne sont pas mises en pratique, faute notamment de textes d’application et de mécanisme de suivi</w:t>
      </w:r>
      <w:r w:rsidR="001965FA">
        <w:t> </w:t>
      </w:r>
      <w:r w:rsidRPr="0007644F">
        <w:t>;</w:t>
      </w:r>
    </w:p>
    <w:p w:rsidR="00562BB0" w:rsidRPr="0007644F" w:rsidRDefault="00562BB0" w:rsidP="001965FA">
      <w:pPr>
        <w:pStyle w:val="SingleTxtG"/>
        <w:ind w:firstLine="567"/>
      </w:pPr>
      <w:r w:rsidRPr="0007644F">
        <w:t>c)</w:t>
      </w:r>
      <w:r w:rsidRPr="0007644F">
        <w:tab/>
      </w:r>
      <w:r>
        <w:t>L’État partie n’a toujours pas ratifié le</w:t>
      </w:r>
      <w:r w:rsidRPr="000921E8">
        <w:t xml:space="preserve"> Protocole facultatif se rapportant à la</w:t>
      </w:r>
      <w:r w:rsidR="00D037DD">
        <w:t> </w:t>
      </w:r>
      <w:r w:rsidRPr="000921E8">
        <w:t>Convention relative aux droits des personnes handicapées.</w:t>
      </w:r>
    </w:p>
    <w:p w:rsidR="00562BB0" w:rsidRPr="001965FA" w:rsidRDefault="00562BB0" w:rsidP="001965FA">
      <w:pPr>
        <w:pStyle w:val="SingleTxtG"/>
        <w:keepNext/>
        <w:rPr>
          <w:b/>
        </w:rPr>
      </w:pPr>
      <w:r w:rsidRPr="0007644F">
        <w:t>7.</w:t>
      </w:r>
      <w:r w:rsidRPr="0007644F">
        <w:tab/>
      </w:r>
      <w:r w:rsidRPr="001965FA">
        <w:rPr>
          <w:b/>
        </w:rPr>
        <w:t>Le Comité recommande à l’État partie de redoubler d’efforts pour adopter une approche</w:t>
      </w:r>
      <w:r w:rsidR="00F908C4">
        <w:rPr>
          <w:b/>
        </w:rPr>
        <w:t xml:space="preserve"> </w:t>
      </w:r>
      <w:r w:rsidRPr="001965FA">
        <w:rPr>
          <w:b/>
        </w:rPr>
        <w:t>du handicap qui soit fondée sur les droits de l’homme et de veiller à ce que la détermination du handicap soit axée sur les obstacles à la participation sociale des personnes handicapées et tienne compte des besoins particuliers, de la volonté et des préférences des intéressés. Il recommande également à l’État partie</w:t>
      </w:r>
      <w:r w:rsidR="001965FA">
        <w:rPr>
          <w:b/>
        </w:rPr>
        <w:t> </w:t>
      </w:r>
      <w:r w:rsidRPr="001965FA">
        <w:rPr>
          <w:b/>
        </w:rPr>
        <w:t xml:space="preserve">: </w:t>
      </w:r>
    </w:p>
    <w:p w:rsidR="00562BB0" w:rsidRPr="0007644F" w:rsidRDefault="00562BB0" w:rsidP="001965FA">
      <w:pPr>
        <w:pStyle w:val="SingleTxtG"/>
        <w:ind w:firstLine="567"/>
      </w:pPr>
      <w:r w:rsidRPr="0007644F">
        <w:t>a)</w:t>
      </w:r>
      <w:r w:rsidRPr="0007644F">
        <w:tab/>
      </w:r>
      <w:r w:rsidRPr="0048117A">
        <w:rPr>
          <w:b/>
        </w:rPr>
        <w:t xml:space="preserve">De </w:t>
      </w:r>
      <w:r>
        <w:rPr>
          <w:b/>
        </w:rPr>
        <w:t>créer</w:t>
      </w:r>
      <w:r w:rsidRPr="0048117A">
        <w:rPr>
          <w:b/>
        </w:rPr>
        <w:t xml:space="preserve"> des mécanismes </w:t>
      </w:r>
      <w:r>
        <w:rPr>
          <w:b/>
        </w:rPr>
        <w:t>publics efficaces qui coordonnent l’action relative au handicap menée par les différentes institutions publiques dan</w:t>
      </w:r>
      <w:r w:rsidRPr="00966239">
        <w:rPr>
          <w:b/>
        </w:rPr>
        <w:t xml:space="preserve">s le cadre des politiques et des stratégies </w:t>
      </w:r>
      <w:r>
        <w:rPr>
          <w:b/>
        </w:rPr>
        <w:t>mises en œuvre par l’État partie</w:t>
      </w:r>
      <w:r w:rsidRPr="00966239">
        <w:rPr>
          <w:b/>
        </w:rPr>
        <w:t xml:space="preserve"> </w:t>
      </w:r>
      <w:r w:rsidR="001965FA">
        <w:rPr>
          <w:b/>
          <w:lang w:val="fr-FR"/>
        </w:rPr>
        <w:t>− </w:t>
      </w:r>
      <w:r w:rsidRPr="00514B3E">
        <w:rPr>
          <w:b/>
          <w:lang w:val="fr-FR"/>
        </w:rPr>
        <w:t>étant entendu que la question du handicap doit faire l</w:t>
      </w:r>
      <w:r>
        <w:rPr>
          <w:b/>
          <w:lang w:val="fr-FR"/>
        </w:rPr>
        <w:t>’</w:t>
      </w:r>
      <w:r w:rsidRPr="00514B3E">
        <w:rPr>
          <w:b/>
          <w:lang w:val="fr-FR"/>
        </w:rPr>
        <w:t>objet d</w:t>
      </w:r>
      <w:r>
        <w:rPr>
          <w:b/>
          <w:lang w:val="fr-FR"/>
        </w:rPr>
        <w:t>’</w:t>
      </w:r>
      <w:r w:rsidRPr="00514B3E">
        <w:rPr>
          <w:b/>
          <w:lang w:val="fr-FR"/>
        </w:rPr>
        <w:t xml:space="preserve">une action aussi bien distincte </w:t>
      </w:r>
      <w:r>
        <w:rPr>
          <w:b/>
          <w:lang w:val="fr-FR"/>
        </w:rPr>
        <w:t>que transversale</w:t>
      </w:r>
      <w:r w:rsidR="001965FA">
        <w:rPr>
          <w:b/>
          <w:lang w:val="fr-FR"/>
        </w:rPr>
        <w:t> −</w:t>
      </w:r>
      <w:r>
        <w:rPr>
          <w:b/>
        </w:rPr>
        <w:t>, et qui permettent la consultation systématique et utile de</w:t>
      </w:r>
      <w:r w:rsidRPr="00966239">
        <w:rPr>
          <w:b/>
        </w:rPr>
        <w:t xml:space="preserve"> différents types d</w:t>
      </w:r>
      <w:r>
        <w:rPr>
          <w:b/>
        </w:rPr>
        <w:t>’</w:t>
      </w:r>
      <w:r w:rsidRPr="00966239">
        <w:rPr>
          <w:b/>
        </w:rPr>
        <w:t xml:space="preserve">organisation de personnes handicapées sur tout </w:t>
      </w:r>
      <w:r>
        <w:rPr>
          <w:b/>
        </w:rPr>
        <w:t>le</w:t>
      </w:r>
      <w:r w:rsidRPr="00966239">
        <w:rPr>
          <w:b/>
        </w:rPr>
        <w:t xml:space="preserve"> territoire</w:t>
      </w:r>
      <w:r w:rsidR="001965FA">
        <w:rPr>
          <w:b/>
        </w:rPr>
        <w:t> </w:t>
      </w:r>
      <w:r w:rsidRPr="00966239">
        <w:rPr>
          <w:b/>
        </w:rPr>
        <w:t>;</w:t>
      </w:r>
    </w:p>
    <w:p w:rsidR="00562BB0" w:rsidRPr="0007644F" w:rsidRDefault="00562BB0" w:rsidP="001965FA">
      <w:pPr>
        <w:pStyle w:val="SingleTxtG"/>
        <w:ind w:firstLine="567"/>
      </w:pPr>
      <w:r w:rsidRPr="0007644F">
        <w:t>b)</w:t>
      </w:r>
      <w:r w:rsidRPr="00196E27">
        <w:rPr>
          <w:b/>
        </w:rPr>
        <w:tab/>
        <w:t>D</w:t>
      </w:r>
      <w:r>
        <w:rPr>
          <w:b/>
        </w:rPr>
        <w:t>e d</w:t>
      </w:r>
      <w:r w:rsidRPr="00196E27">
        <w:rPr>
          <w:b/>
        </w:rPr>
        <w:t>ispenser aux fonctionnaire</w:t>
      </w:r>
      <w:r>
        <w:rPr>
          <w:b/>
        </w:rPr>
        <w:t>s une formation sur les notions d’aménagement raisonnable et de conception universelle et d’adopter les mesures législatives, administratives</w:t>
      </w:r>
      <w:r w:rsidRPr="00FB3872">
        <w:rPr>
          <w:b/>
        </w:rPr>
        <w:t xml:space="preserve"> </w:t>
      </w:r>
      <w:r>
        <w:rPr>
          <w:b/>
        </w:rPr>
        <w:t>et autres nécessaires à l’application de ces notions dans tous les secteurs</w:t>
      </w:r>
      <w:r w:rsidR="001965FA">
        <w:rPr>
          <w:b/>
        </w:rPr>
        <w:t> </w:t>
      </w:r>
      <w:r w:rsidRPr="00FB3872">
        <w:rPr>
          <w:b/>
        </w:rPr>
        <w:t>;</w:t>
      </w:r>
    </w:p>
    <w:p w:rsidR="00562BB0" w:rsidRPr="00FB3872" w:rsidRDefault="00562BB0" w:rsidP="001965FA">
      <w:pPr>
        <w:pStyle w:val="SingleTxtG"/>
        <w:ind w:firstLine="567"/>
        <w:rPr>
          <w:b/>
        </w:rPr>
      </w:pPr>
      <w:r w:rsidRPr="00FB3872">
        <w:t>c)</w:t>
      </w:r>
      <w:r w:rsidRPr="00FB3872">
        <w:rPr>
          <w:b/>
        </w:rPr>
        <w:tab/>
      </w:r>
      <w:r>
        <w:rPr>
          <w:b/>
        </w:rPr>
        <w:t>De r</w:t>
      </w:r>
      <w:r w:rsidRPr="00FB3872">
        <w:rPr>
          <w:b/>
        </w:rPr>
        <w:t>atif</w:t>
      </w:r>
      <w:r>
        <w:rPr>
          <w:b/>
        </w:rPr>
        <w:t>ier le Protocole facultatif se rapportant à la</w:t>
      </w:r>
      <w:r w:rsidRPr="00FB3872">
        <w:rPr>
          <w:b/>
        </w:rPr>
        <w:t xml:space="preserve"> Convention.</w:t>
      </w:r>
    </w:p>
    <w:p w:rsidR="00562BB0" w:rsidRPr="0007644F" w:rsidRDefault="00562BB0" w:rsidP="001965FA">
      <w:pPr>
        <w:pStyle w:val="SingleTxtG"/>
      </w:pPr>
      <w:r w:rsidRPr="0007644F">
        <w:t>8.</w:t>
      </w:r>
      <w:r w:rsidRPr="0007644F">
        <w:tab/>
      </w:r>
      <w:r w:rsidRPr="002E7FE1">
        <w:t>Le</w:t>
      </w:r>
      <w:r>
        <w:t xml:space="preserve"> Comité est préoccupé par la situation en matière de droits de l’homme des</w:t>
      </w:r>
      <w:r w:rsidRPr="0007644F">
        <w:t xml:space="preserve"> </w:t>
      </w:r>
      <w:r>
        <w:t>personnes roms handicapées</w:t>
      </w:r>
      <w:r w:rsidRPr="0007644F">
        <w:t>,</w:t>
      </w:r>
      <w:r>
        <w:t xml:space="preserve"> notamment des enfants, qui vivent dans l’extrême pauvreté</w:t>
      </w:r>
      <w:r w:rsidRPr="0007644F">
        <w:t xml:space="preserve"> </w:t>
      </w:r>
      <w:r>
        <w:t>et risquent d’être marginalisées en raison des formes de discrimination croisées dont elles peuvent faire l’objet</w:t>
      </w:r>
      <w:r w:rsidRPr="0007644F">
        <w:t xml:space="preserve">. </w:t>
      </w:r>
      <w:r>
        <w:t xml:space="preserve">Il relève également avec préoccupation qu’en raison de l’insuffisance des ressources allouées à la protection et à la promotion de leurs droits, les personnes roms handicapées sont fortement exposées au risque de traite. </w:t>
      </w:r>
    </w:p>
    <w:p w:rsidR="00562BB0" w:rsidRPr="00425F46" w:rsidRDefault="00562BB0" w:rsidP="001965FA">
      <w:pPr>
        <w:pStyle w:val="SingleTxtG"/>
        <w:rPr>
          <w:b/>
        </w:rPr>
      </w:pPr>
      <w:r w:rsidRPr="0007644F">
        <w:t>9.</w:t>
      </w:r>
      <w:r w:rsidRPr="0007644F">
        <w:tab/>
      </w:r>
      <w:bookmarkStart w:id="1" w:name="_Hlk483315226"/>
      <w:r>
        <w:rPr>
          <w:b/>
        </w:rPr>
        <w:t>Le Comité recommande à l’</w:t>
      </w:r>
      <w:r w:rsidRPr="00E96C08">
        <w:rPr>
          <w:b/>
        </w:rPr>
        <w:t>État partie</w:t>
      </w:r>
      <w:r>
        <w:rPr>
          <w:b/>
        </w:rPr>
        <w:t xml:space="preserve"> </w:t>
      </w:r>
      <w:bookmarkEnd w:id="1"/>
      <w:r>
        <w:rPr>
          <w:b/>
        </w:rPr>
        <w:t>de tenir compte de la question du handicap dans la mise en œuvre et le financement du plan d’action en faveur des Roms pour</w:t>
      </w:r>
      <w:r>
        <w:rPr>
          <w:rFonts w:ascii="Ebrima" w:hAnsi="Ebrima"/>
          <w:b/>
        </w:rPr>
        <w:t xml:space="preserve"> </w:t>
      </w:r>
      <w:r>
        <w:rPr>
          <w:b/>
        </w:rPr>
        <w:t>2016-2020</w:t>
      </w:r>
      <w:r w:rsidRPr="004E2127">
        <w:rPr>
          <w:b/>
        </w:rPr>
        <w:t>. I</w:t>
      </w:r>
      <w:r>
        <w:rPr>
          <w:b/>
        </w:rPr>
        <w:t>l recommande également à l’État partie d’élaborer et de mettre en œuvre des</w:t>
      </w:r>
      <w:r w:rsidRPr="004E2127">
        <w:rPr>
          <w:b/>
        </w:rPr>
        <w:t xml:space="preserve"> programmes</w:t>
      </w:r>
      <w:r>
        <w:rPr>
          <w:b/>
        </w:rPr>
        <w:t xml:space="preserve"> de lutte contre la pauvreté et l’exclusion des personnes roms handicapées en mettant particulièrement l’accent sur les enfants afin de remédier aux difficultés que ces personnes rencontrent en matière de droits de l’homme et d’éliminer les formes de discrimination croisées</w:t>
      </w:r>
      <w:r w:rsidRPr="004E2127">
        <w:rPr>
          <w:b/>
        </w:rPr>
        <w:t>.</w:t>
      </w:r>
      <w:r w:rsidRPr="0007644F">
        <w:t xml:space="preserve"> </w:t>
      </w:r>
    </w:p>
    <w:p w:rsidR="00562BB0" w:rsidRPr="0007644F" w:rsidRDefault="00562BB0" w:rsidP="001965FA">
      <w:pPr>
        <w:pStyle w:val="H1G"/>
      </w:pPr>
      <w:r w:rsidRPr="0007644F">
        <w:lastRenderedPageBreak/>
        <w:tab/>
        <w:t>B.</w:t>
      </w:r>
      <w:r w:rsidRPr="0007644F">
        <w:tab/>
      </w:r>
      <w:r>
        <w:t xml:space="preserve">Droits particuliers (art. 5 à </w:t>
      </w:r>
      <w:r w:rsidRPr="0007644F">
        <w:t>30)</w:t>
      </w:r>
    </w:p>
    <w:p w:rsidR="00562BB0" w:rsidRPr="0007644F" w:rsidRDefault="00562BB0" w:rsidP="001965FA">
      <w:pPr>
        <w:pStyle w:val="H23G"/>
      </w:pPr>
      <w:r>
        <w:tab/>
      </w:r>
      <w:r>
        <w:tab/>
        <w:t>Égalité et</w:t>
      </w:r>
      <w:r w:rsidRPr="0007644F">
        <w:t xml:space="preserve"> non-discrimination (art.</w:t>
      </w:r>
      <w:r w:rsidR="00F908C4">
        <w:t> </w:t>
      </w:r>
      <w:r w:rsidRPr="0007644F">
        <w:t>5)</w:t>
      </w:r>
    </w:p>
    <w:p w:rsidR="00562BB0" w:rsidRPr="0007644F" w:rsidRDefault="00562BB0" w:rsidP="001965FA">
      <w:pPr>
        <w:pStyle w:val="SingleTxtG"/>
        <w:keepNext/>
      </w:pPr>
      <w:r w:rsidRPr="0007644F">
        <w:t>10.</w:t>
      </w:r>
      <w:r w:rsidRPr="0007644F">
        <w:tab/>
      </w:r>
      <w:r>
        <w:t>Le Comité est préoccupé par la discrimination dont font l’objet les personnes handicapées</w:t>
      </w:r>
      <w:r w:rsidRPr="0007644F">
        <w:t xml:space="preserve"> </w:t>
      </w:r>
      <w:r>
        <w:t>et par les points suivants</w:t>
      </w:r>
      <w:r w:rsidR="001965FA">
        <w:t> </w:t>
      </w:r>
      <w:r w:rsidRPr="0007644F">
        <w:t xml:space="preserve">: </w:t>
      </w:r>
    </w:p>
    <w:p w:rsidR="00562BB0" w:rsidRPr="0007644F" w:rsidRDefault="00562BB0" w:rsidP="00577EFE">
      <w:pPr>
        <w:pStyle w:val="SingleTxtG"/>
        <w:ind w:firstLine="567"/>
      </w:pPr>
      <w:r w:rsidRPr="0007644F">
        <w:t>a)</w:t>
      </w:r>
      <w:r w:rsidRPr="0007644F">
        <w:tab/>
      </w:r>
      <w:r>
        <w:t>Les lois et les procédures visant à combattre la discrimination à l’égard des personnes handicapées ne sont pas effectivement appliquées ; notamment, il n’existe pas de mécanisme qui permette de contrôler l’exécution des mesures de réparation et des sanctions prononcées pour refus d’aménagement raisonnable</w:t>
      </w:r>
      <w:r w:rsidR="00577EFE">
        <w:t> </w:t>
      </w:r>
      <w:r w:rsidRPr="0007644F">
        <w:t>;</w:t>
      </w:r>
    </w:p>
    <w:p w:rsidR="00562BB0" w:rsidRPr="0007644F" w:rsidRDefault="00562BB0" w:rsidP="00577EFE">
      <w:pPr>
        <w:pStyle w:val="SingleTxtG"/>
        <w:ind w:firstLine="567"/>
      </w:pPr>
      <w:r w:rsidRPr="0007644F">
        <w:t>b)</w:t>
      </w:r>
      <w:r w:rsidRPr="0007644F">
        <w:tab/>
      </w:r>
      <w:r>
        <w:t>Les lois contre la discrimination ne reconnaissent pas</w:t>
      </w:r>
      <w:r w:rsidRPr="0007644F">
        <w:t xml:space="preserve"> </w:t>
      </w:r>
      <w:r>
        <w:t>les formes de discrimination multiples et croisées</w:t>
      </w:r>
      <w:r w:rsidR="00577EFE">
        <w:t> </w:t>
      </w:r>
      <w:r w:rsidRPr="0007644F">
        <w:t xml:space="preserve">; </w:t>
      </w:r>
    </w:p>
    <w:p w:rsidR="00562BB0" w:rsidRPr="0007644F" w:rsidRDefault="00562BB0" w:rsidP="00577EFE">
      <w:pPr>
        <w:pStyle w:val="SingleTxtG"/>
        <w:ind w:firstLine="567"/>
      </w:pPr>
      <w:r w:rsidRPr="0007644F">
        <w:t>c)</w:t>
      </w:r>
      <w:r w:rsidRPr="0007644F">
        <w:tab/>
      </w:r>
      <w:r>
        <w:t>Le public n’a pas accès aux informations concernant les affaires de discrimination fondée sur le handicap et les décisions rendues dans ces affaires</w:t>
      </w:r>
      <w:r w:rsidRPr="0007644F">
        <w:t xml:space="preserve">. </w:t>
      </w:r>
    </w:p>
    <w:p w:rsidR="00562BB0" w:rsidRPr="0007644F" w:rsidRDefault="00562BB0" w:rsidP="00577EFE">
      <w:pPr>
        <w:pStyle w:val="SingleTxtG"/>
      </w:pPr>
      <w:r w:rsidRPr="0007644F">
        <w:t>11.</w:t>
      </w:r>
      <w:r w:rsidRPr="0007644F">
        <w:tab/>
      </w:r>
      <w:r w:rsidRPr="00F06820">
        <w:rPr>
          <w:b/>
        </w:rPr>
        <w:t>Le Comité recommande à l</w:t>
      </w:r>
      <w:r>
        <w:rPr>
          <w:b/>
        </w:rPr>
        <w:t>’</w:t>
      </w:r>
      <w:r w:rsidRPr="00F06820">
        <w:rPr>
          <w:b/>
        </w:rPr>
        <w:t>État partie</w:t>
      </w:r>
      <w:r>
        <w:rPr>
          <w:b/>
        </w:rPr>
        <w:t xml:space="preserve"> de renforcer la lég</w:t>
      </w:r>
      <w:r w:rsidR="00D336BF">
        <w:rPr>
          <w:b/>
        </w:rPr>
        <w:t>islation et les procédures anti</w:t>
      </w:r>
      <w:r>
        <w:rPr>
          <w:b/>
        </w:rPr>
        <w:t>discrimination afin de combattre efficacement</w:t>
      </w:r>
      <w:r w:rsidRPr="00F06820">
        <w:rPr>
          <w:b/>
        </w:rPr>
        <w:t xml:space="preserve"> </w:t>
      </w:r>
      <w:r>
        <w:rPr>
          <w:b/>
        </w:rPr>
        <w:t>la discrimination fondée sur le handicap dans les secteurs public et privé</w:t>
      </w:r>
      <w:r w:rsidRPr="00343C2A">
        <w:rPr>
          <w:b/>
        </w:rPr>
        <w:t>,</w:t>
      </w:r>
      <w:r>
        <w:rPr>
          <w:b/>
        </w:rPr>
        <w:t xml:space="preserve"> notamment en adoptant des lois et des procédures</w:t>
      </w:r>
      <w:r w:rsidRPr="00343C2A">
        <w:rPr>
          <w:b/>
        </w:rPr>
        <w:t xml:space="preserve"> </w:t>
      </w:r>
      <w:r>
        <w:rPr>
          <w:b/>
        </w:rPr>
        <w:t xml:space="preserve">relatives aux formes multiples et croisées de discrimination et au droit d’introduire un recours en cas de refus d’aménagement raisonnable et d’autres formes de discrimination fondée sur le </w:t>
      </w:r>
      <w:r w:rsidRPr="00D03E92">
        <w:rPr>
          <w:b/>
        </w:rPr>
        <w:t xml:space="preserve">handicap, et </w:t>
      </w:r>
      <w:r>
        <w:rPr>
          <w:b/>
        </w:rPr>
        <w:t>en</w:t>
      </w:r>
      <w:r w:rsidRPr="00D03E92">
        <w:rPr>
          <w:b/>
        </w:rPr>
        <w:t xml:space="preserve"> mett</w:t>
      </w:r>
      <w:r>
        <w:rPr>
          <w:b/>
        </w:rPr>
        <w:t>ant</w:t>
      </w:r>
      <w:r w:rsidRPr="00D03E92">
        <w:rPr>
          <w:b/>
        </w:rPr>
        <w:t xml:space="preserve"> en place des mécanismes permettant </w:t>
      </w:r>
      <w:r>
        <w:rPr>
          <w:b/>
        </w:rPr>
        <w:t>d’appliquer</w:t>
      </w:r>
      <w:r w:rsidRPr="00D03E92">
        <w:rPr>
          <w:b/>
        </w:rPr>
        <w:t xml:space="preserve"> des sanctions pour non-respect des</w:t>
      </w:r>
      <w:r>
        <w:rPr>
          <w:b/>
        </w:rPr>
        <w:t xml:space="preserve"> droits des personnes handicapées. Le </w:t>
      </w:r>
      <w:r w:rsidRPr="00343C2A">
        <w:rPr>
          <w:b/>
        </w:rPr>
        <w:t>Com</w:t>
      </w:r>
      <w:r>
        <w:rPr>
          <w:b/>
        </w:rPr>
        <w:t xml:space="preserve">ité recommande également à l’État partie de publier </w:t>
      </w:r>
      <w:r w:rsidRPr="00D03E92">
        <w:rPr>
          <w:b/>
        </w:rPr>
        <w:t>sous une forme accessible</w:t>
      </w:r>
      <w:r>
        <w:rPr>
          <w:b/>
        </w:rPr>
        <w:t xml:space="preserve"> des informations concernant les affaires de discrimination fondée sur le handicap</w:t>
      </w:r>
      <w:r w:rsidRPr="00343C2A">
        <w:rPr>
          <w:b/>
        </w:rPr>
        <w:t xml:space="preserve"> </w:t>
      </w:r>
      <w:r>
        <w:rPr>
          <w:b/>
        </w:rPr>
        <w:t>et les décisions rendues dans ces affaires</w:t>
      </w:r>
      <w:r w:rsidRPr="00343C2A">
        <w:rPr>
          <w:b/>
        </w:rPr>
        <w:t>.</w:t>
      </w:r>
    </w:p>
    <w:p w:rsidR="00562BB0" w:rsidRPr="0007644F" w:rsidRDefault="00562BB0" w:rsidP="00577EFE">
      <w:pPr>
        <w:pStyle w:val="H23G"/>
      </w:pPr>
      <w:r w:rsidRPr="0007644F">
        <w:tab/>
      </w:r>
      <w:r w:rsidRPr="0007644F">
        <w:tab/>
      </w:r>
      <w:r>
        <w:t>Femmes handicapées</w:t>
      </w:r>
      <w:r w:rsidRPr="0007644F">
        <w:t xml:space="preserve"> (art. 6)</w:t>
      </w:r>
    </w:p>
    <w:p w:rsidR="00562BB0" w:rsidRPr="0007644F" w:rsidRDefault="00562BB0" w:rsidP="00577EFE">
      <w:pPr>
        <w:pStyle w:val="SingleTxtG"/>
        <w:keepNext/>
      </w:pPr>
      <w:r w:rsidRPr="0007644F">
        <w:t>12.</w:t>
      </w:r>
      <w:r w:rsidRPr="0007644F">
        <w:tab/>
      </w:r>
      <w:r>
        <w:t xml:space="preserve">Le Comité note avec préoccupation que les femmes et les filles handicapées sont victimes de formes multiples de </w:t>
      </w:r>
      <w:r w:rsidRPr="0007644F">
        <w:t xml:space="preserve">discrimination </w:t>
      </w:r>
      <w:r>
        <w:t>et d’exclusion dans tous les domaines</w:t>
      </w:r>
      <w:r w:rsidRPr="0007644F">
        <w:t xml:space="preserve">. </w:t>
      </w:r>
      <w:r>
        <w:t>Il</w:t>
      </w:r>
      <w:r w:rsidR="00F908C4">
        <w:t> </w:t>
      </w:r>
      <w:r>
        <w:t>s’inquiète de la faible participation des femmes handicapées à la vie politique et publique</w:t>
      </w:r>
      <w:r w:rsidRPr="0007644F">
        <w:t xml:space="preserve"> </w:t>
      </w:r>
      <w:r>
        <w:t>et de l’absence de dispositions les concernant dans les lois et les politiques visant à combattre la discrimination à l’égard des femmes</w:t>
      </w:r>
      <w:r w:rsidRPr="0007644F">
        <w:t xml:space="preserve">. </w:t>
      </w:r>
      <w:r>
        <w:t>En particulier, il relève avec préoccupation</w:t>
      </w:r>
      <w:r w:rsidR="00AC2F65">
        <w:t> </w:t>
      </w:r>
      <w:r w:rsidRPr="0007644F">
        <w:t>:</w:t>
      </w:r>
    </w:p>
    <w:p w:rsidR="00562BB0" w:rsidRPr="0007644F" w:rsidRDefault="00562BB0" w:rsidP="00577EFE">
      <w:pPr>
        <w:pStyle w:val="SingleTxtG"/>
        <w:ind w:firstLine="567"/>
      </w:pPr>
      <w:r w:rsidRPr="0007644F">
        <w:t>a)</w:t>
      </w:r>
      <w:r w:rsidRPr="0007644F">
        <w:tab/>
      </w:r>
      <w:r>
        <w:t>Que l’interruption de grossesse sans consentement au motif du handicap est toujours pratiquée</w:t>
      </w:r>
      <w:r w:rsidR="00AC2F65">
        <w:t> </w:t>
      </w:r>
      <w:r w:rsidRPr="0007644F">
        <w:t xml:space="preserve">; </w:t>
      </w:r>
    </w:p>
    <w:p w:rsidR="00562BB0" w:rsidRPr="0007644F" w:rsidRDefault="00562BB0" w:rsidP="00577EFE">
      <w:pPr>
        <w:pStyle w:val="SingleTxtG"/>
        <w:ind w:firstLine="567"/>
      </w:pPr>
      <w:r w:rsidRPr="0007644F">
        <w:t>b)</w:t>
      </w:r>
      <w:r w:rsidRPr="0007644F">
        <w:tab/>
      </w:r>
      <w:r>
        <w:t>Que l</w:t>
      </w:r>
      <w:r w:rsidRPr="00912ABB">
        <w:t xml:space="preserve">es personnes handicapées, </w:t>
      </w:r>
      <w:r>
        <w:t>en particulier</w:t>
      </w:r>
      <w:r w:rsidRPr="00912ABB">
        <w:t xml:space="preserve"> les femmes et les filles</w:t>
      </w:r>
      <w:r>
        <w:t>, ne sont pas protégées par la législation visant à prévenir et à combattre la violence familiale</w:t>
      </w:r>
      <w:r w:rsidR="00AC2F65">
        <w:t> </w:t>
      </w:r>
      <w:r w:rsidRPr="0007644F">
        <w:t>;</w:t>
      </w:r>
    </w:p>
    <w:p w:rsidR="00562BB0" w:rsidRPr="0007644F" w:rsidRDefault="00562BB0" w:rsidP="00577EFE">
      <w:pPr>
        <w:pStyle w:val="SingleTxtG"/>
        <w:ind w:firstLine="567"/>
      </w:pPr>
      <w:r w:rsidRPr="0007644F">
        <w:t>c)</w:t>
      </w:r>
      <w:r w:rsidRPr="0007644F">
        <w:tab/>
      </w:r>
      <w:r>
        <w:t>Que les femmes et les filles handicapées n’ont pas accès aux services ordinaires destinés aux femmes victimes de violence. Au lieu de bénéficier d’aménagements raisonnables</w:t>
      </w:r>
      <w:r w:rsidRPr="0007644F">
        <w:t>,</w:t>
      </w:r>
      <w:r>
        <w:t xml:space="preserve"> les femmes présentant un handicap psychosocial ou intellectuel sont réorientées vers des hôpitaux psychiatriques</w:t>
      </w:r>
      <w:r w:rsidRPr="0007644F">
        <w:t xml:space="preserve">. </w:t>
      </w:r>
    </w:p>
    <w:p w:rsidR="00562BB0" w:rsidRPr="00343C2A" w:rsidRDefault="00562BB0" w:rsidP="00AC2F65">
      <w:pPr>
        <w:pStyle w:val="SingleTxtG"/>
        <w:keepNext/>
        <w:rPr>
          <w:b/>
        </w:rPr>
      </w:pPr>
      <w:r w:rsidRPr="0007644F">
        <w:t>13.</w:t>
      </w:r>
      <w:r w:rsidRPr="0007644F">
        <w:tab/>
      </w:r>
      <w:r>
        <w:rPr>
          <w:b/>
        </w:rPr>
        <w:t xml:space="preserve">À la lumière de son observation générale </w:t>
      </w:r>
      <w:r w:rsidR="00F908C4" w:rsidRPr="00F908C4">
        <w:rPr>
          <w:b/>
        </w:rPr>
        <w:t>n</w:t>
      </w:r>
      <w:r w:rsidR="00F908C4" w:rsidRPr="00F908C4">
        <w:rPr>
          <w:b/>
          <w:vertAlign w:val="superscript"/>
        </w:rPr>
        <w:t>o</w:t>
      </w:r>
      <w:r w:rsidR="00F908C4" w:rsidRPr="00F908C4">
        <w:rPr>
          <w:b/>
        </w:rPr>
        <w:t> </w:t>
      </w:r>
      <w:r>
        <w:rPr>
          <w:b/>
        </w:rPr>
        <w:t>3</w:t>
      </w:r>
      <w:r w:rsidRPr="00343C2A">
        <w:rPr>
          <w:b/>
        </w:rPr>
        <w:t xml:space="preserve"> (2016) </w:t>
      </w:r>
      <w:r>
        <w:rPr>
          <w:b/>
        </w:rPr>
        <w:t>sur les femmes et les filles handicapées et compte tenu des cibles</w:t>
      </w:r>
      <w:r w:rsidRPr="00343C2A">
        <w:rPr>
          <w:b/>
        </w:rPr>
        <w:t xml:space="preserve"> 5.1, 5.2 </w:t>
      </w:r>
      <w:r>
        <w:rPr>
          <w:b/>
        </w:rPr>
        <w:t>et</w:t>
      </w:r>
      <w:r w:rsidRPr="00343C2A">
        <w:rPr>
          <w:b/>
        </w:rPr>
        <w:t xml:space="preserve"> 5.5 </w:t>
      </w:r>
      <w:r>
        <w:rPr>
          <w:b/>
        </w:rPr>
        <w:t>des objectifs de développement durable</w:t>
      </w:r>
      <w:r w:rsidRPr="00343C2A">
        <w:rPr>
          <w:b/>
        </w:rPr>
        <w:t xml:space="preserve">, </w:t>
      </w:r>
      <w:r>
        <w:rPr>
          <w:b/>
        </w:rPr>
        <w:t>le Comité recommande</w:t>
      </w:r>
      <w:r w:rsidRPr="00343C2A">
        <w:rPr>
          <w:b/>
        </w:rPr>
        <w:t xml:space="preserve"> </w:t>
      </w:r>
      <w:r>
        <w:rPr>
          <w:b/>
        </w:rPr>
        <w:t>à l’État partie de renforcer les mesures prises pour lutter contre les formes multiples de discrimination à l’égard des femmes et des filles handicapées et intégrer</w:t>
      </w:r>
      <w:r w:rsidRPr="00343C2A">
        <w:rPr>
          <w:b/>
        </w:rPr>
        <w:t xml:space="preserve"> </w:t>
      </w:r>
      <w:r>
        <w:rPr>
          <w:b/>
        </w:rPr>
        <w:t>les questions ayant trait aux femmes et aux filles handicapées dans les dispositions légi</w:t>
      </w:r>
      <w:r w:rsidR="0044790B">
        <w:rPr>
          <w:b/>
        </w:rPr>
        <w:t>slatives et les politiques anti</w:t>
      </w:r>
      <w:r>
        <w:rPr>
          <w:b/>
        </w:rPr>
        <w:t>discrimination relatives aux femmes et aux filles, et de promouvoir la participation des femmes handicapées à la vie politique et publique et leur représentation dans cette sphère. Il recommande également à l’État partie</w:t>
      </w:r>
      <w:r w:rsidR="00AC2F65">
        <w:rPr>
          <w:b/>
        </w:rPr>
        <w:t> </w:t>
      </w:r>
      <w:r w:rsidRPr="00343C2A">
        <w:rPr>
          <w:b/>
        </w:rPr>
        <w:t xml:space="preserve">: </w:t>
      </w:r>
    </w:p>
    <w:p w:rsidR="00562BB0" w:rsidRPr="00343C2A" w:rsidRDefault="00562BB0" w:rsidP="00AC2F65">
      <w:pPr>
        <w:pStyle w:val="SingleTxtG"/>
        <w:ind w:firstLine="567"/>
        <w:rPr>
          <w:b/>
        </w:rPr>
      </w:pPr>
      <w:r w:rsidRPr="00343C2A">
        <w:t>a)</w:t>
      </w:r>
      <w:r w:rsidRPr="00343C2A">
        <w:rPr>
          <w:b/>
        </w:rPr>
        <w:tab/>
      </w:r>
      <w:r>
        <w:rPr>
          <w:b/>
        </w:rPr>
        <w:t>De garantir aux femmes handicapées le droit à la santé sexuelle et reproductive</w:t>
      </w:r>
      <w:r w:rsidRPr="00343C2A">
        <w:rPr>
          <w:b/>
        </w:rPr>
        <w:t xml:space="preserve"> </w:t>
      </w:r>
      <w:r>
        <w:rPr>
          <w:b/>
        </w:rPr>
        <w:t>au même titre qu’aux autres femmes et d’abroger les textes de loi qui autorisent l’interruption de grossesse sans consentement</w:t>
      </w:r>
      <w:r w:rsidR="00F81FF8">
        <w:rPr>
          <w:b/>
        </w:rPr>
        <w:t> </w:t>
      </w:r>
      <w:r w:rsidRPr="00343C2A">
        <w:rPr>
          <w:b/>
        </w:rPr>
        <w:t>;</w:t>
      </w:r>
    </w:p>
    <w:p w:rsidR="00562BB0" w:rsidRPr="00343C2A" w:rsidRDefault="00562BB0" w:rsidP="00AC2F65">
      <w:pPr>
        <w:pStyle w:val="SingleTxtG"/>
        <w:ind w:firstLine="567"/>
        <w:rPr>
          <w:b/>
        </w:rPr>
      </w:pPr>
      <w:r w:rsidRPr="00343C2A">
        <w:t>b)</w:t>
      </w:r>
      <w:r w:rsidRPr="00343C2A">
        <w:tab/>
      </w:r>
      <w:r w:rsidRPr="00A32F32">
        <w:rPr>
          <w:b/>
        </w:rPr>
        <w:t>D</w:t>
      </w:r>
      <w:r>
        <w:rPr>
          <w:b/>
        </w:rPr>
        <w:t>’</w:t>
      </w:r>
      <w:r w:rsidRPr="00A32F32">
        <w:rPr>
          <w:b/>
        </w:rPr>
        <w:t xml:space="preserve">intégrer la question </w:t>
      </w:r>
      <w:r>
        <w:rPr>
          <w:b/>
        </w:rPr>
        <w:t>d</w:t>
      </w:r>
      <w:r w:rsidRPr="00A32F32">
        <w:rPr>
          <w:b/>
        </w:rPr>
        <w:t>u handicap dans toutes les</w:t>
      </w:r>
      <w:r>
        <w:rPr>
          <w:b/>
        </w:rPr>
        <w:t xml:space="preserve"> politiques et stratégies de lutte contre la violence sexiste et de prendre des mesures pour introduire dans la </w:t>
      </w:r>
      <w:r>
        <w:rPr>
          <w:b/>
        </w:rPr>
        <w:lastRenderedPageBreak/>
        <w:t>législation des dispositions concernant la violence familiale à l’égard des femmes et des filles handicapées</w:t>
      </w:r>
      <w:r w:rsidR="00F81FF8">
        <w:rPr>
          <w:b/>
        </w:rPr>
        <w:t> </w:t>
      </w:r>
      <w:r w:rsidRPr="00343C2A">
        <w:rPr>
          <w:b/>
        </w:rPr>
        <w:t>;</w:t>
      </w:r>
    </w:p>
    <w:p w:rsidR="00562BB0" w:rsidRPr="00343C2A" w:rsidRDefault="00562BB0" w:rsidP="00AC2F65">
      <w:pPr>
        <w:pStyle w:val="SingleTxtG"/>
        <w:ind w:firstLine="567"/>
        <w:rPr>
          <w:b/>
        </w:rPr>
      </w:pPr>
      <w:r w:rsidRPr="00343C2A">
        <w:t>c)</w:t>
      </w:r>
      <w:r w:rsidRPr="00343C2A">
        <w:rPr>
          <w:b/>
        </w:rPr>
        <w:tab/>
      </w:r>
      <w:r>
        <w:rPr>
          <w:b/>
        </w:rPr>
        <w:t>De veiller à ce que les femmes et les filles handicapées touchées par la violence bénéficient d’une protection immédiate et de services de soutien accessibles, notamment en procédant à des aménagements raisonnables dans les services ordinaires et les foyers d’accueil</w:t>
      </w:r>
      <w:r w:rsidRPr="00343C2A">
        <w:rPr>
          <w:b/>
        </w:rPr>
        <w:t>,</w:t>
      </w:r>
      <w:r>
        <w:rPr>
          <w:b/>
        </w:rPr>
        <w:t xml:space="preserve"> et à ce qu’elles disposent de voies de recours</w:t>
      </w:r>
      <w:r w:rsidR="00F81FF8">
        <w:rPr>
          <w:b/>
        </w:rPr>
        <w:t> </w:t>
      </w:r>
      <w:r w:rsidRPr="00343C2A">
        <w:rPr>
          <w:b/>
        </w:rPr>
        <w:t xml:space="preserve">; </w:t>
      </w:r>
    </w:p>
    <w:p w:rsidR="00562BB0" w:rsidRPr="00116F20" w:rsidRDefault="00562BB0" w:rsidP="00116F20">
      <w:pPr>
        <w:pStyle w:val="SingleTxtG"/>
        <w:ind w:firstLine="567"/>
        <w:rPr>
          <w:b/>
        </w:rPr>
      </w:pPr>
      <w:r w:rsidRPr="00343C2A">
        <w:t>d)</w:t>
      </w:r>
      <w:r w:rsidRPr="00343C2A">
        <w:tab/>
      </w:r>
      <w:r w:rsidRPr="00116F20">
        <w:rPr>
          <w:b/>
        </w:rPr>
        <w:t>De ratifier la Convention du Conseil de l’Europe sur la prévention et la lutte contre la violence à l’égard des femmes et la violence domestique.</w:t>
      </w:r>
    </w:p>
    <w:p w:rsidR="00562BB0" w:rsidRPr="0007644F" w:rsidRDefault="00562BB0" w:rsidP="00F81FF8">
      <w:pPr>
        <w:pStyle w:val="SingleTxtG"/>
      </w:pPr>
      <w:r w:rsidRPr="0007644F">
        <w:t>14.</w:t>
      </w:r>
      <w:r w:rsidRPr="0007644F">
        <w:tab/>
      </w:r>
      <w:r>
        <w:t>Le Comité s’inquiète tout particulièrement de ce que des femmes handicapées, en particulier celles qui présentent un handicap psychosocial ou intellectuel, vivent toujours dans des institutions où la négligence, la violence, la contraception forcée, les avortements et les traitements forcés, les mesures de contention et les sévices sexuels, qui peuvent être le fait du personnel médical, restent monnaie courante</w:t>
      </w:r>
      <w:r w:rsidRPr="0007644F">
        <w:t xml:space="preserve">. </w:t>
      </w:r>
    </w:p>
    <w:p w:rsidR="00562BB0" w:rsidRPr="003C74A7" w:rsidRDefault="00562BB0" w:rsidP="00F81FF8">
      <w:pPr>
        <w:pStyle w:val="SingleTxtG"/>
        <w:keepNext/>
        <w:rPr>
          <w:b/>
        </w:rPr>
      </w:pPr>
      <w:r w:rsidRPr="0007644F">
        <w:t>15.</w:t>
      </w:r>
      <w:r w:rsidRPr="0007644F">
        <w:tab/>
      </w:r>
      <w:r w:rsidRPr="00F06820">
        <w:rPr>
          <w:b/>
        </w:rPr>
        <w:t>Le Comité recommande à l</w:t>
      </w:r>
      <w:r>
        <w:rPr>
          <w:b/>
        </w:rPr>
        <w:t>’</w:t>
      </w:r>
      <w:r w:rsidRPr="00F06820">
        <w:rPr>
          <w:b/>
        </w:rPr>
        <w:t>État partie</w:t>
      </w:r>
      <w:r w:rsidR="00F81FF8">
        <w:rPr>
          <w:b/>
        </w:rPr>
        <w:t> </w:t>
      </w:r>
      <w:r w:rsidRPr="003C74A7">
        <w:rPr>
          <w:b/>
        </w:rPr>
        <w:t>:</w:t>
      </w:r>
    </w:p>
    <w:p w:rsidR="00562BB0" w:rsidRPr="003C74A7" w:rsidRDefault="00562BB0" w:rsidP="00AC2F65">
      <w:pPr>
        <w:pStyle w:val="SingleTxtG"/>
        <w:ind w:firstLine="567"/>
        <w:rPr>
          <w:b/>
        </w:rPr>
      </w:pPr>
      <w:r w:rsidRPr="003C74A7">
        <w:t>a)</w:t>
      </w:r>
      <w:r w:rsidRPr="003C74A7">
        <w:tab/>
      </w:r>
      <w:r>
        <w:rPr>
          <w:b/>
        </w:rPr>
        <w:t>De redoubler d’efforts pour mettre en place des services efficaces à l’échelle des collectivités afin de progresser sur la voie de la désinstitutionnalisation des femmes handicapées, en particulier de celles qui présentent un handicap psychosocial ou intellectuel</w:t>
      </w:r>
      <w:r w:rsidR="00F81FF8">
        <w:rPr>
          <w:b/>
        </w:rPr>
        <w:t> </w:t>
      </w:r>
      <w:r w:rsidRPr="003C74A7">
        <w:rPr>
          <w:b/>
        </w:rPr>
        <w:t xml:space="preserve">; </w:t>
      </w:r>
    </w:p>
    <w:p w:rsidR="00562BB0" w:rsidRPr="003C74A7" w:rsidRDefault="00562BB0" w:rsidP="00AC2F65">
      <w:pPr>
        <w:pStyle w:val="SingleTxtG"/>
        <w:ind w:firstLine="567"/>
        <w:rPr>
          <w:b/>
        </w:rPr>
      </w:pPr>
      <w:r w:rsidRPr="003C74A7">
        <w:t>b)</w:t>
      </w:r>
      <w:r w:rsidRPr="003C74A7">
        <w:tab/>
      </w:r>
      <w:r>
        <w:rPr>
          <w:b/>
        </w:rPr>
        <w:t>D’empêcher tout nouveau placement en institution</w:t>
      </w:r>
      <w:r w:rsidR="00F81FF8">
        <w:rPr>
          <w:b/>
        </w:rPr>
        <w:t> </w:t>
      </w:r>
      <w:r w:rsidRPr="003C74A7">
        <w:rPr>
          <w:b/>
        </w:rPr>
        <w:t xml:space="preserve">; </w:t>
      </w:r>
    </w:p>
    <w:p w:rsidR="00562BB0" w:rsidRPr="003C74A7" w:rsidRDefault="00562BB0" w:rsidP="00AC2F65">
      <w:pPr>
        <w:pStyle w:val="SingleTxtG"/>
        <w:ind w:firstLine="567"/>
        <w:rPr>
          <w:b/>
        </w:rPr>
      </w:pPr>
      <w:r w:rsidRPr="003C74A7">
        <w:t>c)</w:t>
      </w:r>
      <w:r w:rsidRPr="003C74A7">
        <w:tab/>
      </w:r>
      <w:r>
        <w:rPr>
          <w:b/>
        </w:rPr>
        <w:t>De prendre des mesures législatives, stratégiques et pratiques efficaces pour combattre la violence sexiste à l’égard des femmes handicapées qui vivent toujours en institution et pour prévenir les violations des droits de l’homme de ces femmes, enquêter sur ces violations, permettre aux victimes d’obtenir réparation et poursuivre en justice les responsables</w:t>
      </w:r>
      <w:r w:rsidR="00F81FF8">
        <w:rPr>
          <w:b/>
        </w:rPr>
        <w:t> </w:t>
      </w:r>
      <w:r w:rsidRPr="003C74A7">
        <w:rPr>
          <w:b/>
        </w:rPr>
        <w:t xml:space="preserve">; </w:t>
      </w:r>
    </w:p>
    <w:p w:rsidR="00562BB0" w:rsidRPr="003C74A7" w:rsidRDefault="00562BB0" w:rsidP="00AC2F65">
      <w:pPr>
        <w:pStyle w:val="SingleTxtG"/>
        <w:ind w:firstLine="567"/>
        <w:rPr>
          <w:b/>
        </w:rPr>
      </w:pPr>
      <w:r w:rsidRPr="003C74A7">
        <w:t>d)</w:t>
      </w:r>
      <w:r w:rsidRPr="003C74A7">
        <w:tab/>
      </w:r>
      <w:r>
        <w:rPr>
          <w:b/>
        </w:rPr>
        <w:t>De surveiller les institutions résidentielles</w:t>
      </w:r>
      <w:r w:rsidRPr="00B26C0F">
        <w:rPr>
          <w:b/>
        </w:rPr>
        <w:t xml:space="preserve"> en étroite collaboration avec les organisa</w:t>
      </w:r>
      <w:r>
        <w:rPr>
          <w:b/>
        </w:rPr>
        <w:t>tions de personnes handicapées pendant la période de transition</w:t>
      </w:r>
      <w:r w:rsidRPr="003C74A7">
        <w:rPr>
          <w:b/>
        </w:rPr>
        <w:t>.</w:t>
      </w:r>
    </w:p>
    <w:p w:rsidR="00562BB0" w:rsidRPr="0007644F" w:rsidRDefault="00562BB0" w:rsidP="00C71163">
      <w:pPr>
        <w:pStyle w:val="H23G"/>
      </w:pPr>
      <w:r w:rsidRPr="0007644F">
        <w:tab/>
      </w:r>
      <w:r w:rsidRPr="0007644F">
        <w:tab/>
      </w:r>
      <w:r>
        <w:t>Enfants handicapés</w:t>
      </w:r>
      <w:r w:rsidRPr="0007644F">
        <w:t xml:space="preserve"> (art.</w:t>
      </w:r>
      <w:r w:rsidR="00F908C4">
        <w:t> </w:t>
      </w:r>
      <w:r w:rsidRPr="0007644F">
        <w:t>7)</w:t>
      </w:r>
    </w:p>
    <w:p w:rsidR="00562BB0" w:rsidRPr="0007644F" w:rsidRDefault="00562BB0" w:rsidP="00C71163">
      <w:pPr>
        <w:pStyle w:val="SingleTxtG"/>
      </w:pPr>
      <w:r w:rsidRPr="0007644F">
        <w:t>16.</w:t>
      </w:r>
      <w:r w:rsidRPr="0007644F">
        <w:tab/>
      </w:r>
      <w:r>
        <w:t>Le Comité s’inquiète des attitudes tendant à stigmatiser les enfants handicapés, problème auquel s’ajoute un manque de services à l’échelle des collectivités.</w:t>
      </w:r>
      <w:r w:rsidRPr="0007644F">
        <w:t xml:space="preserve"> </w:t>
      </w:r>
      <w:r>
        <w:t>Il note également avec préoccupation que les enfants handicapés ne participent pas systématiquement à la prise de décisions concernant leur vie et n’ont pas la possibilité d’exprimer leur opinion sur des questions qui les concernent directement. Plus particulièrement, il relève avec préoccupation que les enfants handicapés</w:t>
      </w:r>
      <w:r w:rsidRPr="0007644F">
        <w:t>,</w:t>
      </w:r>
      <w:r>
        <w:t xml:space="preserve"> en particulier ceux qui présentent un handicap psychosocial ou intellectuel</w:t>
      </w:r>
      <w:r w:rsidRPr="0007644F">
        <w:t>,</w:t>
      </w:r>
      <w:r>
        <w:t xml:space="preserve"> sont placés dès leur plus jeune âge et pour leur vie entière en institution, où ils vivent dans des conditions inhumaines</w:t>
      </w:r>
      <w:r w:rsidRPr="0007644F">
        <w:t xml:space="preserve"> </w:t>
      </w:r>
      <w:r>
        <w:t>et sont exposés à des actes de négligence et isolés du reste de la population</w:t>
      </w:r>
      <w:r w:rsidRPr="0007644F">
        <w:t>.</w:t>
      </w:r>
    </w:p>
    <w:p w:rsidR="00562BB0" w:rsidRPr="003C74A7" w:rsidRDefault="00562BB0" w:rsidP="00C71163">
      <w:pPr>
        <w:pStyle w:val="SingleTxtG"/>
        <w:rPr>
          <w:b/>
        </w:rPr>
      </w:pPr>
      <w:r w:rsidRPr="003C74A7">
        <w:t>17.</w:t>
      </w:r>
      <w:r w:rsidRPr="003C74A7">
        <w:tab/>
      </w:r>
      <w:r w:rsidRPr="00F06820">
        <w:rPr>
          <w:b/>
        </w:rPr>
        <w:t>Le Comité recommande à l</w:t>
      </w:r>
      <w:r>
        <w:rPr>
          <w:b/>
        </w:rPr>
        <w:t>’</w:t>
      </w:r>
      <w:r w:rsidRPr="00F06820">
        <w:rPr>
          <w:b/>
        </w:rPr>
        <w:t xml:space="preserve">État partie </w:t>
      </w:r>
      <w:r>
        <w:rPr>
          <w:b/>
        </w:rPr>
        <w:t xml:space="preserve">de </w:t>
      </w:r>
      <w:r w:rsidRPr="003C74A7">
        <w:rPr>
          <w:b/>
        </w:rPr>
        <w:t>redouble</w:t>
      </w:r>
      <w:r>
        <w:rPr>
          <w:b/>
        </w:rPr>
        <w:t>r</w:t>
      </w:r>
      <w:r w:rsidRPr="003C74A7">
        <w:rPr>
          <w:b/>
        </w:rPr>
        <w:t xml:space="preserve"> </w:t>
      </w:r>
      <w:r>
        <w:rPr>
          <w:b/>
        </w:rPr>
        <w:t>d’</w:t>
      </w:r>
      <w:r w:rsidRPr="003C74A7">
        <w:rPr>
          <w:b/>
        </w:rPr>
        <w:t xml:space="preserve">efforts </w:t>
      </w:r>
      <w:r>
        <w:rPr>
          <w:b/>
        </w:rPr>
        <w:t>pour véhiculer une image positive des enfants handicapés et améliorer l’accès de ces enfants aux services ordinaires de soutien. Il lui recommande également de prendre des mesures pour garantir le droit qu’ont les enfants handicapés d’être consultés sur toutes les questions les concernant, et pour assurer à ces enfants un appui adapté à leur âge et à leur handicap de façon à leur permettre de réaliser ce droit</w:t>
      </w:r>
      <w:r w:rsidRPr="003C74A7">
        <w:rPr>
          <w:b/>
        </w:rPr>
        <w:t xml:space="preserve">. </w:t>
      </w:r>
      <w:r>
        <w:rPr>
          <w:b/>
        </w:rPr>
        <w:t xml:space="preserve">Il lui recommande en outre d’élaborer une stratégie nationale de désinstitutionnalisation des enfants handicapés qui s’appuie sur la protection de remplacement en famille d’accueil et sur des services et des structures de soutien inclusif au niveau local. </w:t>
      </w:r>
    </w:p>
    <w:p w:rsidR="00562BB0" w:rsidRPr="0007644F" w:rsidRDefault="00562BB0" w:rsidP="00C71163">
      <w:pPr>
        <w:pStyle w:val="H23G"/>
      </w:pPr>
      <w:r w:rsidRPr="0007644F">
        <w:tab/>
      </w:r>
      <w:r w:rsidRPr="0007644F">
        <w:tab/>
      </w:r>
      <w:r>
        <w:t>Sensibilisation</w:t>
      </w:r>
      <w:r w:rsidRPr="0007644F">
        <w:t xml:space="preserve"> (art. 8)</w:t>
      </w:r>
    </w:p>
    <w:p w:rsidR="00562BB0" w:rsidRPr="0007644F" w:rsidRDefault="00562BB0" w:rsidP="00C71163">
      <w:pPr>
        <w:pStyle w:val="SingleTxtG"/>
      </w:pPr>
      <w:r w:rsidRPr="0007644F">
        <w:t>18.</w:t>
      </w:r>
      <w:r w:rsidRPr="0007644F">
        <w:tab/>
      </w:r>
      <w:r w:rsidRPr="000E5A5F">
        <w:t>Le</w:t>
      </w:r>
      <w:r>
        <w:t xml:space="preserve"> Comité s’inquiète de la</w:t>
      </w:r>
      <w:r w:rsidRPr="0007644F">
        <w:t xml:space="preserve"> </w:t>
      </w:r>
      <w:r w:rsidRPr="00EF636A">
        <w:t>persistance</w:t>
      </w:r>
      <w:r>
        <w:t>, au sein de la société,</w:t>
      </w:r>
      <w:r w:rsidRPr="00EF636A">
        <w:t xml:space="preserve"> de stéréotypes négatifs </w:t>
      </w:r>
      <w:r>
        <w:t xml:space="preserve">et de préjugés à l’égard des personnes handicapées et de l’absence de vastes programmes de sensibilisation aux droits des personnes handicapées. </w:t>
      </w:r>
    </w:p>
    <w:p w:rsidR="00562BB0" w:rsidRPr="005B0DBC" w:rsidRDefault="00562BB0" w:rsidP="00C71163">
      <w:pPr>
        <w:pStyle w:val="SingleTxtG"/>
        <w:rPr>
          <w:b/>
        </w:rPr>
      </w:pPr>
      <w:r w:rsidRPr="0007644F">
        <w:t>19.</w:t>
      </w:r>
      <w:r w:rsidRPr="0007644F">
        <w:tab/>
      </w:r>
      <w:r w:rsidRPr="00F06820">
        <w:rPr>
          <w:b/>
        </w:rPr>
        <w:t>Le Comité recommande à l</w:t>
      </w:r>
      <w:r>
        <w:rPr>
          <w:b/>
        </w:rPr>
        <w:t>’</w:t>
      </w:r>
      <w:r w:rsidRPr="00F06820">
        <w:rPr>
          <w:b/>
        </w:rPr>
        <w:t>État partie</w:t>
      </w:r>
      <w:r>
        <w:rPr>
          <w:b/>
        </w:rPr>
        <w:t xml:space="preserve"> d’élaborer et de mettre en œuvre, e</w:t>
      </w:r>
      <w:r w:rsidRPr="005B0DBC">
        <w:rPr>
          <w:b/>
        </w:rPr>
        <w:t xml:space="preserve">n collaboration </w:t>
      </w:r>
      <w:r>
        <w:rPr>
          <w:b/>
        </w:rPr>
        <w:t xml:space="preserve">avec les organisations de personnes handicapées, des programmes de </w:t>
      </w:r>
      <w:r>
        <w:rPr>
          <w:b/>
        </w:rPr>
        <w:lastRenderedPageBreak/>
        <w:t>sensibilisation et d’éducation aux droits des personnes handicapées, notamment de sensibiliser à cette question les médias, les agents publics, les juges et les avocats, la police, les travailleurs sociaux et le grand public.</w:t>
      </w:r>
      <w:r w:rsidRPr="005B0DBC">
        <w:rPr>
          <w:b/>
        </w:rPr>
        <w:t xml:space="preserve"> </w:t>
      </w:r>
    </w:p>
    <w:p w:rsidR="00562BB0" w:rsidRPr="0007644F" w:rsidRDefault="00562BB0" w:rsidP="00C71163">
      <w:pPr>
        <w:pStyle w:val="H23G"/>
      </w:pPr>
      <w:r w:rsidRPr="0007644F">
        <w:tab/>
      </w:r>
      <w:r w:rsidRPr="0007644F">
        <w:tab/>
        <w:t>Accessibilit</w:t>
      </w:r>
      <w:r>
        <w:t>é</w:t>
      </w:r>
      <w:r w:rsidRPr="0007644F">
        <w:t xml:space="preserve"> (art. 9)</w:t>
      </w:r>
    </w:p>
    <w:p w:rsidR="00562BB0" w:rsidRPr="0007644F" w:rsidRDefault="00562BB0" w:rsidP="00C71163">
      <w:pPr>
        <w:pStyle w:val="SingleTxtG"/>
      </w:pPr>
      <w:r w:rsidRPr="0007644F">
        <w:t>20.</w:t>
      </w:r>
      <w:r w:rsidRPr="0007644F">
        <w:tab/>
      </w:r>
      <w:r>
        <w:t>Le Comité s’inquiète du manque général d’accessibilité pour les personnes handicapées dans l’État partie</w:t>
      </w:r>
      <w:r w:rsidRPr="0007644F">
        <w:t xml:space="preserve">. </w:t>
      </w:r>
      <w:r>
        <w:t>Il note avec préoccupation que les dispositions des lois n</w:t>
      </w:r>
      <w:r w:rsidRPr="00425F46">
        <w:rPr>
          <w:vertAlign w:val="superscript"/>
        </w:rPr>
        <w:t>os</w:t>
      </w:r>
      <w:r w:rsidR="00F908C4">
        <w:t> </w:t>
      </w:r>
      <w:r>
        <w:t xml:space="preserve">121 et 60, et </w:t>
      </w:r>
      <w:r w:rsidRPr="00BF781A">
        <w:t xml:space="preserve">de la décision gouvernementale </w:t>
      </w:r>
      <w:r w:rsidR="00F908C4">
        <w:t>n</w:t>
      </w:r>
      <w:r w:rsidR="00F908C4" w:rsidRPr="00F908C4">
        <w:rPr>
          <w:vertAlign w:val="superscript"/>
        </w:rPr>
        <w:t>o</w:t>
      </w:r>
      <w:r w:rsidR="00F908C4">
        <w:t> </w:t>
      </w:r>
      <w:r w:rsidRPr="00BF781A">
        <w:t>599</w:t>
      </w:r>
      <w:r>
        <w:t xml:space="preserve"> qui garantissent l’accessibilité aux personnes handicapées et l’élimination des obstacles à l’accès aux structures et aux services publics tels que les transports et les services d’information et de communication sont peu appliquées.</w:t>
      </w:r>
      <w:r w:rsidRPr="0007644F">
        <w:t xml:space="preserve"> </w:t>
      </w:r>
      <w:r>
        <w:t>Il relève également avec préoccupation que les sanctions prévues par le Code des contraventions</w:t>
      </w:r>
      <w:r w:rsidRPr="0007644F">
        <w:t xml:space="preserve"> </w:t>
      </w:r>
      <w:r>
        <w:t>en cas de non-respect de l’obligation de garantir l’accessibilité ne couvrent pas tous les domaines</w:t>
      </w:r>
      <w:r w:rsidRPr="0007644F">
        <w:t xml:space="preserve"> </w:t>
      </w:r>
      <w:r>
        <w:t>et sont rarement prononcées</w:t>
      </w:r>
      <w:r w:rsidRPr="0007644F">
        <w:t>.</w:t>
      </w:r>
    </w:p>
    <w:p w:rsidR="00562BB0" w:rsidRPr="0007644F" w:rsidRDefault="00562BB0" w:rsidP="00C71163">
      <w:pPr>
        <w:pStyle w:val="SingleTxtG"/>
        <w:keepNext/>
      </w:pPr>
      <w:r w:rsidRPr="0007644F">
        <w:t>21.</w:t>
      </w:r>
      <w:r w:rsidRPr="0007644F">
        <w:tab/>
      </w:r>
      <w:r>
        <w:rPr>
          <w:b/>
        </w:rPr>
        <w:t>Le Comité recommande à l’État partie</w:t>
      </w:r>
      <w:r w:rsidR="00C71163">
        <w:rPr>
          <w:b/>
        </w:rPr>
        <w:t> </w:t>
      </w:r>
      <w:r w:rsidRPr="0041226D">
        <w:rPr>
          <w:b/>
        </w:rPr>
        <w:t>:</w:t>
      </w:r>
    </w:p>
    <w:p w:rsidR="00562BB0" w:rsidRPr="00C71163" w:rsidRDefault="00562BB0" w:rsidP="00123A21">
      <w:pPr>
        <w:pStyle w:val="SingleTxtG"/>
        <w:ind w:firstLine="567"/>
        <w:rPr>
          <w:b/>
        </w:rPr>
      </w:pPr>
      <w:r w:rsidRPr="00C71163">
        <w:t>a)</w:t>
      </w:r>
      <w:r w:rsidRPr="00C71163">
        <w:tab/>
      </w:r>
      <w:r w:rsidRPr="00C71163">
        <w:rPr>
          <w:b/>
        </w:rPr>
        <w:t>De prendre toutes les mesures nécessaires pour mettre en œuvre les garanties juridiques de l’accessibilité dans tous les domaines, notamment l’urbanisme, la construction et les services publics</w:t>
      </w:r>
      <w:r w:rsidR="00123A21">
        <w:rPr>
          <w:b/>
        </w:rPr>
        <w:t> </w:t>
      </w:r>
      <w:r w:rsidRPr="00C71163">
        <w:rPr>
          <w:b/>
        </w:rPr>
        <w:t xml:space="preserve">; </w:t>
      </w:r>
    </w:p>
    <w:p w:rsidR="00562BB0" w:rsidRPr="00C71163" w:rsidRDefault="00562BB0" w:rsidP="00123A21">
      <w:pPr>
        <w:pStyle w:val="SingleTxtG"/>
        <w:ind w:firstLine="567"/>
        <w:rPr>
          <w:b/>
        </w:rPr>
      </w:pPr>
      <w:r w:rsidRPr="00C71163">
        <w:t>b)</w:t>
      </w:r>
      <w:r w:rsidRPr="00C71163">
        <w:tab/>
      </w:r>
      <w:r w:rsidRPr="00C71163">
        <w:rPr>
          <w:b/>
        </w:rPr>
        <w:t>D’élargir l’éventail des sanctions applicables en cas de non-respect des critères d’accessibilité de façon à couvrir tous les domaines et de veiller à ce que ces sanctions soient pleinement appliquées</w:t>
      </w:r>
      <w:r w:rsidR="00123A21">
        <w:rPr>
          <w:b/>
        </w:rPr>
        <w:t> </w:t>
      </w:r>
      <w:r w:rsidRPr="00C71163">
        <w:rPr>
          <w:b/>
        </w:rPr>
        <w:t xml:space="preserve">; </w:t>
      </w:r>
    </w:p>
    <w:p w:rsidR="00562BB0" w:rsidRPr="00C71163" w:rsidRDefault="00562BB0" w:rsidP="00123A21">
      <w:pPr>
        <w:pStyle w:val="SingleTxtG"/>
        <w:ind w:firstLine="567"/>
        <w:rPr>
          <w:b/>
        </w:rPr>
      </w:pPr>
      <w:r w:rsidRPr="00C71163">
        <w:t>c)</w:t>
      </w:r>
      <w:r w:rsidRPr="00C71163">
        <w:tab/>
      </w:r>
      <w:r w:rsidRPr="00C71163">
        <w:rPr>
          <w:b/>
        </w:rPr>
        <w:t>D’adopter un plan d’action en faveur de l’accessibilité qui soit soumis à un calendrier, de le mettre à exécution et d’en assurer le suivi en étroite collaboration avec les personnes handicapées, par l’intermédiaire des organisations qui les représentent</w:t>
      </w:r>
      <w:r w:rsidR="00123A21">
        <w:rPr>
          <w:b/>
        </w:rPr>
        <w:t> </w:t>
      </w:r>
      <w:r w:rsidRPr="00C71163">
        <w:rPr>
          <w:b/>
        </w:rPr>
        <w:t xml:space="preserve">; </w:t>
      </w:r>
    </w:p>
    <w:p w:rsidR="00562BB0" w:rsidRPr="00C71163" w:rsidRDefault="00562BB0" w:rsidP="00123A21">
      <w:pPr>
        <w:pStyle w:val="SingleTxtG"/>
        <w:ind w:firstLine="567"/>
        <w:rPr>
          <w:b/>
        </w:rPr>
      </w:pPr>
      <w:r w:rsidRPr="00C71163">
        <w:t>d)</w:t>
      </w:r>
      <w:r w:rsidRPr="00C71163">
        <w:tab/>
      </w:r>
      <w:r w:rsidRPr="00C71163">
        <w:rPr>
          <w:b/>
        </w:rPr>
        <w:t>De s’intéresser au lien existant entre l’article 9 de la Convention et l’objectif 9 et les cibles 11.2 et 11.7 des objectifs de développement durable.</w:t>
      </w:r>
    </w:p>
    <w:p w:rsidR="00562BB0" w:rsidRPr="0007644F" w:rsidRDefault="00562BB0" w:rsidP="00616FF7">
      <w:pPr>
        <w:pStyle w:val="H23G"/>
      </w:pPr>
      <w:bookmarkStart w:id="2" w:name="_Toc422212716"/>
      <w:r w:rsidRPr="0007644F">
        <w:tab/>
      </w:r>
      <w:r w:rsidRPr="0007644F">
        <w:tab/>
        <w:t xml:space="preserve">Situations </w:t>
      </w:r>
      <w:r>
        <w:t>de risque et situations d’urgence humanitaire</w:t>
      </w:r>
      <w:r w:rsidRPr="0007644F">
        <w:t xml:space="preserve"> (art. 11)</w:t>
      </w:r>
      <w:bookmarkEnd w:id="2"/>
    </w:p>
    <w:p w:rsidR="00562BB0" w:rsidRPr="0007644F" w:rsidRDefault="00562BB0" w:rsidP="00616FF7">
      <w:pPr>
        <w:pStyle w:val="SingleTxtG"/>
      </w:pPr>
      <w:r w:rsidRPr="0007644F">
        <w:t>22.</w:t>
      </w:r>
      <w:r w:rsidRPr="0007644F">
        <w:tab/>
      </w:r>
      <w:r>
        <w:t>Le Comité</w:t>
      </w:r>
      <w:r w:rsidRPr="0007644F">
        <w:t xml:space="preserve"> </w:t>
      </w:r>
      <w:r>
        <w:t>relève avec préoccupation que la législation et les plans concernant les situations</w:t>
      </w:r>
      <w:r w:rsidRPr="0007644F">
        <w:t xml:space="preserve"> </w:t>
      </w:r>
      <w:r>
        <w:t>de risque et les situations d’urgence humanitaire</w:t>
      </w:r>
      <w:r w:rsidRPr="0007644F">
        <w:t xml:space="preserve">, </w:t>
      </w:r>
      <w:r>
        <w:t xml:space="preserve">notamment la loi </w:t>
      </w:r>
      <w:r w:rsidR="00F908C4">
        <w:t>n</w:t>
      </w:r>
      <w:r w:rsidR="00F908C4" w:rsidRPr="00F908C4">
        <w:rPr>
          <w:vertAlign w:val="superscript"/>
        </w:rPr>
        <w:t>o</w:t>
      </w:r>
      <w:r w:rsidR="00F908C4">
        <w:t> </w:t>
      </w:r>
      <w:r w:rsidRPr="0007644F">
        <w:t xml:space="preserve">1491 </w:t>
      </w:r>
      <w:r>
        <w:t>sur l’aide humanitaire</w:t>
      </w:r>
      <w:r w:rsidRPr="0007644F">
        <w:t xml:space="preserve">, </w:t>
      </w:r>
      <w:r>
        <w:t>ne tiennent pas compte des besoins des personnes handicapées</w:t>
      </w:r>
      <w:r w:rsidRPr="0007644F">
        <w:t>.</w:t>
      </w:r>
    </w:p>
    <w:p w:rsidR="00562BB0" w:rsidRPr="005B0DBC" w:rsidRDefault="00562BB0" w:rsidP="00616FF7">
      <w:pPr>
        <w:pStyle w:val="SingleTxtG"/>
        <w:rPr>
          <w:b/>
        </w:rPr>
      </w:pPr>
      <w:r w:rsidRPr="0007644F">
        <w:t>23.</w:t>
      </w:r>
      <w:r w:rsidRPr="0007644F">
        <w:tab/>
      </w:r>
      <w:r w:rsidRPr="00F06820">
        <w:rPr>
          <w:b/>
        </w:rPr>
        <w:t>Le Comité recommande à l</w:t>
      </w:r>
      <w:r>
        <w:rPr>
          <w:b/>
        </w:rPr>
        <w:t>’</w:t>
      </w:r>
      <w:r w:rsidRPr="00F06820">
        <w:rPr>
          <w:b/>
        </w:rPr>
        <w:t>État partie</w:t>
      </w:r>
      <w:r>
        <w:rPr>
          <w:b/>
        </w:rPr>
        <w:t xml:space="preserve"> d’introduire la question du handicap dans tous les textes de loi et plans relatifs aux situations de risque et aux situations d’urgence humanitaire et d’adopter des mesures conformes au</w:t>
      </w:r>
      <w:r w:rsidRPr="005B0DBC">
        <w:rPr>
          <w:b/>
        </w:rPr>
        <w:t xml:space="preserve"> </w:t>
      </w:r>
      <w:r w:rsidRPr="00F71BBE">
        <w:rPr>
          <w:b/>
        </w:rPr>
        <w:t xml:space="preserve">Cadre de </w:t>
      </w:r>
      <w:r w:rsidRPr="00F71BBE">
        <w:rPr>
          <w:b/>
          <w:iCs/>
        </w:rPr>
        <w:t>Sendai</w:t>
      </w:r>
      <w:r w:rsidRPr="00F71BBE">
        <w:rPr>
          <w:b/>
        </w:rPr>
        <w:t xml:space="preserve"> pour la réduction des risques de catastrophe</w:t>
      </w:r>
      <w:r w:rsidRPr="005B0DBC">
        <w:rPr>
          <w:b/>
        </w:rPr>
        <w:t xml:space="preserve"> </w:t>
      </w:r>
      <w:r>
        <w:rPr>
          <w:b/>
        </w:rPr>
        <w:t>(</w:t>
      </w:r>
      <w:r w:rsidRPr="005B0DBC">
        <w:rPr>
          <w:b/>
        </w:rPr>
        <w:t>2015-2030</w:t>
      </w:r>
      <w:r>
        <w:rPr>
          <w:b/>
        </w:rPr>
        <w:t>)</w:t>
      </w:r>
      <w:r w:rsidRPr="005B0DBC">
        <w:rPr>
          <w:b/>
        </w:rPr>
        <w:t>.</w:t>
      </w:r>
    </w:p>
    <w:p w:rsidR="00562BB0" w:rsidRPr="0007644F" w:rsidRDefault="00562BB0" w:rsidP="00616FF7">
      <w:pPr>
        <w:pStyle w:val="H23G"/>
      </w:pPr>
      <w:r w:rsidRPr="0007644F">
        <w:tab/>
      </w:r>
      <w:r w:rsidRPr="0007644F">
        <w:tab/>
      </w:r>
      <w:r>
        <w:t>Reconnaissance de la personnalité juridique dans des conditions d’égalité</w:t>
      </w:r>
      <w:r w:rsidRPr="0007644F">
        <w:t xml:space="preserve"> (art.</w:t>
      </w:r>
      <w:r w:rsidR="00F908C4">
        <w:t> </w:t>
      </w:r>
      <w:r w:rsidRPr="0007644F">
        <w:t>12)</w:t>
      </w:r>
    </w:p>
    <w:p w:rsidR="00562BB0" w:rsidRPr="0007644F" w:rsidRDefault="00562BB0" w:rsidP="00616FF7">
      <w:pPr>
        <w:pStyle w:val="SingleTxtG"/>
      </w:pPr>
      <w:r w:rsidRPr="0007644F">
        <w:t>24.</w:t>
      </w:r>
      <w:r w:rsidRPr="0007644F">
        <w:tab/>
      </w:r>
      <w:r>
        <w:t>Le Comité</w:t>
      </w:r>
      <w:r w:rsidRPr="0007644F">
        <w:t xml:space="preserve"> note</w:t>
      </w:r>
      <w:r>
        <w:t xml:space="preserve"> avec préoccupation que le Code civil contient,</w:t>
      </w:r>
      <w:r w:rsidRPr="00F71BBE">
        <w:t xml:space="preserve"> </w:t>
      </w:r>
      <w:r>
        <w:t>plus particulièrement en son article</w:t>
      </w:r>
      <w:r w:rsidR="00F908C4">
        <w:t> </w:t>
      </w:r>
      <w:r>
        <w:t>24, des dispositions discriminatoires qui permettent de priver une personne de sa capacité juridique et de désigner pour elle un tuteur au motif de son handicap</w:t>
      </w:r>
      <w:r w:rsidRPr="0007644F">
        <w:t xml:space="preserve"> psychosocial </w:t>
      </w:r>
      <w:r>
        <w:t>ou</w:t>
      </w:r>
      <w:r w:rsidRPr="0007644F">
        <w:t xml:space="preserve"> intellectu</w:t>
      </w:r>
      <w:r>
        <w:t>el</w:t>
      </w:r>
      <w:r w:rsidRPr="0007644F">
        <w:t xml:space="preserve">. </w:t>
      </w:r>
      <w:r>
        <w:t xml:space="preserve">Il note également avec préoccupation qu’en dépit des efforts faits à l’heure actuelle pour réviser la législation sur ce point, les dispositions en cause, une fois modifiées, risquent de n’être toujours pas conformes à la Convention, et qu’aucun mécanisme n’a été mis en place pour remplacer le système de la </w:t>
      </w:r>
      <w:r w:rsidRPr="002D227F">
        <w:t xml:space="preserve">prise de décisions </w:t>
      </w:r>
      <w:r>
        <w:t>au nom d’autrui par un régime de prise de décisions assistée</w:t>
      </w:r>
      <w:r w:rsidRPr="0007644F">
        <w:t>.</w:t>
      </w:r>
    </w:p>
    <w:p w:rsidR="00562BB0" w:rsidRPr="006C32AB" w:rsidRDefault="00562BB0" w:rsidP="00616FF7">
      <w:pPr>
        <w:pStyle w:val="SingleTxtG"/>
        <w:keepNext/>
        <w:rPr>
          <w:b/>
        </w:rPr>
      </w:pPr>
      <w:r w:rsidRPr="006C32AB">
        <w:t>25.</w:t>
      </w:r>
      <w:r w:rsidRPr="006C32AB">
        <w:tab/>
      </w:r>
      <w:r>
        <w:rPr>
          <w:b/>
        </w:rPr>
        <w:t xml:space="preserve">Rappelant son observation générale </w:t>
      </w:r>
      <w:r w:rsidR="00F908C4" w:rsidRPr="00F908C4">
        <w:rPr>
          <w:b/>
        </w:rPr>
        <w:t>n</w:t>
      </w:r>
      <w:r w:rsidR="00F908C4" w:rsidRPr="00F908C4">
        <w:rPr>
          <w:b/>
          <w:vertAlign w:val="superscript"/>
        </w:rPr>
        <w:t>o</w:t>
      </w:r>
      <w:r w:rsidR="00F908C4" w:rsidRPr="00F908C4">
        <w:rPr>
          <w:b/>
        </w:rPr>
        <w:t> </w:t>
      </w:r>
      <w:r>
        <w:rPr>
          <w:b/>
        </w:rPr>
        <w:t>1</w:t>
      </w:r>
      <w:r w:rsidRPr="006C32AB">
        <w:rPr>
          <w:b/>
        </w:rPr>
        <w:t xml:space="preserve"> (2014) </w:t>
      </w:r>
      <w:r>
        <w:rPr>
          <w:b/>
        </w:rPr>
        <w:t>sur la reconnaissance de la personnalité juridique dans des conditions d’égalité</w:t>
      </w:r>
      <w:r w:rsidRPr="006C32AB">
        <w:rPr>
          <w:b/>
        </w:rPr>
        <w:t xml:space="preserve">, </w:t>
      </w:r>
      <w:r>
        <w:rPr>
          <w:b/>
        </w:rPr>
        <w:t>le Comité recommande à l’État partie</w:t>
      </w:r>
      <w:r w:rsidR="00AA262C">
        <w:rPr>
          <w:b/>
        </w:rPr>
        <w:t> </w:t>
      </w:r>
      <w:r w:rsidRPr="006C32AB">
        <w:rPr>
          <w:b/>
        </w:rPr>
        <w:t>:</w:t>
      </w:r>
    </w:p>
    <w:p w:rsidR="00562BB0" w:rsidRPr="006C32AB" w:rsidRDefault="00562BB0" w:rsidP="00616FF7">
      <w:pPr>
        <w:pStyle w:val="SingleTxtG"/>
        <w:ind w:firstLine="567"/>
        <w:rPr>
          <w:b/>
        </w:rPr>
      </w:pPr>
      <w:r w:rsidRPr="006C32AB">
        <w:t>a)</w:t>
      </w:r>
      <w:r w:rsidRPr="006C32AB">
        <w:tab/>
      </w:r>
      <w:r>
        <w:rPr>
          <w:b/>
        </w:rPr>
        <w:t>D’abroger les dispositions législatives discriminatoires figurant dans le</w:t>
      </w:r>
      <w:r w:rsidR="00F908C4">
        <w:rPr>
          <w:b/>
        </w:rPr>
        <w:t> </w:t>
      </w:r>
      <w:r>
        <w:rPr>
          <w:b/>
        </w:rPr>
        <w:t>Code civil, notamment à l’</w:t>
      </w:r>
      <w:r w:rsidRPr="006C32AB">
        <w:rPr>
          <w:b/>
        </w:rPr>
        <w:t>article</w:t>
      </w:r>
      <w:r w:rsidR="00F908C4">
        <w:rPr>
          <w:b/>
        </w:rPr>
        <w:t> </w:t>
      </w:r>
      <w:r w:rsidRPr="006C32AB">
        <w:rPr>
          <w:b/>
        </w:rPr>
        <w:t>24</w:t>
      </w:r>
      <w:r w:rsidR="00AA262C">
        <w:rPr>
          <w:b/>
        </w:rPr>
        <w:t> </w:t>
      </w:r>
      <w:r w:rsidRPr="006C32AB">
        <w:rPr>
          <w:b/>
        </w:rPr>
        <w:t xml:space="preserve">; </w:t>
      </w:r>
    </w:p>
    <w:p w:rsidR="00562BB0" w:rsidRPr="006C32AB" w:rsidRDefault="00562BB0" w:rsidP="00616FF7">
      <w:pPr>
        <w:pStyle w:val="SingleTxtG"/>
        <w:ind w:firstLine="567"/>
        <w:rPr>
          <w:b/>
        </w:rPr>
      </w:pPr>
      <w:r w:rsidRPr="006C32AB">
        <w:t>b)</w:t>
      </w:r>
      <w:r w:rsidRPr="006C32AB">
        <w:rPr>
          <w:b/>
        </w:rPr>
        <w:tab/>
      </w:r>
      <w:r>
        <w:rPr>
          <w:b/>
        </w:rPr>
        <w:t>De rétablir la pleine capacité juridique de toutes les personnes handicapées et de revoir le régime de tutelle en vue de mettre en place des mécanismes de prise de décisions assistée</w:t>
      </w:r>
      <w:r w:rsidR="00AA262C">
        <w:rPr>
          <w:b/>
        </w:rPr>
        <w:t> </w:t>
      </w:r>
      <w:r w:rsidRPr="006C32AB">
        <w:rPr>
          <w:b/>
        </w:rPr>
        <w:t xml:space="preserve">; </w:t>
      </w:r>
    </w:p>
    <w:p w:rsidR="00562BB0" w:rsidRPr="006C32AB" w:rsidRDefault="00562BB0" w:rsidP="00616FF7">
      <w:pPr>
        <w:pStyle w:val="SingleTxtG"/>
        <w:ind w:firstLine="567"/>
        <w:rPr>
          <w:b/>
        </w:rPr>
      </w:pPr>
      <w:r w:rsidRPr="006C32AB">
        <w:lastRenderedPageBreak/>
        <w:t>c)</w:t>
      </w:r>
      <w:r w:rsidRPr="006C32AB">
        <w:tab/>
      </w:r>
      <w:r>
        <w:rPr>
          <w:b/>
        </w:rPr>
        <w:t>De dispenser, aux niveaux</w:t>
      </w:r>
      <w:r w:rsidRPr="006C32AB">
        <w:rPr>
          <w:b/>
        </w:rPr>
        <w:t xml:space="preserve"> national, régional</w:t>
      </w:r>
      <w:r>
        <w:rPr>
          <w:b/>
        </w:rPr>
        <w:t xml:space="preserve"> et local et en</w:t>
      </w:r>
      <w:r w:rsidRPr="006C32AB">
        <w:rPr>
          <w:b/>
        </w:rPr>
        <w:t xml:space="preserve"> consultation </w:t>
      </w:r>
      <w:r>
        <w:rPr>
          <w:b/>
        </w:rPr>
        <w:t>avec les organisations de personnes handicapées</w:t>
      </w:r>
      <w:r w:rsidRPr="006C32AB">
        <w:rPr>
          <w:b/>
        </w:rPr>
        <w:t xml:space="preserve"> </w:t>
      </w:r>
      <w:r>
        <w:rPr>
          <w:b/>
        </w:rPr>
        <w:t>et</w:t>
      </w:r>
      <w:r w:rsidRPr="006C32AB">
        <w:rPr>
          <w:b/>
        </w:rPr>
        <w:t xml:space="preserve"> </w:t>
      </w:r>
      <w:r>
        <w:rPr>
          <w:b/>
        </w:rPr>
        <w:t>le Médiateur</w:t>
      </w:r>
      <w:r w:rsidRPr="006C32AB">
        <w:rPr>
          <w:b/>
        </w:rPr>
        <w:t xml:space="preserve">, </w:t>
      </w:r>
      <w:r>
        <w:rPr>
          <w:b/>
        </w:rPr>
        <w:t>une formation concernant la reconnaissance de la capacité juridique des personnes handicapées et les bonnes pratiques observées en matière de prise de décisions assistée</w:t>
      </w:r>
      <w:r w:rsidRPr="003104C3">
        <w:rPr>
          <w:b/>
        </w:rPr>
        <w:t xml:space="preserve"> </w:t>
      </w:r>
      <w:r>
        <w:rPr>
          <w:b/>
        </w:rPr>
        <w:t>à l’intention de toutes les parties prenantes, notamment des fonctionnaires, des juges et des travailleurs sociaux</w:t>
      </w:r>
      <w:r w:rsidRPr="006C32AB">
        <w:rPr>
          <w:b/>
        </w:rPr>
        <w:t xml:space="preserve">. </w:t>
      </w:r>
    </w:p>
    <w:p w:rsidR="00562BB0" w:rsidRPr="0007644F" w:rsidRDefault="00562BB0" w:rsidP="00AA262C">
      <w:pPr>
        <w:pStyle w:val="H23G"/>
      </w:pPr>
      <w:r w:rsidRPr="0007644F">
        <w:tab/>
      </w:r>
      <w:r w:rsidRPr="0007644F">
        <w:tab/>
      </w:r>
      <w:r>
        <w:t>Accès à la</w:t>
      </w:r>
      <w:r w:rsidRPr="0007644F">
        <w:t xml:space="preserve"> justice (art.</w:t>
      </w:r>
      <w:r w:rsidR="00FE644A">
        <w:t> </w:t>
      </w:r>
      <w:r w:rsidRPr="0007644F">
        <w:t xml:space="preserve">13) </w:t>
      </w:r>
    </w:p>
    <w:p w:rsidR="00562BB0" w:rsidRPr="0007644F" w:rsidRDefault="00562BB0" w:rsidP="00AA262C">
      <w:pPr>
        <w:pStyle w:val="SingleTxtG"/>
        <w:keepNext/>
      </w:pPr>
      <w:r w:rsidRPr="0007644F">
        <w:t>26.</w:t>
      </w:r>
      <w:r w:rsidRPr="0007644F">
        <w:tab/>
      </w:r>
      <w:r>
        <w:t>Le Comité est préoccupé par le manque d’informations sur les mesures et les règles visant spécifiquement à garantir aux personnes handicapées des aménagements tenant compte de leur âge et de leur sexe dans les procédures judiciaires, notamment des services d’interprétation en langue des signes pour les personnes sourdes</w:t>
      </w:r>
      <w:r w:rsidRPr="00C50ACD">
        <w:t xml:space="preserve"> </w:t>
      </w:r>
      <w:r>
        <w:t>et des formes de communication accessibles aux sourds et aveugles</w:t>
      </w:r>
      <w:r w:rsidRPr="0007644F">
        <w:t xml:space="preserve"> </w:t>
      </w:r>
      <w:r>
        <w:t xml:space="preserve">et aux personnes présentant un handicap </w:t>
      </w:r>
      <w:r w:rsidRPr="0007644F">
        <w:t>psychosocial o</w:t>
      </w:r>
      <w:r>
        <w:t>u</w:t>
      </w:r>
      <w:r w:rsidRPr="0007644F">
        <w:t xml:space="preserve"> intellectu</w:t>
      </w:r>
      <w:r>
        <w:t>e</w:t>
      </w:r>
      <w:r w:rsidRPr="0007644F">
        <w:t xml:space="preserve">l. </w:t>
      </w:r>
      <w:r>
        <w:t>Il note avec préoccupation</w:t>
      </w:r>
      <w:r w:rsidR="00AA262C">
        <w:t> </w:t>
      </w:r>
      <w:r w:rsidRPr="0007644F">
        <w:t>:</w:t>
      </w:r>
    </w:p>
    <w:p w:rsidR="00562BB0" w:rsidRPr="0007644F" w:rsidRDefault="00562BB0" w:rsidP="00616FF7">
      <w:pPr>
        <w:pStyle w:val="SingleTxtG"/>
        <w:ind w:firstLine="567"/>
      </w:pPr>
      <w:r w:rsidRPr="0007644F">
        <w:t>a)</w:t>
      </w:r>
      <w:r w:rsidRPr="0007644F">
        <w:tab/>
      </w:r>
      <w:r>
        <w:t>Que les personnes handicapées, en particulier celles qui présentent un handicap psychosocial ou intellectuel, sont victimes de préjugés</w:t>
      </w:r>
      <w:r w:rsidR="00AA262C">
        <w:t> </w:t>
      </w:r>
      <w:r w:rsidRPr="0007644F">
        <w:t xml:space="preserve">; </w:t>
      </w:r>
    </w:p>
    <w:p w:rsidR="00562BB0" w:rsidRPr="0007644F" w:rsidRDefault="00562BB0" w:rsidP="00616FF7">
      <w:pPr>
        <w:pStyle w:val="SingleTxtG"/>
        <w:ind w:firstLine="567"/>
      </w:pPr>
      <w:r w:rsidRPr="0007644F">
        <w:t>b)</w:t>
      </w:r>
      <w:r w:rsidRPr="0007644F">
        <w:tab/>
      </w:r>
      <w:r>
        <w:t>Que les personnes handicapées, en particulier celles qui vivent encore en institution, n’ont pas accès à l’aide juridictionnelle</w:t>
      </w:r>
      <w:r w:rsidR="00AA262C">
        <w:t> </w:t>
      </w:r>
      <w:r w:rsidRPr="0007644F">
        <w:t xml:space="preserve">; </w:t>
      </w:r>
    </w:p>
    <w:p w:rsidR="00562BB0" w:rsidRPr="0007644F" w:rsidRDefault="00562BB0" w:rsidP="00616FF7">
      <w:pPr>
        <w:pStyle w:val="SingleTxtG"/>
        <w:ind w:firstLine="567"/>
      </w:pPr>
      <w:r w:rsidRPr="0007644F">
        <w:t>c)</w:t>
      </w:r>
      <w:r w:rsidRPr="0007644F">
        <w:tab/>
      </w:r>
      <w:r>
        <w:t xml:space="preserve">Que les femmes handicapées n’ont pas accès à la </w:t>
      </w:r>
      <w:r w:rsidRPr="006C2E88">
        <w:t>justice dans le cadre des procédures pénales liées à des faits de violence sexis</w:t>
      </w:r>
      <w:r>
        <w:t>te</w:t>
      </w:r>
      <w:r w:rsidRPr="0007644F">
        <w:t xml:space="preserve">. </w:t>
      </w:r>
    </w:p>
    <w:p w:rsidR="00562BB0" w:rsidRPr="006C32AB" w:rsidRDefault="00562BB0" w:rsidP="00AA262C">
      <w:pPr>
        <w:pStyle w:val="SingleTxtG"/>
        <w:keepNext/>
        <w:rPr>
          <w:b/>
        </w:rPr>
      </w:pPr>
      <w:r w:rsidRPr="0007644F">
        <w:t>27.</w:t>
      </w:r>
      <w:r w:rsidRPr="0007644F">
        <w:tab/>
      </w:r>
      <w:r>
        <w:rPr>
          <w:b/>
        </w:rPr>
        <w:t>Le Comité recommande à l’État partie</w:t>
      </w:r>
      <w:r w:rsidR="00AA262C">
        <w:rPr>
          <w:b/>
        </w:rPr>
        <w:t> </w:t>
      </w:r>
      <w:r w:rsidRPr="006C32AB">
        <w:rPr>
          <w:b/>
        </w:rPr>
        <w:t xml:space="preserve">: </w:t>
      </w:r>
    </w:p>
    <w:p w:rsidR="00562BB0" w:rsidRPr="006C32AB" w:rsidRDefault="00562BB0" w:rsidP="00616FF7">
      <w:pPr>
        <w:pStyle w:val="SingleTxtG"/>
        <w:ind w:firstLine="567"/>
        <w:rPr>
          <w:b/>
        </w:rPr>
      </w:pPr>
      <w:r w:rsidRPr="00A7708E">
        <w:t>a)</w:t>
      </w:r>
      <w:r w:rsidRPr="00A7708E">
        <w:tab/>
      </w:r>
      <w:r>
        <w:rPr>
          <w:b/>
        </w:rPr>
        <w:t>De proposer des aménagements procéduraux qui tiennent compte du sexe et de l’âge des personnes handicapées et soient fondés sur le libre choix et les préférences de ces personnes, et de mettre en place les garanties correspondantes pour permettre aux personnes handicapées de participer à toutes les procédures judiciaires dans des conditions d’égalité avec le reste de la population </w:t>
      </w:r>
      <w:r w:rsidRPr="006C32AB">
        <w:rPr>
          <w:b/>
        </w:rPr>
        <w:t>;</w:t>
      </w:r>
    </w:p>
    <w:p w:rsidR="00562BB0" w:rsidRPr="006C32AB" w:rsidRDefault="00562BB0" w:rsidP="00616FF7">
      <w:pPr>
        <w:pStyle w:val="SingleTxtG"/>
        <w:ind w:firstLine="567"/>
        <w:rPr>
          <w:b/>
        </w:rPr>
      </w:pPr>
      <w:r w:rsidRPr="0007644F">
        <w:t>b)</w:t>
      </w:r>
      <w:r w:rsidRPr="0007644F">
        <w:tab/>
      </w:r>
      <w:r>
        <w:rPr>
          <w:b/>
        </w:rPr>
        <w:t>De mettre en œuvre des programmes de formation et de renforcement des capacités relatifs à la</w:t>
      </w:r>
      <w:r w:rsidRPr="004B2F9C">
        <w:rPr>
          <w:b/>
        </w:rPr>
        <w:t xml:space="preserve"> </w:t>
      </w:r>
      <w:r w:rsidRPr="006C32AB">
        <w:rPr>
          <w:b/>
        </w:rPr>
        <w:t xml:space="preserve">Convention </w:t>
      </w:r>
      <w:r>
        <w:rPr>
          <w:b/>
        </w:rPr>
        <w:t>afin de permettre aux responsables de l’application des lois et aux personnes handicapées de mieux connaître la législation</w:t>
      </w:r>
      <w:r w:rsidR="00AA262C">
        <w:rPr>
          <w:b/>
        </w:rPr>
        <w:t> </w:t>
      </w:r>
      <w:r w:rsidRPr="006C32AB">
        <w:rPr>
          <w:b/>
        </w:rPr>
        <w:t>;</w:t>
      </w:r>
    </w:p>
    <w:p w:rsidR="00562BB0" w:rsidRPr="006C32AB" w:rsidRDefault="00562BB0" w:rsidP="00616FF7">
      <w:pPr>
        <w:pStyle w:val="SingleTxtG"/>
        <w:ind w:firstLine="567"/>
        <w:rPr>
          <w:b/>
        </w:rPr>
      </w:pPr>
      <w:r w:rsidRPr="008E0393">
        <w:t>c)</w:t>
      </w:r>
      <w:r>
        <w:rPr>
          <w:b/>
        </w:rPr>
        <w:tab/>
        <w:t>De garantir l’accès à l’aide juridictionnelle, notamment aux personnes handicapées qui vivent toujours en institution</w:t>
      </w:r>
      <w:r w:rsidR="00AA262C">
        <w:rPr>
          <w:b/>
        </w:rPr>
        <w:t> </w:t>
      </w:r>
      <w:r w:rsidRPr="006C32AB">
        <w:rPr>
          <w:b/>
        </w:rPr>
        <w:t>;</w:t>
      </w:r>
    </w:p>
    <w:p w:rsidR="00562BB0" w:rsidRPr="006C32AB" w:rsidRDefault="00562BB0" w:rsidP="00616FF7">
      <w:pPr>
        <w:pStyle w:val="SingleTxtG"/>
        <w:ind w:firstLine="567"/>
        <w:rPr>
          <w:b/>
        </w:rPr>
      </w:pPr>
      <w:r w:rsidRPr="006C32AB">
        <w:t>d)</w:t>
      </w:r>
      <w:r w:rsidRPr="006C32AB">
        <w:rPr>
          <w:b/>
        </w:rPr>
        <w:tab/>
      </w:r>
      <w:r>
        <w:rPr>
          <w:b/>
        </w:rPr>
        <w:t>De s’inspirer de l’</w:t>
      </w:r>
      <w:r w:rsidRPr="006C32AB">
        <w:rPr>
          <w:b/>
        </w:rPr>
        <w:t xml:space="preserve">article 13 </w:t>
      </w:r>
      <w:r>
        <w:rPr>
          <w:b/>
        </w:rPr>
        <w:t>de la</w:t>
      </w:r>
      <w:r w:rsidRPr="006C32AB">
        <w:rPr>
          <w:b/>
        </w:rPr>
        <w:t xml:space="preserve"> Convention </w:t>
      </w:r>
      <w:r>
        <w:rPr>
          <w:b/>
        </w:rPr>
        <w:t xml:space="preserve">pour réaliser la cible </w:t>
      </w:r>
      <w:r w:rsidRPr="006C32AB">
        <w:rPr>
          <w:b/>
        </w:rPr>
        <w:t xml:space="preserve">16.3 </w:t>
      </w:r>
      <w:r>
        <w:rPr>
          <w:b/>
        </w:rPr>
        <w:t>des objectifs de développement durable</w:t>
      </w:r>
      <w:r w:rsidRPr="006C32AB">
        <w:rPr>
          <w:b/>
        </w:rPr>
        <w:t>.</w:t>
      </w:r>
    </w:p>
    <w:p w:rsidR="00562BB0" w:rsidRPr="0007644F" w:rsidRDefault="00562BB0" w:rsidP="004D3863">
      <w:pPr>
        <w:pStyle w:val="H23G"/>
      </w:pPr>
      <w:r w:rsidRPr="0007644F">
        <w:tab/>
      </w:r>
      <w:r w:rsidRPr="0007644F">
        <w:tab/>
      </w:r>
      <w:r>
        <w:t>Liberté et sécurité de la personne</w:t>
      </w:r>
      <w:r w:rsidRPr="0007644F">
        <w:t xml:space="preserve"> (art.</w:t>
      </w:r>
      <w:r w:rsidR="00FE644A">
        <w:t> </w:t>
      </w:r>
      <w:r w:rsidRPr="0007644F">
        <w:t>14)</w:t>
      </w:r>
    </w:p>
    <w:p w:rsidR="00562BB0" w:rsidRPr="0007644F" w:rsidRDefault="00562BB0" w:rsidP="004D3863">
      <w:pPr>
        <w:pStyle w:val="SingleTxtG"/>
        <w:keepNext/>
      </w:pPr>
      <w:r w:rsidRPr="0007644F">
        <w:t>28.</w:t>
      </w:r>
      <w:r w:rsidRPr="0007644F">
        <w:tab/>
      </w:r>
      <w:r>
        <w:t>Le Comité est préoccupé par les points suivants</w:t>
      </w:r>
      <w:r w:rsidR="004D3863">
        <w:t> </w:t>
      </w:r>
      <w:r w:rsidRPr="0007644F">
        <w:t xml:space="preserve">: </w:t>
      </w:r>
    </w:p>
    <w:p w:rsidR="00562BB0" w:rsidRPr="0007644F" w:rsidRDefault="00562BB0" w:rsidP="00616FF7">
      <w:pPr>
        <w:pStyle w:val="SingleTxtG"/>
        <w:ind w:firstLine="567"/>
      </w:pPr>
      <w:r w:rsidRPr="0007644F">
        <w:t>a)</w:t>
      </w:r>
      <w:r w:rsidRPr="0007644F">
        <w:tab/>
        <w:t>L</w:t>
      </w:r>
      <w:r>
        <w:t>a l</w:t>
      </w:r>
      <w:r w:rsidRPr="0007644F">
        <w:t xml:space="preserve">égislation </w:t>
      </w:r>
      <w:r>
        <w:t>en vigueur</w:t>
      </w:r>
      <w:r w:rsidRPr="0007644F">
        <w:t>,</w:t>
      </w:r>
      <w:r>
        <w:t xml:space="preserve"> en</w:t>
      </w:r>
      <w:r w:rsidRPr="0007644F">
        <w:t xml:space="preserve"> particul</w:t>
      </w:r>
      <w:r>
        <w:t>ier</w:t>
      </w:r>
      <w:r w:rsidRPr="0007644F">
        <w:t xml:space="preserve"> </w:t>
      </w:r>
      <w:r>
        <w:t xml:space="preserve">la loi </w:t>
      </w:r>
      <w:r w:rsidR="00FE644A">
        <w:t>n</w:t>
      </w:r>
      <w:r w:rsidR="00FE644A" w:rsidRPr="00F908C4">
        <w:rPr>
          <w:vertAlign w:val="superscript"/>
        </w:rPr>
        <w:t>o</w:t>
      </w:r>
      <w:r w:rsidR="00FE644A">
        <w:t> </w:t>
      </w:r>
      <w:r w:rsidRPr="0007644F">
        <w:t xml:space="preserve">1402 </w:t>
      </w:r>
      <w:r>
        <w:t xml:space="preserve">sur la santé mentale, n’est pas conforme à la </w:t>
      </w:r>
      <w:r w:rsidRPr="0007644F">
        <w:t>Convention</w:t>
      </w:r>
      <w:r>
        <w:t> ; elle autorise le placement d’office en établissement psychiatrique et l’administration d’un traitement psychiatrique à des personnes sans leur consentement en raison de leur handicap psychosocial ou intellectuel</w:t>
      </w:r>
      <w:r w:rsidR="004D3863">
        <w:t> </w:t>
      </w:r>
      <w:r w:rsidRPr="0007644F">
        <w:t xml:space="preserve">; </w:t>
      </w:r>
    </w:p>
    <w:p w:rsidR="00562BB0" w:rsidRPr="0007644F" w:rsidRDefault="00562BB0" w:rsidP="00616FF7">
      <w:pPr>
        <w:pStyle w:val="SingleTxtG"/>
        <w:ind w:firstLine="567"/>
      </w:pPr>
      <w:r w:rsidRPr="0007644F">
        <w:t>b)</w:t>
      </w:r>
      <w:r w:rsidRPr="0007644F">
        <w:tab/>
      </w:r>
      <w:r>
        <w:t xml:space="preserve">Les personnes présentant un handicap </w:t>
      </w:r>
      <w:r w:rsidRPr="0007644F">
        <w:t>psychosocial o</w:t>
      </w:r>
      <w:r>
        <w:t>u</w:t>
      </w:r>
      <w:r w:rsidRPr="0007644F">
        <w:t xml:space="preserve"> intellectu</w:t>
      </w:r>
      <w:r>
        <w:t>el qui sont accusées d’avoir commis une infraction pénale ne bénéficient pas des garanties d’une procédure régulière et font l’objet de mesures médicales coercitives</w:t>
      </w:r>
      <w:r w:rsidR="004D3863">
        <w:t> </w:t>
      </w:r>
      <w:r w:rsidRPr="0007644F">
        <w:t>;</w:t>
      </w:r>
    </w:p>
    <w:p w:rsidR="00562BB0" w:rsidRPr="0007644F" w:rsidRDefault="00562BB0" w:rsidP="00616FF7">
      <w:pPr>
        <w:pStyle w:val="SingleTxtG"/>
        <w:ind w:firstLine="567"/>
      </w:pPr>
      <w:r w:rsidRPr="0007644F">
        <w:t>c)</w:t>
      </w:r>
      <w:r w:rsidRPr="0007644F">
        <w:tab/>
      </w:r>
      <w:r>
        <w:t>Les p</w:t>
      </w:r>
      <w:r w:rsidRPr="0007644F">
        <w:t>erson</w:t>
      </w:r>
      <w:r>
        <w:t>ne</w:t>
      </w:r>
      <w:r w:rsidRPr="0007644F">
        <w:t xml:space="preserve">s </w:t>
      </w:r>
      <w:r>
        <w:t>handicapées qui vivent en institution sont arbitrairement privées de leur liberté</w:t>
      </w:r>
      <w:r w:rsidRPr="0007644F">
        <w:t xml:space="preserve"> </w:t>
      </w:r>
      <w:r>
        <w:t>et de leur autonomie pour de longues périodes, parfois leur vie entière, en raison d’un handicap réel ou supposé</w:t>
      </w:r>
      <w:r w:rsidRPr="0007644F">
        <w:t>.</w:t>
      </w:r>
    </w:p>
    <w:p w:rsidR="00562BB0" w:rsidRPr="008E0393" w:rsidRDefault="00562BB0" w:rsidP="004D3863">
      <w:pPr>
        <w:pStyle w:val="SingleTxtG"/>
        <w:keepNext/>
        <w:rPr>
          <w:b/>
        </w:rPr>
      </w:pPr>
      <w:r w:rsidRPr="0007644F">
        <w:t>29.</w:t>
      </w:r>
      <w:r w:rsidRPr="0007644F">
        <w:tab/>
      </w:r>
      <w:r>
        <w:rPr>
          <w:b/>
        </w:rPr>
        <w:t>Le Comité prie instamment l’État partie</w:t>
      </w:r>
      <w:r w:rsidR="004D3863">
        <w:rPr>
          <w:b/>
        </w:rPr>
        <w:t> </w:t>
      </w:r>
      <w:r w:rsidRPr="008E0393">
        <w:rPr>
          <w:b/>
        </w:rPr>
        <w:t>:</w:t>
      </w:r>
    </w:p>
    <w:p w:rsidR="00562BB0" w:rsidRPr="008E0393" w:rsidRDefault="00562BB0" w:rsidP="00616FF7">
      <w:pPr>
        <w:pStyle w:val="SingleTxtG"/>
        <w:ind w:firstLine="567"/>
        <w:rPr>
          <w:b/>
        </w:rPr>
      </w:pPr>
      <w:r w:rsidRPr="008E0393">
        <w:t>a)</w:t>
      </w:r>
      <w:r w:rsidRPr="008E0393">
        <w:rPr>
          <w:b/>
        </w:rPr>
        <w:tab/>
      </w:r>
      <w:r>
        <w:rPr>
          <w:b/>
        </w:rPr>
        <w:t>De réviser ou d’abroger les dispositions législatives qui autorisent</w:t>
      </w:r>
      <w:r w:rsidRPr="008E0393">
        <w:rPr>
          <w:b/>
        </w:rPr>
        <w:t xml:space="preserve"> </w:t>
      </w:r>
      <w:r>
        <w:rPr>
          <w:b/>
        </w:rPr>
        <w:t>l’internement d’office et le traitement psychiatrique d’une personne sans son consentement au motif de son handicap</w:t>
      </w:r>
      <w:r w:rsidR="004D3863">
        <w:rPr>
          <w:b/>
        </w:rPr>
        <w:t> </w:t>
      </w:r>
      <w:r w:rsidRPr="008E0393">
        <w:rPr>
          <w:b/>
        </w:rPr>
        <w:t xml:space="preserve">; </w:t>
      </w:r>
    </w:p>
    <w:p w:rsidR="00562BB0" w:rsidRPr="008E0393" w:rsidRDefault="00562BB0" w:rsidP="00616FF7">
      <w:pPr>
        <w:pStyle w:val="SingleTxtG"/>
        <w:ind w:firstLine="567"/>
        <w:rPr>
          <w:b/>
        </w:rPr>
      </w:pPr>
      <w:r w:rsidRPr="008E0393">
        <w:lastRenderedPageBreak/>
        <w:t>b)</w:t>
      </w:r>
      <w:r w:rsidRPr="008E0393">
        <w:tab/>
      </w:r>
      <w:r>
        <w:rPr>
          <w:b/>
        </w:rPr>
        <w:t>De veiller à ce que les personnes handicapées accusées d’avoir commis une infraction aient droit à un procès équitable au même titre que le reste de la population</w:t>
      </w:r>
      <w:r w:rsidR="004D3863">
        <w:rPr>
          <w:b/>
        </w:rPr>
        <w:t> </w:t>
      </w:r>
      <w:r w:rsidRPr="008E0393">
        <w:rPr>
          <w:b/>
        </w:rPr>
        <w:t xml:space="preserve">; </w:t>
      </w:r>
    </w:p>
    <w:p w:rsidR="00562BB0" w:rsidRPr="008E0393" w:rsidRDefault="00562BB0" w:rsidP="00616FF7">
      <w:pPr>
        <w:pStyle w:val="SingleTxtG"/>
        <w:ind w:firstLine="567"/>
        <w:rPr>
          <w:b/>
        </w:rPr>
      </w:pPr>
      <w:r w:rsidRPr="008E0393">
        <w:t>c)</w:t>
      </w:r>
      <w:r>
        <w:rPr>
          <w:b/>
        </w:rPr>
        <w:tab/>
        <w:t>De prendre toutes les mesures, législatives et autres, qui s’imposent pour mettre un terme à la privation de liberté de personnes en raison d’un handicap réel ou supposé</w:t>
      </w:r>
      <w:r w:rsidRPr="008E0393">
        <w:rPr>
          <w:b/>
        </w:rPr>
        <w:t>.</w:t>
      </w:r>
    </w:p>
    <w:p w:rsidR="00562BB0" w:rsidRPr="0007644F" w:rsidRDefault="00562BB0" w:rsidP="004D3863">
      <w:pPr>
        <w:pStyle w:val="H23G"/>
      </w:pPr>
      <w:r w:rsidRPr="0007644F">
        <w:tab/>
      </w:r>
      <w:r w:rsidRPr="0007644F">
        <w:tab/>
      </w:r>
      <w:r>
        <w:t>Droit de ne pas être soumis à la torture, ni à des peines ou traitements cruels, inhumains ou dégradants</w:t>
      </w:r>
      <w:r w:rsidRPr="0007644F">
        <w:t xml:space="preserve"> </w:t>
      </w:r>
      <w:r>
        <w:t>(art.</w:t>
      </w:r>
      <w:r w:rsidR="00FE644A">
        <w:t> </w:t>
      </w:r>
      <w:r w:rsidRPr="0007644F">
        <w:t>15)</w:t>
      </w:r>
    </w:p>
    <w:p w:rsidR="00562BB0" w:rsidRPr="0007644F" w:rsidRDefault="00562BB0" w:rsidP="004D3863">
      <w:pPr>
        <w:pStyle w:val="SingleTxtG"/>
      </w:pPr>
      <w:r w:rsidRPr="0007644F">
        <w:t>30.</w:t>
      </w:r>
      <w:r w:rsidRPr="0007644F">
        <w:tab/>
      </w:r>
      <w:r>
        <w:t>Le Comité</w:t>
      </w:r>
      <w:r w:rsidRPr="0007644F">
        <w:t xml:space="preserve"> </w:t>
      </w:r>
      <w:r>
        <w:t>est préoccupé par les traitements inhumains et dégradants subis par les personnes handicapées dans les institutions, traitements qui leur sont infligés par des membres du personnel, des pourvoyeurs de soins ou d’autres pensionnaires. Il s’agit notamment d’actes de négligence, de mesures de contention chimique et physique, de mises à l’isolement et de traitements administrés d’office à titre de châtiment. Le Comité est également préoccupé par l’inefficacité et l’insuffisance des systèmes de plainte et par les retards accumulés dans la conduite des enquêtes,</w:t>
      </w:r>
      <w:r w:rsidRPr="0007644F">
        <w:t xml:space="preserve"> </w:t>
      </w:r>
      <w:r>
        <w:t>et constate avec inquiétude que les institutions ne font l’objet d’aucune mesure de surveillance</w:t>
      </w:r>
      <w:r w:rsidRPr="0007644F">
        <w:t>.</w:t>
      </w:r>
      <w:r>
        <w:t xml:space="preserve"> </w:t>
      </w:r>
    </w:p>
    <w:p w:rsidR="00562BB0" w:rsidRDefault="00562BB0" w:rsidP="004D3863">
      <w:pPr>
        <w:pStyle w:val="SingleTxtG"/>
        <w:rPr>
          <w:b/>
        </w:rPr>
      </w:pPr>
      <w:r w:rsidRPr="0007644F">
        <w:t>31.</w:t>
      </w:r>
      <w:r w:rsidRPr="0007644F">
        <w:tab/>
      </w:r>
      <w:r>
        <w:rPr>
          <w:b/>
        </w:rPr>
        <w:t>L</w:t>
      </w:r>
      <w:r w:rsidRPr="0086306A">
        <w:rPr>
          <w:b/>
        </w:rPr>
        <w:t>e Com</w:t>
      </w:r>
      <w:r>
        <w:rPr>
          <w:b/>
        </w:rPr>
        <w:t xml:space="preserve">ité prie instamment l’État partie de prendre des mesures pour protéger </w:t>
      </w:r>
      <w:r w:rsidRPr="00FE644A">
        <w:rPr>
          <w:b/>
          <w:spacing w:val="-1"/>
        </w:rPr>
        <w:t>les personnes handicapées qui vivent encore en institution contre les peines ou traitements forcés, inhumains ou dégradants et d’interdire de tels actes. Il recommande à l’État partie de mettre en place un système d’enquête et de surveillance efficace</w:t>
      </w:r>
      <w:r>
        <w:rPr>
          <w:b/>
        </w:rPr>
        <w:t xml:space="preserve"> pour prévenir toutes les formes inhumaines ou dégradantes de peine ou de traitement à l’égard des personnes handicapées au sein des institutions et garantir l’ouverture rapide d’une enquête en pareil cas. </w:t>
      </w:r>
    </w:p>
    <w:p w:rsidR="00F84D3F" w:rsidRPr="00F93C80" w:rsidRDefault="00F84D3F" w:rsidP="004D3863">
      <w:pPr>
        <w:pStyle w:val="H23G"/>
        <w:rPr>
          <w:lang w:val="fr-FR"/>
        </w:rPr>
      </w:pPr>
      <w:r w:rsidRPr="00425F46">
        <w:rPr>
          <w:lang w:val="en-US"/>
        </w:rPr>
        <w:tab/>
      </w:r>
      <w:r w:rsidRPr="00425F46">
        <w:rPr>
          <w:lang w:val="en-US"/>
        </w:rPr>
        <w:tab/>
      </w:r>
      <w:r w:rsidRPr="00F93C80">
        <w:rPr>
          <w:lang w:val="fr-FR"/>
        </w:rPr>
        <w:t>Droit de ne pas être soumis à l</w:t>
      </w:r>
      <w:r>
        <w:rPr>
          <w:lang w:val="fr-FR"/>
        </w:rPr>
        <w:t>’</w:t>
      </w:r>
      <w:r w:rsidRPr="00F93C80">
        <w:rPr>
          <w:lang w:val="fr-FR"/>
        </w:rPr>
        <w:t xml:space="preserve">exploitation, à la violence </w:t>
      </w:r>
      <w:r w:rsidR="00FE644A">
        <w:rPr>
          <w:lang w:val="fr-FR"/>
        </w:rPr>
        <w:br/>
      </w:r>
      <w:r w:rsidRPr="00F93C80">
        <w:rPr>
          <w:lang w:val="fr-FR"/>
        </w:rPr>
        <w:t>et à la maltraitance (art.</w:t>
      </w:r>
      <w:r w:rsidR="00FE644A">
        <w:rPr>
          <w:lang w:val="fr-FR"/>
        </w:rPr>
        <w:t> </w:t>
      </w:r>
      <w:r w:rsidRPr="00F93C80">
        <w:rPr>
          <w:lang w:val="fr-FR"/>
        </w:rPr>
        <w:t>16)</w:t>
      </w:r>
    </w:p>
    <w:p w:rsidR="00F84D3F" w:rsidRPr="00F93C80" w:rsidRDefault="00F84D3F" w:rsidP="004D3863">
      <w:pPr>
        <w:pStyle w:val="SingleTxtG"/>
        <w:rPr>
          <w:lang w:val="fr-FR"/>
        </w:rPr>
      </w:pPr>
      <w:r w:rsidRPr="00F93C80">
        <w:rPr>
          <w:lang w:val="fr-FR"/>
        </w:rPr>
        <w:t>32.</w:t>
      </w:r>
      <w:r w:rsidRPr="00F93C80">
        <w:rPr>
          <w:lang w:val="fr-FR"/>
        </w:rPr>
        <w:tab/>
        <w:t>Le Comité est préoccupé par les cas signalés de violence et de maltraitance à l</w:t>
      </w:r>
      <w:r>
        <w:rPr>
          <w:lang w:val="fr-FR"/>
        </w:rPr>
        <w:t>’</w:t>
      </w:r>
      <w:r w:rsidRPr="007F5A8A">
        <w:rPr>
          <w:lang w:val="fr-FR"/>
        </w:rPr>
        <w:t>égard</w:t>
      </w:r>
      <w:r w:rsidRPr="00F93C80">
        <w:rPr>
          <w:lang w:val="fr-FR"/>
        </w:rPr>
        <w:t xml:space="preserve"> de personnes handicapées placées en institution, notamment par les cas de négligence ayant entraîné la mort d</w:t>
      </w:r>
      <w:r>
        <w:rPr>
          <w:lang w:val="fr-FR"/>
        </w:rPr>
        <w:t>’</w:t>
      </w:r>
      <w:r w:rsidRPr="00F93C80">
        <w:rPr>
          <w:lang w:val="fr-FR"/>
        </w:rPr>
        <w:t>enfants et d</w:t>
      </w:r>
      <w:r>
        <w:rPr>
          <w:lang w:val="fr-FR"/>
        </w:rPr>
        <w:t>’</w:t>
      </w:r>
      <w:r w:rsidRPr="00F93C80">
        <w:rPr>
          <w:lang w:val="fr-FR"/>
        </w:rPr>
        <w:t xml:space="preserve">adultes handicapés et les cas de </w:t>
      </w:r>
      <w:r w:rsidRPr="00F93C80">
        <w:rPr>
          <w:iCs/>
          <w:lang w:val="fr-FR"/>
        </w:rPr>
        <w:t>violence sexiste</w:t>
      </w:r>
      <w:r w:rsidRPr="00F93C80">
        <w:rPr>
          <w:lang w:val="fr-FR"/>
        </w:rPr>
        <w:t xml:space="preserve"> à l</w:t>
      </w:r>
      <w:r>
        <w:rPr>
          <w:lang w:val="fr-FR"/>
        </w:rPr>
        <w:t>’</w:t>
      </w:r>
      <w:r w:rsidRPr="00F93C80">
        <w:rPr>
          <w:lang w:val="fr-FR"/>
        </w:rPr>
        <w:t xml:space="preserve">égard de femmes handicapées. </w:t>
      </w:r>
    </w:p>
    <w:p w:rsidR="00F84D3F" w:rsidRPr="00F93C80" w:rsidRDefault="00F84D3F" w:rsidP="004D3863">
      <w:pPr>
        <w:pStyle w:val="SingleTxtG"/>
        <w:keepNext/>
        <w:rPr>
          <w:b/>
          <w:lang w:val="fr-FR"/>
        </w:rPr>
      </w:pPr>
      <w:r w:rsidRPr="004D3863">
        <w:rPr>
          <w:lang w:val="fr-FR"/>
        </w:rPr>
        <w:t>33.</w:t>
      </w:r>
      <w:r w:rsidRPr="004D3863">
        <w:rPr>
          <w:lang w:val="fr-FR"/>
        </w:rPr>
        <w:tab/>
      </w:r>
      <w:r w:rsidRPr="00F93C80">
        <w:rPr>
          <w:b/>
          <w:lang w:val="fr-FR"/>
        </w:rPr>
        <w:t>Le Comité engage l</w:t>
      </w:r>
      <w:r>
        <w:rPr>
          <w:b/>
          <w:lang w:val="fr-FR"/>
        </w:rPr>
        <w:t>’</w:t>
      </w:r>
      <w:r w:rsidRPr="00F93C80">
        <w:rPr>
          <w:b/>
          <w:lang w:val="fr-FR"/>
        </w:rPr>
        <w:t>État partie</w:t>
      </w:r>
      <w:r w:rsidR="004D3863">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a)</w:t>
      </w:r>
      <w:r w:rsidRPr="00F93C80">
        <w:rPr>
          <w:b/>
          <w:lang w:val="fr-FR"/>
        </w:rPr>
        <w:tab/>
        <w:t xml:space="preserve">À </w:t>
      </w:r>
      <w:r>
        <w:rPr>
          <w:b/>
          <w:lang w:val="fr-FR"/>
        </w:rPr>
        <w:t xml:space="preserve">prendre </w:t>
      </w:r>
      <w:r w:rsidRPr="00F93C80">
        <w:rPr>
          <w:b/>
          <w:lang w:val="fr-FR"/>
        </w:rPr>
        <w:t>des mesures législatives et pratiques, tenant compte du sexe et de l</w:t>
      </w:r>
      <w:r>
        <w:rPr>
          <w:b/>
          <w:lang w:val="fr-FR"/>
        </w:rPr>
        <w:t>’</w:t>
      </w:r>
      <w:r w:rsidRPr="00F93C80">
        <w:rPr>
          <w:b/>
          <w:lang w:val="fr-FR"/>
        </w:rPr>
        <w:t xml:space="preserve">âge des intéressés, en vue de protéger les personnes handicapées </w:t>
      </w:r>
      <w:r>
        <w:rPr>
          <w:b/>
          <w:lang w:val="fr-FR"/>
        </w:rPr>
        <w:t>qui vivent encore dans des</w:t>
      </w:r>
      <w:r w:rsidRPr="00F93C80">
        <w:rPr>
          <w:b/>
          <w:lang w:val="fr-FR"/>
        </w:rPr>
        <w:t xml:space="preserve"> institution</w:t>
      </w:r>
      <w:r>
        <w:rPr>
          <w:b/>
          <w:lang w:val="fr-FR"/>
        </w:rPr>
        <w:t>s</w:t>
      </w:r>
      <w:r w:rsidRPr="00F93C80">
        <w:rPr>
          <w:b/>
          <w:lang w:val="fr-FR"/>
        </w:rPr>
        <w:t xml:space="preserve"> et d</w:t>
      </w:r>
      <w:r>
        <w:rPr>
          <w:b/>
          <w:lang w:val="fr-FR"/>
        </w:rPr>
        <w:t>’</w:t>
      </w:r>
      <w:r w:rsidRPr="00F93C80">
        <w:rPr>
          <w:b/>
          <w:lang w:val="fr-FR"/>
        </w:rPr>
        <w:t>écarter tout risque de négligence, de violence ou de maltraitance</w:t>
      </w:r>
      <w:r w:rsidR="00CB3E52">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b)</w:t>
      </w:r>
      <w:r w:rsidRPr="00F93C80">
        <w:rPr>
          <w:b/>
          <w:lang w:val="fr-FR"/>
        </w:rPr>
        <w:tab/>
        <w:t xml:space="preserve">À veiller à ce que tous les cas signalés </w:t>
      </w:r>
      <w:r>
        <w:rPr>
          <w:b/>
          <w:lang w:val="fr-FR"/>
        </w:rPr>
        <w:t xml:space="preserve">de violation </w:t>
      </w:r>
      <w:r w:rsidRPr="00F93C80">
        <w:rPr>
          <w:b/>
          <w:lang w:val="fr-FR"/>
        </w:rPr>
        <w:t>fassent l</w:t>
      </w:r>
      <w:r>
        <w:rPr>
          <w:b/>
          <w:lang w:val="fr-FR"/>
        </w:rPr>
        <w:t>’</w:t>
      </w:r>
      <w:r w:rsidRPr="00F93C80">
        <w:rPr>
          <w:b/>
          <w:lang w:val="fr-FR"/>
        </w:rPr>
        <w:t>objet d</w:t>
      </w:r>
      <w:r>
        <w:rPr>
          <w:b/>
          <w:lang w:val="fr-FR"/>
        </w:rPr>
        <w:t>’</w:t>
      </w:r>
      <w:r w:rsidRPr="00F93C80">
        <w:rPr>
          <w:b/>
          <w:lang w:val="fr-FR"/>
        </w:rPr>
        <w:t xml:space="preserve">une enquête effective et à ce que les </w:t>
      </w:r>
      <w:r>
        <w:rPr>
          <w:b/>
          <w:lang w:val="fr-FR"/>
        </w:rPr>
        <w:t>auteurs de tels actes</w:t>
      </w:r>
      <w:r w:rsidRPr="00F93C80">
        <w:rPr>
          <w:b/>
          <w:lang w:val="fr-FR"/>
        </w:rPr>
        <w:t xml:space="preserve"> soient poursuivis</w:t>
      </w:r>
      <w:r w:rsidR="00CB3E52">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c)</w:t>
      </w:r>
      <w:r w:rsidRPr="00F93C80">
        <w:rPr>
          <w:b/>
          <w:lang w:val="fr-FR"/>
        </w:rPr>
        <w:tab/>
        <w:t>À dispenser régulièrement au personnel des institutions une formation obligatoire sur la prévention de la violence et de la maltraitance à l</w:t>
      </w:r>
      <w:r>
        <w:rPr>
          <w:b/>
          <w:lang w:val="fr-FR"/>
        </w:rPr>
        <w:t>’</w:t>
      </w:r>
      <w:r w:rsidRPr="00F93C80">
        <w:rPr>
          <w:b/>
          <w:lang w:val="fr-FR"/>
        </w:rPr>
        <w:t>égard des personnes handicapées</w:t>
      </w:r>
      <w:r w:rsidR="00CB3E52">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d)</w:t>
      </w:r>
      <w:r w:rsidRPr="00F93C80">
        <w:rPr>
          <w:b/>
          <w:lang w:val="fr-FR"/>
        </w:rPr>
        <w:tab/>
        <w:t xml:space="preserve">À assurer une surveillance </w:t>
      </w:r>
      <w:r>
        <w:rPr>
          <w:b/>
          <w:lang w:val="fr-FR"/>
        </w:rPr>
        <w:t xml:space="preserve">efficace, </w:t>
      </w:r>
      <w:r w:rsidRPr="00F93C80">
        <w:rPr>
          <w:b/>
          <w:lang w:val="fr-FR"/>
        </w:rPr>
        <w:t>indépendante et fondée sur les droits de l</w:t>
      </w:r>
      <w:r>
        <w:rPr>
          <w:b/>
          <w:lang w:val="fr-FR"/>
        </w:rPr>
        <w:t>’</w:t>
      </w:r>
      <w:r w:rsidRPr="00F93C80">
        <w:rPr>
          <w:b/>
          <w:lang w:val="fr-FR"/>
        </w:rPr>
        <w:t xml:space="preserve">homme de tous les </w:t>
      </w:r>
      <w:r>
        <w:rPr>
          <w:b/>
          <w:lang w:val="fr-FR"/>
        </w:rPr>
        <w:t>établissements</w:t>
      </w:r>
      <w:r w:rsidRPr="00F93C80">
        <w:rPr>
          <w:b/>
          <w:lang w:val="fr-FR"/>
        </w:rPr>
        <w:t xml:space="preserve"> résidentiels. </w:t>
      </w:r>
    </w:p>
    <w:p w:rsidR="00F84D3F" w:rsidRPr="00F93C80" w:rsidRDefault="00F84D3F" w:rsidP="00CB3E52">
      <w:pPr>
        <w:pStyle w:val="H23G"/>
        <w:rPr>
          <w:lang w:val="fr-FR"/>
        </w:rPr>
      </w:pPr>
      <w:r w:rsidRPr="00F93C80">
        <w:rPr>
          <w:lang w:val="fr-FR"/>
        </w:rPr>
        <w:tab/>
      </w:r>
      <w:r w:rsidRPr="00F93C80">
        <w:rPr>
          <w:lang w:val="fr-FR"/>
        </w:rPr>
        <w:tab/>
        <w:t>Protection de l</w:t>
      </w:r>
      <w:r>
        <w:rPr>
          <w:lang w:val="fr-FR"/>
        </w:rPr>
        <w:t>’</w:t>
      </w:r>
      <w:r w:rsidRPr="00F93C80">
        <w:rPr>
          <w:lang w:val="fr-FR"/>
        </w:rPr>
        <w:t>intégrité de la personne (art.</w:t>
      </w:r>
      <w:r w:rsidR="00B83884">
        <w:rPr>
          <w:lang w:val="fr-FR"/>
        </w:rPr>
        <w:t> </w:t>
      </w:r>
      <w:r w:rsidRPr="00F93C80">
        <w:rPr>
          <w:lang w:val="fr-FR"/>
        </w:rPr>
        <w:t>17)</w:t>
      </w:r>
    </w:p>
    <w:p w:rsidR="00F84D3F" w:rsidRPr="00F93C80" w:rsidRDefault="00F84D3F" w:rsidP="00CB3E52">
      <w:pPr>
        <w:pStyle w:val="SingleTxtG"/>
        <w:rPr>
          <w:lang w:val="fr-FR"/>
        </w:rPr>
      </w:pPr>
      <w:r w:rsidRPr="00F93C80">
        <w:rPr>
          <w:lang w:val="fr-FR"/>
        </w:rPr>
        <w:t>34.</w:t>
      </w:r>
      <w:r w:rsidRPr="00F93C80">
        <w:rPr>
          <w:lang w:val="fr-FR"/>
        </w:rPr>
        <w:tab/>
        <w:t>Le Comité est préoccupé par la réglementation discriminatoire adoptée par le</w:t>
      </w:r>
      <w:r w:rsidR="00B83884">
        <w:rPr>
          <w:lang w:val="fr-FR"/>
        </w:rPr>
        <w:t> </w:t>
      </w:r>
      <w:r w:rsidRPr="00F93C80">
        <w:rPr>
          <w:lang w:val="fr-FR"/>
        </w:rPr>
        <w:t>Ministère de la santé, laquelle dispose que le « </w:t>
      </w:r>
      <w:r w:rsidRPr="00F93C80">
        <w:rPr>
          <w:iCs/>
          <w:lang w:val="fr-FR"/>
        </w:rPr>
        <w:t>handicap mental</w:t>
      </w:r>
      <w:r w:rsidRPr="00F93C80">
        <w:rPr>
          <w:lang w:val="fr-FR"/>
        </w:rPr>
        <w:t> » est un critère justifiant la stérilisation. Il est également préoccupé par les informations faisant état de l</w:t>
      </w:r>
      <w:r>
        <w:rPr>
          <w:lang w:val="fr-FR"/>
        </w:rPr>
        <w:t>’</w:t>
      </w:r>
      <w:r w:rsidRPr="00F93C80">
        <w:rPr>
          <w:lang w:val="fr-FR"/>
        </w:rPr>
        <w:t>administration forcée de traitements contraceptifs, notamment de cas de stérilisation et d</w:t>
      </w:r>
      <w:r>
        <w:rPr>
          <w:lang w:val="fr-FR"/>
        </w:rPr>
        <w:t>’</w:t>
      </w:r>
      <w:r w:rsidRPr="00F93C80">
        <w:rPr>
          <w:lang w:val="fr-FR"/>
        </w:rPr>
        <w:t xml:space="preserve">avortement forcés, mesure qui vise en particulier les </w:t>
      </w:r>
      <w:r w:rsidRPr="00F93C80">
        <w:rPr>
          <w:iCs/>
          <w:lang w:val="fr-FR"/>
        </w:rPr>
        <w:t xml:space="preserve">femmes présentant un handicap psychosocial ou intellectuel, et plus encore celles </w:t>
      </w:r>
      <w:r w:rsidRPr="00425F46">
        <w:rPr>
          <w:iCs/>
          <w:lang w:val="fr-FR"/>
        </w:rPr>
        <w:t>d</w:t>
      </w:r>
      <w:r>
        <w:rPr>
          <w:iCs/>
          <w:lang w:val="fr-FR"/>
        </w:rPr>
        <w:t>’</w:t>
      </w:r>
      <w:r w:rsidRPr="00425F46">
        <w:rPr>
          <w:iCs/>
          <w:lang w:val="fr-FR"/>
        </w:rPr>
        <w:t>entre ell</w:t>
      </w:r>
      <w:r>
        <w:rPr>
          <w:iCs/>
          <w:lang w:val="fr-FR"/>
        </w:rPr>
        <w:t>e</w:t>
      </w:r>
      <w:r w:rsidRPr="00425F46">
        <w:rPr>
          <w:iCs/>
          <w:lang w:val="fr-FR"/>
        </w:rPr>
        <w:t xml:space="preserve">s </w:t>
      </w:r>
      <w:r w:rsidRPr="007F5A8A">
        <w:rPr>
          <w:iCs/>
          <w:lang w:val="fr-FR"/>
        </w:rPr>
        <w:t>qui vivent encore dans des</w:t>
      </w:r>
      <w:r w:rsidRPr="00F93C80">
        <w:rPr>
          <w:lang w:val="fr-FR"/>
        </w:rPr>
        <w:t xml:space="preserve"> institutions.</w:t>
      </w:r>
    </w:p>
    <w:p w:rsidR="00F84D3F" w:rsidRPr="007F5A8A" w:rsidRDefault="00F84D3F" w:rsidP="00B83884">
      <w:pPr>
        <w:pStyle w:val="SingleTxtG"/>
        <w:keepLines/>
        <w:rPr>
          <w:b/>
          <w:lang w:val="fr-FR"/>
        </w:rPr>
      </w:pPr>
      <w:r w:rsidRPr="00CB3E52">
        <w:rPr>
          <w:lang w:val="fr-FR"/>
        </w:rPr>
        <w:lastRenderedPageBreak/>
        <w:t>35.</w:t>
      </w:r>
      <w:r w:rsidRPr="00CB3E52">
        <w:rPr>
          <w:lang w:val="fr-FR"/>
        </w:rPr>
        <w:tab/>
      </w:r>
      <w:r w:rsidRPr="00F93C80">
        <w:rPr>
          <w:b/>
          <w:lang w:val="fr-FR"/>
        </w:rPr>
        <w:t>Le Comité engage l</w:t>
      </w:r>
      <w:r>
        <w:rPr>
          <w:b/>
          <w:lang w:val="fr-FR"/>
        </w:rPr>
        <w:t>’</w:t>
      </w:r>
      <w:r w:rsidRPr="00F93C80">
        <w:rPr>
          <w:b/>
          <w:lang w:val="fr-FR"/>
        </w:rPr>
        <w:t xml:space="preserve">État partie à abroger ou </w:t>
      </w:r>
      <w:r>
        <w:rPr>
          <w:b/>
          <w:lang w:val="fr-FR"/>
        </w:rPr>
        <w:t xml:space="preserve">à </w:t>
      </w:r>
      <w:r w:rsidRPr="007F5A8A">
        <w:rPr>
          <w:b/>
          <w:lang w:val="fr-FR"/>
        </w:rPr>
        <w:t xml:space="preserve">modifier les </w:t>
      </w:r>
      <w:r>
        <w:rPr>
          <w:b/>
          <w:lang w:val="fr-FR"/>
        </w:rPr>
        <w:t>textes</w:t>
      </w:r>
      <w:r w:rsidRPr="007F5A8A">
        <w:rPr>
          <w:b/>
          <w:lang w:val="fr-FR"/>
        </w:rPr>
        <w:t xml:space="preserve"> lég</w:t>
      </w:r>
      <w:r>
        <w:rPr>
          <w:b/>
          <w:lang w:val="fr-FR"/>
        </w:rPr>
        <w:t>islatif</w:t>
      </w:r>
      <w:r w:rsidRPr="007F5A8A">
        <w:rPr>
          <w:b/>
          <w:lang w:val="fr-FR"/>
        </w:rPr>
        <w:t xml:space="preserve">s et </w:t>
      </w:r>
      <w:r>
        <w:rPr>
          <w:b/>
          <w:lang w:val="fr-FR"/>
        </w:rPr>
        <w:t>réglementaires</w:t>
      </w:r>
      <w:r w:rsidRPr="007F5A8A">
        <w:rPr>
          <w:b/>
          <w:lang w:val="fr-FR"/>
        </w:rPr>
        <w:t xml:space="preserve"> </w:t>
      </w:r>
      <w:r>
        <w:rPr>
          <w:b/>
          <w:lang w:val="fr-FR"/>
        </w:rPr>
        <w:t xml:space="preserve">qui </w:t>
      </w:r>
      <w:r w:rsidRPr="007F5A8A">
        <w:rPr>
          <w:b/>
          <w:lang w:val="fr-FR"/>
        </w:rPr>
        <w:t>autoris</w:t>
      </w:r>
      <w:r>
        <w:rPr>
          <w:b/>
          <w:lang w:val="fr-FR"/>
        </w:rPr>
        <w:t>e</w:t>
      </w:r>
      <w:r w:rsidRPr="007F5A8A">
        <w:rPr>
          <w:b/>
          <w:lang w:val="fr-FR"/>
        </w:rPr>
        <w:t xml:space="preserve">nt la stérilisation forcée ou non volontaire de personnes handicapées, et à </w:t>
      </w:r>
      <w:r w:rsidRPr="007F5A8A">
        <w:rPr>
          <w:b/>
          <w:iCs/>
          <w:lang w:val="fr-FR"/>
        </w:rPr>
        <w:t>prévenir et faire cesser le recours</w:t>
      </w:r>
      <w:r w:rsidRPr="007F5A8A">
        <w:rPr>
          <w:b/>
          <w:lang w:val="fr-FR"/>
        </w:rPr>
        <w:t xml:space="preserve"> </w:t>
      </w:r>
      <w:r>
        <w:rPr>
          <w:b/>
          <w:lang w:val="fr-FR"/>
        </w:rPr>
        <w:t>aux</w:t>
      </w:r>
      <w:r w:rsidRPr="007F5A8A">
        <w:rPr>
          <w:b/>
          <w:lang w:val="fr-FR"/>
        </w:rPr>
        <w:t xml:space="preserve"> mesures contracepti</w:t>
      </w:r>
      <w:r>
        <w:rPr>
          <w:b/>
          <w:lang w:val="fr-FR"/>
        </w:rPr>
        <w:t>ves</w:t>
      </w:r>
      <w:r w:rsidRPr="007F5A8A">
        <w:rPr>
          <w:b/>
          <w:lang w:val="fr-FR"/>
        </w:rPr>
        <w:t xml:space="preserve"> sans consentement, y compris lorsque le consentement est donné par un tiers. </w:t>
      </w:r>
    </w:p>
    <w:p w:rsidR="00F84D3F" w:rsidRPr="00F93C80" w:rsidRDefault="00F84D3F" w:rsidP="00CB3E52">
      <w:pPr>
        <w:pStyle w:val="H23G"/>
        <w:rPr>
          <w:lang w:val="fr-FR"/>
        </w:rPr>
      </w:pPr>
      <w:r w:rsidRPr="00F93C80">
        <w:rPr>
          <w:lang w:val="fr-FR"/>
        </w:rPr>
        <w:tab/>
      </w:r>
      <w:r w:rsidRPr="00F93C80">
        <w:rPr>
          <w:lang w:val="fr-FR"/>
        </w:rPr>
        <w:tab/>
        <w:t>Autonomie de vie et inclusion dans la société (art.</w:t>
      </w:r>
      <w:r w:rsidR="00B83884">
        <w:rPr>
          <w:lang w:val="fr-FR"/>
        </w:rPr>
        <w:t> </w:t>
      </w:r>
      <w:r w:rsidRPr="00F93C80">
        <w:rPr>
          <w:lang w:val="fr-FR"/>
        </w:rPr>
        <w:t>19)</w:t>
      </w:r>
    </w:p>
    <w:p w:rsidR="00F84D3F" w:rsidRPr="00427E43" w:rsidRDefault="00F84D3F" w:rsidP="00CB3E52">
      <w:pPr>
        <w:pStyle w:val="SingleTxtG"/>
        <w:rPr>
          <w:lang w:val="fr-FR"/>
        </w:rPr>
      </w:pPr>
      <w:r w:rsidRPr="00F93C80">
        <w:rPr>
          <w:lang w:val="fr-FR"/>
        </w:rPr>
        <w:t>36.</w:t>
      </w:r>
      <w:r w:rsidRPr="00F93C80">
        <w:rPr>
          <w:lang w:val="fr-FR"/>
        </w:rPr>
        <w:tab/>
        <w:t xml:space="preserve">Le Comité est préoccupé par la lenteur du </w:t>
      </w:r>
      <w:r w:rsidRPr="00F93C80">
        <w:rPr>
          <w:iCs/>
          <w:lang w:val="fr-FR"/>
        </w:rPr>
        <w:t>processus de désinstitutionnalisation</w:t>
      </w:r>
      <w:r w:rsidRPr="00F93C80">
        <w:rPr>
          <w:lang w:val="fr-FR"/>
        </w:rPr>
        <w:t>. Il</w:t>
      </w:r>
      <w:r w:rsidR="00B83884">
        <w:rPr>
          <w:lang w:val="fr-FR"/>
        </w:rPr>
        <w:t> </w:t>
      </w:r>
      <w:r>
        <w:rPr>
          <w:lang w:val="fr-FR"/>
        </w:rPr>
        <w:t>note avec inquiétude qu’en dépit du</w:t>
      </w:r>
      <w:r w:rsidRPr="00427E43">
        <w:rPr>
          <w:lang w:val="fr-FR"/>
        </w:rPr>
        <w:t xml:space="preserve"> moratoire </w:t>
      </w:r>
      <w:r w:rsidRPr="007F5A8A">
        <w:rPr>
          <w:lang w:val="fr-FR"/>
        </w:rPr>
        <w:t xml:space="preserve">sur les </w:t>
      </w:r>
      <w:r>
        <w:rPr>
          <w:lang w:val="fr-FR"/>
        </w:rPr>
        <w:t>internements</w:t>
      </w:r>
      <w:r w:rsidRPr="007F5A8A">
        <w:rPr>
          <w:lang w:val="fr-FR"/>
        </w:rPr>
        <w:t xml:space="preserve">, </w:t>
      </w:r>
      <w:r>
        <w:rPr>
          <w:lang w:val="fr-FR"/>
        </w:rPr>
        <w:t>d</w:t>
      </w:r>
      <w:r w:rsidRPr="007F5A8A">
        <w:rPr>
          <w:lang w:val="fr-FR"/>
        </w:rPr>
        <w:t>es personnes handicapées continuent d</w:t>
      </w:r>
      <w:r>
        <w:rPr>
          <w:lang w:val="fr-FR"/>
        </w:rPr>
        <w:t>’</w:t>
      </w:r>
      <w:r w:rsidRPr="007F5A8A">
        <w:rPr>
          <w:lang w:val="fr-FR"/>
        </w:rPr>
        <w:t xml:space="preserve">être placées en institution. Il </w:t>
      </w:r>
      <w:r>
        <w:rPr>
          <w:lang w:val="fr-FR"/>
        </w:rPr>
        <w:t>relève</w:t>
      </w:r>
      <w:r w:rsidRPr="007F5A8A">
        <w:rPr>
          <w:lang w:val="fr-FR"/>
        </w:rPr>
        <w:t xml:space="preserve"> également </w:t>
      </w:r>
      <w:r>
        <w:rPr>
          <w:lang w:val="fr-FR"/>
        </w:rPr>
        <w:t>avec inquiétude</w:t>
      </w:r>
      <w:r w:rsidRPr="007F5A8A">
        <w:rPr>
          <w:lang w:val="fr-FR"/>
        </w:rPr>
        <w:t xml:space="preserve"> que </w:t>
      </w:r>
      <w:r>
        <w:rPr>
          <w:lang w:val="fr-FR"/>
        </w:rPr>
        <w:t xml:space="preserve">la législation de </w:t>
      </w:r>
      <w:r w:rsidRPr="007F5A8A">
        <w:rPr>
          <w:lang w:val="fr-FR"/>
        </w:rPr>
        <w:t>l</w:t>
      </w:r>
      <w:r>
        <w:rPr>
          <w:lang w:val="fr-FR"/>
        </w:rPr>
        <w:t>’</w:t>
      </w:r>
      <w:r w:rsidRPr="007F5A8A">
        <w:rPr>
          <w:lang w:val="fr-FR"/>
        </w:rPr>
        <w:t xml:space="preserve">État partie </w:t>
      </w:r>
      <w:r>
        <w:rPr>
          <w:lang w:val="fr-FR"/>
        </w:rPr>
        <w:t>ne</w:t>
      </w:r>
      <w:r w:rsidRPr="007F5A8A">
        <w:rPr>
          <w:lang w:val="fr-FR"/>
        </w:rPr>
        <w:t xml:space="preserve"> garanti</w:t>
      </w:r>
      <w:r>
        <w:rPr>
          <w:lang w:val="fr-FR"/>
        </w:rPr>
        <w:t>t pas</w:t>
      </w:r>
      <w:r w:rsidRPr="007F5A8A">
        <w:rPr>
          <w:lang w:val="fr-FR"/>
        </w:rPr>
        <w:t xml:space="preserve"> aux personnes handicapées </w:t>
      </w:r>
      <w:r w:rsidRPr="001D2A45">
        <w:rPr>
          <w:lang w:val="fr-FR"/>
        </w:rPr>
        <w:t>la possibilité de mener une vie autonome</w:t>
      </w:r>
      <w:r>
        <w:rPr>
          <w:lang w:val="fr-FR"/>
        </w:rPr>
        <w:t xml:space="preserve"> après leur séjour en institution</w:t>
      </w:r>
      <w:r w:rsidRPr="001D2A45">
        <w:rPr>
          <w:lang w:val="fr-FR"/>
        </w:rPr>
        <w:t xml:space="preserve">, et que les </w:t>
      </w:r>
      <w:r w:rsidRPr="0060336A">
        <w:rPr>
          <w:lang w:val="fr-FR"/>
        </w:rPr>
        <w:t xml:space="preserve">responsabilités des autorités centrales et locales en matière de </w:t>
      </w:r>
      <w:r w:rsidRPr="00427E43">
        <w:rPr>
          <w:lang w:val="fr-FR"/>
        </w:rPr>
        <w:t xml:space="preserve">prestation de services </w:t>
      </w:r>
      <w:r>
        <w:rPr>
          <w:lang w:val="fr-FR"/>
        </w:rPr>
        <w:t>à l’échelle des collectivités</w:t>
      </w:r>
      <w:r w:rsidRPr="00427E43">
        <w:rPr>
          <w:lang w:val="fr-FR"/>
        </w:rPr>
        <w:t xml:space="preserve"> ne sont pas définies de manière suffisamment claire.</w:t>
      </w:r>
    </w:p>
    <w:p w:rsidR="00F84D3F" w:rsidRPr="00F93C80" w:rsidRDefault="00F84D3F" w:rsidP="00CB3E52">
      <w:pPr>
        <w:pStyle w:val="SingleTxtG"/>
        <w:keepNext/>
        <w:rPr>
          <w:b/>
          <w:lang w:val="fr-FR"/>
        </w:rPr>
      </w:pPr>
      <w:r w:rsidRPr="00CB3E52">
        <w:rPr>
          <w:lang w:val="fr-FR"/>
        </w:rPr>
        <w:t>37.</w:t>
      </w:r>
      <w:r w:rsidRPr="00F93C80">
        <w:rPr>
          <w:b/>
          <w:lang w:val="fr-FR"/>
        </w:rPr>
        <w:tab/>
        <w:t>Le Comité recommande à l</w:t>
      </w:r>
      <w:r>
        <w:rPr>
          <w:b/>
          <w:lang w:val="fr-FR"/>
        </w:rPr>
        <w:t>’</w:t>
      </w:r>
      <w:r w:rsidRPr="00F93C80">
        <w:rPr>
          <w:b/>
          <w:lang w:val="fr-FR"/>
        </w:rPr>
        <w:t>État partie d</w:t>
      </w:r>
      <w:r>
        <w:rPr>
          <w:b/>
          <w:lang w:val="fr-FR"/>
        </w:rPr>
        <w:t>’</w:t>
      </w:r>
      <w:r w:rsidRPr="00F93C80">
        <w:rPr>
          <w:b/>
          <w:lang w:val="fr-FR"/>
        </w:rPr>
        <w:t>accélérer le processus de désinstitutionnalisation et d</w:t>
      </w:r>
      <w:r>
        <w:rPr>
          <w:b/>
          <w:lang w:val="fr-FR"/>
        </w:rPr>
        <w:t>’</w:t>
      </w:r>
      <w:r w:rsidRPr="00F93C80">
        <w:rPr>
          <w:b/>
          <w:lang w:val="fr-FR"/>
        </w:rPr>
        <w:t>assurer la mise en application du moratoire. Il lui recommande</w:t>
      </w:r>
      <w:r w:rsidR="00CB3E52">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a)</w:t>
      </w:r>
      <w:r w:rsidRPr="00F93C80">
        <w:rPr>
          <w:b/>
          <w:lang w:val="fr-FR"/>
        </w:rPr>
        <w:tab/>
        <w:t xml:space="preserve">De </w:t>
      </w:r>
      <w:r>
        <w:rPr>
          <w:b/>
          <w:lang w:val="fr-FR"/>
        </w:rPr>
        <w:t>mettre à exécution</w:t>
      </w:r>
      <w:r w:rsidRPr="00F93C80">
        <w:rPr>
          <w:b/>
          <w:lang w:val="fr-FR"/>
        </w:rPr>
        <w:t xml:space="preserve"> sans attendre </w:t>
      </w:r>
      <w:r>
        <w:rPr>
          <w:b/>
          <w:lang w:val="fr-FR"/>
        </w:rPr>
        <w:t>le</w:t>
      </w:r>
      <w:r w:rsidRPr="00F93C80">
        <w:rPr>
          <w:b/>
          <w:lang w:val="fr-FR"/>
        </w:rPr>
        <w:t xml:space="preserve"> plan d</w:t>
      </w:r>
      <w:r>
        <w:rPr>
          <w:b/>
          <w:lang w:val="fr-FR"/>
        </w:rPr>
        <w:t>’</w:t>
      </w:r>
      <w:r w:rsidRPr="00F93C80">
        <w:rPr>
          <w:b/>
          <w:lang w:val="fr-FR"/>
        </w:rPr>
        <w:t xml:space="preserve">action pour la mise en œuvre des réformes </w:t>
      </w:r>
      <w:r>
        <w:rPr>
          <w:b/>
          <w:lang w:val="fr-FR"/>
        </w:rPr>
        <w:t>de</w:t>
      </w:r>
      <w:r w:rsidRPr="00F93C80">
        <w:rPr>
          <w:b/>
          <w:lang w:val="fr-FR"/>
        </w:rPr>
        <w:t xml:space="preserve"> désinstitutionnalisation</w:t>
      </w:r>
      <w:r>
        <w:rPr>
          <w:b/>
          <w:lang w:val="fr-FR"/>
        </w:rPr>
        <w:t>, dans le cadre duquel</w:t>
      </w:r>
      <w:r w:rsidRPr="00F93C80">
        <w:rPr>
          <w:b/>
          <w:lang w:val="fr-FR"/>
        </w:rPr>
        <w:t xml:space="preserve"> </w:t>
      </w:r>
      <w:r>
        <w:rPr>
          <w:b/>
          <w:lang w:val="fr-FR"/>
        </w:rPr>
        <w:t xml:space="preserve">il conviendrait de fixer un </w:t>
      </w:r>
      <w:r w:rsidRPr="00F93C80">
        <w:rPr>
          <w:b/>
          <w:lang w:val="fr-FR"/>
        </w:rPr>
        <w:t xml:space="preserve">délai et </w:t>
      </w:r>
      <w:r>
        <w:rPr>
          <w:b/>
          <w:lang w:val="fr-FR"/>
        </w:rPr>
        <w:t xml:space="preserve">d’établir </w:t>
      </w:r>
      <w:r w:rsidRPr="00F93C80">
        <w:rPr>
          <w:b/>
          <w:lang w:val="fr-FR"/>
        </w:rPr>
        <w:t xml:space="preserve">un </w:t>
      </w:r>
      <w:r>
        <w:rPr>
          <w:b/>
          <w:lang w:val="fr-FR"/>
        </w:rPr>
        <w:t>échéancier</w:t>
      </w:r>
      <w:r w:rsidRPr="00F93C80">
        <w:rPr>
          <w:b/>
          <w:lang w:val="fr-FR"/>
        </w:rPr>
        <w:t xml:space="preserve"> </w:t>
      </w:r>
      <w:r>
        <w:rPr>
          <w:b/>
          <w:lang w:val="fr-FR"/>
        </w:rPr>
        <w:t>en vue de</w:t>
      </w:r>
      <w:r w:rsidRPr="00F93C80">
        <w:rPr>
          <w:b/>
          <w:lang w:val="fr-FR"/>
        </w:rPr>
        <w:t xml:space="preserve"> la fermeture</w:t>
      </w:r>
      <w:r>
        <w:rPr>
          <w:b/>
          <w:lang w:val="fr-FR"/>
        </w:rPr>
        <w:t>, à terme,</w:t>
      </w:r>
      <w:r w:rsidRPr="00F93C80">
        <w:rPr>
          <w:b/>
          <w:lang w:val="fr-FR"/>
        </w:rPr>
        <w:t xml:space="preserve"> de toutes les institutions restantes</w:t>
      </w:r>
      <w:r w:rsidR="00CB3E52">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b)</w:t>
      </w:r>
      <w:r w:rsidRPr="00F93C80">
        <w:rPr>
          <w:b/>
          <w:lang w:val="fr-FR"/>
        </w:rPr>
        <w:tab/>
        <w:t xml:space="preserve">De </w:t>
      </w:r>
      <w:r>
        <w:rPr>
          <w:b/>
          <w:lang w:val="fr-FR"/>
        </w:rPr>
        <w:t>légiférer pour</w:t>
      </w:r>
      <w:r w:rsidRPr="00F93C80">
        <w:rPr>
          <w:b/>
          <w:lang w:val="fr-FR"/>
        </w:rPr>
        <w:t xml:space="preserve"> garantir l</w:t>
      </w:r>
      <w:r>
        <w:rPr>
          <w:b/>
          <w:lang w:val="fr-FR"/>
        </w:rPr>
        <w:t>’</w:t>
      </w:r>
      <w:r w:rsidRPr="00F93C80">
        <w:rPr>
          <w:b/>
          <w:lang w:val="fr-FR"/>
        </w:rPr>
        <w:t>autonomie de vie</w:t>
      </w:r>
      <w:r>
        <w:rPr>
          <w:b/>
          <w:lang w:val="fr-FR"/>
        </w:rPr>
        <w:t xml:space="preserve"> des personnes handicapées</w:t>
      </w:r>
      <w:r w:rsidRPr="00F93C80">
        <w:rPr>
          <w:b/>
          <w:lang w:val="fr-FR"/>
        </w:rPr>
        <w:t xml:space="preserve">, </w:t>
      </w:r>
      <w:r>
        <w:rPr>
          <w:b/>
          <w:lang w:val="fr-FR"/>
        </w:rPr>
        <w:t>notamment</w:t>
      </w:r>
      <w:r w:rsidRPr="00F93C80">
        <w:rPr>
          <w:b/>
          <w:lang w:val="fr-FR"/>
        </w:rPr>
        <w:t xml:space="preserve"> </w:t>
      </w:r>
      <w:r>
        <w:rPr>
          <w:b/>
          <w:lang w:val="fr-FR"/>
        </w:rPr>
        <w:t>l’accès à des services d’aide à la personne</w:t>
      </w:r>
      <w:r w:rsidRPr="00F93C80">
        <w:rPr>
          <w:b/>
          <w:lang w:val="fr-FR"/>
        </w:rPr>
        <w:t xml:space="preserve">, et de </w:t>
      </w:r>
      <w:r>
        <w:rPr>
          <w:b/>
          <w:lang w:val="fr-FR"/>
        </w:rPr>
        <w:t>définir plus précisément</w:t>
      </w:r>
      <w:r w:rsidRPr="00F93C80">
        <w:rPr>
          <w:b/>
          <w:lang w:val="fr-FR"/>
        </w:rPr>
        <w:t xml:space="preserve"> les responsabilités des autorités centrales et locales et les ressources </w:t>
      </w:r>
      <w:r>
        <w:rPr>
          <w:b/>
          <w:lang w:val="fr-FR"/>
        </w:rPr>
        <w:t xml:space="preserve">qui leur sont </w:t>
      </w:r>
      <w:r w:rsidRPr="00F93C80">
        <w:rPr>
          <w:b/>
          <w:lang w:val="fr-FR"/>
        </w:rPr>
        <w:t xml:space="preserve">allouées </w:t>
      </w:r>
      <w:r>
        <w:rPr>
          <w:b/>
          <w:lang w:val="fr-FR"/>
        </w:rPr>
        <w:t>dans ce domaine</w:t>
      </w:r>
      <w:r w:rsidR="00CB3E52">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c)</w:t>
      </w:r>
      <w:r w:rsidRPr="00F93C80">
        <w:rPr>
          <w:b/>
          <w:lang w:val="fr-FR"/>
        </w:rPr>
        <w:tab/>
        <w:t>D</w:t>
      </w:r>
      <w:r>
        <w:rPr>
          <w:b/>
          <w:lang w:val="fr-FR"/>
        </w:rPr>
        <w:t xml:space="preserve">’associer </w:t>
      </w:r>
      <w:r w:rsidRPr="00F93C80">
        <w:rPr>
          <w:b/>
          <w:lang w:val="fr-FR"/>
        </w:rPr>
        <w:t>les personnes handicapées, par l</w:t>
      </w:r>
      <w:r>
        <w:rPr>
          <w:b/>
          <w:lang w:val="fr-FR"/>
        </w:rPr>
        <w:t>’</w:t>
      </w:r>
      <w:r w:rsidRPr="00F93C80">
        <w:rPr>
          <w:b/>
          <w:lang w:val="fr-FR"/>
        </w:rPr>
        <w:t>intermédiaire de</w:t>
      </w:r>
      <w:r>
        <w:rPr>
          <w:b/>
          <w:lang w:val="fr-FR"/>
        </w:rPr>
        <w:t xml:space="preserve">s </w:t>
      </w:r>
      <w:r w:rsidRPr="00F93C80">
        <w:rPr>
          <w:b/>
          <w:lang w:val="fr-FR"/>
        </w:rPr>
        <w:t xml:space="preserve">organisations </w:t>
      </w:r>
      <w:r>
        <w:rPr>
          <w:b/>
          <w:lang w:val="fr-FR"/>
        </w:rPr>
        <w:t xml:space="preserve">qui les </w:t>
      </w:r>
      <w:r w:rsidRPr="00F93C80">
        <w:rPr>
          <w:b/>
          <w:lang w:val="fr-FR"/>
        </w:rPr>
        <w:t>représent</w:t>
      </w:r>
      <w:r>
        <w:rPr>
          <w:b/>
          <w:lang w:val="fr-FR"/>
        </w:rPr>
        <w:t>ent</w:t>
      </w:r>
      <w:r w:rsidRPr="00F93C80">
        <w:rPr>
          <w:b/>
          <w:lang w:val="fr-FR"/>
        </w:rPr>
        <w:t>, à toutes les étapes du processus de désinstitutionnalisation (planification, mise en œuvre, évaluation et suivi).</w:t>
      </w:r>
    </w:p>
    <w:p w:rsidR="00F84D3F" w:rsidRPr="00F93C80" w:rsidRDefault="00F84D3F" w:rsidP="00CB3E52">
      <w:pPr>
        <w:pStyle w:val="H23G"/>
        <w:rPr>
          <w:lang w:val="fr-FR"/>
        </w:rPr>
      </w:pPr>
      <w:r w:rsidRPr="00F93C80">
        <w:rPr>
          <w:lang w:val="fr-FR"/>
        </w:rPr>
        <w:tab/>
      </w:r>
      <w:r w:rsidRPr="00F93C80">
        <w:rPr>
          <w:lang w:val="fr-FR"/>
        </w:rPr>
        <w:tab/>
        <w:t>Mobilité personnelle (art.</w:t>
      </w:r>
      <w:r w:rsidR="00B83884">
        <w:rPr>
          <w:lang w:val="fr-FR"/>
        </w:rPr>
        <w:t> </w:t>
      </w:r>
      <w:r w:rsidRPr="00F93C80">
        <w:rPr>
          <w:lang w:val="fr-FR"/>
        </w:rPr>
        <w:t>20)</w:t>
      </w:r>
    </w:p>
    <w:p w:rsidR="00F84D3F" w:rsidRPr="00F93C80" w:rsidRDefault="00F84D3F" w:rsidP="00CB3E52">
      <w:pPr>
        <w:pStyle w:val="SingleTxtG"/>
        <w:rPr>
          <w:lang w:val="fr-FR"/>
        </w:rPr>
      </w:pPr>
      <w:r w:rsidRPr="00F93C80">
        <w:rPr>
          <w:lang w:val="fr-FR"/>
        </w:rPr>
        <w:t>38.</w:t>
      </w:r>
      <w:r w:rsidRPr="00F93C80">
        <w:rPr>
          <w:lang w:val="fr-FR"/>
        </w:rPr>
        <w:tab/>
      </w:r>
      <w:r w:rsidRPr="00EA1451">
        <w:rPr>
          <w:lang w:val="fr-FR"/>
        </w:rPr>
        <w:t xml:space="preserve">Le Comité note avec préoccupation que les personnes handicapées ont des difficultés à se procurer des aides, </w:t>
      </w:r>
      <w:r>
        <w:rPr>
          <w:lang w:val="fr-FR"/>
        </w:rPr>
        <w:t>des accessoires fonctionnels et des dispositifs d’aménagement</w:t>
      </w:r>
      <w:r w:rsidRPr="00EA1451">
        <w:rPr>
          <w:lang w:val="fr-FR"/>
        </w:rPr>
        <w:t xml:space="preserve"> de qualité destinés à faciliter leur mobilité, notamment des permis de conduire</w:t>
      </w:r>
      <w:r>
        <w:rPr>
          <w:lang w:val="fr-FR"/>
        </w:rPr>
        <w:t xml:space="preserve"> aménagés</w:t>
      </w:r>
      <w:r w:rsidRPr="00EA1451">
        <w:rPr>
          <w:lang w:val="fr-FR"/>
        </w:rPr>
        <w:t xml:space="preserve"> et des équipements automobiles</w:t>
      </w:r>
      <w:r>
        <w:rPr>
          <w:lang w:val="fr-FR"/>
        </w:rPr>
        <w:t xml:space="preserve"> spécialement adaptés</w:t>
      </w:r>
      <w:r w:rsidRPr="00EA1451">
        <w:rPr>
          <w:lang w:val="fr-FR"/>
        </w:rPr>
        <w:t>, et que les aides dont elles bénéficient aux fins de l</w:t>
      </w:r>
      <w:r>
        <w:rPr>
          <w:lang w:val="fr-FR"/>
        </w:rPr>
        <w:t>’</w:t>
      </w:r>
      <w:r w:rsidRPr="00EA1451">
        <w:rPr>
          <w:lang w:val="fr-FR"/>
        </w:rPr>
        <w:t>acquisition de ce type de dispositif</w:t>
      </w:r>
      <w:r>
        <w:rPr>
          <w:lang w:val="fr-FR"/>
        </w:rPr>
        <w:t>s</w:t>
      </w:r>
      <w:r w:rsidRPr="00EA1451">
        <w:rPr>
          <w:lang w:val="fr-FR"/>
        </w:rPr>
        <w:t xml:space="preserve"> son</w:t>
      </w:r>
      <w:r>
        <w:rPr>
          <w:lang w:val="fr-FR"/>
        </w:rPr>
        <w:t>t insuffisantes</w:t>
      </w:r>
      <w:r w:rsidRPr="00F93C80">
        <w:rPr>
          <w:lang w:val="fr-FR"/>
        </w:rPr>
        <w:t>. Il</w:t>
      </w:r>
      <w:r w:rsidR="00B83884">
        <w:rPr>
          <w:lang w:val="fr-FR"/>
        </w:rPr>
        <w:t> </w:t>
      </w:r>
      <w:r>
        <w:rPr>
          <w:lang w:val="fr-FR"/>
        </w:rPr>
        <w:t>note</w:t>
      </w:r>
      <w:r w:rsidRPr="00F93C80">
        <w:rPr>
          <w:lang w:val="fr-FR"/>
        </w:rPr>
        <w:t xml:space="preserve"> également </w:t>
      </w:r>
      <w:r>
        <w:rPr>
          <w:lang w:val="fr-FR"/>
        </w:rPr>
        <w:t xml:space="preserve">avec préoccupation </w:t>
      </w:r>
      <w:r w:rsidRPr="00F93C80">
        <w:rPr>
          <w:lang w:val="fr-FR"/>
        </w:rPr>
        <w:t xml:space="preserve">que les personnes atteintes de déficiences visuelles sont exclues des programmes </w:t>
      </w:r>
      <w:r>
        <w:rPr>
          <w:lang w:val="fr-FR"/>
        </w:rPr>
        <w:t>dans le cadre desquels d</w:t>
      </w:r>
      <w:r w:rsidRPr="00F93C80">
        <w:rPr>
          <w:lang w:val="fr-FR"/>
        </w:rPr>
        <w:t xml:space="preserve">es équipements </w:t>
      </w:r>
      <w:r>
        <w:rPr>
          <w:lang w:val="fr-FR"/>
        </w:rPr>
        <w:t>fonctionnels sont fournis</w:t>
      </w:r>
      <w:r w:rsidRPr="00F93C80">
        <w:rPr>
          <w:lang w:val="fr-FR"/>
        </w:rPr>
        <w:t>.</w:t>
      </w:r>
    </w:p>
    <w:p w:rsidR="00F84D3F" w:rsidRPr="00F93C80" w:rsidRDefault="00F84D3F" w:rsidP="00CB3E52">
      <w:pPr>
        <w:pStyle w:val="SingleTxtG"/>
        <w:rPr>
          <w:b/>
          <w:lang w:val="fr-FR"/>
        </w:rPr>
      </w:pPr>
      <w:r w:rsidRPr="00F93C80">
        <w:rPr>
          <w:lang w:val="fr-FR"/>
        </w:rPr>
        <w:t>39.</w:t>
      </w:r>
      <w:r w:rsidRPr="00F93C80">
        <w:rPr>
          <w:lang w:val="fr-FR"/>
        </w:rPr>
        <w:tab/>
      </w:r>
      <w:r w:rsidRPr="00F93C80">
        <w:rPr>
          <w:b/>
          <w:lang w:val="fr-FR"/>
        </w:rPr>
        <w:t>Le Comité recommande à l</w:t>
      </w:r>
      <w:r>
        <w:rPr>
          <w:b/>
          <w:lang w:val="fr-FR"/>
        </w:rPr>
        <w:t>’</w:t>
      </w:r>
      <w:r w:rsidRPr="00F93C80">
        <w:rPr>
          <w:b/>
          <w:lang w:val="fr-FR"/>
        </w:rPr>
        <w:t>État partie de mettre en place</w:t>
      </w:r>
      <w:r>
        <w:rPr>
          <w:b/>
          <w:lang w:val="fr-FR"/>
        </w:rPr>
        <w:t>,</w:t>
      </w:r>
      <w:r w:rsidRPr="00F93C80">
        <w:rPr>
          <w:b/>
          <w:lang w:val="fr-FR"/>
        </w:rPr>
        <w:t xml:space="preserve"> en </w:t>
      </w:r>
      <w:r>
        <w:rPr>
          <w:b/>
          <w:lang w:val="fr-FR"/>
        </w:rPr>
        <w:t>collaboration</w:t>
      </w:r>
      <w:r w:rsidRPr="00F93C80">
        <w:rPr>
          <w:b/>
          <w:lang w:val="fr-FR"/>
        </w:rPr>
        <w:t xml:space="preserve"> avec les organisations de personnes handicapées</w:t>
      </w:r>
      <w:r>
        <w:rPr>
          <w:b/>
          <w:lang w:val="fr-FR"/>
        </w:rPr>
        <w:t>,</w:t>
      </w:r>
      <w:r w:rsidRPr="00F93C80">
        <w:rPr>
          <w:b/>
          <w:lang w:val="fr-FR"/>
        </w:rPr>
        <w:t xml:space="preserve"> un mécanisme visant à </w:t>
      </w:r>
      <w:r>
        <w:rPr>
          <w:b/>
          <w:lang w:val="fr-FR"/>
        </w:rPr>
        <w:t>permettre à toutes les personnes handicapées</w:t>
      </w:r>
      <w:r w:rsidRPr="00F93C80">
        <w:rPr>
          <w:b/>
          <w:lang w:val="fr-FR"/>
        </w:rPr>
        <w:t xml:space="preserve"> </w:t>
      </w:r>
      <w:r>
        <w:rPr>
          <w:b/>
          <w:lang w:val="fr-FR"/>
        </w:rPr>
        <w:t>de se procurer plus facilement et à un coût abordable des</w:t>
      </w:r>
      <w:r w:rsidRPr="00F93C80">
        <w:rPr>
          <w:b/>
          <w:lang w:val="fr-FR"/>
        </w:rPr>
        <w:t xml:space="preserve"> aides, des équipements, des </w:t>
      </w:r>
      <w:r>
        <w:rPr>
          <w:b/>
          <w:lang w:val="fr-FR"/>
        </w:rPr>
        <w:t>accessoires fonctionnels</w:t>
      </w:r>
      <w:r w:rsidRPr="00F93C80">
        <w:rPr>
          <w:b/>
          <w:lang w:val="fr-FR"/>
        </w:rPr>
        <w:t xml:space="preserve"> et des</w:t>
      </w:r>
      <w:r>
        <w:rPr>
          <w:b/>
          <w:lang w:val="fr-FR"/>
        </w:rPr>
        <w:t xml:space="preserve"> systèmes</w:t>
      </w:r>
      <w:r w:rsidRPr="00F93C80">
        <w:rPr>
          <w:b/>
          <w:lang w:val="fr-FR"/>
        </w:rPr>
        <w:t xml:space="preserve"> technologi</w:t>
      </w:r>
      <w:r>
        <w:rPr>
          <w:b/>
          <w:lang w:val="fr-FR"/>
        </w:rPr>
        <w:t>qu</w:t>
      </w:r>
      <w:r w:rsidRPr="00F93C80">
        <w:rPr>
          <w:b/>
          <w:lang w:val="fr-FR"/>
        </w:rPr>
        <w:t xml:space="preserve">es de qualité </w:t>
      </w:r>
      <w:r>
        <w:rPr>
          <w:b/>
          <w:lang w:val="fr-FR"/>
        </w:rPr>
        <w:t>destinés à faciliter leur mobilité</w:t>
      </w:r>
      <w:r w:rsidRPr="00F93C80">
        <w:rPr>
          <w:b/>
          <w:lang w:val="fr-FR"/>
        </w:rPr>
        <w:t>. Il recommande aussi d</w:t>
      </w:r>
      <w:r>
        <w:rPr>
          <w:b/>
          <w:lang w:val="fr-FR"/>
        </w:rPr>
        <w:t>’</w:t>
      </w:r>
      <w:r w:rsidRPr="00F93C80">
        <w:rPr>
          <w:b/>
          <w:lang w:val="fr-FR"/>
        </w:rPr>
        <w:t xml:space="preserve">organiser régulièrement des </w:t>
      </w:r>
      <w:r>
        <w:rPr>
          <w:b/>
          <w:lang w:val="fr-FR"/>
        </w:rPr>
        <w:t>séances</w:t>
      </w:r>
      <w:r w:rsidRPr="00F93C80">
        <w:rPr>
          <w:b/>
          <w:lang w:val="fr-FR"/>
        </w:rPr>
        <w:t xml:space="preserve"> de formation et de renforcement des capacités </w:t>
      </w:r>
      <w:r>
        <w:rPr>
          <w:b/>
          <w:lang w:val="fr-FR"/>
        </w:rPr>
        <w:t xml:space="preserve">à l’intention </w:t>
      </w:r>
      <w:r w:rsidRPr="00F93C80">
        <w:rPr>
          <w:b/>
          <w:lang w:val="fr-FR"/>
        </w:rPr>
        <w:t>d</w:t>
      </w:r>
      <w:r>
        <w:rPr>
          <w:b/>
          <w:lang w:val="fr-FR"/>
        </w:rPr>
        <w:t xml:space="preserve">es personnes qui travaillent </w:t>
      </w:r>
      <w:r w:rsidRPr="00F93C80">
        <w:rPr>
          <w:b/>
          <w:lang w:val="fr-FR"/>
        </w:rPr>
        <w:t>dans le domaine de la mobilité personnelle.</w:t>
      </w:r>
    </w:p>
    <w:p w:rsidR="00F84D3F" w:rsidRPr="00F93C80" w:rsidRDefault="00F84D3F" w:rsidP="00CB3E52">
      <w:pPr>
        <w:pStyle w:val="H23G"/>
        <w:rPr>
          <w:lang w:val="fr-FR"/>
        </w:rPr>
      </w:pPr>
      <w:r w:rsidRPr="00F93C80">
        <w:rPr>
          <w:lang w:val="fr-FR"/>
        </w:rPr>
        <w:tab/>
      </w:r>
      <w:r w:rsidRPr="00F93C80">
        <w:rPr>
          <w:lang w:val="fr-FR"/>
        </w:rPr>
        <w:tab/>
        <w:t>Liberté d</w:t>
      </w:r>
      <w:r>
        <w:rPr>
          <w:lang w:val="fr-FR"/>
        </w:rPr>
        <w:t>’</w:t>
      </w:r>
      <w:r w:rsidRPr="00F93C80">
        <w:rPr>
          <w:lang w:val="fr-FR"/>
        </w:rPr>
        <w:t>expression et d</w:t>
      </w:r>
      <w:r>
        <w:rPr>
          <w:lang w:val="fr-FR"/>
        </w:rPr>
        <w:t>’</w:t>
      </w:r>
      <w:r w:rsidRPr="00F93C80">
        <w:rPr>
          <w:lang w:val="fr-FR"/>
        </w:rPr>
        <w:t>opinion et accès à l</w:t>
      </w:r>
      <w:r>
        <w:rPr>
          <w:lang w:val="fr-FR"/>
        </w:rPr>
        <w:t>’</w:t>
      </w:r>
      <w:r w:rsidRPr="00F93C80">
        <w:rPr>
          <w:lang w:val="fr-FR"/>
        </w:rPr>
        <w:t>information</w:t>
      </w:r>
      <w:r w:rsidRPr="00F93C80">
        <w:rPr>
          <w:i/>
          <w:lang w:val="fr-FR"/>
        </w:rPr>
        <w:t xml:space="preserve"> </w:t>
      </w:r>
      <w:r w:rsidRPr="00F93C80">
        <w:rPr>
          <w:lang w:val="fr-FR"/>
        </w:rPr>
        <w:t>(art. 21)</w:t>
      </w:r>
    </w:p>
    <w:p w:rsidR="00F84D3F" w:rsidRPr="007F5A8A" w:rsidRDefault="00F84D3F" w:rsidP="00CB3E52">
      <w:pPr>
        <w:pStyle w:val="SingleTxtG"/>
        <w:rPr>
          <w:lang w:val="fr-FR"/>
        </w:rPr>
      </w:pPr>
      <w:r w:rsidRPr="00F93C80">
        <w:rPr>
          <w:lang w:val="fr-FR"/>
        </w:rPr>
        <w:t>40.</w:t>
      </w:r>
      <w:r w:rsidRPr="00F93C80">
        <w:rPr>
          <w:lang w:val="fr-FR"/>
        </w:rPr>
        <w:tab/>
        <w:t xml:space="preserve">Le Comité </w:t>
      </w:r>
      <w:r>
        <w:rPr>
          <w:lang w:val="fr-FR"/>
        </w:rPr>
        <w:t>relève avec préoccupation</w:t>
      </w:r>
      <w:r w:rsidRPr="00F93C80">
        <w:rPr>
          <w:lang w:val="fr-FR"/>
        </w:rPr>
        <w:t xml:space="preserve"> que la langue des signes n</w:t>
      </w:r>
      <w:r>
        <w:rPr>
          <w:lang w:val="fr-FR"/>
        </w:rPr>
        <w:t>’</w:t>
      </w:r>
      <w:r w:rsidRPr="00F93C80">
        <w:rPr>
          <w:lang w:val="fr-FR"/>
        </w:rPr>
        <w:t>est pas dûment reconnue comme une langue officielle de l</w:t>
      </w:r>
      <w:r>
        <w:rPr>
          <w:lang w:val="fr-FR"/>
        </w:rPr>
        <w:t>’</w:t>
      </w:r>
      <w:r w:rsidRPr="00F93C80">
        <w:rPr>
          <w:lang w:val="fr-FR"/>
        </w:rPr>
        <w:t>État partie, qu</w:t>
      </w:r>
      <w:r>
        <w:rPr>
          <w:lang w:val="fr-FR"/>
        </w:rPr>
        <w:t>’en raison d’un</w:t>
      </w:r>
      <w:r w:rsidRPr="00F93C80">
        <w:rPr>
          <w:lang w:val="fr-FR"/>
        </w:rPr>
        <w:t xml:space="preserve"> manque de formation</w:t>
      </w:r>
      <w:r>
        <w:rPr>
          <w:lang w:val="fr-FR"/>
        </w:rPr>
        <w:t>, les</w:t>
      </w:r>
      <w:r w:rsidRPr="00F93C80">
        <w:rPr>
          <w:lang w:val="fr-FR"/>
        </w:rPr>
        <w:t xml:space="preserve"> interprètes en langue des signes ne sont pas assez nombreux dans les services publics et privés, et que les enfants sourds n</w:t>
      </w:r>
      <w:r>
        <w:rPr>
          <w:lang w:val="fr-FR"/>
        </w:rPr>
        <w:t>’</w:t>
      </w:r>
      <w:r w:rsidRPr="00F93C80">
        <w:rPr>
          <w:lang w:val="fr-FR"/>
        </w:rPr>
        <w:t xml:space="preserve">ont pas accès à un enseignement </w:t>
      </w:r>
      <w:r>
        <w:rPr>
          <w:lang w:val="fr-FR"/>
        </w:rPr>
        <w:t>dispensé</w:t>
      </w:r>
      <w:r w:rsidRPr="00F93C80">
        <w:rPr>
          <w:lang w:val="fr-FR"/>
        </w:rPr>
        <w:t xml:space="preserve"> en langue des signes. Il </w:t>
      </w:r>
      <w:r>
        <w:rPr>
          <w:lang w:val="fr-FR"/>
        </w:rPr>
        <w:t>constate en outre avec inquiétude</w:t>
      </w:r>
      <w:r w:rsidRPr="00F93C80">
        <w:rPr>
          <w:lang w:val="fr-FR"/>
        </w:rPr>
        <w:t xml:space="preserve"> que </w:t>
      </w:r>
      <w:r>
        <w:rPr>
          <w:lang w:val="fr-FR"/>
        </w:rPr>
        <w:t>très peu de moyens</w:t>
      </w:r>
      <w:r w:rsidRPr="00F93C80">
        <w:rPr>
          <w:lang w:val="fr-FR"/>
        </w:rPr>
        <w:t xml:space="preserve"> technologi</w:t>
      </w:r>
      <w:r>
        <w:rPr>
          <w:lang w:val="fr-FR"/>
        </w:rPr>
        <w:t>qu</w:t>
      </w:r>
      <w:r w:rsidRPr="00F93C80">
        <w:rPr>
          <w:lang w:val="fr-FR"/>
        </w:rPr>
        <w:t xml:space="preserve">es et </w:t>
      </w:r>
      <w:r>
        <w:rPr>
          <w:lang w:val="fr-FR"/>
        </w:rPr>
        <w:t>de</w:t>
      </w:r>
      <w:r w:rsidRPr="00F93C80">
        <w:rPr>
          <w:lang w:val="fr-FR"/>
        </w:rPr>
        <w:t xml:space="preserve"> </w:t>
      </w:r>
      <w:r>
        <w:rPr>
          <w:lang w:val="fr-FR"/>
        </w:rPr>
        <w:t>supports</w:t>
      </w:r>
      <w:r w:rsidRPr="00F93C80">
        <w:rPr>
          <w:lang w:val="fr-FR"/>
        </w:rPr>
        <w:t xml:space="preserve"> d</w:t>
      </w:r>
      <w:r>
        <w:rPr>
          <w:lang w:val="fr-FR"/>
        </w:rPr>
        <w:t>’</w:t>
      </w:r>
      <w:r w:rsidRPr="00F93C80">
        <w:rPr>
          <w:lang w:val="fr-FR"/>
        </w:rPr>
        <w:t>information et de communication accessibles, notamment en langage simplifié</w:t>
      </w:r>
      <w:r w:rsidRPr="007F5A8A">
        <w:rPr>
          <w:lang w:val="fr-FR"/>
        </w:rPr>
        <w:t xml:space="preserve">, </w:t>
      </w:r>
      <w:r>
        <w:rPr>
          <w:lang w:val="fr-FR"/>
        </w:rPr>
        <w:t>sont mis à la disposition des personnes handicapées</w:t>
      </w:r>
      <w:r w:rsidRPr="007F5A8A">
        <w:rPr>
          <w:lang w:val="fr-FR"/>
        </w:rPr>
        <w:t xml:space="preserve">, en particulier </w:t>
      </w:r>
      <w:r>
        <w:rPr>
          <w:lang w:val="fr-FR"/>
        </w:rPr>
        <w:t>d</w:t>
      </w:r>
      <w:r w:rsidRPr="007F5A8A">
        <w:rPr>
          <w:lang w:val="fr-FR"/>
        </w:rPr>
        <w:t xml:space="preserve">es personnes atteintes de déficiences visuelles et </w:t>
      </w:r>
      <w:r>
        <w:rPr>
          <w:lang w:val="fr-FR"/>
        </w:rPr>
        <w:t xml:space="preserve">de </w:t>
      </w:r>
      <w:r w:rsidRPr="007F5A8A">
        <w:rPr>
          <w:lang w:val="fr-FR"/>
        </w:rPr>
        <w:t xml:space="preserve">celles qui présentent un handicap intellectuel. </w:t>
      </w:r>
    </w:p>
    <w:p w:rsidR="00F84D3F" w:rsidRPr="00427E43" w:rsidRDefault="00F84D3F" w:rsidP="00CB3E52">
      <w:pPr>
        <w:pStyle w:val="SingleTxtG"/>
        <w:keepNext/>
        <w:rPr>
          <w:b/>
          <w:lang w:val="fr-FR"/>
        </w:rPr>
      </w:pPr>
      <w:r w:rsidRPr="001D2A45">
        <w:rPr>
          <w:lang w:val="fr-FR"/>
        </w:rPr>
        <w:lastRenderedPageBreak/>
        <w:t>41.</w:t>
      </w:r>
      <w:r w:rsidRPr="001D2A45">
        <w:rPr>
          <w:lang w:val="fr-FR"/>
        </w:rPr>
        <w:tab/>
      </w:r>
      <w:r w:rsidRPr="001D2A45">
        <w:rPr>
          <w:b/>
          <w:lang w:val="fr-FR"/>
        </w:rPr>
        <w:t>Le Comité recommande à l</w:t>
      </w:r>
      <w:r>
        <w:rPr>
          <w:b/>
          <w:lang w:val="fr-FR"/>
        </w:rPr>
        <w:t>’</w:t>
      </w:r>
      <w:r w:rsidRPr="0060336A">
        <w:rPr>
          <w:b/>
          <w:lang w:val="fr-FR"/>
        </w:rPr>
        <w:t>État partie</w:t>
      </w:r>
      <w:r w:rsidR="00CB3E52">
        <w:rPr>
          <w:b/>
          <w:lang w:val="fr-FR"/>
        </w:rPr>
        <w:t> </w:t>
      </w:r>
      <w:r w:rsidRPr="0060336A">
        <w:rPr>
          <w:b/>
          <w:lang w:val="fr-FR"/>
        </w:rPr>
        <w:t>:</w:t>
      </w:r>
    </w:p>
    <w:p w:rsidR="00F84D3F" w:rsidRPr="00F93C80" w:rsidRDefault="00F84D3F" w:rsidP="00A74311">
      <w:pPr>
        <w:pStyle w:val="SingleTxtG"/>
        <w:ind w:firstLine="567"/>
        <w:rPr>
          <w:b/>
          <w:lang w:val="fr-FR"/>
        </w:rPr>
      </w:pPr>
      <w:r w:rsidRPr="00C36BFE">
        <w:rPr>
          <w:lang w:val="fr-FR"/>
        </w:rPr>
        <w:t>a)</w:t>
      </w:r>
      <w:r w:rsidRPr="00F93C80">
        <w:rPr>
          <w:b/>
          <w:lang w:val="fr-FR"/>
        </w:rPr>
        <w:tab/>
        <w:t xml:space="preserve">De reconnaître la langue des signes </w:t>
      </w:r>
      <w:r>
        <w:rPr>
          <w:b/>
          <w:lang w:val="fr-FR"/>
        </w:rPr>
        <w:t>comme mode</w:t>
      </w:r>
      <w:r w:rsidRPr="00F93C80">
        <w:rPr>
          <w:b/>
          <w:lang w:val="fr-FR"/>
        </w:rPr>
        <w:t xml:space="preserve"> de communication</w:t>
      </w:r>
      <w:r>
        <w:rPr>
          <w:b/>
          <w:lang w:val="fr-FR"/>
        </w:rPr>
        <w:t xml:space="preserve"> pour les échanges officiels</w:t>
      </w:r>
      <w:r w:rsidR="00CB3E52">
        <w:rPr>
          <w:b/>
          <w:lang w:val="fr-FR"/>
        </w:rPr>
        <w:t> </w:t>
      </w:r>
      <w:r w:rsidRPr="00F93C80">
        <w:rPr>
          <w:b/>
          <w:lang w:val="fr-FR"/>
        </w:rPr>
        <w:t xml:space="preserve">; </w:t>
      </w:r>
    </w:p>
    <w:p w:rsidR="00F84D3F" w:rsidRPr="00F93C80" w:rsidRDefault="00F84D3F" w:rsidP="00A74311">
      <w:pPr>
        <w:pStyle w:val="SingleTxtG"/>
        <w:ind w:firstLine="567"/>
        <w:rPr>
          <w:b/>
          <w:lang w:val="fr-FR"/>
        </w:rPr>
      </w:pPr>
      <w:r w:rsidRPr="00C36BFE">
        <w:rPr>
          <w:lang w:val="fr-FR"/>
        </w:rPr>
        <w:t>b)</w:t>
      </w:r>
      <w:r w:rsidRPr="00F93C80">
        <w:rPr>
          <w:b/>
          <w:lang w:val="fr-FR"/>
        </w:rPr>
        <w:tab/>
        <w:t>D</w:t>
      </w:r>
      <w:r>
        <w:rPr>
          <w:b/>
          <w:lang w:val="fr-FR"/>
        </w:rPr>
        <w:t>’</w:t>
      </w:r>
      <w:r w:rsidRPr="00F93C80">
        <w:rPr>
          <w:b/>
          <w:lang w:val="fr-FR"/>
        </w:rPr>
        <w:t>investir dans la formation d</w:t>
      </w:r>
      <w:r>
        <w:rPr>
          <w:b/>
          <w:lang w:val="fr-FR"/>
        </w:rPr>
        <w:t>’</w:t>
      </w:r>
      <w:r w:rsidRPr="00F93C80">
        <w:rPr>
          <w:b/>
          <w:lang w:val="fr-FR"/>
        </w:rPr>
        <w:t>interprètes en langue des signes, de fournir des services d</w:t>
      </w:r>
      <w:r>
        <w:rPr>
          <w:b/>
          <w:lang w:val="fr-FR"/>
        </w:rPr>
        <w:t>’</w:t>
      </w:r>
      <w:r w:rsidRPr="00F93C80">
        <w:rPr>
          <w:b/>
          <w:lang w:val="fr-FR"/>
        </w:rPr>
        <w:t>interprétation en langue des signes dans les services ouverts au public et de veiller à ce que les enfants sourds bénéficient de l</w:t>
      </w:r>
      <w:r>
        <w:rPr>
          <w:b/>
          <w:lang w:val="fr-FR"/>
        </w:rPr>
        <w:t>’</w:t>
      </w:r>
      <w:r w:rsidRPr="00F93C80">
        <w:rPr>
          <w:b/>
          <w:lang w:val="fr-FR"/>
        </w:rPr>
        <w:t>égalité d</w:t>
      </w:r>
      <w:r>
        <w:rPr>
          <w:b/>
          <w:lang w:val="fr-FR"/>
        </w:rPr>
        <w:t>’</w:t>
      </w:r>
      <w:r w:rsidRPr="00F93C80">
        <w:rPr>
          <w:b/>
          <w:lang w:val="fr-FR"/>
        </w:rPr>
        <w:t xml:space="preserve">accès à une éducation </w:t>
      </w:r>
      <w:r w:rsidRPr="00F93C80">
        <w:rPr>
          <w:b/>
          <w:bCs/>
          <w:lang w:val="fr-FR"/>
        </w:rPr>
        <w:t xml:space="preserve">inclusive </w:t>
      </w:r>
      <w:r w:rsidRPr="00F93C80">
        <w:rPr>
          <w:b/>
          <w:lang w:val="fr-FR"/>
        </w:rPr>
        <w:t>de qualité</w:t>
      </w:r>
      <w:r w:rsidR="00CB3E52">
        <w:rPr>
          <w:b/>
          <w:lang w:val="fr-FR"/>
        </w:rPr>
        <w:t> </w:t>
      </w:r>
      <w:r w:rsidRPr="00F93C80">
        <w:rPr>
          <w:b/>
          <w:lang w:val="fr-FR"/>
        </w:rPr>
        <w:t xml:space="preserve">; </w:t>
      </w:r>
    </w:p>
    <w:p w:rsidR="00F84D3F" w:rsidRPr="007F5A8A" w:rsidRDefault="00F84D3F" w:rsidP="00A74311">
      <w:pPr>
        <w:pStyle w:val="SingleTxtG"/>
        <w:ind w:firstLine="567"/>
        <w:rPr>
          <w:b/>
          <w:lang w:val="fr-FR"/>
        </w:rPr>
      </w:pPr>
      <w:r w:rsidRPr="00C36BFE">
        <w:rPr>
          <w:lang w:val="fr-FR"/>
        </w:rPr>
        <w:t>c)</w:t>
      </w:r>
      <w:r w:rsidRPr="00F93C80">
        <w:rPr>
          <w:b/>
          <w:lang w:val="fr-FR"/>
        </w:rPr>
        <w:tab/>
      </w:r>
      <w:r>
        <w:rPr>
          <w:b/>
          <w:lang w:val="fr-FR"/>
        </w:rPr>
        <w:t xml:space="preserve">De mettre à la disposition des </w:t>
      </w:r>
      <w:r w:rsidRPr="00F93C80">
        <w:rPr>
          <w:b/>
          <w:lang w:val="fr-FR"/>
        </w:rPr>
        <w:t>personnes handicapées</w:t>
      </w:r>
      <w:r>
        <w:rPr>
          <w:b/>
          <w:lang w:val="fr-FR"/>
        </w:rPr>
        <w:t xml:space="preserve">, </w:t>
      </w:r>
      <w:r w:rsidRPr="00F93C80">
        <w:rPr>
          <w:b/>
          <w:lang w:val="fr-FR"/>
        </w:rPr>
        <w:t xml:space="preserve">en </w:t>
      </w:r>
      <w:r>
        <w:rPr>
          <w:b/>
          <w:lang w:val="fr-FR"/>
        </w:rPr>
        <w:t>particulier des</w:t>
      </w:r>
      <w:r w:rsidRPr="00F93C80">
        <w:rPr>
          <w:b/>
          <w:lang w:val="fr-FR"/>
        </w:rPr>
        <w:t xml:space="preserve"> enfants handicapés </w:t>
      </w:r>
      <w:r>
        <w:rPr>
          <w:b/>
          <w:lang w:val="fr-FR"/>
        </w:rPr>
        <w:t>scolarisés dans des établissements ordinaires,</w:t>
      </w:r>
      <w:r w:rsidRPr="00F93C80">
        <w:rPr>
          <w:b/>
          <w:lang w:val="fr-FR"/>
        </w:rPr>
        <w:t xml:space="preserve"> des </w:t>
      </w:r>
      <w:r>
        <w:rPr>
          <w:b/>
          <w:lang w:val="fr-FR"/>
        </w:rPr>
        <w:t>supports</w:t>
      </w:r>
      <w:r w:rsidRPr="00F93C80">
        <w:rPr>
          <w:b/>
          <w:lang w:val="fr-FR"/>
        </w:rPr>
        <w:t xml:space="preserve"> et des technologies d</w:t>
      </w:r>
      <w:r>
        <w:rPr>
          <w:b/>
          <w:lang w:val="fr-FR"/>
        </w:rPr>
        <w:t>’</w:t>
      </w:r>
      <w:r w:rsidRPr="00F93C80">
        <w:rPr>
          <w:b/>
          <w:lang w:val="fr-FR"/>
        </w:rPr>
        <w:t xml:space="preserve">information et de communication accessibles et adaptés, </w:t>
      </w:r>
      <w:r>
        <w:rPr>
          <w:b/>
          <w:lang w:val="fr-FR"/>
        </w:rPr>
        <w:t xml:space="preserve">notamment d’assurer </w:t>
      </w:r>
      <w:r w:rsidRPr="00F93C80">
        <w:rPr>
          <w:b/>
          <w:lang w:val="fr-FR"/>
        </w:rPr>
        <w:t>l</w:t>
      </w:r>
      <w:r>
        <w:rPr>
          <w:b/>
          <w:lang w:val="fr-FR"/>
        </w:rPr>
        <w:t>’accessibilité du Web, et l’usage du</w:t>
      </w:r>
      <w:r w:rsidRPr="00F93C80">
        <w:rPr>
          <w:b/>
          <w:lang w:val="fr-FR"/>
        </w:rPr>
        <w:t xml:space="preserve"> brail</w:t>
      </w:r>
      <w:r>
        <w:rPr>
          <w:b/>
          <w:lang w:val="fr-FR"/>
        </w:rPr>
        <w:t>le</w:t>
      </w:r>
      <w:r w:rsidRPr="00F93C80">
        <w:rPr>
          <w:b/>
          <w:lang w:val="fr-FR"/>
        </w:rPr>
        <w:t xml:space="preserve"> et</w:t>
      </w:r>
      <w:r>
        <w:rPr>
          <w:b/>
          <w:lang w:val="fr-FR"/>
        </w:rPr>
        <w:t xml:space="preserve"> de</w:t>
      </w:r>
      <w:r w:rsidRPr="00F93C80">
        <w:rPr>
          <w:b/>
          <w:lang w:val="fr-FR"/>
        </w:rPr>
        <w:t xml:space="preserve"> </w:t>
      </w:r>
      <w:r>
        <w:rPr>
          <w:b/>
          <w:lang w:val="fr-FR"/>
        </w:rPr>
        <w:t>supports</w:t>
      </w:r>
      <w:r w:rsidRPr="00F93C80">
        <w:rPr>
          <w:b/>
          <w:lang w:val="fr-FR"/>
        </w:rPr>
        <w:t xml:space="preserve"> simples et faciles à lire </w:t>
      </w:r>
      <w:r>
        <w:rPr>
          <w:b/>
          <w:lang w:val="fr-FR"/>
        </w:rPr>
        <w:t>pour</w:t>
      </w:r>
      <w:r w:rsidRPr="007F5A8A">
        <w:rPr>
          <w:b/>
          <w:lang w:val="fr-FR"/>
        </w:rPr>
        <w:t xml:space="preserve"> tous les services publics. </w:t>
      </w:r>
    </w:p>
    <w:p w:rsidR="00F84D3F" w:rsidRPr="00F93C80" w:rsidRDefault="00F84D3F" w:rsidP="00CB3E52">
      <w:pPr>
        <w:pStyle w:val="H23G"/>
        <w:rPr>
          <w:lang w:val="fr-FR"/>
        </w:rPr>
      </w:pPr>
      <w:r w:rsidRPr="00F93C80">
        <w:rPr>
          <w:lang w:val="fr-FR"/>
        </w:rPr>
        <w:tab/>
      </w:r>
      <w:r w:rsidRPr="00F93C80">
        <w:rPr>
          <w:lang w:val="fr-FR"/>
        </w:rPr>
        <w:tab/>
        <w:t>Respect du domicile et de la famille</w:t>
      </w:r>
      <w:r w:rsidRPr="00F93C80">
        <w:rPr>
          <w:i/>
          <w:lang w:val="fr-FR"/>
        </w:rPr>
        <w:t xml:space="preserve"> </w:t>
      </w:r>
      <w:r w:rsidRPr="00F93C80">
        <w:rPr>
          <w:lang w:val="fr-FR"/>
        </w:rPr>
        <w:t>(art.</w:t>
      </w:r>
      <w:r w:rsidR="00B83884">
        <w:rPr>
          <w:lang w:val="fr-FR"/>
        </w:rPr>
        <w:t> </w:t>
      </w:r>
      <w:r w:rsidRPr="00F93C80">
        <w:rPr>
          <w:lang w:val="fr-FR"/>
        </w:rPr>
        <w:t>23)</w:t>
      </w:r>
    </w:p>
    <w:p w:rsidR="00F84D3F" w:rsidRPr="00F93C80" w:rsidRDefault="00F84D3F" w:rsidP="00CB3E52">
      <w:pPr>
        <w:pStyle w:val="SingleTxtG"/>
        <w:keepNext/>
        <w:rPr>
          <w:lang w:val="fr-FR"/>
        </w:rPr>
      </w:pPr>
      <w:r w:rsidRPr="00F93C80">
        <w:rPr>
          <w:lang w:val="fr-FR"/>
        </w:rPr>
        <w:t>42.</w:t>
      </w:r>
      <w:r w:rsidRPr="00F93C80">
        <w:rPr>
          <w:lang w:val="fr-FR"/>
        </w:rPr>
        <w:tab/>
        <w:t xml:space="preserve">Le Comité est préoccupé par les lois et les politiques discriminatoires qui restreignent les droits des personnes handicapées au mariage, à la famille et à la parentalité, et </w:t>
      </w:r>
      <w:r>
        <w:rPr>
          <w:lang w:val="fr-FR"/>
        </w:rPr>
        <w:t>note avec inquiétude</w:t>
      </w:r>
      <w:r w:rsidR="00CB3E52">
        <w:rPr>
          <w:lang w:val="fr-FR"/>
        </w:rPr>
        <w:t> </w:t>
      </w:r>
      <w:r w:rsidRPr="00F93C80">
        <w:rPr>
          <w:lang w:val="fr-FR"/>
        </w:rPr>
        <w:t>:</w:t>
      </w:r>
    </w:p>
    <w:p w:rsidR="00F84D3F" w:rsidRPr="00F93C80" w:rsidRDefault="00F84D3F" w:rsidP="00A74311">
      <w:pPr>
        <w:pStyle w:val="SingleTxtG"/>
        <w:ind w:firstLine="567"/>
        <w:rPr>
          <w:lang w:val="fr-FR"/>
        </w:rPr>
      </w:pPr>
      <w:r w:rsidRPr="00F93C80">
        <w:rPr>
          <w:lang w:val="fr-FR"/>
        </w:rPr>
        <w:t>a)</w:t>
      </w:r>
      <w:r w:rsidRPr="00F93C80">
        <w:rPr>
          <w:lang w:val="fr-FR"/>
        </w:rPr>
        <w:tab/>
      </w:r>
      <w:r>
        <w:rPr>
          <w:lang w:val="fr-FR"/>
        </w:rPr>
        <w:t>Que l</w:t>
      </w:r>
      <w:r w:rsidRPr="00F93C80">
        <w:rPr>
          <w:lang w:val="fr-FR"/>
        </w:rPr>
        <w:t>e manque de services offerts aux familles qui comptent des personnes handicapées, en particulier des personnes atteintes d</w:t>
      </w:r>
      <w:r>
        <w:rPr>
          <w:lang w:val="fr-FR"/>
        </w:rPr>
        <w:t>’</w:t>
      </w:r>
      <w:r w:rsidRPr="00F93C80">
        <w:rPr>
          <w:lang w:val="fr-FR"/>
        </w:rPr>
        <w:t>un</w:t>
      </w:r>
      <w:r>
        <w:rPr>
          <w:lang w:val="fr-FR"/>
        </w:rPr>
        <w:t>e forme d’autisme</w:t>
      </w:r>
      <w:r w:rsidRPr="00F93C80">
        <w:rPr>
          <w:lang w:val="fr-FR"/>
        </w:rPr>
        <w:t>,</w:t>
      </w:r>
      <w:r w:rsidRPr="00F93C80">
        <w:rPr>
          <w:b/>
          <w:bCs/>
          <w:lang w:val="fr-FR"/>
        </w:rPr>
        <w:t xml:space="preserve"> </w:t>
      </w:r>
      <w:r w:rsidRPr="00F93C80">
        <w:rPr>
          <w:lang w:val="fr-FR"/>
        </w:rPr>
        <w:t xml:space="preserve">fait peser une charge excessive sur </w:t>
      </w:r>
      <w:r>
        <w:rPr>
          <w:lang w:val="fr-FR"/>
        </w:rPr>
        <w:t>c</w:t>
      </w:r>
      <w:r w:rsidRPr="00F93C80">
        <w:rPr>
          <w:lang w:val="fr-FR"/>
        </w:rPr>
        <w:t xml:space="preserve">es familles, en particulier sur les </w:t>
      </w:r>
      <w:r>
        <w:rPr>
          <w:bCs/>
          <w:lang w:val="fr-FR"/>
        </w:rPr>
        <w:t>foyers</w:t>
      </w:r>
      <w:r w:rsidRPr="00F93C80">
        <w:rPr>
          <w:bCs/>
          <w:lang w:val="fr-FR"/>
        </w:rPr>
        <w:t xml:space="preserve"> monoparen</w:t>
      </w:r>
      <w:r>
        <w:rPr>
          <w:bCs/>
          <w:lang w:val="fr-FR"/>
        </w:rPr>
        <w:t>taux</w:t>
      </w:r>
      <w:r w:rsidRPr="00F93C80">
        <w:rPr>
          <w:bCs/>
          <w:lang w:val="fr-FR"/>
        </w:rPr>
        <w:t xml:space="preserve"> dirigés par des femmes</w:t>
      </w:r>
      <w:r w:rsidRPr="00F93C80">
        <w:rPr>
          <w:lang w:val="fr-FR"/>
        </w:rPr>
        <w:t>, ce qui augmente leur risque de pauvreté et d</w:t>
      </w:r>
      <w:r>
        <w:rPr>
          <w:lang w:val="fr-FR"/>
        </w:rPr>
        <w:t>’</w:t>
      </w:r>
      <w:r w:rsidRPr="00F93C80">
        <w:rPr>
          <w:lang w:val="fr-FR"/>
        </w:rPr>
        <w:t>exclusion sociale</w:t>
      </w:r>
      <w:r w:rsidR="00CB3E52">
        <w:rPr>
          <w:lang w:val="fr-FR"/>
        </w:rPr>
        <w:t> </w:t>
      </w:r>
      <w:r w:rsidRPr="00F93C80">
        <w:rPr>
          <w:lang w:val="fr-FR"/>
        </w:rPr>
        <w:t>;</w:t>
      </w:r>
    </w:p>
    <w:p w:rsidR="00F84D3F" w:rsidRPr="00F93C80" w:rsidRDefault="00F84D3F" w:rsidP="00A74311">
      <w:pPr>
        <w:pStyle w:val="SingleTxtG"/>
        <w:ind w:firstLine="567"/>
        <w:rPr>
          <w:lang w:val="fr-FR"/>
        </w:rPr>
      </w:pPr>
      <w:r w:rsidRPr="00F93C80">
        <w:rPr>
          <w:lang w:val="fr-FR"/>
        </w:rPr>
        <w:t>b)</w:t>
      </w:r>
      <w:r w:rsidRPr="00F93C80">
        <w:rPr>
          <w:lang w:val="fr-FR"/>
        </w:rPr>
        <w:tab/>
      </w:r>
      <w:r>
        <w:rPr>
          <w:lang w:val="fr-FR"/>
        </w:rPr>
        <w:t>Que l</w:t>
      </w:r>
      <w:r w:rsidRPr="00F93C80">
        <w:rPr>
          <w:lang w:val="fr-FR"/>
        </w:rPr>
        <w:t xml:space="preserve">es personnes handicapées, en particulier les femmes </w:t>
      </w:r>
      <w:r>
        <w:rPr>
          <w:lang w:val="fr-FR"/>
        </w:rPr>
        <w:t>atteintes</w:t>
      </w:r>
      <w:r w:rsidRPr="00F93C80">
        <w:rPr>
          <w:lang w:val="fr-FR"/>
        </w:rPr>
        <w:t xml:space="preserve"> de troubles psychosociaux ou de déficience intellectuelle, </w:t>
      </w:r>
      <w:r>
        <w:rPr>
          <w:lang w:val="fr-FR"/>
        </w:rPr>
        <w:t>restent</w:t>
      </w:r>
      <w:r w:rsidRPr="00F93C80">
        <w:rPr>
          <w:lang w:val="fr-FR"/>
        </w:rPr>
        <w:t xml:space="preserve"> victimes de préjugés </w:t>
      </w:r>
      <w:r>
        <w:rPr>
          <w:lang w:val="fr-FR"/>
        </w:rPr>
        <w:t xml:space="preserve">pour ce qui a trait </w:t>
      </w:r>
      <w:r w:rsidRPr="00F93C80">
        <w:rPr>
          <w:lang w:val="fr-FR"/>
        </w:rPr>
        <w:t>à la famille et à la parentalité</w:t>
      </w:r>
      <w:r w:rsidR="00CB3E52">
        <w:rPr>
          <w:lang w:val="fr-FR"/>
        </w:rPr>
        <w:t> </w:t>
      </w:r>
      <w:r w:rsidRPr="00F93C80">
        <w:rPr>
          <w:lang w:val="fr-FR"/>
        </w:rPr>
        <w:t xml:space="preserve">; </w:t>
      </w:r>
    </w:p>
    <w:p w:rsidR="00F84D3F" w:rsidRPr="00F93C80" w:rsidRDefault="00F84D3F" w:rsidP="00A74311">
      <w:pPr>
        <w:pStyle w:val="SingleTxtG"/>
        <w:ind w:firstLine="567"/>
        <w:rPr>
          <w:lang w:val="fr-FR"/>
        </w:rPr>
      </w:pPr>
      <w:r w:rsidRPr="00F93C80">
        <w:rPr>
          <w:lang w:val="fr-FR"/>
        </w:rPr>
        <w:t>c)</w:t>
      </w:r>
      <w:r w:rsidRPr="00F93C80">
        <w:rPr>
          <w:lang w:val="fr-FR"/>
        </w:rPr>
        <w:tab/>
      </w:r>
      <w:r>
        <w:rPr>
          <w:lang w:val="fr-FR"/>
        </w:rPr>
        <w:t>Que s</w:t>
      </w:r>
      <w:r w:rsidRPr="00F93C80">
        <w:rPr>
          <w:lang w:val="fr-FR"/>
        </w:rPr>
        <w:t xml:space="preserve">elon </w:t>
      </w:r>
      <w:r>
        <w:rPr>
          <w:lang w:val="fr-FR"/>
        </w:rPr>
        <w:t>certaines</w:t>
      </w:r>
      <w:r w:rsidRPr="00F93C80">
        <w:rPr>
          <w:lang w:val="fr-FR"/>
        </w:rPr>
        <w:t xml:space="preserve"> </w:t>
      </w:r>
      <w:r>
        <w:rPr>
          <w:lang w:val="fr-FR"/>
        </w:rPr>
        <w:t>informations</w:t>
      </w:r>
      <w:r w:rsidRPr="00F93C80">
        <w:rPr>
          <w:lang w:val="fr-FR"/>
        </w:rPr>
        <w:t>, les autorités de protection de l</w:t>
      </w:r>
      <w:r>
        <w:rPr>
          <w:lang w:val="fr-FR"/>
        </w:rPr>
        <w:t>’</w:t>
      </w:r>
      <w:r w:rsidRPr="00F93C80">
        <w:rPr>
          <w:lang w:val="fr-FR"/>
        </w:rPr>
        <w:t>enfance demandent que les mères handicapées soient privées de leur capacité juridique et séparées de leurs enfants.</w:t>
      </w:r>
    </w:p>
    <w:p w:rsidR="00F84D3F" w:rsidRPr="00F93C80" w:rsidRDefault="00F84D3F" w:rsidP="00CB3E52">
      <w:pPr>
        <w:pStyle w:val="SingleTxtG"/>
        <w:keepNext/>
        <w:rPr>
          <w:b/>
          <w:lang w:val="fr-FR"/>
        </w:rPr>
      </w:pPr>
      <w:r w:rsidRPr="00F93C80">
        <w:rPr>
          <w:lang w:val="fr-FR"/>
        </w:rPr>
        <w:t>43.</w:t>
      </w:r>
      <w:r w:rsidRPr="00F93C80">
        <w:rPr>
          <w:b/>
          <w:lang w:val="fr-FR"/>
        </w:rPr>
        <w:tab/>
        <w:t>Le Comité recommande à l</w:t>
      </w:r>
      <w:r>
        <w:rPr>
          <w:b/>
          <w:lang w:val="fr-FR"/>
        </w:rPr>
        <w:t>’</w:t>
      </w:r>
      <w:r w:rsidRPr="00F93C80">
        <w:rPr>
          <w:b/>
          <w:lang w:val="fr-FR"/>
        </w:rPr>
        <w:t xml:space="preserve">État partie de prendre les mesures nécessaires, notamment </w:t>
      </w:r>
      <w:r>
        <w:rPr>
          <w:b/>
          <w:lang w:val="fr-FR"/>
        </w:rPr>
        <w:t>d’abroger</w:t>
      </w:r>
      <w:r w:rsidRPr="00F93C80">
        <w:rPr>
          <w:b/>
          <w:lang w:val="fr-FR"/>
        </w:rPr>
        <w:t xml:space="preserve"> certaines lois, pour éliminer la discrimination à l</w:t>
      </w:r>
      <w:r>
        <w:rPr>
          <w:b/>
          <w:lang w:val="fr-FR"/>
        </w:rPr>
        <w:t>’</w:t>
      </w:r>
      <w:r w:rsidRPr="00F93C80">
        <w:rPr>
          <w:b/>
          <w:lang w:val="fr-FR"/>
        </w:rPr>
        <w:t xml:space="preserve">égard des personnes handicapées, en particulier des femmes </w:t>
      </w:r>
      <w:r>
        <w:rPr>
          <w:b/>
          <w:lang w:val="fr-FR"/>
        </w:rPr>
        <w:t>présentant un handicap</w:t>
      </w:r>
      <w:r w:rsidRPr="00F93C80">
        <w:rPr>
          <w:b/>
          <w:lang w:val="fr-FR"/>
        </w:rPr>
        <w:t xml:space="preserve"> psychosocial ou intellectuel, </w:t>
      </w:r>
      <w:r w:rsidRPr="00F93C80">
        <w:rPr>
          <w:b/>
          <w:iCs/>
          <w:lang w:val="fr-FR"/>
        </w:rPr>
        <w:t>dans tout ce qui a trait au mariage, à la famille et à la fonction parentale.</w:t>
      </w:r>
      <w:r w:rsidRPr="00F93C80">
        <w:rPr>
          <w:b/>
          <w:lang w:val="fr-FR"/>
        </w:rPr>
        <w:t xml:space="preserve"> Il recommande en outre à l</w:t>
      </w:r>
      <w:r>
        <w:rPr>
          <w:b/>
          <w:lang w:val="fr-FR"/>
        </w:rPr>
        <w:t>’</w:t>
      </w:r>
      <w:r w:rsidRPr="00F93C80">
        <w:rPr>
          <w:b/>
          <w:lang w:val="fr-FR"/>
        </w:rPr>
        <w:t>État partie</w:t>
      </w:r>
      <w:r w:rsidR="00CB3E52">
        <w:rPr>
          <w:b/>
          <w:lang w:val="fr-FR"/>
        </w:rPr>
        <w:t> </w:t>
      </w:r>
      <w:r w:rsidRPr="00F93C80">
        <w:rPr>
          <w:b/>
          <w:lang w:val="fr-FR"/>
        </w:rPr>
        <w:t>:</w:t>
      </w:r>
    </w:p>
    <w:p w:rsidR="00F84D3F" w:rsidRPr="0060336A" w:rsidRDefault="00F84D3F" w:rsidP="00A74311">
      <w:pPr>
        <w:pStyle w:val="SingleTxtG"/>
        <w:ind w:firstLine="567"/>
        <w:rPr>
          <w:b/>
          <w:lang w:val="fr-FR"/>
        </w:rPr>
      </w:pPr>
      <w:r w:rsidRPr="00C36BFE">
        <w:rPr>
          <w:lang w:val="fr-FR"/>
        </w:rPr>
        <w:t>a)</w:t>
      </w:r>
      <w:r w:rsidRPr="00C36BFE">
        <w:rPr>
          <w:lang w:val="fr-FR"/>
        </w:rPr>
        <w:tab/>
      </w:r>
      <w:r w:rsidRPr="00F93C80">
        <w:rPr>
          <w:b/>
          <w:lang w:val="fr-FR"/>
        </w:rPr>
        <w:t xml:space="preserve">De </w:t>
      </w:r>
      <w:r>
        <w:rPr>
          <w:b/>
          <w:lang w:val="fr-FR"/>
        </w:rPr>
        <w:t>développer</w:t>
      </w:r>
      <w:r w:rsidRPr="00F93C80">
        <w:rPr>
          <w:b/>
          <w:lang w:val="fr-FR"/>
        </w:rPr>
        <w:t xml:space="preserve"> les </w:t>
      </w:r>
      <w:r w:rsidRPr="00F93C80">
        <w:rPr>
          <w:b/>
          <w:bCs/>
          <w:lang w:val="fr-FR"/>
        </w:rPr>
        <w:t>mesures de soutien inclusi</w:t>
      </w:r>
      <w:r>
        <w:rPr>
          <w:b/>
          <w:bCs/>
          <w:lang w:val="fr-FR"/>
        </w:rPr>
        <w:t>ves</w:t>
      </w:r>
      <w:r w:rsidRPr="00F93C80">
        <w:rPr>
          <w:b/>
          <w:bCs/>
          <w:lang w:val="fr-FR"/>
        </w:rPr>
        <w:t xml:space="preserve"> </w:t>
      </w:r>
      <w:r w:rsidRPr="00F93C80">
        <w:rPr>
          <w:b/>
          <w:lang w:val="fr-FR"/>
        </w:rPr>
        <w:t>nécessaires à cet</w:t>
      </w:r>
      <w:r>
        <w:rPr>
          <w:b/>
          <w:lang w:val="fr-FR"/>
        </w:rPr>
        <w:t>te fin</w:t>
      </w:r>
      <w:r w:rsidRPr="00F93C80">
        <w:rPr>
          <w:b/>
          <w:lang w:val="fr-FR"/>
        </w:rPr>
        <w:t xml:space="preserve">, notamment </w:t>
      </w:r>
      <w:r>
        <w:rPr>
          <w:b/>
          <w:lang w:val="fr-FR"/>
        </w:rPr>
        <w:t>les services d’aide à la personne</w:t>
      </w:r>
      <w:r w:rsidRPr="00F93C80">
        <w:rPr>
          <w:b/>
          <w:lang w:val="fr-FR"/>
        </w:rPr>
        <w:t xml:space="preserve"> et </w:t>
      </w:r>
      <w:r w:rsidRPr="00F93C80">
        <w:rPr>
          <w:b/>
          <w:bCs/>
          <w:lang w:val="fr-FR"/>
        </w:rPr>
        <w:t xml:space="preserve">de </w:t>
      </w:r>
      <w:r>
        <w:rPr>
          <w:b/>
          <w:bCs/>
          <w:lang w:val="fr-FR"/>
        </w:rPr>
        <w:t>prise en charge temporaire</w:t>
      </w:r>
      <w:r w:rsidRPr="007F5A8A">
        <w:rPr>
          <w:b/>
          <w:bCs/>
          <w:lang w:val="fr-FR"/>
        </w:rPr>
        <w:t xml:space="preserve"> </w:t>
      </w:r>
      <w:r w:rsidRPr="007F5A8A">
        <w:rPr>
          <w:b/>
          <w:lang w:val="fr-FR"/>
        </w:rPr>
        <w:t xml:space="preserve">pour les familles </w:t>
      </w:r>
      <w:r>
        <w:rPr>
          <w:b/>
          <w:lang w:val="fr-FR"/>
        </w:rPr>
        <w:t>d</w:t>
      </w:r>
      <w:r w:rsidRPr="007F5A8A">
        <w:rPr>
          <w:b/>
          <w:lang w:val="fr-FR"/>
        </w:rPr>
        <w:t xml:space="preserve">ont un membre </w:t>
      </w:r>
      <w:r>
        <w:rPr>
          <w:b/>
          <w:lang w:val="fr-FR"/>
        </w:rPr>
        <w:t xml:space="preserve">est </w:t>
      </w:r>
      <w:r w:rsidRPr="007F5A8A">
        <w:rPr>
          <w:b/>
          <w:lang w:val="fr-FR"/>
        </w:rPr>
        <w:t>handicapé, afin d</w:t>
      </w:r>
      <w:r>
        <w:rPr>
          <w:b/>
          <w:lang w:val="fr-FR"/>
        </w:rPr>
        <w:t>’</w:t>
      </w:r>
      <w:r w:rsidRPr="007F5A8A">
        <w:rPr>
          <w:b/>
          <w:lang w:val="fr-FR"/>
        </w:rPr>
        <w:t>assurer</w:t>
      </w:r>
      <w:r>
        <w:rPr>
          <w:b/>
          <w:lang w:val="fr-FR"/>
        </w:rPr>
        <w:t xml:space="preserve"> à ces familles </w:t>
      </w:r>
      <w:r w:rsidRPr="007F5A8A">
        <w:rPr>
          <w:b/>
          <w:lang w:val="fr-FR"/>
        </w:rPr>
        <w:t xml:space="preserve">un niveau de vie </w:t>
      </w:r>
      <w:r>
        <w:rPr>
          <w:b/>
          <w:lang w:val="fr-FR"/>
        </w:rPr>
        <w:t>suffisant</w:t>
      </w:r>
      <w:r w:rsidRPr="007F5A8A">
        <w:rPr>
          <w:b/>
          <w:lang w:val="fr-FR"/>
        </w:rPr>
        <w:t xml:space="preserve"> et </w:t>
      </w:r>
      <w:r>
        <w:rPr>
          <w:b/>
          <w:lang w:val="fr-FR"/>
        </w:rPr>
        <w:t xml:space="preserve">de garantir leur </w:t>
      </w:r>
      <w:r w:rsidRPr="001D2A45">
        <w:rPr>
          <w:b/>
          <w:bCs/>
          <w:lang w:val="fr-FR"/>
        </w:rPr>
        <w:t xml:space="preserve">participation à la vie </w:t>
      </w:r>
      <w:r>
        <w:rPr>
          <w:b/>
          <w:bCs/>
          <w:lang w:val="fr-FR"/>
        </w:rPr>
        <w:t>de la collectivité</w:t>
      </w:r>
      <w:r w:rsidR="00CB3E52">
        <w:rPr>
          <w:b/>
          <w:bCs/>
          <w:lang w:val="fr-FR"/>
        </w:rPr>
        <w:t> </w:t>
      </w:r>
      <w:r w:rsidRPr="001D2A45">
        <w:rPr>
          <w:b/>
          <w:lang w:val="fr-FR"/>
        </w:rPr>
        <w:t>;</w:t>
      </w:r>
    </w:p>
    <w:p w:rsidR="00F84D3F" w:rsidRPr="00F93C80" w:rsidRDefault="00F84D3F" w:rsidP="00A74311">
      <w:pPr>
        <w:pStyle w:val="SingleTxtG"/>
        <w:ind w:firstLine="567"/>
        <w:rPr>
          <w:b/>
          <w:lang w:val="fr-FR"/>
        </w:rPr>
      </w:pPr>
      <w:r w:rsidRPr="00C36BFE">
        <w:rPr>
          <w:lang w:val="fr-FR"/>
        </w:rPr>
        <w:t>b)</w:t>
      </w:r>
      <w:r w:rsidRPr="00C36BFE">
        <w:rPr>
          <w:lang w:val="fr-FR"/>
        </w:rPr>
        <w:tab/>
      </w:r>
      <w:r w:rsidRPr="00F93C80">
        <w:rPr>
          <w:b/>
          <w:lang w:val="fr-FR"/>
        </w:rPr>
        <w:t xml:space="preserve">De prendre des mesures pour </w:t>
      </w:r>
      <w:r>
        <w:rPr>
          <w:b/>
          <w:lang w:val="fr-FR"/>
        </w:rPr>
        <w:t xml:space="preserve">garantir </w:t>
      </w:r>
      <w:r w:rsidRPr="00F93C80">
        <w:rPr>
          <w:b/>
          <w:lang w:val="fr-FR"/>
        </w:rPr>
        <w:t xml:space="preserve">que les parents handicapés aient les moyens nécessaires pour exercer leurs droits, notamment le droit à la maternité. </w:t>
      </w:r>
    </w:p>
    <w:p w:rsidR="00F84D3F" w:rsidRPr="00F93C80" w:rsidRDefault="00F84D3F" w:rsidP="00DD45CD">
      <w:pPr>
        <w:pStyle w:val="H23G"/>
        <w:rPr>
          <w:lang w:val="fr-FR"/>
        </w:rPr>
      </w:pPr>
      <w:r w:rsidRPr="00F93C80">
        <w:rPr>
          <w:lang w:val="fr-FR"/>
        </w:rPr>
        <w:tab/>
      </w:r>
      <w:r w:rsidRPr="00F93C80">
        <w:rPr>
          <w:lang w:val="fr-FR"/>
        </w:rPr>
        <w:tab/>
      </w:r>
      <w:r w:rsidRPr="00F93C80">
        <w:rPr>
          <w:iCs/>
          <w:lang w:val="fr-FR"/>
        </w:rPr>
        <w:t>Éducation</w:t>
      </w:r>
      <w:r w:rsidRPr="00F93C80">
        <w:rPr>
          <w:i/>
          <w:iCs/>
          <w:lang w:val="fr-FR"/>
        </w:rPr>
        <w:t xml:space="preserve"> </w:t>
      </w:r>
      <w:r w:rsidRPr="00F93C80">
        <w:rPr>
          <w:lang w:val="fr-FR"/>
        </w:rPr>
        <w:t>(art. 24)</w:t>
      </w:r>
    </w:p>
    <w:p w:rsidR="00F84D3F" w:rsidRPr="00F93C80" w:rsidRDefault="00F84D3F" w:rsidP="00DD45CD">
      <w:pPr>
        <w:pStyle w:val="SingleTxtG"/>
        <w:keepNext/>
        <w:rPr>
          <w:lang w:val="fr-FR"/>
        </w:rPr>
      </w:pPr>
      <w:r w:rsidRPr="00F93C80">
        <w:rPr>
          <w:lang w:val="fr-FR"/>
        </w:rPr>
        <w:t>44.</w:t>
      </w:r>
      <w:r w:rsidRPr="00F93C80">
        <w:rPr>
          <w:lang w:val="fr-FR"/>
        </w:rPr>
        <w:tab/>
        <w:t xml:space="preserve">Le Comité constate avec préoccupation que </w:t>
      </w:r>
      <w:r>
        <w:rPr>
          <w:lang w:val="fr-FR"/>
        </w:rPr>
        <w:t xml:space="preserve">l’État partie a cessé de progresser sur la voie </w:t>
      </w:r>
      <w:r w:rsidRPr="00F93C80">
        <w:rPr>
          <w:lang w:val="fr-FR"/>
        </w:rPr>
        <w:t xml:space="preserve">de </w:t>
      </w:r>
      <w:r w:rsidRPr="00F93C80">
        <w:rPr>
          <w:iCs/>
          <w:lang w:val="fr-FR"/>
        </w:rPr>
        <w:t>l</w:t>
      </w:r>
      <w:r>
        <w:rPr>
          <w:iCs/>
          <w:lang w:val="fr-FR"/>
        </w:rPr>
        <w:t>’</w:t>
      </w:r>
      <w:r w:rsidRPr="00F93C80">
        <w:rPr>
          <w:iCs/>
          <w:lang w:val="fr-FR"/>
        </w:rPr>
        <w:t>éducation inclusive</w:t>
      </w:r>
      <w:r w:rsidRPr="00F93C80">
        <w:rPr>
          <w:i/>
          <w:iCs/>
          <w:lang w:val="fr-FR"/>
        </w:rPr>
        <w:t xml:space="preserve"> </w:t>
      </w:r>
      <w:r w:rsidRPr="00F93C80">
        <w:rPr>
          <w:lang w:val="fr-FR"/>
        </w:rPr>
        <w:t>et</w:t>
      </w:r>
      <w:r w:rsidR="00DD45CD">
        <w:rPr>
          <w:lang w:val="fr-FR"/>
        </w:rPr>
        <w:t> </w:t>
      </w:r>
      <w:r w:rsidRPr="00F93C80">
        <w:rPr>
          <w:lang w:val="fr-FR"/>
        </w:rPr>
        <w:t>:</w:t>
      </w:r>
    </w:p>
    <w:p w:rsidR="00F84D3F" w:rsidRPr="00F93C80" w:rsidRDefault="00F84D3F" w:rsidP="00A74311">
      <w:pPr>
        <w:pStyle w:val="SingleTxtG"/>
        <w:ind w:firstLine="567"/>
        <w:rPr>
          <w:lang w:val="fr-FR"/>
        </w:rPr>
      </w:pPr>
      <w:r w:rsidRPr="00F93C80">
        <w:rPr>
          <w:lang w:val="fr-FR"/>
        </w:rPr>
        <w:t>a)</w:t>
      </w:r>
      <w:r w:rsidRPr="00F93C80">
        <w:rPr>
          <w:lang w:val="fr-FR"/>
        </w:rPr>
        <w:tab/>
      </w:r>
      <w:r>
        <w:rPr>
          <w:lang w:val="fr-FR"/>
        </w:rPr>
        <w:t>Que le</w:t>
      </w:r>
      <w:r w:rsidRPr="00F93C80">
        <w:rPr>
          <w:lang w:val="fr-FR"/>
        </w:rPr>
        <w:t xml:space="preserve"> Code de l</w:t>
      </w:r>
      <w:r>
        <w:rPr>
          <w:lang w:val="fr-FR"/>
        </w:rPr>
        <w:t>’</w:t>
      </w:r>
      <w:r w:rsidRPr="00F93C80">
        <w:rPr>
          <w:lang w:val="fr-FR"/>
        </w:rPr>
        <w:t>éducation de 2014 autorise encore la ségrégation</w:t>
      </w:r>
      <w:r>
        <w:rPr>
          <w:lang w:val="fr-FR"/>
        </w:rPr>
        <w:t xml:space="preserve"> scolaire</w:t>
      </w:r>
      <w:r w:rsidR="00DD45CD">
        <w:rPr>
          <w:lang w:val="fr-FR"/>
        </w:rPr>
        <w:t> </w:t>
      </w:r>
      <w:r w:rsidRPr="00F93C80">
        <w:rPr>
          <w:lang w:val="fr-FR"/>
        </w:rPr>
        <w:t xml:space="preserve">; </w:t>
      </w:r>
    </w:p>
    <w:p w:rsidR="00F84D3F" w:rsidRPr="00F93C80" w:rsidRDefault="00F84D3F" w:rsidP="00A74311">
      <w:pPr>
        <w:pStyle w:val="SingleTxtG"/>
        <w:ind w:firstLine="567"/>
        <w:rPr>
          <w:lang w:val="fr-FR"/>
        </w:rPr>
      </w:pPr>
      <w:r w:rsidRPr="00F93C80">
        <w:rPr>
          <w:lang w:val="fr-FR"/>
        </w:rPr>
        <w:t>b)</w:t>
      </w:r>
      <w:r w:rsidRPr="00F93C80">
        <w:rPr>
          <w:lang w:val="fr-FR"/>
        </w:rPr>
        <w:tab/>
      </w:r>
      <w:r>
        <w:rPr>
          <w:lang w:val="fr-FR"/>
        </w:rPr>
        <w:t>Que l</w:t>
      </w:r>
      <w:r w:rsidRPr="00F93C80">
        <w:rPr>
          <w:lang w:val="fr-FR"/>
        </w:rPr>
        <w:t xml:space="preserve">es enfants handicapés, </w:t>
      </w:r>
      <w:r>
        <w:rPr>
          <w:lang w:val="fr-FR"/>
        </w:rPr>
        <w:t>essentiellement</w:t>
      </w:r>
      <w:r w:rsidRPr="00F93C80">
        <w:rPr>
          <w:lang w:val="fr-FR"/>
        </w:rPr>
        <w:t xml:space="preserve"> ceux qui sont atteints de déficiences psychosociales ou intellectuelles, sont encore placés dans des structures éducatives </w:t>
      </w:r>
      <w:r>
        <w:rPr>
          <w:bCs/>
          <w:lang w:val="fr-FR"/>
        </w:rPr>
        <w:t>distinctes</w:t>
      </w:r>
      <w:r w:rsidRPr="00F93C80">
        <w:rPr>
          <w:lang w:val="fr-FR"/>
        </w:rPr>
        <w:t xml:space="preserve">, notamment dans des </w:t>
      </w:r>
      <w:r>
        <w:rPr>
          <w:lang w:val="fr-FR"/>
        </w:rPr>
        <w:t>« </w:t>
      </w:r>
      <w:r w:rsidRPr="00F93C80">
        <w:rPr>
          <w:lang w:val="fr-FR"/>
        </w:rPr>
        <w:t>écoles spéciales</w:t>
      </w:r>
      <w:r>
        <w:rPr>
          <w:lang w:val="fr-FR"/>
        </w:rPr>
        <w:t> »</w:t>
      </w:r>
      <w:r w:rsidRPr="00F93C80">
        <w:rPr>
          <w:lang w:val="fr-FR"/>
        </w:rPr>
        <w:t xml:space="preserve">, des </w:t>
      </w:r>
      <w:r>
        <w:rPr>
          <w:lang w:val="fr-FR"/>
        </w:rPr>
        <w:t>« </w:t>
      </w:r>
      <w:r w:rsidRPr="00F93C80">
        <w:rPr>
          <w:lang w:val="fr-FR"/>
        </w:rPr>
        <w:t>classes spéciales</w:t>
      </w:r>
      <w:r>
        <w:rPr>
          <w:lang w:val="fr-FR"/>
        </w:rPr>
        <w:t> »</w:t>
      </w:r>
      <w:r w:rsidRPr="00F93C80">
        <w:rPr>
          <w:lang w:val="fr-FR"/>
        </w:rPr>
        <w:t xml:space="preserve"> ou des systèmes </w:t>
      </w:r>
      <w:r>
        <w:rPr>
          <w:lang w:val="fr-FR"/>
        </w:rPr>
        <w:t>« </w:t>
      </w:r>
      <w:r w:rsidRPr="00F93C80">
        <w:rPr>
          <w:lang w:val="fr-FR"/>
        </w:rPr>
        <w:t>d</w:t>
      </w:r>
      <w:r>
        <w:rPr>
          <w:lang w:val="fr-FR"/>
        </w:rPr>
        <w:t>’</w:t>
      </w:r>
      <w:r w:rsidRPr="00F93C80">
        <w:rPr>
          <w:bCs/>
          <w:lang w:val="fr-FR"/>
        </w:rPr>
        <w:t>éducation à domicile</w:t>
      </w:r>
      <w:r>
        <w:rPr>
          <w:bCs/>
          <w:lang w:val="fr-FR"/>
        </w:rPr>
        <w:t> »</w:t>
      </w:r>
      <w:r w:rsidRPr="00F93C80">
        <w:rPr>
          <w:b/>
          <w:bCs/>
          <w:lang w:val="fr-FR"/>
        </w:rPr>
        <w:t xml:space="preserve"> </w:t>
      </w:r>
      <w:r w:rsidRPr="00F93C80">
        <w:rPr>
          <w:lang w:val="fr-FR"/>
        </w:rPr>
        <w:t>et ne reçoivent pas l</w:t>
      </w:r>
      <w:r>
        <w:rPr>
          <w:lang w:val="fr-FR"/>
        </w:rPr>
        <w:t>’</w:t>
      </w:r>
      <w:r w:rsidRPr="00F93C80">
        <w:rPr>
          <w:lang w:val="fr-FR"/>
        </w:rPr>
        <w:t xml:space="preserve">appui dont ils ont besoin pour avoir accès à </w:t>
      </w:r>
      <w:r>
        <w:rPr>
          <w:lang w:val="fr-FR"/>
        </w:rPr>
        <w:t>l’</w:t>
      </w:r>
      <w:r w:rsidRPr="00F93C80">
        <w:rPr>
          <w:lang w:val="fr-FR"/>
        </w:rPr>
        <w:t>éducation inclusive</w:t>
      </w:r>
      <w:r w:rsidR="00DD45CD">
        <w:rPr>
          <w:lang w:val="fr-FR"/>
        </w:rPr>
        <w:t> </w:t>
      </w:r>
      <w:r w:rsidRPr="00F93C80">
        <w:rPr>
          <w:lang w:val="fr-FR"/>
        </w:rPr>
        <w:t>;</w:t>
      </w:r>
    </w:p>
    <w:p w:rsidR="00F84D3F" w:rsidRPr="00F93C80" w:rsidRDefault="00F84D3F" w:rsidP="00A74311">
      <w:pPr>
        <w:pStyle w:val="SingleTxtG"/>
        <w:ind w:firstLine="567"/>
        <w:rPr>
          <w:lang w:val="fr-FR"/>
        </w:rPr>
      </w:pPr>
      <w:r w:rsidRPr="00F93C80">
        <w:rPr>
          <w:lang w:val="fr-FR"/>
        </w:rPr>
        <w:t>c)</w:t>
      </w:r>
      <w:r w:rsidRPr="00F93C80">
        <w:rPr>
          <w:lang w:val="fr-FR"/>
        </w:rPr>
        <w:tab/>
      </w:r>
      <w:r>
        <w:rPr>
          <w:lang w:val="fr-FR"/>
        </w:rPr>
        <w:t>Que l’attitude du</w:t>
      </w:r>
      <w:r w:rsidRPr="00F93C80">
        <w:rPr>
          <w:lang w:val="fr-FR"/>
        </w:rPr>
        <w:t xml:space="preserve"> </w:t>
      </w:r>
      <w:r>
        <w:rPr>
          <w:lang w:val="fr-FR"/>
        </w:rPr>
        <w:t xml:space="preserve">corps </w:t>
      </w:r>
      <w:r w:rsidRPr="00F93C80">
        <w:rPr>
          <w:lang w:val="fr-FR"/>
        </w:rPr>
        <w:t>enseignant et</w:t>
      </w:r>
      <w:r>
        <w:rPr>
          <w:lang w:val="fr-FR"/>
        </w:rPr>
        <w:t xml:space="preserve"> du personnel</w:t>
      </w:r>
      <w:r w:rsidRPr="00F93C80">
        <w:rPr>
          <w:lang w:val="fr-FR"/>
        </w:rPr>
        <w:t xml:space="preserve"> administratif </w:t>
      </w:r>
      <w:r>
        <w:rPr>
          <w:lang w:val="fr-FR"/>
        </w:rPr>
        <w:t xml:space="preserve">à l’égard des enfants handicapés reste </w:t>
      </w:r>
      <w:r w:rsidRPr="00F93C80">
        <w:rPr>
          <w:lang w:val="fr-FR"/>
        </w:rPr>
        <w:t xml:space="preserve">négative, si bien que </w:t>
      </w:r>
      <w:r>
        <w:rPr>
          <w:lang w:val="fr-FR"/>
        </w:rPr>
        <w:t>certains</w:t>
      </w:r>
      <w:r w:rsidRPr="00F93C80">
        <w:rPr>
          <w:lang w:val="fr-FR"/>
        </w:rPr>
        <w:t xml:space="preserve"> enfants </w:t>
      </w:r>
      <w:r>
        <w:rPr>
          <w:lang w:val="fr-FR"/>
        </w:rPr>
        <w:t>ne sont pas admis</w:t>
      </w:r>
      <w:r w:rsidRPr="00F93C80">
        <w:rPr>
          <w:lang w:val="fr-FR"/>
        </w:rPr>
        <w:t xml:space="preserve"> dans les écoles ordinaires</w:t>
      </w:r>
      <w:r>
        <w:rPr>
          <w:lang w:val="fr-FR"/>
        </w:rPr>
        <w:t>,</w:t>
      </w:r>
      <w:r w:rsidRPr="00F93C80">
        <w:rPr>
          <w:lang w:val="fr-FR"/>
        </w:rPr>
        <w:t xml:space="preserve"> et que </w:t>
      </w:r>
      <w:r>
        <w:rPr>
          <w:lang w:val="fr-FR"/>
        </w:rPr>
        <w:t>le</w:t>
      </w:r>
      <w:r w:rsidRPr="00F93C80">
        <w:rPr>
          <w:lang w:val="fr-FR"/>
        </w:rPr>
        <w:t xml:space="preserve"> personnel</w:t>
      </w:r>
      <w:r>
        <w:rPr>
          <w:lang w:val="fr-FR"/>
        </w:rPr>
        <w:t xml:space="preserve"> des établissements d’enseignement</w:t>
      </w:r>
      <w:r w:rsidRPr="00F93C80">
        <w:rPr>
          <w:lang w:val="fr-FR"/>
        </w:rPr>
        <w:t xml:space="preserve"> manque</w:t>
      </w:r>
      <w:r>
        <w:rPr>
          <w:lang w:val="fr-FR"/>
        </w:rPr>
        <w:t>,</w:t>
      </w:r>
      <w:r w:rsidRPr="00F93C80">
        <w:rPr>
          <w:lang w:val="fr-FR"/>
        </w:rPr>
        <w:t xml:space="preserve"> </w:t>
      </w:r>
      <w:r>
        <w:rPr>
          <w:lang w:val="fr-FR"/>
        </w:rPr>
        <w:t xml:space="preserve">de manière </w:t>
      </w:r>
      <w:r w:rsidRPr="00F93C80">
        <w:rPr>
          <w:lang w:val="fr-FR"/>
        </w:rPr>
        <w:t>général</w:t>
      </w:r>
      <w:r>
        <w:rPr>
          <w:lang w:val="fr-FR"/>
        </w:rPr>
        <w:t>e,</w:t>
      </w:r>
      <w:r w:rsidRPr="00F93C80">
        <w:rPr>
          <w:lang w:val="fr-FR"/>
        </w:rPr>
        <w:t xml:space="preserve"> de connaissances et de compétences en matière d</w:t>
      </w:r>
      <w:r>
        <w:rPr>
          <w:lang w:val="fr-FR"/>
        </w:rPr>
        <w:t>’</w:t>
      </w:r>
      <w:r w:rsidRPr="00F93C80">
        <w:rPr>
          <w:lang w:val="fr-FR"/>
        </w:rPr>
        <w:t xml:space="preserve">éducation inclusive. </w:t>
      </w:r>
    </w:p>
    <w:p w:rsidR="00F84D3F" w:rsidRPr="00F93C80" w:rsidRDefault="00F84D3F" w:rsidP="00DD45CD">
      <w:pPr>
        <w:pStyle w:val="SingleTxtG"/>
        <w:keepNext/>
        <w:rPr>
          <w:b/>
          <w:lang w:val="fr-FR"/>
        </w:rPr>
      </w:pPr>
      <w:r w:rsidRPr="007C5077">
        <w:rPr>
          <w:lang w:val="fr-FR"/>
        </w:rPr>
        <w:lastRenderedPageBreak/>
        <w:t>45.</w:t>
      </w:r>
      <w:r w:rsidRPr="007C5077">
        <w:rPr>
          <w:lang w:val="fr-FR"/>
        </w:rPr>
        <w:tab/>
      </w:r>
      <w:r w:rsidRPr="00F93C80">
        <w:rPr>
          <w:b/>
          <w:lang w:val="fr-FR"/>
        </w:rPr>
        <w:t>Rappelant son observation générale n</w:t>
      </w:r>
      <w:r w:rsidRPr="00425F46">
        <w:rPr>
          <w:b/>
          <w:vertAlign w:val="superscript"/>
          <w:lang w:val="fr-FR"/>
        </w:rPr>
        <w:t>o</w:t>
      </w:r>
      <w:r w:rsidR="00BB57CF">
        <w:rPr>
          <w:b/>
          <w:lang w:val="fr-FR"/>
        </w:rPr>
        <w:t> </w:t>
      </w:r>
      <w:r w:rsidRPr="007F5A8A">
        <w:rPr>
          <w:b/>
          <w:lang w:val="fr-FR"/>
        </w:rPr>
        <w:t>4 (2016) sur le droit à l</w:t>
      </w:r>
      <w:r>
        <w:rPr>
          <w:b/>
          <w:lang w:val="fr-FR"/>
        </w:rPr>
        <w:t>’</w:t>
      </w:r>
      <w:r w:rsidRPr="007F5A8A">
        <w:rPr>
          <w:b/>
          <w:lang w:val="fr-FR"/>
        </w:rPr>
        <w:t>éducation inclusive et l</w:t>
      </w:r>
      <w:r>
        <w:rPr>
          <w:b/>
          <w:lang w:val="fr-FR"/>
        </w:rPr>
        <w:t>’</w:t>
      </w:r>
      <w:r w:rsidRPr="007F5A8A">
        <w:rPr>
          <w:b/>
          <w:lang w:val="fr-FR"/>
        </w:rPr>
        <w:t>objectif de développement durable 4, en particulier ses cibles 4.5 et 4</w:t>
      </w:r>
      <w:r w:rsidR="00BB57CF">
        <w:rPr>
          <w:b/>
          <w:lang w:val="fr-FR"/>
        </w:rPr>
        <w:t> </w:t>
      </w:r>
      <w:r w:rsidRPr="007F5A8A">
        <w:rPr>
          <w:b/>
          <w:lang w:val="fr-FR"/>
        </w:rPr>
        <w:t xml:space="preserve">a), </w:t>
      </w:r>
      <w:r w:rsidRPr="007F5A8A">
        <w:rPr>
          <w:b/>
          <w:iCs/>
          <w:lang w:val="fr-FR"/>
        </w:rPr>
        <w:t>le Comité recommande à l</w:t>
      </w:r>
      <w:r>
        <w:rPr>
          <w:b/>
          <w:iCs/>
          <w:lang w:val="fr-FR"/>
        </w:rPr>
        <w:t>’</w:t>
      </w:r>
      <w:r w:rsidRPr="007F5A8A">
        <w:rPr>
          <w:b/>
          <w:iCs/>
          <w:lang w:val="fr-FR"/>
        </w:rPr>
        <w:t xml:space="preserve">État partie </w:t>
      </w:r>
      <w:r>
        <w:rPr>
          <w:b/>
          <w:iCs/>
          <w:lang w:val="fr-FR"/>
        </w:rPr>
        <w:t>de redoubler</w:t>
      </w:r>
      <w:r w:rsidRPr="001D2A45">
        <w:rPr>
          <w:b/>
          <w:iCs/>
          <w:lang w:val="fr-FR"/>
        </w:rPr>
        <w:t xml:space="preserve"> </w:t>
      </w:r>
      <w:r>
        <w:rPr>
          <w:b/>
          <w:iCs/>
          <w:lang w:val="fr-FR"/>
        </w:rPr>
        <w:t>d’</w:t>
      </w:r>
      <w:r w:rsidRPr="001D2A45">
        <w:rPr>
          <w:b/>
          <w:iCs/>
          <w:lang w:val="fr-FR"/>
        </w:rPr>
        <w:t xml:space="preserve">efforts </w:t>
      </w:r>
      <w:r>
        <w:rPr>
          <w:b/>
          <w:iCs/>
          <w:lang w:val="fr-FR"/>
        </w:rPr>
        <w:t>pour garantir</w:t>
      </w:r>
      <w:r w:rsidRPr="001D2A45">
        <w:rPr>
          <w:b/>
          <w:iCs/>
          <w:lang w:val="fr-FR"/>
        </w:rPr>
        <w:t xml:space="preserve"> l</w:t>
      </w:r>
      <w:r>
        <w:rPr>
          <w:b/>
          <w:iCs/>
          <w:lang w:val="fr-FR"/>
        </w:rPr>
        <w:t>’</w:t>
      </w:r>
      <w:r w:rsidRPr="0060336A">
        <w:rPr>
          <w:b/>
          <w:iCs/>
          <w:lang w:val="fr-FR"/>
        </w:rPr>
        <w:t>éducation inclusive, et en particulier</w:t>
      </w:r>
      <w:r w:rsidR="00DD45CD">
        <w:rPr>
          <w:b/>
          <w:iCs/>
          <w:lang w:val="fr-FR"/>
        </w:rPr>
        <w:t> </w:t>
      </w:r>
      <w:r w:rsidRPr="00425F46">
        <w:rPr>
          <w:b/>
          <w:iCs/>
          <w:lang w:val="fr-FR"/>
        </w:rPr>
        <w:t>:</w:t>
      </w:r>
    </w:p>
    <w:p w:rsidR="00F84D3F" w:rsidRPr="00F93C80" w:rsidRDefault="00F84D3F" w:rsidP="00DD45CD">
      <w:pPr>
        <w:pStyle w:val="SingleTxtG"/>
        <w:ind w:firstLine="567"/>
        <w:rPr>
          <w:b/>
          <w:lang w:val="fr-FR"/>
        </w:rPr>
      </w:pPr>
      <w:r w:rsidRPr="00C36BFE">
        <w:rPr>
          <w:lang w:val="fr-FR"/>
        </w:rPr>
        <w:t>a)</w:t>
      </w:r>
      <w:r w:rsidRPr="00C36BFE">
        <w:rPr>
          <w:lang w:val="fr-FR"/>
        </w:rPr>
        <w:tab/>
      </w:r>
      <w:r w:rsidRPr="00F93C80">
        <w:rPr>
          <w:b/>
          <w:lang w:val="fr-FR"/>
        </w:rPr>
        <w:t>De modifier le Code de l</w:t>
      </w:r>
      <w:r>
        <w:rPr>
          <w:b/>
          <w:lang w:val="fr-FR"/>
        </w:rPr>
        <w:t>’</w:t>
      </w:r>
      <w:r w:rsidRPr="00F93C80">
        <w:rPr>
          <w:b/>
          <w:lang w:val="fr-FR"/>
        </w:rPr>
        <w:t xml:space="preserve">éducation de 2014 </w:t>
      </w:r>
      <w:r>
        <w:rPr>
          <w:b/>
          <w:lang w:val="fr-FR"/>
        </w:rPr>
        <w:t>pour</w:t>
      </w:r>
      <w:r w:rsidRPr="00F93C80">
        <w:rPr>
          <w:b/>
          <w:lang w:val="fr-FR"/>
        </w:rPr>
        <w:t xml:space="preserve"> veiller à ce qu</w:t>
      </w:r>
      <w:r>
        <w:rPr>
          <w:b/>
          <w:lang w:val="fr-FR"/>
        </w:rPr>
        <w:t>’</w:t>
      </w:r>
      <w:r w:rsidRPr="00F93C80">
        <w:rPr>
          <w:b/>
          <w:lang w:val="fr-FR"/>
        </w:rPr>
        <w:t>aucun enfant ne se voie refuser l</w:t>
      </w:r>
      <w:r>
        <w:rPr>
          <w:b/>
          <w:lang w:val="fr-FR"/>
        </w:rPr>
        <w:t>’</w:t>
      </w:r>
      <w:r w:rsidRPr="00F93C80">
        <w:rPr>
          <w:b/>
          <w:lang w:val="fr-FR"/>
        </w:rPr>
        <w:t>admission dans une école ordinaire en raison de son handicap,</w:t>
      </w:r>
      <w:r>
        <w:rPr>
          <w:b/>
          <w:lang w:val="fr-FR"/>
        </w:rPr>
        <w:t xml:space="preserve"> de garantir l’accessibilité des établissements scolaires aux élèves handicapés et </w:t>
      </w:r>
      <w:r w:rsidRPr="00F93C80">
        <w:rPr>
          <w:b/>
          <w:lang w:val="fr-FR"/>
        </w:rPr>
        <w:t>d</w:t>
      </w:r>
      <w:r>
        <w:rPr>
          <w:b/>
          <w:lang w:val="fr-FR"/>
        </w:rPr>
        <w:t>’</w:t>
      </w:r>
      <w:r w:rsidRPr="00F93C80">
        <w:rPr>
          <w:b/>
          <w:lang w:val="fr-FR"/>
        </w:rPr>
        <w:t xml:space="preserve">allouer les ressources nécessaires </w:t>
      </w:r>
      <w:r>
        <w:rPr>
          <w:b/>
          <w:lang w:val="fr-FR"/>
        </w:rPr>
        <w:t>à</w:t>
      </w:r>
      <w:r w:rsidRPr="00F93C80">
        <w:rPr>
          <w:b/>
          <w:lang w:val="fr-FR"/>
        </w:rPr>
        <w:t xml:space="preserve"> la mise en place d</w:t>
      </w:r>
      <w:r>
        <w:rPr>
          <w:b/>
          <w:lang w:val="fr-FR"/>
        </w:rPr>
        <w:t xml:space="preserve">’aménagements raisonnables propres à </w:t>
      </w:r>
      <w:r w:rsidRPr="00F93C80">
        <w:rPr>
          <w:b/>
          <w:lang w:val="fr-FR"/>
        </w:rPr>
        <w:t>facilit</w:t>
      </w:r>
      <w:r>
        <w:rPr>
          <w:b/>
          <w:lang w:val="fr-FR"/>
        </w:rPr>
        <w:t>er</w:t>
      </w:r>
      <w:r w:rsidRPr="00F93C80">
        <w:rPr>
          <w:b/>
          <w:lang w:val="fr-FR"/>
        </w:rPr>
        <w:t xml:space="preserve"> l</w:t>
      </w:r>
      <w:r>
        <w:rPr>
          <w:b/>
          <w:lang w:val="fr-FR"/>
        </w:rPr>
        <w:t>’</w:t>
      </w:r>
      <w:r w:rsidRPr="00F93C80">
        <w:rPr>
          <w:b/>
          <w:lang w:val="fr-FR"/>
        </w:rPr>
        <w:t>accès de</w:t>
      </w:r>
      <w:r>
        <w:rPr>
          <w:b/>
          <w:lang w:val="fr-FR"/>
        </w:rPr>
        <w:t xml:space="preserve"> ce</w:t>
      </w:r>
      <w:r w:rsidRPr="00F93C80">
        <w:rPr>
          <w:b/>
          <w:lang w:val="fr-FR"/>
        </w:rPr>
        <w:t xml:space="preserve">s </w:t>
      </w:r>
      <w:r>
        <w:rPr>
          <w:b/>
          <w:lang w:val="fr-FR"/>
        </w:rPr>
        <w:t>élèves</w:t>
      </w:r>
      <w:r w:rsidRPr="00F93C80">
        <w:rPr>
          <w:b/>
          <w:lang w:val="fr-FR"/>
        </w:rPr>
        <w:t xml:space="preserve"> à une éducation inclusive de qualité, y compris dans l</w:t>
      </w:r>
      <w:r>
        <w:rPr>
          <w:b/>
          <w:lang w:val="fr-FR"/>
        </w:rPr>
        <w:t>’</w:t>
      </w:r>
      <w:r w:rsidRPr="00F93C80">
        <w:rPr>
          <w:b/>
          <w:lang w:val="fr-FR"/>
        </w:rPr>
        <w:t>enseignement préscolaire et supérieur</w:t>
      </w:r>
      <w:r w:rsidR="00DD45CD">
        <w:rPr>
          <w:b/>
          <w:lang w:val="fr-FR"/>
        </w:rPr>
        <w:t> </w:t>
      </w:r>
      <w:r w:rsidRPr="00F93C80">
        <w:rPr>
          <w:b/>
          <w:lang w:val="fr-FR"/>
        </w:rPr>
        <w:t>;</w:t>
      </w:r>
    </w:p>
    <w:p w:rsidR="00F84D3F" w:rsidRPr="00F93C80" w:rsidRDefault="00F84D3F" w:rsidP="00DD45CD">
      <w:pPr>
        <w:pStyle w:val="SingleTxtG"/>
        <w:ind w:firstLine="567"/>
        <w:rPr>
          <w:b/>
          <w:lang w:val="fr-FR"/>
        </w:rPr>
      </w:pPr>
      <w:r w:rsidRPr="00C36BFE">
        <w:rPr>
          <w:lang w:val="fr-FR"/>
        </w:rPr>
        <w:t>b)</w:t>
      </w:r>
      <w:r w:rsidRPr="00C36BFE">
        <w:rPr>
          <w:lang w:val="fr-FR"/>
        </w:rPr>
        <w:tab/>
      </w:r>
      <w:r w:rsidRPr="00F93C80">
        <w:rPr>
          <w:b/>
          <w:lang w:val="fr-FR"/>
        </w:rPr>
        <w:t xml:space="preserve">De </w:t>
      </w:r>
      <w:r>
        <w:rPr>
          <w:b/>
          <w:lang w:val="fr-FR"/>
        </w:rPr>
        <w:t>faire en sorte que</w:t>
      </w:r>
      <w:r w:rsidRPr="00F93C80">
        <w:rPr>
          <w:b/>
          <w:lang w:val="fr-FR"/>
        </w:rPr>
        <w:t xml:space="preserve"> la formation sur l</w:t>
      </w:r>
      <w:r>
        <w:rPr>
          <w:b/>
          <w:lang w:val="fr-FR"/>
        </w:rPr>
        <w:t>’</w:t>
      </w:r>
      <w:r w:rsidRPr="00F93C80">
        <w:rPr>
          <w:b/>
          <w:lang w:val="fr-FR"/>
        </w:rPr>
        <w:t xml:space="preserve">éducation inclusive et sa mise en œuvre </w:t>
      </w:r>
      <w:r>
        <w:rPr>
          <w:b/>
          <w:lang w:val="fr-FR"/>
        </w:rPr>
        <w:t xml:space="preserve">deviennent obligatoires pour le </w:t>
      </w:r>
      <w:r w:rsidRPr="00F93C80">
        <w:rPr>
          <w:b/>
          <w:lang w:val="fr-FR"/>
        </w:rPr>
        <w:t>personnel administratif et</w:t>
      </w:r>
      <w:r>
        <w:rPr>
          <w:b/>
          <w:lang w:val="fr-FR"/>
        </w:rPr>
        <w:t xml:space="preserve"> le corps</w:t>
      </w:r>
      <w:r w:rsidRPr="00F93C80">
        <w:rPr>
          <w:b/>
          <w:lang w:val="fr-FR"/>
        </w:rPr>
        <w:t xml:space="preserve"> enseignant. </w:t>
      </w:r>
    </w:p>
    <w:p w:rsidR="00F84D3F" w:rsidRPr="00F93C80" w:rsidRDefault="00F84D3F" w:rsidP="00DD45CD">
      <w:pPr>
        <w:pStyle w:val="H23G"/>
        <w:rPr>
          <w:lang w:val="fr-FR"/>
        </w:rPr>
      </w:pPr>
      <w:r w:rsidRPr="00F93C80">
        <w:rPr>
          <w:lang w:val="fr-FR"/>
        </w:rPr>
        <w:tab/>
      </w:r>
      <w:r w:rsidRPr="00F93C80">
        <w:rPr>
          <w:lang w:val="fr-FR"/>
        </w:rPr>
        <w:tab/>
        <w:t>Santé (art.</w:t>
      </w:r>
      <w:r w:rsidR="00BB57CF">
        <w:rPr>
          <w:lang w:val="fr-FR"/>
        </w:rPr>
        <w:t> </w:t>
      </w:r>
      <w:r w:rsidRPr="00F93C80">
        <w:rPr>
          <w:lang w:val="fr-FR"/>
        </w:rPr>
        <w:t>25)</w:t>
      </w:r>
    </w:p>
    <w:p w:rsidR="00F84D3F" w:rsidRPr="00F93C80" w:rsidRDefault="00F84D3F" w:rsidP="00DD45CD">
      <w:pPr>
        <w:pStyle w:val="SingleTxtG"/>
        <w:rPr>
          <w:lang w:val="fr-FR"/>
        </w:rPr>
      </w:pPr>
      <w:r w:rsidRPr="00F93C80">
        <w:rPr>
          <w:lang w:val="fr-FR"/>
        </w:rPr>
        <w:t>46.</w:t>
      </w:r>
      <w:r w:rsidRPr="00F93C80">
        <w:rPr>
          <w:lang w:val="fr-FR"/>
        </w:rPr>
        <w:tab/>
        <w:t xml:space="preserve">Le Comité </w:t>
      </w:r>
      <w:r>
        <w:rPr>
          <w:lang w:val="fr-FR"/>
        </w:rPr>
        <w:t>note avec préoccupation que, de manière générale, les professionnels de la médecine connaissent mal l</w:t>
      </w:r>
      <w:r w:rsidRPr="00F93C80">
        <w:rPr>
          <w:lang w:val="fr-FR"/>
        </w:rPr>
        <w:t xml:space="preserve">es droits des personnes handicapées </w:t>
      </w:r>
      <w:r>
        <w:rPr>
          <w:lang w:val="fr-FR"/>
        </w:rPr>
        <w:t xml:space="preserve">et </w:t>
      </w:r>
      <w:r w:rsidRPr="00F93C80">
        <w:rPr>
          <w:lang w:val="fr-FR"/>
        </w:rPr>
        <w:t xml:space="preserve">que </w:t>
      </w:r>
      <w:r>
        <w:rPr>
          <w:lang w:val="fr-FR"/>
        </w:rPr>
        <w:t>les personnes handicapées</w:t>
      </w:r>
      <w:r w:rsidRPr="00F93C80">
        <w:rPr>
          <w:lang w:val="fr-FR"/>
        </w:rPr>
        <w:t xml:space="preserve">, </w:t>
      </w:r>
      <w:r>
        <w:rPr>
          <w:lang w:val="fr-FR"/>
        </w:rPr>
        <w:t xml:space="preserve">en particulier celles </w:t>
      </w:r>
      <w:r w:rsidRPr="00F93C80">
        <w:rPr>
          <w:lang w:val="fr-FR"/>
        </w:rPr>
        <w:t>qui vivent encore dans des institutions</w:t>
      </w:r>
      <w:r>
        <w:rPr>
          <w:lang w:val="fr-FR"/>
        </w:rPr>
        <w:t>, n’ont pas accès aux</w:t>
      </w:r>
      <w:r w:rsidRPr="00F93C80">
        <w:rPr>
          <w:lang w:val="fr-FR"/>
        </w:rPr>
        <w:t xml:space="preserve"> services et </w:t>
      </w:r>
      <w:r>
        <w:rPr>
          <w:lang w:val="fr-FR"/>
        </w:rPr>
        <w:t>aux</w:t>
      </w:r>
      <w:r w:rsidRPr="00F93C80">
        <w:rPr>
          <w:lang w:val="fr-FR"/>
        </w:rPr>
        <w:t xml:space="preserve"> établissements de santé, y compris </w:t>
      </w:r>
      <w:r>
        <w:rPr>
          <w:lang w:val="fr-FR"/>
        </w:rPr>
        <w:t>aux</w:t>
      </w:r>
      <w:r w:rsidRPr="00F93C80">
        <w:rPr>
          <w:lang w:val="fr-FR"/>
        </w:rPr>
        <w:t xml:space="preserve"> services d</w:t>
      </w:r>
      <w:r>
        <w:rPr>
          <w:lang w:val="fr-FR"/>
        </w:rPr>
        <w:t>’</w:t>
      </w:r>
      <w:r w:rsidRPr="00F93C80">
        <w:rPr>
          <w:lang w:val="fr-FR"/>
        </w:rPr>
        <w:t xml:space="preserve">urgence, </w:t>
      </w:r>
      <w:r>
        <w:rPr>
          <w:lang w:val="fr-FR"/>
        </w:rPr>
        <w:t>soit parce que ces services et établissements n’existent pas, soit pour des raisons d’accessibilité, et ce plus encore</w:t>
      </w:r>
      <w:r w:rsidRPr="00F93C80">
        <w:rPr>
          <w:lang w:val="fr-FR"/>
        </w:rPr>
        <w:t xml:space="preserve"> dans les zones rurales. Il est également préoccupé </w:t>
      </w:r>
      <w:r>
        <w:rPr>
          <w:lang w:val="fr-FR"/>
        </w:rPr>
        <w:t>de constater</w:t>
      </w:r>
      <w:r w:rsidRPr="00F93C80">
        <w:rPr>
          <w:lang w:val="fr-FR"/>
        </w:rPr>
        <w:t xml:space="preserve"> que </w:t>
      </w:r>
      <w:r>
        <w:rPr>
          <w:lang w:val="fr-FR"/>
        </w:rPr>
        <w:t>les</w:t>
      </w:r>
      <w:r w:rsidRPr="00F93C80">
        <w:rPr>
          <w:lang w:val="fr-FR"/>
        </w:rPr>
        <w:t xml:space="preserve"> femmes handicapées </w:t>
      </w:r>
      <w:r>
        <w:rPr>
          <w:lang w:val="fr-FR"/>
        </w:rPr>
        <w:t>n’ont pas accès aux</w:t>
      </w:r>
      <w:r w:rsidRPr="00F93C80">
        <w:rPr>
          <w:lang w:val="fr-FR"/>
        </w:rPr>
        <w:t xml:space="preserve"> services et </w:t>
      </w:r>
      <w:r>
        <w:rPr>
          <w:lang w:val="fr-FR"/>
        </w:rPr>
        <w:t>aux</w:t>
      </w:r>
      <w:r w:rsidRPr="00F93C80">
        <w:rPr>
          <w:lang w:val="fr-FR"/>
        </w:rPr>
        <w:t xml:space="preserve"> établissements médicaux, en particulier </w:t>
      </w:r>
      <w:r>
        <w:rPr>
          <w:lang w:val="fr-FR"/>
        </w:rPr>
        <w:t>aux services de</w:t>
      </w:r>
      <w:r w:rsidRPr="00F93C80">
        <w:rPr>
          <w:lang w:val="fr-FR"/>
        </w:rPr>
        <w:t xml:space="preserve"> santé sexuelle et procréative.</w:t>
      </w:r>
    </w:p>
    <w:p w:rsidR="00F84D3F" w:rsidRPr="00F93C80" w:rsidRDefault="00F84D3F" w:rsidP="00DD45CD">
      <w:pPr>
        <w:pStyle w:val="SingleTxtG"/>
        <w:keepNext/>
        <w:rPr>
          <w:b/>
          <w:lang w:val="fr-FR"/>
        </w:rPr>
      </w:pPr>
      <w:r w:rsidRPr="00F93C80">
        <w:rPr>
          <w:lang w:val="fr-FR"/>
        </w:rPr>
        <w:t>47.</w:t>
      </w:r>
      <w:r w:rsidRPr="00F93C80">
        <w:rPr>
          <w:lang w:val="fr-FR"/>
        </w:rPr>
        <w:tab/>
      </w:r>
      <w:r w:rsidRPr="00F93C80">
        <w:rPr>
          <w:b/>
          <w:lang w:val="fr-FR"/>
        </w:rPr>
        <w:t>Le Comité recommande à l</w:t>
      </w:r>
      <w:r>
        <w:rPr>
          <w:b/>
          <w:lang w:val="fr-FR"/>
        </w:rPr>
        <w:t>’</w:t>
      </w:r>
      <w:r w:rsidRPr="00F93C80">
        <w:rPr>
          <w:b/>
          <w:lang w:val="fr-FR"/>
        </w:rPr>
        <w:t xml:space="preserve">État partie de </w:t>
      </w:r>
      <w:r>
        <w:rPr>
          <w:b/>
          <w:lang w:val="fr-FR"/>
        </w:rPr>
        <w:t>sensibiliser les professionnels de la médecine aux</w:t>
      </w:r>
      <w:r w:rsidRPr="00F93C80">
        <w:rPr>
          <w:b/>
          <w:lang w:val="fr-FR"/>
        </w:rPr>
        <w:t xml:space="preserve"> droits des personnes handicapées </w:t>
      </w:r>
      <w:r>
        <w:rPr>
          <w:b/>
          <w:lang w:val="fr-FR"/>
        </w:rPr>
        <w:t xml:space="preserve">en organisant des séances </w:t>
      </w:r>
      <w:r w:rsidRPr="00F93C80">
        <w:rPr>
          <w:b/>
          <w:lang w:val="fr-FR"/>
        </w:rPr>
        <w:t xml:space="preserve">de formation et </w:t>
      </w:r>
      <w:r>
        <w:rPr>
          <w:b/>
          <w:lang w:val="fr-FR"/>
        </w:rPr>
        <w:t>en édictant</w:t>
      </w:r>
      <w:r w:rsidRPr="00F93C80">
        <w:rPr>
          <w:b/>
          <w:lang w:val="fr-FR"/>
        </w:rPr>
        <w:t xml:space="preserve"> de</w:t>
      </w:r>
      <w:r>
        <w:rPr>
          <w:b/>
          <w:lang w:val="fr-FR"/>
        </w:rPr>
        <w:t>s</w:t>
      </w:r>
      <w:r w:rsidRPr="00F93C80">
        <w:rPr>
          <w:b/>
          <w:lang w:val="fr-FR"/>
        </w:rPr>
        <w:t xml:space="preserve"> règles </w:t>
      </w:r>
      <w:r>
        <w:rPr>
          <w:b/>
          <w:lang w:val="fr-FR"/>
        </w:rPr>
        <w:t xml:space="preserve">de </w:t>
      </w:r>
      <w:r w:rsidRPr="00F93C80">
        <w:rPr>
          <w:b/>
          <w:lang w:val="fr-FR"/>
        </w:rPr>
        <w:t>déontologi</w:t>
      </w:r>
      <w:r>
        <w:rPr>
          <w:b/>
          <w:lang w:val="fr-FR"/>
        </w:rPr>
        <w:t>e en la matière. Il lui recommande aussi</w:t>
      </w:r>
      <w:r w:rsidR="00DD45CD">
        <w:rPr>
          <w:b/>
          <w:lang w:val="fr-FR"/>
        </w:rPr>
        <w:t> </w:t>
      </w:r>
      <w:r w:rsidRPr="00F93C80">
        <w:rPr>
          <w:b/>
          <w:lang w:val="fr-FR"/>
        </w:rPr>
        <w:t>:</w:t>
      </w:r>
    </w:p>
    <w:p w:rsidR="00F84D3F" w:rsidRPr="00F93C80" w:rsidRDefault="00F84D3F" w:rsidP="00A74311">
      <w:pPr>
        <w:pStyle w:val="SingleTxtG"/>
        <w:ind w:firstLine="567"/>
        <w:rPr>
          <w:b/>
          <w:lang w:val="fr-FR"/>
        </w:rPr>
      </w:pPr>
      <w:r w:rsidRPr="00C36BFE">
        <w:rPr>
          <w:lang w:val="fr-FR"/>
        </w:rPr>
        <w:t>a)</w:t>
      </w:r>
      <w:r w:rsidRPr="00F93C80">
        <w:rPr>
          <w:b/>
          <w:lang w:val="fr-FR"/>
        </w:rPr>
        <w:tab/>
        <w:t>De garantir la disponibilité et l</w:t>
      </w:r>
      <w:r>
        <w:rPr>
          <w:b/>
          <w:lang w:val="fr-FR"/>
        </w:rPr>
        <w:t>’</w:t>
      </w:r>
      <w:r w:rsidRPr="00F93C80">
        <w:rPr>
          <w:b/>
          <w:lang w:val="fr-FR"/>
        </w:rPr>
        <w:t>accessibilité des services et des établissements de santé, y compris des services d</w:t>
      </w:r>
      <w:r>
        <w:rPr>
          <w:b/>
          <w:lang w:val="fr-FR"/>
        </w:rPr>
        <w:t>’</w:t>
      </w:r>
      <w:r w:rsidRPr="00F93C80">
        <w:rPr>
          <w:b/>
          <w:lang w:val="fr-FR"/>
        </w:rPr>
        <w:t xml:space="preserve">urgence, </w:t>
      </w:r>
      <w:r>
        <w:rPr>
          <w:b/>
          <w:lang w:val="fr-FR"/>
        </w:rPr>
        <w:t>pour</w:t>
      </w:r>
      <w:r w:rsidRPr="00F93C80">
        <w:rPr>
          <w:b/>
          <w:lang w:val="fr-FR"/>
        </w:rPr>
        <w:t xml:space="preserve"> toutes les personnes handicapées dans l</w:t>
      </w:r>
      <w:r>
        <w:rPr>
          <w:b/>
          <w:lang w:val="fr-FR"/>
        </w:rPr>
        <w:t>’</w:t>
      </w:r>
      <w:r w:rsidRPr="00F93C80">
        <w:rPr>
          <w:b/>
          <w:lang w:val="fr-FR"/>
        </w:rPr>
        <w:t>ensemble du pays</w:t>
      </w:r>
      <w:r w:rsidR="00DD45CD">
        <w:rPr>
          <w:b/>
          <w:lang w:val="fr-FR"/>
        </w:rPr>
        <w:t> </w:t>
      </w:r>
      <w:r w:rsidRPr="00F93C80">
        <w:rPr>
          <w:b/>
          <w:lang w:val="fr-FR"/>
        </w:rPr>
        <w:t xml:space="preserve">; </w:t>
      </w:r>
    </w:p>
    <w:p w:rsidR="00F84D3F" w:rsidRPr="00F93C80" w:rsidRDefault="00F84D3F" w:rsidP="00A74311">
      <w:pPr>
        <w:pStyle w:val="SingleTxtG"/>
        <w:ind w:firstLine="567"/>
        <w:rPr>
          <w:b/>
          <w:lang w:val="fr-FR"/>
        </w:rPr>
      </w:pPr>
      <w:r w:rsidRPr="00C36BFE">
        <w:rPr>
          <w:lang w:val="fr-FR"/>
        </w:rPr>
        <w:t>b)</w:t>
      </w:r>
      <w:r w:rsidRPr="00F93C80">
        <w:rPr>
          <w:b/>
          <w:lang w:val="fr-FR"/>
        </w:rPr>
        <w:tab/>
        <w:t xml:space="preserve">De prendre des mesures pour que les femmes handicapées aient accès aux services et aux établissements médicaux, y compris </w:t>
      </w:r>
      <w:r>
        <w:rPr>
          <w:b/>
          <w:lang w:val="fr-FR"/>
        </w:rPr>
        <w:t>aux services</w:t>
      </w:r>
      <w:r w:rsidRPr="00F93C80">
        <w:rPr>
          <w:b/>
          <w:lang w:val="fr-FR"/>
        </w:rPr>
        <w:t xml:space="preserve"> de santé sexuelle et procréative.</w:t>
      </w:r>
    </w:p>
    <w:p w:rsidR="00F84D3F" w:rsidRPr="00F93C80" w:rsidRDefault="00F84D3F" w:rsidP="008A7EB6">
      <w:pPr>
        <w:pStyle w:val="H23G"/>
        <w:rPr>
          <w:lang w:val="fr-FR"/>
        </w:rPr>
      </w:pPr>
      <w:r w:rsidRPr="00F93C80">
        <w:rPr>
          <w:lang w:val="fr-FR"/>
        </w:rPr>
        <w:tab/>
      </w:r>
      <w:r w:rsidRPr="00F93C80">
        <w:rPr>
          <w:lang w:val="fr-FR"/>
        </w:rPr>
        <w:tab/>
        <w:t>Travail et emploi</w:t>
      </w:r>
      <w:r w:rsidRPr="00F93C80">
        <w:rPr>
          <w:i/>
          <w:lang w:val="fr-FR"/>
        </w:rPr>
        <w:t xml:space="preserve"> </w:t>
      </w:r>
      <w:r w:rsidRPr="00F93C80">
        <w:rPr>
          <w:lang w:val="fr-FR"/>
        </w:rPr>
        <w:t>(art.</w:t>
      </w:r>
      <w:r w:rsidR="00BB57CF">
        <w:rPr>
          <w:lang w:val="fr-FR"/>
        </w:rPr>
        <w:t> </w:t>
      </w:r>
      <w:r w:rsidRPr="00F93C80">
        <w:rPr>
          <w:lang w:val="fr-FR"/>
        </w:rPr>
        <w:t>27)</w:t>
      </w:r>
    </w:p>
    <w:p w:rsidR="00F84D3F" w:rsidRPr="00F93C80" w:rsidRDefault="00F84D3F" w:rsidP="008A7EB6">
      <w:pPr>
        <w:pStyle w:val="SingleTxtG"/>
        <w:rPr>
          <w:lang w:val="fr-FR"/>
        </w:rPr>
      </w:pPr>
      <w:r w:rsidRPr="00F93C80">
        <w:rPr>
          <w:lang w:val="fr-FR"/>
        </w:rPr>
        <w:t>48.</w:t>
      </w:r>
      <w:r w:rsidRPr="00F93C80">
        <w:rPr>
          <w:lang w:val="fr-FR"/>
        </w:rPr>
        <w:tab/>
        <w:t>Le Comité est préoccupé par les taux importants de chômage et d</w:t>
      </w:r>
      <w:r>
        <w:rPr>
          <w:lang w:val="fr-FR"/>
        </w:rPr>
        <w:t>’</w:t>
      </w:r>
      <w:r w:rsidRPr="00F93C80">
        <w:rPr>
          <w:lang w:val="fr-FR"/>
        </w:rPr>
        <w:t xml:space="preserve">inactivité économique </w:t>
      </w:r>
      <w:r>
        <w:rPr>
          <w:lang w:val="fr-FR"/>
        </w:rPr>
        <w:t>d</w:t>
      </w:r>
      <w:r w:rsidRPr="00F93C80">
        <w:rPr>
          <w:lang w:val="fr-FR"/>
        </w:rPr>
        <w:t>es personnes handicapées</w:t>
      </w:r>
      <w:r>
        <w:rPr>
          <w:lang w:val="fr-FR"/>
        </w:rPr>
        <w:t> ; il note avec inquiétude</w:t>
      </w:r>
      <w:r w:rsidRPr="00F93C80">
        <w:rPr>
          <w:lang w:val="fr-FR"/>
        </w:rPr>
        <w:t xml:space="preserve"> que les stratégies nationales pour l</w:t>
      </w:r>
      <w:r>
        <w:rPr>
          <w:lang w:val="fr-FR"/>
        </w:rPr>
        <w:t>’</w:t>
      </w:r>
      <w:r w:rsidRPr="00F93C80">
        <w:rPr>
          <w:lang w:val="fr-FR"/>
        </w:rPr>
        <w:t xml:space="preserve">emploi et les </w:t>
      </w:r>
      <w:r>
        <w:rPr>
          <w:lang w:val="fr-FR"/>
        </w:rPr>
        <w:t xml:space="preserve">travaux des </w:t>
      </w:r>
      <w:r w:rsidRPr="00F93C80">
        <w:rPr>
          <w:lang w:val="fr-FR"/>
        </w:rPr>
        <w:t xml:space="preserve">organismes compétents </w:t>
      </w:r>
      <w:r>
        <w:rPr>
          <w:lang w:val="fr-FR"/>
        </w:rPr>
        <w:t>en la matière</w:t>
      </w:r>
      <w:r w:rsidRPr="00F93C80">
        <w:rPr>
          <w:lang w:val="fr-FR"/>
        </w:rPr>
        <w:t xml:space="preserve"> </w:t>
      </w:r>
      <w:r>
        <w:rPr>
          <w:lang w:val="fr-FR"/>
        </w:rPr>
        <w:t>ne permettent ni de</w:t>
      </w:r>
      <w:r w:rsidRPr="00F93C80">
        <w:rPr>
          <w:lang w:val="fr-FR"/>
        </w:rPr>
        <w:t xml:space="preserve"> faciliter et</w:t>
      </w:r>
      <w:r>
        <w:rPr>
          <w:lang w:val="fr-FR"/>
        </w:rPr>
        <w:t xml:space="preserve"> de </w:t>
      </w:r>
      <w:r w:rsidRPr="00F93C80">
        <w:rPr>
          <w:lang w:val="fr-FR"/>
        </w:rPr>
        <w:t xml:space="preserve">promouvoir </w:t>
      </w:r>
      <w:r>
        <w:rPr>
          <w:lang w:val="fr-FR"/>
        </w:rPr>
        <w:t xml:space="preserve">suffisamment </w:t>
      </w:r>
      <w:r w:rsidRPr="00F93C80">
        <w:rPr>
          <w:lang w:val="fr-FR"/>
        </w:rPr>
        <w:t>l</w:t>
      </w:r>
      <w:r>
        <w:rPr>
          <w:lang w:val="fr-FR"/>
        </w:rPr>
        <w:t>’</w:t>
      </w:r>
      <w:r w:rsidRPr="00F93C80">
        <w:rPr>
          <w:lang w:val="fr-FR"/>
        </w:rPr>
        <w:t>emploi des personnes handicapées</w:t>
      </w:r>
      <w:r>
        <w:rPr>
          <w:lang w:val="fr-FR"/>
        </w:rPr>
        <w:t>, ni de</w:t>
      </w:r>
      <w:r w:rsidRPr="00F93C80">
        <w:rPr>
          <w:lang w:val="fr-FR"/>
        </w:rPr>
        <w:t xml:space="preserve"> faire appliquer le quota obligatoire de 5 % d</w:t>
      </w:r>
      <w:r>
        <w:rPr>
          <w:lang w:val="fr-FR"/>
        </w:rPr>
        <w:t xml:space="preserve">es </w:t>
      </w:r>
      <w:r w:rsidRPr="00F93C80">
        <w:rPr>
          <w:lang w:val="fr-FR"/>
        </w:rPr>
        <w:t>emploi</w:t>
      </w:r>
      <w:r>
        <w:rPr>
          <w:lang w:val="fr-FR"/>
        </w:rPr>
        <w:t>s</w:t>
      </w:r>
      <w:r w:rsidRPr="00F93C80">
        <w:rPr>
          <w:lang w:val="fr-FR"/>
        </w:rPr>
        <w:t xml:space="preserve"> </w:t>
      </w:r>
      <w:r>
        <w:rPr>
          <w:lang w:val="fr-FR"/>
        </w:rPr>
        <w:t>fixé pour les</w:t>
      </w:r>
      <w:r w:rsidRPr="00F93C80">
        <w:rPr>
          <w:lang w:val="fr-FR"/>
        </w:rPr>
        <w:t xml:space="preserve"> personnes handicapées. </w:t>
      </w:r>
      <w:r>
        <w:rPr>
          <w:lang w:val="fr-FR"/>
        </w:rPr>
        <w:t xml:space="preserve">Il relève en outre avec préoccupation </w:t>
      </w:r>
      <w:r w:rsidRPr="00F93C80">
        <w:rPr>
          <w:lang w:val="fr-FR"/>
        </w:rPr>
        <w:t xml:space="preserve">que les personnes handicapées sont généralement </w:t>
      </w:r>
      <w:r>
        <w:rPr>
          <w:lang w:val="fr-FR"/>
        </w:rPr>
        <w:t xml:space="preserve">employées </w:t>
      </w:r>
      <w:r w:rsidRPr="00F93C80">
        <w:rPr>
          <w:lang w:val="fr-FR"/>
        </w:rPr>
        <w:t xml:space="preserve">dans des lieux de travail </w:t>
      </w:r>
      <w:r>
        <w:rPr>
          <w:bCs/>
          <w:lang w:val="fr-FR"/>
        </w:rPr>
        <w:t>à part</w:t>
      </w:r>
      <w:r w:rsidRPr="00F93C80">
        <w:rPr>
          <w:lang w:val="fr-FR"/>
        </w:rPr>
        <w:t>.</w:t>
      </w:r>
    </w:p>
    <w:p w:rsidR="00F84D3F" w:rsidRPr="00F93C80" w:rsidRDefault="00F84D3F" w:rsidP="008A7EB6">
      <w:pPr>
        <w:pStyle w:val="SingleTxtG"/>
        <w:keepNext/>
        <w:rPr>
          <w:b/>
          <w:lang w:val="fr-FR"/>
        </w:rPr>
      </w:pPr>
      <w:r w:rsidRPr="00F93C80">
        <w:rPr>
          <w:lang w:val="fr-FR"/>
        </w:rPr>
        <w:t>49.</w:t>
      </w:r>
      <w:r w:rsidRPr="00F93C80">
        <w:rPr>
          <w:lang w:val="fr-FR"/>
        </w:rPr>
        <w:tab/>
      </w:r>
      <w:r w:rsidRPr="00F93C80">
        <w:rPr>
          <w:b/>
          <w:lang w:val="fr-FR"/>
        </w:rPr>
        <w:t>Le Comité recommande à l</w:t>
      </w:r>
      <w:r>
        <w:rPr>
          <w:b/>
          <w:lang w:val="fr-FR"/>
        </w:rPr>
        <w:t>’</w:t>
      </w:r>
      <w:r w:rsidRPr="00F93C80">
        <w:rPr>
          <w:b/>
          <w:lang w:val="fr-FR"/>
        </w:rPr>
        <w:t>État partie</w:t>
      </w:r>
      <w:r w:rsidR="008A7EB6">
        <w:rPr>
          <w:b/>
          <w:lang w:val="fr-FR"/>
        </w:rPr>
        <w:t> </w:t>
      </w:r>
      <w:r w:rsidRPr="00F93C80">
        <w:rPr>
          <w:b/>
          <w:lang w:val="fr-FR"/>
        </w:rPr>
        <w:t>:</w:t>
      </w:r>
    </w:p>
    <w:p w:rsidR="00F84D3F" w:rsidRPr="00F93C80" w:rsidRDefault="00F84D3F" w:rsidP="00A74311">
      <w:pPr>
        <w:pStyle w:val="SingleTxtG"/>
        <w:ind w:firstLine="567"/>
        <w:rPr>
          <w:b/>
          <w:lang w:val="fr-FR"/>
        </w:rPr>
      </w:pPr>
      <w:r w:rsidRPr="007C5077">
        <w:rPr>
          <w:lang w:val="fr-FR"/>
        </w:rPr>
        <w:t>a)</w:t>
      </w:r>
      <w:r w:rsidRPr="007C5077">
        <w:rPr>
          <w:lang w:val="fr-FR"/>
        </w:rPr>
        <w:tab/>
      </w:r>
      <w:r>
        <w:rPr>
          <w:b/>
          <w:lang w:val="fr-FR"/>
        </w:rPr>
        <w:t>De veiller à ce que</w:t>
      </w:r>
      <w:r w:rsidRPr="00F93C80">
        <w:rPr>
          <w:b/>
          <w:lang w:val="fr-FR"/>
        </w:rPr>
        <w:t xml:space="preserve"> les droits des personnes handicapées et </w:t>
      </w:r>
      <w:r>
        <w:rPr>
          <w:b/>
          <w:lang w:val="fr-FR"/>
        </w:rPr>
        <w:t xml:space="preserve">le principe de </w:t>
      </w:r>
      <w:r w:rsidRPr="00F93C80">
        <w:rPr>
          <w:b/>
          <w:lang w:val="fr-FR"/>
        </w:rPr>
        <w:t xml:space="preserve">la discrimination positive </w:t>
      </w:r>
      <w:r>
        <w:rPr>
          <w:b/>
          <w:lang w:val="fr-FR"/>
        </w:rPr>
        <w:t xml:space="preserve">soient pris en compte </w:t>
      </w:r>
      <w:r w:rsidRPr="00F93C80">
        <w:rPr>
          <w:b/>
          <w:lang w:val="fr-FR"/>
        </w:rPr>
        <w:t xml:space="preserve">dans les stratégies nationales </w:t>
      </w:r>
      <w:r>
        <w:rPr>
          <w:b/>
          <w:lang w:val="fr-FR"/>
        </w:rPr>
        <w:t>pour</w:t>
      </w:r>
      <w:r w:rsidRPr="00F93C80">
        <w:rPr>
          <w:b/>
          <w:lang w:val="fr-FR"/>
        </w:rPr>
        <w:t xml:space="preserve"> l</w:t>
      </w:r>
      <w:r>
        <w:rPr>
          <w:b/>
          <w:lang w:val="fr-FR"/>
        </w:rPr>
        <w:t>’</w:t>
      </w:r>
      <w:r w:rsidRPr="00F93C80">
        <w:rPr>
          <w:b/>
          <w:lang w:val="fr-FR"/>
        </w:rPr>
        <w:t xml:space="preserve">emploi et les </w:t>
      </w:r>
      <w:r>
        <w:rPr>
          <w:b/>
          <w:lang w:val="fr-FR"/>
        </w:rPr>
        <w:t>travaux</w:t>
      </w:r>
      <w:r w:rsidRPr="00F93C80">
        <w:rPr>
          <w:b/>
          <w:lang w:val="fr-FR"/>
        </w:rPr>
        <w:t xml:space="preserve"> des organismes compétents, </w:t>
      </w:r>
      <w:r>
        <w:rPr>
          <w:b/>
          <w:lang w:val="fr-FR"/>
        </w:rPr>
        <w:t>notamment</w:t>
      </w:r>
      <w:r w:rsidRPr="00F93C80">
        <w:rPr>
          <w:b/>
          <w:lang w:val="fr-FR"/>
        </w:rPr>
        <w:t xml:space="preserve"> de faire appliquer la loi </w:t>
      </w:r>
      <w:r w:rsidR="00BB57CF" w:rsidRPr="00BB57CF">
        <w:rPr>
          <w:b/>
        </w:rPr>
        <w:t>n</w:t>
      </w:r>
      <w:r w:rsidR="00BB57CF" w:rsidRPr="00BB57CF">
        <w:rPr>
          <w:b/>
          <w:vertAlign w:val="superscript"/>
        </w:rPr>
        <w:t>o</w:t>
      </w:r>
      <w:r w:rsidR="00BB57CF" w:rsidRPr="00BB57CF">
        <w:rPr>
          <w:b/>
        </w:rPr>
        <w:t> </w:t>
      </w:r>
      <w:r w:rsidRPr="00F93C80">
        <w:rPr>
          <w:b/>
          <w:lang w:val="fr-FR"/>
        </w:rPr>
        <w:t>60 sur l</w:t>
      </w:r>
      <w:r>
        <w:rPr>
          <w:b/>
          <w:lang w:val="fr-FR"/>
        </w:rPr>
        <w:t>’</w:t>
      </w:r>
      <w:r w:rsidRPr="00F93C80">
        <w:rPr>
          <w:b/>
          <w:lang w:val="fr-FR"/>
        </w:rPr>
        <w:t xml:space="preserve">emploi, </w:t>
      </w:r>
      <w:r>
        <w:rPr>
          <w:b/>
          <w:lang w:val="fr-FR"/>
        </w:rPr>
        <w:t>y compris</w:t>
      </w:r>
      <w:r w:rsidRPr="00F93C80">
        <w:rPr>
          <w:b/>
          <w:lang w:val="fr-FR"/>
        </w:rPr>
        <w:t xml:space="preserve"> le quota obligatoire et les mesures incitatives </w:t>
      </w:r>
      <w:r>
        <w:rPr>
          <w:b/>
          <w:lang w:val="fr-FR"/>
        </w:rPr>
        <w:t xml:space="preserve">prévues </w:t>
      </w:r>
      <w:r w:rsidRPr="00F93C80">
        <w:rPr>
          <w:b/>
          <w:lang w:val="fr-FR"/>
        </w:rPr>
        <w:t>pour les employeurs</w:t>
      </w:r>
      <w:r w:rsidR="008A7EB6">
        <w:rPr>
          <w:b/>
          <w:lang w:val="fr-FR"/>
        </w:rPr>
        <w:t> </w:t>
      </w:r>
      <w:r w:rsidRPr="00F93C80">
        <w:rPr>
          <w:b/>
          <w:lang w:val="fr-FR"/>
        </w:rPr>
        <w:t>;</w:t>
      </w:r>
    </w:p>
    <w:p w:rsidR="00F84D3F" w:rsidRPr="00F93C80" w:rsidRDefault="00F84D3F" w:rsidP="00A74311">
      <w:pPr>
        <w:pStyle w:val="SingleTxtG"/>
        <w:ind w:firstLine="567"/>
        <w:rPr>
          <w:b/>
          <w:lang w:val="fr-FR"/>
        </w:rPr>
      </w:pPr>
      <w:r w:rsidRPr="007C5077">
        <w:rPr>
          <w:lang w:val="fr-FR"/>
        </w:rPr>
        <w:t>b)</w:t>
      </w:r>
      <w:r w:rsidRPr="007C5077">
        <w:rPr>
          <w:lang w:val="fr-FR"/>
        </w:rPr>
        <w:tab/>
      </w:r>
      <w:r w:rsidRPr="00F93C80">
        <w:rPr>
          <w:b/>
          <w:lang w:val="fr-FR"/>
        </w:rPr>
        <w:t>De soutenir l</w:t>
      </w:r>
      <w:r>
        <w:rPr>
          <w:b/>
          <w:lang w:val="fr-FR"/>
        </w:rPr>
        <w:t>’</w:t>
      </w:r>
      <w:r w:rsidRPr="00F93C80">
        <w:rPr>
          <w:b/>
          <w:lang w:val="fr-FR"/>
        </w:rPr>
        <w:t xml:space="preserve">emploi des personnes handicapées sur le marché du travail </w:t>
      </w:r>
      <w:r>
        <w:rPr>
          <w:b/>
          <w:lang w:val="fr-FR"/>
        </w:rPr>
        <w:t>général</w:t>
      </w:r>
      <w:r w:rsidRPr="00F93C80">
        <w:rPr>
          <w:b/>
          <w:lang w:val="fr-FR"/>
        </w:rPr>
        <w:t xml:space="preserve">, </w:t>
      </w:r>
      <w:r>
        <w:rPr>
          <w:b/>
          <w:lang w:val="fr-FR"/>
        </w:rPr>
        <w:t>comme le prescrit</w:t>
      </w:r>
      <w:r w:rsidRPr="00F93C80">
        <w:rPr>
          <w:b/>
          <w:lang w:val="fr-FR"/>
        </w:rPr>
        <w:t xml:space="preserve"> la Convention</w:t>
      </w:r>
      <w:r>
        <w:rPr>
          <w:b/>
          <w:lang w:val="fr-FR"/>
        </w:rPr>
        <w:t>,</w:t>
      </w:r>
      <w:r w:rsidRPr="00F93C80">
        <w:rPr>
          <w:b/>
          <w:lang w:val="fr-FR"/>
        </w:rPr>
        <w:t xml:space="preserve"> </w:t>
      </w:r>
      <w:r>
        <w:rPr>
          <w:b/>
          <w:lang w:val="fr-FR"/>
        </w:rPr>
        <w:t xml:space="preserve">et compte tenu de </w:t>
      </w:r>
      <w:r w:rsidRPr="00F93C80">
        <w:rPr>
          <w:b/>
          <w:lang w:val="fr-FR"/>
        </w:rPr>
        <w:t>la cible 8.5 des objectifs de développement durable.</w:t>
      </w:r>
    </w:p>
    <w:p w:rsidR="00F84D3F" w:rsidRPr="00F93C80" w:rsidRDefault="00F84D3F" w:rsidP="005830E3">
      <w:pPr>
        <w:pStyle w:val="H23G"/>
        <w:rPr>
          <w:lang w:val="fr-FR"/>
        </w:rPr>
      </w:pPr>
      <w:r w:rsidRPr="00F93C80">
        <w:rPr>
          <w:lang w:val="fr-FR"/>
        </w:rPr>
        <w:lastRenderedPageBreak/>
        <w:tab/>
      </w:r>
      <w:r w:rsidRPr="00F93C80">
        <w:rPr>
          <w:lang w:val="fr-FR"/>
        </w:rPr>
        <w:tab/>
        <w:t>Niveau de vie adéquat et protection sociale</w:t>
      </w:r>
      <w:r w:rsidRPr="00F93C80">
        <w:rPr>
          <w:i/>
          <w:lang w:val="fr-FR"/>
        </w:rPr>
        <w:t xml:space="preserve"> </w:t>
      </w:r>
      <w:r w:rsidRPr="00F93C80">
        <w:rPr>
          <w:lang w:val="fr-FR"/>
        </w:rPr>
        <w:t>(art.</w:t>
      </w:r>
      <w:r w:rsidR="00BB57CF">
        <w:rPr>
          <w:lang w:val="fr-FR"/>
        </w:rPr>
        <w:t> </w:t>
      </w:r>
      <w:r w:rsidRPr="00F93C80">
        <w:rPr>
          <w:lang w:val="fr-FR"/>
        </w:rPr>
        <w:t>28)</w:t>
      </w:r>
    </w:p>
    <w:p w:rsidR="00F84D3F" w:rsidRPr="00F93C80" w:rsidRDefault="00F84D3F" w:rsidP="005830E3">
      <w:pPr>
        <w:pStyle w:val="SingleTxtG"/>
        <w:keepLines/>
        <w:rPr>
          <w:lang w:val="fr-FR"/>
        </w:rPr>
      </w:pPr>
      <w:r w:rsidRPr="00F93C80">
        <w:rPr>
          <w:lang w:val="fr-FR"/>
        </w:rPr>
        <w:t>50.</w:t>
      </w:r>
      <w:r w:rsidRPr="00F93C80">
        <w:rPr>
          <w:lang w:val="fr-FR"/>
        </w:rPr>
        <w:tab/>
        <w:t xml:space="preserve">Le Comité constate avec préoccupation que la majorité des personnes handicapées vivent dans la pauvreté, en particulier dans les zones rurales et reculées, et que les prestations sociales </w:t>
      </w:r>
      <w:r>
        <w:rPr>
          <w:lang w:val="fr-FR"/>
        </w:rPr>
        <w:t xml:space="preserve">dont elles bénéficient </w:t>
      </w:r>
      <w:r w:rsidRPr="00F93C80">
        <w:rPr>
          <w:lang w:val="fr-FR"/>
        </w:rPr>
        <w:t xml:space="preserve">ne </w:t>
      </w:r>
      <w:r>
        <w:rPr>
          <w:lang w:val="fr-FR"/>
        </w:rPr>
        <w:t>leur apportent pas</w:t>
      </w:r>
      <w:r w:rsidRPr="00F93C80">
        <w:rPr>
          <w:lang w:val="fr-FR"/>
        </w:rPr>
        <w:t xml:space="preserve"> le minimum nécessaire pour </w:t>
      </w:r>
      <w:r>
        <w:rPr>
          <w:lang w:val="fr-FR"/>
        </w:rPr>
        <w:t xml:space="preserve">avoir </w:t>
      </w:r>
      <w:r w:rsidRPr="00F93C80">
        <w:rPr>
          <w:lang w:val="fr-FR"/>
        </w:rPr>
        <w:t xml:space="preserve">un niveau de vie suffisant. Il </w:t>
      </w:r>
      <w:r>
        <w:rPr>
          <w:lang w:val="fr-FR"/>
        </w:rPr>
        <w:t>relève avec inquiétude</w:t>
      </w:r>
      <w:r w:rsidRPr="00F93C80">
        <w:rPr>
          <w:lang w:val="fr-FR"/>
        </w:rPr>
        <w:t xml:space="preserve"> que les coûts supplémentaires liés au handicap augmentent le risque que les personnes handicapées soient placées en institution. Il </w:t>
      </w:r>
      <w:r>
        <w:rPr>
          <w:lang w:val="fr-FR"/>
        </w:rPr>
        <w:t>relève également avec inquiétude</w:t>
      </w:r>
      <w:r w:rsidRPr="00F93C80">
        <w:rPr>
          <w:lang w:val="fr-FR"/>
        </w:rPr>
        <w:t xml:space="preserve"> que les dernières modifications apportées </w:t>
      </w:r>
      <w:r>
        <w:rPr>
          <w:lang w:val="fr-FR"/>
        </w:rPr>
        <w:t>à la réglementation</w:t>
      </w:r>
      <w:r w:rsidRPr="00F93C80">
        <w:rPr>
          <w:lang w:val="fr-FR"/>
        </w:rPr>
        <w:t xml:space="preserve"> relative au régime des pensions risquent </w:t>
      </w:r>
      <w:r>
        <w:rPr>
          <w:lang w:val="fr-FR"/>
        </w:rPr>
        <w:t>de rendre d’autant plus précaire</w:t>
      </w:r>
      <w:r w:rsidRPr="00F93C80">
        <w:rPr>
          <w:lang w:val="fr-FR"/>
        </w:rPr>
        <w:t xml:space="preserve"> la situation économique des personnes handicapées. </w:t>
      </w:r>
    </w:p>
    <w:p w:rsidR="00F84D3F" w:rsidRPr="00F93C80" w:rsidRDefault="00F84D3F" w:rsidP="008A7EB6">
      <w:pPr>
        <w:pStyle w:val="SingleTxtG"/>
        <w:keepNext/>
        <w:rPr>
          <w:b/>
          <w:lang w:val="fr-FR"/>
        </w:rPr>
      </w:pPr>
      <w:r w:rsidRPr="00F93C80">
        <w:rPr>
          <w:lang w:val="fr-FR"/>
        </w:rPr>
        <w:t>51.</w:t>
      </w:r>
      <w:r w:rsidRPr="00F93C80">
        <w:rPr>
          <w:lang w:val="fr-FR"/>
        </w:rPr>
        <w:tab/>
      </w:r>
      <w:r w:rsidRPr="00F93C80">
        <w:rPr>
          <w:b/>
          <w:lang w:val="fr-FR"/>
        </w:rPr>
        <w:t>Le Comité recommande à l</w:t>
      </w:r>
      <w:r>
        <w:rPr>
          <w:b/>
          <w:lang w:val="fr-FR"/>
        </w:rPr>
        <w:t>’</w:t>
      </w:r>
      <w:r w:rsidRPr="00F93C80">
        <w:rPr>
          <w:b/>
          <w:lang w:val="fr-FR"/>
        </w:rPr>
        <w:t>État partie</w:t>
      </w:r>
      <w:r w:rsidR="008A7EB6">
        <w:rPr>
          <w:b/>
          <w:lang w:val="fr-FR"/>
        </w:rPr>
        <w:t> </w:t>
      </w:r>
      <w:r w:rsidRPr="00F93C80">
        <w:rPr>
          <w:b/>
          <w:lang w:val="fr-FR"/>
        </w:rPr>
        <w:t>:</w:t>
      </w:r>
    </w:p>
    <w:p w:rsidR="00F84D3F" w:rsidRPr="00F93C80" w:rsidRDefault="00F84D3F" w:rsidP="005A2526">
      <w:pPr>
        <w:pStyle w:val="SingleTxtG"/>
        <w:ind w:firstLine="567"/>
        <w:rPr>
          <w:b/>
          <w:lang w:val="fr-FR"/>
        </w:rPr>
      </w:pPr>
      <w:r w:rsidRPr="005A131C">
        <w:rPr>
          <w:lang w:val="fr-FR"/>
        </w:rPr>
        <w:t>a)</w:t>
      </w:r>
      <w:r w:rsidRPr="005A131C">
        <w:rPr>
          <w:lang w:val="fr-FR"/>
        </w:rPr>
        <w:tab/>
      </w:r>
      <w:r w:rsidRPr="00F93C80">
        <w:rPr>
          <w:b/>
          <w:lang w:val="fr-FR"/>
        </w:rPr>
        <w:t xml:space="preserve">De garantir un niveau de vie adéquat aux personnes handicapées et à leur famille, notamment </w:t>
      </w:r>
      <w:r>
        <w:rPr>
          <w:b/>
          <w:lang w:val="fr-FR"/>
        </w:rPr>
        <w:t xml:space="preserve">en procédant à un aménagement raisonnable du régime des </w:t>
      </w:r>
      <w:r w:rsidRPr="00F93C80">
        <w:rPr>
          <w:b/>
          <w:lang w:val="fr-FR"/>
        </w:rPr>
        <w:t xml:space="preserve">pensions et </w:t>
      </w:r>
      <w:r>
        <w:rPr>
          <w:b/>
          <w:lang w:val="fr-FR"/>
        </w:rPr>
        <w:t>des</w:t>
      </w:r>
      <w:r w:rsidRPr="00F93C80">
        <w:rPr>
          <w:b/>
          <w:lang w:val="fr-FR"/>
        </w:rPr>
        <w:t xml:space="preserve"> prestations sociales</w:t>
      </w:r>
      <w:r w:rsidR="00C42271">
        <w:rPr>
          <w:b/>
          <w:lang w:val="fr-FR"/>
        </w:rPr>
        <w:t> </w:t>
      </w:r>
      <w:r w:rsidRPr="00F93C80">
        <w:rPr>
          <w:b/>
          <w:lang w:val="fr-FR"/>
        </w:rPr>
        <w:t xml:space="preserve">; </w:t>
      </w:r>
    </w:p>
    <w:p w:rsidR="00F84D3F" w:rsidRPr="00F93C80" w:rsidRDefault="00F84D3F" w:rsidP="005A2526">
      <w:pPr>
        <w:pStyle w:val="SingleTxtG"/>
        <w:ind w:firstLine="567"/>
        <w:rPr>
          <w:b/>
          <w:lang w:val="fr-FR"/>
        </w:rPr>
      </w:pPr>
      <w:r w:rsidRPr="005A131C">
        <w:rPr>
          <w:lang w:val="fr-FR"/>
        </w:rPr>
        <w:t>b)</w:t>
      </w:r>
      <w:r w:rsidRPr="005A131C">
        <w:rPr>
          <w:lang w:val="fr-FR"/>
        </w:rPr>
        <w:tab/>
      </w:r>
      <w:r w:rsidRPr="00F93C80">
        <w:rPr>
          <w:b/>
          <w:lang w:val="fr-FR"/>
        </w:rPr>
        <w:t xml:space="preserve">De garantir que les programmes de protection sociale et de lutte contre la pauvreté </w:t>
      </w:r>
      <w:r>
        <w:rPr>
          <w:b/>
          <w:lang w:val="fr-FR"/>
        </w:rPr>
        <w:t>tiennent</w:t>
      </w:r>
      <w:r w:rsidRPr="00F93C80">
        <w:rPr>
          <w:b/>
          <w:lang w:val="fr-FR"/>
        </w:rPr>
        <w:t xml:space="preserve"> compte </w:t>
      </w:r>
      <w:r>
        <w:rPr>
          <w:b/>
          <w:lang w:val="fr-FR"/>
        </w:rPr>
        <w:t>des</w:t>
      </w:r>
      <w:r w:rsidRPr="00F93C80">
        <w:rPr>
          <w:b/>
          <w:lang w:val="fr-FR"/>
        </w:rPr>
        <w:t xml:space="preserve"> </w:t>
      </w:r>
      <w:r>
        <w:rPr>
          <w:b/>
          <w:lang w:val="fr-FR"/>
        </w:rPr>
        <w:t>frais</w:t>
      </w:r>
      <w:r w:rsidRPr="00F93C80">
        <w:rPr>
          <w:b/>
          <w:lang w:val="fr-FR"/>
        </w:rPr>
        <w:t xml:space="preserve"> supplémentaires liés au handicap</w:t>
      </w:r>
      <w:r w:rsidR="00C42271">
        <w:rPr>
          <w:b/>
          <w:lang w:val="fr-FR"/>
        </w:rPr>
        <w:t> </w:t>
      </w:r>
      <w:r w:rsidRPr="00F93C80">
        <w:rPr>
          <w:b/>
          <w:lang w:val="fr-FR"/>
        </w:rPr>
        <w:t xml:space="preserve">; </w:t>
      </w:r>
    </w:p>
    <w:p w:rsidR="00F84D3F" w:rsidRPr="00F93C80" w:rsidRDefault="00F84D3F" w:rsidP="005A2526">
      <w:pPr>
        <w:pStyle w:val="SingleTxtG"/>
        <w:ind w:firstLine="567"/>
        <w:rPr>
          <w:b/>
          <w:lang w:val="fr-FR"/>
        </w:rPr>
      </w:pPr>
      <w:r w:rsidRPr="005A131C">
        <w:rPr>
          <w:lang w:val="fr-FR"/>
        </w:rPr>
        <w:t>c)</w:t>
      </w:r>
      <w:r w:rsidRPr="005A131C">
        <w:rPr>
          <w:lang w:val="fr-FR"/>
        </w:rPr>
        <w:tab/>
      </w:r>
      <w:r w:rsidRPr="00F93C80">
        <w:rPr>
          <w:b/>
          <w:lang w:val="fr-FR"/>
        </w:rPr>
        <w:t xml:space="preserve">De veiller à ce que les personnes handicapées aient accès aux services sociaux </w:t>
      </w:r>
      <w:r>
        <w:rPr>
          <w:b/>
          <w:lang w:val="fr-FR"/>
        </w:rPr>
        <w:t>mis en place à l’échelle des collectivités</w:t>
      </w:r>
      <w:r w:rsidRPr="00F93C80">
        <w:rPr>
          <w:b/>
          <w:lang w:val="fr-FR"/>
        </w:rPr>
        <w:t xml:space="preserve"> et aux programmes de logement publics, et à ce que ces services et programmes </w:t>
      </w:r>
      <w:r>
        <w:rPr>
          <w:b/>
          <w:lang w:val="fr-FR"/>
        </w:rPr>
        <w:t>existent</w:t>
      </w:r>
      <w:r w:rsidRPr="00F93C80">
        <w:rPr>
          <w:b/>
          <w:lang w:val="fr-FR"/>
        </w:rPr>
        <w:t xml:space="preserve"> également dans les zones rurales et reculées</w:t>
      </w:r>
      <w:r w:rsidR="00C42271">
        <w:rPr>
          <w:b/>
          <w:lang w:val="fr-FR"/>
        </w:rPr>
        <w:t> </w:t>
      </w:r>
      <w:r w:rsidRPr="00F93C80">
        <w:rPr>
          <w:b/>
          <w:lang w:val="fr-FR"/>
        </w:rPr>
        <w:t xml:space="preserve">; </w:t>
      </w:r>
    </w:p>
    <w:p w:rsidR="00F84D3F" w:rsidRPr="00F93C80" w:rsidRDefault="00F84D3F" w:rsidP="005A2526">
      <w:pPr>
        <w:pStyle w:val="SingleTxtG"/>
        <w:ind w:firstLine="567"/>
        <w:rPr>
          <w:b/>
          <w:lang w:val="fr-FR"/>
        </w:rPr>
      </w:pPr>
      <w:r w:rsidRPr="005A131C">
        <w:rPr>
          <w:lang w:val="fr-FR"/>
        </w:rPr>
        <w:t>d)</w:t>
      </w:r>
      <w:r w:rsidRPr="005A131C">
        <w:rPr>
          <w:lang w:val="fr-FR"/>
        </w:rPr>
        <w:tab/>
      </w:r>
      <w:r w:rsidRPr="00F93C80">
        <w:rPr>
          <w:b/>
          <w:lang w:val="fr-FR"/>
        </w:rPr>
        <w:t>De tenir compte d</w:t>
      </w:r>
      <w:r>
        <w:rPr>
          <w:b/>
          <w:lang w:val="fr-FR"/>
        </w:rPr>
        <w:t>u</w:t>
      </w:r>
      <w:r w:rsidRPr="00F93C80">
        <w:rPr>
          <w:b/>
          <w:lang w:val="fr-FR"/>
        </w:rPr>
        <w:t xml:space="preserve"> lien</w:t>
      </w:r>
      <w:r>
        <w:rPr>
          <w:b/>
          <w:lang w:val="fr-FR"/>
        </w:rPr>
        <w:t xml:space="preserve"> qui existe</w:t>
      </w:r>
      <w:r w:rsidRPr="00F93C80">
        <w:rPr>
          <w:b/>
          <w:lang w:val="fr-FR"/>
        </w:rPr>
        <w:t xml:space="preserve"> entre l</w:t>
      </w:r>
      <w:r>
        <w:rPr>
          <w:b/>
          <w:lang w:val="fr-FR"/>
        </w:rPr>
        <w:t>’</w:t>
      </w:r>
      <w:r w:rsidRPr="00F93C80">
        <w:rPr>
          <w:b/>
          <w:lang w:val="fr-FR"/>
        </w:rPr>
        <w:t>article</w:t>
      </w:r>
      <w:r w:rsidR="00E95C76">
        <w:rPr>
          <w:b/>
          <w:lang w:val="fr-FR"/>
        </w:rPr>
        <w:t> </w:t>
      </w:r>
      <w:r w:rsidRPr="00F93C80">
        <w:rPr>
          <w:b/>
          <w:lang w:val="fr-FR"/>
        </w:rPr>
        <w:t>28 de la Convention et la cible</w:t>
      </w:r>
      <w:r w:rsidR="00E95C76">
        <w:rPr>
          <w:b/>
          <w:lang w:val="fr-FR"/>
        </w:rPr>
        <w:t> </w:t>
      </w:r>
      <w:r w:rsidRPr="00F93C80">
        <w:rPr>
          <w:b/>
          <w:lang w:val="fr-FR"/>
        </w:rPr>
        <w:t>1.3 des objectifs de développement durable.</w:t>
      </w:r>
    </w:p>
    <w:p w:rsidR="00F84D3F" w:rsidRPr="00F93C80" w:rsidRDefault="00F84D3F" w:rsidP="00C42271">
      <w:pPr>
        <w:pStyle w:val="H23G"/>
        <w:rPr>
          <w:lang w:val="fr-FR"/>
        </w:rPr>
      </w:pPr>
      <w:r w:rsidRPr="00F93C80">
        <w:rPr>
          <w:lang w:val="fr-FR"/>
        </w:rPr>
        <w:tab/>
      </w:r>
      <w:r w:rsidRPr="00F93C80">
        <w:rPr>
          <w:lang w:val="fr-FR"/>
        </w:rPr>
        <w:tab/>
        <w:t>Participation à la vie politique et à la vie publique (art.</w:t>
      </w:r>
      <w:r w:rsidR="00E95C76">
        <w:rPr>
          <w:lang w:val="fr-FR"/>
        </w:rPr>
        <w:t> </w:t>
      </w:r>
      <w:r w:rsidRPr="00F93C80">
        <w:rPr>
          <w:lang w:val="fr-FR"/>
        </w:rPr>
        <w:t>29)</w:t>
      </w:r>
    </w:p>
    <w:p w:rsidR="00F84D3F" w:rsidRPr="00F93C80" w:rsidRDefault="00F84D3F" w:rsidP="00C42271">
      <w:pPr>
        <w:pStyle w:val="SingleTxtG"/>
        <w:keepNext/>
        <w:rPr>
          <w:lang w:val="fr-FR"/>
        </w:rPr>
      </w:pPr>
      <w:r w:rsidRPr="00F93C80">
        <w:rPr>
          <w:lang w:val="fr-FR"/>
        </w:rPr>
        <w:t>52.</w:t>
      </w:r>
      <w:r w:rsidRPr="00F93C80">
        <w:rPr>
          <w:lang w:val="fr-FR"/>
        </w:rPr>
        <w:tab/>
        <w:t xml:space="preserve">Le Comité </w:t>
      </w:r>
      <w:r>
        <w:rPr>
          <w:lang w:val="fr-FR"/>
        </w:rPr>
        <w:t>note avec préoccupation</w:t>
      </w:r>
      <w:r w:rsidR="00C42271">
        <w:rPr>
          <w:lang w:val="fr-FR"/>
        </w:rPr>
        <w:t> </w:t>
      </w:r>
      <w:r w:rsidRPr="00F93C80">
        <w:rPr>
          <w:lang w:val="fr-FR"/>
        </w:rPr>
        <w:t>:</w:t>
      </w:r>
    </w:p>
    <w:p w:rsidR="00F84D3F" w:rsidRPr="00F93C80" w:rsidRDefault="00F84D3F" w:rsidP="005A2526">
      <w:pPr>
        <w:pStyle w:val="SingleTxtG"/>
        <w:ind w:firstLine="567"/>
        <w:rPr>
          <w:lang w:val="fr-FR"/>
        </w:rPr>
      </w:pPr>
      <w:r w:rsidRPr="00F93C80">
        <w:rPr>
          <w:lang w:val="fr-FR"/>
        </w:rPr>
        <w:t>a)</w:t>
      </w:r>
      <w:r w:rsidRPr="00F93C80">
        <w:rPr>
          <w:lang w:val="fr-FR"/>
        </w:rPr>
        <w:tab/>
      </w:r>
      <w:r>
        <w:rPr>
          <w:lang w:val="fr-FR"/>
        </w:rPr>
        <w:t>Qu’à ce jour, la loi restreint encore le droit</w:t>
      </w:r>
      <w:r w:rsidRPr="00F93C80">
        <w:rPr>
          <w:lang w:val="fr-FR"/>
        </w:rPr>
        <w:t xml:space="preserve"> des personnes handicapées placées </w:t>
      </w:r>
      <w:r w:rsidRPr="00F93C80">
        <w:rPr>
          <w:bCs/>
          <w:lang w:val="fr-FR"/>
        </w:rPr>
        <w:t>sous tutelle</w:t>
      </w:r>
      <w:r w:rsidRPr="00F93C80">
        <w:rPr>
          <w:b/>
          <w:bCs/>
          <w:lang w:val="fr-FR"/>
        </w:rPr>
        <w:t xml:space="preserve"> </w:t>
      </w:r>
      <w:r w:rsidRPr="00F93C80">
        <w:rPr>
          <w:lang w:val="fr-FR"/>
        </w:rPr>
        <w:t>de voter et d</w:t>
      </w:r>
      <w:r>
        <w:rPr>
          <w:lang w:val="fr-FR"/>
        </w:rPr>
        <w:t>’</w:t>
      </w:r>
      <w:r w:rsidRPr="00F93C80">
        <w:rPr>
          <w:lang w:val="fr-FR"/>
        </w:rPr>
        <w:t>être élu</w:t>
      </w:r>
      <w:r>
        <w:rPr>
          <w:lang w:val="fr-FR"/>
        </w:rPr>
        <w:t>es</w:t>
      </w:r>
      <w:r w:rsidR="00C42271">
        <w:rPr>
          <w:lang w:val="fr-FR"/>
        </w:rPr>
        <w:t> </w:t>
      </w:r>
      <w:r w:rsidRPr="00F93C80">
        <w:rPr>
          <w:lang w:val="fr-FR"/>
        </w:rPr>
        <w:t>;</w:t>
      </w:r>
    </w:p>
    <w:p w:rsidR="00F84D3F" w:rsidRPr="00F93C80" w:rsidRDefault="00F84D3F" w:rsidP="005A2526">
      <w:pPr>
        <w:pStyle w:val="SingleTxtG"/>
        <w:ind w:firstLine="567"/>
        <w:rPr>
          <w:lang w:val="fr-FR"/>
        </w:rPr>
      </w:pPr>
      <w:r w:rsidRPr="00F93C80">
        <w:rPr>
          <w:lang w:val="fr-FR"/>
        </w:rPr>
        <w:t>b)</w:t>
      </w:r>
      <w:r w:rsidRPr="00F93C80">
        <w:rPr>
          <w:lang w:val="fr-FR"/>
        </w:rPr>
        <w:tab/>
      </w:r>
      <w:r>
        <w:rPr>
          <w:iCs/>
          <w:lang w:val="fr-FR"/>
        </w:rPr>
        <w:t>Que l</w:t>
      </w:r>
      <w:r w:rsidRPr="00F93C80">
        <w:rPr>
          <w:iCs/>
          <w:lang w:val="fr-FR"/>
        </w:rPr>
        <w:t>es procédures, les installations et le matériel de vote ne sont pas accessibles</w:t>
      </w:r>
      <w:r>
        <w:rPr>
          <w:iCs/>
          <w:lang w:val="fr-FR"/>
        </w:rPr>
        <w:t xml:space="preserve"> aux personnes handicapées</w:t>
      </w:r>
      <w:r w:rsidR="00C42271">
        <w:rPr>
          <w:iCs/>
          <w:lang w:val="fr-FR"/>
        </w:rPr>
        <w:t> </w:t>
      </w:r>
      <w:r w:rsidRPr="00F93C80">
        <w:rPr>
          <w:iCs/>
          <w:lang w:val="fr-FR"/>
        </w:rPr>
        <w:t>;</w:t>
      </w:r>
    </w:p>
    <w:p w:rsidR="00F84D3F" w:rsidRPr="00F93C80" w:rsidRDefault="00F84D3F" w:rsidP="005A2526">
      <w:pPr>
        <w:pStyle w:val="SingleTxtG"/>
        <w:ind w:firstLine="567"/>
        <w:rPr>
          <w:lang w:val="fr-FR"/>
        </w:rPr>
      </w:pPr>
      <w:r w:rsidRPr="00F93C80">
        <w:rPr>
          <w:lang w:val="fr-FR"/>
        </w:rPr>
        <w:t>c)</w:t>
      </w:r>
      <w:r w:rsidRPr="00F93C80">
        <w:rPr>
          <w:lang w:val="fr-FR"/>
        </w:rPr>
        <w:tab/>
      </w:r>
      <w:r>
        <w:rPr>
          <w:lang w:val="fr-FR"/>
        </w:rPr>
        <w:t>Que l</w:t>
      </w:r>
      <w:r w:rsidRPr="00F93C80">
        <w:rPr>
          <w:lang w:val="fr-FR"/>
        </w:rPr>
        <w:t>e taux de participation des personnes handicapées à la vie politique et à la prise de décisions publiques</w:t>
      </w:r>
      <w:r>
        <w:rPr>
          <w:lang w:val="fr-FR"/>
        </w:rPr>
        <w:t>,</w:t>
      </w:r>
      <w:r w:rsidRPr="00F93C80">
        <w:rPr>
          <w:lang w:val="fr-FR"/>
        </w:rPr>
        <w:t xml:space="preserve"> ainsi que leur taux de représentation</w:t>
      </w:r>
      <w:r>
        <w:rPr>
          <w:lang w:val="fr-FR"/>
        </w:rPr>
        <w:t xml:space="preserve"> dans ces domaines</w:t>
      </w:r>
      <w:r w:rsidRPr="00F93C80">
        <w:rPr>
          <w:lang w:val="fr-FR"/>
        </w:rPr>
        <w:t xml:space="preserve"> sont extrêmement faibles. </w:t>
      </w:r>
    </w:p>
    <w:p w:rsidR="00F84D3F" w:rsidRPr="00F93C80" w:rsidRDefault="00F84D3F" w:rsidP="00C42271">
      <w:pPr>
        <w:pStyle w:val="SingleTxtG"/>
        <w:keepNext/>
        <w:rPr>
          <w:b/>
          <w:lang w:val="fr-FR"/>
        </w:rPr>
      </w:pPr>
      <w:r w:rsidRPr="00F93C80">
        <w:rPr>
          <w:lang w:val="fr-FR"/>
        </w:rPr>
        <w:t>53.</w:t>
      </w:r>
      <w:r w:rsidRPr="00F93C80">
        <w:rPr>
          <w:lang w:val="fr-FR"/>
        </w:rPr>
        <w:tab/>
      </w:r>
      <w:r w:rsidRPr="00F93C80">
        <w:rPr>
          <w:b/>
          <w:lang w:val="fr-FR"/>
        </w:rPr>
        <w:t>Le Comité recommande à l</w:t>
      </w:r>
      <w:r>
        <w:rPr>
          <w:b/>
          <w:lang w:val="fr-FR"/>
        </w:rPr>
        <w:t>’</w:t>
      </w:r>
      <w:r w:rsidRPr="00F93C80">
        <w:rPr>
          <w:b/>
          <w:lang w:val="fr-FR"/>
        </w:rPr>
        <w:t>État partie</w:t>
      </w:r>
      <w:r w:rsidR="00C42271">
        <w:rPr>
          <w:b/>
          <w:lang w:val="fr-FR"/>
        </w:rPr>
        <w:t> </w:t>
      </w:r>
      <w:r w:rsidRPr="00F93C80">
        <w:rPr>
          <w:b/>
          <w:lang w:val="fr-FR"/>
        </w:rPr>
        <w:t>:</w:t>
      </w:r>
    </w:p>
    <w:p w:rsidR="00F84D3F" w:rsidRPr="00F93C80" w:rsidRDefault="00F84D3F" w:rsidP="005A2526">
      <w:pPr>
        <w:pStyle w:val="SingleTxtG"/>
        <w:ind w:firstLine="567"/>
        <w:rPr>
          <w:b/>
          <w:lang w:val="fr-FR"/>
        </w:rPr>
      </w:pPr>
      <w:r w:rsidRPr="00132E27">
        <w:rPr>
          <w:lang w:val="fr-FR"/>
        </w:rPr>
        <w:t>a)</w:t>
      </w:r>
      <w:r w:rsidRPr="00132E27">
        <w:rPr>
          <w:lang w:val="fr-FR"/>
        </w:rPr>
        <w:tab/>
      </w:r>
      <w:r w:rsidRPr="00F93C80">
        <w:rPr>
          <w:b/>
          <w:lang w:val="fr-FR"/>
        </w:rPr>
        <w:t xml:space="preserve">De </w:t>
      </w:r>
      <w:r w:rsidRPr="00F93C80">
        <w:rPr>
          <w:b/>
          <w:iCs/>
          <w:lang w:val="fr-FR"/>
        </w:rPr>
        <w:t xml:space="preserve">prendre les mesures </w:t>
      </w:r>
      <w:r>
        <w:rPr>
          <w:b/>
          <w:iCs/>
          <w:lang w:val="fr-FR"/>
        </w:rPr>
        <w:t xml:space="preserve">législatives </w:t>
      </w:r>
      <w:r w:rsidRPr="00F93C80">
        <w:rPr>
          <w:b/>
          <w:iCs/>
          <w:lang w:val="fr-FR"/>
        </w:rPr>
        <w:t>ou autre</w:t>
      </w:r>
      <w:r>
        <w:rPr>
          <w:b/>
          <w:iCs/>
          <w:lang w:val="fr-FR"/>
        </w:rPr>
        <w:t>s</w:t>
      </w:r>
      <w:r w:rsidRPr="00B54600">
        <w:rPr>
          <w:b/>
          <w:iCs/>
          <w:lang w:val="fr-FR"/>
        </w:rPr>
        <w:t xml:space="preserve"> </w:t>
      </w:r>
      <w:r>
        <w:rPr>
          <w:b/>
          <w:iCs/>
          <w:lang w:val="fr-FR"/>
        </w:rPr>
        <w:t>qui s’imposent</w:t>
      </w:r>
      <w:r w:rsidRPr="00F93C80">
        <w:rPr>
          <w:b/>
          <w:iCs/>
          <w:lang w:val="fr-FR"/>
        </w:rPr>
        <w:t xml:space="preserve"> pour permettre la participation des personnes handicapées </w:t>
      </w:r>
      <w:r>
        <w:rPr>
          <w:b/>
          <w:iCs/>
          <w:lang w:val="fr-FR"/>
        </w:rPr>
        <w:t xml:space="preserve">à la vie </w:t>
      </w:r>
      <w:r w:rsidRPr="00F93C80">
        <w:rPr>
          <w:b/>
          <w:iCs/>
          <w:lang w:val="fr-FR"/>
        </w:rPr>
        <w:t>politique et publique, notamment de</w:t>
      </w:r>
      <w:r>
        <w:rPr>
          <w:b/>
          <w:iCs/>
          <w:lang w:val="fr-FR"/>
        </w:rPr>
        <w:t xml:space="preserve"> tenir de</w:t>
      </w:r>
      <w:r w:rsidRPr="00F93C80">
        <w:rPr>
          <w:b/>
          <w:iCs/>
          <w:lang w:val="fr-FR"/>
        </w:rPr>
        <w:t>s consultations avec les organisations de personnes handicapées</w:t>
      </w:r>
      <w:r w:rsidR="00C42271">
        <w:rPr>
          <w:b/>
          <w:iCs/>
          <w:lang w:val="fr-FR"/>
        </w:rPr>
        <w:t> </w:t>
      </w:r>
      <w:r w:rsidRPr="00F93C80">
        <w:rPr>
          <w:b/>
          <w:iCs/>
          <w:lang w:val="fr-FR"/>
        </w:rPr>
        <w:t>;</w:t>
      </w:r>
      <w:r w:rsidRPr="00F93C80">
        <w:rPr>
          <w:b/>
          <w:lang w:val="fr-FR"/>
        </w:rPr>
        <w:t xml:space="preserve"> </w:t>
      </w:r>
    </w:p>
    <w:p w:rsidR="00F84D3F" w:rsidRPr="00F93C80" w:rsidRDefault="00F84D3F" w:rsidP="005A2526">
      <w:pPr>
        <w:pStyle w:val="SingleTxtG"/>
        <w:ind w:firstLine="567"/>
        <w:rPr>
          <w:b/>
          <w:lang w:val="fr-FR"/>
        </w:rPr>
      </w:pPr>
      <w:r w:rsidRPr="00132E27">
        <w:rPr>
          <w:lang w:val="fr-FR"/>
        </w:rPr>
        <w:t>b)</w:t>
      </w:r>
      <w:r w:rsidRPr="00132E27">
        <w:rPr>
          <w:lang w:val="fr-FR"/>
        </w:rPr>
        <w:tab/>
      </w:r>
      <w:r w:rsidRPr="00F93C80">
        <w:rPr>
          <w:b/>
          <w:iCs/>
          <w:lang w:val="fr-FR"/>
        </w:rPr>
        <w:t xml:space="preserve">De veiller à ce que les procédures, </w:t>
      </w:r>
      <w:r>
        <w:rPr>
          <w:b/>
          <w:iCs/>
          <w:lang w:val="fr-FR"/>
        </w:rPr>
        <w:t>les installations</w:t>
      </w:r>
      <w:r w:rsidRPr="00F93C80">
        <w:rPr>
          <w:b/>
          <w:iCs/>
          <w:lang w:val="fr-FR"/>
        </w:rPr>
        <w:t xml:space="preserve"> et </w:t>
      </w:r>
      <w:r>
        <w:rPr>
          <w:b/>
          <w:iCs/>
          <w:lang w:val="fr-FR"/>
        </w:rPr>
        <w:t xml:space="preserve">le </w:t>
      </w:r>
      <w:r w:rsidRPr="00F93C80">
        <w:rPr>
          <w:b/>
          <w:iCs/>
          <w:lang w:val="fr-FR"/>
        </w:rPr>
        <w:t xml:space="preserve">matériel </w:t>
      </w:r>
      <w:r>
        <w:rPr>
          <w:b/>
          <w:iCs/>
          <w:lang w:val="fr-FR"/>
        </w:rPr>
        <w:t>de vote</w:t>
      </w:r>
      <w:r w:rsidRPr="00F93C80">
        <w:rPr>
          <w:b/>
          <w:iCs/>
          <w:lang w:val="fr-FR"/>
        </w:rPr>
        <w:t xml:space="preserve"> soient </w:t>
      </w:r>
      <w:r>
        <w:rPr>
          <w:b/>
          <w:iCs/>
          <w:lang w:val="fr-FR"/>
        </w:rPr>
        <w:t xml:space="preserve">adaptés et </w:t>
      </w:r>
      <w:r w:rsidRPr="00F93C80">
        <w:rPr>
          <w:b/>
          <w:iCs/>
          <w:lang w:val="fr-FR"/>
        </w:rPr>
        <w:t xml:space="preserve">accessibles </w:t>
      </w:r>
      <w:r>
        <w:rPr>
          <w:b/>
          <w:iCs/>
          <w:lang w:val="fr-FR"/>
        </w:rPr>
        <w:t>à</w:t>
      </w:r>
      <w:r w:rsidRPr="00F93C80">
        <w:rPr>
          <w:b/>
          <w:iCs/>
          <w:lang w:val="fr-FR"/>
        </w:rPr>
        <w:t xml:space="preserve"> toutes les personnes handicapées</w:t>
      </w:r>
      <w:r>
        <w:rPr>
          <w:b/>
          <w:iCs/>
          <w:lang w:val="fr-FR"/>
        </w:rPr>
        <w:t xml:space="preserve"> et ne leur posent aucune difficulté pratique</w:t>
      </w:r>
      <w:r w:rsidR="00C42271">
        <w:rPr>
          <w:b/>
          <w:iCs/>
          <w:lang w:val="fr-FR"/>
        </w:rPr>
        <w:t> </w:t>
      </w:r>
      <w:r w:rsidRPr="00F93C80">
        <w:rPr>
          <w:b/>
          <w:iCs/>
          <w:lang w:val="fr-FR"/>
        </w:rPr>
        <w:t>;</w:t>
      </w:r>
    </w:p>
    <w:p w:rsidR="00F84D3F" w:rsidRPr="00F93C80" w:rsidRDefault="00F84D3F" w:rsidP="005A2526">
      <w:pPr>
        <w:pStyle w:val="SingleTxtG"/>
        <w:ind w:firstLine="567"/>
        <w:rPr>
          <w:b/>
          <w:lang w:val="fr-FR"/>
        </w:rPr>
      </w:pPr>
      <w:r w:rsidRPr="00132E27">
        <w:rPr>
          <w:lang w:val="fr-FR"/>
        </w:rPr>
        <w:t>c)</w:t>
      </w:r>
      <w:r w:rsidRPr="00132E27">
        <w:rPr>
          <w:lang w:val="fr-FR"/>
        </w:rPr>
        <w:tab/>
      </w:r>
      <w:r w:rsidRPr="00F93C80">
        <w:rPr>
          <w:b/>
          <w:lang w:val="fr-FR"/>
        </w:rPr>
        <w:t>De promouvoir la participation des personnes handicapées, y compris des femmes, à la vie politique et à la prise de décisions publiques.</w:t>
      </w:r>
    </w:p>
    <w:p w:rsidR="00F84D3F" w:rsidRPr="00F93C80" w:rsidRDefault="00F84D3F" w:rsidP="009358AD">
      <w:pPr>
        <w:pStyle w:val="H23G"/>
        <w:rPr>
          <w:lang w:val="fr-FR"/>
        </w:rPr>
      </w:pPr>
      <w:r w:rsidRPr="00F93C80">
        <w:rPr>
          <w:lang w:val="fr-FR"/>
        </w:rPr>
        <w:tab/>
      </w:r>
      <w:r w:rsidRPr="00F93C80">
        <w:rPr>
          <w:lang w:val="fr-FR"/>
        </w:rPr>
        <w:tab/>
        <w:t>Participation à la vie culturelle et récréative, aux loisirs et aux sports</w:t>
      </w:r>
      <w:r w:rsidRPr="00F93C80">
        <w:rPr>
          <w:i/>
          <w:lang w:val="fr-FR"/>
        </w:rPr>
        <w:t xml:space="preserve"> </w:t>
      </w:r>
      <w:r w:rsidRPr="00F93C80">
        <w:rPr>
          <w:lang w:val="fr-FR"/>
        </w:rPr>
        <w:t>(art.</w:t>
      </w:r>
      <w:r w:rsidR="00302D8F">
        <w:rPr>
          <w:lang w:val="fr-FR"/>
        </w:rPr>
        <w:t> </w:t>
      </w:r>
      <w:r w:rsidRPr="00F93C80">
        <w:rPr>
          <w:lang w:val="fr-FR"/>
        </w:rPr>
        <w:t>30)</w:t>
      </w:r>
    </w:p>
    <w:p w:rsidR="00F84D3F" w:rsidRPr="007F5A8A" w:rsidRDefault="00F84D3F" w:rsidP="009358AD">
      <w:pPr>
        <w:pStyle w:val="SingleTxtG"/>
        <w:rPr>
          <w:lang w:val="fr-FR"/>
        </w:rPr>
      </w:pPr>
      <w:r w:rsidRPr="00F93C80">
        <w:rPr>
          <w:lang w:val="fr-FR"/>
        </w:rPr>
        <w:t>54.</w:t>
      </w:r>
      <w:r w:rsidRPr="00F93C80">
        <w:rPr>
          <w:lang w:val="fr-FR"/>
        </w:rPr>
        <w:tab/>
      </w:r>
      <w:r w:rsidRPr="00F93C80">
        <w:rPr>
          <w:iCs/>
          <w:lang w:val="fr-FR"/>
        </w:rPr>
        <w:t>Le Comité est préoccupé par l</w:t>
      </w:r>
      <w:r>
        <w:rPr>
          <w:iCs/>
          <w:lang w:val="fr-FR"/>
        </w:rPr>
        <w:t>’</w:t>
      </w:r>
      <w:r w:rsidRPr="00F93C80">
        <w:rPr>
          <w:iCs/>
          <w:lang w:val="fr-FR"/>
        </w:rPr>
        <w:t xml:space="preserve">accès limité </w:t>
      </w:r>
      <w:r w:rsidRPr="00F93C80">
        <w:rPr>
          <w:lang w:val="fr-FR"/>
        </w:rPr>
        <w:t xml:space="preserve">des personnes handicapées aux activités culturelles et aux </w:t>
      </w:r>
      <w:r>
        <w:rPr>
          <w:lang w:val="fr-FR"/>
        </w:rPr>
        <w:t>installations</w:t>
      </w:r>
      <w:r w:rsidRPr="00F93C80">
        <w:rPr>
          <w:lang w:val="fr-FR"/>
        </w:rPr>
        <w:t xml:space="preserve"> sporti</w:t>
      </w:r>
      <w:r>
        <w:rPr>
          <w:lang w:val="fr-FR"/>
        </w:rPr>
        <w:t>ve</w:t>
      </w:r>
      <w:r w:rsidRPr="00F93C80">
        <w:rPr>
          <w:lang w:val="fr-FR"/>
        </w:rPr>
        <w:t>s, et par le fait que les athlètes handicapés ne bénéficient pas d</w:t>
      </w:r>
      <w:r>
        <w:rPr>
          <w:lang w:val="fr-FR"/>
        </w:rPr>
        <w:t>’</w:t>
      </w:r>
      <w:r w:rsidRPr="00F93C80">
        <w:rPr>
          <w:lang w:val="fr-FR"/>
        </w:rPr>
        <w:t xml:space="preserve">un appui </w:t>
      </w:r>
      <w:r w:rsidRPr="00F93C80">
        <w:rPr>
          <w:iCs/>
          <w:lang w:val="fr-FR"/>
        </w:rPr>
        <w:t>dans des conditions d</w:t>
      </w:r>
      <w:r>
        <w:rPr>
          <w:iCs/>
          <w:lang w:val="fr-FR"/>
        </w:rPr>
        <w:t>’</w:t>
      </w:r>
      <w:r w:rsidRPr="00F93C80">
        <w:rPr>
          <w:iCs/>
          <w:lang w:val="fr-FR"/>
        </w:rPr>
        <w:t>égalité avec les autres athlètes.</w:t>
      </w:r>
      <w:r w:rsidRPr="00F93C80">
        <w:rPr>
          <w:lang w:val="fr-FR"/>
        </w:rPr>
        <w:t xml:space="preserve"> </w:t>
      </w:r>
      <w:r w:rsidRPr="00F93C80">
        <w:rPr>
          <w:iCs/>
          <w:lang w:val="fr-FR"/>
        </w:rPr>
        <w:t>Il constate également avec préoccupation que l</w:t>
      </w:r>
      <w:r>
        <w:rPr>
          <w:iCs/>
          <w:lang w:val="fr-FR"/>
        </w:rPr>
        <w:t>’</w:t>
      </w:r>
      <w:r w:rsidRPr="00F93C80">
        <w:rPr>
          <w:iCs/>
          <w:lang w:val="fr-FR"/>
        </w:rPr>
        <w:t>État partie n</w:t>
      </w:r>
      <w:r>
        <w:rPr>
          <w:iCs/>
          <w:lang w:val="fr-FR"/>
        </w:rPr>
        <w:t>’</w:t>
      </w:r>
      <w:r w:rsidRPr="00F93C80">
        <w:rPr>
          <w:iCs/>
          <w:lang w:val="fr-FR"/>
        </w:rPr>
        <w:t xml:space="preserve">a pas encore ratifié </w:t>
      </w:r>
      <w:r w:rsidRPr="00F93C80">
        <w:rPr>
          <w:lang w:val="fr-FR"/>
        </w:rPr>
        <w:t>le Traité de Marrakech visant à faciliter l</w:t>
      </w:r>
      <w:r>
        <w:rPr>
          <w:lang w:val="fr-FR"/>
        </w:rPr>
        <w:t>’</w:t>
      </w:r>
      <w:r w:rsidRPr="00F93C80">
        <w:rPr>
          <w:lang w:val="fr-FR"/>
        </w:rPr>
        <w:t>accès des aveugles, des déficients visuels et des personnes ayant d</w:t>
      </w:r>
      <w:r>
        <w:rPr>
          <w:lang w:val="fr-FR"/>
        </w:rPr>
        <w:t>’</w:t>
      </w:r>
      <w:r w:rsidRPr="00F93C80">
        <w:rPr>
          <w:lang w:val="fr-FR"/>
        </w:rPr>
        <w:t>autres difficultés de lecture des textes imprimés aux œuvres publiées</w:t>
      </w:r>
      <w:r w:rsidR="00B91F98">
        <w:rPr>
          <w:lang w:val="fr-FR"/>
        </w:rPr>
        <w:t>.</w:t>
      </w:r>
    </w:p>
    <w:p w:rsidR="00F84D3F" w:rsidRPr="009358AD" w:rsidRDefault="00F84D3F" w:rsidP="00024639">
      <w:pPr>
        <w:pStyle w:val="SingleTxtG"/>
        <w:keepLines/>
        <w:rPr>
          <w:b/>
          <w:lang w:val="fr-FR"/>
        </w:rPr>
      </w:pPr>
      <w:r w:rsidRPr="007F5A8A">
        <w:rPr>
          <w:lang w:val="fr-FR"/>
        </w:rPr>
        <w:lastRenderedPageBreak/>
        <w:t>55.</w:t>
      </w:r>
      <w:r w:rsidRPr="007F5A8A">
        <w:rPr>
          <w:lang w:val="fr-FR"/>
        </w:rPr>
        <w:tab/>
      </w:r>
      <w:r w:rsidRPr="009358AD">
        <w:rPr>
          <w:b/>
          <w:lang w:val="fr-FR"/>
        </w:rPr>
        <w:t xml:space="preserve">Le Comité recommande à l’État partie de faire le nécessaire pour que les personnes handicapées participent aux activités culturelles et sportives, et que les athlètes handicapés bénéficient d’un appui dans des conditions d’égalité avec les autres athlètes. Il encourage l’État partie à </w:t>
      </w:r>
      <w:r w:rsidRPr="009358AD">
        <w:rPr>
          <w:b/>
          <w:iCs/>
          <w:lang w:val="fr-FR"/>
        </w:rPr>
        <w:t>prendre toutes les mesures voulues pour ratifier et appliquer dès que possible le Traité de Marrakech.</w:t>
      </w:r>
    </w:p>
    <w:p w:rsidR="00F84D3F" w:rsidRPr="00F93C80" w:rsidRDefault="00F84D3F" w:rsidP="00302D8F">
      <w:pPr>
        <w:pStyle w:val="H1G"/>
        <w:rPr>
          <w:lang w:val="fr-FR"/>
        </w:rPr>
      </w:pPr>
      <w:r w:rsidRPr="00F93C80">
        <w:rPr>
          <w:lang w:val="fr-FR"/>
        </w:rPr>
        <w:tab/>
        <w:t>C.</w:t>
      </w:r>
      <w:r w:rsidRPr="00F93C80">
        <w:rPr>
          <w:lang w:val="fr-FR"/>
        </w:rPr>
        <w:tab/>
        <w:t>Obligations particulières (art.</w:t>
      </w:r>
      <w:r w:rsidR="00E95C76">
        <w:rPr>
          <w:lang w:val="fr-FR"/>
        </w:rPr>
        <w:t> </w:t>
      </w:r>
      <w:r w:rsidRPr="00F93C80">
        <w:rPr>
          <w:lang w:val="fr-FR"/>
        </w:rPr>
        <w:t>31 à 33)</w:t>
      </w:r>
    </w:p>
    <w:p w:rsidR="00F84D3F" w:rsidRPr="00F93C80" w:rsidRDefault="00F84D3F" w:rsidP="00302D8F">
      <w:pPr>
        <w:pStyle w:val="H23G"/>
        <w:rPr>
          <w:lang w:val="fr-FR"/>
        </w:rPr>
      </w:pPr>
      <w:r w:rsidRPr="00F93C80">
        <w:rPr>
          <w:lang w:val="fr-FR"/>
        </w:rPr>
        <w:tab/>
      </w:r>
      <w:r w:rsidRPr="00F93C80">
        <w:rPr>
          <w:lang w:val="fr-FR"/>
        </w:rPr>
        <w:tab/>
        <w:t>Statistiques et collecte des données (art.</w:t>
      </w:r>
      <w:r w:rsidR="00E95C76">
        <w:rPr>
          <w:lang w:val="fr-FR"/>
        </w:rPr>
        <w:t> </w:t>
      </w:r>
      <w:r w:rsidRPr="00F93C80">
        <w:rPr>
          <w:lang w:val="fr-FR"/>
        </w:rPr>
        <w:t>31)</w:t>
      </w:r>
    </w:p>
    <w:p w:rsidR="00F84D3F" w:rsidRPr="00F93C80" w:rsidRDefault="00F84D3F" w:rsidP="00302D8F">
      <w:pPr>
        <w:pStyle w:val="SingleTxtG"/>
        <w:rPr>
          <w:lang w:val="fr-FR"/>
        </w:rPr>
      </w:pPr>
      <w:r w:rsidRPr="00F93C80">
        <w:rPr>
          <w:lang w:val="fr-FR"/>
        </w:rPr>
        <w:t>56.</w:t>
      </w:r>
      <w:r w:rsidRPr="00F93C80">
        <w:rPr>
          <w:lang w:val="fr-FR"/>
        </w:rPr>
        <w:tab/>
        <w:t>Le Comité note avec préoccupation que la collecte de données sur les personnes handicapées dans l</w:t>
      </w:r>
      <w:r>
        <w:rPr>
          <w:lang w:val="fr-FR"/>
        </w:rPr>
        <w:t>’</w:t>
      </w:r>
      <w:r w:rsidRPr="00F93C80">
        <w:rPr>
          <w:lang w:val="fr-FR"/>
        </w:rPr>
        <w:t xml:space="preserve">État partie est </w:t>
      </w:r>
      <w:r>
        <w:rPr>
          <w:lang w:val="fr-FR"/>
        </w:rPr>
        <w:t xml:space="preserve">fragmentée et </w:t>
      </w:r>
      <w:r w:rsidRPr="00F93C80">
        <w:rPr>
          <w:lang w:val="fr-FR"/>
        </w:rPr>
        <w:t>fondée sur une approche médicale</w:t>
      </w:r>
      <w:r>
        <w:rPr>
          <w:lang w:val="fr-FR"/>
        </w:rPr>
        <w:t>,</w:t>
      </w:r>
      <w:r w:rsidRPr="00F93C80">
        <w:rPr>
          <w:lang w:val="fr-FR"/>
        </w:rPr>
        <w:t xml:space="preserve"> et que </w:t>
      </w:r>
      <w:r>
        <w:rPr>
          <w:lang w:val="fr-FR"/>
        </w:rPr>
        <w:t>l</w:t>
      </w:r>
      <w:r w:rsidRPr="00F93C80">
        <w:rPr>
          <w:lang w:val="fr-FR"/>
        </w:rPr>
        <w:t xml:space="preserve">es données </w:t>
      </w:r>
      <w:r>
        <w:rPr>
          <w:lang w:val="fr-FR"/>
        </w:rPr>
        <w:t>recueillies</w:t>
      </w:r>
      <w:r w:rsidRPr="00F93C80">
        <w:rPr>
          <w:lang w:val="fr-FR"/>
        </w:rPr>
        <w:t xml:space="preserve"> ne </w:t>
      </w:r>
      <w:r>
        <w:rPr>
          <w:lang w:val="fr-FR"/>
        </w:rPr>
        <w:t>s</w:t>
      </w:r>
      <w:r w:rsidRPr="00F93C80">
        <w:rPr>
          <w:lang w:val="fr-FR"/>
        </w:rPr>
        <w:t>ont pas diffus</w:t>
      </w:r>
      <w:r>
        <w:rPr>
          <w:lang w:val="fr-FR"/>
        </w:rPr>
        <w:t>ées</w:t>
      </w:r>
      <w:r w:rsidRPr="00F93C80">
        <w:rPr>
          <w:lang w:val="fr-FR"/>
        </w:rPr>
        <w:t>.</w:t>
      </w:r>
    </w:p>
    <w:p w:rsidR="00F84D3F" w:rsidRPr="00F93C80" w:rsidRDefault="00F84D3F" w:rsidP="00302D8F">
      <w:pPr>
        <w:pStyle w:val="SingleTxtG"/>
        <w:rPr>
          <w:lang w:val="fr-FR"/>
        </w:rPr>
      </w:pPr>
      <w:r w:rsidRPr="00F93C80">
        <w:rPr>
          <w:lang w:val="fr-FR"/>
        </w:rPr>
        <w:t>57.</w:t>
      </w:r>
      <w:r w:rsidRPr="00F93C80">
        <w:rPr>
          <w:lang w:val="fr-FR"/>
        </w:rPr>
        <w:tab/>
      </w:r>
      <w:r w:rsidRPr="00302D8F">
        <w:rPr>
          <w:b/>
          <w:lang w:val="fr-FR"/>
        </w:rPr>
        <w:t>Compte tenu de la cible</w:t>
      </w:r>
      <w:r w:rsidR="00E95C76">
        <w:rPr>
          <w:b/>
          <w:lang w:val="fr-FR"/>
        </w:rPr>
        <w:t> </w:t>
      </w:r>
      <w:r w:rsidRPr="00302D8F">
        <w:rPr>
          <w:b/>
          <w:lang w:val="fr-FR"/>
        </w:rPr>
        <w:t>17.18 des objectifs de développement durable, le</w:t>
      </w:r>
      <w:r w:rsidR="00E95C76">
        <w:rPr>
          <w:b/>
          <w:lang w:val="fr-FR"/>
        </w:rPr>
        <w:t> </w:t>
      </w:r>
      <w:r w:rsidRPr="00302D8F">
        <w:rPr>
          <w:b/>
          <w:lang w:val="fr-FR"/>
        </w:rPr>
        <w:t>Comité recommande à l’État partie d’élaborer, par l’intermédiaire du Bureau national de la statistique, des procédures systématiques pour la collecte de données et l’établissement de rapports qui soient conformes à la Convention et de recueillir, d’analyser et de diffuser des données ventilées, notamment par sexe, âge, origine ethnique, type de handicap, situation socioéconomique, emploi et lieu de résidence, sur la population handicapée, ainsi que des données sur les obstacles auxquels se heurtent les personnes handicapées dans la société.</w:t>
      </w:r>
    </w:p>
    <w:p w:rsidR="00F84D3F" w:rsidRPr="00F93C80" w:rsidRDefault="00F84D3F" w:rsidP="00432A10">
      <w:pPr>
        <w:pStyle w:val="H23G"/>
        <w:rPr>
          <w:lang w:val="fr-FR"/>
        </w:rPr>
      </w:pPr>
      <w:r w:rsidRPr="00F93C80">
        <w:rPr>
          <w:lang w:val="fr-FR"/>
        </w:rPr>
        <w:tab/>
      </w:r>
      <w:r w:rsidRPr="00F93C80">
        <w:rPr>
          <w:lang w:val="fr-FR"/>
        </w:rPr>
        <w:tab/>
        <w:t>Application et suivi au niveau national (art.</w:t>
      </w:r>
      <w:r w:rsidR="00E95C76">
        <w:rPr>
          <w:lang w:val="fr-FR"/>
        </w:rPr>
        <w:t> </w:t>
      </w:r>
      <w:r w:rsidRPr="00F93C80">
        <w:rPr>
          <w:lang w:val="fr-FR"/>
        </w:rPr>
        <w:t>33)</w:t>
      </w:r>
    </w:p>
    <w:p w:rsidR="00F84D3F" w:rsidRPr="00F93C80" w:rsidRDefault="00F84D3F" w:rsidP="00432A10">
      <w:pPr>
        <w:pStyle w:val="SingleTxtG"/>
        <w:rPr>
          <w:lang w:val="fr-FR"/>
        </w:rPr>
      </w:pPr>
      <w:r w:rsidRPr="00F93C80">
        <w:rPr>
          <w:lang w:val="fr-FR"/>
        </w:rPr>
        <w:t>58.</w:t>
      </w:r>
      <w:r w:rsidRPr="00F93C80">
        <w:rPr>
          <w:lang w:val="fr-FR"/>
        </w:rPr>
        <w:tab/>
        <w:t xml:space="preserve">Le Comité </w:t>
      </w:r>
      <w:r>
        <w:rPr>
          <w:lang w:val="fr-FR"/>
        </w:rPr>
        <w:t>relève avec préoccupation</w:t>
      </w:r>
      <w:r w:rsidRPr="00F93C80">
        <w:rPr>
          <w:lang w:val="fr-FR"/>
        </w:rPr>
        <w:t xml:space="preserve"> que le mécanisme désigné par l</w:t>
      </w:r>
      <w:r>
        <w:rPr>
          <w:lang w:val="fr-FR"/>
        </w:rPr>
        <w:t>’</w:t>
      </w:r>
      <w:r w:rsidRPr="00F93C80">
        <w:rPr>
          <w:lang w:val="fr-FR"/>
        </w:rPr>
        <w:t xml:space="preserve">État partie </w:t>
      </w:r>
      <w:r>
        <w:rPr>
          <w:lang w:val="fr-FR"/>
        </w:rPr>
        <w:t xml:space="preserve">en application </w:t>
      </w:r>
      <w:r w:rsidRPr="00F93C80">
        <w:rPr>
          <w:lang w:val="fr-FR"/>
        </w:rPr>
        <w:t>d</w:t>
      </w:r>
      <w:r>
        <w:rPr>
          <w:lang w:val="fr-FR"/>
        </w:rPr>
        <w:t>u paragraphe</w:t>
      </w:r>
      <w:r w:rsidR="00E95C76">
        <w:rPr>
          <w:lang w:val="fr-FR"/>
        </w:rPr>
        <w:t> </w:t>
      </w:r>
      <w:r w:rsidRPr="00F93C80">
        <w:rPr>
          <w:lang w:val="fr-FR"/>
        </w:rPr>
        <w:t>2 de l</w:t>
      </w:r>
      <w:r>
        <w:rPr>
          <w:lang w:val="fr-FR"/>
        </w:rPr>
        <w:t>’</w:t>
      </w:r>
      <w:r w:rsidRPr="00F93C80">
        <w:rPr>
          <w:lang w:val="fr-FR"/>
        </w:rPr>
        <w:t>article</w:t>
      </w:r>
      <w:r w:rsidR="00E95C76">
        <w:rPr>
          <w:lang w:val="fr-FR"/>
        </w:rPr>
        <w:t> </w:t>
      </w:r>
      <w:r w:rsidRPr="00F93C80">
        <w:rPr>
          <w:lang w:val="fr-FR"/>
        </w:rPr>
        <w:t xml:space="preserve">33 </w:t>
      </w:r>
      <w:r>
        <w:rPr>
          <w:lang w:val="fr-FR"/>
        </w:rPr>
        <w:t xml:space="preserve">de </w:t>
      </w:r>
      <w:r w:rsidRPr="00F93C80">
        <w:rPr>
          <w:lang w:val="fr-FR"/>
        </w:rPr>
        <w:t>la Convention n</w:t>
      </w:r>
      <w:r>
        <w:rPr>
          <w:lang w:val="fr-FR"/>
        </w:rPr>
        <w:t>’</w:t>
      </w:r>
      <w:r w:rsidRPr="00F93C80">
        <w:rPr>
          <w:lang w:val="fr-FR"/>
        </w:rPr>
        <w:t>est pas conforme à</w:t>
      </w:r>
      <w:r>
        <w:rPr>
          <w:lang w:val="fr-FR"/>
        </w:rPr>
        <w:t xml:space="preserve"> celle-ci</w:t>
      </w:r>
      <w:r w:rsidRPr="00F93C80">
        <w:rPr>
          <w:lang w:val="fr-FR"/>
        </w:rPr>
        <w:t xml:space="preserve">. Il </w:t>
      </w:r>
      <w:r>
        <w:rPr>
          <w:lang w:val="fr-FR"/>
        </w:rPr>
        <w:t>s’inquiète en outre de</w:t>
      </w:r>
      <w:r w:rsidRPr="00F93C80">
        <w:rPr>
          <w:lang w:val="fr-FR"/>
        </w:rPr>
        <w:t xml:space="preserve"> la représentation inégale des </w:t>
      </w:r>
      <w:r w:rsidRPr="00F93C80">
        <w:rPr>
          <w:iCs/>
          <w:lang w:val="fr-FR"/>
        </w:rPr>
        <w:t xml:space="preserve">organisations de personnes handicapées </w:t>
      </w:r>
      <w:r w:rsidRPr="00F93C80">
        <w:rPr>
          <w:lang w:val="fr-FR"/>
        </w:rPr>
        <w:t xml:space="preserve">dans le cadre du </w:t>
      </w:r>
      <w:r w:rsidRPr="00F93C80">
        <w:rPr>
          <w:iCs/>
          <w:lang w:val="fr-FR"/>
        </w:rPr>
        <w:t>processus de suivi.</w:t>
      </w:r>
    </w:p>
    <w:p w:rsidR="00F84D3F" w:rsidRPr="00F93C80" w:rsidRDefault="00F84D3F" w:rsidP="00432A10">
      <w:pPr>
        <w:pStyle w:val="SingleTxtG"/>
        <w:rPr>
          <w:b/>
          <w:lang w:val="fr-FR"/>
        </w:rPr>
      </w:pPr>
      <w:r w:rsidRPr="00432A10">
        <w:rPr>
          <w:lang w:val="fr-FR"/>
        </w:rPr>
        <w:t>59.</w:t>
      </w:r>
      <w:r w:rsidRPr="00432A10">
        <w:rPr>
          <w:lang w:val="fr-FR"/>
        </w:rPr>
        <w:tab/>
      </w:r>
      <w:r w:rsidRPr="00F93C80">
        <w:rPr>
          <w:b/>
          <w:lang w:val="fr-FR"/>
        </w:rPr>
        <w:t>Compte tenu de ses lignes directrices sur les cadres indépendants de surveillance et leur participation aux travaux du Comité des droits des personnes handicapées</w:t>
      </w:r>
      <w:r w:rsidRPr="007F5A8A">
        <w:rPr>
          <w:b/>
          <w:lang w:val="fr-FR"/>
        </w:rPr>
        <w:t xml:space="preserve"> (2016), le Comité recommande à l</w:t>
      </w:r>
      <w:r>
        <w:rPr>
          <w:b/>
          <w:lang w:val="fr-FR"/>
        </w:rPr>
        <w:t>’</w:t>
      </w:r>
      <w:r w:rsidRPr="007F5A8A">
        <w:rPr>
          <w:b/>
          <w:lang w:val="fr-FR"/>
        </w:rPr>
        <w:t>État partie de désigner un mécanisme indépendant de surveillance conforme aux Principes concernant le statut des institutions nationales pour la promotion et la protection des droits de l</w:t>
      </w:r>
      <w:r>
        <w:rPr>
          <w:b/>
          <w:lang w:val="fr-FR"/>
        </w:rPr>
        <w:t>’</w:t>
      </w:r>
      <w:r w:rsidRPr="001D2A45">
        <w:rPr>
          <w:b/>
          <w:lang w:val="fr-FR"/>
        </w:rPr>
        <w:t>homme (Principes de Paris), de le doter d</w:t>
      </w:r>
      <w:r>
        <w:rPr>
          <w:b/>
          <w:lang w:val="fr-FR"/>
        </w:rPr>
        <w:t>’</w:t>
      </w:r>
      <w:r w:rsidRPr="001D2A45">
        <w:rPr>
          <w:b/>
          <w:lang w:val="fr-FR"/>
        </w:rPr>
        <w:t xml:space="preserve">un financement suffisant pour assurer son fonctionnement et </w:t>
      </w:r>
      <w:r>
        <w:rPr>
          <w:b/>
          <w:lang w:val="fr-FR"/>
        </w:rPr>
        <w:t>d’associer pleinement</w:t>
      </w:r>
      <w:r w:rsidRPr="001D2A45">
        <w:rPr>
          <w:b/>
          <w:lang w:val="fr-FR"/>
        </w:rPr>
        <w:t xml:space="preserve"> les organisations de personnes handicapées au processus de sui</w:t>
      </w:r>
      <w:r w:rsidRPr="00F93C80">
        <w:rPr>
          <w:b/>
          <w:lang w:val="fr-FR"/>
        </w:rPr>
        <w:t>vi.</w:t>
      </w:r>
    </w:p>
    <w:p w:rsidR="00F84D3F" w:rsidRPr="00F93C80" w:rsidRDefault="00F84D3F" w:rsidP="00432A10">
      <w:pPr>
        <w:pStyle w:val="HChG"/>
        <w:rPr>
          <w:lang w:val="fr-FR"/>
        </w:rPr>
      </w:pPr>
      <w:r w:rsidRPr="00F93C80">
        <w:rPr>
          <w:lang w:val="fr-FR"/>
        </w:rPr>
        <w:tab/>
        <w:t>IV.</w:t>
      </w:r>
      <w:r w:rsidRPr="00F93C80">
        <w:rPr>
          <w:lang w:val="fr-FR"/>
        </w:rPr>
        <w:tab/>
        <w:t>Suivi</w:t>
      </w:r>
    </w:p>
    <w:p w:rsidR="00F84D3F" w:rsidRPr="00F93C80" w:rsidRDefault="00F84D3F" w:rsidP="00432A10">
      <w:pPr>
        <w:pStyle w:val="H23G"/>
        <w:rPr>
          <w:lang w:val="fr-FR"/>
        </w:rPr>
      </w:pPr>
      <w:r w:rsidRPr="00F93C80">
        <w:rPr>
          <w:lang w:val="fr-FR"/>
        </w:rPr>
        <w:tab/>
      </w:r>
      <w:r w:rsidRPr="00F93C80">
        <w:rPr>
          <w:lang w:val="fr-FR"/>
        </w:rPr>
        <w:tab/>
        <w:t>Diffusion de l</w:t>
      </w:r>
      <w:r>
        <w:rPr>
          <w:lang w:val="fr-FR"/>
        </w:rPr>
        <w:t>’</w:t>
      </w:r>
      <w:r w:rsidRPr="00F93C80">
        <w:rPr>
          <w:lang w:val="fr-FR"/>
        </w:rPr>
        <w:t>information</w:t>
      </w:r>
    </w:p>
    <w:p w:rsidR="00F84D3F" w:rsidRPr="00432A10" w:rsidRDefault="00F84D3F" w:rsidP="00432A10">
      <w:pPr>
        <w:pStyle w:val="SingleTxtG"/>
        <w:rPr>
          <w:b/>
          <w:lang w:val="fr-FR"/>
        </w:rPr>
      </w:pPr>
      <w:r w:rsidRPr="00F93C80">
        <w:rPr>
          <w:lang w:val="fr-FR"/>
        </w:rPr>
        <w:t>60.</w:t>
      </w:r>
      <w:r w:rsidRPr="00F93C80">
        <w:rPr>
          <w:lang w:val="fr-FR"/>
        </w:rPr>
        <w:tab/>
      </w:r>
      <w:r w:rsidRPr="00432A10">
        <w:rPr>
          <w:b/>
          <w:lang w:val="fr-FR"/>
        </w:rPr>
        <w:t>Le Comité prie l’État partie de lui fournir, dans les douze mois à compter de l’adoption des présentes observations finales et conformément au paragraphe</w:t>
      </w:r>
      <w:r w:rsidR="00E95C76">
        <w:rPr>
          <w:b/>
          <w:lang w:val="fr-FR"/>
        </w:rPr>
        <w:t> </w:t>
      </w:r>
      <w:r w:rsidRPr="00432A10">
        <w:rPr>
          <w:b/>
          <w:lang w:val="fr-FR"/>
        </w:rPr>
        <w:t>2 de l’article</w:t>
      </w:r>
      <w:r w:rsidR="00E95C76">
        <w:rPr>
          <w:b/>
          <w:lang w:val="fr-FR"/>
        </w:rPr>
        <w:t> </w:t>
      </w:r>
      <w:r w:rsidRPr="00432A10">
        <w:rPr>
          <w:b/>
          <w:lang w:val="fr-FR"/>
        </w:rPr>
        <w:t>35 de la Convention, des informations sur les mesures qu’il aura prises pour donner suite aux recommandations formulées aux paragraphes</w:t>
      </w:r>
      <w:r w:rsidR="00E95C76">
        <w:rPr>
          <w:b/>
          <w:lang w:val="fr-FR"/>
        </w:rPr>
        <w:t> </w:t>
      </w:r>
      <w:r w:rsidRPr="00432A10">
        <w:rPr>
          <w:b/>
          <w:lang w:val="fr-FR"/>
        </w:rPr>
        <w:t xml:space="preserve">29 (liberté et sécurité de la personne) et 37 (autonomie de vie et inclusion dans la société) du présent document. </w:t>
      </w:r>
    </w:p>
    <w:p w:rsidR="00F84D3F" w:rsidRPr="00432A10" w:rsidRDefault="00F84D3F" w:rsidP="00432A10">
      <w:pPr>
        <w:pStyle w:val="SingleTxtG"/>
        <w:rPr>
          <w:b/>
          <w:lang w:val="fr-FR"/>
        </w:rPr>
      </w:pPr>
      <w:r w:rsidRPr="007F5A8A">
        <w:rPr>
          <w:lang w:val="fr-FR"/>
        </w:rPr>
        <w:t>61.</w:t>
      </w:r>
      <w:r w:rsidRPr="007F5A8A">
        <w:rPr>
          <w:lang w:val="fr-FR"/>
        </w:rPr>
        <w:tab/>
      </w:r>
      <w:r w:rsidRPr="00432A10">
        <w:rPr>
          <w:b/>
          <w:lang w:val="fr-FR"/>
        </w:rPr>
        <w:t xml:space="preserve">Le Comité demande à l’État partie de mettre en œuvre les recommandations qui figurent dans les présentes observations finales. </w:t>
      </w:r>
      <w:r w:rsidRPr="00432A10">
        <w:rPr>
          <w:b/>
          <w:iCs/>
          <w:lang w:val="fr-FR"/>
        </w:rPr>
        <w:t>Il lui recommande de transmettre celles-ci, pour examen et suite à donner, aux membres du Gouvernement et du</w:t>
      </w:r>
      <w:r w:rsidR="00E95C76">
        <w:rPr>
          <w:b/>
          <w:iCs/>
          <w:lang w:val="fr-FR"/>
        </w:rPr>
        <w:t> </w:t>
      </w:r>
      <w:r w:rsidRPr="00432A10">
        <w:rPr>
          <w:b/>
          <w:iCs/>
          <w:lang w:val="fr-FR"/>
        </w:rPr>
        <w:t>Parlement, aux responsables des ministères compétents, aux autorités locales, aux professionnels concernés, notamment aux professionnels de l’éducation, de la médecine et de la justice, ainsi qu’aux médias, en recourant pour ce faire à des stratégies de communication sociale modernes.</w:t>
      </w:r>
    </w:p>
    <w:p w:rsidR="00F84D3F" w:rsidRPr="00432A10" w:rsidRDefault="00F84D3F" w:rsidP="00432A10">
      <w:pPr>
        <w:pStyle w:val="SingleTxtG"/>
        <w:rPr>
          <w:b/>
          <w:lang w:val="fr-FR"/>
        </w:rPr>
      </w:pPr>
      <w:r w:rsidRPr="00F93C80">
        <w:rPr>
          <w:lang w:val="fr-FR"/>
        </w:rPr>
        <w:t>62.</w:t>
      </w:r>
      <w:r w:rsidRPr="00F93C80">
        <w:rPr>
          <w:lang w:val="fr-FR"/>
        </w:rPr>
        <w:tab/>
      </w:r>
      <w:r w:rsidRPr="00432A10">
        <w:rPr>
          <w:b/>
          <w:iCs/>
          <w:lang w:val="fr-FR"/>
        </w:rPr>
        <w:t>Le Comité encourage vivement l’État partie à associer les organisations de la société civile, en particulier les organisations de personnes handicapées, à l’élaboration de son rapport périodique.</w:t>
      </w:r>
    </w:p>
    <w:p w:rsidR="00F84D3F" w:rsidRPr="00432A10" w:rsidRDefault="00F84D3F" w:rsidP="00432A10">
      <w:pPr>
        <w:pStyle w:val="SingleTxtG"/>
        <w:rPr>
          <w:b/>
          <w:lang w:val="fr-FR"/>
        </w:rPr>
      </w:pPr>
      <w:r w:rsidRPr="00F93C80">
        <w:rPr>
          <w:lang w:val="fr-FR"/>
        </w:rPr>
        <w:lastRenderedPageBreak/>
        <w:t>63.</w:t>
      </w:r>
      <w:r w:rsidRPr="00F93C80">
        <w:rPr>
          <w:lang w:val="fr-FR"/>
        </w:rPr>
        <w:tab/>
      </w:r>
      <w:r w:rsidRPr="00432A10">
        <w:rPr>
          <w:b/>
          <w:iCs/>
          <w:lang w:val="fr-FR"/>
        </w:rPr>
        <w:t xml:space="preserve">Le Comité demande à l’État partie de diffuser largement les présentes observations finales, notamment auprès des organisations non gouvernementales et des organisations qui représentent les personnes handicapées, ainsi qu’auprès de ces personnes elles-mêmes et des membres de leur famille, dans les langues nationales et les langues minoritaires, y compris la langue des signes, et sur des supports accessibles, </w:t>
      </w:r>
      <w:r w:rsidRPr="00432A10">
        <w:rPr>
          <w:b/>
          <w:lang w:val="fr-FR"/>
        </w:rPr>
        <w:t xml:space="preserve">notamment en langage simplifié, </w:t>
      </w:r>
      <w:r w:rsidRPr="00432A10">
        <w:rPr>
          <w:b/>
          <w:iCs/>
          <w:lang w:val="fr-FR"/>
        </w:rPr>
        <w:t>et de les publier sur le site Internet du</w:t>
      </w:r>
      <w:r w:rsidR="00E95C76">
        <w:rPr>
          <w:b/>
          <w:iCs/>
          <w:lang w:val="fr-FR"/>
        </w:rPr>
        <w:t> </w:t>
      </w:r>
      <w:r w:rsidRPr="00432A10">
        <w:rPr>
          <w:b/>
          <w:iCs/>
          <w:lang w:val="fr-FR"/>
        </w:rPr>
        <w:t>Gouve</w:t>
      </w:r>
      <w:bookmarkStart w:id="3" w:name="_GoBack"/>
      <w:bookmarkEnd w:id="3"/>
      <w:r w:rsidRPr="00432A10">
        <w:rPr>
          <w:b/>
          <w:iCs/>
          <w:lang w:val="fr-FR"/>
        </w:rPr>
        <w:t>rnement consacré aux droits de l’homme.</w:t>
      </w:r>
    </w:p>
    <w:p w:rsidR="00F84D3F" w:rsidRPr="00F93C80" w:rsidRDefault="00F84D3F" w:rsidP="00432A10">
      <w:pPr>
        <w:pStyle w:val="H23G"/>
        <w:rPr>
          <w:lang w:val="fr-FR"/>
        </w:rPr>
      </w:pPr>
      <w:r w:rsidRPr="00F93C80">
        <w:rPr>
          <w:lang w:val="fr-FR"/>
        </w:rPr>
        <w:tab/>
      </w:r>
      <w:r w:rsidRPr="00F93C80">
        <w:rPr>
          <w:lang w:val="fr-FR"/>
        </w:rPr>
        <w:tab/>
        <w:t>Prochain rapport périodique</w:t>
      </w:r>
    </w:p>
    <w:p w:rsidR="00F84D3F" w:rsidRDefault="00F84D3F" w:rsidP="00432A10">
      <w:pPr>
        <w:pStyle w:val="SingleTxtG"/>
        <w:rPr>
          <w:b/>
          <w:lang w:val="fr-FR"/>
        </w:rPr>
      </w:pPr>
      <w:r w:rsidRPr="00F93C80">
        <w:rPr>
          <w:lang w:val="fr-FR"/>
        </w:rPr>
        <w:t>64.</w:t>
      </w:r>
      <w:r w:rsidRPr="00F93C80">
        <w:rPr>
          <w:lang w:val="fr-FR"/>
        </w:rPr>
        <w:tab/>
      </w:r>
      <w:r w:rsidRPr="00432A10">
        <w:rPr>
          <w:b/>
          <w:lang w:val="fr-FR"/>
        </w:rPr>
        <w:t xml:space="preserve">Le Comité demande à l’État partie de soumettre son rapport valant deuxième et troisième rapports périodiques au plus tard le 21 octobre 2020 et d’y faire figurer des renseignements sur la mise en œuvre des recommandations formulées dans les présentes observations finales. </w:t>
      </w:r>
      <w:r w:rsidRPr="00432A10">
        <w:rPr>
          <w:b/>
          <w:iCs/>
          <w:lang w:val="fr-FR"/>
        </w:rPr>
        <w:t>Il invite également l’État partie à envisager de soumettre ce rapport selon la procédure simplifiée de présentation des rapports, dans le cadre de laquelle le Comité établit une liste de points au moins un an avant la date prévue pour la soumission du rapport.</w:t>
      </w:r>
      <w:r w:rsidRPr="00432A10">
        <w:rPr>
          <w:b/>
          <w:lang w:val="fr-FR"/>
        </w:rPr>
        <w:t xml:space="preserve"> Les réponses de l’État partie à cette liste de points constituent son rapport périodique.</w:t>
      </w:r>
    </w:p>
    <w:p w:rsidR="00432A10" w:rsidRPr="00432A10" w:rsidRDefault="00432A10" w:rsidP="00432A1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32A10" w:rsidRPr="00432A10" w:rsidSect="00CA543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78" w:rsidRDefault="00B62E78" w:rsidP="00F95C08">
      <w:pPr>
        <w:spacing w:line="240" w:lineRule="auto"/>
      </w:pPr>
    </w:p>
  </w:endnote>
  <w:endnote w:type="continuationSeparator" w:id="0">
    <w:p w:rsidR="00B62E78" w:rsidRPr="00AC3823" w:rsidRDefault="00B62E78" w:rsidP="00AC3823">
      <w:pPr>
        <w:pStyle w:val="Pieddepage"/>
      </w:pPr>
    </w:p>
  </w:endnote>
  <w:endnote w:type="continuationNotice" w:id="1">
    <w:p w:rsidR="00B62E78" w:rsidRDefault="00B62E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E" w:rsidRPr="00CA543E" w:rsidRDefault="00CA543E" w:rsidP="00CA543E">
    <w:pPr>
      <w:pStyle w:val="Pieddepage"/>
      <w:tabs>
        <w:tab w:val="right" w:pos="9638"/>
      </w:tabs>
    </w:pPr>
    <w:r w:rsidRPr="00CA543E">
      <w:rPr>
        <w:b/>
        <w:sz w:val="18"/>
      </w:rPr>
      <w:fldChar w:fldCharType="begin"/>
    </w:r>
    <w:r w:rsidRPr="00CA543E">
      <w:rPr>
        <w:b/>
        <w:sz w:val="18"/>
      </w:rPr>
      <w:instrText xml:space="preserve"> PAGE  \* MERGEFORMAT </w:instrText>
    </w:r>
    <w:r w:rsidRPr="00CA543E">
      <w:rPr>
        <w:b/>
        <w:sz w:val="18"/>
      </w:rPr>
      <w:fldChar w:fldCharType="separate"/>
    </w:r>
    <w:r w:rsidR="00CB1F1C">
      <w:rPr>
        <w:b/>
        <w:noProof/>
        <w:sz w:val="18"/>
      </w:rPr>
      <w:t>12</w:t>
    </w:r>
    <w:r w:rsidRPr="00CA543E">
      <w:rPr>
        <w:b/>
        <w:sz w:val="18"/>
      </w:rPr>
      <w:fldChar w:fldCharType="end"/>
    </w:r>
    <w:r>
      <w:rPr>
        <w:b/>
        <w:sz w:val="18"/>
      </w:rPr>
      <w:tab/>
    </w:r>
    <w:r>
      <w:t>GE.17-08056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E" w:rsidRPr="00CA543E" w:rsidRDefault="00CA543E" w:rsidP="00CA543E">
    <w:pPr>
      <w:pStyle w:val="Pieddepage"/>
      <w:tabs>
        <w:tab w:val="right" w:pos="9638"/>
      </w:tabs>
      <w:rPr>
        <w:b/>
        <w:sz w:val="18"/>
      </w:rPr>
    </w:pPr>
    <w:r>
      <w:t>GE.17-08056</w:t>
    </w:r>
    <w:r>
      <w:tab/>
    </w:r>
    <w:r w:rsidRPr="00CA543E">
      <w:rPr>
        <w:b/>
        <w:sz w:val="18"/>
      </w:rPr>
      <w:fldChar w:fldCharType="begin"/>
    </w:r>
    <w:r w:rsidRPr="00CA543E">
      <w:rPr>
        <w:b/>
        <w:sz w:val="18"/>
      </w:rPr>
      <w:instrText xml:space="preserve"> PAGE  \* MERGEFORMAT </w:instrText>
    </w:r>
    <w:r w:rsidRPr="00CA543E">
      <w:rPr>
        <w:b/>
        <w:sz w:val="18"/>
      </w:rPr>
      <w:fldChar w:fldCharType="separate"/>
    </w:r>
    <w:r w:rsidR="00CB1F1C">
      <w:rPr>
        <w:b/>
        <w:noProof/>
        <w:sz w:val="18"/>
      </w:rPr>
      <w:t>13</w:t>
    </w:r>
    <w:r w:rsidRPr="00CA54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CA543E" w:rsidRDefault="00CA543E" w:rsidP="00CA543E">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64751F35" wp14:editId="7C3B20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17-08056  (F)    270617    280617</w:t>
    </w:r>
    <w:r>
      <w:rPr>
        <w:sz w:val="20"/>
      </w:rPr>
      <w:br/>
    </w:r>
    <w:r w:rsidRPr="00CA543E">
      <w:rPr>
        <w:rFonts w:ascii="C39T30Lfz" w:hAnsi="C39T30Lfz"/>
        <w:sz w:val="56"/>
      </w:rPr>
      <w:t></w:t>
    </w:r>
    <w:r w:rsidRPr="00CA543E">
      <w:rPr>
        <w:rFonts w:ascii="C39T30Lfz" w:hAnsi="C39T30Lfz"/>
        <w:sz w:val="56"/>
      </w:rPr>
      <w:t></w:t>
    </w:r>
    <w:r w:rsidRPr="00CA543E">
      <w:rPr>
        <w:rFonts w:ascii="C39T30Lfz" w:hAnsi="C39T30Lfz"/>
        <w:sz w:val="56"/>
      </w:rPr>
      <w:t></w:t>
    </w:r>
    <w:r w:rsidRPr="00CA543E">
      <w:rPr>
        <w:rFonts w:ascii="C39T30Lfz" w:hAnsi="C39T30Lfz"/>
        <w:sz w:val="56"/>
      </w:rPr>
      <w:t></w:t>
    </w:r>
    <w:r w:rsidRPr="00CA543E">
      <w:rPr>
        <w:rFonts w:ascii="C39T30Lfz" w:hAnsi="C39T30Lfz"/>
        <w:sz w:val="56"/>
      </w:rPr>
      <w:t></w:t>
    </w:r>
    <w:r w:rsidRPr="00CA543E">
      <w:rPr>
        <w:rFonts w:ascii="C39T30Lfz" w:hAnsi="C39T30Lfz"/>
        <w:sz w:val="56"/>
      </w:rPr>
      <w:t></w:t>
    </w:r>
    <w:r w:rsidRPr="00CA543E">
      <w:rPr>
        <w:rFonts w:ascii="C39T30Lfz" w:hAnsi="C39T30Lfz"/>
        <w:sz w:val="56"/>
      </w:rPr>
      <w:t></w:t>
    </w:r>
    <w:r w:rsidRPr="00CA543E">
      <w:rPr>
        <w:rFonts w:ascii="C39T30Lfz" w:hAnsi="C39T30Lfz"/>
        <w:sz w:val="56"/>
      </w:rPr>
      <w:t></w:t>
    </w:r>
    <w:r w:rsidRPr="00CA543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MD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D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78" w:rsidRPr="00AC3823" w:rsidRDefault="00B62E78" w:rsidP="00AC3823">
      <w:pPr>
        <w:pStyle w:val="Pieddepage"/>
        <w:tabs>
          <w:tab w:val="right" w:pos="2155"/>
        </w:tabs>
        <w:spacing w:after="80" w:line="240" w:lineRule="atLeast"/>
        <w:ind w:left="680"/>
        <w:rPr>
          <w:u w:val="single"/>
        </w:rPr>
      </w:pPr>
      <w:r>
        <w:rPr>
          <w:u w:val="single"/>
        </w:rPr>
        <w:tab/>
      </w:r>
    </w:p>
  </w:footnote>
  <w:footnote w:type="continuationSeparator" w:id="0">
    <w:p w:rsidR="00B62E78" w:rsidRPr="00AC3823" w:rsidRDefault="00B62E78" w:rsidP="00AC3823">
      <w:pPr>
        <w:pStyle w:val="Pieddepage"/>
        <w:tabs>
          <w:tab w:val="right" w:pos="2155"/>
        </w:tabs>
        <w:spacing w:after="80" w:line="240" w:lineRule="atLeast"/>
        <w:ind w:left="680"/>
        <w:rPr>
          <w:u w:val="single"/>
        </w:rPr>
      </w:pPr>
      <w:r>
        <w:rPr>
          <w:u w:val="single"/>
        </w:rPr>
        <w:tab/>
      </w:r>
    </w:p>
  </w:footnote>
  <w:footnote w:type="continuationNotice" w:id="1">
    <w:p w:rsidR="00B62E78" w:rsidRPr="00AC3823" w:rsidRDefault="00B62E78">
      <w:pPr>
        <w:spacing w:line="240" w:lineRule="auto"/>
        <w:rPr>
          <w:sz w:val="2"/>
          <w:szCs w:val="2"/>
        </w:rPr>
      </w:pPr>
    </w:p>
  </w:footnote>
  <w:footnote w:id="2">
    <w:p w:rsidR="001965FA" w:rsidRPr="001965FA" w:rsidRDefault="001965FA">
      <w:pPr>
        <w:pStyle w:val="Notedebasdepage"/>
      </w:pPr>
      <w:r>
        <w:rPr>
          <w:rStyle w:val="Appelnotedebasdep"/>
        </w:rPr>
        <w:tab/>
      </w:r>
      <w:r w:rsidRPr="001965FA">
        <w:rPr>
          <w:rStyle w:val="Appelnotedebasdep"/>
          <w:sz w:val="20"/>
          <w:vertAlign w:val="baseline"/>
        </w:rPr>
        <w:t>*</w:t>
      </w:r>
      <w:r>
        <w:rPr>
          <w:rStyle w:val="Appelnotedebasdep"/>
          <w:sz w:val="20"/>
          <w:vertAlign w:val="baseline"/>
        </w:rPr>
        <w:tab/>
      </w:r>
      <w:r w:rsidRPr="00E51FD5">
        <w:rPr>
          <w:lang w:val="fr-FR"/>
        </w:rPr>
        <w:t>Adoptées par le Comité à sa dix-septième session (20 mars-12 avril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E" w:rsidRPr="00CA543E" w:rsidRDefault="004F2D8D">
    <w:pPr>
      <w:pStyle w:val="En-tte"/>
    </w:pPr>
    <w:fldSimple w:instr=" TITLE  \* MERGEFORMAT ">
      <w:r w:rsidR="00CB1F1C">
        <w:t>CRPD/C/MDA/CO/1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E" w:rsidRPr="00CA543E" w:rsidRDefault="004F2D8D" w:rsidP="00CA543E">
    <w:pPr>
      <w:pStyle w:val="En-tte"/>
      <w:jc w:val="right"/>
    </w:pPr>
    <w:fldSimple w:instr=" TITLE  \* MERGEFORMAT ">
      <w:r w:rsidR="00CB1F1C">
        <w:t>CRPD/C/MDA/CO/1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5C17323"/>
    <w:multiLevelType w:val="multilevel"/>
    <w:tmpl w:val="2316614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47"/>
      <w:numFmt w:val="decimal"/>
      <w:lvlRestart w:val="0"/>
      <w:lvlText w:val="%6."/>
      <w:lvlJc w:val="left"/>
      <w:pPr>
        <w:ind w:left="1134" w:firstLine="0"/>
      </w:pPr>
      <w:rPr>
        <w:rFonts w:hint="default"/>
        <w:sz w:val="20"/>
        <w:vertAlign w:val="baseline"/>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23354E"/>
    <w:multiLevelType w:val="multilevel"/>
    <w:tmpl w:val="F70E5EDA"/>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vertAlign w:val="baseline"/>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13">
    <w:nsid w:val="22C64F00"/>
    <w:multiLevelType w:val="multilevel"/>
    <w:tmpl w:val="EF36802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decimal"/>
      <w:lvlText w:val="%2."/>
      <w:lvlJc w:val="right"/>
      <w:pPr>
        <w:tabs>
          <w:tab w:val="num" w:pos="1135"/>
        </w:tabs>
        <w:ind w:left="1135" w:hanging="284"/>
      </w:pPr>
      <w:rPr>
        <w:rFonts w:ascii="Times New Roman" w:hAnsi="Times New Roman" w:cs="Times New Roman" w:hint="default"/>
        <w:b/>
        <w:i w:val="0"/>
        <w:sz w:val="24"/>
      </w:rPr>
    </w:lvl>
    <w:lvl w:ilvl="2">
      <w:start w:val="1"/>
      <w:numFmt w:val="lowerLetter"/>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14">
    <w:nsid w:val="36982105"/>
    <w:multiLevelType w:val="multilevel"/>
    <w:tmpl w:val="6F14D16E"/>
    <w:lvl w:ilvl="0">
      <w:start w:val="4"/>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3"/>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3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15">
    <w:nsid w:val="39B51457"/>
    <w:multiLevelType w:val="multilevel"/>
    <w:tmpl w:val="31DE685C"/>
    <w:lvl w:ilvl="0">
      <w:start w:val="1"/>
      <w:numFmt w:val="bullet"/>
      <w:lvlText w:val=""/>
      <w:lvlJc w:val="left"/>
      <w:pPr>
        <w:tabs>
          <w:tab w:val="num" w:pos="585"/>
        </w:tabs>
        <w:ind w:left="585" w:hanging="360"/>
      </w:pPr>
      <w:rPr>
        <w:rFonts w:ascii="Symbol" w:hAnsi="Symbol" w:hint="default"/>
      </w:rPr>
    </w:lvl>
    <w:lvl w:ilvl="1">
      <w:start w:val="1"/>
      <w:numFmt w:val="lowerLetter"/>
      <w:lvlRestart w:val="0"/>
      <w:suff w:val="space"/>
      <w:lvlText w:val="%2  "/>
      <w:lvlJc w:val="left"/>
      <w:pPr>
        <w:tabs>
          <w:tab w:val="num" w:pos="1967"/>
        </w:tabs>
        <w:ind w:left="2381" w:firstLine="170"/>
      </w:pPr>
      <w:rPr>
        <w:rFonts w:cs="Times New Roman" w:hint="default"/>
        <w:i/>
        <w:sz w:val="18"/>
        <w:vertAlign w:val="superscript"/>
      </w:rPr>
    </w:lvl>
    <w:lvl w:ilvl="2">
      <w:start w:val="175"/>
      <w:numFmt w:val="bullet"/>
      <w:lvlText w:val="-"/>
      <w:lvlJc w:val="left"/>
      <w:pPr>
        <w:ind w:left="2385" w:hanging="360"/>
      </w:pPr>
      <w:rPr>
        <w:rFonts w:ascii="Times New Roman" w:eastAsia="SimSun" w:hAnsi="Times New Roman" w:cs="Times New Roman"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01768FC"/>
    <w:multiLevelType w:val="multilevel"/>
    <w:tmpl w:val="3BA21030"/>
    <w:name w:val="Reg16"/>
    <w:lvl w:ilvl="0">
      <w:start w:val="1"/>
      <w:numFmt w:val="bullet"/>
      <w:lvlText w:val=""/>
      <w:lvlJc w:val="left"/>
      <w:pPr>
        <w:tabs>
          <w:tab w:val="num" w:pos="585"/>
        </w:tabs>
        <w:ind w:left="585" w:hanging="360"/>
      </w:pPr>
      <w:rPr>
        <w:rFonts w:ascii="Symbol" w:hAnsi="Symbol" w:hint="default"/>
      </w:rPr>
    </w:lvl>
    <w:lvl w:ilvl="1">
      <w:start w:val="1"/>
      <w:numFmt w:val="lowerLetter"/>
      <w:lvlRestart w:val="0"/>
      <w:suff w:val="space"/>
      <w:lvlText w:val="%2  "/>
      <w:lvlJc w:val="left"/>
      <w:pPr>
        <w:tabs>
          <w:tab w:val="num" w:pos="721"/>
        </w:tabs>
        <w:ind w:left="1135" w:firstLine="170"/>
      </w:pPr>
      <w:rPr>
        <w:rFonts w:cs="Times New Roman" w:hint="default"/>
        <w:i/>
        <w:sz w:val="18"/>
        <w:vertAlign w:val="superscrip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8">
    <w:nsid w:val="43AB2E11"/>
    <w:multiLevelType w:val="hybridMultilevel"/>
    <w:tmpl w:val="9DD2F9BC"/>
    <w:lvl w:ilvl="0" w:tplc="608437A8">
      <w:start w:val="1"/>
      <w:numFmt w:val="upperLetter"/>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D735B4"/>
    <w:multiLevelType w:val="hybridMultilevel"/>
    <w:tmpl w:val="9DD2F9BC"/>
    <w:lvl w:ilvl="0" w:tplc="608437A8">
      <w:start w:val="1"/>
      <w:numFmt w:val="upperLetter"/>
      <w:lvlText w:val="%1."/>
      <w:lvlJc w:val="left"/>
      <w:pPr>
        <w:ind w:left="360" w:hanging="360"/>
      </w:pPr>
      <w:rPr>
        <w:rFonts w:eastAsia="SimSu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E052B9"/>
    <w:multiLevelType w:val="multilevel"/>
    <w:tmpl w:val="74AC5592"/>
    <w:name w:val="Reg24"/>
    <w:lvl w:ilvl="0">
      <w:start w:val="1"/>
      <w:numFmt w:val="upperRoman"/>
      <w:pStyle w:val="TableHead"/>
      <w:suff w:val="space"/>
      <w:lvlText w:val="%1. "/>
      <w:lvlJc w:val="right"/>
      <w:rPr>
        <w:rFonts w:cs="Times New Roman" w:hint="default"/>
        <w:sz w:val="28"/>
      </w:rPr>
    </w:lvl>
    <w:lvl w:ilvl="1">
      <w:start w:val="1"/>
      <w:numFmt w:val="decimal"/>
      <w:pStyle w:val="ProvHead1"/>
      <w:suff w:val="space"/>
      <w:lvlText w:val="%2. "/>
      <w:lvlJc w:val="left"/>
      <w:rPr>
        <w:rFonts w:cs="Times New Roman" w:hint="default"/>
        <w:u w:val="none"/>
      </w:rPr>
    </w:lvl>
    <w:lvl w:ilvl="2">
      <w:start w:val="1"/>
      <w:numFmt w:val="lowerLetter"/>
      <w:pStyle w:val="ProvHead2"/>
      <w:lvlText w:val="(%3)"/>
      <w:lvlJc w:val="left"/>
      <w:pPr>
        <w:tabs>
          <w:tab w:val="num" w:pos="360"/>
        </w:tabs>
      </w:pPr>
      <w:rPr>
        <w:rFonts w:cs="Times New Roman" w:hint="default"/>
        <w:b w:val="0"/>
        <w:i w:val="0"/>
        <w:u w:val="none"/>
      </w:rPr>
    </w:lvl>
    <w:lvl w:ilvl="3">
      <w:start w:val="1"/>
      <w:numFmt w:val="lowerRoman"/>
      <w:pStyle w:val="ProvHead3"/>
      <w:lvlText w:val="(%4)"/>
      <w:lvlJc w:val="right"/>
      <w:pPr>
        <w:tabs>
          <w:tab w:val="num" w:pos="1440"/>
        </w:tabs>
        <w:ind w:left="1440" w:hanging="533"/>
      </w:pPr>
      <w:rPr>
        <w:rFonts w:ascii="Times New Roman" w:hAnsi="Times New Roman" w:cs="Times New Roman" w:hint="default"/>
        <w:b w:val="0"/>
      </w:rPr>
    </w:lvl>
    <w:lvl w:ilvl="4">
      <w:start w:val="1"/>
      <w:numFmt w:val="decimal"/>
      <w:lvlRestart w:val="0"/>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440"/>
        </w:tabs>
        <w:ind w:firstLine="720"/>
      </w:pPr>
      <w:rPr>
        <w:rFonts w:cs="Times New Roman" w:hint="default"/>
      </w:rPr>
    </w:lvl>
    <w:lvl w:ilvl="6">
      <w:start w:val="1"/>
      <w:numFmt w:val="decimal"/>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Letter"/>
      <w:lvlText w:val=""/>
      <w:lvlJc w:val="left"/>
      <w:pPr>
        <w:tabs>
          <w:tab w:val="num" w:pos="2880"/>
        </w:tabs>
        <w:ind w:left="2880" w:hanging="720"/>
      </w:pPr>
      <w:rPr>
        <w:rFonts w:ascii="Symbol" w:hAnsi="Symbol" w:cs="Times New Roman" w:hint="default"/>
      </w:rPr>
    </w:lvl>
  </w:abstractNum>
  <w:abstractNum w:abstractNumId="21">
    <w:nsid w:val="477C14B6"/>
    <w:multiLevelType w:val="multilevel"/>
    <w:tmpl w:val="6F14D16E"/>
    <w:lvl w:ilvl="0">
      <w:start w:val="4"/>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3"/>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3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2">
    <w:nsid w:val="480F205B"/>
    <w:multiLevelType w:val="multilevel"/>
    <w:tmpl w:val="6F14D16E"/>
    <w:lvl w:ilvl="0">
      <w:start w:val="4"/>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3"/>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3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3">
    <w:nsid w:val="56467FC1"/>
    <w:multiLevelType w:val="multilevel"/>
    <w:tmpl w:val="20F83BA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4">
    <w:nsid w:val="57940770"/>
    <w:multiLevelType w:val="multilevel"/>
    <w:tmpl w:val="20F83BA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5">
    <w:nsid w:val="5B656D08"/>
    <w:multiLevelType w:val="multilevel"/>
    <w:tmpl w:val="20F83BA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8E736D8"/>
    <w:multiLevelType w:val="multilevel"/>
    <w:tmpl w:val="20F83BA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8">
    <w:nsid w:val="6B044CE3"/>
    <w:multiLevelType w:val="multilevel"/>
    <w:tmpl w:val="20F83BA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abstractNum w:abstractNumId="29">
    <w:nsid w:val="6EAC7F11"/>
    <w:multiLevelType w:val="multilevel"/>
    <w:tmpl w:val="3BA21030"/>
    <w:lvl w:ilvl="0">
      <w:start w:val="1"/>
      <w:numFmt w:val="bullet"/>
      <w:lvlText w:val=""/>
      <w:lvlJc w:val="left"/>
      <w:pPr>
        <w:tabs>
          <w:tab w:val="num" w:pos="585"/>
        </w:tabs>
        <w:ind w:left="585" w:hanging="360"/>
      </w:pPr>
      <w:rPr>
        <w:rFonts w:ascii="Symbol" w:hAnsi="Symbol" w:hint="default"/>
      </w:rPr>
    </w:lvl>
    <w:lvl w:ilvl="1">
      <w:start w:val="1"/>
      <w:numFmt w:val="lowerLetter"/>
      <w:lvlRestart w:val="0"/>
      <w:suff w:val="space"/>
      <w:lvlText w:val="%2  "/>
      <w:lvlJc w:val="left"/>
      <w:pPr>
        <w:tabs>
          <w:tab w:val="num" w:pos="721"/>
        </w:tabs>
        <w:ind w:left="1135" w:firstLine="170"/>
      </w:pPr>
      <w:rPr>
        <w:rFonts w:cs="Times New Roman" w:hint="default"/>
        <w:i/>
        <w:sz w:val="18"/>
        <w:vertAlign w:val="superscrip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0">
    <w:nsid w:val="73C17860"/>
    <w:multiLevelType w:val="hybridMultilevel"/>
    <w:tmpl w:val="8416B160"/>
    <w:lvl w:ilvl="0" w:tplc="FEB043D6">
      <w:start w:val="1"/>
      <w:numFmt w:val="lowerLetter"/>
      <w:lvlRestart w:val="0"/>
      <w:suff w:val="space"/>
      <w:lvlText w:val="%1  "/>
      <w:lvlJc w:val="left"/>
      <w:pPr>
        <w:ind w:left="1134" w:firstLine="170"/>
      </w:pPr>
      <w:rPr>
        <w:i/>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16BB2"/>
    <w:multiLevelType w:val="multilevel"/>
    <w:tmpl w:val="D0CCE0CE"/>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val="0"/>
      </w:rPr>
    </w:lvl>
    <w:lvl w:ilvl="5">
      <w:start w:val="1"/>
      <w:numFmt w:val="decimal"/>
      <w:lvlRestart w:val="0"/>
      <w:lvlText w:val="%6."/>
      <w:lvlJc w:val="left"/>
      <w:pPr>
        <w:ind w:left="1134" w:firstLine="0"/>
      </w:pPr>
      <w:rPr>
        <w:rFonts w:hint="default"/>
        <w:sz w:val="20"/>
      </w:rPr>
    </w:lvl>
    <w:lvl w:ilvl="6">
      <w:start w:val="1"/>
      <w:numFmt w:val="lowerLetter"/>
      <w:lvlText w:val="(%7)"/>
      <w:lvlJc w:val="left"/>
      <w:pPr>
        <w:tabs>
          <w:tab w:val="num" w:pos="1702"/>
        </w:tabs>
        <w:ind w:left="1134" w:firstLine="567"/>
      </w:pPr>
      <w:rPr>
        <w:rFonts w:hint="default"/>
        <w:b w:val="0"/>
        <w:i w:val="0"/>
        <w:color w:val="auto"/>
        <w:sz w:val="20"/>
        <w:szCs w:val="28"/>
      </w:rPr>
    </w:lvl>
    <w:lvl w:ilvl="7">
      <w:start w:val="1"/>
      <w:numFmt w:val="lowerRoman"/>
      <w:lvlText w:val="(%8)"/>
      <w:lvlJc w:val="left"/>
      <w:pPr>
        <w:ind w:left="1701" w:firstLine="0"/>
      </w:pPr>
      <w:rPr>
        <w:rFonts w:hint="default"/>
        <w:sz w:val="20"/>
      </w:rPr>
    </w:lvl>
    <w:lvl w:ilvl="8">
      <w:start w:val="1"/>
      <w:numFmt w:val="lowerRoman"/>
      <w:lvlText w:val="%9."/>
      <w:lvlJc w:val="left"/>
      <w:pPr>
        <w:tabs>
          <w:tab w:val="num" w:pos="4094"/>
        </w:tabs>
        <w:ind w:left="4094" w:hanging="363"/>
      </w:pPr>
      <w:rPr>
        <w:rFonts w:hint="default"/>
      </w:rPr>
    </w:lvl>
  </w:abstractNum>
  <w:num w:numId="1">
    <w:abstractNumId w:val="26"/>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20"/>
  </w:num>
  <w:num w:numId="17">
    <w:abstractNumId w:val="15"/>
  </w:num>
  <w:num w:numId="18">
    <w:abstractNumId w:val="17"/>
  </w:num>
  <w:num w:numId="19">
    <w:abstractNumId w:val="18"/>
  </w:num>
  <w:num w:numId="20">
    <w:abstractNumId w:val="29"/>
  </w:num>
  <w:num w:numId="21">
    <w:abstractNumId w:val="19"/>
  </w:num>
  <w:num w:numId="22">
    <w:abstractNumId w:val="25"/>
  </w:num>
  <w:num w:numId="23">
    <w:abstractNumId w:val="22"/>
  </w:num>
  <w:num w:numId="24">
    <w:abstractNumId w:val="30"/>
  </w:num>
  <w:num w:numId="25">
    <w:abstractNumId w:val="23"/>
  </w:num>
  <w:num w:numId="26">
    <w:abstractNumId w:val="14"/>
  </w:num>
  <w:num w:numId="27">
    <w:abstractNumId w:val="21"/>
  </w:num>
  <w:num w:numId="28">
    <w:abstractNumId w:val="31"/>
  </w:num>
  <w:num w:numId="29">
    <w:abstractNumId w:val="24"/>
  </w:num>
  <w:num w:numId="30">
    <w:abstractNumId w:val="28"/>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4A"/>
    <w:rsid w:val="00017F94"/>
    <w:rsid w:val="00023842"/>
    <w:rsid w:val="00024639"/>
    <w:rsid w:val="000334F9"/>
    <w:rsid w:val="0007796D"/>
    <w:rsid w:val="00084B98"/>
    <w:rsid w:val="000B7790"/>
    <w:rsid w:val="00111F2F"/>
    <w:rsid w:val="00116F20"/>
    <w:rsid w:val="00123A21"/>
    <w:rsid w:val="001273BC"/>
    <w:rsid w:val="00132E27"/>
    <w:rsid w:val="0014365E"/>
    <w:rsid w:val="00176178"/>
    <w:rsid w:val="001965FA"/>
    <w:rsid w:val="001F525A"/>
    <w:rsid w:val="00223272"/>
    <w:rsid w:val="00224B46"/>
    <w:rsid w:val="0024779E"/>
    <w:rsid w:val="00275896"/>
    <w:rsid w:val="002F389E"/>
    <w:rsid w:val="00302D8F"/>
    <w:rsid w:val="00336EDE"/>
    <w:rsid w:val="00352F34"/>
    <w:rsid w:val="0036674A"/>
    <w:rsid w:val="003C5869"/>
    <w:rsid w:val="003C6FFE"/>
    <w:rsid w:val="00432A10"/>
    <w:rsid w:val="00446FE5"/>
    <w:rsid w:val="0044790B"/>
    <w:rsid w:val="00452396"/>
    <w:rsid w:val="004A6768"/>
    <w:rsid w:val="004B3955"/>
    <w:rsid w:val="004D3863"/>
    <w:rsid w:val="004F2D8D"/>
    <w:rsid w:val="005505B7"/>
    <w:rsid w:val="00562BB0"/>
    <w:rsid w:val="00573BE5"/>
    <w:rsid w:val="00577EFE"/>
    <w:rsid w:val="005830E3"/>
    <w:rsid w:val="00586ED3"/>
    <w:rsid w:val="00596AA9"/>
    <w:rsid w:val="005A131C"/>
    <w:rsid w:val="005A2526"/>
    <w:rsid w:val="005B2738"/>
    <w:rsid w:val="00616FF7"/>
    <w:rsid w:val="0071601D"/>
    <w:rsid w:val="007A62E6"/>
    <w:rsid w:val="007C5077"/>
    <w:rsid w:val="0080684C"/>
    <w:rsid w:val="00871C75"/>
    <w:rsid w:val="008776DC"/>
    <w:rsid w:val="008A7EB6"/>
    <w:rsid w:val="008F4646"/>
    <w:rsid w:val="009358AD"/>
    <w:rsid w:val="00936A92"/>
    <w:rsid w:val="009705C8"/>
    <w:rsid w:val="00A05215"/>
    <w:rsid w:val="00A30353"/>
    <w:rsid w:val="00A74311"/>
    <w:rsid w:val="00A974B5"/>
    <w:rsid w:val="00AA262C"/>
    <w:rsid w:val="00AC2F65"/>
    <w:rsid w:val="00AC3823"/>
    <w:rsid w:val="00AD4D81"/>
    <w:rsid w:val="00AE323C"/>
    <w:rsid w:val="00B00181"/>
    <w:rsid w:val="00B338A5"/>
    <w:rsid w:val="00B62E78"/>
    <w:rsid w:val="00B765F7"/>
    <w:rsid w:val="00B83884"/>
    <w:rsid w:val="00B91F98"/>
    <w:rsid w:val="00BA0CA9"/>
    <w:rsid w:val="00BB57CF"/>
    <w:rsid w:val="00C02897"/>
    <w:rsid w:val="00C36BFE"/>
    <w:rsid w:val="00C42271"/>
    <w:rsid w:val="00C71163"/>
    <w:rsid w:val="00CA543E"/>
    <w:rsid w:val="00CB1F1C"/>
    <w:rsid w:val="00CB3E52"/>
    <w:rsid w:val="00CB7681"/>
    <w:rsid w:val="00D037DD"/>
    <w:rsid w:val="00D1103C"/>
    <w:rsid w:val="00D336BF"/>
    <w:rsid w:val="00D3439C"/>
    <w:rsid w:val="00DB1831"/>
    <w:rsid w:val="00DD3BFD"/>
    <w:rsid w:val="00DD45CD"/>
    <w:rsid w:val="00DF6678"/>
    <w:rsid w:val="00E95C76"/>
    <w:rsid w:val="00EB5942"/>
    <w:rsid w:val="00F660DF"/>
    <w:rsid w:val="00F81FF8"/>
    <w:rsid w:val="00F84D3F"/>
    <w:rsid w:val="00F908C4"/>
    <w:rsid w:val="00F95C08"/>
    <w:rsid w:val="00FE64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Superscript,BVI fnr,16 Point,Superscript 6 Point,Footnote Reference Number,Footnote Reference_LVL6,Footnote Reference_LVL61,Footnote Reference_LVL62,Footnote Reference_LVL63,Footnote Reference_LVL64"/>
    <w:basedOn w:val="Policepardfaut"/>
    <w:link w:val="BVIfnrCharCharCharChar"/>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uiPriority w:val="99"/>
    <w:rsid w:val="00562BB0"/>
    <w:rPr>
      <w:sz w:val="16"/>
      <w:szCs w:val="16"/>
    </w:rPr>
  </w:style>
  <w:style w:type="paragraph" w:styleId="Commentaire">
    <w:name w:val="annotation text"/>
    <w:basedOn w:val="Normal"/>
    <w:link w:val="CommentaireCar"/>
    <w:uiPriority w:val="99"/>
    <w:rsid w:val="00562BB0"/>
    <w:rPr>
      <w:rFonts w:eastAsia="Calibri"/>
      <w:sz w:val="24"/>
    </w:rPr>
  </w:style>
  <w:style w:type="character" w:customStyle="1" w:styleId="CommentaireCar">
    <w:name w:val="Commentaire Car"/>
    <w:basedOn w:val="Policepardfaut"/>
    <w:link w:val="Commentaire"/>
    <w:uiPriority w:val="99"/>
    <w:rsid w:val="00562BB0"/>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562BB0"/>
    <w:rPr>
      <w:b/>
      <w:bCs/>
    </w:rPr>
  </w:style>
  <w:style w:type="character" w:customStyle="1" w:styleId="ObjetducommentaireCar">
    <w:name w:val="Objet du commentaire Car"/>
    <w:basedOn w:val="CommentaireCar"/>
    <w:link w:val="Objetducommentaire"/>
    <w:rsid w:val="00562BB0"/>
    <w:rPr>
      <w:rFonts w:ascii="Times New Roman" w:eastAsia="Calibri" w:hAnsi="Times New Roman" w:cs="Times New Roman"/>
      <w:b/>
      <w:bCs/>
      <w:sz w:val="24"/>
      <w:szCs w:val="20"/>
      <w:lang w:eastAsia="en-US"/>
    </w:rPr>
  </w:style>
  <w:style w:type="paragraph" w:customStyle="1" w:styleId="FootnoteTable">
    <w:name w:val="Footnote Table"/>
    <w:basedOn w:val="Normal"/>
    <w:rsid w:val="00562BB0"/>
    <w:pPr>
      <w:kinsoku/>
      <w:overflowPunct/>
      <w:autoSpaceDE/>
      <w:autoSpaceDN/>
      <w:adjustRightInd/>
      <w:snapToGrid/>
      <w:spacing w:line="220" w:lineRule="exact"/>
      <w:jc w:val="both"/>
    </w:pPr>
    <w:rPr>
      <w:rFonts w:eastAsia="SimSun"/>
      <w:sz w:val="18"/>
      <w:lang w:val="en-GB" w:eastAsia="zh-CN"/>
    </w:rPr>
  </w:style>
  <w:style w:type="paragraph" w:customStyle="1" w:styleId="RegHChG">
    <w:name w:val="Reg_H__Ch_G"/>
    <w:basedOn w:val="Normal"/>
    <w:next w:val="RegH1G"/>
    <w:rsid w:val="00562BB0"/>
    <w:pPr>
      <w:keepNext/>
      <w:keepLines/>
      <w:tabs>
        <w:tab w:val="num" w:pos="1135"/>
      </w:tabs>
      <w:kinsoku/>
      <w:overflowPunct/>
      <w:autoSpaceDE/>
      <w:autoSpaceDN/>
      <w:adjustRightInd/>
      <w:snapToGrid/>
      <w:spacing w:before="360" w:after="240" w:line="300" w:lineRule="exact"/>
      <w:ind w:left="1135" w:right="1134" w:hanging="284"/>
    </w:pPr>
    <w:rPr>
      <w:rFonts w:eastAsia="SimSun"/>
      <w:b/>
      <w:sz w:val="28"/>
      <w:lang w:val="en-GB" w:eastAsia="zh-CN"/>
    </w:rPr>
  </w:style>
  <w:style w:type="paragraph" w:customStyle="1" w:styleId="RegH1G">
    <w:name w:val="Reg_H_1_G"/>
    <w:basedOn w:val="Normal"/>
    <w:next w:val="RegH23G"/>
    <w:rsid w:val="00562BB0"/>
    <w:pPr>
      <w:keepNext/>
      <w:keepLines/>
      <w:tabs>
        <w:tab w:val="num" w:pos="1135"/>
      </w:tabs>
      <w:kinsoku/>
      <w:overflowPunct/>
      <w:autoSpaceDE/>
      <w:autoSpaceDN/>
      <w:adjustRightInd/>
      <w:snapToGrid/>
      <w:spacing w:before="360" w:after="240" w:line="270" w:lineRule="exact"/>
      <w:ind w:left="1135" w:right="1134" w:hanging="284"/>
    </w:pPr>
    <w:rPr>
      <w:rFonts w:eastAsia="SimSun"/>
      <w:b/>
      <w:sz w:val="24"/>
      <w:lang w:val="en-GB" w:eastAsia="zh-CN"/>
    </w:rPr>
  </w:style>
  <w:style w:type="paragraph" w:customStyle="1" w:styleId="RegH23G">
    <w:name w:val="Reg_H_2/3_G"/>
    <w:basedOn w:val="Normal"/>
    <w:next w:val="RegH4G"/>
    <w:rsid w:val="00562BB0"/>
    <w:pPr>
      <w:keepNext/>
      <w:keepLines/>
      <w:tabs>
        <w:tab w:val="num" w:pos="1135"/>
      </w:tabs>
      <w:kinsoku/>
      <w:overflowPunct/>
      <w:autoSpaceDE/>
      <w:autoSpaceDN/>
      <w:adjustRightInd/>
      <w:snapToGrid/>
      <w:spacing w:before="240" w:after="120" w:line="240" w:lineRule="exact"/>
      <w:ind w:left="1135" w:right="1134" w:hanging="284"/>
    </w:pPr>
    <w:rPr>
      <w:rFonts w:eastAsia="SimSun"/>
      <w:b/>
      <w:lang w:val="en-GB" w:eastAsia="zh-CN"/>
    </w:rPr>
  </w:style>
  <w:style w:type="paragraph" w:customStyle="1" w:styleId="RegSingleTxtG">
    <w:name w:val="Reg_Single Txt_G"/>
    <w:basedOn w:val="Normal"/>
    <w:rsid w:val="00562BB0"/>
    <w:pPr>
      <w:tabs>
        <w:tab w:val="left" w:pos="1701"/>
      </w:tabs>
      <w:kinsoku/>
      <w:overflowPunct/>
      <w:autoSpaceDE/>
      <w:autoSpaceDN/>
      <w:adjustRightInd/>
      <w:snapToGrid/>
      <w:spacing w:after="120"/>
      <w:ind w:left="1134" w:right="1134"/>
      <w:jc w:val="both"/>
    </w:pPr>
    <w:rPr>
      <w:rFonts w:eastAsia="SimSun"/>
      <w:lang w:val="en-GB" w:eastAsia="zh-CN"/>
    </w:rPr>
  </w:style>
  <w:style w:type="paragraph" w:styleId="TM1">
    <w:name w:val="toc 1"/>
    <w:basedOn w:val="Normal"/>
    <w:next w:val="Normal"/>
    <w:autoRedefine/>
    <w:uiPriority w:val="39"/>
    <w:rsid w:val="00562BB0"/>
    <w:pPr>
      <w:tabs>
        <w:tab w:val="right" w:pos="851"/>
        <w:tab w:val="left" w:pos="1134"/>
        <w:tab w:val="left" w:pos="1559"/>
        <w:tab w:val="left" w:pos="1985"/>
        <w:tab w:val="left" w:leader="dot" w:pos="7655"/>
        <w:tab w:val="right" w:pos="8930"/>
        <w:tab w:val="right" w:pos="9639"/>
      </w:tabs>
      <w:kinsoku/>
      <w:overflowPunct/>
      <w:autoSpaceDE/>
      <w:autoSpaceDN/>
      <w:adjustRightInd/>
      <w:snapToGrid/>
      <w:spacing w:after="120"/>
    </w:pPr>
    <w:rPr>
      <w:rFonts w:eastAsia="SimSun"/>
      <w:lang w:val="en-GB" w:eastAsia="zh-CN"/>
    </w:rPr>
  </w:style>
  <w:style w:type="paragraph" w:styleId="TM2">
    <w:name w:val="toc 2"/>
    <w:basedOn w:val="Normal"/>
    <w:next w:val="Normal"/>
    <w:autoRedefine/>
    <w:uiPriority w:val="39"/>
    <w:rsid w:val="00562BB0"/>
    <w:pPr>
      <w:tabs>
        <w:tab w:val="right" w:pos="851"/>
        <w:tab w:val="left" w:pos="1134"/>
        <w:tab w:val="left" w:pos="1559"/>
        <w:tab w:val="left" w:pos="1985"/>
        <w:tab w:val="left" w:leader="dot" w:pos="7655"/>
        <w:tab w:val="right" w:pos="8930"/>
        <w:tab w:val="right" w:pos="9639"/>
      </w:tabs>
      <w:kinsoku/>
      <w:overflowPunct/>
      <w:autoSpaceDE/>
      <w:autoSpaceDN/>
      <w:adjustRightInd/>
      <w:snapToGrid/>
      <w:spacing w:after="120"/>
    </w:pPr>
    <w:rPr>
      <w:rFonts w:eastAsia="SimSun"/>
      <w:lang w:val="en-GB" w:eastAsia="zh-CN"/>
    </w:rPr>
  </w:style>
  <w:style w:type="paragraph" w:styleId="TM3">
    <w:name w:val="toc 3"/>
    <w:basedOn w:val="Normal"/>
    <w:next w:val="Normal"/>
    <w:autoRedefine/>
    <w:rsid w:val="00562BB0"/>
    <w:pPr>
      <w:tabs>
        <w:tab w:val="right" w:pos="851"/>
        <w:tab w:val="left" w:pos="1134"/>
        <w:tab w:val="left" w:pos="1559"/>
        <w:tab w:val="left" w:pos="1985"/>
        <w:tab w:val="left" w:leader="dot" w:pos="7655"/>
        <w:tab w:val="right" w:pos="8930"/>
        <w:tab w:val="right" w:pos="9639"/>
      </w:tabs>
      <w:kinsoku/>
      <w:overflowPunct/>
      <w:autoSpaceDE/>
      <w:autoSpaceDN/>
      <w:adjustRightInd/>
      <w:snapToGrid/>
      <w:spacing w:after="120"/>
    </w:pPr>
    <w:rPr>
      <w:rFonts w:eastAsia="SimSun"/>
      <w:lang w:val="en-GB" w:eastAsia="zh-CN"/>
    </w:rPr>
  </w:style>
  <w:style w:type="paragraph" w:styleId="Paragraphedeliste">
    <w:name w:val="List Paragraph"/>
    <w:basedOn w:val="Normal"/>
    <w:uiPriority w:val="34"/>
    <w:qFormat/>
    <w:rsid w:val="00562BB0"/>
    <w:pPr>
      <w:kinsoku/>
      <w:overflowPunct/>
      <w:autoSpaceDE/>
      <w:autoSpaceDN/>
      <w:adjustRightInd/>
      <w:snapToGrid/>
      <w:ind w:left="720"/>
      <w:contextualSpacing/>
    </w:pPr>
    <w:rPr>
      <w:rFonts w:eastAsia="SimSun"/>
      <w:lang w:val="en-GB" w:eastAsia="zh-CN"/>
    </w:rPr>
  </w:style>
  <w:style w:type="paragraph" w:customStyle="1" w:styleId="ListParagraphforAnnexes">
    <w:name w:val="List Paragraph for Annexes"/>
    <w:basedOn w:val="Paragraphedeliste"/>
    <w:qFormat/>
    <w:rsid w:val="00562BB0"/>
    <w:pPr>
      <w:spacing w:before="120" w:after="120" w:line="240" w:lineRule="exact"/>
      <w:contextualSpacing w:val="0"/>
    </w:pPr>
  </w:style>
  <w:style w:type="paragraph" w:customStyle="1" w:styleId="RegH4G">
    <w:name w:val="Reg_H_4_G"/>
    <w:basedOn w:val="RegH23G"/>
    <w:next w:val="RegH5G"/>
    <w:qFormat/>
    <w:rsid w:val="00562BB0"/>
    <w:pPr>
      <w:tabs>
        <w:tab w:val="clear" w:pos="1135"/>
        <w:tab w:val="num" w:pos="1134"/>
      </w:tabs>
    </w:pPr>
  </w:style>
  <w:style w:type="paragraph" w:customStyle="1" w:styleId="RegH5G">
    <w:name w:val="Reg_H_5_G"/>
    <w:basedOn w:val="RegH4G"/>
    <w:qFormat/>
    <w:rsid w:val="00562BB0"/>
    <w:rPr>
      <w:b w:val="0"/>
      <w:i/>
    </w:rPr>
  </w:style>
  <w:style w:type="paragraph" w:customStyle="1" w:styleId="TableFootnote">
    <w:name w:val="TableFootnote"/>
    <w:basedOn w:val="FootnoteTable"/>
    <w:qFormat/>
    <w:rsid w:val="00562BB0"/>
    <w:pPr>
      <w:ind w:left="1134"/>
    </w:pPr>
  </w:style>
  <w:style w:type="paragraph" w:customStyle="1" w:styleId="RegSingleTxtG2">
    <w:name w:val="Reg_Single Txt_G2"/>
    <w:basedOn w:val="RegSingleTxtG"/>
    <w:qFormat/>
    <w:rsid w:val="00562BB0"/>
    <w:pPr>
      <w:tabs>
        <w:tab w:val="clear" w:pos="1701"/>
      </w:tabs>
      <w:ind w:firstLine="567"/>
    </w:pPr>
  </w:style>
  <w:style w:type="paragraph" w:customStyle="1" w:styleId="RegSingleTxtG3">
    <w:name w:val="Reg_Single Txt_G3"/>
    <w:basedOn w:val="RegSingleTxtG"/>
    <w:qFormat/>
    <w:rsid w:val="00562BB0"/>
    <w:pPr>
      <w:ind w:left="1701"/>
    </w:pPr>
  </w:style>
  <w:style w:type="table" w:customStyle="1" w:styleId="Grilledutableau1">
    <w:name w:val="Grille du tableau1"/>
    <w:basedOn w:val="TableauNormal"/>
    <w:next w:val="Grilledutableau"/>
    <w:rsid w:val="00562BB0"/>
    <w:pPr>
      <w:spacing w:after="0" w:line="240" w:lineRule="auto"/>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Pieddepage"/>
    <w:rsid w:val="00562BB0"/>
    <w:pPr>
      <w:numPr>
        <w:numId w:val="16"/>
      </w:numPr>
      <w:tabs>
        <w:tab w:val="num" w:pos="360"/>
      </w:tabs>
      <w:suppressAutoHyphens w:val="0"/>
      <w:kinsoku/>
      <w:overflowPunct/>
      <w:autoSpaceDE/>
      <w:autoSpaceDN/>
      <w:adjustRightInd/>
      <w:snapToGrid/>
      <w:jc w:val="center"/>
    </w:pPr>
    <w:rPr>
      <w:b/>
      <w:sz w:val="24"/>
      <w:szCs w:val="24"/>
      <w:lang w:val="en-US" w:eastAsia="de-DE"/>
    </w:rPr>
  </w:style>
  <w:style w:type="paragraph" w:customStyle="1" w:styleId="ProvHead1">
    <w:name w:val="ProvHead1"/>
    <w:basedOn w:val="Normal"/>
    <w:next w:val="ProvHead2"/>
    <w:rsid w:val="00562BB0"/>
    <w:pPr>
      <w:numPr>
        <w:ilvl w:val="1"/>
        <w:numId w:val="16"/>
      </w:numPr>
      <w:suppressAutoHyphens w:val="0"/>
      <w:kinsoku/>
      <w:overflowPunct/>
      <w:autoSpaceDE/>
      <w:autoSpaceDN/>
      <w:adjustRightInd/>
      <w:snapToGrid/>
      <w:spacing w:before="180" w:line="240" w:lineRule="auto"/>
      <w:jc w:val="center"/>
    </w:pPr>
    <w:rPr>
      <w:b/>
      <w:caps/>
      <w:sz w:val="22"/>
      <w:lang w:val="en-GB" w:eastAsia="de-DE"/>
    </w:rPr>
  </w:style>
  <w:style w:type="paragraph" w:customStyle="1" w:styleId="ProvHead2">
    <w:name w:val="ProvHead2"/>
    <w:basedOn w:val="Normal"/>
    <w:next w:val="ProvHead3"/>
    <w:rsid w:val="00562BB0"/>
    <w:pPr>
      <w:numPr>
        <w:ilvl w:val="2"/>
        <w:numId w:val="16"/>
      </w:numPr>
      <w:tabs>
        <w:tab w:val="clear" w:pos="360"/>
      </w:tabs>
      <w:suppressAutoHyphens w:val="0"/>
      <w:kinsoku/>
      <w:overflowPunct/>
      <w:autoSpaceDE/>
      <w:autoSpaceDN/>
      <w:adjustRightInd/>
      <w:snapToGrid/>
      <w:spacing w:before="180" w:line="240" w:lineRule="auto"/>
      <w:jc w:val="center"/>
    </w:pPr>
    <w:rPr>
      <w:b/>
      <w:sz w:val="22"/>
      <w:u w:val="single"/>
      <w:lang w:val="en-GB" w:eastAsia="de-DE"/>
    </w:rPr>
  </w:style>
  <w:style w:type="paragraph" w:customStyle="1" w:styleId="ProvHead3">
    <w:name w:val="ProvHead3"/>
    <w:basedOn w:val="Normal"/>
    <w:next w:val="Normal"/>
    <w:rsid w:val="00562BB0"/>
    <w:pPr>
      <w:numPr>
        <w:ilvl w:val="3"/>
        <w:numId w:val="16"/>
      </w:numPr>
      <w:tabs>
        <w:tab w:val="clear" w:pos="1440"/>
        <w:tab w:val="num" w:pos="360"/>
      </w:tabs>
      <w:suppressAutoHyphens w:val="0"/>
      <w:kinsoku/>
      <w:overflowPunct/>
      <w:autoSpaceDE/>
      <w:autoSpaceDN/>
      <w:adjustRightInd/>
      <w:snapToGrid/>
      <w:spacing w:before="180" w:line="240" w:lineRule="auto"/>
      <w:ind w:left="0" w:firstLine="0"/>
    </w:pPr>
    <w:rPr>
      <w:b/>
      <w:sz w:val="22"/>
      <w:u w:val="single"/>
      <w:lang w:val="en-GB" w:eastAsia="de-DE"/>
    </w:rPr>
  </w:style>
  <w:style w:type="paragraph" w:styleId="Rvision">
    <w:name w:val="Revision"/>
    <w:hidden/>
    <w:uiPriority w:val="99"/>
    <w:semiHidden/>
    <w:rsid w:val="00562BB0"/>
    <w:pPr>
      <w:spacing w:after="0" w:line="240" w:lineRule="auto"/>
    </w:pPr>
    <w:rPr>
      <w:rFonts w:ascii="Times New Roman" w:eastAsia="SimSun" w:hAnsi="Times New Roman" w:cs="Times New Roman"/>
      <w:sz w:val="20"/>
      <w:szCs w:val="20"/>
      <w:lang w:val="en-GB"/>
    </w:rPr>
  </w:style>
  <w:style w:type="paragraph" w:styleId="NormalWeb">
    <w:name w:val="Normal (Web)"/>
    <w:basedOn w:val="Normal"/>
    <w:uiPriority w:val="99"/>
    <w:unhideWhenUsed/>
    <w:rsid w:val="00562BB0"/>
    <w:pPr>
      <w:suppressAutoHyphens w:val="0"/>
      <w:kinsoku/>
      <w:overflowPunct/>
      <w:autoSpaceDE/>
      <w:autoSpaceDN/>
      <w:adjustRightInd/>
      <w:snapToGrid/>
      <w:spacing w:before="100" w:beforeAutospacing="1" w:after="100" w:afterAutospacing="1" w:line="240" w:lineRule="auto"/>
    </w:pPr>
    <w:rPr>
      <w:sz w:val="24"/>
      <w:szCs w:val="24"/>
      <w:lang w:val="en-US"/>
    </w:rPr>
  </w:style>
  <w:style w:type="paragraph" w:customStyle="1" w:styleId="Default">
    <w:name w:val="Default"/>
    <w:rsid w:val="00562BB0"/>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TM4">
    <w:name w:val="toc 4"/>
    <w:basedOn w:val="Normal"/>
    <w:next w:val="Normal"/>
    <w:autoRedefine/>
    <w:unhideWhenUsed/>
    <w:rsid w:val="00562BB0"/>
    <w:pPr>
      <w:kinsoku/>
      <w:overflowPunct/>
      <w:autoSpaceDE/>
      <w:autoSpaceDN/>
      <w:adjustRightInd/>
      <w:snapToGrid/>
      <w:spacing w:after="100"/>
      <w:ind w:left="600"/>
    </w:pPr>
    <w:rPr>
      <w:rFonts w:eastAsia="SimSun"/>
      <w:lang w:val="en-GB" w:eastAsia="zh-CN"/>
    </w:rPr>
  </w:style>
  <w:style w:type="paragraph" w:styleId="TM5">
    <w:name w:val="toc 5"/>
    <w:basedOn w:val="Normal"/>
    <w:next w:val="Normal"/>
    <w:autoRedefine/>
    <w:unhideWhenUsed/>
    <w:rsid w:val="00562BB0"/>
    <w:pPr>
      <w:kinsoku/>
      <w:overflowPunct/>
      <w:autoSpaceDE/>
      <w:autoSpaceDN/>
      <w:adjustRightInd/>
      <w:snapToGrid/>
      <w:spacing w:after="100"/>
      <w:ind w:left="800"/>
    </w:pPr>
    <w:rPr>
      <w:rFonts w:eastAsia="SimSun"/>
      <w:lang w:val="en-GB" w:eastAsia="zh-CN"/>
    </w:rPr>
  </w:style>
  <w:style w:type="paragraph" w:styleId="TM6">
    <w:name w:val="toc 6"/>
    <w:basedOn w:val="Normal"/>
    <w:next w:val="Normal"/>
    <w:autoRedefine/>
    <w:unhideWhenUsed/>
    <w:rsid w:val="00562BB0"/>
    <w:pPr>
      <w:kinsoku/>
      <w:overflowPunct/>
      <w:autoSpaceDE/>
      <w:autoSpaceDN/>
      <w:adjustRightInd/>
      <w:snapToGrid/>
      <w:spacing w:after="100"/>
      <w:ind w:left="1000"/>
    </w:pPr>
    <w:rPr>
      <w:rFonts w:eastAsia="SimSun"/>
      <w:lang w:val="en-GB" w:eastAsia="zh-CN"/>
    </w:rPr>
  </w:style>
  <w:style w:type="paragraph" w:styleId="TM7">
    <w:name w:val="toc 7"/>
    <w:basedOn w:val="Normal"/>
    <w:next w:val="Normal"/>
    <w:autoRedefine/>
    <w:unhideWhenUsed/>
    <w:rsid w:val="00562BB0"/>
    <w:pPr>
      <w:kinsoku/>
      <w:overflowPunct/>
      <w:autoSpaceDE/>
      <w:autoSpaceDN/>
      <w:adjustRightInd/>
      <w:snapToGrid/>
      <w:spacing w:after="100"/>
      <w:ind w:left="1200"/>
    </w:pPr>
    <w:rPr>
      <w:rFonts w:eastAsia="SimSun"/>
      <w:lang w:val="en-GB" w:eastAsia="zh-CN"/>
    </w:rPr>
  </w:style>
  <w:style w:type="paragraph" w:styleId="TM8">
    <w:name w:val="toc 8"/>
    <w:basedOn w:val="Normal"/>
    <w:next w:val="Normal"/>
    <w:autoRedefine/>
    <w:unhideWhenUsed/>
    <w:rsid w:val="00562BB0"/>
    <w:pPr>
      <w:kinsoku/>
      <w:overflowPunct/>
      <w:autoSpaceDE/>
      <w:autoSpaceDN/>
      <w:adjustRightInd/>
      <w:snapToGrid/>
      <w:spacing w:after="100"/>
      <w:ind w:left="1400"/>
    </w:pPr>
    <w:rPr>
      <w:rFonts w:eastAsia="SimSun"/>
      <w:lang w:val="en-GB" w:eastAsia="zh-CN"/>
    </w:rPr>
  </w:style>
  <w:style w:type="paragraph" w:styleId="TM9">
    <w:name w:val="toc 9"/>
    <w:basedOn w:val="Normal"/>
    <w:next w:val="Normal"/>
    <w:autoRedefine/>
    <w:unhideWhenUsed/>
    <w:rsid w:val="00562BB0"/>
    <w:pPr>
      <w:kinsoku/>
      <w:overflowPunct/>
      <w:autoSpaceDE/>
      <w:autoSpaceDN/>
      <w:adjustRightInd/>
      <w:snapToGrid/>
      <w:spacing w:after="100"/>
      <w:ind w:left="1600"/>
    </w:pPr>
    <w:rPr>
      <w:rFonts w:eastAsia="SimSun"/>
      <w:lang w:val="en-GB" w:eastAsia="zh-CN"/>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Appelnotedebasdep"/>
    <w:uiPriority w:val="99"/>
    <w:rsid w:val="00562BB0"/>
    <w:pPr>
      <w:suppressAutoHyphens w:val="0"/>
      <w:kinsoku/>
      <w:overflowPunct/>
      <w:autoSpaceDE/>
      <w:autoSpaceDN/>
      <w:adjustRightInd/>
      <w:snapToGrid/>
      <w:spacing w:after="160" w:line="240" w:lineRule="exact"/>
    </w:pPr>
    <w:rPr>
      <w:rFonts w:cstheme="minorBidi"/>
      <w:sz w:val="18"/>
      <w:szCs w:val="22"/>
      <w:vertAlign w:val="superscript"/>
      <w:lang w:eastAsia="zh-CN"/>
    </w:rPr>
  </w:style>
  <w:style w:type="character" w:customStyle="1" w:styleId="preferred">
    <w:name w:val="preferred"/>
    <w:basedOn w:val="Policepardfaut"/>
    <w:rsid w:val="00562BB0"/>
  </w:style>
  <w:style w:type="character" w:styleId="Accentuation">
    <w:name w:val="Emphasis"/>
    <w:basedOn w:val="Policepardfaut"/>
    <w:uiPriority w:val="20"/>
    <w:qFormat/>
    <w:rsid w:val="00562BB0"/>
    <w:rPr>
      <w:i/>
      <w:iCs/>
    </w:rPr>
  </w:style>
  <w:style w:type="character" w:customStyle="1" w:styleId="st">
    <w:name w:val="st"/>
    <w:basedOn w:val="Policepardfaut"/>
    <w:rsid w:val="00562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Superscript,BVI fnr,16 Point,Superscript 6 Point,Footnote Reference Number,Footnote Reference_LVL6,Footnote Reference_LVL61,Footnote Reference_LVL62,Footnote Reference_LVL63,Footnote Reference_LVL64"/>
    <w:basedOn w:val="Policepardfaut"/>
    <w:link w:val="BVIfnrCharCharCharChar"/>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uiPriority w:val="99"/>
    <w:rsid w:val="00562BB0"/>
    <w:rPr>
      <w:sz w:val="16"/>
      <w:szCs w:val="16"/>
    </w:rPr>
  </w:style>
  <w:style w:type="paragraph" w:styleId="Commentaire">
    <w:name w:val="annotation text"/>
    <w:basedOn w:val="Normal"/>
    <w:link w:val="CommentaireCar"/>
    <w:uiPriority w:val="99"/>
    <w:rsid w:val="00562BB0"/>
    <w:rPr>
      <w:rFonts w:eastAsia="Calibri"/>
      <w:sz w:val="24"/>
    </w:rPr>
  </w:style>
  <w:style w:type="character" w:customStyle="1" w:styleId="CommentaireCar">
    <w:name w:val="Commentaire Car"/>
    <w:basedOn w:val="Policepardfaut"/>
    <w:link w:val="Commentaire"/>
    <w:uiPriority w:val="99"/>
    <w:rsid w:val="00562BB0"/>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562BB0"/>
    <w:rPr>
      <w:b/>
      <w:bCs/>
    </w:rPr>
  </w:style>
  <w:style w:type="character" w:customStyle="1" w:styleId="ObjetducommentaireCar">
    <w:name w:val="Objet du commentaire Car"/>
    <w:basedOn w:val="CommentaireCar"/>
    <w:link w:val="Objetducommentaire"/>
    <w:rsid w:val="00562BB0"/>
    <w:rPr>
      <w:rFonts w:ascii="Times New Roman" w:eastAsia="Calibri" w:hAnsi="Times New Roman" w:cs="Times New Roman"/>
      <w:b/>
      <w:bCs/>
      <w:sz w:val="24"/>
      <w:szCs w:val="20"/>
      <w:lang w:eastAsia="en-US"/>
    </w:rPr>
  </w:style>
  <w:style w:type="paragraph" w:customStyle="1" w:styleId="FootnoteTable">
    <w:name w:val="Footnote Table"/>
    <w:basedOn w:val="Normal"/>
    <w:rsid w:val="00562BB0"/>
    <w:pPr>
      <w:kinsoku/>
      <w:overflowPunct/>
      <w:autoSpaceDE/>
      <w:autoSpaceDN/>
      <w:adjustRightInd/>
      <w:snapToGrid/>
      <w:spacing w:line="220" w:lineRule="exact"/>
      <w:jc w:val="both"/>
    </w:pPr>
    <w:rPr>
      <w:rFonts w:eastAsia="SimSun"/>
      <w:sz w:val="18"/>
      <w:lang w:val="en-GB" w:eastAsia="zh-CN"/>
    </w:rPr>
  </w:style>
  <w:style w:type="paragraph" w:customStyle="1" w:styleId="RegHChG">
    <w:name w:val="Reg_H__Ch_G"/>
    <w:basedOn w:val="Normal"/>
    <w:next w:val="RegH1G"/>
    <w:rsid w:val="00562BB0"/>
    <w:pPr>
      <w:keepNext/>
      <w:keepLines/>
      <w:tabs>
        <w:tab w:val="num" w:pos="1135"/>
      </w:tabs>
      <w:kinsoku/>
      <w:overflowPunct/>
      <w:autoSpaceDE/>
      <w:autoSpaceDN/>
      <w:adjustRightInd/>
      <w:snapToGrid/>
      <w:spacing w:before="360" w:after="240" w:line="300" w:lineRule="exact"/>
      <w:ind w:left="1135" w:right="1134" w:hanging="284"/>
    </w:pPr>
    <w:rPr>
      <w:rFonts w:eastAsia="SimSun"/>
      <w:b/>
      <w:sz w:val="28"/>
      <w:lang w:val="en-GB" w:eastAsia="zh-CN"/>
    </w:rPr>
  </w:style>
  <w:style w:type="paragraph" w:customStyle="1" w:styleId="RegH1G">
    <w:name w:val="Reg_H_1_G"/>
    <w:basedOn w:val="Normal"/>
    <w:next w:val="RegH23G"/>
    <w:rsid w:val="00562BB0"/>
    <w:pPr>
      <w:keepNext/>
      <w:keepLines/>
      <w:tabs>
        <w:tab w:val="num" w:pos="1135"/>
      </w:tabs>
      <w:kinsoku/>
      <w:overflowPunct/>
      <w:autoSpaceDE/>
      <w:autoSpaceDN/>
      <w:adjustRightInd/>
      <w:snapToGrid/>
      <w:spacing w:before="360" w:after="240" w:line="270" w:lineRule="exact"/>
      <w:ind w:left="1135" w:right="1134" w:hanging="284"/>
    </w:pPr>
    <w:rPr>
      <w:rFonts w:eastAsia="SimSun"/>
      <w:b/>
      <w:sz w:val="24"/>
      <w:lang w:val="en-GB" w:eastAsia="zh-CN"/>
    </w:rPr>
  </w:style>
  <w:style w:type="paragraph" w:customStyle="1" w:styleId="RegH23G">
    <w:name w:val="Reg_H_2/3_G"/>
    <w:basedOn w:val="Normal"/>
    <w:next w:val="RegH4G"/>
    <w:rsid w:val="00562BB0"/>
    <w:pPr>
      <w:keepNext/>
      <w:keepLines/>
      <w:tabs>
        <w:tab w:val="num" w:pos="1135"/>
      </w:tabs>
      <w:kinsoku/>
      <w:overflowPunct/>
      <w:autoSpaceDE/>
      <w:autoSpaceDN/>
      <w:adjustRightInd/>
      <w:snapToGrid/>
      <w:spacing w:before="240" w:after="120" w:line="240" w:lineRule="exact"/>
      <w:ind w:left="1135" w:right="1134" w:hanging="284"/>
    </w:pPr>
    <w:rPr>
      <w:rFonts w:eastAsia="SimSun"/>
      <w:b/>
      <w:lang w:val="en-GB" w:eastAsia="zh-CN"/>
    </w:rPr>
  </w:style>
  <w:style w:type="paragraph" w:customStyle="1" w:styleId="RegSingleTxtG">
    <w:name w:val="Reg_Single Txt_G"/>
    <w:basedOn w:val="Normal"/>
    <w:rsid w:val="00562BB0"/>
    <w:pPr>
      <w:tabs>
        <w:tab w:val="left" w:pos="1701"/>
      </w:tabs>
      <w:kinsoku/>
      <w:overflowPunct/>
      <w:autoSpaceDE/>
      <w:autoSpaceDN/>
      <w:adjustRightInd/>
      <w:snapToGrid/>
      <w:spacing w:after="120"/>
      <w:ind w:left="1134" w:right="1134"/>
      <w:jc w:val="both"/>
    </w:pPr>
    <w:rPr>
      <w:rFonts w:eastAsia="SimSun"/>
      <w:lang w:val="en-GB" w:eastAsia="zh-CN"/>
    </w:rPr>
  </w:style>
  <w:style w:type="paragraph" w:styleId="TM1">
    <w:name w:val="toc 1"/>
    <w:basedOn w:val="Normal"/>
    <w:next w:val="Normal"/>
    <w:autoRedefine/>
    <w:uiPriority w:val="39"/>
    <w:rsid w:val="00562BB0"/>
    <w:pPr>
      <w:tabs>
        <w:tab w:val="right" w:pos="851"/>
        <w:tab w:val="left" w:pos="1134"/>
        <w:tab w:val="left" w:pos="1559"/>
        <w:tab w:val="left" w:pos="1985"/>
        <w:tab w:val="left" w:leader="dot" w:pos="7655"/>
        <w:tab w:val="right" w:pos="8930"/>
        <w:tab w:val="right" w:pos="9639"/>
      </w:tabs>
      <w:kinsoku/>
      <w:overflowPunct/>
      <w:autoSpaceDE/>
      <w:autoSpaceDN/>
      <w:adjustRightInd/>
      <w:snapToGrid/>
      <w:spacing w:after="120"/>
    </w:pPr>
    <w:rPr>
      <w:rFonts w:eastAsia="SimSun"/>
      <w:lang w:val="en-GB" w:eastAsia="zh-CN"/>
    </w:rPr>
  </w:style>
  <w:style w:type="paragraph" w:styleId="TM2">
    <w:name w:val="toc 2"/>
    <w:basedOn w:val="Normal"/>
    <w:next w:val="Normal"/>
    <w:autoRedefine/>
    <w:uiPriority w:val="39"/>
    <w:rsid w:val="00562BB0"/>
    <w:pPr>
      <w:tabs>
        <w:tab w:val="right" w:pos="851"/>
        <w:tab w:val="left" w:pos="1134"/>
        <w:tab w:val="left" w:pos="1559"/>
        <w:tab w:val="left" w:pos="1985"/>
        <w:tab w:val="left" w:leader="dot" w:pos="7655"/>
        <w:tab w:val="right" w:pos="8930"/>
        <w:tab w:val="right" w:pos="9639"/>
      </w:tabs>
      <w:kinsoku/>
      <w:overflowPunct/>
      <w:autoSpaceDE/>
      <w:autoSpaceDN/>
      <w:adjustRightInd/>
      <w:snapToGrid/>
      <w:spacing w:after="120"/>
    </w:pPr>
    <w:rPr>
      <w:rFonts w:eastAsia="SimSun"/>
      <w:lang w:val="en-GB" w:eastAsia="zh-CN"/>
    </w:rPr>
  </w:style>
  <w:style w:type="paragraph" w:styleId="TM3">
    <w:name w:val="toc 3"/>
    <w:basedOn w:val="Normal"/>
    <w:next w:val="Normal"/>
    <w:autoRedefine/>
    <w:rsid w:val="00562BB0"/>
    <w:pPr>
      <w:tabs>
        <w:tab w:val="right" w:pos="851"/>
        <w:tab w:val="left" w:pos="1134"/>
        <w:tab w:val="left" w:pos="1559"/>
        <w:tab w:val="left" w:pos="1985"/>
        <w:tab w:val="left" w:leader="dot" w:pos="7655"/>
        <w:tab w:val="right" w:pos="8930"/>
        <w:tab w:val="right" w:pos="9639"/>
      </w:tabs>
      <w:kinsoku/>
      <w:overflowPunct/>
      <w:autoSpaceDE/>
      <w:autoSpaceDN/>
      <w:adjustRightInd/>
      <w:snapToGrid/>
      <w:spacing w:after="120"/>
    </w:pPr>
    <w:rPr>
      <w:rFonts w:eastAsia="SimSun"/>
      <w:lang w:val="en-GB" w:eastAsia="zh-CN"/>
    </w:rPr>
  </w:style>
  <w:style w:type="paragraph" w:styleId="Paragraphedeliste">
    <w:name w:val="List Paragraph"/>
    <w:basedOn w:val="Normal"/>
    <w:uiPriority w:val="34"/>
    <w:qFormat/>
    <w:rsid w:val="00562BB0"/>
    <w:pPr>
      <w:kinsoku/>
      <w:overflowPunct/>
      <w:autoSpaceDE/>
      <w:autoSpaceDN/>
      <w:adjustRightInd/>
      <w:snapToGrid/>
      <w:ind w:left="720"/>
      <w:contextualSpacing/>
    </w:pPr>
    <w:rPr>
      <w:rFonts w:eastAsia="SimSun"/>
      <w:lang w:val="en-GB" w:eastAsia="zh-CN"/>
    </w:rPr>
  </w:style>
  <w:style w:type="paragraph" w:customStyle="1" w:styleId="ListParagraphforAnnexes">
    <w:name w:val="List Paragraph for Annexes"/>
    <w:basedOn w:val="Paragraphedeliste"/>
    <w:qFormat/>
    <w:rsid w:val="00562BB0"/>
    <w:pPr>
      <w:spacing w:before="120" w:after="120" w:line="240" w:lineRule="exact"/>
      <w:contextualSpacing w:val="0"/>
    </w:pPr>
  </w:style>
  <w:style w:type="paragraph" w:customStyle="1" w:styleId="RegH4G">
    <w:name w:val="Reg_H_4_G"/>
    <w:basedOn w:val="RegH23G"/>
    <w:next w:val="RegH5G"/>
    <w:qFormat/>
    <w:rsid w:val="00562BB0"/>
    <w:pPr>
      <w:tabs>
        <w:tab w:val="clear" w:pos="1135"/>
        <w:tab w:val="num" w:pos="1134"/>
      </w:tabs>
    </w:pPr>
  </w:style>
  <w:style w:type="paragraph" w:customStyle="1" w:styleId="RegH5G">
    <w:name w:val="Reg_H_5_G"/>
    <w:basedOn w:val="RegH4G"/>
    <w:qFormat/>
    <w:rsid w:val="00562BB0"/>
    <w:rPr>
      <w:b w:val="0"/>
      <w:i/>
    </w:rPr>
  </w:style>
  <w:style w:type="paragraph" w:customStyle="1" w:styleId="TableFootnote">
    <w:name w:val="TableFootnote"/>
    <w:basedOn w:val="FootnoteTable"/>
    <w:qFormat/>
    <w:rsid w:val="00562BB0"/>
    <w:pPr>
      <w:ind w:left="1134"/>
    </w:pPr>
  </w:style>
  <w:style w:type="paragraph" w:customStyle="1" w:styleId="RegSingleTxtG2">
    <w:name w:val="Reg_Single Txt_G2"/>
    <w:basedOn w:val="RegSingleTxtG"/>
    <w:qFormat/>
    <w:rsid w:val="00562BB0"/>
    <w:pPr>
      <w:tabs>
        <w:tab w:val="clear" w:pos="1701"/>
      </w:tabs>
      <w:ind w:firstLine="567"/>
    </w:pPr>
  </w:style>
  <w:style w:type="paragraph" w:customStyle="1" w:styleId="RegSingleTxtG3">
    <w:name w:val="Reg_Single Txt_G3"/>
    <w:basedOn w:val="RegSingleTxtG"/>
    <w:qFormat/>
    <w:rsid w:val="00562BB0"/>
    <w:pPr>
      <w:ind w:left="1701"/>
    </w:pPr>
  </w:style>
  <w:style w:type="table" w:customStyle="1" w:styleId="Grilledutableau1">
    <w:name w:val="Grille du tableau1"/>
    <w:basedOn w:val="TableauNormal"/>
    <w:next w:val="Grilledutableau"/>
    <w:rsid w:val="00562BB0"/>
    <w:pPr>
      <w:spacing w:after="0" w:line="240" w:lineRule="auto"/>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Pieddepage"/>
    <w:rsid w:val="00562BB0"/>
    <w:pPr>
      <w:numPr>
        <w:numId w:val="16"/>
      </w:numPr>
      <w:tabs>
        <w:tab w:val="num" w:pos="360"/>
      </w:tabs>
      <w:suppressAutoHyphens w:val="0"/>
      <w:kinsoku/>
      <w:overflowPunct/>
      <w:autoSpaceDE/>
      <w:autoSpaceDN/>
      <w:adjustRightInd/>
      <w:snapToGrid/>
      <w:jc w:val="center"/>
    </w:pPr>
    <w:rPr>
      <w:b/>
      <w:sz w:val="24"/>
      <w:szCs w:val="24"/>
      <w:lang w:val="en-US" w:eastAsia="de-DE"/>
    </w:rPr>
  </w:style>
  <w:style w:type="paragraph" w:customStyle="1" w:styleId="ProvHead1">
    <w:name w:val="ProvHead1"/>
    <w:basedOn w:val="Normal"/>
    <w:next w:val="ProvHead2"/>
    <w:rsid w:val="00562BB0"/>
    <w:pPr>
      <w:numPr>
        <w:ilvl w:val="1"/>
        <w:numId w:val="16"/>
      </w:numPr>
      <w:suppressAutoHyphens w:val="0"/>
      <w:kinsoku/>
      <w:overflowPunct/>
      <w:autoSpaceDE/>
      <w:autoSpaceDN/>
      <w:adjustRightInd/>
      <w:snapToGrid/>
      <w:spacing w:before="180" w:line="240" w:lineRule="auto"/>
      <w:jc w:val="center"/>
    </w:pPr>
    <w:rPr>
      <w:b/>
      <w:caps/>
      <w:sz w:val="22"/>
      <w:lang w:val="en-GB" w:eastAsia="de-DE"/>
    </w:rPr>
  </w:style>
  <w:style w:type="paragraph" w:customStyle="1" w:styleId="ProvHead2">
    <w:name w:val="ProvHead2"/>
    <w:basedOn w:val="Normal"/>
    <w:next w:val="ProvHead3"/>
    <w:rsid w:val="00562BB0"/>
    <w:pPr>
      <w:numPr>
        <w:ilvl w:val="2"/>
        <w:numId w:val="16"/>
      </w:numPr>
      <w:tabs>
        <w:tab w:val="clear" w:pos="360"/>
      </w:tabs>
      <w:suppressAutoHyphens w:val="0"/>
      <w:kinsoku/>
      <w:overflowPunct/>
      <w:autoSpaceDE/>
      <w:autoSpaceDN/>
      <w:adjustRightInd/>
      <w:snapToGrid/>
      <w:spacing w:before="180" w:line="240" w:lineRule="auto"/>
      <w:jc w:val="center"/>
    </w:pPr>
    <w:rPr>
      <w:b/>
      <w:sz w:val="22"/>
      <w:u w:val="single"/>
      <w:lang w:val="en-GB" w:eastAsia="de-DE"/>
    </w:rPr>
  </w:style>
  <w:style w:type="paragraph" w:customStyle="1" w:styleId="ProvHead3">
    <w:name w:val="ProvHead3"/>
    <w:basedOn w:val="Normal"/>
    <w:next w:val="Normal"/>
    <w:rsid w:val="00562BB0"/>
    <w:pPr>
      <w:numPr>
        <w:ilvl w:val="3"/>
        <w:numId w:val="16"/>
      </w:numPr>
      <w:tabs>
        <w:tab w:val="clear" w:pos="1440"/>
        <w:tab w:val="num" w:pos="360"/>
      </w:tabs>
      <w:suppressAutoHyphens w:val="0"/>
      <w:kinsoku/>
      <w:overflowPunct/>
      <w:autoSpaceDE/>
      <w:autoSpaceDN/>
      <w:adjustRightInd/>
      <w:snapToGrid/>
      <w:spacing w:before="180" w:line="240" w:lineRule="auto"/>
      <w:ind w:left="0" w:firstLine="0"/>
    </w:pPr>
    <w:rPr>
      <w:b/>
      <w:sz w:val="22"/>
      <w:u w:val="single"/>
      <w:lang w:val="en-GB" w:eastAsia="de-DE"/>
    </w:rPr>
  </w:style>
  <w:style w:type="paragraph" w:styleId="Rvision">
    <w:name w:val="Revision"/>
    <w:hidden/>
    <w:uiPriority w:val="99"/>
    <w:semiHidden/>
    <w:rsid w:val="00562BB0"/>
    <w:pPr>
      <w:spacing w:after="0" w:line="240" w:lineRule="auto"/>
    </w:pPr>
    <w:rPr>
      <w:rFonts w:ascii="Times New Roman" w:eastAsia="SimSun" w:hAnsi="Times New Roman" w:cs="Times New Roman"/>
      <w:sz w:val="20"/>
      <w:szCs w:val="20"/>
      <w:lang w:val="en-GB"/>
    </w:rPr>
  </w:style>
  <w:style w:type="paragraph" w:styleId="NormalWeb">
    <w:name w:val="Normal (Web)"/>
    <w:basedOn w:val="Normal"/>
    <w:uiPriority w:val="99"/>
    <w:unhideWhenUsed/>
    <w:rsid w:val="00562BB0"/>
    <w:pPr>
      <w:suppressAutoHyphens w:val="0"/>
      <w:kinsoku/>
      <w:overflowPunct/>
      <w:autoSpaceDE/>
      <w:autoSpaceDN/>
      <w:adjustRightInd/>
      <w:snapToGrid/>
      <w:spacing w:before="100" w:beforeAutospacing="1" w:after="100" w:afterAutospacing="1" w:line="240" w:lineRule="auto"/>
    </w:pPr>
    <w:rPr>
      <w:sz w:val="24"/>
      <w:szCs w:val="24"/>
      <w:lang w:val="en-US"/>
    </w:rPr>
  </w:style>
  <w:style w:type="paragraph" w:customStyle="1" w:styleId="Default">
    <w:name w:val="Default"/>
    <w:rsid w:val="00562BB0"/>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TM4">
    <w:name w:val="toc 4"/>
    <w:basedOn w:val="Normal"/>
    <w:next w:val="Normal"/>
    <w:autoRedefine/>
    <w:unhideWhenUsed/>
    <w:rsid w:val="00562BB0"/>
    <w:pPr>
      <w:kinsoku/>
      <w:overflowPunct/>
      <w:autoSpaceDE/>
      <w:autoSpaceDN/>
      <w:adjustRightInd/>
      <w:snapToGrid/>
      <w:spacing w:after="100"/>
      <w:ind w:left="600"/>
    </w:pPr>
    <w:rPr>
      <w:rFonts w:eastAsia="SimSun"/>
      <w:lang w:val="en-GB" w:eastAsia="zh-CN"/>
    </w:rPr>
  </w:style>
  <w:style w:type="paragraph" w:styleId="TM5">
    <w:name w:val="toc 5"/>
    <w:basedOn w:val="Normal"/>
    <w:next w:val="Normal"/>
    <w:autoRedefine/>
    <w:unhideWhenUsed/>
    <w:rsid w:val="00562BB0"/>
    <w:pPr>
      <w:kinsoku/>
      <w:overflowPunct/>
      <w:autoSpaceDE/>
      <w:autoSpaceDN/>
      <w:adjustRightInd/>
      <w:snapToGrid/>
      <w:spacing w:after="100"/>
      <w:ind w:left="800"/>
    </w:pPr>
    <w:rPr>
      <w:rFonts w:eastAsia="SimSun"/>
      <w:lang w:val="en-GB" w:eastAsia="zh-CN"/>
    </w:rPr>
  </w:style>
  <w:style w:type="paragraph" w:styleId="TM6">
    <w:name w:val="toc 6"/>
    <w:basedOn w:val="Normal"/>
    <w:next w:val="Normal"/>
    <w:autoRedefine/>
    <w:unhideWhenUsed/>
    <w:rsid w:val="00562BB0"/>
    <w:pPr>
      <w:kinsoku/>
      <w:overflowPunct/>
      <w:autoSpaceDE/>
      <w:autoSpaceDN/>
      <w:adjustRightInd/>
      <w:snapToGrid/>
      <w:spacing w:after="100"/>
      <w:ind w:left="1000"/>
    </w:pPr>
    <w:rPr>
      <w:rFonts w:eastAsia="SimSun"/>
      <w:lang w:val="en-GB" w:eastAsia="zh-CN"/>
    </w:rPr>
  </w:style>
  <w:style w:type="paragraph" w:styleId="TM7">
    <w:name w:val="toc 7"/>
    <w:basedOn w:val="Normal"/>
    <w:next w:val="Normal"/>
    <w:autoRedefine/>
    <w:unhideWhenUsed/>
    <w:rsid w:val="00562BB0"/>
    <w:pPr>
      <w:kinsoku/>
      <w:overflowPunct/>
      <w:autoSpaceDE/>
      <w:autoSpaceDN/>
      <w:adjustRightInd/>
      <w:snapToGrid/>
      <w:spacing w:after="100"/>
      <w:ind w:left="1200"/>
    </w:pPr>
    <w:rPr>
      <w:rFonts w:eastAsia="SimSun"/>
      <w:lang w:val="en-GB" w:eastAsia="zh-CN"/>
    </w:rPr>
  </w:style>
  <w:style w:type="paragraph" w:styleId="TM8">
    <w:name w:val="toc 8"/>
    <w:basedOn w:val="Normal"/>
    <w:next w:val="Normal"/>
    <w:autoRedefine/>
    <w:unhideWhenUsed/>
    <w:rsid w:val="00562BB0"/>
    <w:pPr>
      <w:kinsoku/>
      <w:overflowPunct/>
      <w:autoSpaceDE/>
      <w:autoSpaceDN/>
      <w:adjustRightInd/>
      <w:snapToGrid/>
      <w:spacing w:after="100"/>
      <w:ind w:left="1400"/>
    </w:pPr>
    <w:rPr>
      <w:rFonts w:eastAsia="SimSun"/>
      <w:lang w:val="en-GB" w:eastAsia="zh-CN"/>
    </w:rPr>
  </w:style>
  <w:style w:type="paragraph" w:styleId="TM9">
    <w:name w:val="toc 9"/>
    <w:basedOn w:val="Normal"/>
    <w:next w:val="Normal"/>
    <w:autoRedefine/>
    <w:unhideWhenUsed/>
    <w:rsid w:val="00562BB0"/>
    <w:pPr>
      <w:kinsoku/>
      <w:overflowPunct/>
      <w:autoSpaceDE/>
      <w:autoSpaceDN/>
      <w:adjustRightInd/>
      <w:snapToGrid/>
      <w:spacing w:after="100"/>
      <w:ind w:left="1600"/>
    </w:pPr>
    <w:rPr>
      <w:rFonts w:eastAsia="SimSun"/>
      <w:lang w:val="en-GB" w:eastAsia="zh-CN"/>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Appelnotedebasdep"/>
    <w:uiPriority w:val="99"/>
    <w:rsid w:val="00562BB0"/>
    <w:pPr>
      <w:suppressAutoHyphens w:val="0"/>
      <w:kinsoku/>
      <w:overflowPunct/>
      <w:autoSpaceDE/>
      <w:autoSpaceDN/>
      <w:adjustRightInd/>
      <w:snapToGrid/>
      <w:spacing w:after="160" w:line="240" w:lineRule="exact"/>
    </w:pPr>
    <w:rPr>
      <w:rFonts w:cstheme="minorBidi"/>
      <w:sz w:val="18"/>
      <w:szCs w:val="22"/>
      <w:vertAlign w:val="superscript"/>
      <w:lang w:eastAsia="zh-CN"/>
    </w:rPr>
  </w:style>
  <w:style w:type="character" w:customStyle="1" w:styleId="preferred">
    <w:name w:val="preferred"/>
    <w:basedOn w:val="Policepardfaut"/>
    <w:rsid w:val="00562BB0"/>
  </w:style>
  <w:style w:type="character" w:styleId="Accentuation">
    <w:name w:val="Emphasis"/>
    <w:basedOn w:val="Policepardfaut"/>
    <w:uiPriority w:val="20"/>
    <w:qFormat/>
    <w:rsid w:val="00562BB0"/>
    <w:rPr>
      <w:i/>
      <w:iCs/>
    </w:rPr>
  </w:style>
  <w:style w:type="character" w:customStyle="1" w:styleId="st">
    <w:name w:val="st"/>
    <w:basedOn w:val="Policepardfaut"/>
    <w:rsid w:val="0056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6532</Words>
  <Characters>35926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CRPD/C/MDA/CO/1</vt:lpstr>
    </vt:vector>
  </TitlesOfParts>
  <Company>DCM</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CRPD/C/MDA/CO/1</dc:title>
  <dc:creator>C. Chautagnat</dc:creator>
  <cp:lastModifiedBy>C. Chautagnat</cp:lastModifiedBy>
  <cp:revision>3</cp:revision>
  <cp:lastPrinted>2017-06-28T12:26:00Z</cp:lastPrinted>
  <dcterms:created xsi:type="dcterms:W3CDTF">2017-06-28T12:26:00Z</dcterms:created>
  <dcterms:modified xsi:type="dcterms:W3CDTF">2017-06-28T12:26:00Z</dcterms:modified>
</cp:coreProperties>
</file>