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3E37" w14:textId="77777777" w:rsidR="007F1AA5" w:rsidRDefault="007F1AA5" w:rsidP="007F1AA5">
      <w:pPr>
        <w:spacing w:line="60" w:lineRule="exact"/>
        <w:rPr>
          <w:color w:val="010000"/>
          <w:sz w:val="2"/>
        </w:rPr>
        <w:sectPr w:rsidR="007F1AA5" w:rsidSect="00711AA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0C7EED90" w14:textId="73F5A1BF" w:rsidR="00711AA7" w:rsidRDefault="00711AA7" w:rsidP="00711A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71A6">
        <w:t>Комитет по ликвидации дискриминации в отношении женщин</w:t>
      </w:r>
    </w:p>
    <w:p w14:paraId="314B02AA" w14:textId="25B20B5A" w:rsidR="00711AA7" w:rsidRPr="00711AA7" w:rsidRDefault="00711AA7" w:rsidP="00711AA7">
      <w:pPr>
        <w:pStyle w:val="SingleTxt"/>
        <w:spacing w:after="0" w:line="120" w:lineRule="exact"/>
        <w:rPr>
          <w:sz w:val="10"/>
        </w:rPr>
      </w:pPr>
    </w:p>
    <w:p w14:paraId="3A6A3C22" w14:textId="1891C649" w:rsidR="00711AA7" w:rsidRPr="00711AA7" w:rsidRDefault="00711AA7" w:rsidP="00711AA7">
      <w:pPr>
        <w:pStyle w:val="SingleTxt"/>
        <w:spacing w:after="0" w:line="120" w:lineRule="exact"/>
        <w:rPr>
          <w:sz w:val="10"/>
        </w:rPr>
      </w:pPr>
    </w:p>
    <w:p w14:paraId="2B70A182" w14:textId="1AF0BA8A" w:rsidR="00711AA7" w:rsidRPr="00711AA7" w:rsidRDefault="00711AA7" w:rsidP="00711AA7">
      <w:pPr>
        <w:pStyle w:val="SingleTxt"/>
        <w:spacing w:after="0" w:line="120" w:lineRule="exact"/>
        <w:rPr>
          <w:sz w:val="10"/>
        </w:rPr>
      </w:pPr>
    </w:p>
    <w:p w14:paraId="65FAA958" w14:textId="52A3A1CB" w:rsidR="00711AA7" w:rsidRDefault="00711AA7" w:rsidP="00711AA7">
      <w:pPr>
        <w:pStyle w:val="TitleH1"/>
        <w:rPr>
          <w:sz w:val="28"/>
          <w:szCs w:val="40"/>
        </w:rPr>
      </w:pPr>
      <w:r>
        <w:tab/>
      </w:r>
      <w:r>
        <w:tab/>
      </w:r>
      <w:r w:rsidRPr="006271A6">
        <w:t>Мнения в отношении сообщения № 88/2015, принятые Комитетом в соответствии пунктом 3 статьи 7 Факультативного протокола</w:t>
      </w:r>
      <w:r w:rsidRPr="00711AA7">
        <w:rPr>
          <w:rStyle w:val="FootnoteReference"/>
          <w:b w:val="0"/>
          <w:sz w:val="20"/>
          <w:szCs w:val="40"/>
        </w:rPr>
        <w:footnoteReference w:customMarkFollows="1" w:id="1"/>
        <w:t>*</w:t>
      </w:r>
      <w:r w:rsidRPr="006271A6">
        <w:rPr>
          <w:vertAlign w:val="superscript"/>
        </w:rPr>
        <w:t>,</w:t>
      </w:r>
      <w:r w:rsidRPr="00711AA7">
        <w:rPr>
          <w:rStyle w:val="FootnoteReference"/>
          <w:b w:val="0"/>
          <w:sz w:val="20"/>
          <w:szCs w:val="40"/>
        </w:rPr>
        <w:footnoteReference w:customMarkFollows="1" w:id="2"/>
        <w:t>**</w:t>
      </w:r>
      <w:bookmarkStart w:id="1" w:name="_Hlk512605771"/>
      <w:bookmarkEnd w:id="1"/>
    </w:p>
    <w:p w14:paraId="6A82DA09" w14:textId="743FD6FD" w:rsidR="00711AA7" w:rsidRPr="00711AA7" w:rsidRDefault="00711AA7" w:rsidP="00711AA7">
      <w:pPr>
        <w:pStyle w:val="SingleTxt"/>
        <w:spacing w:after="0" w:line="120" w:lineRule="exact"/>
        <w:rPr>
          <w:sz w:val="10"/>
        </w:rPr>
      </w:pPr>
    </w:p>
    <w:p w14:paraId="50279FF2" w14:textId="1B2FE075" w:rsidR="00711AA7" w:rsidRPr="00711AA7" w:rsidRDefault="00711AA7" w:rsidP="00711AA7">
      <w:pPr>
        <w:pStyle w:val="SingleTxt"/>
        <w:spacing w:after="0" w:line="120" w:lineRule="exact"/>
        <w:rPr>
          <w:sz w:val="10"/>
        </w:rPr>
      </w:pPr>
    </w:p>
    <w:tbl>
      <w:tblPr>
        <w:tblW w:w="0" w:type="auto"/>
        <w:tblInd w:w="1276" w:type="dxa"/>
        <w:tblLayout w:type="fixed"/>
        <w:tblCellMar>
          <w:left w:w="0" w:type="dxa"/>
          <w:right w:w="0" w:type="dxa"/>
        </w:tblCellMar>
        <w:tblLook w:val="0000" w:firstRow="0" w:lastRow="0" w:firstColumn="0" w:lastColumn="0" w:noHBand="0" w:noVBand="0"/>
      </w:tblPr>
      <w:tblGrid>
        <w:gridCol w:w="2684"/>
        <w:gridCol w:w="4620"/>
      </w:tblGrid>
      <w:tr w:rsidR="00711AA7" w:rsidRPr="00CB3781" w14:paraId="7C99C6B9" w14:textId="77777777" w:rsidTr="00711AA7">
        <w:tc>
          <w:tcPr>
            <w:tcW w:w="2684" w:type="dxa"/>
            <w:shd w:val="clear" w:color="auto" w:fill="auto"/>
          </w:tcPr>
          <w:p w14:paraId="5C3F85E2" w14:textId="77777777" w:rsidR="00711AA7" w:rsidRPr="006271A6" w:rsidRDefault="00711AA7" w:rsidP="004B3A19">
            <w:pPr>
              <w:spacing w:before="40" w:after="80"/>
              <w:rPr>
                <w:i/>
              </w:rPr>
            </w:pPr>
            <w:r w:rsidRPr="006271A6">
              <w:rPr>
                <w:i/>
                <w:iCs/>
              </w:rPr>
              <w:t>Сообщение представлено</w:t>
            </w:r>
            <w:r w:rsidRPr="006271A6">
              <w:t>:</w:t>
            </w:r>
          </w:p>
        </w:tc>
        <w:tc>
          <w:tcPr>
            <w:tcW w:w="4620" w:type="dxa"/>
            <w:shd w:val="clear" w:color="auto" w:fill="auto"/>
          </w:tcPr>
          <w:p w14:paraId="0C00250B" w14:textId="77777777" w:rsidR="00711AA7" w:rsidRPr="006271A6" w:rsidRDefault="00711AA7" w:rsidP="004B3A19">
            <w:pPr>
              <w:tabs>
                <w:tab w:val="left" w:pos="288"/>
                <w:tab w:val="left" w:pos="576"/>
                <w:tab w:val="left" w:pos="864"/>
                <w:tab w:val="left" w:pos="1152"/>
              </w:tabs>
              <w:spacing w:before="40" w:after="80"/>
              <w:ind w:left="144" w:right="43"/>
            </w:pPr>
            <w:r w:rsidRPr="006271A6">
              <w:t xml:space="preserve">X. (через сотрудника организации </w:t>
            </w:r>
            <w:r>
              <w:t>«</w:t>
            </w:r>
            <w:r w:rsidRPr="006271A6">
              <w:t>Юридическая помощь женщин</w:t>
            </w:r>
            <w:r>
              <w:t>ам</w:t>
            </w:r>
            <w:r w:rsidRPr="006271A6">
              <w:t xml:space="preserve"> и дет</w:t>
            </w:r>
            <w:r>
              <w:t>ям»</w:t>
            </w:r>
            <w:r w:rsidRPr="006271A6">
              <w:t xml:space="preserve"> (Asisténsia Legál ba Feto no Labarik))</w:t>
            </w:r>
          </w:p>
        </w:tc>
      </w:tr>
      <w:tr w:rsidR="00711AA7" w:rsidRPr="006271A6" w14:paraId="54300DD3" w14:textId="77777777" w:rsidTr="00711AA7">
        <w:tc>
          <w:tcPr>
            <w:tcW w:w="2684" w:type="dxa"/>
            <w:shd w:val="clear" w:color="auto" w:fill="auto"/>
          </w:tcPr>
          <w:p w14:paraId="32699C19" w14:textId="77777777" w:rsidR="00711AA7" w:rsidRPr="006271A6" w:rsidRDefault="00711AA7" w:rsidP="004B3A19">
            <w:pPr>
              <w:tabs>
                <w:tab w:val="left" w:pos="288"/>
                <w:tab w:val="left" w:pos="576"/>
                <w:tab w:val="left" w:pos="864"/>
                <w:tab w:val="left" w:pos="1152"/>
              </w:tabs>
              <w:spacing w:before="40" w:after="80"/>
              <w:ind w:right="43"/>
              <w:rPr>
                <w:i/>
              </w:rPr>
            </w:pPr>
            <w:r w:rsidRPr="006271A6">
              <w:rPr>
                <w:i/>
                <w:iCs/>
              </w:rPr>
              <w:t>Предполагаемая жертва</w:t>
            </w:r>
            <w:r w:rsidRPr="006271A6">
              <w:t>:</w:t>
            </w:r>
          </w:p>
        </w:tc>
        <w:tc>
          <w:tcPr>
            <w:tcW w:w="4620" w:type="dxa"/>
            <w:shd w:val="clear" w:color="auto" w:fill="auto"/>
          </w:tcPr>
          <w:p w14:paraId="18962C59" w14:textId="77777777" w:rsidR="00711AA7" w:rsidRPr="006271A6" w:rsidRDefault="00711AA7" w:rsidP="004B3A19">
            <w:pPr>
              <w:tabs>
                <w:tab w:val="left" w:pos="288"/>
                <w:tab w:val="left" w:pos="576"/>
                <w:tab w:val="left" w:pos="864"/>
                <w:tab w:val="left" w:pos="1152"/>
              </w:tabs>
              <w:spacing w:before="40" w:after="80"/>
              <w:ind w:left="144" w:right="43"/>
            </w:pPr>
            <w:r w:rsidRPr="006271A6">
              <w:t>автор сообщения</w:t>
            </w:r>
          </w:p>
        </w:tc>
      </w:tr>
      <w:tr w:rsidR="00711AA7" w:rsidRPr="006271A6" w14:paraId="5E299656" w14:textId="77777777" w:rsidTr="00711AA7">
        <w:tc>
          <w:tcPr>
            <w:tcW w:w="2684" w:type="dxa"/>
            <w:shd w:val="clear" w:color="auto" w:fill="auto"/>
          </w:tcPr>
          <w:p w14:paraId="528F3A08" w14:textId="77777777" w:rsidR="00711AA7" w:rsidRPr="006271A6" w:rsidRDefault="00711AA7" w:rsidP="004B3A19">
            <w:pPr>
              <w:tabs>
                <w:tab w:val="left" w:pos="288"/>
                <w:tab w:val="left" w:pos="576"/>
                <w:tab w:val="left" w:pos="864"/>
                <w:tab w:val="left" w:pos="1152"/>
              </w:tabs>
              <w:spacing w:before="40" w:after="80"/>
              <w:ind w:right="40"/>
              <w:rPr>
                <w:i/>
              </w:rPr>
            </w:pPr>
            <w:r w:rsidRPr="006271A6">
              <w:rPr>
                <w:i/>
                <w:iCs/>
              </w:rPr>
              <w:t>Государство-участник</w:t>
            </w:r>
            <w:r w:rsidRPr="006271A6">
              <w:t>:</w:t>
            </w:r>
          </w:p>
        </w:tc>
        <w:tc>
          <w:tcPr>
            <w:tcW w:w="4620" w:type="dxa"/>
            <w:shd w:val="clear" w:color="auto" w:fill="auto"/>
          </w:tcPr>
          <w:p w14:paraId="5BB231B3" w14:textId="77777777" w:rsidR="00711AA7" w:rsidRPr="006271A6" w:rsidRDefault="00711AA7" w:rsidP="004B3A19">
            <w:pPr>
              <w:tabs>
                <w:tab w:val="left" w:pos="288"/>
                <w:tab w:val="left" w:pos="576"/>
                <w:tab w:val="left" w:pos="864"/>
                <w:tab w:val="left" w:pos="1152"/>
              </w:tabs>
              <w:spacing w:before="40" w:after="80"/>
              <w:ind w:left="144" w:right="43"/>
            </w:pPr>
            <w:r w:rsidRPr="006271A6">
              <w:t>Тимор-Лешти</w:t>
            </w:r>
          </w:p>
        </w:tc>
      </w:tr>
      <w:tr w:rsidR="00711AA7" w:rsidRPr="006271A6" w14:paraId="53731A10" w14:textId="77777777" w:rsidTr="00711AA7">
        <w:tc>
          <w:tcPr>
            <w:tcW w:w="2684" w:type="dxa"/>
            <w:shd w:val="clear" w:color="auto" w:fill="auto"/>
          </w:tcPr>
          <w:p w14:paraId="7C795A2C" w14:textId="77777777" w:rsidR="00711AA7" w:rsidRPr="006271A6" w:rsidRDefault="00711AA7" w:rsidP="004B3A19">
            <w:pPr>
              <w:tabs>
                <w:tab w:val="left" w:pos="288"/>
                <w:tab w:val="left" w:pos="576"/>
                <w:tab w:val="left" w:pos="864"/>
                <w:tab w:val="left" w:pos="1152"/>
              </w:tabs>
              <w:spacing w:before="40" w:after="80"/>
              <w:ind w:right="40"/>
              <w:rPr>
                <w:i/>
              </w:rPr>
            </w:pPr>
            <w:r w:rsidRPr="006271A6">
              <w:rPr>
                <w:i/>
                <w:iCs/>
              </w:rPr>
              <w:t>Дата сообщения</w:t>
            </w:r>
            <w:r w:rsidRPr="006271A6">
              <w:t>:</w:t>
            </w:r>
          </w:p>
        </w:tc>
        <w:tc>
          <w:tcPr>
            <w:tcW w:w="4620" w:type="dxa"/>
            <w:shd w:val="clear" w:color="auto" w:fill="auto"/>
          </w:tcPr>
          <w:p w14:paraId="568550A1" w14:textId="77777777" w:rsidR="00711AA7" w:rsidRPr="006271A6" w:rsidRDefault="00711AA7" w:rsidP="004B3A19">
            <w:pPr>
              <w:tabs>
                <w:tab w:val="left" w:pos="288"/>
                <w:tab w:val="left" w:pos="576"/>
                <w:tab w:val="left" w:pos="864"/>
                <w:tab w:val="left" w:pos="1152"/>
              </w:tabs>
              <w:spacing w:before="40" w:after="80"/>
              <w:ind w:left="144" w:right="43"/>
            </w:pPr>
            <w:r w:rsidRPr="006271A6">
              <w:t>16 февраля 2015 года (первоначальное представление)</w:t>
            </w:r>
          </w:p>
        </w:tc>
      </w:tr>
      <w:tr w:rsidR="00711AA7" w:rsidRPr="00CB3781" w14:paraId="7F53D9D2" w14:textId="77777777" w:rsidTr="00711AA7">
        <w:tc>
          <w:tcPr>
            <w:tcW w:w="2684" w:type="dxa"/>
            <w:shd w:val="clear" w:color="auto" w:fill="auto"/>
          </w:tcPr>
          <w:p w14:paraId="01BBAF08" w14:textId="77777777" w:rsidR="00711AA7" w:rsidRPr="006271A6" w:rsidRDefault="00711AA7" w:rsidP="004B3A19">
            <w:pPr>
              <w:tabs>
                <w:tab w:val="left" w:pos="288"/>
                <w:tab w:val="left" w:pos="576"/>
                <w:tab w:val="left" w:pos="864"/>
                <w:tab w:val="left" w:pos="1152"/>
              </w:tabs>
              <w:spacing w:before="40" w:after="80"/>
              <w:ind w:right="40"/>
              <w:rPr>
                <w:i/>
              </w:rPr>
            </w:pPr>
            <w:r w:rsidRPr="006271A6">
              <w:rPr>
                <w:i/>
                <w:iCs/>
              </w:rPr>
              <w:t>Справочная информация</w:t>
            </w:r>
            <w:r w:rsidRPr="006271A6">
              <w:t>:</w:t>
            </w:r>
          </w:p>
        </w:tc>
        <w:tc>
          <w:tcPr>
            <w:tcW w:w="4620" w:type="dxa"/>
            <w:shd w:val="clear" w:color="auto" w:fill="auto"/>
          </w:tcPr>
          <w:p w14:paraId="183689DE" w14:textId="77777777" w:rsidR="00711AA7" w:rsidRPr="006271A6" w:rsidRDefault="00711AA7" w:rsidP="004B3A19">
            <w:pPr>
              <w:tabs>
                <w:tab w:val="left" w:pos="288"/>
                <w:tab w:val="left" w:pos="576"/>
                <w:tab w:val="left" w:pos="864"/>
                <w:tab w:val="left" w:pos="1152"/>
              </w:tabs>
              <w:spacing w:before="40" w:after="80"/>
              <w:ind w:left="144" w:right="43"/>
            </w:pPr>
            <w:r w:rsidRPr="006271A6">
              <w:t>препровождена государству-участнику 10 июня 2015 года (в виде официального документа не издавалась)</w:t>
            </w:r>
          </w:p>
        </w:tc>
      </w:tr>
      <w:tr w:rsidR="00711AA7" w:rsidRPr="006271A6" w14:paraId="4D8DE751" w14:textId="77777777" w:rsidTr="00711AA7">
        <w:tc>
          <w:tcPr>
            <w:tcW w:w="2684" w:type="dxa"/>
            <w:shd w:val="clear" w:color="auto" w:fill="auto"/>
          </w:tcPr>
          <w:p w14:paraId="4ED84BC4" w14:textId="77777777" w:rsidR="00711AA7" w:rsidRPr="006271A6" w:rsidRDefault="00711AA7" w:rsidP="004B3A19">
            <w:pPr>
              <w:tabs>
                <w:tab w:val="left" w:pos="288"/>
                <w:tab w:val="left" w:pos="576"/>
                <w:tab w:val="left" w:pos="864"/>
                <w:tab w:val="left" w:pos="1152"/>
              </w:tabs>
              <w:spacing w:before="40" w:after="80"/>
              <w:ind w:right="40"/>
              <w:rPr>
                <w:i/>
              </w:rPr>
            </w:pPr>
            <w:r w:rsidRPr="006271A6">
              <w:rPr>
                <w:i/>
                <w:iCs/>
              </w:rPr>
              <w:t>Дата принятия мнений</w:t>
            </w:r>
            <w:r w:rsidRPr="006271A6">
              <w:t>:</w:t>
            </w:r>
          </w:p>
        </w:tc>
        <w:tc>
          <w:tcPr>
            <w:tcW w:w="4620" w:type="dxa"/>
            <w:shd w:val="clear" w:color="auto" w:fill="auto"/>
          </w:tcPr>
          <w:p w14:paraId="5ADF8F6B" w14:textId="77777777" w:rsidR="00711AA7" w:rsidRPr="006271A6" w:rsidRDefault="00711AA7" w:rsidP="004B3A19">
            <w:pPr>
              <w:tabs>
                <w:tab w:val="left" w:pos="288"/>
                <w:tab w:val="left" w:pos="576"/>
                <w:tab w:val="left" w:pos="864"/>
                <w:tab w:val="left" w:pos="1152"/>
              </w:tabs>
              <w:spacing w:before="40" w:after="80"/>
              <w:ind w:left="144" w:right="43"/>
            </w:pPr>
            <w:r w:rsidRPr="006271A6">
              <w:t>26 февраля 2018 года</w:t>
            </w:r>
          </w:p>
        </w:tc>
      </w:tr>
    </w:tbl>
    <w:p w14:paraId="57EFFA65" w14:textId="77777777" w:rsidR="00711AA7" w:rsidRPr="006271A6" w:rsidRDefault="00711AA7" w:rsidP="00711AA7">
      <w:pPr>
        <w:rPr>
          <w:iCs/>
        </w:rPr>
      </w:pPr>
      <w:r w:rsidRPr="006271A6">
        <w:rPr>
          <w:iCs/>
        </w:rPr>
        <w:br w:type="page"/>
      </w:r>
    </w:p>
    <w:p w14:paraId="2C65EB14" w14:textId="5C7617C2" w:rsidR="00711AA7" w:rsidRPr="006271A6" w:rsidRDefault="00711AA7" w:rsidP="00711AA7">
      <w:pPr>
        <w:pStyle w:val="SingleTxt"/>
        <w:rPr>
          <w:sz w:val="24"/>
          <w:szCs w:val="24"/>
        </w:rPr>
      </w:pPr>
      <w:r w:rsidRPr="006271A6">
        <w:t>1.1</w:t>
      </w:r>
      <w:r w:rsidRPr="006271A6">
        <w:tab/>
        <w:t>Автор сообщения</w:t>
      </w:r>
      <w:r w:rsidR="00892BB1">
        <w:t xml:space="preserve"> — </w:t>
      </w:r>
      <w:r w:rsidRPr="006271A6">
        <w:t xml:space="preserve">г-жа Х., гражданка Тимора-Лешти 1987 года рождения. Она утверждает, что </w:t>
      </w:r>
      <w:r>
        <w:t>стала</w:t>
      </w:r>
      <w:r w:rsidRPr="006271A6">
        <w:t xml:space="preserve"> жертвой нарушения </w:t>
      </w:r>
      <w:r>
        <w:t xml:space="preserve">властями </w:t>
      </w:r>
      <w:r w:rsidRPr="006271A6">
        <w:t>Тимор</w:t>
      </w:r>
      <w:r>
        <w:t>а</w:t>
      </w:r>
      <w:r w:rsidRPr="006271A6">
        <w:t>-Лешти ее прав, вытекающих из стат</w:t>
      </w:r>
      <w:r>
        <w:t>ей</w:t>
      </w:r>
      <w:r w:rsidRPr="006271A6">
        <w:t xml:space="preserve"> 2 </w:t>
      </w:r>
      <w:r>
        <w:t>(</w:t>
      </w:r>
      <w:r w:rsidRPr="006271A6">
        <w:t xml:space="preserve">с), </w:t>
      </w:r>
      <w:r>
        <w:t>(</w:t>
      </w:r>
      <w:r w:rsidRPr="006271A6">
        <w:t>d)</w:t>
      </w:r>
      <w:r>
        <w:t>,</w:t>
      </w:r>
      <w:r w:rsidRPr="006271A6">
        <w:t xml:space="preserve"> </w:t>
      </w:r>
      <w:r>
        <w:t>(</w:t>
      </w:r>
      <w:r w:rsidRPr="006271A6">
        <w:t>f)</w:t>
      </w:r>
      <w:r>
        <w:t xml:space="preserve"> </w:t>
      </w:r>
      <w:r w:rsidRPr="006271A6">
        <w:t>и 15 Конвенции. Государство-участник ратифицировало Конвенцию и присоединилось к Ф</w:t>
      </w:r>
      <w:r>
        <w:t>акультативному протоколу в 2003</w:t>
      </w:r>
      <w:r>
        <w:rPr>
          <w:lang w:val="en-US"/>
        </w:rPr>
        <w:t> </w:t>
      </w:r>
      <w:r w:rsidRPr="006271A6">
        <w:t>году. Автора представляет организация Asisténsia Legál ba Feto no Labarik</w:t>
      </w:r>
      <w:r>
        <w:t xml:space="preserve"> (</w:t>
      </w:r>
      <w:r w:rsidRPr="008E0CC4">
        <w:t>«</w:t>
      </w:r>
      <w:r w:rsidRPr="006271A6">
        <w:t>Юридическая помощь женщин</w:t>
      </w:r>
      <w:r>
        <w:t>ам</w:t>
      </w:r>
      <w:r w:rsidRPr="006271A6">
        <w:t xml:space="preserve"> и дет</w:t>
      </w:r>
      <w:r>
        <w:t>ям</w:t>
      </w:r>
      <w:r w:rsidRPr="008E0CC4">
        <w:t>»</w:t>
      </w:r>
      <w:r>
        <w:t>)</w:t>
      </w:r>
      <w:r w:rsidRPr="006271A6">
        <w:t>.</w:t>
      </w:r>
    </w:p>
    <w:p w14:paraId="5CF837CE" w14:textId="153DCC86" w:rsidR="00711AA7" w:rsidRDefault="00711AA7" w:rsidP="00711AA7">
      <w:pPr>
        <w:pStyle w:val="SingleTxt"/>
      </w:pPr>
      <w:r w:rsidRPr="006271A6">
        <w:t>1.2</w:t>
      </w:r>
      <w:r w:rsidRPr="006271A6">
        <w:tab/>
        <w:t>В 2012 году автор была осуждена за убийство ее партнера при отягчающих обстоятельствах и была приговорена к лише</w:t>
      </w:r>
      <w:r>
        <w:t>нию свободы сроком на 15 лет. В</w:t>
      </w:r>
      <w:r>
        <w:rPr>
          <w:lang w:val="en-US"/>
        </w:rPr>
        <w:t> </w:t>
      </w:r>
      <w:r w:rsidRPr="006271A6">
        <w:t>2013 году ее дело было повторно рассмотрено в суде, и предыдущее решение суда и приговор были оставлены в силе. После решения президента Тимора-Лешти от 20 мая 2015 года о частичном помиловании 17 сентября 2015 года автор была условно-досрочно освобождена.</w:t>
      </w:r>
    </w:p>
    <w:p w14:paraId="7EDBF4C9" w14:textId="311AF46A" w:rsidR="00711AA7" w:rsidRPr="00711AA7" w:rsidRDefault="00711AA7" w:rsidP="00711AA7">
      <w:pPr>
        <w:pStyle w:val="SingleTxt"/>
        <w:spacing w:after="0" w:line="120" w:lineRule="exact"/>
        <w:rPr>
          <w:sz w:val="10"/>
        </w:rPr>
      </w:pPr>
    </w:p>
    <w:p w14:paraId="3981B600" w14:textId="60A64EC5" w:rsidR="00711AA7" w:rsidRPr="006271A6" w:rsidRDefault="00711AA7" w:rsidP="00711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r>
      <w:r w:rsidRPr="006271A6">
        <w:t>Обстоятельства дела</w:t>
      </w:r>
    </w:p>
    <w:p w14:paraId="25FCC107" w14:textId="77777777" w:rsidR="00711AA7" w:rsidRPr="00711AA7" w:rsidRDefault="00711AA7" w:rsidP="00711AA7">
      <w:pPr>
        <w:pStyle w:val="SingleTxt"/>
        <w:spacing w:after="0" w:line="120" w:lineRule="exact"/>
        <w:rPr>
          <w:sz w:val="10"/>
        </w:rPr>
      </w:pPr>
    </w:p>
    <w:p w14:paraId="402FE183" w14:textId="0A98E102" w:rsidR="00711AA7" w:rsidRPr="006271A6" w:rsidRDefault="00711AA7" w:rsidP="00711AA7">
      <w:pPr>
        <w:pStyle w:val="SingleTxt"/>
        <w:rPr>
          <w:sz w:val="24"/>
          <w:szCs w:val="24"/>
        </w:rPr>
      </w:pPr>
      <w:r w:rsidRPr="006271A6">
        <w:t>2.1</w:t>
      </w:r>
      <w:r w:rsidRPr="006271A6">
        <w:tab/>
        <w:t>25 ноября 2011 года автор нанесла своему партнеру (</w:t>
      </w:r>
      <w:r>
        <w:t>D.S.</w:t>
      </w:r>
      <w:r w:rsidRPr="006271A6">
        <w:t xml:space="preserve">) смертельное ножевое ранение; на тот момент автор и потерпевший состояли в фактических семейных отношениях и совместно проживали с 2008 года. </w:t>
      </w:r>
      <w:r>
        <w:t>D.S.</w:t>
      </w:r>
      <w:r w:rsidRPr="006271A6">
        <w:t xml:space="preserve"> служил в силах обороны Тимора-Лешти. </w:t>
      </w:r>
      <w:r>
        <w:t>У а</w:t>
      </w:r>
      <w:r w:rsidRPr="006271A6">
        <w:t>втор</w:t>
      </w:r>
      <w:r>
        <w:t>а</w:t>
      </w:r>
      <w:r w:rsidRPr="006271A6">
        <w:t xml:space="preserve"> и потерпевш</w:t>
      </w:r>
      <w:r>
        <w:t>его</w:t>
      </w:r>
      <w:r w:rsidRPr="006271A6">
        <w:t xml:space="preserve"> </w:t>
      </w:r>
      <w:r>
        <w:t>есть</w:t>
      </w:r>
      <w:r w:rsidRPr="006271A6">
        <w:t xml:space="preserve"> сын (</w:t>
      </w:r>
      <w:r w:rsidRPr="001B15FE">
        <w:t>R.D.S.</w:t>
      </w:r>
      <w:r w:rsidRPr="006271A6">
        <w:t>), которому на момент происшествия было 10 месяцев. Автор утверждает, что ее действия были законными, поскольку она лишь пыталась защитит</w:t>
      </w:r>
      <w:r>
        <w:t>ьс</w:t>
      </w:r>
      <w:r w:rsidRPr="006271A6">
        <w:t>я от насильственн</w:t>
      </w:r>
      <w:r>
        <w:t>ых</w:t>
      </w:r>
      <w:r w:rsidRPr="006271A6">
        <w:t xml:space="preserve"> </w:t>
      </w:r>
      <w:r>
        <w:t>действий</w:t>
      </w:r>
      <w:r w:rsidRPr="006271A6">
        <w:t xml:space="preserve"> со стороны партнера. До этого происшествия автор в течение ряда лет </w:t>
      </w:r>
      <w:r>
        <w:t>подвергалась</w:t>
      </w:r>
      <w:r w:rsidRPr="006271A6">
        <w:t xml:space="preserve"> насили</w:t>
      </w:r>
      <w:r>
        <w:t>ю</w:t>
      </w:r>
      <w:r w:rsidRPr="006271A6">
        <w:t xml:space="preserve"> </w:t>
      </w:r>
      <w:r>
        <w:t xml:space="preserve">на почве </w:t>
      </w:r>
      <w:r w:rsidRPr="006271A6">
        <w:t>бытов</w:t>
      </w:r>
      <w:r>
        <w:t>ых отношений</w:t>
      </w:r>
      <w:r w:rsidRPr="006271A6">
        <w:t>.</w:t>
      </w:r>
    </w:p>
    <w:p w14:paraId="07EB2B52" w14:textId="77777777" w:rsidR="00711AA7" w:rsidRPr="006271A6" w:rsidRDefault="00711AA7" w:rsidP="00711AA7">
      <w:pPr>
        <w:pStyle w:val="SingleTxt"/>
        <w:rPr>
          <w:sz w:val="24"/>
          <w:szCs w:val="24"/>
        </w:rPr>
      </w:pPr>
      <w:r w:rsidRPr="006271A6">
        <w:t>2.2</w:t>
      </w:r>
      <w:r w:rsidRPr="006271A6">
        <w:tab/>
      </w:r>
      <w:r>
        <w:t>D.S.</w:t>
      </w:r>
      <w:r w:rsidRPr="006271A6">
        <w:t xml:space="preserve"> вступил в ряды сил обороны в июле 2009 года. Автор поддержала его решение и была исполнена чувства гордости за </w:t>
      </w:r>
      <w:r>
        <w:t>своего партнера</w:t>
      </w:r>
      <w:r w:rsidRPr="006271A6">
        <w:t>. Она мечтала, что он ст</w:t>
      </w:r>
      <w:r>
        <w:t>а</w:t>
      </w:r>
      <w:r w:rsidRPr="006271A6">
        <w:t xml:space="preserve">нет </w:t>
      </w:r>
      <w:r>
        <w:t>уважаемым человеком</w:t>
      </w:r>
      <w:r w:rsidRPr="006271A6">
        <w:t xml:space="preserve"> и </w:t>
      </w:r>
      <w:r>
        <w:t xml:space="preserve">будет </w:t>
      </w:r>
      <w:r w:rsidRPr="006271A6">
        <w:t xml:space="preserve">примером для подражания. Вскоре после поступления </w:t>
      </w:r>
      <w:r>
        <w:t>D.S.</w:t>
      </w:r>
      <w:r w:rsidRPr="006271A6">
        <w:t xml:space="preserve"> на службу в силы обороны его отношение к автору и поведение изменились. </w:t>
      </w:r>
      <w:r>
        <w:t>Если</w:t>
      </w:r>
      <w:r w:rsidRPr="006271A6">
        <w:t xml:space="preserve"> ранее их отношения строились на взаимном уважении и любви, </w:t>
      </w:r>
      <w:r>
        <w:t>то теперь D.S.</w:t>
      </w:r>
      <w:r w:rsidRPr="006271A6">
        <w:t xml:space="preserve"> становился все более требовательным и грубым по отношению к ней. В течение недели он жил при штабе сил обороны в Метинаро</w:t>
      </w:r>
      <w:r>
        <w:t xml:space="preserve"> и</w:t>
      </w:r>
      <w:r w:rsidRPr="006271A6">
        <w:t xml:space="preserve"> возвращался домой на выходные поздно вечером по пятницам. При этом он</w:t>
      </w:r>
      <w:r>
        <w:t>,</w:t>
      </w:r>
      <w:r w:rsidRPr="006271A6">
        <w:t xml:space="preserve"> </w:t>
      </w:r>
      <w:r>
        <w:t xml:space="preserve">будучи </w:t>
      </w:r>
      <w:r w:rsidRPr="006271A6">
        <w:t xml:space="preserve">почти всегда в нетрезвом состоянии, будил автора и требовал, чтобы она сидела с ним на балконе до поздней ночи. </w:t>
      </w:r>
      <w:r>
        <w:t>D.S.</w:t>
      </w:r>
      <w:r w:rsidRPr="006271A6">
        <w:t xml:space="preserve"> считал, что она обязана выполнять любую его команду.</w:t>
      </w:r>
    </w:p>
    <w:p w14:paraId="63E99C43" w14:textId="77777777" w:rsidR="00711AA7" w:rsidRPr="006271A6" w:rsidRDefault="00711AA7" w:rsidP="00711AA7">
      <w:pPr>
        <w:pStyle w:val="SingleTxt"/>
        <w:rPr>
          <w:sz w:val="24"/>
          <w:szCs w:val="24"/>
        </w:rPr>
      </w:pPr>
      <w:r w:rsidRPr="006271A6">
        <w:t>2.3</w:t>
      </w:r>
      <w:r w:rsidRPr="006271A6">
        <w:tab/>
        <w:t xml:space="preserve">Изменения в поведении </w:t>
      </w:r>
      <w:r>
        <w:t>D.S.</w:t>
      </w:r>
      <w:r w:rsidRPr="006271A6">
        <w:t xml:space="preserve"> привели к возникновению ссор, и он начал избивать автора. Автор рассказала о </w:t>
      </w:r>
      <w:r>
        <w:t>побоях</w:t>
      </w:r>
      <w:r w:rsidRPr="006271A6">
        <w:t xml:space="preserve"> </w:t>
      </w:r>
      <w:r>
        <w:t>мужу сестры</w:t>
      </w:r>
      <w:r w:rsidRPr="006271A6">
        <w:t xml:space="preserve"> (</w:t>
      </w:r>
      <w:r w:rsidRPr="00994515">
        <w:t>F.G.</w:t>
      </w:r>
      <w:r w:rsidRPr="006271A6">
        <w:t>) и попросила его помо</w:t>
      </w:r>
      <w:r>
        <w:t>чь</w:t>
      </w:r>
      <w:r w:rsidRPr="006271A6">
        <w:t xml:space="preserve">. </w:t>
      </w:r>
      <w:r>
        <w:t>F.G.</w:t>
      </w:r>
      <w:r w:rsidRPr="006271A6">
        <w:t xml:space="preserve"> жил в соседнем доме и собственными глазами видел кровоподтеки и другие телесные повреждения, полученные автором в результате насилия со стороны </w:t>
      </w:r>
      <w:r>
        <w:t>D.S.</w:t>
      </w:r>
      <w:r w:rsidRPr="006271A6">
        <w:t xml:space="preserve"> </w:t>
      </w:r>
      <w:r>
        <w:t>F.G.</w:t>
      </w:r>
      <w:r w:rsidRPr="006271A6">
        <w:t xml:space="preserve"> попытался, но не смог </w:t>
      </w:r>
      <w:r>
        <w:t>поговорить</w:t>
      </w:r>
      <w:r w:rsidRPr="006271A6">
        <w:t xml:space="preserve"> </w:t>
      </w:r>
      <w:r>
        <w:t>с D.S.</w:t>
      </w:r>
      <w:r w:rsidRPr="006271A6">
        <w:t xml:space="preserve">, </w:t>
      </w:r>
      <w:r>
        <w:t xml:space="preserve">который </w:t>
      </w:r>
      <w:r w:rsidRPr="006271A6">
        <w:t>продолж</w:t>
      </w:r>
      <w:r>
        <w:t>а</w:t>
      </w:r>
      <w:r w:rsidRPr="006271A6">
        <w:t>л</w:t>
      </w:r>
      <w:r>
        <w:t xml:space="preserve"> вести себя</w:t>
      </w:r>
      <w:r w:rsidRPr="006271A6">
        <w:t xml:space="preserve"> агрессивно. </w:t>
      </w:r>
      <w:r>
        <w:t>F.G.</w:t>
      </w:r>
      <w:r w:rsidRPr="006271A6">
        <w:t xml:space="preserve"> не предпринимал никаких дальнейших шагов</w:t>
      </w:r>
      <w:r>
        <w:t xml:space="preserve">, чтобы помочь </w:t>
      </w:r>
      <w:r w:rsidRPr="006271A6">
        <w:t xml:space="preserve">автору. Иногда </w:t>
      </w:r>
      <w:r>
        <w:t>D.S.</w:t>
      </w:r>
      <w:r w:rsidRPr="006271A6">
        <w:t xml:space="preserve"> избивал автора</w:t>
      </w:r>
      <w:r>
        <w:t>,</w:t>
      </w:r>
      <w:r w:rsidRPr="006271A6">
        <w:t xml:space="preserve"> будучи в состоянии такого сильного опьянения, что утром он даже не мог вспомнить о случившемся. </w:t>
      </w:r>
      <w:r>
        <w:t>В то время а</w:t>
      </w:r>
      <w:r w:rsidRPr="006271A6">
        <w:t xml:space="preserve">втор испытывала настолько глубокое чувство унижения и стыда, что она постеснялась сообщить о </w:t>
      </w:r>
      <w:r>
        <w:t>побоях</w:t>
      </w:r>
      <w:r w:rsidRPr="006271A6">
        <w:t xml:space="preserve"> своему деревенскому старосте или в полицию. Она любила своего партнера и не желала очернять его имя и подрывать его репутацию в </w:t>
      </w:r>
      <w:r>
        <w:t>деревне</w:t>
      </w:r>
      <w:r w:rsidRPr="006271A6">
        <w:t>.</w:t>
      </w:r>
    </w:p>
    <w:p w14:paraId="141CAE61" w14:textId="77777777" w:rsidR="00711AA7" w:rsidRPr="006271A6" w:rsidRDefault="00711AA7" w:rsidP="00711AA7">
      <w:pPr>
        <w:pStyle w:val="SingleTxt"/>
        <w:rPr>
          <w:sz w:val="24"/>
          <w:szCs w:val="24"/>
        </w:rPr>
      </w:pPr>
      <w:r w:rsidRPr="006271A6">
        <w:t>2.4</w:t>
      </w:r>
      <w:r w:rsidRPr="006271A6">
        <w:tab/>
        <w:t xml:space="preserve">В апреле 2010 года автор забеременела, а 14 января 2011 года родила сына. </w:t>
      </w:r>
      <w:r>
        <w:t>Грубое</w:t>
      </w:r>
      <w:r w:rsidRPr="006271A6">
        <w:t xml:space="preserve"> и деспотичное поведение </w:t>
      </w:r>
      <w:r>
        <w:t>D.S.</w:t>
      </w:r>
      <w:r w:rsidRPr="006271A6">
        <w:t xml:space="preserve"> продолжалось на протяжении всего срока беременности </w:t>
      </w:r>
      <w:r>
        <w:t xml:space="preserve">автора </w:t>
      </w:r>
      <w:r w:rsidRPr="006271A6">
        <w:t xml:space="preserve">и даже после рождения ребенка. Возвращаясь домой поздним вечером по пятницам, он </w:t>
      </w:r>
      <w:r>
        <w:t>по-прежнему</w:t>
      </w:r>
      <w:r w:rsidRPr="006271A6">
        <w:t xml:space="preserve"> заставля</w:t>
      </w:r>
      <w:r>
        <w:t>л</w:t>
      </w:r>
      <w:r w:rsidRPr="006271A6">
        <w:t xml:space="preserve"> автора подниматься с постели. После рождения ребенка их ссоры участились, и </w:t>
      </w:r>
      <w:r>
        <w:t>D.S.</w:t>
      </w:r>
      <w:r w:rsidRPr="006271A6">
        <w:t xml:space="preserve"> стал проявлять жестокость по отношению к автору. Мать автора стала свидетелем </w:t>
      </w:r>
      <w:r>
        <w:t>эпизода, когда</w:t>
      </w:r>
      <w:r w:rsidRPr="006271A6">
        <w:t xml:space="preserve"> </w:t>
      </w:r>
      <w:r>
        <w:t>D.S.</w:t>
      </w:r>
      <w:r w:rsidRPr="006271A6">
        <w:t xml:space="preserve"> </w:t>
      </w:r>
      <w:r>
        <w:t xml:space="preserve">попытался ударить </w:t>
      </w:r>
      <w:r w:rsidRPr="006271A6">
        <w:t>ее дочь</w:t>
      </w:r>
      <w:r>
        <w:t>,</w:t>
      </w:r>
      <w:r w:rsidRPr="006271A6">
        <w:t xml:space="preserve"> и сообщила об этом деревенскому старосте и его заместителю. Автор также сообщила о </w:t>
      </w:r>
      <w:r>
        <w:t>побоях</w:t>
      </w:r>
      <w:r w:rsidRPr="006271A6">
        <w:t xml:space="preserve"> в силы обороны. Однако ни силы обороны, ни местные лидеры не приняли </w:t>
      </w:r>
      <w:r>
        <w:t xml:space="preserve">никаких </w:t>
      </w:r>
      <w:r w:rsidRPr="006271A6">
        <w:t xml:space="preserve">мер </w:t>
      </w:r>
      <w:r>
        <w:t>для</w:t>
      </w:r>
      <w:r w:rsidRPr="006271A6">
        <w:t xml:space="preserve"> защит</w:t>
      </w:r>
      <w:r>
        <w:t>ы</w:t>
      </w:r>
      <w:r w:rsidRPr="006271A6">
        <w:t xml:space="preserve"> автора, и насилие продолж</w:t>
      </w:r>
      <w:r>
        <w:t>а</w:t>
      </w:r>
      <w:r w:rsidRPr="006271A6">
        <w:t xml:space="preserve">лось. 2 июня 2011 года между </w:t>
      </w:r>
      <w:r>
        <w:t>D.S.</w:t>
      </w:r>
      <w:r w:rsidRPr="006271A6">
        <w:t xml:space="preserve"> и автором произошел спор относительно ухода за ребенком. </w:t>
      </w:r>
      <w:r>
        <w:t>D.S.</w:t>
      </w:r>
      <w:r w:rsidRPr="006271A6">
        <w:t xml:space="preserve"> попытался удар</w:t>
      </w:r>
      <w:r>
        <w:t>ить</w:t>
      </w:r>
      <w:r w:rsidRPr="006271A6">
        <w:t xml:space="preserve"> автор</w:t>
      </w:r>
      <w:r>
        <w:t>а</w:t>
      </w:r>
      <w:r w:rsidRPr="006271A6">
        <w:t xml:space="preserve"> </w:t>
      </w:r>
      <w:r>
        <w:t xml:space="preserve">своим </w:t>
      </w:r>
      <w:r w:rsidRPr="006271A6">
        <w:t xml:space="preserve">мачете, однако ей удалось бежать. </w:t>
      </w:r>
      <w:r>
        <w:t>D.S.</w:t>
      </w:r>
      <w:r w:rsidRPr="006271A6">
        <w:t xml:space="preserve"> был настолько </w:t>
      </w:r>
      <w:r>
        <w:t>разъярен</w:t>
      </w:r>
      <w:r w:rsidRPr="006271A6">
        <w:t>, что заруби</w:t>
      </w:r>
      <w:r>
        <w:t>л</w:t>
      </w:r>
      <w:r w:rsidRPr="006271A6">
        <w:t xml:space="preserve"> мачете </w:t>
      </w:r>
      <w:r>
        <w:t>оказавшуюся</w:t>
      </w:r>
      <w:r w:rsidRPr="006271A6">
        <w:t xml:space="preserve"> поблизости собаку. Мать автора была очевидцем </w:t>
      </w:r>
      <w:r>
        <w:t xml:space="preserve">этой сцены </w:t>
      </w:r>
      <w:r w:rsidRPr="006271A6">
        <w:t xml:space="preserve">и сообщила </w:t>
      </w:r>
      <w:r>
        <w:t>об увиденном</w:t>
      </w:r>
      <w:r w:rsidRPr="006271A6">
        <w:t xml:space="preserve"> деревенскому старосте, который выслуша</w:t>
      </w:r>
      <w:r>
        <w:t>л</w:t>
      </w:r>
      <w:r w:rsidRPr="006271A6">
        <w:t xml:space="preserve"> </w:t>
      </w:r>
      <w:r>
        <w:t>ее и</w:t>
      </w:r>
      <w:r w:rsidRPr="006271A6">
        <w:t xml:space="preserve"> направил к своему заместителю. Последний </w:t>
      </w:r>
      <w:r>
        <w:t xml:space="preserve">пришел в </w:t>
      </w:r>
      <w:r w:rsidRPr="006271A6">
        <w:t>дом</w:t>
      </w:r>
      <w:r>
        <w:t>, где жили</w:t>
      </w:r>
      <w:r w:rsidRPr="006271A6">
        <w:t xml:space="preserve"> автор и </w:t>
      </w:r>
      <w:r>
        <w:t>D.S.</w:t>
      </w:r>
      <w:r w:rsidRPr="006271A6">
        <w:t xml:space="preserve">, однако ушел, так и не урегулировав конфликт, и не сообщил </w:t>
      </w:r>
      <w:r>
        <w:t>о происшествии</w:t>
      </w:r>
      <w:r w:rsidRPr="006271A6">
        <w:t xml:space="preserve"> в полицию.</w:t>
      </w:r>
    </w:p>
    <w:p w14:paraId="2B5A7244" w14:textId="77777777" w:rsidR="00711AA7" w:rsidRPr="006271A6" w:rsidRDefault="00711AA7" w:rsidP="00711AA7">
      <w:pPr>
        <w:pStyle w:val="SingleTxt"/>
        <w:rPr>
          <w:sz w:val="24"/>
          <w:szCs w:val="24"/>
        </w:rPr>
      </w:pPr>
      <w:r w:rsidRPr="006271A6">
        <w:t>2.5</w:t>
      </w:r>
      <w:r w:rsidRPr="006271A6">
        <w:tab/>
        <w:t xml:space="preserve">Позднее в 2011 году </w:t>
      </w:r>
      <w:r>
        <w:t>D.S.</w:t>
      </w:r>
      <w:r w:rsidRPr="006271A6">
        <w:t xml:space="preserve"> напал на автора и жестоко избил ее палкой</w:t>
      </w:r>
      <w:r>
        <w:t>,</w:t>
      </w:r>
      <w:r w:rsidRPr="006271A6">
        <w:t xml:space="preserve"> </w:t>
      </w:r>
      <w:r>
        <w:t>так, что</w:t>
      </w:r>
      <w:r w:rsidRPr="006271A6">
        <w:t xml:space="preserve"> вся верхняя часть ее тела покрылась опухолями и гематомами. Автор сообщила об этом служащим сил обороны, которые впоследствии заставили </w:t>
      </w:r>
      <w:r>
        <w:t>D.S.</w:t>
      </w:r>
      <w:r w:rsidRPr="006271A6">
        <w:t xml:space="preserve"> подписать заявление о том, что он впредь не будет применять к автору физическую силу. </w:t>
      </w:r>
      <w:r>
        <w:t>Служащие с</w:t>
      </w:r>
      <w:r w:rsidRPr="006271A6">
        <w:t xml:space="preserve">ил обороны не сообщили о произошедшем в полицию и не доставили автора в больницу для получения медицинской помощи. Еще позднее в 2011 году, вечером в одну из пятниц, </w:t>
      </w:r>
      <w:r>
        <w:t>D.S.</w:t>
      </w:r>
      <w:r w:rsidRPr="006271A6">
        <w:t xml:space="preserve"> вернулся домой в состоянии опьянения. По своему обычаю он разбудил автора громким криком и потребовал, чтобы она </w:t>
      </w:r>
      <w:r>
        <w:t>вышла по</w:t>
      </w:r>
      <w:r w:rsidRPr="006271A6">
        <w:t>сиде</w:t>
      </w:r>
      <w:r>
        <w:t>ть</w:t>
      </w:r>
      <w:r w:rsidRPr="006271A6">
        <w:t xml:space="preserve"> с ним на улице; от его крика проснулся и спящий ребенок. Автор была расстроена тем, что </w:t>
      </w:r>
      <w:r>
        <w:t>D.S.</w:t>
      </w:r>
      <w:r w:rsidRPr="006271A6">
        <w:t xml:space="preserve"> не интересуется своим сыном и не </w:t>
      </w:r>
      <w:r>
        <w:t>заботится</w:t>
      </w:r>
      <w:r w:rsidRPr="006271A6">
        <w:t xml:space="preserve"> о его благополучии. Завязался спор. </w:t>
      </w:r>
      <w:r>
        <w:t>D.S.</w:t>
      </w:r>
      <w:r w:rsidRPr="006271A6">
        <w:t xml:space="preserve"> схватил палку и стал наноси</w:t>
      </w:r>
      <w:r>
        <w:t>т</w:t>
      </w:r>
      <w:r w:rsidRPr="006271A6">
        <w:t xml:space="preserve">ь автору удары по голове. Пытаясь защититься, она прикрыла голову руками. </w:t>
      </w:r>
      <w:r>
        <w:t xml:space="preserve">D.S. </w:t>
      </w:r>
      <w:r w:rsidRPr="006271A6">
        <w:t xml:space="preserve">продолжал ее бить. Когда удар пришелся по ее плечу, автор упала на землю. Она попыталась закричать и позвать на помощь живущего поблизости </w:t>
      </w:r>
      <w:r>
        <w:t>мужа сестры</w:t>
      </w:r>
      <w:r w:rsidRPr="006271A6">
        <w:t xml:space="preserve">, но у нее не хватило сил. </w:t>
      </w:r>
      <w:r>
        <w:t>D.S.</w:t>
      </w:r>
      <w:r w:rsidRPr="006271A6">
        <w:t xml:space="preserve"> оставил автора изнемогать от травм и истекать кровью там, где она упала.</w:t>
      </w:r>
    </w:p>
    <w:p w14:paraId="47DE68EE" w14:textId="77777777" w:rsidR="00711AA7" w:rsidRPr="006271A6" w:rsidRDefault="00711AA7" w:rsidP="00711AA7">
      <w:pPr>
        <w:pStyle w:val="SingleTxt"/>
        <w:rPr>
          <w:sz w:val="24"/>
          <w:szCs w:val="24"/>
        </w:rPr>
      </w:pPr>
      <w:r w:rsidRPr="006271A6">
        <w:t>2.6</w:t>
      </w:r>
      <w:r w:rsidRPr="006271A6">
        <w:tab/>
        <w:t xml:space="preserve">Около 4 часов утра автору с сыном удалось буквально доползти до соседа, который работает таксистом на собственном автомобиле. </w:t>
      </w:r>
      <w:r>
        <w:t>Автор</w:t>
      </w:r>
      <w:r w:rsidRPr="006271A6">
        <w:t xml:space="preserve"> попросила его отвезти ее в штаб сил обороны, прибыла туда около 5 часов утра и сообщила об инциденте одному из старших представителей сил обороны, имя которого она сейчас не помнит. Он принял ее письменное заявление и сфотографировал ее травмы и ранения. Автор поведала историю семейно-бытового насилия в отношении нее со стороны ее партнера, при этом ясно дав понять, что последний случай не является изолированным инцидентом. Затем представители сил обороны доставили автора и ее сына домой. Они не стали отвозить автора к врачу или передавать дело в полицейский отдел по защите уязвимых лиц, который отвечает за расследование случаев бытового насилия. Доставив автора домой, представители сил обороны отправились искать </w:t>
      </w:r>
      <w:r>
        <w:t>D.S.</w:t>
      </w:r>
      <w:r w:rsidRPr="006271A6">
        <w:t xml:space="preserve">, а обнаружив его, они его избили и заставили подписать протокол, в котором он признал, что бил свою партнершу, и обещал впредь не совершать насилия по отношению к ней. Автор также подписала этот протокол. </w:t>
      </w:r>
      <w:r>
        <w:t>D.S.</w:t>
      </w:r>
      <w:r w:rsidRPr="006271A6">
        <w:t xml:space="preserve"> прокомментировал, что это дело семейное, и сослался на распространенную тиморскую пословицу, касающуюся насилия в семье, которая гласит: «Тарелка и ложка ударяются друг о друга». Представители сил обороны тоже сказали автору, что считают насилие со стороны </w:t>
      </w:r>
      <w:r>
        <w:t>D.S.</w:t>
      </w:r>
      <w:r w:rsidRPr="006271A6">
        <w:t xml:space="preserve"> по отношению к ней проблемой, которая должна решаться в семье, и отметили, что считают вопрос закрытым. Автор более не располагает копиями своего заявления в силы обороны и протокола, подписанного </w:t>
      </w:r>
      <w:r>
        <w:t>D.S.</w:t>
      </w:r>
      <w:r w:rsidRPr="006271A6">
        <w:t>.</w:t>
      </w:r>
    </w:p>
    <w:p w14:paraId="3A6C3E37" w14:textId="77777777" w:rsidR="00711AA7" w:rsidRPr="006271A6" w:rsidRDefault="00711AA7" w:rsidP="00711AA7">
      <w:pPr>
        <w:pStyle w:val="SingleTxt"/>
        <w:rPr>
          <w:sz w:val="24"/>
          <w:szCs w:val="24"/>
        </w:rPr>
      </w:pPr>
      <w:r w:rsidRPr="006271A6">
        <w:t>2.7</w:t>
      </w:r>
      <w:r w:rsidRPr="006271A6">
        <w:tab/>
        <w:t xml:space="preserve">25 Ноября 2011 года </w:t>
      </w:r>
      <w:r>
        <w:t>D.S.</w:t>
      </w:r>
      <w:r w:rsidRPr="006271A6">
        <w:t xml:space="preserve"> вернулся домой поздно (примерно в 11 часов вечера). Автор уже спала. Она очень устала и была обеспокоена весьма продолжительной болезнью сына. </w:t>
      </w:r>
      <w:r>
        <w:t>D.S.</w:t>
      </w:r>
      <w:r w:rsidRPr="006271A6">
        <w:t xml:space="preserve"> позвал ее, и она вышла в общую комнату и села на </w:t>
      </w:r>
      <w:r>
        <w:t>шлако</w:t>
      </w:r>
      <w:r w:rsidRPr="006271A6">
        <w:t xml:space="preserve">блок. Затем </w:t>
      </w:r>
      <w:r>
        <w:t>D.S.</w:t>
      </w:r>
      <w:r w:rsidRPr="006271A6">
        <w:t xml:space="preserve"> ударил ее ногой по коленям. Автор хотела убежать из дома, но </w:t>
      </w:r>
      <w:r>
        <w:t>D.S.</w:t>
      </w:r>
      <w:r w:rsidRPr="006271A6">
        <w:t xml:space="preserve"> стоял в дверном проеме. Когда она попыталась встать, он ударил ее ногой в лоб (он был обут в армейские ботинки), и она, потеряв сознание, упала на пол. Очнувшись, она увидела, что </w:t>
      </w:r>
      <w:r>
        <w:t>D.S.</w:t>
      </w:r>
      <w:r w:rsidRPr="006271A6">
        <w:t xml:space="preserve"> снова приближается к ней, и тогда она по-настоящему испугалась за свою жизнь, и подумала, что он собирается ее убить. Не поднимаясь с пола, автор схватила кухонный нож и, когда </w:t>
      </w:r>
      <w:r>
        <w:t>D.S.</w:t>
      </w:r>
      <w:r w:rsidRPr="006271A6">
        <w:t xml:space="preserve"> приблизился к ней, ударила его ножом в грудь. Падая, </w:t>
      </w:r>
      <w:r>
        <w:t>D.S.</w:t>
      </w:r>
      <w:r w:rsidRPr="006271A6">
        <w:t xml:space="preserve"> снова попытался нанести автору удар ногой, но практически мгновенно скончался. Автор сразу же выбежала на улицу в поисках помощи и позвонила в полицию со своего мобильного телефона. Она дождалась прибытия сотрудников полиции, которые затем задержали ее и первоначально содержали под стражей в полицейском участке района Коморо в Дили в течение семи дней, то есть в нарушение положений Уголовно-процессуального кодекса (Закона № 13 от 2005 года), согласно которым обвиняемые должны доставляться в суд для проведения судебного допроса в течение 72 часов после ареста</w:t>
      </w:r>
      <w:r w:rsidRPr="00711AA7">
        <w:rPr>
          <w:rStyle w:val="FootnoteReference"/>
          <w:szCs w:val="24"/>
        </w:rPr>
        <w:footnoteReference w:id="3"/>
      </w:r>
      <w:r w:rsidRPr="006271A6">
        <w:t>.</w:t>
      </w:r>
    </w:p>
    <w:p w14:paraId="659B8FF5" w14:textId="77777777" w:rsidR="00711AA7" w:rsidRPr="006271A6" w:rsidRDefault="00711AA7" w:rsidP="00711AA7">
      <w:pPr>
        <w:pStyle w:val="SingleTxt"/>
        <w:rPr>
          <w:sz w:val="24"/>
          <w:szCs w:val="24"/>
        </w:rPr>
      </w:pPr>
      <w:r w:rsidRPr="006271A6">
        <w:t>2.8</w:t>
      </w:r>
      <w:r w:rsidRPr="006271A6">
        <w:tab/>
        <w:t xml:space="preserve">Когда автора доставили в полицейский участок, она попросила о медицинской помощи. Рана на голове, оставленная ботинком </w:t>
      </w:r>
      <w:r>
        <w:t>D.S.</w:t>
      </w:r>
      <w:r w:rsidRPr="006271A6">
        <w:t>, распухла и кровоточила. Кроме того, автор хотела, чтобы у нее было медицинское подтверждение травм, полученных в результате нападения. Она надеялась, что, возможно, ей сделают рентген. Полицейские отказали ей в медицинской помощи. Они сделали несколько фотоснимков травм автора, но это было поздней ночью, фотовспышка не обеспечила достаточного освещения и снимки оказались низкого качества. Полицейские составили протокол со слов автора. За все время содержания под стражей в полицейском участке ни один сотрудник полиции ни разу не проинформировал автора о ее правах, в том числе о праве на юридическое представительство и на право хранить молчание, и при этом протокол был составлен в отсутствие адвоката. Автор подписала протокол, но ей не была предоставлена возможность должным образом ознакомиться с ним.</w:t>
      </w:r>
    </w:p>
    <w:p w14:paraId="1BEE8AE4" w14:textId="77777777" w:rsidR="00711AA7" w:rsidRPr="006271A6" w:rsidRDefault="00711AA7" w:rsidP="00711AA7">
      <w:pPr>
        <w:pStyle w:val="SingleTxt"/>
        <w:rPr>
          <w:sz w:val="24"/>
          <w:szCs w:val="24"/>
        </w:rPr>
      </w:pPr>
      <w:r w:rsidRPr="006271A6">
        <w:t>2.9</w:t>
      </w:r>
      <w:r w:rsidRPr="006271A6">
        <w:tab/>
        <w:t>В период содержания под стражей автор была доставлена в национальный госпиталь в Дили для обследования по просьбе прокурора, занимавшегося расследованием ее дела. С автором беседовал кубинский врач, который, как ей сказали, был психологом. Отвечая на его вопросы об инциденте, автор объяснила, что она действовала в порядке самообороны. Автор полагает, что врач подготовил отчет по итогам беседы, однако ей так и не предоставили копию этого отчета. Ей не было предложено ни медицинской помощи, ни психологической поддержки, например, такой, как индивидуальная психотерапия.</w:t>
      </w:r>
    </w:p>
    <w:p w14:paraId="2952FAFC" w14:textId="77777777" w:rsidR="00711AA7" w:rsidRPr="006271A6" w:rsidRDefault="00711AA7" w:rsidP="00711AA7">
      <w:pPr>
        <w:pStyle w:val="SingleTxt"/>
        <w:rPr>
          <w:sz w:val="24"/>
          <w:szCs w:val="24"/>
        </w:rPr>
      </w:pPr>
      <w:r w:rsidRPr="006271A6">
        <w:t>2.10</w:t>
      </w:r>
      <w:r w:rsidRPr="006271A6">
        <w:tab/>
        <w:t xml:space="preserve">29 ноября 2011 года, когда автор еще находилась под стражей в полицейском участке, в одной из местных газет, </w:t>
      </w:r>
      <w:r w:rsidRPr="006271A6">
        <w:rPr>
          <w:i/>
          <w:iCs/>
        </w:rPr>
        <w:t>Suara Timor Lorosae</w:t>
      </w:r>
      <w:r w:rsidRPr="006271A6">
        <w:t xml:space="preserve"> («Голос Восточного Тимора»), была опубликована статья, в которой утверждалось, что служащий сил обороны </w:t>
      </w:r>
      <w:r>
        <w:t>D.S.</w:t>
      </w:r>
      <w:r w:rsidRPr="006271A6">
        <w:t xml:space="preserve"> был зарезан его супругой, причем в заголовке статьи фигурировали ее инициалы. Далее в статье было высказано предположение о причине случившегося и было заявлено, что </w:t>
      </w:r>
      <w:r>
        <w:t>D.S.</w:t>
      </w:r>
      <w:r w:rsidRPr="006271A6">
        <w:t xml:space="preserve"> и автор «поссорились из-за того, что у них не хватало денег на рис». Кроме того, в статье было указано, что автор якобы заявила: «[Я] убила [</w:t>
      </w:r>
      <w:r>
        <w:t>D.S.</w:t>
      </w:r>
      <w:r w:rsidRPr="006271A6">
        <w:t>] за то, что он меня ударил», при этом на тот момент автор еще не делала никаких заявлений для средств массовой информации.</w:t>
      </w:r>
    </w:p>
    <w:p w14:paraId="6F736B30" w14:textId="77777777" w:rsidR="00711AA7" w:rsidRPr="006271A6" w:rsidRDefault="00711AA7" w:rsidP="00711AA7">
      <w:pPr>
        <w:pStyle w:val="SingleTxt"/>
        <w:rPr>
          <w:sz w:val="24"/>
          <w:szCs w:val="24"/>
        </w:rPr>
      </w:pPr>
      <w:r w:rsidRPr="006271A6">
        <w:t>2.11</w:t>
      </w:r>
      <w:r w:rsidRPr="006271A6">
        <w:tab/>
        <w:t xml:space="preserve">Пока автор находилась под стражей в полицейском участке, состояние здоровья ее сына ухудшилось, и он был доставлен в национальную больницу в Дили. Поскольку автор тогда еще кормила грудью, она посещала сына, чтобы накормить его, в сопровождении сотрудников полиции. Ее родственники также приходили в больницу, чтобы ухаживать за ребенком. Пока ребенок находился в больнице, семья </w:t>
      </w:r>
      <w:r>
        <w:t>D.S.</w:t>
      </w:r>
      <w:r w:rsidRPr="006271A6">
        <w:t xml:space="preserve"> предпринимала попытки забрать его, и автор опасалась, что может больше никогда не увидеть</w:t>
      </w:r>
      <w:r>
        <w:t xml:space="preserve"> сына</w:t>
      </w:r>
      <w:r w:rsidRPr="006271A6">
        <w:t xml:space="preserve">. </w:t>
      </w:r>
      <w:r>
        <w:t>По прошествии</w:t>
      </w:r>
      <w:r w:rsidRPr="006271A6">
        <w:t xml:space="preserve"> некоторо</w:t>
      </w:r>
      <w:r>
        <w:t>го</w:t>
      </w:r>
      <w:r w:rsidRPr="006271A6">
        <w:t xml:space="preserve"> врем</w:t>
      </w:r>
      <w:r>
        <w:t>ени</w:t>
      </w:r>
      <w:r w:rsidRPr="006271A6">
        <w:t xml:space="preserve"> семья </w:t>
      </w:r>
      <w:r>
        <w:t>D.S.</w:t>
      </w:r>
      <w:r w:rsidRPr="006271A6">
        <w:t xml:space="preserve"> в самом деле увезла сына автора в Баукау (город примерно в трех часах езды от Дили) без ведома автора и без ее согласия, но благодаря сотрудникам по вопросам защиты детей из министерства социальной солидарности ребенок был возвращен в Дили.</w:t>
      </w:r>
    </w:p>
    <w:p w14:paraId="39E401E1" w14:textId="77777777" w:rsidR="00711AA7" w:rsidRPr="006271A6" w:rsidRDefault="00711AA7" w:rsidP="00711AA7">
      <w:pPr>
        <w:pStyle w:val="SingleTxt"/>
        <w:rPr>
          <w:sz w:val="24"/>
          <w:szCs w:val="24"/>
        </w:rPr>
      </w:pPr>
      <w:r w:rsidRPr="006271A6">
        <w:t>2.12</w:t>
      </w:r>
      <w:r w:rsidRPr="006271A6">
        <w:tab/>
        <w:t xml:space="preserve">Предварительное слушание </w:t>
      </w:r>
      <w:r>
        <w:t xml:space="preserve">по </w:t>
      </w:r>
      <w:r w:rsidRPr="006271A6">
        <w:t>дел</w:t>
      </w:r>
      <w:r>
        <w:t>у</w:t>
      </w:r>
      <w:r w:rsidRPr="006271A6">
        <w:t xml:space="preserve"> автора в суде состоялось 2 декабря 2011 года. Автору был предоставлен государственный защитник, который ей не представился и не говорил с ней ни до, ни после слушания. Вопросы автору задавали судья и государственный обвинитель. Автор заявила, что семья </w:t>
      </w:r>
      <w:r>
        <w:t>D.S.</w:t>
      </w:r>
      <w:r w:rsidRPr="006271A6">
        <w:t xml:space="preserve"> пыталась забрать ее сына из больницы и что она опасается за свою собственную безопасность. Она сказала, что возражает против того, чтобы семье ее партнера было предоставлено право опеки над ее сыном. В конце слушания государственный обвинитель заявил суду, что автора необходимо поместить в камеру предварительного заключения. В ходе слушания государственный защитник не сказал ни слова, он не возразил против применения предварительного заключения и не поднял вопрос о том, были ли соблюдены вытекающие из Уголовно-процессуального кодекса требования, касающиеся содержания под стражей. Суд постановил, что автора следует содержать в камере предварительного заключения в тюрьме Глено в округе Эрмера до </w:t>
      </w:r>
      <w:r>
        <w:t xml:space="preserve">даты </w:t>
      </w:r>
      <w:r w:rsidRPr="006271A6">
        <w:t>суд</w:t>
      </w:r>
      <w:r>
        <w:t>ебного разбирательства</w:t>
      </w:r>
      <w:r w:rsidRPr="006271A6">
        <w:t>. Автор утверждает, что ее содержали под стражей в нарушение требований, вытекающих из положений Уголовно-процессуального кодекса</w:t>
      </w:r>
      <w:r w:rsidRPr="00711AA7">
        <w:rPr>
          <w:rStyle w:val="FootnoteReference"/>
          <w:szCs w:val="24"/>
        </w:rPr>
        <w:footnoteReference w:id="4"/>
      </w:r>
      <w:r w:rsidRPr="006271A6">
        <w:t>. В случае автора не было риска побега</w:t>
      </w:r>
      <w:r w:rsidRPr="00B752EC">
        <w:t>;</w:t>
      </w:r>
      <w:r w:rsidRPr="006271A6">
        <w:t xml:space="preserve"> </w:t>
      </w:r>
      <w:r>
        <w:t>кроме того,</w:t>
      </w:r>
      <w:r w:rsidRPr="006271A6">
        <w:t xml:space="preserve"> у нее на руках был 10-месячный сын. Суд также постановил поместить сына автора в один из приютов в Дили, где он находится и по настоящее время. Не было принято никаких мер по рассмотрению альтернативных путей обеспечения безопасности автора, не связанных с лишением свободы и разлучением с сыном.</w:t>
      </w:r>
    </w:p>
    <w:p w14:paraId="7B28EEE0" w14:textId="77777777" w:rsidR="00711AA7" w:rsidRPr="006271A6" w:rsidRDefault="00711AA7" w:rsidP="00711AA7">
      <w:pPr>
        <w:pStyle w:val="SingleTxt"/>
        <w:rPr>
          <w:sz w:val="24"/>
          <w:szCs w:val="24"/>
        </w:rPr>
      </w:pPr>
      <w:r w:rsidRPr="006271A6">
        <w:t>2.13</w:t>
      </w:r>
      <w:r w:rsidRPr="006271A6">
        <w:tab/>
        <w:t xml:space="preserve">23 мая 2012 года, спустя пять месяцев после задержания, в соответствии со статьями 138 и 139 (b) и (g) Уголовного кодекса автору было предъявлено обвинение в совершении убийства при отягчающих обстоятельствах, которое, согласно статьям 2 и 35 (b) Закона о борьбе с бытовым насилием, квалифицируется как семейно-бытовое насилие. Среди прочего, в обвинительном заключении утверждалось, что автор была недовольна тем, что </w:t>
      </w:r>
      <w:r>
        <w:t>D.S.</w:t>
      </w:r>
      <w:r w:rsidRPr="006271A6">
        <w:t xml:space="preserve"> вернулся домой поздно и разбудил ее; что тогда она взяла большой нож, открыла дверь и вышла на крыльцо, где молча прогуливался </w:t>
      </w:r>
      <w:r>
        <w:t>D.S.</w:t>
      </w:r>
      <w:r w:rsidRPr="006271A6">
        <w:t xml:space="preserve">; что </w:t>
      </w:r>
      <w:r>
        <w:t>D.S.</w:t>
      </w:r>
      <w:r w:rsidRPr="006271A6">
        <w:t xml:space="preserve"> стоял спиной к автору и что она приблизилась к нему с ножом в руке со словами: «Привет, как дела?»; что, когда </w:t>
      </w:r>
      <w:r>
        <w:t>D.S.</w:t>
      </w:r>
      <w:r w:rsidRPr="006271A6">
        <w:t xml:space="preserve"> повернулся лицом к автору, она неожиданно нанесла ему удар ножом в верхнюю правую область грудной клетки, поразив легкие и аорту, в результате чего он рухнул на землю и мгновенно скончался; что во время инцидента в доме партнеров также находился брат автора (</w:t>
      </w:r>
      <w:r w:rsidRPr="00562474">
        <w:t>C.S.A.</w:t>
      </w:r>
      <w:r w:rsidRPr="006271A6">
        <w:t xml:space="preserve">); и что автор планировала убить </w:t>
      </w:r>
      <w:r>
        <w:t>D.S.</w:t>
      </w:r>
      <w:r w:rsidRPr="006271A6">
        <w:t xml:space="preserve"> и сделала это намеренно, добровольно и осознанно. При этом копии обвинительного заключения сама автор не получала. Ее государственный защитник не уведомил автора ни об обвинительном заключении, ни о том, что она имеет право обжаловать его.</w:t>
      </w:r>
    </w:p>
    <w:p w14:paraId="6C60F4EB" w14:textId="77777777" w:rsidR="00711AA7" w:rsidRPr="006271A6" w:rsidRDefault="00711AA7" w:rsidP="00711AA7">
      <w:pPr>
        <w:pStyle w:val="SingleTxt"/>
        <w:rPr>
          <w:sz w:val="24"/>
          <w:szCs w:val="24"/>
        </w:rPr>
      </w:pPr>
      <w:r w:rsidRPr="006271A6">
        <w:t>2.14</w:t>
      </w:r>
      <w:r w:rsidRPr="006271A6">
        <w:tab/>
        <w:t xml:space="preserve">В преддверии августа 2012 года автора посетил еще один государственный защитник с просьбой снова рассказать о случившемся. Автор рассказала, что произошло 25 ноября 2011 года, и объяснила что действовала в порядке самообороны, защищаясь от нападения со стороны ее партнера. Автор также рассказала об истории бытового насилия, которое совершал </w:t>
      </w:r>
      <w:r>
        <w:t>D.S.</w:t>
      </w:r>
      <w:r w:rsidRPr="006271A6">
        <w:t>. Государственный защитник сказала автору, что, по ее мнению, автор действовала в порядке самообороны, однако она не предложила автору никакой юридической помощи в связи с предстоящим судебным разбирательством.</w:t>
      </w:r>
    </w:p>
    <w:p w14:paraId="5EA0CACA" w14:textId="77777777" w:rsidR="00711AA7" w:rsidRPr="006271A6" w:rsidRDefault="00711AA7" w:rsidP="00711AA7">
      <w:pPr>
        <w:pStyle w:val="SingleTxt"/>
        <w:rPr>
          <w:sz w:val="24"/>
          <w:szCs w:val="24"/>
        </w:rPr>
      </w:pPr>
      <w:r w:rsidRPr="006271A6">
        <w:t>2.15</w:t>
      </w:r>
      <w:r w:rsidRPr="006271A6">
        <w:tab/>
        <w:t xml:space="preserve">Первое судебное разбирательство по делу автора началось 20 сентября 2012 года. Автор впервые встретилась со своим новым государственным защитником лишь утром в день судебного разбирательства. 6 ноября 2012 года окружной суд Дили признал автора виновной и приговорил ее к 15 годам тюремного заключения. Имея в виду статус </w:t>
      </w:r>
      <w:r>
        <w:t>D.S.</w:t>
      </w:r>
      <w:r w:rsidRPr="006271A6">
        <w:t xml:space="preserve"> как служащего сил обороны и обращаясь к автору, один из судей прокомментировал выносимое решение так: «Мы выносим приговор о тюремном заключении сроком на 15 лет, поскольку вы лишили жизни одного из лучших представителей нашего народа. Жена обязана оберегать мужа». Суд заключил, что автор имела намерение убить </w:t>
      </w:r>
      <w:r>
        <w:t>D.S.</w:t>
      </w:r>
      <w:r w:rsidRPr="006271A6">
        <w:t xml:space="preserve"> и что в отношениях между автором и </w:t>
      </w:r>
      <w:r>
        <w:t>D.S.</w:t>
      </w:r>
      <w:r w:rsidRPr="006271A6">
        <w:t xml:space="preserve"> ранее никогда не было никаких сложностей несмотря на свидетельствующие об обратном факты, представленные автором и позднее дополнительно подтвержденные сестрой </w:t>
      </w:r>
      <w:r>
        <w:t>D.S.</w:t>
      </w:r>
      <w:r w:rsidRPr="006271A6">
        <w:t>. Кроме того, суд проигнорир</w:t>
      </w:r>
      <w:r>
        <w:t>о</w:t>
      </w:r>
      <w:r w:rsidRPr="006271A6">
        <w:t xml:space="preserve">вал показания автора о том, что она взяла в руки нож лишь после того, как </w:t>
      </w:r>
      <w:r>
        <w:t>D.S.</w:t>
      </w:r>
      <w:r w:rsidRPr="006271A6">
        <w:t xml:space="preserve"> нанес ей удары по коленям и по лбу, в результате чего, она упала на землю.</w:t>
      </w:r>
    </w:p>
    <w:p w14:paraId="5990851E" w14:textId="77777777" w:rsidR="00711AA7" w:rsidRPr="006271A6" w:rsidRDefault="00711AA7" w:rsidP="00711AA7">
      <w:pPr>
        <w:pStyle w:val="SingleTxt"/>
        <w:rPr>
          <w:sz w:val="24"/>
          <w:szCs w:val="24"/>
        </w:rPr>
      </w:pPr>
      <w:r w:rsidRPr="006271A6">
        <w:t>2.16</w:t>
      </w:r>
      <w:r w:rsidRPr="006271A6">
        <w:tab/>
        <w:t>Ссылаясь на наличие явных ошибок, допущенных в ходе оценки доказательств, и на недостаточность имеющихся улик для принятия вынесенного решения, 3 декабря 2012 года автор подала апелляцию на решение окружного суда Дили. 12 февраля 2013 года Апелляционный суд поддержал апелляцию, объявил первоначальное решение недействительным и распорядился о проведении повторного судебного разбирательства. Апелляционный суд заключил, что окружной суд первой инстанции вынес решение без надлежащего рассмотрения важнейшего вопроса о том, действительно ли автор действовала в порядке самообороны, и что для обоснования этого решения суда нет достаточных доказательств.</w:t>
      </w:r>
    </w:p>
    <w:p w14:paraId="184FB2A8" w14:textId="77777777" w:rsidR="00711AA7" w:rsidRPr="006271A6" w:rsidRDefault="00711AA7" w:rsidP="00711AA7">
      <w:pPr>
        <w:pStyle w:val="SingleTxt"/>
        <w:rPr>
          <w:sz w:val="24"/>
          <w:szCs w:val="24"/>
        </w:rPr>
      </w:pPr>
      <w:r w:rsidRPr="006271A6">
        <w:t>2.17</w:t>
      </w:r>
      <w:r w:rsidRPr="006271A6">
        <w:tab/>
        <w:t xml:space="preserve">Окружной суд Дили повторно рассмотрел это дело и 17 мая 2013 года на основании статей 138 и 139 (g) Уголовного кодекса и статей 2 и 35 (b) Закона о борьбе с бытовым насилием признал автора виновной в совершении убийства при отягчающих обстоятельствах, квалифицируемого как бытовое насилие. Автор снова была приговорена к 15 годам лишения свободы. Хотя суд удостоверился в том, что </w:t>
      </w:r>
      <w:r>
        <w:t>D.S.</w:t>
      </w:r>
      <w:r w:rsidRPr="006271A6">
        <w:t xml:space="preserve"> дважды ударил автора ногой, прежде чем она взяла в руки нож, суд не согласился с тем, что автор действовала в порядке самообороны. Обоснованием второго судебного решения послужили в основном те же оценки доказательств и аргументы, которые использовались при вынесении первого решения, причем один из судей, участвовавших в первом судебном процессе, также участвовал и в повторном судебном разбирательстве. Единственными свидетелями, давшими устные показания в ходе повторного судебного разбирательства, были автор и ее брат, которого не было в доме во время инцидента.</w:t>
      </w:r>
    </w:p>
    <w:p w14:paraId="448599F1" w14:textId="77777777" w:rsidR="00711AA7" w:rsidRPr="006271A6" w:rsidRDefault="00711AA7" w:rsidP="00711AA7">
      <w:pPr>
        <w:pStyle w:val="SingleTxt"/>
        <w:rPr>
          <w:sz w:val="24"/>
          <w:szCs w:val="24"/>
        </w:rPr>
      </w:pPr>
      <w:r w:rsidRPr="006271A6">
        <w:t>2.18</w:t>
      </w:r>
      <w:r w:rsidRPr="006271A6">
        <w:tab/>
        <w:t>В ходе повторного судебного разбирательства суд отдал предпочтение предыдущим показаниям племянника автора (I.V.), который был свидетелем лишь части инцидента между автором сообщения и ее партнером. Суд сделал вывод о том, что показания I.V. «достоверны и убедительны и ука</w:t>
      </w:r>
      <w:r>
        <w:t>з</w:t>
      </w:r>
      <w:r w:rsidRPr="006271A6">
        <w:t>ывают на ложность версии, представленной [автором]». Суд не дал разъяснений в отношении того, почему он счел показания I.V. заслуживающими большего доверия, чем показания автора. I.V. не явился на повторное слушание для дачи устных показаний и не проходил процедуру перекрестного допроса. Без ведома автора</w:t>
      </w:r>
      <w:r>
        <w:t>,</w:t>
      </w:r>
      <w:r w:rsidRPr="006271A6">
        <w:t xml:space="preserve"> как государственный прокурор, так и государственный защитник подали апелляции в отношении решения, вынесенного по результатам повторного слушания дела. 16 июля 2013 года Апелляционный суд отклонил обе апел</w:t>
      </w:r>
      <w:r>
        <w:t>л</w:t>
      </w:r>
      <w:r w:rsidRPr="006271A6">
        <w:t>яции и оставил в силе вынесенные окружным судом Дили обвинительное заключение и приговор о лишении автора свободы сроком на 15 лет. Апелляционный суд не обнаружил ошибок в ходе оценки улик окружным судом, не проводил собственного разбирательства и не заслушивал автора по вопросу об имеющихся у нее доказательствах.</w:t>
      </w:r>
    </w:p>
    <w:p w14:paraId="546F9442" w14:textId="77777777" w:rsidR="00711AA7" w:rsidRPr="006271A6" w:rsidRDefault="00711AA7" w:rsidP="00711AA7">
      <w:pPr>
        <w:pStyle w:val="SingleTxt"/>
        <w:rPr>
          <w:sz w:val="24"/>
          <w:szCs w:val="24"/>
        </w:rPr>
      </w:pPr>
      <w:r w:rsidRPr="006271A6">
        <w:t>2.19</w:t>
      </w:r>
      <w:r w:rsidRPr="006271A6">
        <w:tab/>
        <w:t>В ходе всех разбирательств по делу автора ей не было обеспечено адекватное юридическое представительство. В ходе первого судебного разбирательства, апелляционного процесса, повторного судебного разбирательства и второго апелляционного производства ее представляли четыре разных государственных защитника, причем они не передавали друг другу имеющиеся у них материалы</w:t>
      </w:r>
      <w:r>
        <w:t xml:space="preserve"> по делу автора</w:t>
      </w:r>
      <w:r w:rsidRPr="006271A6">
        <w:t xml:space="preserve">. Они не уделили достаточного времени для общения с автором, чтобы получить от нее инструкции и подготовить эффективную защиту. Например, автор впервые встретилась со своим государственным защитником лишь утром в день первого слушания ее дела, причем он не только не </w:t>
      </w:r>
      <w:r>
        <w:t>запросил</w:t>
      </w:r>
      <w:r w:rsidRPr="006271A6">
        <w:t xml:space="preserve"> каких-либо инструкций от автора, но и не уведомил ее о ее правах. Государственный защитник не попытался представить доказательства, свидетельствующие об истории семейного насилия по отношению к автору со стороны D.S., которым в значительной мере определялось психическое состояние автора во время этого инцидента.</w:t>
      </w:r>
    </w:p>
    <w:p w14:paraId="57977C6B" w14:textId="77777777" w:rsidR="00711AA7" w:rsidRPr="006271A6" w:rsidRDefault="00711AA7" w:rsidP="00711AA7">
      <w:pPr>
        <w:pStyle w:val="SingleTxt"/>
        <w:rPr>
          <w:sz w:val="24"/>
          <w:szCs w:val="24"/>
        </w:rPr>
      </w:pPr>
      <w:r w:rsidRPr="006271A6">
        <w:t>2.20</w:t>
      </w:r>
      <w:r w:rsidRPr="006271A6">
        <w:tab/>
        <w:t>21 декабря 2015 года Комитет получил уведомление от адвоката автора о том, что ей было предоставлено частичное помилование в том, что касается срока ее заключения, который был сокращен до семи лет. Автор была условно-досрочно освобождена 17 сентября 2015 года.</w:t>
      </w:r>
    </w:p>
    <w:p w14:paraId="698D09E8" w14:textId="77777777" w:rsidR="00711AA7" w:rsidRPr="006271A6" w:rsidRDefault="00711AA7" w:rsidP="00711AA7">
      <w:pPr>
        <w:pStyle w:val="H23G"/>
        <w:ind w:left="1260" w:hanging="1260"/>
        <w:rPr>
          <w:sz w:val="24"/>
          <w:szCs w:val="24"/>
          <w:lang w:val="ru-RU"/>
        </w:rPr>
      </w:pPr>
      <w:r w:rsidRPr="006271A6">
        <w:rPr>
          <w:lang w:val="ru-RU"/>
        </w:rPr>
        <w:tab/>
      </w:r>
      <w:r w:rsidRPr="006271A6">
        <w:rPr>
          <w:lang w:val="ru-RU"/>
        </w:rPr>
        <w:tab/>
      </w:r>
      <w:r w:rsidRPr="006271A6">
        <w:rPr>
          <w:bCs/>
          <w:lang w:val="ru-RU"/>
        </w:rPr>
        <w:t>Жалоба</w:t>
      </w:r>
    </w:p>
    <w:p w14:paraId="62C1FED8" w14:textId="77777777" w:rsidR="00711AA7" w:rsidRPr="006271A6" w:rsidRDefault="00711AA7" w:rsidP="00711AA7">
      <w:pPr>
        <w:pStyle w:val="SingleTxtG"/>
        <w:ind w:left="1260"/>
        <w:rPr>
          <w:sz w:val="24"/>
          <w:szCs w:val="24"/>
          <w:lang w:val="ru-RU"/>
        </w:rPr>
      </w:pPr>
      <w:r w:rsidRPr="006271A6">
        <w:rPr>
          <w:lang w:val="ru-RU"/>
        </w:rPr>
        <w:t>3.1</w:t>
      </w:r>
      <w:r w:rsidRPr="006271A6">
        <w:rPr>
          <w:lang w:val="ru-RU"/>
        </w:rPr>
        <w:tab/>
        <w:t>Автор заявляет, что власти Тимора-Лешти нарушили обязательства своего государства, вытекающие из статей 2 (c), (d), (f) и 15 Конвенции. Автор также ссылается на свои права, закрепленные в Международном пакте о гражданских и политических правах, в частности в его статье 14, касающейся права на справедливое судебное разбирательство.</w:t>
      </w:r>
    </w:p>
    <w:p w14:paraId="475A7E15" w14:textId="77777777" w:rsidR="00711AA7" w:rsidRPr="006271A6" w:rsidRDefault="00711AA7" w:rsidP="00711AA7">
      <w:pPr>
        <w:pStyle w:val="SingleTxt"/>
        <w:rPr>
          <w:sz w:val="24"/>
          <w:szCs w:val="24"/>
        </w:rPr>
      </w:pPr>
      <w:r w:rsidRPr="006271A6">
        <w:t>3.2</w:t>
      </w:r>
      <w:r w:rsidRPr="006271A6">
        <w:tab/>
        <w:t>Она утверждает, что государство-участник нарушило положения статьи 2 (c) и (d), не приняв надлежащих мер для защиты автора от насилия в семье и не обеспеч</w:t>
      </w:r>
      <w:r>
        <w:t>и</w:t>
      </w:r>
      <w:r w:rsidRPr="006271A6">
        <w:t>в доступных и своевременных средств правовой защиты. Несмотря на то, что о насилии D.S. по отношению к автору сообщалось деревенскому старосте, его заместителю и представителям сил обороны, ни один из этих субъектов власти не предоставил автору надлежащей защиты, в том числе путем передачи ее дела в полицию или в организации, занимающиеся предоставлением соответствующих услуг.</w:t>
      </w:r>
    </w:p>
    <w:p w14:paraId="75A3CEC2" w14:textId="3868A18F" w:rsidR="00711AA7" w:rsidRDefault="00711AA7" w:rsidP="00711AA7">
      <w:pPr>
        <w:pStyle w:val="SingleTxt"/>
      </w:pPr>
      <w:r w:rsidRPr="006271A6">
        <w:t>3.3</w:t>
      </w:r>
      <w:r w:rsidRPr="006271A6">
        <w:tab/>
        <w:t>Автор далее утверждает, что власти Тимора-Лешти наруш</w:t>
      </w:r>
      <w:r>
        <w:t>и</w:t>
      </w:r>
      <w:r w:rsidRPr="006271A6">
        <w:t>ли статьи 2 (f) и 15, поскольку он</w:t>
      </w:r>
      <w:r>
        <w:t>и</w:t>
      </w:r>
      <w:r w:rsidRPr="006271A6">
        <w:t xml:space="preserve"> не обеспечили беспристрастность и справедливость юридических процедур и судебных разбирательств и не позаботились о том, чтобы последние не подвергались влиянию пред</w:t>
      </w:r>
      <w:r>
        <w:t>в</w:t>
      </w:r>
      <w:r w:rsidRPr="006271A6">
        <w:t>зятых мнений и гендерных предрассудков. Автор заявляет, что ее право на справедливое судебное разбирательство было нарушено на всех этапах, включая первое судебное разбирательство, апелляцию, повторное судебное разбирательство и повторную апелляцию, поскольку она не была должным образом проинформирована о своих правах ни до начала, ни в ходе соответствующих судебных процедур; он</w:t>
      </w:r>
      <w:r>
        <w:t>а не имела надлежащей юридическ</w:t>
      </w:r>
      <w:r w:rsidRPr="006271A6">
        <w:t>ой защиты, и четыре представлявших ее государственных защитника не обменивались между собой относящейся к делу автора информацией; кроме того, государственные защитники не уделили достаточного времени для подготовки эффективной защиты автора и не приложили надлежащих усилий для того, чтобы отстоять ее интересы в суде; оценка улик в окружном суде Дили и в Апелляционном суде осуществлялась на основе гендерных предрассудков и крайней предвзятости мнений по отношению к автору; при рассмотрении представленных автором доказательств, в частности доказательств истории семейно-бытового насилия по отношению к автору со стороны ее партнера, суды действовали без учета гендерных факторов. Ни суды, ни государственные защитники автора не уделили должного внимания рассмотрению аспектов дела, связанных с серьезными психическими и физическими травмами, причиненными автору как жертве семейно-бытового насилия.</w:t>
      </w:r>
    </w:p>
    <w:p w14:paraId="210AC95C" w14:textId="40EA5ABB" w:rsidR="00711AA7" w:rsidRPr="00711AA7" w:rsidRDefault="00711AA7" w:rsidP="00711AA7">
      <w:pPr>
        <w:pStyle w:val="SingleTxt"/>
        <w:spacing w:after="0" w:line="120" w:lineRule="exact"/>
        <w:rPr>
          <w:sz w:val="10"/>
        </w:rPr>
      </w:pPr>
    </w:p>
    <w:p w14:paraId="283FCE3B" w14:textId="64498C42" w:rsidR="00711AA7" w:rsidRPr="006271A6" w:rsidRDefault="00711AA7" w:rsidP="00711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r>
      <w:r w:rsidRPr="006271A6">
        <w:t>Отсутствие замечаний государства-участника относительно существа сообщения</w:t>
      </w:r>
    </w:p>
    <w:p w14:paraId="13237315" w14:textId="77777777" w:rsidR="00711AA7" w:rsidRPr="00711AA7" w:rsidRDefault="00711AA7" w:rsidP="00711AA7">
      <w:pPr>
        <w:pStyle w:val="SingleTxt"/>
        <w:spacing w:after="0" w:line="120" w:lineRule="exact"/>
        <w:rPr>
          <w:sz w:val="10"/>
        </w:rPr>
      </w:pPr>
    </w:p>
    <w:p w14:paraId="32D77AB0" w14:textId="45135EAA" w:rsidR="00711AA7" w:rsidRDefault="00711AA7" w:rsidP="00711AA7">
      <w:pPr>
        <w:pStyle w:val="SingleTxt"/>
        <w:rPr>
          <w:sz w:val="24"/>
          <w:szCs w:val="24"/>
        </w:rPr>
      </w:pPr>
      <w:r w:rsidRPr="006271A6">
        <w:t>4.</w:t>
      </w:r>
      <w:r w:rsidRPr="006271A6">
        <w:tab/>
        <w:t>Государству-участнику был направлен запрос о представлении, не позднее 10 декабря 2015 года, его замечаний относительно приемлемости и существа жалобы, содержащейся в сообщении автора. Напоминания об этом запросе были направлены государству-участнику 17 марта 2016 года, 20 октября 2016 года и 16 июня 2017 года, и был установлен крайний срок для представления замечаний, а именно 14 июля 2017 года. Комитет выражает сожаление в связи с тем, что на момент принятия настоящих мнений он не получил от государства-участника никаких соответствующих сообщений. В этой связи Комитет обязан принимать решение на основе информации, представленной автором сообщения, при условии, что существуют достаточные подтверждения достоверности этой информации.</w:t>
      </w:r>
    </w:p>
    <w:p w14:paraId="0F8A6FD5" w14:textId="1B23A533" w:rsidR="00711AA7" w:rsidRPr="00711AA7" w:rsidRDefault="00711AA7" w:rsidP="00711AA7">
      <w:pPr>
        <w:pStyle w:val="SingleTxt"/>
        <w:spacing w:after="0" w:line="120" w:lineRule="exact"/>
        <w:rPr>
          <w:sz w:val="10"/>
          <w:szCs w:val="24"/>
        </w:rPr>
      </w:pPr>
    </w:p>
    <w:p w14:paraId="4CF0F334" w14:textId="46530096" w:rsidR="00711AA7" w:rsidRDefault="00711AA7" w:rsidP="00711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1A6">
        <w:t>Вопросы и процедура их рассмотрения в Комитете</w:t>
      </w:r>
    </w:p>
    <w:p w14:paraId="794A4FD5" w14:textId="5D970A64" w:rsidR="00711AA7" w:rsidRPr="00711AA7" w:rsidRDefault="00711AA7" w:rsidP="00711AA7">
      <w:pPr>
        <w:pStyle w:val="SingleTxt"/>
        <w:spacing w:after="0" w:line="120" w:lineRule="exact"/>
        <w:rPr>
          <w:sz w:val="10"/>
        </w:rPr>
      </w:pPr>
    </w:p>
    <w:p w14:paraId="52AEEDE7" w14:textId="35497C3D" w:rsidR="00711AA7" w:rsidRPr="006271A6" w:rsidRDefault="00711AA7" w:rsidP="00711A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r>
      <w:r w:rsidRPr="006271A6">
        <w:t>Рассмотрение вопроса о приемлемости</w:t>
      </w:r>
    </w:p>
    <w:p w14:paraId="7CE381EC" w14:textId="77777777" w:rsidR="00711AA7" w:rsidRPr="00711AA7" w:rsidRDefault="00711AA7" w:rsidP="00711AA7">
      <w:pPr>
        <w:pStyle w:val="SingleTxt"/>
        <w:spacing w:after="0" w:line="120" w:lineRule="exact"/>
        <w:rPr>
          <w:sz w:val="10"/>
        </w:rPr>
      </w:pPr>
    </w:p>
    <w:p w14:paraId="1BE992DC" w14:textId="3C5751A2" w:rsidR="00711AA7" w:rsidRPr="006271A6" w:rsidRDefault="00711AA7" w:rsidP="00711AA7">
      <w:pPr>
        <w:pStyle w:val="SingleTxt"/>
        <w:rPr>
          <w:sz w:val="24"/>
          <w:szCs w:val="24"/>
        </w:rPr>
      </w:pPr>
      <w:r w:rsidRPr="006271A6">
        <w:t>5.1</w:t>
      </w:r>
      <w:r w:rsidRPr="006271A6">
        <w:tab/>
        <w:t>В соответствии с правилом 64 правил процедуры Комитета ему надлежит принять решение о том, является ли сообщение приемлемым в соответствии с Факультативным протоколом. Согласно правилу 72 (4), Комитет обязан решить вопрос о приемл</w:t>
      </w:r>
      <w:r>
        <w:t>е</w:t>
      </w:r>
      <w:r w:rsidRPr="006271A6">
        <w:t>мости до начала рассмотрения сообщения по существу.</w:t>
      </w:r>
    </w:p>
    <w:p w14:paraId="6AB3B086" w14:textId="77777777" w:rsidR="00711AA7" w:rsidRPr="006271A6" w:rsidRDefault="00711AA7" w:rsidP="00711AA7">
      <w:pPr>
        <w:pStyle w:val="SingleTxt"/>
        <w:rPr>
          <w:sz w:val="24"/>
          <w:szCs w:val="24"/>
        </w:rPr>
      </w:pPr>
      <w:r w:rsidRPr="006271A6">
        <w:t>5.2</w:t>
      </w:r>
      <w:r w:rsidRPr="006271A6">
        <w:tab/>
        <w:t>Ссылаясь на положения статьи 4 (2) (a) Факультативного протокола, Комитет отмечает утверждение автора о том, что тот же вопрос не рассматривался и не рассматривается в рамках другой процедуры международного разбирательства или урегулирования. Комитет соглашается с этим утверждением, поскольку не существует никаких заявлений об обратном, и в имеющейся документации нет никаких подтверждений того, что какие-либо подобные процедуры уже проводились или проводятся в настоящее время.</w:t>
      </w:r>
    </w:p>
    <w:p w14:paraId="0A880423" w14:textId="77777777" w:rsidR="00711AA7" w:rsidRPr="006271A6" w:rsidRDefault="00711AA7" w:rsidP="00711AA7">
      <w:pPr>
        <w:pStyle w:val="SingleTxt"/>
        <w:rPr>
          <w:sz w:val="24"/>
          <w:szCs w:val="24"/>
        </w:rPr>
      </w:pPr>
      <w:r w:rsidRPr="006271A6">
        <w:t>5.3</w:t>
      </w:r>
      <w:r w:rsidRPr="006271A6">
        <w:tab/>
        <w:t xml:space="preserve">Что касается исчерпания </w:t>
      </w:r>
      <w:r>
        <w:t>государственных</w:t>
      </w:r>
      <w:r w:rsidRPr="006271A6">
        <w:t xml:space="preserve"> средств правовой защиты в соответствии со статьей 4 (1) Факультативного протокола к Конвенции, то автор утверждает, что она исчерпала все средства правовой защиты, имевшиеся в ее распоряжении в рамках законодательства Тимора-Лешти. 16 июля 2013 года Апелляционный суд вынес свое решение, и автор заявляет, что у нее более нет никаких других возможностей для дальнейшего обжалования. Она далее утверждает, что </w:t>
      </w:r>
      <w:r>
        <w:t>ее дело</w:t>
      </w:r>
      <w:r w:rsidRPr="006271A6">
        <w:t xml:space="preserve"> не отвечает требованиям для обжалования в чрезвычайном порядке в соответствии со статьей 315 Уголовно-процессуального кодекса. Апелляционный суд является высшей апелляционной инстанцией в государстве-участнике. В силу отсутствия заявлений государства-участника об обратном, Комитет признает, что автор исчерпала все средства правовой защиты, и поэтому считает, что требования статьи 4 (1) Факультативного протокола не препятствуют тому, чтобы Комитет приступил к рассмотрению этого дела по существу.</w:t>
      </w:r>
    </w:p>
    <w:p w14:paraId="1F136512" w14:textId="0A384626" w:rsidR="00711AA7" w:rsidRPr="006271A6" w:rsidRDefault="00711AA7" w:rsidP="00711AA7">
      <w:pPr>
        <w:pStyle w:val="SingleTxt"/>
        <w:rPr>
          <w:sz w:val="24"/>
          <w:szCs w:val="24"/>
        </w:rPr>
      </w:pPr>
      <w:r w:rsidRPr="006271A6">
        <w:t>5.4</w:t>
      </w:r>
      <w:r w:rsidRPr="006271A6">
        <w:tab/>
        <w:t>Комитет отмечает, что автор ссылается на нарушение статьи 14 Международного пакта о гражданских и политических правах в том, что касается судебных разбирательств по ее делу. Комитет</w:t>
      </w:r>
      <w:r>
        <w:t xml:space="preserve"> считает, что, исходя из смысла</w:t>
      </w:r>
      <w:r>
        <w:br/>
      </w:r>
      <w:r w:rsidRPr="006271A6">
        <w:t xml:space="preserve">статьи 4 (2) (b) Факультативного протокола, данная часть жалобы, содержащейся в сообщении, является неприемлемой </w:t>
      </w:r>
      <w:r w:rsidRPr="006271A6">
        <w:rPr>
          <w:i/>
          <w:iCs/>
        </w:rPr>
        <w:t>ratione materiae</w:t>
      </w:r>
      <w:r w:rsidRPr="006271A6">
        <w:t xml:space="preserve">. В связи с этим Комитет не может рассматривать этот аспект жалобы. </w:t>
      </w:r>
    </w:p>
    <w:p w14:paraId="4619196A" w14:textId="77777777" w:rsidR="00711AA7" w:rsidRPr="006271A6" w:rsidRDefault="00711AA7" w:rsidP="00711AA7">
      <w:pPr>
        <w:pStyle w:val="SingleTxt"/>
        <w:rPr>
          <w:sz w:val="24"/>
          <w:szCs w:val="24"/>
        </w:rPr>
      </w:pPr>
      <w:r w:rsidRPr="006271A6">
        <w:t>5.5</w:t>
      </w:r>
      <w:r w:rsidRPr="006271A6">
        <w:tab/>
        <w:t xml:space="preserve">Комитет отмечает, что автор получила частичное помилование, и в результате срок ее тюремного заключения был сокращен с 15 до 7 лет. </w:t>
      </w:r>
      <w:r>
        <w:t>О</w:t>
      </w:r>
      <w:r w:rsidRPr="006271A6">
        <w:t>снов</w:t>
      </w:r>
      <w:r>
        <w:t>ываясь на</w:t>
      </w:r>
      <w:r w:rsidRPr="006271A6">
        <w:t xml:space="preserve"> полученной информации</w:t>
      </w:r>
      <w:r>
        <w:t>,</w:t>
      </w:r>
      <w:r w:rsidRPr="006271A6">
        <w:t xml:space="preserve"> Комитет делает вывод о том, что решение о помиловании относится </w:t>
      </w:r>
      <w:r>
        <w:t>исключительно</w:t>
      </w:r>
      <w:r w:rsidRPr="006271A6">
        <w:t xml:space="preserve"> к сроку лишения свободы, но не распространяется на содержание обвинительного приговора. Поэтому Комитет не считает, что помилование имеет отношение к делу в плане рассмотрения Комитетом приведенных автором фактов, упом</w:t>
      </w:r>
      <w:r>
        <w:t>янутых</w:t>
      </w:r>
      <w:r w:rsidRPr="006271A6">
        <w:t xml:space="preserve"> выше.</w:t>
      </w:r>
    </w:p>
    <w:p w14:paraId="4BF0C1FC" w14:textId="3D8635D8" w:rsidR="00711AA7" w:rsidRDefault="00711AA7" w:rsidP="00711AA7">
      <w:pPr>
        <w:pStyle w:val="SingleTxt"/>
      </w:pPr>
      <w:r w:rsidRPr="006271A6">
        <w:t>5.6</w:t>
      </w:r>
      <w:r w:rsidRPr="006271A6">
        <w:tab/>
        <w:t xml:space="preserve">При этом Комитет отмечает, что он не располагает никакой информацией, указывающей на какие-либо формальные причины, по которым жалобу, содержащуюся в данном сообщении, можно было бы считать неприемлемой. Комитет также отмечает, что не он получил никакой информации от государства-участника в связи с рассматриваемым делом. Учитывая это обстоятельство, Комитет принимает решение о том, что заявления автора заслуживают должного внимания в той мере, в которой им имеется достаточное подтверждение. В свете вышесказанного Комитет считает, что не существует препятствий для рассмотрения данного сообщения в соответствии со статьей 4 Факультативного протокола, и, следовательно, приступает к рассмотрению сообщения по существу. </w:t>
      </w:r>
    </w:p>
    <w:p w14:paraId="60CC6AC5" w14:textId="140C020C" w:rsidR="00711AA7" w:rsidRPr="00711AA7" w:rsidRDefault="00711AA7" w:rsidP="00711AA7">
      <w:pPr>
        <w:pStyle w:val="SingleTxt"/>
        <w:spacing w:after="0" w:line="120" w:lineRule="exact"/>
        <w:rPr>
          <w:sz w:val="10"/>
        </w:rPr>
      </w:pPr>
    </w:p>
    <w:p w14:paraId="6E4ECF83" w14:textId="7170EBFB" w:rsidR="00711AA7" w:rsidRPr="006271A6" w:rsidRDefault="00711AA7" w:rsidP="00711A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r>
      <w:r w:rsidRPr="006271A6">
        <w:t>Рассмотрение сообщения по существу</w:t>
      </w:r>
    </w:p>
    <w:p w14:paraId="7F37B559" w14:textId="77777777" w:rsidR="00711AA7" w:rsidRPr="00711AA7" w:rsidRDefault="00711AA7" w:rsidP="00711AA7">
      <w:pPr>
        <w:pStyle w:val="SingleTxt"/>
        <w:spacing w:after="0" w:line="120" w:lineRule="exact"/>
        <w:ind w:left="1264" w:right="1264"/>
        <w:rPr>
          <w:sz w:val="10"/>
        </w:rPr>
      </w:pPr>
    </w:p>
    <w:p w14:paraId="607BD52A" w14:textId="05754729" w:rsidR="00711AA7" w:rsidRPr="006271A6" w:rsidRDefault="00711AA7" w:rsidP="00711AA7">
      <w:pPr>
        <w:pStyle w:val="SingleTxt"/>
        <w:ind w:left="1264" w:right="1264"/>
        <w:rPr>
          <w:sz w:val="24"/>
          <w:szCs w:val="24"/>
        </w:rPr>
      </w:pPr>
      <w:r w:rsidRPr="006271A6">
        <w:t>6.1</w:t>
      </w:r>
      <w:r w:rsidRPr="006271A6">
        <w:tab/>
        <w:t>Комитет рассматривает настоящее сообщение в свете всей представленной ему автором информации (и в отсутствие каких-либо замечаний со стороны государства-участника) в соответствии с положениями статьи 9 (1) Факультативного протокола.</w:t>
      </w:r>
    </w:p>
    <w:p w14:paraId="09ADA0C6" w14:textId="6D42AD8B" w:rsidR="00711AA7" w:rsidRPr="006271A6" w:rsidRDefault="00711AA7" w:rsidP="00711AA7">
      <w:pPr>
        <w:pStyle w:val="SingleTxt"/>
        <w:rPr>
          <w:sz w:val="24"/>
          <w:szCs w:val="24"/>
        </w:rPr>
      </w:pPr>
      <w:r w:rsidRPr="006271A6">
        <w:t>6.2</w:t>
      </w:r>
      <w:r w:rsidRPr="006271A6">
        <w:tab/>
        <w:t>Комитет рассматривает следующие вопросы: во-первых, выполнило ли государство-участник свои обязательства по Конвенции, в частности, в том, что касается обязательства прояв</w:t>
      </w:r>
      <w:r>
        <w:t>ля</w:t>
      </w:r>
      <w:r w:rsidRPr="006271A6">
        <w:t>ть должную осмотрительность в плане обеспечения защиты автора от семейно-бытового на</w:t>
      </w:r>
      <w:r>
        <w:t>силия до событий 25 ноября 2011</w:t>
      </w:r>
      <w:r>
        <w:rPr>
          <w:lang w:val="en-US"/>
        </w:rPr>
        <w:t> </w:t>
      </w:r>
      <w:r w:rsidRPr="006271A6">
        <w:t xml:space="preserve">года и действий государства в отношении автора в связи с этими событиями; и, во-вторых, осуществляли ли судебные и другие органы государства-участника свои мандаты без какой бы то ни было дискриминации по признаку пола, с тем чтобы у автора была возможность реализовать свое право на справедливое судебное разбирательство, не оскверненное присутствием предубеждений, дискриминационной практики и гендерных стереотипов. </w:t>
      </w:r>
    </w:p>
    <w:p w14:paraId="64FD90B6" w14:textId="77777777" w:rsidR="00711AA7" w:rsidRPr="006271A6" w:rsidRDefault="00711AA7" w:rsidP="00711AA7">
      <w:pPr>
        <w:pStyle w:val="SingleTxt"/>
        <w:rPr>
          <w:sz w:val="24"/>
          <w:szCs w:val="24"/>
        </w:rPr>
      </w:pPr>
      <w:r w:rsidRPr="006271A6">
        <w:t>6.3</w:t>
      </w:r>
      <w:r w:rsidRPr="006271A6">
        <w:tab/>
        <w:t>Что касается первого аспекта, а именно выполнения государством-участником его обязательства проявлять должную осмотрительность, то Комитет отмечает утверждения автора о том, что ее жалобы, адресованные деревенским старостам и представителям сил обороны в связи с тем, что она подверга</w:t>
      </w:r>
      <w:r>
        <w:t>лась</w:t>
      </w:r>
      <w:r w:rsidRPr="006271A6">
        <w:t xml:space="preserve"> семейно-бытовому насилию, не были доведены до сведения полиции; что, несмотря на наличие протокола и фотографий ее травм, которые свидетельствовали о многочисленных примерах насилия в семье, она не была доставлена в больницу для получения медицинской помощи и ее дело не было препровождено в правоохранительные органы или органы, осуществляющие судебное преследование; и что, как представляется, ей не были предоставлены относящиеся к делу материалы, которые она могла бы использовать в качестве доказательств в свою защиту. </w:t>
      </w:r>
    </w:p>
    <w:p w14:paraId="6EA58C94" w14:textId="77777777" w:rsidR="00711AA7" w:rsidRPr="006271A6" w:rsidRDefault="00711AA7" w:rsidP="00711AA7">
      <w:pPr>
        <w:pStyle w:val="SingleTxt"/>
        <w:rPr>
          <w:sz w:val="24"/>
          <w:szCs w:val="24"/>
        </w:rPr>
      </w:pPr>
      <w:r w:rsidRPr="006271A6">
        <w:t>6.4</w:t>
      </w:r>
      <w:r w:rsidRPr="006271A6">
        <w:tab/>
        <w:t>Что касается жалобы автора в связи с тем, что ее заявления о насилии в семье не были доведены до сведения соответствующих властей, то Комитет отмечает, что деревенские старосты не сообщили о ее жалобах в органы власти и что, кроме того, силы обороны, будучи государственной структурой, не препроводили жалобу автора в прокуратуру. По</w:t>
      </w:r>
      <w:r>
        <w:t>э</w:t>
      </w:r>
      <w:r w:rsidRPr="006271A6">
        <w:t>тому Комитет заключает, что силы обороны, которые, будучи органом государственной власти и следуя процедурам, аналогичным процедурам, применяемым при расследовании уголовных преступлений (о чем свидетельст</w:t>
      </w:r>
      <w:r>
        <w:t>в</w:t>
      </w:r>
      <w:r w:rsidRPr="006271A6">
        <w:t>уют оформление протокола и фотосъемка), по всей видимости, проигнорировали показания автора (несмотря на то, что в результате ее показаний нарушителю пришлось подписать признательные показания) и тем самым не исполнили свою обяза</w:t>
      </w:r>
      <w:r>
        <w:t>н</w:t>
      </w:r>
      <w:r w:rsidRPr="006271A6">
        <w:t>ность в плане соблюдения должной осмотрительност</w:t>
      </w:r>
      <w:r>
        <w:t>и</w:t>
      </w:r>
      <w:r w:rsidRPr="006271A6">
        <w:t>, поскольку они не приняли никаких мер по обеспечению защиты автора.</w:t>
      </w:r>
    </w:p>
    <w:p w14:paraId="600EEA46" w14:textId="77777777" w:rsidR="00711AA7" w:rsidRPr="006271A6" w:rsidRDefault="00711AA7" w:rsidP="00711AA7">
      <w:pPr>
        <w:pStyle w:val="SingleTxt"/>
        <w:rPr>
          <w:sz w:val="24"/>
          <w:szCs w:val="24"/>
        </w:rPr>
      </w:pPr>
      <w:r w:rsidRPr="006271A6">
        <w:t>6.5</w:t>
      </w:r>
      <w:r w:rsidRPr="006271A6">
        <w:tab/>
        <w:t xml:space="preserve">Что касается второго аспекта жалобы автора, а именно гендерной дискриминации и гендерных стереотипов в рамках системы судебных и других органов государства-участника, то силы обороны поверили обещанию партнера автора и сочли, что, он и в самом деле </w:t>
      </w:r>
      <w:r>
        <w:t>более</w:t>
      </w:r>
      <w:r w:rsidRPr="006271A6">
        <w:t xml:space="preserve"> не </w:t>
      </w:r>
      <w:r>
        <w:t>станет</w:t>
      </w:r>
      <w:r w:rsidRPr="006271A6">
        <w:t xml:space="preserve"> избивать автора. Комитет далее отмечает, что правоохранительные органы государства-участника не предоставили автору медицинской помощи после ареста, не проинформировали ее о ее правах, не предоставили адвоката при первом интервью и не приняли мер в целях сбора доказательств, которые могли бы способствовать защите интересов автора; содержали автора под стражей значительно дольше, чем это предусмотрено законом, несмотря на ее положение кормящей матери; не предоставили автору психологической поддержки после ареста, соответствующей тому состоянию, в котором пребывает человек, заявляющий о том, что он подвергся нападению и совершил убийство в порядке самообороны; не позаботились о том, чтобы назначенный адвокат предпринял необходимые действия для эффективной защиты автора (например, возразил против досудебного содержания кормящей матери под стражей, проконсультировал автора по вопросам правовой защиты или помог ей в плане подготовки защиты в ходе судебных разбирательств); и, наконец, что судьи, несмотря на то, что повторное разбирательство было назначено на том основании, что заявлению автора о том, что она действовала в порядке самообороны, в ходе первого разбирательства не было уделено должного внимания, позволили возобладать гендерным стереотипам и предубеждениям при оценке доказательств в ходе второго судебного разбирательства, о чем, в частности, свидетельствует тот факт, что судьи сочли показания автора заслуживающими меньшего доверия, чем показания ее племянника, который был свидетелем лишь части произошедших событий. В настоящее время Комитет не занимается подробным изучением обстоятельств первого судебного разбирательства, однако, с учетом того, что принятое по его итогам решение было отменено Апелляционным судом, становится очевидно, что, поскольку самооборона при тех условиях, в которых находилась автор, абсолютно оправдана и действия автора невозможно квалифицировать как преднамеренное убийство, повторное разбирательство не устранило предыдущих нарушений, и информация о первом слушании, в ходе которого автору было сказано, что «жена обязана оберегать мужа», указывает на существование систематических</w:t>
      </w:r>
      <w:r>
        <w:t xml:space="preserve"> и</w:t>
      </w:r>
      <w:r w:rsidRPr="006271A6">
        <w:t xml:space="preserve"> глубоко укоренившихся предубеждений, которые также проявились в ходе повторного судебного разбирательства и повлекли за собой чрезвычайно пагубные последствия для жизни автора и ее сына. Серьезность подобных нарушений принципов надлежащего судопроизводства невозможно переоценить. В этой связи Комитет ссылается на свою общую рекомендацию № 28 (2010), касающуюся основных обязательств государств-участников по статье 2 Конвенции, в которой говорится, что «государства-участники должны учитывать все аспекты своих правовых обязательств, вытекающих из Конвенции, в плане уважения, защиты и осуществления права женщин на недискриминацию и на возможность пользоваться равенством» и что «они также обязаны активно реагировать на факты дискриминации в отношении женщин, причем независимо от того, исходят ли такие действия либо бездействие от государства или частных субъектов»</w:t>
      </w:r>
      <w:r w:rsidRPr="00711AA7">
        <w:rPr>
          <w:rStyle w:val="FootnoteReference"/>
          <w:szCs w:val="24"/>
        </w:rPr>
        <w:footnoteReference w:id="5"/>
      </w:r>
      <w:r w:rsidRPr="006271A6">
        <w:t>.</w:t>
      </w:r>
    </w:p>
    <w:p w14:paraId="373E5779" w14:textId="77777777" w:rsidR="00711AA7" w:rsidRPr="006271A6" w:rsidRDefault="00711AA7" w:rsidP="00711AA7">
      <w:pPr>
        <w:pStyle w:val="SingleTxt"/>
        <w:rPr>
          <w:sz w:val="24"/>
          <w:szCs w:val="24"/>
        </w:rPr>
      </w:pPr>
      <w:r w:rsidRPr="006271A6">
        <w:t>6.6</w:t>
      </w:r>
      <w:r w:rsidRPr="006271A6">
        <w:tab/>
        <w:t>В этой связи Комитет ссылается на свою общую рекомендацию № 33 (2015), касающ</w:t>
      </w:r>
      <w:r>
        <w:t>ую</w:t>
      </w:r>
      <w:r w:rsidRPr="006271A6">
        <w:t xml:space="preserve">ся доступа женщин к правосудию, в которой говорится следующее: </w:t>
      </w:r>
    </w:p>
    <w:p w14:paraId="6DAE80D7" w14:textId="77777777" w:rsidR="00711AA7" w:rsidRPr="006271A6" w:rsidRDefault="00711AA7" w:rsidP="00711AA7">
      <w:pPr>
        <w:pStyle w:val="SingleTxt"/>
        <w:ind w:left="1701"/>
        <w:rPr>
          <w:sz w:val="24"/>
          <w:szCs w:val="24"/>
        </w:rPr>
      </w:pPr>
      <w:r>
        <w:t>«</w:t>
      </w:r>
      <w:r w:rsidRPr="006271A6">
        <w:t xml:space="preserve">Часто судьи устанавливают жесткие требования в отношении того, что, по их мнению, является надлежащей нормой поведения для женщины, и подвергают наказанию тех, кто не соответствует этим стереотипам. Стереотипы также негативно сказываются на доверии к заявлениям женщин, приводимым ими аргументам и свидетельским показаниям в качестве сторон и свидетелей в суде. Существование тех или иных стереотипов может стать причиной неверного толкования или применения законов судьями [...] Во всех областях права стереотипы ставят под угрозу беспристрастность и добросовестность судебной системы, что, в свою очередь, может стать причиной судебных ошибок, включая повторную виктимизацию истца. </w:t>
      </w:r>
    </w:p>
    <w:p w14:paraId="5A91A7AC" w14:textId="77777777" w:rsidR="00711AA7" w:rsidRPr="006271A6" w:rsidRDefault="00711AA7" w:rsidP="00711AA7">
      <w:pPr>
        <w:pStyle w:val="SingleTxt"/>
        <w:ind w:left="1701"/>
        <w:rPr>
          <w:sz w:val="24"/>
          <w:szCs w:val="24"/>
        </w:rPr>
      </w:pPr>
      <w:r w:rsidRPr="006271A6">
        <w:t>Судьи, магистраты и третейские судьи – это не единственные действующие лица в системе правосудия, которые применяют, поддерживают и закрепляют стереотипы. Прокуроры, сотрудники правоохранительных органов и другие участники процесса часто находятся под влиянием стереотипов в ходе следствия и судебного разбирательства, особенно при рассмотрении дел, связанных с гендерным насилием; при этом такие стереотипы подчас подрывают аргументы потерпевшей стороны [...] В результате стереотипы могут определять ход расследования и судебного разбирательства, а также характер принимаемых судебных решений</w:t>
      </w:r>
      <w:r>
        <w:t>»</w:t>
      </w:r>
      <w:r w:rsidRPr="006271A6">
        <w:t xml:space="preserve">. </w:t>
      </w:r>
    </w:p>
    <w:p w14:paraId="20DA5D29" w14:textId="77777777" w:rsidR="00711AA7" w:rsidRPr="006271A6" w:rsidRDefault="00711AA7" w:rsidP="00711AA7">
      <w:pPr>
        <w:pStyle w:val="SingleTxt"/>
        <w:rPr>
          <w:sz w:val="24"/>
          <w:szCs w:val="24"/>
        </w:rPr>
      </w:pPr>
      <w:r w:rsidRPr="006271A6">
        <w:t>6.7</w:t>
      </w:r>
      <w:r w:rsidRPr="006271A6">
        <w:tab/>
        <w:t xml:space="preserve">Комитет </w:t>
      </w:r>
      <w:r>
        <w:t>ссылается на</w:t>
      </w:r>
      <w:r w:rsidRPr="006271A6">
        <w:t xml:space="preserve"> сво</w:t>
      </w:r>
      <w:r>
        <w:t>ю</w:t>
      </w:r>
      <w:r w:rsidRPr="006271A6">
        <w:t xml:space="preserve"> общ</w:t>
      </w:r>
      <w:r>
        <w:t>ую</w:t>
      </w:r>
      <w:r w:rsidRPr="006271A6">
        <w:t xml:space="preserve"> рекомендаци</w:t>
      </w:r>
      <w:r>
        <w:t>ю</w:t>
      </w:r>
      <w:r w:rsidRPr="006271A6">
        <w:t xml:space="preserve"> № 19 (1992) о насилии в отношении женщин и сво</w:t>
      </w:r>
      <w:r>
        <w:t>ю</w:t>
      </w:r>
      <w:r w:rsidRPr="006271A6">
        <w:t xml:space="preserve"> общ</w:t>
      </w:r>
      <w:r>
        <w:t>ую</w:t>
      </w:r>
      <w:r w:rsidRPr="006271A6">
        <w:t xml:space="preserve"> рекомендаци</w:t>
      </w:r>
      <w:r>
        <w:t>ю</w:t>
      </w:r>
      <w:r w:rsidRPr="006271A6">
        <w:t xml:space="preserve"> № 35 (2017) о гендерном насилии в отношении женщин, которая обновляет общую рекомендацию № 19, в соответствии с которой насилие в отношении женщин, затрудняющее или сводящее на нет пользование женщинами правами человека и основными свободами в соответствии с общими нормами международного права или положениями конвенций о правах человека, является дискриминацией по смыслу статьи 1 Конвенции. В рамках обязательства проявлять должную осмотрительность государства-участники должны разрабатывать и осуществлять различные меры по борьбе с гендерным насилием в отношении женщин, совершаемым негосударственными субъектами, включая принятие законов и создание учреждений и системы для борьбы с таким насилием, а также обеспечение их реальной эффективности и их поддержки со стороны всех обеспечивающих надлежащее соблюдение законов государственных должностных лиц и органов. Если государство-участник не принимает все необходимые меры для предотвращения актов гендерного насилия в отношении женщин в тех случаях, когда его власти знают или должны знать о существовании риска такого насилия, или не проводит расследования, не привлекает к ответственности и не наказывает виновных и не возмещает ущерб жертвам/пострадавшим, то оно тем самым дает молчаливое согласие на совершение актов гендерного насилия в отношении женщин и поощряет их. Такие пассивность и бездействие представляют собой нарушение прав человека.</w:t>
      </w:r>
    </w:p>
    <w:p w14:paraId="7434A20B" w14:textId="61FE7D73" w:rsidR="00711AA7" w:rsidRPr="006271A6" w:rsidRDefault="00711AA7" w:rsidP="00711AA7">
      <w:pPr>
        <w:pStyle w:val="SingleTxt"/>
        <w:rPr>
          <w:sz w:val="24"/>
          <w:szCs w:val="24"/>
        </w:rPr>
      </w:pPr>
      <w:r w:rsidRPr="006271A6">
        <w:t>6.8</w:t>
      </w:r>
      <w:r w:rsidRPr="006271A6">
        <w:tab/>
        <w:t>Комитет напоминает, что в соответствии со статьей 2 (f) и статьей 5 (a) Конвенции государства-участники обязаны принимать необходимые меры с целью изменения или отмены не только существующих законов и правил, но и обычаев и практики, дискриминирующих женщин. В соответствии со статьей</w:t>
      </w:r>
      <w:r>
        <w:rPr>
          <w:lang w:val="en-US"/>
        </w:rPr>
        <w:t> </w:t>
      </w:r>
      <w:r w:rsidRPr="006271A6">
        <w:t>16</w:t>
      </w:r>
      <w:r>
        <w:rPr>
          <w:lang w:val="en-US"/>
        </w:rPr>
        <w:t> </w:t>
      </w:r>
      <w:r w:rsidRPr="006271A6">
        <w:t>(1) государства-участники также обязаны принимать все необходимые меры по искоренению дискриминации в отношении женщин во всех вопросах, касающихся замужества и семейных отношений. В связи с этим Комитет отмечает, что стереотипы подрывают право женщин на беспристрастное судебное разбирательство и что судейский корпус не должен применять жесткие стандарты, основанные на предвзятых представлениях о том, какие действия подпадают под определение семейно-бытового насилия.</w:t>
      </w:r>
    </w:p>
    <w:p w14:paraId="22396A06" w14:textId="77777777" w:rsidR="00711AA7" w:rsidRPr="006271A6" w:rsidRDefault="00711AA7" w:rsidP="00711AA7">
      <w:pPr>
        <w:pStyle w:val="SingleTxt"/>
        <w:rPr>
          <w:sz w:val="24"/>
          <w:szCs w:val="24"/>
        </w:rPr>
      </w:pPr>
      <w:r w:rsidRPr="006271A6">
        <w:t>6.9</w:t>
      </w:r>
      <w:r w:rsidRPr="006271A6">
        <w:tab/>
        <w:t xml:space="preserve">Что касается данного дела, то Комитет считает, что власти государства-участника, проявив неспособность решить проблему продолжающегося насилия в семье, собрать необходимые доказательства, обеспечить надлежащее обращение с автором, оказать поддержку и предоставить консультационные услуги автору, должным образом принять во внимание ее показания и усомниться в справедливости приговора, вынесенного в отношении уязвимой кормящей матери, нарушили свои обязательства по статьям Конвенции 2 (с), (d), (f) и 15 . </w:t>
      </w:r>
    </w:p>
    <w:p w14:paraId="0FA51C8F" w14:textId="77777777" w:rsidR="00711AA7" w:rsidRPr="006271A6" w:rsidRDefault="00711AA7" w:rsidP="00711AA7">
      <w:pPr>
        <w:pStyle w:val="SingleTxt"/>
        <w:rPr>
          <w:sz w:val="24"/>
          <w:szCs w:val="24"/>
        </w:rPr>
      </w:pPr>
      <w:r w:rsidRPr="006271A6">
        <w:t>7.</w:t>
      </w:r>
      <w:r w:rsidRPr="006271A6">
        <w:tab/>
        <w:t>В соответствии со статьей 7 (3) Факультативного протокола и с учетом всех вышеизложенных соображений Комитет считает, что государство-участник нарушило права автора, закрепленные в статьях 2 (c), (d), (f) и 15 Конвенции, которые следует рассматривать совместно со статьей 1 Конвенции и содержанием общих рекомендаций Комитета № 19, 28, 33 и 35.</w:t>
      </w:r>
    </w:p>
    <w:p w14:paraId="4C454C27" w14:textId="77777777" w:rsidR="00711AA7" w:rsidRPr="006271A6" w:rsidRDefault="00711AA7" w:rsidP="00711AA7">
      <w:pPr>
        <w:pStyle w:val="SingleTxt"/>
        <w:tabs>
          <w:tab w:val="left" w:pos="1134"/>
        </w:tabs>
        <w:ind w:left="1264" w:right="1264"/>
        <w:rPr>
          <w:sz w:val="24"/>
          <w:szCs w:val="24"/>
        </w:rPr>
      </w:pPr>
      <w:r w:rsidRPr="006271A6">
        <w:t>8.</w:t>
      </w:r>
      <w:r w:rsidRPr="006271A6">
        <w:tab/>
        <w:t>Комитет выносит в адрес государства-участника следующие рекомендации:</w:t>
      </w:r>
    </w:p>
    <w:p w14:paraId="19874279" w14:textId="77777777" w:rsidR="00711AA7" w:rsidRPr="006271A6" w:rsidRDefault="00711AA7" w:rsidP="00711AA7">
      <w:pPr>
        <w:pStyle w:val="SingleTxt"/>
        <w:ind w:left="1134" w:right="1134" w:firstLine="567"/>
        <w:rPr>
          <w:sz w:val="24"/>
          <w:szCs w:val="24"/>
        </w:rPr>
      </w:pPr>
      <w:r w:rsidRPr="006271A6">
        <w:t>а)</w:t>
      </w:r>
      <w:r w:rsidRPr="006271A6">
        <w:tab/>
        <w:t>что касается автора, то:</w:t>
      </w:r>
    </w:p>
    <w:p w14:paraId="750DC850" w14:textId="77777777" w:rsidR="00711AA7" w:rsidRPr="006271A6" w:rsidRDefault="00711AA7" w:rsidP="00711AA7">
      <w:pPr>
        <w:pStyle w:val="SingleTxt"/>
        <w:ind w:left="2835" w:right="1134" w:hanging="1134"/>
        <w:rPr>
          <w:sz w:val="24"/>
          <w:szCs w:val="24"/>
        </w:rPr>
      </w:pPr>
      <w:r w:rsidRPr="006271A6">
        <w:t>i)</w:t>
      </w:r>
      <w:r w:rsidRPr="006271A6">
        <w:tab/>
        <w:t>предоставить автору полное помилование;</w:t>
      </w:r>
    </w:p>
    <w:p w14:paraId="2CCA9349" w14:textId="77777777" w:rsidR="00711AA7" w:rsidRPr="006271A6" w:rsidRDefault="00711AA7" w:rsidP="00711AA7">
      <w:pPr>
        <w:pStyle w:val="SingleTxt"/>
        <w:ind w:left="1701" w:right="1134"/>
        <w:rPr>
          <w:sz w:val="24"/>
          <w:szCs w:val="24"/>
        </w:rPr>
      </w:pPr>
      <w:r w:rsidRPr="006271A6">
        <w:t>ii)</w:t>
      </w:r>
      <w:r w:rsidRPr="006271A6">
        <w:tab/>
        <w:t>предоставить автору надлежащую компенсацию и обеспечить полноценное возмещение ущерба соразмерно с серьезностью нарушения ее прав;</w:t>
      </w:r>
    </w:p>
    <w:p w14:paraId="7281127C" w14:textId="77777777" w:rsidR="00711AA7" w:rsidRPr="006271A6" w:rsidRDefault="00711AA7" w:rsidP="00711AA7">
      <w:pPr>
        <w:pStyle w:val="SingleTxt"/>
        <w:ind w:left="1134" w:right="1134" w:firstLine="567"/>
        <w:rPr>
          <w:sz w:val="24"/>
          <w:szCs w:val="24"/>
        </w:rPr>
      </w:pPr>
      <w:r w:rsidRPr="006271A6">
        <w:t>b)</w:t>
      </w:r>
      <w:r w:rsidRPr="006271A6">
        <w:tab/>
        <w:t>общие рекомендации:</w:t>
      </w:r>
    </w:p>
    <w:p w14:paraId="5CAF1D60" w14:textId="77777777" w:rsidR="00711AA7" w:rsidRPr="006271A6" w:rsidRDefault="00711AA7" w:rsidP="00711AA7">
      <w:pPr>
        <w:pStyle w:val="SingleTxt"/>
        <w:ind w:left="1701" w:right="1134"/>
        <w:rPr>
          <w:sz w:val="24"/>
          <w:szCs w:val="24"/>
        </w:rPr>
      </w:pPr>
      <w:r w:rsidRPr="006271A6">
        <w:t>i)</w:t>
      </w:r>
      <w:r w:rsidRPr="006271A6">
        <w:tab/>
        <w:t xml:space="preserve">организовать обязательное обучение для судей, адвокатов и сотрудников административных и правоохранительных учреждений по вопросам, касающимся требований в отношении исполнения положений Конвенции, Факультативного протокола к ней и правовых норм, вытекающих из практики Комитета и его рекомендаций, в </w:t>
      </w:r>
      <w:r>
        <w:t>том числе</w:t>
      </w:r>
      <w:r w:rsidRPr="006271A6">
        <w:t xml:space="preserve"> общих рекомендаций № 19, 28, 33 </w:t>
      </w:r>
      <w:r>
        <w:t>и</w:t>
      </w:r>
      <w:r w:rsidRPr="006271A6">
        <w:t xml:space="preserve"> 35; </w:t>
      </w:r>
    </w:p>
    <w:p w14:paraId="4506CF4E" w14:textId="77777777" w:rsidR="00711AA7" w:rsidRPr="006271A6" w:rsidRDefault="00711AA7" w:rsidP="00711AA7">
      <w:pPr>
        <w:pStyle w:val="SingleTxt"/>
        <w:ind w:left="1701" w:right="1134"/>
        <w:rPr>
          <w:sz w:val="24"/>
          <w:szCs w:val="24"/>
        </w:rPr>
      </w:pPr>
      <w:r w:rsidRPr="006271A6">
        <w:t>ii)</w:t>
      </w:r>
      <w:r w:rsidRPr="006271A6">
        <w:tab/>
        <w:t xml:space="preserve">ввести в действие механизмы мониторинга, обеспечивающие гарантию того, что правила доказывания и ведения расследований, а также другие судебные и квазисудебные процедуры будут беспристрастными и не будут подвержены воздействию гендерных стереотипов и предрассудков; </w:t>
      </w:r>
    </w:p>
    <w:p w14:paraId="314BBE9A" w14:textId="77777777" w:rsidR="00711AA7" w:rsidRPr="006271A6" w:rsidRDefault="00711AA7" w:rsidP="00711AA7">
      <w:pPr>
        <w:pStyle w:val="SingleTxt"/>
        <w:ind w:left="1701" w:right="1134"/>
        <w:rPr>
          <w:sz w:val="24"/>
          <w:szCs w:val="24"/>
        </w:rPr>
      </w:pPr>
      <w:r w:rsidRPr="006271A6">
        <w:t>iii)</w:t>
      </w:r>
      <w:r w:rsidRPr="006271A6">
        <w:tab/>
        <w:t>провести тщательное и беспристрастное расследование в целях выявления недостатков в работе государственных структур, которые могут быть причиной нарушения права жертв семейно-бытового насилия на защиту;</w:t>
      </w:r>
    </w:p>
    <w:p w14:paraId="41DBD690" w14:textId="77777777" w:rsidR="00711AA7" w:rsidRPr="006271A6" w:rsidRDefault="00711AA7" w:rsidP="00711AA7">
      <w:pPr>
        <w:pStyle w:val="SingleTxt"/>
        <w:ind w:left="1701" w:right="1134"/>
        <w:rPr>
          <w:sz w:val="24"/>
          <w:szCs w:val="24"/>
        </w:rPr>
      </w:pPr>
      <w:r w:rsidRPr="006271A6">
        <w:t>iv) обеспечить, чтобы заявления жертв рассматривались безотлагательно и добросовестно и чтобы пострадавшие получали юридическую, медицинскую и социальную поддержку и защиту, в которой они нуждаются; обеспечить, чтобы в отношении нарушителей проводились надлежащие расследования, а виновные были преданы суду и получ</w:t>
      </w:r>
      <w:r>
        <w:t>а</w:t>
      </w:r>
      <w:r w:rsidRPr="006271A6">
        <w:t xml:space="preserve">ли </w:t>
      </w:r>
      <w:r>
        <w:t xml:space="preserve">должное </w:t>
      </w:r>
      <w:r w:rsidRPr="006271A6">
        <w:t>наказание.</w:t>
      </w:r>
    </w:p>
    <w:p w14:paraId="5E6E4520" w14:textId="77777777" w:rsidR="00711AA7" w:rsidRDefault="00711AA7">
      <w:pPr>
        <w:spacing w:after="200" w:line="276" w:lineRule="auto"/>
      </w:pPr>
      <w:r>
        <w:br w:type="page"/>
      </w:r>
    </w:p>
    <w:p w14:paraId="25E6FD8B" w14:textId="7ED23408" w:rsidR="007F1AA5" w:rsidRDefault="00711AA7" w:rsidP="00711AA7">
      <w:pPr>
        <w:pStyle w:val="SingleTxt"/>
        <w:rPr>
          <w:b/>
          <w:bCs/>
        </w:rPr>
      </w:pPr>
      <w:r w:rsidRPr="006271A6">
        <w:t>9.</w:t>
      </w:r>
      <w:r w:rsidRPr="006271A6">
        <w:tab/>
      </w:r>
      <w:r w:rsidRPr="006271A6">
        <w:rPr>
          <w:b/>
          <w:bCs/>
        </w:rPr>
        <w:t>В соответствии со статьей 7 (4) Факультативного протокола государство-участник должно надлежащим образом рассмотреть мнения Комитета вместе с его рекомендациями и представить Комитету в течение шести месяцев письменный ответ, в том числе информацию о любых мерах, принятых с учетом мнений и рекомендаций Комитета.</w:t>
      </w:r>
      <w:r w:rsidRPr="006271A6">
        <w:t xml:space="preserve"> </w:t>
      </w:r>
      <w:r w:rsidRPr="006271A6">
        <w:rPr>
          <w:b/>
          <w:bCs/>
        </w:rPr>
        <w:t>Государству-участнику также надлежит публиковать и широко распространять мнения и рекомендации Комитета, с тем чтобы с ними ознакомились все соответствующие сегменты общества.</w:t>
      </w:r>
    </w:p>
    <w:p w14:paraId="61230A12" w14:textId="25A203AB" w:rsidR="00711AA7" w:rsidRPr="00711AA7" w:rsidRDefault="00711AA7" w:rsidP="00711AA7">
      <w:pPr>
        <w:pStyle w:val="SingleTxt"/>
        <w:spacing w:after="0" w:line="240" w:lineRule="auto"/>
        <w:rPr>
          <w:lang w:val="en-US"/>
        </w:rPr>
      </w:pPr>
      <w:bookmarkStart w:id="2" w:name="_GoBack"/>
      <w:bookmarkEnd w:id="2"/>
      <w:r>
        <w:rPr>
          <w:noProof/>
          <w:w w:val="100"/>
          <w:lang w:val="en-US"/>
        </w:rPr>
        <mc:AlternateContent>
          <mc:Choice Requires="wps">
            <w:drawing>
              <wp:anchor distT="0" distB="0" distL="114300" distR="114300" simplePos="0" relativeHeight="251659264" behindDoc="0" locked="0" layoutInCell="1" allowOverlap="1" wp14:anchorId="53738D83" wp14:editId="2458CE00">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46C0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711AA7" w:rsidRPr="00711AA7" w:rsidSect="00711AA7">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7T14:04:00Z" w:initials="Start">
    <w:p w14:paraId="01E849A8" w14:textId="77777777" w:rsidR="007F1AA5" w:rsidRPr="00711AA7" w:rsidRDefault="007F1AA5">
      <w:pPr>
        <w:pStyle w:val="CommentText"/>
        <w:rPr>
          <w:lang w:val="en-US"/>
        </w:rPr>
      </w:pPr>
      <w:r>
        <w:fldChar w:fldCharType="begin"/>
      </w:r>
      <w:r w:rsidRPr="00711AA7">
        <w:rPr>
          <w:rStyle w:val="CommentReference"/>
          <w:lang w:val="en-US"/>
        </w:rPr>
        <w:instrText xml:space="preserve"> </w:instrText>
      </w:r>
      <w:r w:rsidRPr="00711AA7">
        <w:rPr>
          <w:lang w:val="en-US"/>
        </w:rPr>
        <w:instrText>PAGE \# "'Page: '#'</w:instrText>
      </w:r>
      <w:r w:rsidRPr="00711AA7">
        <w:rPr>
          <w:lang w:val="en-US"/>
        </w:rPr>
        <w:br/>
        <w:instrText>'"</w:instrText>
      </w:r>
      <w:r w:rsidRPr="00711AA7">
        <w:rPr>
          <w:rStyle w:val="CommentReference"/>
          <w:lang w:val="en-US"/>
        </w:rPr>
        <w:instrText xml:space="preserve"> </w:instrText>
      </w:r>
      <w:r>
        <w:fldChar w:fldCharType="end"/>
      </w:r>
      <w:r>
        <w:rPr>
          <w:rStyle w:val="CommentReference"/>
        </w:rPr>
        <w:annotationRef/>
      </w:r>
      <w:r w:rsidRPr="00711AA7">
        <w:rPr>
          <w:lang w:val="en-US"/>
        </w:rPr>
        <w:t>&lt;&lt;ODS JOB NO&gt;&gt;N1812414R&lt;&lt;ODS JOB NO&gt;&gt;</w:t>
      </w:r>
    </w:p>
    <w:p w14:paraId="475E54A6" w14:textId="77777777" w:rsidR="007F1AA5" w:rsidRDefault="007F1AA5">
      <w:pPr>
        <w:pStyle w:val="CommentText"/>
      </w:pPr>
      <w:r>
        <w:t>&lt;&lt;ODS DOC SYMBOL1&gt;&gt;CEDAW/C/69/D/88/2015&lt;&lt;ODS DOC SYMBOL1&gt;&gt;</w:t>
      </w:r>
    </w:p>
    <w:p w14:paraId="08E23B01" w14:textId="77777777" w:rsidR="007F1AA5" w:rsidRDefault="007F1AA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23B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DFA6" w14:textId="77777777" w:rsidR="00106E42" w:rsidRDefault="00106E42" w:rsidP="001824A1">
      <w:pPr>
        <w:spacing w:line="240" w:lineRule="auto"/>
      </w:pPr>
      <w:r>
        <w:separator/>
      </w:r>
    </w:p>
  </w:endnote>
  <w:endnote w:type="continuationSeparator" w:id="0">
    <w:p w14:paraId="03347D53" w14:textId="77777777" w:rsidR="00106E42" w:rsidRDefault="00106E42"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7F1AA5" w14:paraId="5FF8B782" w14:textId="77777777" w:rsidTr="007F1AA5">
      <w:tblPrEx>
        <w:tblCellMar>
          <w:top w:w="0" w:type="dxa"/>
          <w:bottom w:w="0" w:type="dxa"/>
        </w:tblCellMar>
      </w:tblPrEx>
      <w:tc>
        <w:tcPr>
          <w:tcW w:w="4920" w:type="dxa"/>
          <w:shd w:val="clear" w:color="auto" w:fill="auto"/>
          <w:vAlign w:val="bottom"/>
        </w:tcPr>
        <w:p w14:paraId="191F4A2D" w14:textId="7EEF60C7" w:rsidR="007F1AA5" w:rsidRPr="007F1AA5" w:rsidRDefault="007F1AA5" w:rsidP="007F1AA5">
          <w:pPr>
            <w:pStyle w:val="Footer"/>
            <w:rPr>
              <w:color w:val="000000"/>
            </w:rPr>
          </w:pPr>
          <w:r>
            <w:fldChar w:fldCharType="begin"/>
          </w:r>
          <w:r>
            <w:instrText xml:space="preserve"> PAGE  \* Arabic  \* MERGEFORMAT </w:instrText>
          </w:r>
          <w:r>
            <w:fldChar w:fldCharType="separate"/>
          </w:r>
          <w:r w:rsidR="00545D60">
            <w:rPr>
              <w:noProof/>
            </w:rPr>
            <w:t>12</w:t>
          </w:r>
          <w:r>
            <w:fldChar w:fldCharType="end"/>
          </w:r>
          <w:r>
            <w:t>/</w:t>
          </w:r>
          <w:fldSimple w:instr=" NUMPAGES  \* Arabic  \* MERGEFORMAT ">
            <w:r w:rsidR="00545D60">
              <w:rPr>
                <w:noProof/>
              </w:rPr>
              <w:t>13</w:t>
            </w:r>
          </w:fldSimple>
        </w:p>
      </w:tc>
      <w:tc>
        <w:tcPr>
          <w:tcW w:w="4920" w:type="dxa"/>
          <w:shd w:val="clear" w:color="auto" w:fill="auto"/>
          <w:vAlign w:val="bottom"/>
        </w:tcPr>
        <w:p w14:paraId="606D6641" w14:textId="74C6014C" w:rsidR="007F1AA5" w:rsidRPr="00711AA7" w:rsidRDefault="007F1AA5" w:rsidP="007F1AA5">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96B35">
            <w:rPr>
              <w:b w:val="0"/>
              <w:color w:val="000000"/>
              <w:sz w:val="14"/>
            </w:rPr>
            <w:t>18-06601</w:t>
          </w:r>
          <w:r>
            <w:rPr>
              <w:b w:val="0"/>
              <w:color w:val="000000"/>
              <w:sz w:val="14"/>
            </w:rPr>
            <w:fldChar w:fldCharType="end"/>
          </w:r>
          <w:r w:rsidR="00711AA7">
            <w:rPr>
              <w:b w:val="0"/>
              <w:color w:val="000000"/>
              <w:sz w:val="14"/>
              <w:lang w:val="en-US"/>
            </w:rPr>
            <w:t xml:space="preserve"> X</w:t>
          </w:r>
        </w:p>
      </w:tc>
    </w:tr>
  </w:tbl>
  <w:p w14:paraId="63A4E5A5" w14:textId="77777777" w:rsidR="007F1AA5" w:rsidRPr="007F1AA5" w:rsidRDefault="007F1AA5" w:rsidP="007F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7F1AA5" w14:paraId="612B4DD9" w14:textId="77777777" w:rsidTr="007F1AA5">
      <w:tblPrEx>
        <w:tblCellMar>
          <w:top w:w="0" w:type="dxa"/>
          <w:bottom w:w="0" w:type="dxa"/>
        </w:tblCellMar>
      </w:tblPrEx>
      <w:tc>
        <w:tcPr>
          <w:tcW w:w="4920" w:type="dxa"/>
          <w:shd w:val="clear" w:color="auto" w:fill="auto"/>
          <w:vAlign w:val="bottom"/>
        </w:tcPr>
        <w:p w14:paraId="60BE97BB" w14:textId="2B7E24E2" w:rsidR="007F1AA5" w:rsidRPr="00711AA7" w:rsidRDefault="007F1AA5" w:rsidP="007F1AA5">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96B35">
            <w:rPr>
              <w:b w:val="0"/>
              <w:color w:val="000000"/>
              <w:sz w:val="14"/>
            </w:rPr>
            <w:t>18-06601</w:t>
          </w:r>
          <w:r>
            <w:rPr>
              <w:b w:val="0"/>
              <w:color w:val="000000"/>
              <w:sz w:val="14"/>
            </w:rPr>
            <w:fldChar w:fldCharType="end"/>
          </w:r>
          <w:r w:rsidR="00711AA7">
            <w:rPr>
              <w:b w:val="0"/>
              <w:color w:val="000000"/>
              <w:sz w:val="14"/>
              <w:lang w:val="en-US"/>
            </w:rPr>
            <w:t xml:space="preserve"> X</w:t>
          </w:r>
        </w:p>
      </w:tc>
      <w:tc>
        <w:tcPr>
          <w:tcW w:w="4920" w:type="dxa"/>
          <w:shd w:val="clear" w:color="auto" w:fill="auto"/>
          <w:vAlign w:val="bottom"/>
        </w:tcPr>
        <w:p w14:paraId="0ACFCE55" w14:textId="228AE17A" w:rsidR="007F1AA5" w:rsidRPr="007F1AA5" w:rsidRDefault="007F1AA5" w:rsidP="007F1AA5">
          <w:pPr>
            <w:pStyle w:val="Footer"/>
            <w:jc w:val="right"/>
          </w:pPr>
          <w:r>
            <w:fldChar w:fldCharType="begin"/>
          </w:r>
          <w:r>
            <w:instrText xml:space="preserve"> PAGE  \* Arabic  \* MERGEFORMAT </w:instrText>
          </w:r>
          <w:r>
            <w:fldChar w:fldCharType="separate"/>
          </w:r>
          <w:r w:rsidR="00545D60">
            <w:rPr>
              <w:noProof/>
            </w:rPr>
            <w:t>13</w:t>
          </w:r>
          <w:r>
            <w:fldChar w:fldCharType="end"/>
          </w:r>
          <w:r>
            <w:t>/</w:t>
          </w:r>
          <w:fldSimple w:instr=" NUMPAGES  \* Arabic  \* MERGEFORMAT ">
            <w:r w:rsidR="00545D60">
              <w:rPr>
                <w:noProof/>
              </w:rPr>
              <w:t>13</w:t>
            </w:r>
          </w:fldSimple>
        </w:p>
      </w:tc>
    </w:tr>
  </w:tbl>
  <w:p w14:paraId="555655CC" w14:textId="77777777" w:rsidR="007F1AA5" w:rsidRPr="007F1AA5" w:rsidRDefault="007F1AA5" w:rsidP="007F1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7F1AA5" w14:paraId="336EC8E0" w14:textId="77777777" w:rsidTr="007F1AA5">
      <w:tblPrEx>
        <w:tblCellMar>
          <w:top w:w="0" w:type="dxa"/>
          <w:bottom w:w="0" w:type="dxa"/>
        </w:tblCellMar>
      </w:tblPrEx>
      <w:tc>
        <w:tcPr>
          <w:tcW w:w="3830" w:type="dxa"/>
        </w:tcPr>
        <w:p w14:paraId="2285DE86" w14:textId="55A8C631" w:rsidR="007F1AA5" w:rsidRDefault="007F1AA5" w:rsidP="007F1AA5">
          <w:pPr>
            <w:pStyle w:val="ReleaseDate"/>
            <w:rPr>
              <w:color w:val="010000"/>
            </w:rPr>
          </w:pPr>
          <w:r>
            <w:rPr>
              <w:noProof/>
            </w:rPr>
            <w:drawing>
              <wp:anchor distT="0" distB="0" distL="114300" distR="114300" simplePos="0" relativeHeight="251658240" behindDoc="0" locked="0" layoutInCell="1" allowOverlap="1" wp14:anchorId="6723503D" wp14:editId="50CA11E5">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69/D/88/2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8/2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18-06601 </w:t>
          </w:r>
          <w:r w:rsidR="00711AA7">
            <w:rPr>
              <w:lang w:val="en-US"/>
            </w:rPr>
            <w:t xml:space="preserve">X </w:t>
          </w:r>
          <w:r>
            <w:t>(R)</w:t>
          </w:r>
          <w:r>
            <w:rPr>
              <w:color w:val="010000"/>
            </w:rPr>
            <w:t xml:space="preserve">    170518    170518</w:t>
          </w:r>
        </w:p>
        <w:p w14:paraId="04B68BE8" w14:textId="77777777" w:rsidR="007F1AA5" w:rsidRPr="007F1AA5" w:rsidRDefault="007F1AA5" w:rsidP="007F1AA5">
          <w:pPr>
            <w:spacing w:before="80" w:line="210" w:lineRule="exact"/>
            <w:rPr>
              <w:rFonts w:ascii="Barcode 3 of 9 by request" w:hAnsi="Barcode 3 of 9 by request"/>
              <w:w w:val="100"/>
              <w:sz w:val="24"/>
            </w:rPr>
          </w:pPr>
          <w:r>
            <w:rPr>
              <w:rFonts w:ascii="Barcode 3 of 9 by request" w:hAnsi="Barcode 3 of 9 by request"/>
              <w:w w:val="100"/>
              <w:sz w:val="24"/>
            </w:rPr>
            <w:t>*1806601*</w:t>
          </w:r>
        </w:p>
      </w:tc>
      <w:tc>
        <w:tcPr>
          <w:tcW w:w="4920" w:type="dxa"/>
        </w:tcPr>
        <w:p w14:paraId="6A21F2DC" w14:textId="77777777" w:rsidR="007F1AA5" w:rsidRDefault="007F1AA5" w:rsidP="007F1AA5">
          <w:pPr>
            <w:pStyle w:val="Footer"/>
            <w:spacing w:line="240" w:lineRule="atLeast"/>
            <w:jc w:val="right"/>
            <w:rPr>
              <w:b w:val="0"/>
              <w:sz w:val="20"/>
            </w:rPr>
          </w:pPr>
          <w:r>
            <w:rPr>
              <w:b w:val="0"/>
              <w:noProof/>
              <w:sz w:val="20"/>
            </w:rPr>
            <w:drawing>
              <wp:inline distT="0" distB="0" distL="0" distR="0" wp14:anchorId="731D60F2" wp14:editId="491D0D3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3C1D02E1" w14:textId="77777777" w:rsidR="007F1AA5" w:rsidRPr="007F1AA5" w:rsidRDefault="007F1AA5" w:rsidP="007F1AA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C1D0" w14:textId="472963A7" w:rsidR="00106E42" w:rsidRPr="00711AA7" w:rsidRDefault="00711AA7" w:rsidP="00711AA7">
      <w:pPr>
        <w:pStyle w:val="Footer"/>
        <w:spacing w:after="80"/>
        <w:ind w:left="792"/>
      </w:pPr>
      <w:r w:rsidRPr="00711AA7">
        <w:t>__________________</w:t>
      </w:r>
    </w:p>
  </w:footnote>
  <w:footnote w:type="continuationSeparator" w:id="0">
    <w:p w14:paraId="154AC6A9" w14:textId="48FA89FA" w:rsidR="00106E42" w:rsidRPr="00711AA7" w:rsidRDefault="00711AA7" w:rsidP="00711AA7">
      <w:pPr>
        <w:pStyle w:val="Footer"/>
        <w:spacing w:after="80"/>
        <w:ind w:left="792"/>
      </w:pPr>
      <w:r w:rsidRPr="00711AA7">
        <w:t>__________________</w:t>
      </w:r>
    </w:p>
  </w:footnote>
  <w:footnote w:id="1">
    <w:p w14:paraId="3F340955" w14:textId="3738C51E" w:rsidR="00711AA7" w:rsidRPr="00FC5BDD" w:rsidRDefault="00711AA7" w:rsidP="00711AA7">
      <w:pPr>
        <w:pStyle w:val="FootnoteText"/>
        <w:tabs>
          <w:tab w:val="right" w:pos="1195"/>
          <w:tab w:val="left" w:pos="1267"/>
          <w:tab w:val="left" w:pos="1742"/>
          <w:tab w:val="left" w:pos="2218"/>
          <w:tab w:val="left" w:pos="2693"/>
        </w:tabs>
        <w:ind w:left="1267" w:right="1260" w:hanging="432"/>
      </w:pPr>
      <w:r>
        <w:tab/>
      </w:r>
      <w:r>
        <w:t>*</w:t>
      </w:r>
      <w:r>
        <w:tab/>
      </w:r>
      <w:r>
        <w:t>Приняты Комитетом на его шестьдесят девятой сессии (19 февраля</w:t>
      </w:r>
      <w:r>
        <w:t xml:space="preserve"> — </w:t>
      </w:r>
      <w:r>
        <w:t>9 марта 2018 года).</w:t>
      </w:r>
    </w:p>
  </w:footnote>
  <w:footnote w:id="2">
    <w:p w14:paraId="4A56D772" w14:textId="7F1F35C3" w:rsidR="00711AA7" w:rsidRPr="00FC5BDD" w:rsidRDefault="00711AA7" w:rsidP="00711AA7">
      <w:pPr>
        <w:pStyle w:val="FootnoteText"/>
        <w:tabs>
          <w:tab w:val="right" w:pos="1195"/>
          <w:tab w:val="left" w:pos="1267"/>
          <w:tab w:val="left" w:pos="1742"/>
          <w:tab w:val="left" w:pos="2218"/>
          <w:tab w:val="left" w:pos="2693"/>
        </w:tabs>
        <w:ind w:left="1267" w:right="1260" w:hanging="432"/>
      </w:pPr>
      <w:r>
        <w:tab/>
      </w:r>
      <w:r>
        <w:t>**</w:t>
      </w:r>
      <w:r>
        <w:tab/>
      </w:r>
      <w:r>
        <w:t>В рассмотрении настоящего сообщения принимали участие следующие члены Комитета: Айше Фериде Ачар, Глэдис Акоста Варгас, Николь Амелин, Гуннар Бергбю, Марион Бетель, Луиза Шалал, Наела Габр, Хилари Гбедема, Нахла Хайдар, Рут Гальперин-Каддари, Йоко Хаяши, Лилиан Хофмайстер, Исмат Джахан, Даля Лейнарте, Росарио Манало, Лия Надарая, Аруна Деви Нараин, Бандана Рана, Патриция Шульц, Вэньянь Сун, Аиша Валь Верж.</w:t>
      </w:r>
    </w:p>
  </w:footnote>
  <w:footnote w:id="3">
    <w:p w14:paraId="00941AE4" w14:textId="77777777" w:rsidR="00711AA7" w:rsidRPr="00FC5BDD" w:rsidRDefault="00711AA7" w:rsidP="00711AA7">
      <w:pPr>
        <w:pStyle w:val="FootnoteText"/>
        <w:tabs>
          <w:tab w:val="right" w:pos="1195"/>
          <w:tab w:val="left" w:pos="1267"/>
          <w:tab w:val="left" w:pos="1742"/>
          <w:tab w:val="left" w:pos="2218"/>
          <w:tab w:val="left" w:pos="2693"/>
        </w:tabs>
        <w:ind w:left="1267" w:right="1260" w:hanging="432"/>
      </w:pPr>
      <w:r w:rsidRPr="00770903">
        <w:tab/>
      </w:r>
      <w:r w:rsidRPr="00770903">
        <w:rPr>
          <w:rStyle w:val="FootnoteReference"/>
        </w:rPr>
        <w:footnoteRef/>
      </w:r>
      <w:r>
        <w:tab/>
        <w:t>Статьи 60 (1), 63 (1) и 217 (а).</w:t>
      </w:r>
    </w:p>
  </w:footnote>
  <w:footnote w:id="4">
    <w:p w14:paraId="4CD85493" w14:textId="77777777" w:rsidR="00711AA7" w:rsidRPr="00FC5BDD" w:rsidRDefault="00711AA7" w:rsidP="00711AA7">
      <w:pPr>
        <w:pStyle w:val="FootnoteText"/>
        <w:tabs>
          <w:tab w:val="right" w:pos="1195"/>
          <w:tab w:val="left" w:pos="1267"/>
          <w:tab w:val="left" w:pos="1742"/>
          <w:tab w:val="left" w:pos="2218"/>
          <w:tab w:val="left" w:pos="2693"/>
        </w:tabs>
        <w:ind w:left="1267" w:right="1260" w:hanging="432"/>
      </w:pPr>
      <w:r w:rsidRPr="006702A9">
        <w:tab/>
      </w:r>
      <w:r w:rsidRPr="00770903">
        <w:rPr>
          <w:rStyle w:val="FootnoteReference"/>
        </w:rPr>
        <w:footnoteRef/>
      </w:r>
      <w:r>
        <w:tab/>
        <w:t>Статьи 181, 182, 183 и 194.</w:t>
      </w:r>
    </w:p>
  </w:footnote>
  <w:footnote w:id="5">
    <w:p w14:paraId="22316AA4" w14:textId="77777777" w:rsidR="00711AA7" w:rsidRPr="00770903" w:rsidRDefault="00711AA7" w:rsidP="00711AA7">
      <w:pPr>
        <w:pStyle w:val="FootnoteText"/>
        <w:tabs>
          <w:tab w:val="right" w:pos="1195"/>
          <w:tab w:val="left" w:pos="1267"/>
          <w:tab w:val="left" w:pos="1742"/>
          <w:tab w:val="left" w:pos="2218"/>
          <w:tab w:val="left" w:pos="2693"/>
        </w:tabs>
        <w:ind w:left="1267" w:right="1260" w:hanging="432"/>
      </w:pPr>
      <w:r w:rsidRPr="006702A9">
        <w:tab/>
      </w:r>
      <w:r w:rsidRPr="00770903">
        <w:rPr>
          <w:rStyle w:val="FootnoteReference"/>
        </w:rPr>
        <w:footnoteRef/>
      </w:r>
      <w:r>
        <w:tab/>
        <w:t>См. пункты 9 и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F1AA5" w14:paraId="34807A32" w14:textId="77777777" w:rsidTr="007F1AA5">
      <w:tblPrEx>
        <w:tblCellMar>
          <w:top w:w="0" w:type="dxa"/>
          <w:bottom w:w="0" w:type="dxa"/>
        </w:tblCellMar>
      </w:tblPrEx>
      <w:trPr>
        <w:trHeight w:hRule="exact" w:val="864"/>
      </w:trPr>
      <w:tc>
        <w:tcPr>
          <w:tcW w:w="4920" w:type="dxa"/>
          <w:shd w:val="clear" w:color="auto" w:fill="auto"/>
          <w:vAlign w:val="bottom"/>
        </w:tcPr>
        <w:p w14:paraId="3426231D" w14:textId="64589C48" w:rsidR="007F1AA5" w:rsidRPr="007F1AA5" w:rsidRDefault="007F1AA5" w:rsidP="007F1AA5">
          <w:pPr>
            <w:pStyle w:val="Header"/>
            <w:spacing w:after="80"/>
            <w:rPr>
              <w:b/>
            </w:rPr>
          </w:pPr>
          <w:r>
            <w:rPr>
              <w:b/>
            </w:rPr>
            <w:fldChar w:fldCharType="begin"/>
          </w:r>
          <w:r>
            <w:rPr>
              <w:b/>
            </w:rPr>
            <w:instrText xml:space="preserve"> DOCVARIABLE "sss1" \* MERGEFORMAT </w:instrText>
          </w:r>
          <w:r>
            <w:rPr>
              <w:b/>
            </w:rPr>
            <w:fldChar w:fldCharType="separate"/>
          </w:r>
          <w:r w:rsidR="00F96B35">
            <w:rPr>
              <w:b/>
            </w:rPr>
            <w:t>CEDAW/C/69/D/88/2015</w:t>
          </w:r>
          <w:r>
            <w:rPr>
              <w:b/>
            </w:rPr>
            <w:fldChar w:fldCharType="end"/>
          </w:r>
        </w:p>
      </w:tc>
      <w:tc>
        <w:tcPr>
          <w:tcW w:w="4920" w:type="dxa"/>
          <w:shd w:val="clear" w:color="auto" w:fill="auto"/>
          <w:vAlign w:val="bottom"/>
        </w:tcPr>
        <w:p w14:paraId="361DE900" w14:textId="77777777" w:rsidR="007F1AA5" w:rsidRDefault="007F1AA5" w:rsidP="007F1AA5">
          <w:pPr>
            <w:pStyle w:val="Header"/>
          </w:pPr>
        </w:p>
      </w:tc>
    </w:tr>
  </w:tbl>
  <w:p w14:paraId="3FDC97CC" w14:textId="77777777" w:rsidR="007F1AA5" w:rsidRPr="007F1AA5" w:rsidRDefault="007F1AA5" w:rsidP="007F1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F1AA5" w14:paraId="19D511DA" w14:textId="77777777" w:rsidTr="007F1AA5">
      <w:tblPrEx>
        <w:tblCellMar>
          <w:top w:w="0" w:type="dxa"/>
          <w:bottom w:w="0" w:type="dxa"/>
        </w:tblCellMar>
      </w:tblPrEx>
      <w:trPr>
        <w:trHeight w:hRule="exact" w:val="864"/>
      </w:trPr>
      <w:tc>
        <w:tcPr>
          <w:tcW w:w="4920" w:type="dxa"/>
          <w:shd w:val="clear" w:color="auto" w:fill="auto"/>
          <w:vAlign w:val="bottom"/>
        </w:tcPr>
        <w:p w14:paraId="1281413B" w14:textId="77777777" w:rsidR="007F1AA5" w:rsidRDefault="007F1AA5" w:rsidP="007F1AA5">
          <w:pPr>
            <w:pStyle w:val="Header"/>
          </w:pPr>
        </w:p>
      </w:tc>
      <w:tc>
        <w:tcPr>
          <w:tcW w:w="4920" w:type="dxa"/>
          <w:shd w:val="clear" w:color="auto" w:fill="auto"/>
          <w:vAlign w:val="bottom"/>
        </w:tcPr>
        <w:p w14:paraId="03B0345A" w14:textId="0ED36EA3" w:rsidR="007F1AA5" w:rsidRPr="007F1AA5" w:rsidRDefault="007F1AA5" w:rsidP="007F1AA5">
          <w:pPr>
            <w:pStyle w:val="Header"/>
            <w:spacing w:after="80"/>
            <w:jc w:val="right"/>
            <w:rPr>
              <w:b/>
            </w:rPr>
          </w:pPr>
          <w:r>
            <w:rPr>
              <w:b/>
            </w:rPr>
            <w:fldChar w:fldCharType="begin"/>
          </w:r>
          <w:r>
            <w:rPr>
              <w:b/>
            </w:rPr>
            <w:instrText xml:space="preserve"> DOCVARIABLE "sss1" \* MERGEFORMAT </w:instrText>
          </w:r>
          <w:r>
            <w:rPr>
              <w:b/>
            </w:rPr>
            <w:fldChar w:fldCharType="separate"/>
          </w:r>
          <w:r w:rsidR="00F96B35">
            <w:rPr>
              <w:b/>
            </w:rPr>
            <w:t>CEDAW/C/69/D/88/2015</w:t>
          </w:r>
          <w:r>
            <w:rPr>
              <w:b/>
            </w:rPr>
            <w:fldChar w:fldCharType="end"/>
          </w:r>
        </w:p>
      </w:tc>
    </w:tr>
  </w:tbl>
  <w:p w14:paraId="1E1A91AB" w14:textId="77777777" w:rsidR="007F1AA5" w:rsidRPr="007F1AA5" w:rsidRDefault="007F1AA5" w:rsidP="007F1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7F1AA5" w14:paraId="7798E6BA" w14:textId="77777777" w:rsidTr="007F1AA5">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15CD07A8" w14:textId="77777777" w:rsidR="007F1AA5" w:rsidRPr="007F1AA5" w:rsidRDefault="007F1AA5" w:rsidP="007F1AA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5AB7CE3" w14:textId="77777777" w:rsidR="007F1AA5" w:rsidRDefault="007F1AA5" w:rsidP="007F1AA5">
          <w:pPr>
            <w:pStyle w:val="Header"/>
            <w:spacing w:after="120"/>
          </w:pPr>
        </w:p>
      </w:tc>
      <w:tc>
        <w:tcPr>
          <w:tcW w:w="5198" w:type="dxa"/>
          <w:gridSpan w:val="4"/>
          <w:tcBorders>
            <w:bottom w:val="single" w:sz="4" w:space="0" w:color="auto"/>
          </w:tcBorders>
          <w:shd w:val="clear" w:color="auto" w:fill="auto"/>
          <w:vAlign w:val="bottom"/>
        </w:tcPr>
        <w:p w14:paraId="4EE30DE5" w14:textId="77777777" w:rsidR="007F1AA5" w:rsidRPr="007F1AA5" w:rsidRDefault="007F1AA5" w:rsidP="007F1AA5">
          <w:pPr>
            <w:pStyle w:val="Header"/>
            <w:spacing w:after="20"/>
            <w:jc w:val="right"/>
            <w:rPr>
              <w:sz w:val="20"/>
            </w:rPr>
          </w:pPr>
          <w:r>
            <w:rPr>
              <w:sz w:val="40"/>
            </w:rPr>
            <w:t>CEDAW</w:t>
          </w:r>
          <w:r>
            <w:rPr>
              <w:sz w:val="20"/>
            </w:rPr>
            <w:t>/C/69/D/88/2015</w:t>
          </w:r>
        </w:p>
      </w:tc>
    </w:tr>
    <w:tr w:rsidR="007F1AA5" w:rsidRPr="00711AA7" w14:paraId="168A878C" w14:textId="77777777" w:rsidTr="007F1AA5">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3FD853EC" w14:textId="77777777" w:rsidR="007F1AA5" w:rsidRPr="007F1AA5" w:rsidRDefault="007F1AA5" w:rsidP="007F1AA5">
          <w:pPr>
            <w:pStyle w:val="Header"/>
            <w:spacing w:before="120"/>
            <w:jc w:val="center"/>
          </w:pPr>
          <w:r>
            <w:t xml:space="preserve"> </w:t>
          </w:r>
          <w:r>
            <w:rPr>
              <w:noProof/>
            </w:rPr>
            <w:drawing>
              <wp:inline distT="0" distB="0" distL="0" distR="0" wp14:anchorId="25457590" wp14:editId="74BBE3E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918635E" w14:textId="77777777" w:rsidR="007F1AA5" w:rsidRPr="007F1AA5" w:rsidRDefault="007F1AA5" w:rsidP="007F1AA5">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7A8F6CC" w14:textId="77777777" w:rsidR="007F1AA5" w:rsidRPr="007F1AA5" w:rsidRDefault="007F1AA5" w:rsidP="007F1AA5">
          <w:pPr>
            <w:pStyle w:val="Header"/>
            <w:spacing w:before="109"/>
          </w:pPr>
        </w:p>
      </w:tc>
      <w:tc>
        <w:tcPr>
          <w:tcW w:w="3110" w:type="dxa"/>
          <w:tcBorders>
            <w:top w:val="single" w:sz="4" w:space="0" w:color="auto"/>
            <w:bottom w:val="single" w:sz="12" w:space="0" w:color="auto"/>
          </w:tcBorders>
          <w:shd w:val="clear" w:color="auto" w:fill="auto"/>
        </w:tcPr>
        <w:p w14:paraId="5810CE4B" w14:textId="77777777" w:rsidR="007F1AA5" w:rsidRPr="00711AA7" w:rsidRDefault="007F1AA5" w:rsidP="007F1AA5">
          <w:pPr>
            <w:pStyle w:val="Distribution"/>
            <w:rPr>
              <w:color w:val="000000"/>
              <w:lang w:val="en-US"/>
            </w:rPr>
          </w:pPr>
          <w:r w:rsidRPr="00711AA7">
            <w:rPr>
              <w:color w:val="000000"/>
              <w:lang w:val="en-US"/>
            </w:rPr>
            <w:t>Distr.: General</w:t>
          </w:r>
        </w:p>
        <w:p w14:paraId="17C6F973" w14:textId="77777777" w:rsidR="007F1AA5" w:rsidRPr="00711AA7" w:rsidRDefault="007F1AA5" w:rsidP="007F1AA5">
          <w:pPr>
            <w:pStyle w:val="Publication"/>
            <w:rPr>
              <w:color w:val="000000"/>
              <w:lang w:val="en-US"/>
            </w:rPr>
          </w:pPr>
          <w:r w:rsidRPr="00711AA7">
            <w:rPr>
              <w:color w:val="000000"/>
              <w:lang w:val="en-US"/>
            </w:rPr>
            <w:t>25 April 2018</w:t>
          </w:r>
        </w:p>
        <w:p w14:paraId="475C8153" w14:textId="77777777" w:rsidR="007F1AA5" w:rsidRPr="00711AA7" w:rsidRDefault="007F1AA5" w:rsidP="007F1AA5">
          <w:pPr>
            <w:rPr>
              <w:color w:val="000000"/>
              <w:lang w:val="en-US"/>
            </w:rPr>
          </w:pPr>
          <w:r w:rsidRPr="00711AA7">
            <w:rPr>
              <w:color w:val="000000"/>
              <w:lang w:val="en-US"/>
            </w:rPr>
            <w:t>Russian</w:t>
          </w:r>
        </w:p>
        <w:p w14:paraId="42DA311B" w14:textId="77777777" w:rsidR="007F1AA5" w:rsidRPr="00711AA7" w:rsidRDefault="007F1AA5" w:rsidP="007F1AA5">
          <w:pPr>
            <w:pStyle w:val="Original"/>
            <w:rPr>
              <w:color w:val="000000"/>
              <w:lang w:val="en-US"/>
            </w:rPr>
          </w:pPr>
          <w:r w:rsidRPr="00711AA7">
            <w:rPr>
              <w:color w:val="000000"/>
              <w:lang w:val="en-US"/>
            </w:rPr>
            <w:t>Original: English</w:t>
          </w:r>
        </w:p>
        <w:p w14:paraId="479ABE7C" w14:textId="77777777" w:rsidR="007F1AA5" w:rsidRPr="00711AA7" w:rsidRDefault="007F1AA5" w:rsidP="007F1AA5">
          <w:pPr>
            <w:rPr>
              <w:lang w:val="en-US"/>
            </w:rPr>
          </w:pPr>
        </w:p>
      </w:tc>
    </w:tr>
  </w:tbl>
  <w:p w14:paraId="5B7EB9EF" w14:textId="77777777" w:rsidR="007F1AA5" w:rsidRPr="00711AA7" w:rsidRDefault="007F1AA5" w:rsidP="007F1AA5">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8020E2C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30349682"/>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B62658E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49BAF4E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1*"/>
    <w:docVar w:name="CreationDt" w:val="17/05/2018 2:04: PM"/>
    <w:docVar w:name="DocCategory" w:val="Doc"/>
    <w:docVar w:name="DocType" w:val="Final"/>
    <w:docVar w:name="DutyStation" w:val="New York"/>
    <w:docVar w:name="FooterJN" w:val="18-06601"/>
    <w:docVar w:name="jobn" w:val="18-06601 (R)"/>
    <w:docVar w:name="jobnDT" w:val="18-06601 (R)   170518"/>
    <w:docVar w:name="jobnDTDT" w:val="18-06601 (R)   170518   170518"/>
    <w:docVar w:name="JobNo" w:val="1806601R"/>
    <w:docVar w:name="JobNo2" w:val="1812414R"/>
    <w:docVar w:name="LocalDrive" w:val="0"/>
    <w:docVar w:name="OandT" w:val=" "/>
    <w:docVar w:name="sss1" w:val="CEDAW/C/69/D/88/2015"/>
    <w:docVar w:name="sss2" w:val="-"/>
    <w:docVar w:name="Symbol1" w:val="CEDAW/C/69/D/88/2015"/>
    <w:docVar w:name="Symbol2" w:val="-"/>
  </w:docVars>
  <w:rsids>
    <w:rsidRoot w:val="00106E42"/>
    <w:rsid w:val="00057473"/>
    <w:rsid w:val="000A0C28"/>
    <w:rsid w:val="000A1A1B"/>
    <w:rsid w:val="00106E42"/>
    <w:rsid w:val="001824A1"/>
    <w:rsid w:val="001B0786"/>
    <w:rsid w:val="001C5B64"/>
    <w:rsid w:val="001F427A"/>
    <w:rsid w:val="00210AF4"/>
    <w:rsid w:val="00215A7D"/>
    <w:rsid w:val="00243D6E"/>
    <w:rsid w:val="00247574"/>
    <w:rsid w:val="003218EF"/>
    <w:rsid w:val="003807EF"/>
    <w:rsid w:val="0038495D"/>
    <w:rsid w:val="003F7347"/>
    <w:rsid w:val="004275D7"/>
    <w:rsid w:val="004279A5"/>
    <w:rsid w:val="00431502"/>
    <w:rsid w:val="004731F9"/>
    <w:rsid w:val="004D7788"/>
    <w:rsid w:val="00542D6F"/>
    <w:rsid w:val="00545D60"/>
    <w:rsid w:val="005644C2"/>
    <w:rsid w:val="00571999"/>
    <w:rsid w:val="005A2266"/>
    <w:rsid w:val="005B58D8"/>
    <w:rsid w:val="00643F79"/>
    <w:rsid w:val="006B0972"/>
    <w:rsid w:val="006D4969"/>
    <w:rsid w:val="006E5CA5"/>
    <w:rsid w:val="00705A84"/>
    <w:rsid w:val="00711AA7"/>
    <w:rsid w:val="007D2E54"/>
    <w:rsid w:val="007F1AA5"/>
    <w:rsid w:val="007F35FB"/>
    <w:rsid w:val="00840363"/>
    <w:rsid w:val="00843551"/>
    <w:rsid w:val="00892BB1"/>
    <w:rsid w:val="008E0493"/>
    <w:rsid w:val="008E3D70"/>
    <w:rsid w:val="0096420F"/>
    <w:rsid w:val="009F077A"/>
    <w:rsid w:val="00A308EC"/>
    <w:rsid w:val="00A34EF8"/>
    <w:rsid w:val="00A57ABA"/>
    <w:rsid w:val="00A72FF5"/>
    <w:rsid w:val="00B52BF1"/>
    <w:rsid w:val="00B535EE"/>
    <w:rsid w:val="00B745E4"/>
    <w:rsid w:val="00C41769"/>
    <w:rsid w:val="00C45C26"/>
    <w:rsid w:val="00CA4BB0"/>
    <w:rsid w:val="00CB5161"/>
    <w:rsid w:val="00D30E30"/>
    <w:rsid w:val="00D760D3"/>
    <w:rsid w:val="00D82BC5"/>
    <w:rsid w:val="00D96F14"/>
    <w:rsid w:val="00DC04E4"/>
    <w:rsid w:val="00E25037"/>
    <w:rsid w:val="00E720E8"/>
    <w:rsid w:val="00EC2A36"/>
    <w:rsid w:val="00F2422B"/>
    <w:rsid w:val="00F63321"/>
    <w:rsid w:val="00F81CC1"/>
    <w:rsid w:val="00F96B35"/>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CC37"/>
  <w15:chartTrackingRefBased/>
  <w15:docId w15:val="{6B689250-91A5-4444-BE11-1BC74994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A34EF8"/>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A34EF8"/>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A34EF8"/>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A34EF8"/>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A34EF8"/>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A34EF8"/>
    <w:pPr>
      <w:suppressAutoHyphens/>
      <w:spacing w:line="270" w:lineRule="exact"/>
      <w:outlineLvl w:val="0"/>
    </w:pPr>
    <w:rPr>
      <w:b/>
      <w:sz w:val="24"/>
    </w:rPr>
  </w:style>
  <w:style w:type="paragraph" w:customStyle="1" w:styleId="HCh">
    <w:name w:val="_ H _Ch"/>
    <w:basedOn w:val="H1"/>
    <w:next w:val="Normal"/>
    <w:qFormat/>
    <w:rsid w:val="00A34EF8"/>
    <w:pPr>
      <w:keepNext/>
      <w:keepLines/>
      <w:spacing w:line="300" w:lineRule="exact"/>
    </w:pPr>
    <w:rPr>
      <w:spacing w:val="-2"/>
      <w:sz w:val="28"/>
    </w:rPr>
  </w:style>
  <w:style w:type="paragraph" w:customStyle="1" w:styleId="H23">
    <w:name w:val="_ H_2/3"/>
    <w:basedOn w:val="H1"/>
    <w:next w:val="SingleTxt"/>
    <w:qFormat/>
    <w:rsid w:val="00A34EF8"/>
    <w:pPr>
      <w:keepNext/>
      <w:keepLines/>
      <w:spacing w:line="240" w:lineRule="exact"/>
      <w:outlineLvl w:val="1"/>
    </w:pPr>
    <w:rPr>
      <w:spacing w:val="2"/>
      <w:sz w:val="20"/>
    </w:rPr>
  </w:style>
  <w:style w:type="paragraph" w:customStyle="1" w:styleId="H4">
    <w:name w:val="_ H_4"/>
    <w:basedOn w:val="Normal"/>
    <w:next w:val="SingleTxt"/>
    <w:qFormat/>
    <w:rsid w:val="00A34EF8"/>
    <w:pPr>
      <w:keepNext/>
      <w:keepLines/>
      <w:tabs>
        <w:tab w:val="right" w:pos="360"/>
      </w:tabs>
      <w:suppressAutoHyphens/>
      <w:outlineLvl w:val="3"/>
    </w:pPr>
    <w:rPr>
      <w:i/>
      <w:spacing w:val="3"/>
    </w:rPr>
  </w:style>
  <w:style w:type="paragraph" w:customStyle="1" w:styleId="H56">
    <w:name w:val="_ H_5/6"/>
    <w:basedOn w:val="Normal"/>
    <w:next w:val="Normal"/>
    <w:qFormat/>
    <w:rsid w:val="00A34EF8"/>
    <w:pPr>
      <w:keepNext/>
      <w:keepLines/>
      <w:tabs>
        <w:tab w:val="right" w:pos="360"/>
      </w:tabs>
      <w:suppressAutoHyphens/>
      <w:ind w:left="1267" w:right="1267" w:hanging="1267"/>
      <w:outlineLvl w:val="4"/>
    </w:pPr>
  </w:style>
  <w:style w:type="paragraph" w:customStyle="1" w:styleId="DualTxt">
    <w:name w:val="__Dual Txt"/>
    <w:basedOn w:val="Normal"/>
    <w:qFormat/>
    <w:rsid w:val="00A34EF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34EF8"/>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34EF8"/>
    <w:pPr>
      <w:spacing w:line="540" w:lineRule="exact"/>
    </w:pPr>
    <w:rPr>
      <w:spacing w:val="-8"/>
      <w:w w:val="96"/>
      <w:sz w:val="57"/>
    </w:rPr>
  </w:style>
  <w:style w:type="paragraph" w:customStyle="1" w:styleId="SS">
    <w:name w:val="__S_S"/>
    <w:basedOn w:val="SM"/>
    <w:next w:val="Normal"/>
    <w:qFormat/>
    <w:rsid w:val="00A34EF8"/>
    <w:pPr>
      <w:spacing w:line="300" w:lineRule="exact"/>
      <w:ind w:left="1264" w:right="1264"/>
    </w:pPr>
    <w:rPr>
      <w:sz w:val="28"/>
    </w:rPr>
  </w:style>
  <w:style w:type="paragraph" w:customStyle="1" w:styleId="SingleTxt">
    <w:name w:val="__Single Txt"/>
    <w:basedOn w:val="Normal"/>
    <w:qFormat/>
    <w:rsid w:val="00A34EF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A34EF8"/>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A34E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A34EF8"/>
    <w:pPr>
      <w:keepNext/>
      <w:keepLines/>
      <w:spacing w:line="240" w:lineRule="exact"/>
      <w:ind w:right="5040"/>
      <w:outlineLvl w:val="1"/>
    </w:pPr>
    <w:rPr>
      <w:spacing w:val="2"/>
      <w:sz w:val="20"/>
    </w:rPr>
  </w:style>
  <w:style w:type="paragraph" w:customStyle="1" w:styleId="Bullet1">
    <w:name w:val="Bullet 1"/>
    <w:basedOn w:val="Normal"/>
    <w:qFormat/>
    <w:rsid w:val="00A34EF8"/>
    <w:pPr>
      <w:numPr>
        <w:numId w:val="28"/>
      </w:numPr>
      <w:spacing w:after="120"/>
      <w:ind w:right="1267"/>
      <w:jc w:val="both"/>
    </w:pPr>
  </w:style>
  <w:style w:type="paragraph" w:customStyle="1" w:styleId="Bullet2">
    <w:name w:val="Bullet 2"/>
    <w:basedOn w:val="Normal"/>
    <w:qFormat/>
    <w:rsid w:val="00A34EF8"/>
    <w:pPr>
      <w:numPr>
        <w:numId w:val="29"/>
      </w:numPr>
      <w:spacing w:after="120"/>
      <w:ind w:right="1267"/>
      <w:jc w:val="both"/>
    </w:pPr>
  </w:style>
  <w:style w:type="paragraph" w:customStyle="1" w:styleId="Bullet3">
    <w:name w:val="Bullet 3"/>
    <w:basedOn w:val="SingleTxt"/>
    <w:qFormat/>
    <w:rsid w:val="00A34EF8"/>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A34EF8"/>
    <w:pPr>
      <w:spacing w:before="240"/>
    </w:pPr>
    <w:rPr>
      <w:szCs w:val="20"/>
    </w:rPr>
  </w:style>
  <w:style w:type="character" w:styleId="EndnoteReference">
    <w:name w:val="endnote reference"/>
    <w:basedOn w:val="DefaultParagraphFont"/>
    <w:uiPriority w:val="1"/>
    <w:semiHidden/>
    <w:rsid w:val="00A34E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A34EF8"/>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A34EF8"/>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A34EF8"/>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A34EF8"/>
    <w:rPr>
      <w:rFonts w:ascii="Times New Roman" w:eastAsiaTheme="minorHAnsi" w:hAnsi="Times New Roman"/>
      <w:b/>
      <w:sz w:val="17"/>
      <w:lang w:val="ru-RU" w:eastAsia="en-US"/>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A34E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A34EF8"/>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A34EF8"/>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A34EF8"/>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A34EF8"/>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A34EF8"/>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A34EF8"/>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A34EF8"/>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A34EF8"/>
    <w:pPr>
      <w:spacing w:after="120"/>
      <w:ind w:left="360"/>
      <w:contextualSpacing/>
    </w:pPr>
  </w:style>
  <w:style w:type="paragraph" w:styleId="ListContinue2">
    <w:name w:val="List Continue 2"/>
    <w:basedOn w:val="Normal"/>
    <w:next w:val="Normal"/>
    <w:uiPriority w:val="99"/>
    <w:rsid w:val="00A34EF8"/>
    <w:pPr>
      <w:numPr>
        <w:numId w:val="31"/>
      </w:numPr>
      <w:tabs>
        <w:tab w:val="left" w:pos="792"/>
      </w:tabs>
      <w:spacing w:after="120"/>
    </w:pPr>
  </w:style>
  <w:style w:type="paragraph" w:styleId="ListNumber">
    <w:name w:val="List Number"/>
    <w:basedOn w:val="H1"/>
    <w:next w:val="Normal"/>
    <w:uiPriority w:val="99"/>
    <w:rsid w:val="00A34EF8"/>
    <w:pPr>
      <w:numPr>
        <w:numId w:val="32"/>
      </w:numPr>
      <w:contextualSpacing/>
    </w:pPr>
  </w:style>
  <w:style w:type="paragraph" w:styleId="ListNumber2">
    <w:name w:val="List Number 2"/>
    <w:basedOn w:val="H23"/>
    <w:next w:val="Normal"/>
    <w:uiPriority w:val="99"/>
    <w:rsid w:val="00A34EF8"/>
    <w:pPr>
      <w:numPr>
        <w:numId w:val="33"/>
      </w:numPr>
      <w:tabs>
        <w:tab w:val="left" w:pos="648"/>
      </w:tabs>
      <w:contextualSpacing/>
    </w:pPr>
  </w:style>
  <w:style w:type="paragraph" w:styleId="ListNumber3">
    <w:name w:val="List Number 3"/>
    <w:basedOn w:val="H23"/>
    <w:next w:val="Normal"/>
    <w:uiPriority w:val="99"/>
    <w:rsid w:val="00A34EF8"/>
    <w:pPr>
      <w:numPr>
        <w:numId w:val="34"/>
      </w:numPr>
      <w:tabs>
        <w:tab w:val="left" w:pos="922"/>
      </w:tabs>
      <w:contextualSpacing/>
    </w:pPr>
  </w:style>
  <w:style w:type="paragraph" w:styleId="ListNumber4">
    <w:name w:val="List Number 4"/>
    <w:basedOn w:val="Normal"/>
    <w:uiPriority w:val="99"/>
    <w:rsid w:val="00A34EF8"/>
    <w:pPr>
      <w:keepNext/>
      <w:keepLines/>
      <w:numPr>
        <w:numId w:val="35"/>
      </w:numPr>
      <w:tabs>
        <w:tab w:val="left" w:pos="1210"/>
      </w:tabs>
      <w:suppressAutoHyphens/>
      <w:contextualSpacing/>
      <w:outlineLvl w:val="3"/>
    </w:pPr>
    <w:rPr>
      <w:i/>
      <w:spacing w:val="3"/>
    </w:rPr>
  </w:style>
  <w:style w:type="paragraph" w:styleId="ListNumber5">
    <w:name w:val="List Number 5"/>
    <w:basedOn w:val="Normal"/>
    <w:next w:val="Normal"/>
    <w:uiPriority w:val="99"/>
    <w:rsid w:val="00A34EF8"/>
    <w:pPr>
      <w:numPr>
        <w:numId w:val="36"/>
      </w:numPr>
      <w:tabs>
        <w:tab w:val="left" w:pos="1498"/>
      </w:tabs>
      <w:contextualSpacing/>
    </w:pPr>
  </w:style>
  <w:style w:type="paragraph" w:styleId="NoSpacing">
    <w:name w:val="No Spacing"/>
    <w:uiPriority w:val="1"/>
    <w:rsid w:val="00A34EF8"/>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A34EF8"/>
    <w:rPr>
      <w:szCs w:val="20"/>
    </w:rPr>
  </w:style>
  <w:style w:type="paragraph" w:customStyle="1" w:styleId="Publication">
    <w:name w:val="Publication"/>
    <w:basedOn w:val="Normal"/>
    <w:next w:val="Normal"/>
    <w:qFormat/>
    <w:rsid w:val="00A34EF8"/>
  </w:style>
  <w:style w:type="paragraph" w:customStyle="1" w:styleId="ReleaseDate">
    <w:name w:val="ReleaseDate"/>
    <w:basedOn w:val="Normal"/>
    <w:next w:val="Normal"/>
    <w:qFormat/>
    <w:rsid w:val="00A34EF8"/>
    <w:rPr>
      <w:szCs w:val="20"/>
    </w:rPr>
  </w:style>
  <w:style w:type="paragraph" w:customStyle="1" w:styleId="Small">
    <w:name w:val="Small"/>
    <w:basedOn w:val="Normal"/>
    <w:next w:val="Normal"/>
    <w:qFormat/>
    <w:rsid w:val="00A34EF8"/>
    <w:pPr>
      <w:tabs>
        <w:tab w:val="right" w:pos="9965"/>
      </w:tabs>
      <w:spacing w:line="210" w:lineRule="exact"/>
    </w:pPr>
    <w:rPr>
      <w:spacing w:val="5"/>
      <w:w w:val="104"/>
      <w:sz w:val="17"/>
    </w:rPr>
  </w:style>
  <w:style w:type="paragraph" w:customStyle="1" w:styleId="SmallX">
    <w:name w:val="SmallX"/>
    <w:basedOn w:val="Small"/>
    <w:next w:val="Normal"/>
    <w:qFormat/>
    <w:rsid w:val="00A34EF8"/>
    <w:pPr>
      <w:spacing w:line="180" w:lineRule="exact"/>
      <w:jc w:val="right"/>
    </w:pPr>
    <w:rPr>
      <w:spacing w:val="6"/>
      <w:w w:val="106"/>
      <w:sz w:val="14"/>
    </w:rPr>
  </w:style>
  <w:style w:type="paragraph" w:customStyle="1" w:styleId="TitleHCH">
    <w:name w:val="Title_H_CH"/>
    <w:basedOn w:val="H1"/>
    <w:next w:val="Normal"/>
    <w:qFormat/>
    <w:rsid w:val="00A34E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34E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34EF8"/>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character" w:styleId="CommentReference">
    <w:name w:val="annotation reference"/>
    <w:basedOn w:val="DefaultParagraphFont"/>
    <w:uiPriority w:val="99"/>
    <w:semiHidden/>
    <w:unhideWhenUsed/>
    <w:rsid w:val="007F1AA5"/>
    <w:rPr>
      <w:sz w:val="16"/>
      <w:szCs w:val="16"/>
    </w:rPr>
  </w:style>
  <w:style w:type="paragraph" w:styleId="CommentText">
    <w:name w:val="annotation text"/>
    <w:basedOn w:val="Normal"/>
    <w:link w:val="CommentTextChar"/>
    <w:uiPriority w:val="99"/>
    <w:semiHidden/>
    <w:unhideWhenUsed/>
    <w:rsid w:val="007F1AA5"/>
    <w:pPr>
      <w:spacing w:line="240" w:lineRule="auto"/>
    </w:pPr>
    <w:rPr>
      <w:szCs w:val="20"/>
    </w:rPr>
  </w:style>
  <w:style w:type="character" w:customStyle="1" w:styleId="CommentTextChar">
    <w:name w:val="Comment Text Char"/>
    <w:basedOn w:val="DefaultParagraphFont"/>
    <w:link w:val="CommentText"/>
    <w:uiPriority w:val="99"/>
    <w:semiHidden/>
    <w:rsid w:val="007F1AA5"/>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7F1AA5"/>
    <w:rPr>
      <w:b/>
      <w:bCs/>
    </w:rPr>
  </w:style>
  <w:style w:type="character" w:customStyle="1" w:styleId="CommentSubjectChar">
    <w:name w:val="Comment Subject Char"/>
    <w:basedOn w:val="CommentTextChar"/>
    <w:link w:val="CommentSubject"/>
    <w:uiPriority w:val="99"/>
    <w:semiHidden/>
    <w:rsid w:val="007F1AA5"/>
    <w:rPr>
      <w:rFonts w:ascii="Times New Roman" w:eastAsiaTheme="minorHAnsi" w:hAnsi="Times New Roman" w:cs="Times New Roman"/>
      <w:b/>
      <w:bCs/>
      <w:spacing w:val="4"/>
      <w:w w:val="103"/>
      <w:kern w:val="14"/>
      <w:sz w:val="20"/>
      <w:szCs w:val="20"/>
      <w:lang w:val="ru-RU" w:eastAsia="en-US"/>
    </w:rPr>
  </w:style>
  <w:style w:type="paragraph" w:customStyle="1" w:styleId="SingleTxtG">
    <w:name w:val="_ Single Txt_G"/>
    <w:basedOn w:val="Normal"/>
    <w:link w:val="SingleTxtGChar"/>
    <w:rsid w:val="00711AA7"/>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rsid w:val="00711AA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1G">
    <w:name w:val="_ H_1_G"/>
    <w:basedOn w:val="Normal"/>
    <w:next w:val="Normal"/>
    <w:rsid w:val="00711AA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rsid w:val="00711AA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711AA7"/>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711AA7"/>
    <w:rPr>
      <w:rFonts w:eastAsia="SimSun"/>
      <w:sz w:val="18"/>
      <w:szCs w:val="20"/>
      <w:lang w:val="en-US" w:eastAsia="zh-CN"/>
    </w:rPr>
  </w:style>
  <w:style w:type="character" w:customStyle="1" w:styleId="SingleTxtGChar">
    <w:name w:val="_ Single Txt_G Char"/>
    <w:link w:val="SingleTxtG"/>
    <w:locked/>
    <w:rsid w:val="00711AA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5882</Words>
  <Characters>33529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4</cp:revision>
  <cp:lastPrinted>2018-05-17T18:10:00Z</cp:lastPrinted>
  <dcterms:created xsi:type="dcterms:W3CDTF">2018-05-17T18:12:00Z</dcterms:created>
  <dcterms:modified xsi:type="dcterms:W3CDTF">2018-05-17T18:12:00Z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1806601R</vt:lpwstr>
  </property>
  <property fmtid="{D5CDD505-2E9C-101B-9397-08002B2CF9AE}" pid="3" name="ODSRefJobNo">
    <vt:lpwstr>1812414R</vt:lpwstr>
  </property>
  <property fmtid="{D5CDD505-2E9C-101B-9397-08002B2CF9AE}" pid="4" name="Symbol1">
    <vt:lpwstr>CEDAW/C/69/D/88/2015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25 April 2018</vt:lpwstr>
  </property>
  <property fmtid="{D5CDD505-2E9C-101B-9397-08002B2CF9AE}" pid="14" name="Original">
    <vt:lpwstr>English</vt:lpwstr>
  </property>
  <property fmtid="{D5CDD505-2E9C-101B-9397-08002B2CF9AE}" pid="15" name="Release Date">
    <vt:lpwstr>170518</vt:lpwstr>
  </property>
  <property fmtid="{D5CDD505-2E9C-101B-9397-08002B2CF9AE}" pid="16" name="Title1">
    <vt:lpwstr>		Мнения в отношении сообщения № 88/2015, принятые Комитетом в соответствии пунктом 3 статьи 7 Факультативного протокола*,**_x000d_</vt:lpwstr>
  </property>
</Properties>
</file>