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8A" w:rsidRPr="001F5520" w:rsidRDefault="002E1B8A" w:rsidP="002E1B8A">
      <w:pPr>
        <w:spacing w:line="240" w:lineRule="auto"/>
        <w:rPr>
          <w:sz w:val="6"/>
        </w:rPr>
        <w:sectPr w:rsidR="002E1B8A" w:rsidRPr="001F5520" w:rsidSect="003E0A5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1F5520">
        <w:rPr>
          <w:rStyle w:val="CommentReference"/>
          <w:szCs w:val="20"/>
        </w:rPr>
        <w:commentReference w:id="0"/>
      </w:r>
      <w:bookmarkStart w:id="1" w:name="_GoBack"/>
      <w:bookmarkEnd w:id="1"/>
    </w:p>
    <w:p w:rsidR="006D5375" w:rsidRDefault="006D5375" w:rsidP="006D53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lastRenderedPageBreak/>
        <w:t xml:space="preserve">Comité para la Eliminación de la Discriminación </w:t>
      </w:r>
    </w:p>
    <w:p w:rsidR="006D5375" w:rsidRDefault="006D5375" w:rsidP="006D53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contra la Mujer</w:t>
      </w:r>
    </w:p>
    <w:p w:rsidR="006D5375" w:rsidRDefault="006D5375" w:rsidP="006D53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62° período de sesiones</w:t>
      </w:r>
    </w:p>
    <w:p w:rsidR="006D5375" w:rsidRDefault="006D5375" w:rsidP="006D5375">
      <w:r>
        <w:t>26 de octubre a 20 de noviembre de 2015</w:t>
      </w:r>
    </w:p>
    <w:p w:rsidR="006D5375" w:rsidRDefault="006D5375" w:rsidP="006D5375">
      <w:r>
        <w:t>Tema 2 del programa provisional</w:t>
      </w:r>
    </w:p>
    <w:p w:rsidR="006D5375" w:rsidRPr="001C68EC" w:rsidRDefault="006D5375" w:rsidP="006D5375">
      <w:pPr>
        <w:rPr>
          <w:b/>
        </w:rPr>
      </w:pPr>
      <w:r w:rsidRPr="00B3599A">
        <w:rPr>
          <w:b/>
        </w:rPr>
        <w:t>Aprobación del programa y organización de los trabajos</w:t>
      </w:r>
    </w:p>
    <w:p w:rsidR="006D5375" w:rsidRDefault="006D5375" w:rsidP="006D5375">
      <w:pPr>
        <w:pStyle w:val="SingleTxt"/>
        <w:spacing w:after="0" w:line="120" w:lineRule="exact"/>
        <w:rPr>
          <w:sz w:val="10"/>
        </w:rPr>
      </w:pPr>
    </w:p>
    <w:p w:rsidR="006D5375" w:rsidRPr="001C68EC" w:rsidRDefault="006D5375" w:rsidP="006D5375">
      <w:pPr>
        <w:pStyle w:val="SingleTxt"/>
        <w:spacing w:after="0" w:line="120" w:lineRule="exact"/>
        <w:rPr>
          <w:sz w:val="10"/>
        </w:rPr>
      </w:pPr>
    </w:p>
    <w:p w:rsidR="006D5375" w:rsidRPr="001C68EC" w:rsidRDefault="006D5375" w:rsidP="006D5375">
      <w:pPr>
        <w:framePr w:w="9792" w:h="432" w:hSpace="180" w:wrap="around" w:hAnchor="page" w:x="1210" w:yAlign="bottom"/>
        <w:spacing w:line="240" w:lineRule="auto"/>
        <w:rPr>
          <w:sz w:val="10"/>
        </w:rPr>
      </w:pPr>
      <w:r>
        <w:rPr>
          <w:noProof/>
          <w:w w:val="100"/>
          <w:sz w:val="6"/>
          <w:lang w:val="en-US" w:eastAsia="zh-CN"/>
        </w:rPr>
        <mc:AlternateContent>
          <mc:Choice Requires="wps">
            <w:drawing>
              <wp:anchor distT="0" distB="0" distL="114300" distR="114300" simplePos="0" relativeHeight="251659264" behindDoc="0" locked="0" layoutInCell="1" allowOverlap="1">
                <wp:simplePos x="0" y="0"/>
                <wp:positionH relativeFrom="page">
                  <wp:posOffset>1279525</wp:posOffset>
                </wp:positionH>
                <wp:positionV relativeFrom="paragraph">
                  <wp:posOffset>47625</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75pt,3.75pt" to="172.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" strokeweight=".25pt">
                <w10:wrap anchorx="page"/>
              </v:line>
            </w:pict>
          </mc:Fallback>
        </mc:AlternateContent>
      </w:r>
    </w:p>
    <w:p w:rsidR="006D5375" w:rsidRPr="001C68EC" w:rsidRDefault="006D5375" w:rsidP="006D5375">
      <w:pPr>
        <w:framePr w:w="9792" w:h="432" w:hSpace="180" w:wrap="around" w:hAnchor="page" w:x="1210" w:yAlign="bottom"/>
        <w:spacing w:line="240" w:lineRule="auto"/>
        <w:rPr>
          <w:sz w:val="6"/>
        </w:rPr>
      </w:pPr>
    </w:p>
    <w:p w:rsidR="006D5375" w:rsidRDefault="006D5375" w:rsidP="006D5375">
      <w:pPr>
        <w:framePr w:w="9792" w:h="432" w:hSpace="180" w:wrap="around" w:hAnchor="page" w:x="1210" w:yAlign="bottom"/>
        <w:tabs>
          <w:tab w:val="left" w:pos="820"/>
          <w:tab w:val="left" w:pos="1742"/>
          <w:tab w:val="left" w:pos="2218"/>
          <w:tab w:val="left" w:pos="2693"/>
          <w:tab w:val="left" w:pos="3182"/>
          <w:tab w:val="left" w:pos="3658"/>
          <w:tab w:val="left" w:pos="4133"/>
          <w:tab w:val="left" w:pos="4622"/>
          <w:tab w:val="left" w:pos="5098"/>
          <w:tab w:val="left" w:pos="5573"/>
          <w:tab w:val="left" w:pos="6048"/>
        </w:tabs>
        <w:spacing w:after="40" w:line="240" w:lineRule="auto"/>
        <w:ind w:left="1267" w:right="1267" w:hanging="576"/>
        <w:rPr>
          <w:sz w:val="17"/>
        </w:rPr>
      </w:pPr>
      <w:r>
        <w:rPr>
          <w:sz w:val="17"/>
        </w:rPr>
        <w:tab/>
      </w:r>
      <w:r w:rsidR="00770E8E">
        <w:rPr>
          <w:sz w:val="17"/>
        </w:rPr>
        <w:t xml:space="preserve">  </w:t>
      </w:r>
      <w:r w:rsidRPr="0070795C">
        <w:rPr>
          <w:i/>
          <w:sz w:val="17"/>
        </w:rPr>
        <w:t>Nota</w:t>
      </w:r>
      <w:r w:rsidRPr="001C68EC">
        <w:rPr>
          <w:sz w:val="17"/>
        </w:rPr>
        <w:t>: El presente documento se distribuye en español, francés e inglés solamente.</w:t>
      </w:r>
    </w:p>
    <w:p w:rsidR="006D5375" w:rsidRPr="001C68EC" w:rsidRDefault="006D5375" w:rsidP="006D537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6D5375" w:rsidRPr="001C68EC" w:rsidRDefault="006D5375" w:rsidP="006D5375">
      <w:pPr>
        <w:pStyle w:val="SingleTxt"/>
        <w:spacing w:after="0" w:line="120" w:lineRule="exact"/>
        <w:rPr>
          <w:sz w:val="10"/>
        </w:rPr>
      </w:pPr>
    </w:p>
    <w:p w:rsidR="006D5375" w:rsidRPr="001C68EC" w:rsidRDefault="006D5375" w:rsidP="006D5375">
      <w:pPr>
        <w:pStyle w:val="SingleTxt"/>
        <w:spacing w:after="0" w:line="120" w:lineRule="exact"/>
        <w:rPr>
          <w:sz w:val="10"/>
        </w:rPr>
      </w:pPr>
    </w:p>
    <w:p w:rsidR="006D5375" w:rsidRDefault="006D5375" w:rsidP="006D537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 provisional anotado</w:t>
      </w:r>
    </w:p>
    <w:p w:rsidR="00724D53" w:rsidRPr="00724D53" w:rsidRDefault="00724D53" w:rsidP="00724D53">
      <w:pPr>
        <w:pStyle w:val="SingleTxt"/>
        <w:spacing w:after="0" w:line="120" w:lineRule="exact"/>
        <w:rPr>
          <w:sz w:val="10"/>
        </w:rPr>
      </w:pPr>
    </w:p>
    <w:p w:rsidR="00724D53" w:rsidRPr="00724D53" w:rsidRDefault="00724D53" w:rsidP="00724D53">
      <w:pPr>
        <w:pStyle w:val="SingleTxt"/>
        <w:spacing w:after="0" w:line="120" w:lineRule="exact"/>
        <w:rPr>
          <w:sz w:val="10"/>
        </w:rPr>
      </w:pPr>
    </w:p>
    <w:p w:rsidR="00724D53" w:rsidRDefault="00724D53" w:rsidP="00724D53">
      <w:pPr>
        <w:pStyle w:val="SingleTxt"/>
        <w:ind w:left="1742" w:hanging="475"/>
        <w:jc w:val="left"/>
      </w:pPr>
      <w:r>
        <w:t>1.</w:t>
      </w:r>
      <w:r>
        <w:tab/>
        <w:t>Apertura del período de sesiones.</w:t>
      </w:r>
    </w:p>
    <w:p w:rsidR="00724D53" w:rsidRDefault="00724D53" w:rsidP="00724D53">
      <w:pPr>
        <w:pStyle w:val="SingleTxt"/>
        <w:ind w:left="1742" w:hanging="475"/>
        <w:jc w:val="left"/>
      </w:pPr>
      <w:r>
        <w:t>2.</w:t>
      </w:r>
      <w:r>
        <w:tab/>
        <w:t>Métodos de trabajo del Comité para la Eliminación de la Discriminación contra la Mujer</w:t>
      </w:r>
    </w:p>
    <w:p w:rsidR="00724D53" w:rsidRDefault="00724D53" w:rsidP="00724D53">
      <w:pPr>
        <w:pStyle w:val="SingleTxt"/>
        <w:ind w:left="1742" w:hanging="475"/>
        <w:jc w:val="left"/>
      </w:pPr>
      <w:r>
        <w:t>3.</w:t>
      </w:r>
      <w:r>
        <w:tab/>
        <w:t>Informe de la Presidencia sobre las actividades realizadas entre los períodos de sesiones 61º y 62º del Comité.</w:t>
      </w:r>
    </w:p>
    <w:p w:rsidR="00724D53" w:rsidRDefault="00724D53" w:rsidP="00724D53">
      <w:pPr>
        <w:pStyle w:val="SingleTxt"/>
        <w:ind w:left="1742" w:hanging="475"/>
        <w:jc w:val="left"/>
      </w:pPr>
      <w:r>
        <w:t>4.</w:t>
      </w:r>
      <w:r>
        <w:tab/>
        <w:t>Examen de los informes presentados por los Estados partes en virtud del artículo 18 de la Convención sobre la Eliminación de Todas las Formas de Discriminación contra la Mujer.</w:t>
      </w:r>
    </w:p>
    <w:p w:rsidR="00724D53" w:rsidRDefault="00724D53" w:rsidP="00724D53">
      <w:pPr>
        <w:pStyle w:val="SingleTxt"/>
        <w:ind w:left="1742" w:hanging="475"/>
        <w:jc w:val="left"/>
      </w:pPr>
      <w:r>
        <w:t>5.</w:t>
      </w:r>
      <w:r>
        <w:tab/>
        <w:t>Seguimiento del examen de los informes presentados por los Estados partes en virtud del artículo 18 de la Convención.</w:t>
      </w:r>
    </w:p>
    <w:p w:rsidR="00724D53" w:rsidRDefault="00724D53" w:rsidP="00724D53">
      <w:pPr>
        <w:pStyle w:val="SingleTxt"/>
        <w:ind w:left="1742" w:hanging="475"/>
        <w:jc w:val="left"/>
      </w:pPr>
      <w:r>
        <w:t>6.</w:t>
      </w:r>
      <w:r>
        <w:tab/>
        <w:t>Aplicación de los artículos 21 y 22 de la Convención.</w:t>
      </w:r>
    </w:p>
    <w:p w:rsidR="00724D53" w:rsidRDefault="00724D53" w:rsidP="00724D53">
      <w:pPr>
        <w:pStyle w:val="SingleTxt"/>
        <w:ind w:left="1742" w:hanging="475"/>
        <w:jc w:val="left"/>
      </w:pPr>
      <w:r>
        <w:t>7.</w:t>
      </w:r>
      <w:r>
        <w:tab/>
        <w:t>Medios de agilizar los trabajos del Comité.</w:t>
      </w:r>
    </w:p>
    <w:p w:rsidR="00724D53" w:rsidRDefault="00724D53" w:rsidP="00724D53">
      <w:pPr>
        <w:pStyle w:val="SingleTxt"/>
        <w:ind w:left="1742" w:hanging="475"/>
        <w:jc w:val="left"/>
      </w:pPr>
      <w:r>
        <w:t>8.</w:t>
      </w:r>
      <w:r>
        <w:tab/>
        <w:t>Actividades del Comité en relación con el Protocolo Facultativo de la Convención.</w:t>
      </w:r>
    </w:p>
    <w:p w:rsidR="00724D53" w:rsidRDefault="00724D53" w:rsidP="00724D53">
      <w:pPr>
        <w:pStyle w:val="SingleTxt"/>
        <w:ind w:left="1742" w:hanging="475"/>
        <w:jc w:val="left"/>
      </w:pPr>
      <w:r>
        <w:t>9.</w:t>
      </w:r>
      <w:r>
        <w:tab/>
        <w:t>Programa provisional del 63º período de sesiones del Comité.</w:t>
      </w:r>
    </w:p>
    <w:p w:rsidR="00724D53" w:rsidRDefault="00724D53" w:rsidP="00724D53">
      <w:pPr>
        <w:pStyle w:val="SingleTxt"/>
        <w:ind w:left="1742" w:hanging="475"/>
        <w:jc w:val="left"/>
      </w:pPr>
      <w:r>
        <w:t>10.</w:t>
      </w:r>
      <w:r>
        <w:tab/>
        <w:t>Aprobación del informe del Comité sobre su 62º período de sesiones.</w:t>
      </w:r>
    </w:p>
    <w:p w:rsidR="006D5375" w:rsidRDefault="006D5375" w:rsidP="00724D53">
      <w:pPr>
        <w:pStyle w:val="SingleTxt"/>
        <w:jc w:val="left"/>
      </w:pPr>
    </w:p>
    <w:p w:rsidR="006D5375" w:rsidRDefault="006D5375">
      <w:pPr>
        <w:suppressAutoHyphens w:val="0"/>
        <w:spacing w:line="240" w:lineRule="auto"/>
        <w:rPr>
          <w:kern w:val="14"/>
        </w:rPr>
      </w:pPr>
      <w:r>
        <w:br w:type="page"/>
      </w:r>
    </w:p>
    <w:p w:rsidR="00173125" w:rsidRDefault="00173125" w:rsidP="001731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Anotaciones</w:t>
      </w:r>
    </w:p>
    <w:p w:rsidR="00173125" w:rsidRPr="00A876DE" w:rsidRDefault="00173125" w:rsidP="00173125">
      <w:pPr>
        <w:pStyle w:val="SingleTxt"/>
        <w:spacing w:after="0" w:line="120" w:lineRule="exact"/>
        <w:rPr>
          <w:sz w:val="10"/>
        </w:rPr>
      </w:pPr>
    </w:p>
    <w:p w:rsidR="00173125" w:rsidRPr="00A876DE" w:rsidRDefault="00173125" w:rsidP="00173125">
      <w:pPr>
        <w:pStyle w:val="SingleTxt"/>
        <w:spacing w:after="0" w:line="120" w:lineRule="exact"/>
        <w:rPr>
          <w:sz w:val="10"/>
        </w:rPr>
      </w:pPr>
    </w:p>
    <w:p w:rsidR="00173125" w:rsidRDefault="00173125" w:rsidP="001731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Introducción</w:t>
      </w:r>
    </w:p>
    <w:p w:rsidR="00173125" w:rsidRPr="00A876DE" w:rsidRDefault="00173125" w:rsidP="00173125">
      <w:pPr>
        <w:pStyle w:val="SingleTxt"/>
        <w:spacing w:after="0" w:line="120" w:lineRule="exact"/>
        <w:rPr>
          <w:sz w:val="10"/>
        </w:rPr>
      </w:pPr>
    </w:p>
    <w:p w:rsidR="00173125" w:rsidRPr="00A876DE" w:rsidRDefault="00173125" w:rsidP="00173125">
      <w:pPr>
        <w:pStyle w:val="SingleTxt"/>
        <w:spacing w:after="0" w:line="120" w:lineRule="exact"/>
        <w:rPr>
          <w:sz w:val="10"/>
        </w:rPr>
      </w:pPr>
    </w:p>
    <w:p w:rsidR="00173125" w:rsidRDefault="00173125" w:rsidP="00173125">
      <w:pPr>
        <w:pStyle w:val="SingleTxt"/>
      </w:pPr>
      <w:r>
        <w:tab/>
      </w:r>
      <w:r w:rsidRPr="00C21166">
        <w:t>La Presidenta del Comité inaugurará el 62º período de sesiones del Comité para la Eliminación de la Discriminación contra la Mujer.</w:t>
      </w:r>
    </w:p>
    <w:p w:rsidR="00173125" w:rsidRPr="00A876DE" w:rsidRDefault="00173125" w:rsidP="00173125">
      <w:pPr>
        <w:pStyle w:val="SingleTxt"/>
        <w:spacing w:after="0" w:line="120" w:lineRule="exact"/>
        <w:rPr>
          <w:sz w:val="10"/>
        </w:rPr>
      </w:pPr>
    </w:p>
    <w:p w:rsidR="00173125" w:rsidRPr="00A876DE" w:rsidRDefault="00173125" w:rsidP="00173125">
      <w:pPr>
        <w:pStyle w:val="SingleTxt"/>
        <w:spacing w:after="0" w:line="120" w:lineRule="exact"/>
        <w:rPr>
          <w:sz w:val="10"/>
        </w:rPr>
      </w:pPr>
    </w:p>
    <w:p w:rsidR="00173125" w:rsidRDefault="00173125" w:rsidP="001731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Aprobación del programa y organización de los trabajos</w:t>
      </w:r>
    </w:p>
    <w:p w:rsidR="00173125" w:rsidRPr="00A876DE" w:rsidRDefault="00173125" w:rsidP="00173125">
      <w:pPr>
        <w:pStyle w:val="SingleTxt"/>
        <w:spacing w:after="0" w:line="120" w:lineRule="exact"/>
        <w:rPr>
          <w:sz w:val="10"/>
        </w:rPr>
      </w:pPr>
    </w:p>
    <w:p w:rsidR="00173125" w:rsidRPr="00A876DE" w:rsidRDefault="00173125" w:rsidP="00173125">
      <w:pPr>
        <w:pStyle w:val="SingleTxt"/>
        <w:spacing w:after="0" w:line="120" w:lineRule="exact"/>
        <w:rPr>
          <w:sz w:val="10"/>
        </w:rPr>
      </w:pPr>
    </w:p>
    <w:p w:rsidR="00173125" w:rsidRDefault="00173125" w:rsidP="00173125">
      <w:pPr>
        <w:pStyle w:val="SingleTxt"/>
      </w:pPr>
      <w:r>
        <w:tab/>
      </w:r>
      <w:r w:rsidRPr="00D04796">
        <w:t>Según el artículo 9 del reglamento, la aprobación del programa será el primer tema sustantivo del programa provisional de cada período de sesiones. En el artículo 7 se establece que el Secretario General, en consulta con la Presidencia del Comité, preparará el programa provisional de cada período de sesiones de conformidad con las disposiciones pertinentes de los artículos 17 a 22 de la Convención.</w:t>
      </w:r>
    </w:p>
    <w:p w:rsidR="00173125" w:rsidRDefault="00173125" w:rsidP="00173125">
      <w:pPr>
        <w:pStyle w:val="SingleTxt"/>
      </w:pPr>
      <w:r>
        <w:tab/>
        <w:t>En su 61º período de sesiones, el Comité aprobó el programa provisional de su 62º período de sesiones.</w:t>
      </w:r>
      <w:r w:rsidRPr="00ED4A4F">
        <w:t xml:space="preserve"> </w:t>
      </w:r>
    </w:p>
    <w:p w:rsidR="00173125" w:rsidRPr="00A876DE" w:rsidRDefault="00173125" w:rsidP="00173125">
      <w:pPr>
        <w:pStyle w:val="SingleTxt"/>
        <w:spacing w:after="0" w:line="120" w:lineRule="exact"/>
        <w:rPr>
          <w:sz w:val="10"/>
        </w:rPr>
      </w:pPr>
    </w:p>
    <w:p w:rsidR="00173125" w:rsidRPr="00A876DE" w:rsidRDefault="00173125" w:rsidP="00173125">
      <w:pPr>
        <w:pStyle w:val="SingleTxt"/>
        <w:spacing w:after="0" w:line="120" w:lineRule="exact"/>
        <w:rPr>
          <w:sz w:val="10"/>
        </w:rPr>
      </w:pPr>
    </w:p>
    <w:p w:rsidR="00173125" w:rsidRDefault="00173125" w:rsidP="001731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r>
      <w:r w:rsidRPr="00DD183A">
        <w:t>Informe de la Presidencia sobre las actividades realizadas entre los períodos de sesiones 61º y 62º del Comité</w:t>
      </w:r>
    </w:p>
    <w:p w:rsidR="00173125" w:rsidRPr="00A876DE" w:rsidRDefault="00173125" w:rsidP="00173125">
      <w:pPr>
        <w:pStyle w:val="SingleTxt"/>
        <w:spacing w:after="0" w:line="120" w:lineRule="exact"/>
        <w:rPr>
          <w:sz w:val="10"/>
        </w:rPr>
      </w:pPr>
    </w:p>
    <w:p w:rsidR="00173125" w:rsidRPr="00A876DE" w:rsidRDefault="00173125" w:rsidP="00173125">
      <w:pPr>
        <w:pStyle w:val="SingleTxt"/>
        <w:spacing w:after="0" w:line="120" w:lineRule="exact"/>
        <w:rPr>
          <w:sz w:val="10"/>
        </w:rPr>
      </w:pPr>
    </w:p>
    <w:p w:rsidR="00173125" w:rsidRDefault="00173125" w:rsidP="00173125">
      <w:pPr>
        <w:pStyle w:val="SingleTxt"/>
      </w:pPr>
      <w:r>
        <w:tab/>
      </w:r>
      <w:r w:rsidRPr="008031D3">
        <w:t>La Presidencia informará al Comité sobre las actividades y los acontecimientos relacionados con la labor del Comité que hayan ocurrido desde el período de sesiones anterior.</w:t>
      </w:r>
      <w:r w:rsidRPr="00B908D8">
        <w:t xml:space="preserve"> </w:t>
      </w:r>
    </w:p>
    <w:p w:rsidR="00173125" w:rsidRPr="00A876DE" w:rsidRDefault="00173125" w:rsidP="00173125">
      <w:pPr>
        <w:pStyle w:val="SingleTxt"/>
        <w:spacing w:after="0" w:line="120" w:lineRule="exact"/>
        <w:rPr>
          <w:sz w:val="10"/>
        </w:rPr>
      </w:pPr>
    </w:p>
    <w:p w:rsidR="00173125" w:rsidRPr="00DB4C58" w:rsidRDefault="00173125" w:rsidP="001731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DB4C58">
        <w:rPr>
          <w:sz w:val="24"/>
          <w:szCs w:val="24"/>
        </w:rPr>
        <w:t>Documentación</w:t>
      </w:r>
    </w:p>
    <w:p w:rsidR="00173125" w:rsidRPr="00A876DE" w:rsidRDefault="00173125" w:rsidP="00173125">
      <w:pPr>
        <w:pStyle w:val="SingleTxt"/>
        <w:spacing w:after="0" w:line="120" w:lineRule="exact"/>
        <w:rPr>
          <w:sz w:val="10"/>
        </w:rPr>
      </w:pPr>
    </w:p>
    <w:p w:rsidR="00173125" w:rsidRPr="00A876DE" w:rsidRDefault="00173125" w:rsidP="00173125">
      <w:pPr>
        <w:pStyle w:val="SingleTxt"/>
        <w:spacing w:after="0" w:line="120" w:lineRule="exact"/>
        <w:rPr>
          <w:sz w:val="10"/>
        </w:rPr>
      </w:pPr>
    </w:p>
    <w:p w:rsidR="00173125" w:rsidRDefault="00173125" w:rsidP="00173125">
      <w:pPr>
        <w:pStyle w:val="SingleTxt"/>
      </w:pPr>
      <w:r>
        <w:rPr>
          <w:b/>
          <w:sz w:val="24"/>
          <w:szCs w:val="24"/>
        </w:rPr>
        <w:tab/>
      </w:r>
      <w:r w:rsidRPr="00DB4C58">
        <w:rPr>
          <w:szCs w:val="20"/>
        </w:rPr>
        <w:t>P</w:t>
      </w:r>
      <w:r>
        <w:rPr>
          <w:szCs w:val="20"/>
        </w:rPr>
        <w:t xml:space="preserve">rograma provisional anotado </w:t>
      </w:r>
      <w:r w:rsidRPr="00AD65F4">
        <w:rPr>
          <w:szCs w:val="20"/>
        </w:rPr>
        <w:t>(</w:t>
      </w:r>
      <w:hyperlink r:id="rId16" w:history="1">
        <w:r w:rsidRPr="00AD65F4">
          <w:rPr>
            <w:color w:val="0000FF"/>
            <w:szCs w:val="20"/>
          </w:rPr>
          <w:t>CEDAW/C/62/1</w:t>
        </w:r>
      </w:hyperlink>
      <w:r w:rsidRPr="00AD65F4">
        <w:rPr>
          <w:szCs w:val="20"/>
        </w:rPr>
        <w:t>)</w:t>
      </w:r>
      <w:r w:rsidRPr="00AD65F4">
        <w:t xml:space="preserve"> </w:t>
      </w:r>
    </w:p>
    <w:p w:rsidR="00173125" w:rsidRPr="00A876DE" w:rsidRDefault="00173125" w:rsidP="00173125">
      <w:pPr>
        <w:pStyle w:val="SingleTxt"/>
        <w:spacing w:after="0" w:line="120" w:lineRule="exact"/>
        <w:rPr>
          <w:sz w:val="10"/>
        </w:rPr>
      </w:pPr>
    </w:p>
    <w:p w:rsidR="00173125" w:rsidRPr="00A876DE" w:rsidRDefault="00173125" w:rsidP="00173125">
      <w:pPr>
        <w:pStyle w:val="SingleTxt"/>
        <w:spacing w:after="0" w:line="120" w:lineRule="exact"/>
        <w:rPr>
          <w:sz w:val="10"/>
        </w:rPr>
      </w:pPr>
    </w:p>
    <w:p w:rsidR="00173125" w:rsidRDefault="00173125" w:rsidP="00724D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12" w:hanging="1267"/>
      </w:pPr>
      <w:r>
        <w:tab/>
        <w:t>4.</w:t>
      </w:r>
      <w:r>
        <w:tab/>
      </w:r>
      <w:r w:rsidRPr="004F7629">
        <w:t>Examen de los informes presentados por los Estados partes en virtud del artículo 18 de la Convención sobre la Eliminación de Todas las Formas de Discriminación contra la Mujer</w:t>
      </w:r>
    </w:p>
    <w:p w:rsidR="00173125" w:rsidRPr="00A876DE" w:rsidRDefault="00173125" w:rsidP="00173125">
      <w:pPr>
        <w:pStyle w:val="SingleTxt"/>
        <w:spacing w:after="0" w:line="120" w:lineRule="exact"/>
        <w:rPr>
          <w:sz w:val="10"/>
        </w:rPr>
      </w:pPr>
    </w:p>
    <w:p w:rsidR="00173125" w:rsidRPr="00A876DE" w:rsidRDefault="00173125" w:rsidP="00173125">
      <w:pPr>
        <w:pStyle w:val="SingleTxt"/>
        <w:spacing w:after="0" w:line="120" w:lineRule="exact"/>
        <w:rPr>
          <w:sz w:val="10"/>
        </w:rPr>
      </w:pPr>
    </w:p>
    <w:p w:rsidR="00173125" w:rsidRPr="0060377A" w:rsidRDefault="00173125" w:rsidP="00173125">
      <w:pPr>
        <w:pStyle w:val="SingleTxt"/>
      </w:pPr>
      <w:r>
        <w:tab/>
      </w:r>
      <w:r w:rsidRPr="0060377A">
        <w:t>Según lo dispuesto en el artículo 18 de la Convención, los Estados partes presentarán al Secretario General, para que lo examine el Comité, un informe sobre las medidas legislativas, judiciales, administrativas o de otra índole que hayan adoptado para hacer efectivas las disposiciones de la Convención y sobre los progresos realizados a ese respecto. Los informes deberán presentarse en el plazo de un año a partir de la entrada en vigor de la Convención para el Estado de que se trate y en lo sucesivo por lo menos cada cuatro años y, además, cuando el Comité lo solicite.</w:t>
      </w:r>
    </w:p>
    <w:p w:rsidR="00173125" w:rsidRPr="0060377A" w:rsidRDefault="00173125" w:rsidP="00173125">
      <w:pPr>
        <w:pStyle w:val="SingleTxt"/>
      </w:pPr>
      <w:r>
        <w:tab/>
      </w:r>
      <w:r w:rsidRPr="0060377A">
        <w:t>En el 61º período de sesiones del Comité está previsto que se examinen los informes de los siguientes Estados partes: Emiratos Árabes Unidos, Eslovaquia, Eslovenia, Federación de Rusia,</w:t>
      </w:r>
      <w:r>
        <w:rPr>
          <w:noProof/>
          <w:lang w:val="en-US" w:eastAsia="zh-CN"/>
        </w:rPr>
        <w:drawing>
          <wp:inline distT="0" distB="0" distL="0" distR="0">
            <wp:extent cx="86360" cy="86360"/>
            <wp:effectExtent l="0" t="0" r="8890" b="8890"/>
            <wp:docPr id="5" name="Picture 5" descr="http://unterm.un.org/DGAACS/unterm.nsf/blank.gif?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term.un.org/DGAACS/unterm.nsf/blank.gif?OpenImageResourc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0377A">
        <w:t>Líbano, Liberia, Madagascar, Malawi, Portugal, Timor-Leste y Uzbekistán.</w:t>
      </w:r>
    </w:p>
    <w:p w:rsidR="00173125" w:rsidRPr="0060377A" w:rsidRDefault="00173125" w:rsidP="00173125">
      <w:pPr>
        <w:pStyle w:val="SingleTxt"/>
      </w:pPr>
      <w:r>
        <w:lastRenderedPageBreak/>
        <w:tab/>
      </w:r>
      <w:r w:rsidRPr="0060377A">
        <w:t>Con arreglo a lo dispuesto en el artículo 51 del reglamento, los representantes de los Estados partes asistirán a las sesiones del Comité en las que se examinarán sus respectivos informes, participarán en las deliberaciones y responderán a las preguntas relativas a dicho informe.</w:t>
      </w:r>
    </w:p>
    <w:p w:rsidR="00173125" w:rsidRPr="0060377A" w:rsidRDefault="00173125" w:rsidP="00173125">
      <w:pPr>
        <w:pStyle w:val="SingleTxt"/>
      </w:pPr>
      <w:r>
        <w:tab/>
      </w:r>
      <w:r w:rsidRPr="0060377A">
        <w:t>En el artículo 49 del reglamento se establece que, en cada período de sesiones, el Secretario General notificará al Comité los casos en que no se hayan recibido los informes solicitados a un Estado parte en virtud del artículo 18 de la Convención. El Secretario General facilitará también al Comité una lista de los informes presentados por los Estados partes en la Convención, así como una lista de los informes presentados por los Estados partes en la Convención que todavía no hayan sido examinados por el Comité.</w:t>
      </w:r>
    </w:p>
    <w:p w:rsidR="00173125" w:rsidRDefault="00173125" w:rsidP="00173125">
      <w:pPr>
        <w:pStyle w:val="SingleTxt"/>
      </w:pPr>
      <w:r>
        <w:tab/>
      </w:r>
      <w:r w:rsidRPr="0060377A">
        <w:t>Antes de cada período de sesiones se reúne un grupo de trabajo del Comité encargado de preparar una lista de cuestiones y preguntas relativas a los informes, que se transmite a los Estados partes antes de las sesiones reservadas para el examen de los informes. El grupo de trabajo anterior al 62º período de sesiones se reunió en Ginebra del 9 al 13 de marzo de 2015. El Comité tendrá ante sí el informe del grupo de trabajo (</w:t>
      </w:r>
      <w:hyperlink r:id="rId19" w:history="1">
        <w:r w:rsidRPr="00F66521">
          <w:rPr>
            <w:rStyle w:val="Hyperlink"/>
          </w:rPr>
          <w:t>CEDAW/C/PSWG/62/1</w:t>
        </w:r>
      </w:hyperlink>
      <w:r w:rsidRPr="0060377A">
        <w:t>) y las respuestas de los Estados partes a las listas de cuestiones y preguntas.</w:t>
      </w:r>
      <w:r w:rsidRPr="009D38D0">
        <w:t xml:space="preserve"> </w:t>
      </w:r>
    </w:p>
    <w:p w:rsidR="00173125" w:rsidRPr="00A876DE" w:rsidRDefault="00173125" w:rsidP="00173125">
      <w:pPr>
        <w:pStyle w:val="SingleTxt"/>
        <w:spacing w:after="0" w:line="120" w:lineRule="exact"/>
        <w:rPr>
          <w:sz w:val="10"/>
        </w:rPr>
      </w:pPr>
    </w:p>
    <w:p w:rsidR="00173125" w:rsidRPr="00DB4C58" w:rsidRDefault="00173125" w:rsidP="001731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DB4C58">
        <w:rPr>
          <w:sz w:val="24"/>
          <w:szCs w:val="24"/>
        </w:rPr>
        <w:t>Documentación</w:t>
      </w:r>
    </w:p>
    <w:p w:rsidR="00173125" w:rsidRPr="00A876DE" w:rsidRDefault="00173125" w:rsidP="00173125">
      <w:pPr>
        <w:pStyle w:val="SingleTxt"/>
        <w:spacing w:after="0" w:line="120" w:lineRule="exact"/>
        <w:rPr>
          <w:sz w:val="10"/>
        </w:rPr>
      </w:pPr>
    </w:p>
    <w:p w:rsidR="00173125" w:rsidRPr="009D38D0" w:rsidRDefault="00173125" w:rsidP="001731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0"/>
        <w:rPr>
          <w:b w:val="0"/>
        </w:rPr>
      </w:pPr>
      <w:r>
        <w:rPr>
          <w:b w:val="0"/>
          <w:sz w:val="24"/>
          <w:szCs w:val="24"/>
        </w:rPr>
        <w:tab/>
      </w:r>
      <w:r w:rsidRPr="009D38D0">
        <w:rPr>
          <w:b w:val="0"/>
          <w:i/>
          <w:sz w:val="24"/>
          <w:szCs w:val="24"/>
        </w:rPr>
        <w:t>Informes</w:t>
      </w:r>
    </w:p>
    <w:p w:rsidR="00173125" w:rsidRPr="00A876DE" w:rsidRDefault="00173125" w:rsidP="00173125">
      <w:pPr>
        <w:pStyle w:val="SingleTxt"/>
        <w:spacing w:after="0" w:line="120" w:lineRule="exact"/>
        <w:rPr>
          <w:sz w:val="10"/>
        </w:rPr>
      </w:pPr>
    </w:p>
    <w:p w:rsidR="00173125" w:rsidRPr="00A876DE" w:rsidRDefault="00173125" w:rsidP="00173125">
      <w:pPr>
        <w:pStyle w:val="SingleTxt"/>
        <w:spacing w:after="0" w:line="120" w:lineRule="exact"/>
        <w:rPr>
          <w:sz w:val="10"/>
        </w:rPr>
      </w:pPr>
    </w:p>
    <w:p w:rsidR="00173125" w:rsidRDefault="00173125" w:rsidP="009D54EB">
      <w:pPr>
        <w:pStyle w:val="SingleTxt"/>
        <w:jc w:val="left"/>
      </w:pPr>
      <w:r>
        <w:rPr>
          <w:color w:val="000000"/>
          <w:sz w:val="24"/>
          <w:szCs w:val="24"/>
        </w:rPr>
        <w:tab/>
      </w:r>
      <w:r w:rsidRPr="00B46F0F">
        <w:t>Informes periódicos cuarto y quinto combinados del Líbano (</w:t>
      </w:r>
      <w:hyperlink r:id="rId20" w:history="1">
        <w:r w:rsidRPr="00F66521">
          <w:rPr>
            <w:rStyle w:val="Hyperlink"/>
          </w:rPr>
          <w:t>CEDAW/C/LBN/4-5</w:t>
        </w:r>
      </w:hyperlink>
      <w:r w:rsidRPr="00B46F0F">
        <w:t>)</w:t>
      </w:r>
    </w:p>
    <w:p w:rsidR="00173125" w:rsidRDefault="00173125" w:rsidP="009D54EB">
      <w:pPr>
        <w:pStyle w:val="SingleTxt"/>
        <w:jc w:val="left"/>
      </w:pPr>
      <w:r>
        <w:tab/>
      </w:r>
      <w:r w:rsidRPr="006B2F59">
        <w:t>Informes periódicos séptimo y octavo combinados de Liberia (</w:t>
      </w:r>
      <w:hyperlink r:id="rId21" w:history="1">
        <w:r w:rsidRPr="00F66521">
          <w:rPr>
            <w:rStyle w:val="Hyperlink"/>
          </w:rPr>
          <w:t>CEDAW/C/LBR/7-8</w:t>
        </w:r>
      </w:hyperlink>
      <w:r w:rsidRPr="006B2F59">
        <w:t>)</w:t>
      </w:r>
    </w:p>
    <w:p w:rsidR="00173125" w:rsidRDefault="00173125" w:rsidP="009D54EB">
      <w:pPr>
        <w:pStyle w:val="SingleTxt"/>
        <w:jc w:val="left"/>
      </w:pPr>
      <w:r>
        <w:tab/>
      </w:r>
      <w:r w:rsidRPr="00822340">
        <w:t>Informes periódicos sexto y séptimo combinados de Madagascar (</w:t>
      </w:r>
      <w:hyperlink r:id="rId22" w:history="1">
        <w:r w:rsidRPr="00F66521">
          <w:rPr>
            <w:rStyle w:val="Hyperlink"/>
          </w:rPr>
          <w:t>CEDAW/C/MDG/6-7</w:t>
        </w:r>
      </w:hyperlink>
      <w:r w:rsidRPr="00822340">
        <w:t>)</w:t>
      </w:r>
    </w:p>
    <w:p w:rsidR="00173125" w:rsidRDefault="00173125" w:rsidP="009D54EB">
      <w:pPr>
        <w:pStyle w:val="SingleTxt"/>
        <w:jc w:val="left"/>
      </w:pPr>
      <w:r>
        <w:tab/>
      </w:r>
      <w:r w:rsidRPr="00822340">
        <w:t>Séptimo informe periódico de Malawi (</w:t>
      </w:r>
      <w:hyperlink r:id="rId23" w:history="1">
        <w:r w:rsidRPr="00F66521">
          <w:rPr>
            <w:rStyle w:val="Hyperlink"/>
          </w:rPr>
          <w:t>CEDAW/C/MWI/7</w:t>
        </w:r>
      </w:hyperlink>
      <w:r w:rsidRPr="00822340">
        <w:t>)</w:t>
      </w:r>
    </w:p>
    <w:p w:rsidR="00173125" w:rsidRDefault="00173125" w:rsidP="009D54EB">
      <w:pPr>
        <w:pStyle w:val="SingleTxt"/>
        <w:jc w:val="left"/>
      </w:pPr>
      <w:r>
        <w:tab/>
        <w:t>Informes periódicos octavo y novemos combinados de Portugal (</w:t>
      </w:r>
      <w:hyperlink r:id="rId24" w:history="1">
        <w:r w:rsidRPr="00F66521">
          <w:rPr>
            <w:rStyle w:val="Hyperlink"/>
          </w:rPr>
          <w:t>CEDAW/C/PRT/8-9</w:t>
        </w:r>
      </w:hyperlink>
      <w:r>
        <w:t>)</w:t>
      </w:r>
    </w:p>
    <w:p w:rsidR="00173125" w:rsidRDefault="00173125" w:rsidP="009D54EB">
      <w:pPr>
        <w:pStyle w:val="SingleTxt"/>
        <w:jc w:val="left"/>
      </w:pPr>
      <w:r>
        <w:tab/>
        <w:t>Octavo informe periódico de la Federación de Rusia (</w:t>
      </w:r>
      <w:hyperlink r:id="rId25" w:history="1">
        <w:r w:rsidRPr="00F66521">
          <w:rPr>
            <w:rStyle w:val="Hyperlink"/>
          </w:rPr>
          <w:t>CEDAW/C/RUS/8</w:t>
        </w:r>
      </w:hyperlink>
      <w:r>
        <w:t>)</w:t>
      </w:r>
    </w:p>
    <w:p w:rsidR="00173125" w:rsidRDefault="00173125" w:rsidP="009D54EB">
      <w:pPr>
        <w:pStyle w:val="SingleTxt"/>
        <w:jc w:val="left"/>
      </w:pPr>
      <w:r>
        <w:tab/>
        <w:t>Informes periódicos quinto y sexto combinados de Eslovenia (</w:t>
      </w:r>
      <w:hyperlink r:id="rId26" w:history="1">
        <w:r w:rsidRPr="00F66521">
          <w:rPr>
            <w:rStyle w:val="Hyperlink"/>
          </w:rPr>
          <w:t>CEDAW/C/SVN/5-6</w:t>
        </w:r>
      </w:hyperlink>
      <w:r>
        <w:t>)</w:t>
      </w:r>
    </w:p>
    <w:p w:rsidR="00173125" w:rsidRDefault="00173125" w:rsidP="009D54EB">
      <w:pPr>
        <w:pStyle w:val="SingleTxt"/>
        <w:jc w:val="left"/>
      </w:pPr>
      <w:r>
        <w:tab/>
        <w:t>Informes periódicos segundo y tercero combinados de Timor-Leste (</w:t>
      </w:r>
      <w:hyperlink r:id="rId27" w:history="1">
        <w:r w:rsidRPr="00F66521">
          <w:rPr>
            <w:rStyle w:val="Hyperlink"/>
          </w:rPr>
          <w:t>CEDAW/C/TLS/2-3</w:t>
        </w:r>
      </w:hyperlink>
      <w:r>
        <w:t>)</w:t>
      </w:r>
    </w:p>
    <w:p w:rsidR="00173125" w:rsidRDefault="00173125" w:rsidP="009D54EB">
      <w:pPr>
        <w:pStyle w:val="SingleTxt"/>
        <w:jc w:val="left"/>
      </w:pPr>
      <w:r>
        <w:tab/>
        <w:t>Informes periódicos segundo y tercero combinados de los Emiratos Árabes Unidos (</w:t>
      </w:r>
      <w:hyperlink r:id="rId28" w:history="1">
        <w:r w:rsidRPr="00F66521">
          <w:rPr>
            <w:rStyle w:val="Hyperlink"/>
          </w:rPr>
          <w:t>CEDAW/C/ARE/2-3</w:t>
        </w:r>
      </w:hyperlink>
      <w:r>
        <w:t>)</w:t>
      </w:r>
    </w:p>
    <w:p w:rsidR="00173125" w:rsidRDefault="00173125" w:rsidP="009D54EB">
      <w:pPr>
        <w:pStyle w:val="SingleTxt"/>
        <w:jc w:val="left"/>
      </w:pPr>
      <w:r>
        <w:tab/>
        <w:t>Quinto informe periódico de Uzbekistán (</w:t>
      </w:r>
      <w:hyperlink r:id="rId29" w:history="1">
        <w:r w:rsidRPr="00F66521">
          <w:rPr>
            <w:rStyle w:val="Hyperlink"/>
          </w:rPr>
          <w:t>CEDAW/C/UZB/5</w:t>
        </w:r>
      </w:hyperlink>
      <w:r>
        <w:t>)</w:t>
      </w:r>
    </w:p>
    <w:p w:rsidR="00173125" w:rsidRPr="00A876DE" w:rsidRDefault="00173125" w:rsidP="00173125">
      <w:pPr>
        <w:pStyle w:val="SingleTxt"/>
        <w:spacing w:after="0" w:line="120" w:lineRule="exact"/>
        <w:rPr>
          <w:sz w:val="10"/>
        </w:rPr>
      </w:pPr>
    </w:p>
    <w:p w:rsidR="00173125" w:rsidRPr="009D38D0" w:rsidRDefault="00173125" w:rsidP="001731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0"/>
        <w:rPr>
          <w:b w:val="0"/>
        </w:rPr>
      </w:pPr>
      <w:r>
        <w:rPr>
          <w:b w:val="0"/>
          <w:sz w:val="24"/>
          <w:szCs w:val="24"/>
        </w:rPr>
        <w:tab/>
      </w:r>
      <w:r>
        <w:rPr>
          <w:b w:val="0"/>
          <w:i/>
          <w:sz w:val="24"/>
          <w:szCs w:val="24"/>
        </w:rPr>
        <w:t>Lista de cuestiones y preguntas</w:t>
      </w:r>
    </w:p>
    <w:p w:rsidR="00173125" w:rsidRPr="00A876DE" w:rsidRDefault="00173125" w:rsidP="00173125">
      <w:pPr>
        <w:pStyle w:val="SingleTxt"/>
        <w:spacing w:after="0" w:line="120" w:lineRule="exact"/>
        <w:rPr>
          <w:sz w:val="10"/>
        </w:rPr>
      </w:pPr>
    </w:p>
    <w:p w:rsidR="00173125" w:rsidRPr="00A876DE" w:rsidRDefault="00173125" w:rsidP="00173125">
      <w:pPr>
        <w:pStyle w:val="SingleTxt"/>
        <w:spacing w:after="0" w:line="120" w:lineRule="exact"/>
        <w:rPr>
          <w:sz w:val="10"/>
        </w:rPr>
      </w:pPr>
    </w:p>
    <w:p w:rsidR="00173125" w:rsidRPr="008D7676" w:rsidRDefault="00173125" w:rsidP="00173125">
      <w:pPr>
        <w:pStyle w:val="SingleTxt"/>
      </w:pPr>
      <w:r>
        <w:rPr>
          <w:color w:val="000000"/>
          <w:sz w:val="24"/>
          <w:szCs w:val="24"/>
        </w:rPr>
        <w:tab/>
      </w:r>
      <w:r w:rsidRPr="008D7676">
        <w:t>Líbano (</w:t>
      </w:r>
      <w:hyperlink r:id="rId30" w:history="1">
        <w:r w:rsidRPr="00F66521">
          <w:rPr>
            <w:rStyle w:val="Hyperlink"/>
          </w:rPr>
          <w:t>CEDAW/C/LBN/Q/4-5</w:t>
        </w:r>
      </w:hyperlink>
      <w:r w:rsidRPr="008D7676">
        <w:t>)</w:t>
      </w:r>
    </w:p>
    <w:p w:rsidR="00173125" w:rsidRPr="008D7676" w:rsidRDefault="00173125" w:rsidP="00173125">
      <w:pPr>
        <w:pStyle w:val="SingleTxt"/>
      </w:pPr>
      <w:r>
        <w:tab/>
      </w:r>
      <w:r w:rsidRPr="008D7676">
        <w:t>Liberia (</w:t>
      </w:r>
      <w:hyperlink r:id="rId31" w:history="1">
        <w:r w:rsidRPr="00F66521">
          <w:rPr>
            <w:rStyle w:val="Hyperlink"/>
          </w:rPr>
          <w:t>CEDAW/C/LBR/Q/7-8</w:t>
        </w:r>
      </w:hyperlink>
      <w:r w:rsidRPr="008D7676">
        <w:t>)</w:t>
      </w:r>
    </w:p>
    <w:p w:rsidR="00173125" w:rsidRPr="008D7676" w:rsidRDefault="00173125" w:rsidP="00173125">
      <w:pPr>
        <w:pStyle w:val="SingleTxt"/>
      </w:pPr>
      <w:r>
        <w:tab/>
      </w:r>
      <w:r w:rsidRPr="008D7676">
        <w:t>Madagascar (</w:t>
      </w:r>
      <w:hyperlink r:id="rId32" w:history="1">
        <w:r w:rsidRPr="00F66521">
          <w:rPr>
            <w:rStyle w:val="Hyperlink"/>
          </w:rPr>
          <w:t>CEDAW/C/MDG/Q/6-7</w:t>
        </w:r>
      </w:hyperlink>
      <w:r w:rsidRPr="008D7676">
        <w:t>)</w:t>
      </w:r>
    </w:p>
    <w:p w:rsidR="00173125" w:rsidRPr="008D7676" w:rsidRDefault="00173125" w:rsidP="00173125">
      <w:pPr>
        <w:pStyle w:val="SingleTxt"/>
      </w:pPr>
      <w:r>
        <w:tab/>
      </w:r>
      <w:r w:rsidRPr="008D7676">
        <w:t>Malawi (</w:t>
      </w:r>
      <w:hyperlink r:id="rId33" w:history="1">
        <w:r w:rsidRPr="00F66521">
          <w:rPr>
            <w:rStyle w:val="Hyperlink"/>
          </w:rPr>
          <w:t>CEDAW/C/MWI/Q/7</w:t>
        </w:r>
      </w:hyperlink>
      <w:r w:rsidRPr="008D7676">
        <w:t>)</w:t>
      </w:r>
    </w:p>
    <w:p w:rsidR="00173125" w:rsidRPr="008D7676" w:rsidRDefault="00173125" w:rsidP="00173125">
      <w:pPr>
        <w:pStyle w:val="SingleTxt"/>
      </w:pPr>
      <w:r>
        <w:tab/>
      </w:r>
      <w:r w:rsidRPr="008D7676">
        <w:t>Portugal (</w:t>
      </w:r>
      <w:hyperlink r:id="rId34" w:history="1">
        <w:r w:rsidRPr="00F66521">
          <w:rPr>
            <w:rStyle w:val="Hyperlink"/>
          </w:rPr>
          <w:t>CEDAW/C/PRT/Q/8-9</w:t>
        </w:r>
      </w:hyperlink>
      <w:r w:rsidRPr="008D7676">
        <w:t>)</w:t>
      </w:r>
    </w:p>
    <w:p w:rsidR="00173125" w:rsidRPr="008D7676" w:rsidRDefault="00173125" w:rsidP="00173125">
      <w:pPr>
        <w:pStyle w:val="SingleTxt"/>
      </w:pPr>
      <w:r>
        <w:tab/>
      </w:r>
      <w:r w:rsidRPr="008D7676">
        <w:t>Federación de Rusia (</w:t>
      </w:r>
      <w:hyperlink r:id="rId35" w:history="1">
        <w:r w:rsidRPr="00F66521">
          <w:rPr>
            <w:rStyle w:val="Hyperlink"/>
          </w:rPr>
          <w:t>CEDAW/C/RUS/Q/8</w:t>
        </w:r>
      </w:hyperlink>
      <w:r w:rsidRPr="008D7676">
        <w:t>)</w:t>
      </w:r>
    </w:p>
    <w:p w:rsidR="00173125" w:rsidRPr="008D7676" w:rsidRDefault="00173125" w:rsidP="00173125">
      <w:pPr>
        <w:pStyle w:val="SingleTxt"/>
      </w:pPr>
      <w:r>
        <w:tab/>
      </w:r>
      <w:r w:rsidRPr="008D7676">
        <w:t>Eslovaquia (</w:t>
      </w:r>
      <w:hyperlink r:id="rId36" w:history="1">
        <w:r w:rsidRPr="00F66521">
          <w:rPr>
            <w:rStyle w:val="Hyperlink"/>
          </w:rPr>
          <w:t>CEDAW/C/SVK/Q/5-6</w:t>
        </w:r>
      </w:hyperlink>
      <w:r w:rsidRPr="008D7676">
        <w:t>)</w:t>
      </w:r>
    </w:p>
    <w:p w:rsidR="00173125" w:rsidRPr="008D7676" w:rsidRDefault="00173125" w:rsidP="00173125">
      <w:pPr>
        <w:pStyle w:val="SingleTxt"/>
      </w:pPr>
      <w:r>
        <w:tab/>
      </w:r>
      <w:r w:rsidRPr="008D7676">
        <w:t>Eslovenia (</w:t>
      </w:r>
      <w:hyperlink r:id="rId37" w:history="1">
        <w:r w:rsidRPr="00F66521">
          <w:rPr>
            <w:rStyle w:val="Hyperlink"/>
          </w:rPr>
          <w:t>CEDAW/C/SVN/Q/5-6</w:t>
        </w:r>
      </w:hyperlink>
      <w:r w:rsidRPr="008D7676">
        <w:t>)</w:t>
      </w:r>
    </w:p>
    <w:p w:rsidR="00173125" w:rsidRPr="008D7676" w:rsidRDefault="00173125" w:rsidP="00173125">
      <w:pPr>
        <w:pStyle w:val="SingleTxt"/>
      </w:pPr>
      <w:r>
        <w:tab/>
      </w:r>
      <w:r w:rsidRPr="008D7676">
        <w:t>Timor-Leste (</w:t>
      </w:r>
      <w:hyperlink r:id="rId38" w:history="1">
        <w:r w:rsidRPr="00F66521">
          <w:rPr>
            <w:rStyle w:val="Hyperlink"/>
          </w:rPr>
          <w:t>CEDAW/C/TLS/Q/2-3</w:t>
        </w:r>
      </w:hyperlink>
      <w:r w:rsidRPr="008D7676">
        <w:t>)</w:t>
      </w:r>
    </w:p>
    <w:p w:rsidR="00173125" w:rsidRPr="008D7676" w:rsidRDefault="00173125" w:rsidP="00173125">
      <w:pPr>
        <w:pStyle w:val="SingleTxt"/>
      </w:pPr>
      <w:r>
        <w:tab/>
      </w:r>
      <w:r w:rsidRPr="008D7676">
        <w:t>Emiratos Árabes Unidos (</w:t>
      </w:r>
      <w:hyperlink r:id="rId39" w:history="1">
        <w:r w:rsidRPr="00F66521">
          <w:rPr>
            <w:rStyle w:val="Hyperlink"/>
          </w:rPr>
          <w:t>CEDAW/C/ARE/Q/2-3</w:t>
        </w:r>
      </w:hyperlink>
      <w:r w:rsidRPr="008D7676">
        <w:t>)</w:t>
      </w:r>
    </w:p>
    <w:p w:rsidR="00173125" w:rsidRDefault="00173125" w:rsidP="00173125">
      <w:pPr>
        <w:pStyle w:val="SingleTxt"/>
      </w:pPr>
      <w:r>
        <w:tab/>
      </w:r>
      <w:r w:rsidRPr="008D7676">
        <w:t>Uzbekistán (</w:t>
      </w:r>
      <w:hyperlink r:id="rId40" w:history="1">
        <w:r w:rsidRPr="00F66521">
          <w:rPr>
            <w:rStyle w:val="Hyperlink"/>
          </w:rPr>
          <w:t>CEDAW/C/UZB/Q/5</w:t>
        </w:r>
      </w:hyperlink>
      <w:r w:rsidRPr="008D7676">
        <w:t>)</w:t>
      </w:r>
      <w:r w:rsidRPr="008D3846">
        <w:t xml:space="preserve"> </w:t>
      </w:r>
    </w:p>
    <w:p w:rsidR="00173125" w:rsidRPr="00A876DE" w:rsidRDefault="00173125" w:rsidP="00173125">
      <w:pPr>
        <w:pStyle w:val="SingleTxt"/>
        <w:spacing w:after="0" w:line="120" w:lineRule="exact"/>
        <w:rPr>
          <w:sz w:val="10"/>
        </w:rPr>
      </w:pPr>
    </w:p>
    <w:p w:rsidR="00173125" w:rsidRPr="008D3846" w:rsidRDefault="00173125" w:rsidP="001731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22" w:right="1260"/>
        <w:rPr>
          <w:b w:val="0"/>
          <w:i/>
          <w:sz w:val="24"/>
          <w:szCs w:val="24"/>
        </w:rPr>
      </w:pPr>
      <w:r>
        <w:rPr>
          <w:b w:val="0"/>
          <w:sz w:val="24"/>
          <w:szCs w:val="24"/>
        </w:rPr>
        <w:tab/>
      </w:r>
      <w:r w:rsidRPr="008D3846">
        <w:rPr>
          <w:b w:val="0"/>
          <w:i/>
          <w:sz w:val="24"/>
          <w:szCs w:val="24"/>
        </w:rPr>
        <w:t>Respuestas a la lista de cuestiones y preguntas</w:t>
      </w:r>
    </w:p>
    <w:p w:rsidR="00173125" w:rsidRPr="00A876DE" w:rsidRDefault="00173125" w:rsidP="00173125">
      <w:pPr>
        <w:pStyle w:val="SingleTxt"/>
        <w:spacing w:after="0" w:line="120" w:lineRule="exact"/>
        <w:rPr>
          <w:sz w:val="10"/>
        </w:rPr>
      </w:pPr>
    </w:p>
    <w:p w:rsidR="00173125" w:rsidRPr="00A876DE" w:rsidRDefault="00173125" w:rsidP="00173125">
      <w:pPr>
        <w:pStyle w:val="SingleTxt"/>
        <w:spacing w:after="0" w:line="120" w:lineRule="exact"/>
        <w:rPr>
          <w:sz w:val="10"/>
        </w:rPr>
      </w:pPr>
    </w:p>
    <w:p w:rsidR="00173125" w:rsidRPr="00C95172" w:rsidRDefault="00173125" w:rsidP="00173125">
      <w:pPr>
        <w:pStyle w:val="SingleTxt"/>
      </w:pPr>
      <w:r>
        <w:tab/>
      </w:r>
      <w:r w:rsidRPr="00C95172">
        <w:t>Líbano (</w:t>
      </w:r>
      <w:hyperlink r:id="rId41" w:history="1">
        <w:r w:rsidRPr="00F66521">
          <w:rPr>
            <w:rStyle w:val="Hyperlink"/>
          </w:rPr>
          <w:t>CEDAW/C/LBN/Q/4-5/Add.1</w:t>
        </w:r>
      </w:hyperlink>
      <w:r w:rsidRPr="00C95172">
        <w:t>)</w:t>
      </w:r>
    </w:p>
    <w:p w:rsidR="00173125" w:rsidRPr="00C95172" w:rsidRDefault="00173125" w:rsidP="00173125">
      <w:pPr>
        <w:pStyle w:val="SingleTxt"/>
      </w:pPr>
      <w:r>
        <w:tab/>
      </w:r>
      <w:r w:rsidRPr="00C95172">
        <w:t>Liberia (</w:t>
      </w:r>
      <w:hyperlink r:id="rId42" w:history="1">
        <w:r w:rsidRPr="00F66521">
          <w:rPr>
            <w:rStyle w:val="Hyperlink"/>
          </w:rPr>
          <w:t>CEDAW/C/LBR/Q/7-8/Add.1</w:t>
        </w:r>
      </w:hyperlink>
      <w:r w:rsidRPr="00C95172">
        <w:t>)</w:t>
      </w:r>
    </w:p>
    <w:p w:rsidR="00173125" w:rsidRPr="00C95172" w:rsidRDefault="00173125" w:rsidP="00173125">
      <w:pPr>
        <w:pStyle w:val="SingleTxt"/>
      </w:pPr>
      <w:r>
        <w:tab/>
      </w:r>
      <w:r w:rsidRPr="00C95172">
        <w:t>Madagascar (</w:t>
      </w:r>
      <w:hyperlink r:id="rId43" w:history="1">
        <w:r w:rsidRPr="00F66521">
          <w:rPr>
            <w:rStyle w:val="Hyperlink"/>
          </w:rPr>
          <w:t>CEDAW/C/MDG/Q/6-7/Add.1</w:t>
        </w:r>
      </w:hyperlink>
      <w:r w:rsidRPr="00C95172">
        <w:t>)</w:t>
      </w:r>
    </w:p>
    <w:p w:rsidR="00173125" w:rsidRPr="00C95172" w:rsidRDefault="00173125" w:rsidP="00173125">
      <w:pPr>
        <w:pStyle w:val="SingleTxt"/>
      </w:pPr>
      <w:r>
        <w:tab/>
      </w:r>
      <w:r w:rsidRPr="00C95172">
        <w:t>Malawi (</w:t>
      </w:r>
      <w:hyperlink r:id="rId44" w:history="1">
        <w:r w:rsidRPr="00F66521">
          <w:rPr>
            <w:rStyle w:val="Hyperlink"/>
          </w:rPr>
          <w:t>CEDAW/C/MWI/Q/7/Add.1</w:t>
        </w:r>
      </w:hyperlink>
      <w:r w:rsidRPr="00C95172">
        <w:t>)</w:t>
      </w:r>
    </w:p>
    <w:p w:rsidR="00173125" w:rsidRDefault="00173125" w:rsidP="00173125">
      <w:pPr>
        <w:pStyle w:val="SingleTxt"/>
      </w:pPr>
      <w:r>
        <w:tab/>
      </w:r>
      <w:r w:rsidRPr="00C95172">
        <w:t>Portugal (</w:t>
      </w:r>
      <w:hyperlink r:id="rId45" w:history="1">
        <w:r w:rsidRPr="00F66521">
          <w:rPr>
            <w:rStyle w:val="Hyperlink"/>
          </w:rPr>
          <w:t>CEDAW/C/PRT/Q/8-9/Add.1</w:t>
        </w:r>
      </w:hyperlink>
      <w:r w:rsidRPr="00C95172">
        <w:t>)</w:t>
      </w:r>
    </w:p>
    <w:p w:rsidR="00173125" w:rsidRDefault="00173125" w:rsidP="00173125">
      <w:pPr>
        <w:pStyle w:val="SingleTxt"/>
      </w:pPr>
      <w:r>
        <w:tab/>
        <w:t>Federación de Rusia (</w:t>
      </w:r>
      <w:hyperlink r:id="rId46" w:history="1">
        <w:r w:rsidRPr="00F66521">
          <w:rPr>
            <w:rStyle w:val="Hyperlink"/>
          </w:rPr>
          <w:t>CEDAW/C/RUS/Q/8/Add.1</w:t>
        </w:r>
      </w:hyperlink>
      <w:r>
        <w:t>)</w:t>
      </w:r>
    </w:p>
    <w:p w:rsidR="00173125" w:rsidRDefault="00173125" w:rsidP="00173125">
      <w:pPr>
        <w:pStyle w:val="SingleTxt"/>
      </w:pPr>
      <w:r>
        <w:tab/>
        <w:t>Eslovaquia (</w:t>
      </w:r>
      <w:hyperlink r:id="rId47" w:history="1">
        <w:r w:rsidRPr="00F66521">
          <w:rPr>
            <w:rStyle w:val="Hyperlink"/>
          </w:rPr>
          <w:t>CEDAW/C/SVK/Q/5-6/Add.1</w:t>
        </w:r>
      </w:hyperlink>
      <w:r>
        <w:t>)</w:t>
      </w:r>
    </w:p>
    <w:p w:rsidR="00173125" w:rsidRDefault="00173125" w:rsidP="00173125">
      <w:pPr>
        <w:pStyle w:val="SingleTxt"/>
      </w:pPr>
      <w:r>
        <w:tab/>
        <w:t>Eslovenia (</w:t>
      </w:r>
      <w:hyperlink r:id="rId48" w:history="1">
        <w:r w:rsidRPr="00F66521">
          <w:rPr>
            <w:rStyle w:val="Hyperlink"/>
          </w:rPr>
          <w:t>CEDAW/C/SVN/Q/5-6/Add.1</w:t>
        </w:r>
      </w:hyperlink>
      <w:r>
        <w:t>)</w:t>
      </w:r>
    </w:p>
    <w:p w:rsidR="00173125" w:rsidRDefault="00173125" w:rsidP="00173125">
      <w:pPr>
        <w:pStyle w:val="SingleTxt"/>
      </w:pPr>
      <w:r>
        <w:tab/>
        <w:t>Timor-Leste (</w:t>
      </w:r>
      <w:hyperlink r:id="rId49" w:history="1">
        <w:r w:rsidRPr="00F66521">
          <w:rPr>
            <w:rStyle w:val="Hyperlink"/>
          </w:rPr>
          <w:t>CEDAW/C/TLS/Q/2-3/Add.1</w:t>
        </w:r>
      </w:hyperlink>
      <w:r>
        <w:t>)</w:t>
      </w:r>
    </w:p>
    <w:p w:rsidR="00173125" w:rsidRDefault="00173125" w:rsidP="00173125">
      <w:pPr>
        <w:pStyle w:val="SingleTxt"/>
      </w:pPr>
      <w:r>
        <w:tab/>
        <w:t>Emiratos Árabes Unidos (</w:t>
      </w:r>
      <w:hyperlink r:id="rId50" w:history="1">
        <w:r w:rsidRPr="00F66521">
          <w:rPr>
            <w:rStyle w:val="Hyperlink"/>
          </w:rPr>
          <w:t>CEDAW/C/ARE/Q/2-3/Add.1</w:t>
        </w:r>
      </w:hyperlink>
      <w:r>
        <w:t>)</w:t>
      </w:r>
    </w:p>
    <w:p w:rsidR="00173125" w:rsidRDefault="00173125" w:rsidP="00173125">
      <w:pPr>
        <w:pStyle w:val="SingleTxt"/>
      </w:pPr>
      <w:r>
        <w:tab/>
        <w:t>Uzbekistán (</w:t>
      </w:r>
      <w:hyperlink r:id="rId51" w:history="1">
        <w:r w:rsidRPr="00F66521">
          <w:rPr>
            <w:rStyle w:val="Hyperlink"/>
          </w:rPr>
          <w:t>CEDAW/C/UZB/Q/5/Add.1</w:t>
        </w:r>
      </w:hyperlink>
      <w:r>
        <w:t>)</w:t>
      </w:r>
      <w:r w:rsidRPr="002E32E3">
        <w:t xml:space="preserve"> </w:t>
      </w:r>
    </w:p>
    <w:p w:rsidR="00173125" w:rsidRPr="00A876DE" w:rsidRDefault="00173125" w:rsidP="00173125">
      <w:pPr>
        <w:pStyle w:val="SingleTxt"/>
        <w:spacing w:after="0" w:line="120" w:lineRule="exact"/>
        <w:rPr>
          <w:sz w:val="10"/>
        </w:rPr>
      </w:pPr>
    </w:p>
    <w:p w:rsidR="00173125" w:rsidRPr="00A876DE" w:rsidRDefault="00173125" w:rsidP="00173125">
      <w:pPr>
        <w:pStyle w:val="SingleTxt"/>
        <w:spacing w:after="0" w:line="120" w:lineRule="exact"/>
        <w:rPr>
          <w:sz w:val="10"/>
        </w:rPr>
      </w:pPr>
    </w:p>
    <w:p w:rsidR="00173125" w:rsidRDefault="00173125" w:rsidP="00724D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21" w:hanging="1267"/>
      </w:pPr>
      <w:r>
        <w:tab/>
        <w:t>5.</w:t>
      </w:r>
      <w:r>
        <w:tab/>
      </w:r>
      <w:r w:rsidRPr="001A625F">
        <w:t>Seguimiento del examen de los informes presentados por los Estados partes en virtud del artículo 18 de la Convención</w:t>
      </w:r>
    </w:p>
    <w:p w:rsidR="00173125" w:rsidRPr="00A876DE" w:rsidRDefault="00173125" w:rsidP="00173125">
      <w:pPr>
        <w:pStyle w:val="SingleTxt"/>
        <w:spacing w:after="0" w:line="120" w:lineRule="exact"/>
        <w:rPr>
          <w:sz w:val="10"/>
        </w:rPr>
      </w:pPr>
    </w:p>
    <w:p w:rsidR="00173125" w:rsidRPr="00A876DE" w:rsidRDefault="00173125" w:rsidP="00173125">
      <w:pPr>
        <w:pStyle w:val="SingleTxt"/>
        <w:spacing w:after="0" w:line="120" w:lineRule="exact"/>
        <w:rPr>
          <w:sz w:val="10"/>
        </w:rPr>
      </w:pPr>
    </w:p>
    <w:p w:rsidR="00173125" w:rsidRDefault="00173125" w:rsidP="00173125">
      <w:pPr>
        <w:pStyle w:val="SingleTxt"/>
      </w:pPr>
      <w:r>
        <w:tab/>
      </w:r>
      <w:r w:rsidRPr="00467269">
        <w:t xml:space="preserve">El Comité examinará cuestiones relacionadas con el seguimiento de las observaciones finales. </w:t>
      </w:r>
    </w:p>
    <w:p w:rsidR="00173125" w:rsidRPr="00A876DE" w:rsidRDefault="00173125" w:rsidP="00173125">
      <w:pPr>
        <w:pStyle w:val="SingleTxt"/>
        <w:spacing w:after="0" w:line="120" w:lineRule="exact"/>
        <w:rPr>
          <w:sz w:val="10"/>
        </w:rPr>
      </w:pPr>
    </w:p>
    <w:p w:rsidR="00173125" w:rsidRPr="00A876DE" w:rsidRDefault="00173125" w:rsidP="00173125">
      <w:pPr>
        <w:pStyle w:val="SingleTxt"/>
        <w:spacing w:after="0" w:line="120" w:lineRule="exact"/>
        <w:rPr>
          <w:sz w:val="10"/>
        </w:rPr>
      </w:pPr>
    </w:p>
    <w:p w:rsidR="00173125" w:rsidRDefault="00173125" w:rsidP="001731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r>
      <w:r w:rsidRPr="005E1CF7">
        <w:t>Aplicación de los artículos 21 y 22 de la Convención</w:t>
      </w:r>
    </w:p>
    <w:p w:rsidR="00173125" w:rsidRPr="00A876DE" w:rsidRDefault="00173125" w:rsidP="00173125">
      <w:pPr>
        <w:pStyle w:val="SingleTxt"/>
        <w:spacing w:after="0" w:line="120" w:lineRule="exact"/>
        <w:rPr>
          <w:sz w:val="10"/>
        </w:rPr>
      </w:pPr>
    </w:p>
    <w:p w:rsidR="00173125" w:rsidRPr="00A876DE" w:rsidRDefault="00173125" w:rsidP="00173125">
      <w:pPr>
        <w:pStyle w:val="SingleTxt"/>
        <w:spacing w:after="0" w:line="120" w:lineRule="exact"/>
        <w:rPr>
          <w:sz w:val="10"/>
        </w:rPr>
      </w:pPr>
    </w:p>
    <w:p w:rsidR="00173125" w:rsidRPr="006678EE" w:rsidRDefault="00173125" w:rsidP="00173125">
      <w:pPr>
        <w:pStyle w:val="SingleTxt"/>
      </w:pPr>
      <w:r>
        <w:tab/>
      </w:r>
      <w:r w:rsidRPr="006678EE">
        <w:t>En el artículo 21 de la Convención se establece que el Comité podrá formular sugerencias y recomendaciones de carácter general basadas en el examen de los informes y de los datos transmitidos por los Estados partes, y que esas sugerencias y recomendaciones de carácter general se incluirán en el informe del Comité a la Asamblea General junto con las observaciones, si las hubiere, de los Estados partes.</w:t>
      </w:r>
    </w:p>
    <w:p w:rsidR="00173125" w:rsidRDefault="00173125" w:rsidP="00173125">
      <w:pPr>
        <w:pStyle w:val="SingleTxt"/>
      </w:pPr>
      <w:r>
        <w:tab/>
      </w:r>
      <w:r w:rsidRPr="006678EE">
        <w:t>Según el artículo 22 de la Convención, los organismos especializados tendrán derecho a estar representados en el examen de la aplicación de las disposiciones de la Convención que correspondan a sus ámbitos de competencia y el Comité podrá invitar a esos organismos a que presenten informes sobre la aplicación de la Convención en dichos ámbitos.</w:t>
      </w:r>
      <w:r w:rsidRPr="00096A3A">
        <w:t xml:space="preserve"> </w:t>
      </w:r>
    </w:p>
    <w:p w:rsidR="00173125" w:rsidRPr="00A876DE" w:rsidRDefault="00173125" w:rsidP="00173125">
      <w:pPr>
        <w:pStyle w:val="SingleTxt"/>
        <w:spacing w:after="0" w:line="120" w:lineRule="exact"/>
        <w:rPr>
          <w:sz w:val="10"/>
        </w:rPr>
      </w:pPr>
    </w:p>
    <w:p w:rsidR="00173125" w:rsidRPr="00DB4C58" w:rsidRDefault="00173125" w:rsidP="001731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DB4C58">
        <w:rPr>
          <w:sz w:val="24"/>
          <w:szCs w:val="24"/>
        </w:rPr>
        <w:t>Documentación</w:t>
      </w:r>
    </w:p>
    <w:p w:rsidR="00173125" w:rsidRPr="00A876DE" w:rsidRDefault="00173125" w:rsidP="00173125">
      <w:pPr>
        <w:pStyle w:val="SingleTxt"/>
        <w:spacing w:after="0" w:line="120" w:lineRule="exact"/>
        <w:rPr>
          <w:sz w:val="10"/>
        </w:rPr>
      </w:pPr>
    </w:p>
    <w:p w:rsidR="00173125" w:rsidRPr="00A876DE" w:rsidRDefault="00173125" w:rsidP="00173125">
      <w:pPr>
        <w:pStyle w:val="SingleTxt"/>
        <w:spacing w:after="0" w:line="120" w:lineRule="exact"/>
        <w:rPr>
          <w:sz w:val="10"/>
        </w:rPr>
      </w:pPr>
    </w:p>
    <w:p w:rsidR="00173125" w:rsidRDefault="00173125" w:rsidP="00173125">
      <w:pPr>
        <w:pStyle w:val="SingleTxt"/>
      </w:pPr>
      <w:r>
        <w:rPr>
          <w:b/>
          <w:sz w:val="24"/>
          <w:szCs w:val="24"/>
        </w:rPr>
        <w:tab/>
      </w:r>
      <w:r w:rsidRPr="003907CB">
        <w:t>Informes presentados por los organismos especializados de las Naciones Unidas sobre la aplicación de la Convención en sus ámbitos de competencia.</w:t>
      </w:r>
      <w:r w:rsidRPr="00AD65F4">
        <w:t xml:space="preserve"> </w:t>
      </w:r>
    </w:p>
    <w:p w:rsidR="00173125" w:rsidRPr="00A876DE" w:rsidRDefault="00173125" w:rsidP="00173125">
      <w:pPr>
        <w:pStyle w:val="SingleTxt"/>
        <w:spacing w:after="0" w:line="120" w:lineRule="exact"/>
        <w:rPr>
          <w:sz w:val="10"/>
        </w:rPr>
      </w:pPr>
    </w:p>
    <w:p w:rsidR="00173125" w:rsidRPr="00A876DE" w:rsidRDefault="00173125" w:rsidP="00173125">
      <w:pPr>
        <w:pStyle w:val="SingleTxt"/>
        <w:spacing w:after="0" w:line="120" w:lineRule="exact"/>
        <w:rPr>
          <w:sz w:val="10"/>
        </w:rPr>
      </w:pPr>
    </w:p>
    <w:p w:rsidR="00173125" w:rsidRPr="00C95172" w:rsidRDefault="00173125" w:rsidP="001731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tab/>
      </w:r>
      <w:r w:rsidRPr="00477B43">
        <w:t>Medios de agilizar los trabajos del Comité</w:t>
      </w:r>
    </w:p>
    <w:p w:rsidR="00173125" w:rsidRDefault="00173125" w:rsidP="00173125">
      <w:pPr>
        <w:pStyle w:val="SingleTxt"/>
        <w:spacing w:after="0" w:line="120" w:lineRule="exact"/>
        <w:rPr>
          <w:sz w:val="10"/>
        </w:rPr>
      </w:pPr>
    </w:p>
    <w:p w:rsidR="00173125" w:rsidRPr="00A876DE" w:rsidRDefault="00173125" w:rsidP="00173125">
      <w:pPr>
        <w:pStyle w:val="SingleTxt"/>
        <w:spacing w:after="0" w:line="120" w:lineRule="exact"/>
        <w:rPr>
          <w:sz w:val="10"/>
        </w:rPr>
      </w:pPr>
    </w:p>
    <w:p w:rsidR="00173125" w:rsidRDefault="00173125" w:rsidP="00173125">
      <w:pPr>
        <w:pStyle w:val="SingleTxt"/>
      </w:pPr>
      <w:r>
        <w:tab/>
      </w:r>
      <w:r w:rsidRPr="00477B43">
        <w:t>El Comité examinará cuestiones relacionadas con los métodos de trabajo.</w:t>
      </w:r>
    </w:p>
    <w:p w:rsidR="00173125" w:rsidRPr="00A876DE" w:rsidRDefault="00173125" w:rsidP="00173125">
      <w:pPr>
        <w:pStyle w:val="SingleTxt"/>
        <w:spacing w:after="0" w:line="120" w:lineRule="exact"/>
        <w:rPr>
          <w:sz w:val="10"/>
        </w:rPr>
      </w:pPr>
    </w:p>
    <w:p w:rsidR="00173125" w:rsidRPr="00A876DE" w:rsidRDefault="00173125" w:rsidP="00173125">
      <w:pPr>
        <w:pStyle w:val="SingleTxt"/>
        <w:spacing w:after="0" w:line="120" w:lineRule="exact"/>
        <w:rPr>
          <w:sz w:val="10"/>
        </w:rPr>
      </w:pPr>
    </w:p>
    <w:p w:rsidR="00173125" w:rsidRPr="00C95172" w:rsidRDefault="00173125" w:rsidP="001731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w:t>
      </w:r>
      <w:r>
        <w:tab/>
      </w:r>
      <w:r w:rsidRPr="00C1112B">
        <w:t>Actividades del Comité en relación con el Protocolo Facultativo de la Convención</w:t>
      </w:r>
    </w:p>
    <w:p w:rsidR="00173125" w:rsidRDefault="00173125" w:rsidP="00173125">
      <w:pPr>
        <w:pStyle w:val="SingleTxt"/>
        <w:spacing w:after="0" w:line="120" w:lineRule="exact"/>
        <w:rPr>
          <w:sz w:val="10"/>
        </w:rPr>
      </w:pPr>
    </w:p>
    <w:p w:rsidR="00173125" w:rsidRPr="00A876DE" w:rsidRDefault="00173125" w:rsidP="00173125">
      <w:pPr>
        <w:pStyle w:val="SingleTxt"/>
        <w:spacing w:after="0" w:line="120" w:lineRule="exact"/>
        <w:rPr>
          <w:sz w:val="10"/>
        </w:rPr>
      </w:pPr>
    </w:p>
    <w:p w:rsidR="00173125" w:rsidRPr="00477B43" w:rsidRDefault="00173125" w:rsidP="00173125">
      <w:pPr>
        <w:pStyle w:val="SingleTxt"/>
      </w:pPr>
      <w:r>
        <w:tab/>
      </w:r>
      <w:r w:rsidRPr="00C65EDF">
        <w:t>El 33º período de sesiones del Grupo de Trabajo sobre las Comunicaciones Presentadas en virtud del Protocolo Facultativo se celebrará del 20 al 23 de octubre de 2015 en Ginebra.</w:t>
      </w:r>
    </w:p>
    <w:p w:rsidR="00173125" w:rsidRPr="00126834" w:rsidRDefault="00173125" w:rsidP="00173125">
      <w:pPr>
        <w:pStyle w:val="SingleTxt"/>
      </w:pPr>
      <w:r>
        <w:tab/>
      </w:r>
      <w:r w:rsidRPr="00126834">
        <w:t>El segundo período de sesiones del Grupo de Trabajo sobre Investigaciones con arreglo al Protocolo Facultativo se celebrará del 21 al 23 de octubre de 2015 en Ginebra.</w:t>
      </w:r>
    </w:p>
    <w:p w:rsidR="00173125" w:rsidRDefault="00173125" w:rsidP="00173125">
      <w:pPr>
        <w:pStyle w:val="SingleTxt"/>
      </w:pPr>
      <w:r>
        <w:tab/>
      </w:r>
      <w:r w:rsidRPr="00126834">
        <w:t>En su 62º período de sesiones, el Comité continuará cumpliendo su mandato en virtud de los artículos 2 y 8 del Protocolo Facultativo de la Convención.</w:t>
      </w:r>
      <w:r w:rsidRPr="004B7645">
        <w:t xml:space="preserve"> </w:t>
      </w:r>
    </w:p>
    <w:p w:rsidR="00173125" w:rsidRPr="00A876DE" w:rsidRDefault="00173125" w:rsidP="00173125">
      <w:pPr>
        <w:pStyle w:val="SingleTxt"/>
        <w:spacing w:after="0" w:line="120" w:lineRule="exact"/>
        <w:rPr>
          <w:sz w:val="10"/>
        </w:rPr>
      </w:pPr>
    </w:p>
    <w:p w:rsidR="00173125" w:rsidRPr="00A876DE" w:rsidRDefault="00173125" w:rsidP="00173125">
      <w:pPr>
        <w:pStyle w:val="SingleTxt"/>
        <w:spacing w:after="0" w:line="120" w:lineRule="exact"/>
        <w:rPr>
          <w:sz w:val="10"/>
        </w:rPr>
      </w:pPr>
    </w:p>
    <w:p w:rsidR="00173125" w:rsidRPr="00C95172" w:rsidRDefault="00173125" w:rsidP="00724D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87" w:hanging="1267"/>
      </w:pPr>
      <w:r>
        <w:tab/>
        <w:t>9.</w:t>
      </w:r>
      <w:r>
        <w:tab/>
      </w:r>
      <w:r w:rsidRPr="00CC2B7D">
        <w:t>Programa provisional del 63º período de sesiones del Comité</w:t>
      </w:r>
    </w:p>
    <w:p w:rsidR="00173125" w:rsidRDefault="00173125" w:rsidP="00173125">
      <w:pPr>
        <w:pStyle w:val="SingleTxt"/>
        <w:spacing w:after="0" w:line="120" w:lineRule="exact"/>
        <w:rPr>
          <w:sz w:val="10"/>
        </w:rPr>
      </w:pPr>
    </w:p>
    <w:p w:rsidR="00173125" w:rsidRPr="00A876DE" w:rsidRDefault="00173125" w:rsidP="00173125">
      <w:pPr>
        <w:pStyle w:val="SingleTxt"/>
        <w:spacing w:after="0" w:line="120" w:lineRule="exact"/>
        <w:rPr>
          <w:sz w:val="10"/>
        </w:rPr>
      </w:pPr>
    </w:p>
    <w:p w:rsidR="00173125" w:rsidRPr="006877C3" w:rsidRDefault="00173125" w:rsidP="00173125">
      <w:pPr>
        <w:pStyle w:val="SingleTxt"/>
        <w:ind w:left="950"/>
        <w:rPr>
          <w:b/>
          <w:sz w:val="24"/>
          <w:szCs w:val="24"/>
        </w:rPr>
      </w:pPr>
      <w:r>
        <w:tab/>
      </w:r>
      <w:r w:rsidRPr="006877C3">
        <w:rPr>
          <w:b/>
          <w:sz w:val="24"/>
          <w:szCs w:val="24"/>
        </w:rPr>
        <w:t>Documentación</w:t>
      </w:r>
    </w:p>
    <w:p w:rsidR="00173125" w:rsidRPr="00A876DE" w:rsidRDefault="00173125" w:rsidP="00173125">
      <w:pPr>
        <w:pStyle w:val="SingleTxt"/>
        <w:spacing w:after="0" w:line="120" w:lineRule="exact"/>
        <w:rPr>
          <w:sz w:val="10"/>
        </w:rPr>
      </w:pPr>
    </w:p>
    <w:p w:rsidR="00173125" w:rsidRDefault="00173125" w:rsidP="00173125">
      <w:pPr>
        <w:pStyle w:val="SingleTxt"/>
      </w:pPr>
      <w:r>
        <w:tab/>
      </w:r>
      <w:r w:rsidRPr="00B83501">
        <w:t>Programa provisional del 63º período de sesiones (</w:t>
      </w:r>
      <w:hyperlink r:id="rId52" w:history="1">
        <w:r w:rsidRPr="00B83501">
          <w:rPr>
            <w:color w:val="0000FF"/>
          </w:rPr>
          <w:t>CEDAW/C/63/1</w:t>
        </w:r>
      </w:hyperlink>
      <w:r w:rsidRPr="00B83501">
        <w:t xml:space="preserve">) </w:t>
      </w:r>
    </w:p>
    <w:p w:rsidR="00173125" w:rsidRPr="00A876DE" w:rsidRDefault="00173125" w:rsidP="00173125">
      <w:pPr>
        <w:pStyle w:val="SingleTxt"/>
        <w:spacing w:after="0" w:line="120" w:lineRule="exact"/>
        <w:rPr>
          <w:sz w:val="10"/>
        </w:rPr>
      </w:pPr>
    </w:p>
    <w:p w:rsidR="00173125" w:rsidRPr="00A876DE" w:rsidRDefault="00173125" w:rsidP="00173125">
      <w:pPr>
        <w:pStyle w:val="SingleTxt"/>
        <w:spacing w:after="0" w:line="120" w:lineRule="exact"/>
        <w:rPr>
          <w:sz w:val="10"/>
        </w:rPr>
      </w:pPr>
    </w:p>
    <w:p w:rsidR="00173125" w:rsidRPr="00C95172" w:rsidRDefault="00173125" w:rsidP="003E11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190"/>
        </w:tabs>
        <w:ind w:left="1267" w:right="1470" w:hanging="1267"/>
      </w:pPr>
      <w:r>
        <w:tab/>
        <w:t>10.</w:t>
      </w:r>
      <w:r>
        <w:tab/>
      </w:r>
      <w:r w:rsidRPr="004B44C1">
        <w:t>Aprobación del informe del Comité sobre su 62º período de sesiones</w:t>
      </w:r>
    </w:p>
    <w:p w:rsidR="002E1B8A" w:rsidRPr="001F5520" w:rsidRDefault="00173125" w:rsidP="006D5375">
      <w:pPr>
        <w:pStyle w:val="SingleTxt"/>
      </w:pPr>
      <w:r>
        <w:rPr>
          <w:noProof/>
          <w:w w:val="100"/>
          <w:lang w:val="en-US" w:eastAsia="zh-CN"/>
        </w:rPr>
        <mc:AlternateContent>
          <mc:Choice Requires="wps">
            <w:drawing>
              <wp:anchor distT="0" distB="0" distL="114300" distR="114300" simplePos="0" relativeHeight="251660288" behindDoc="0" locked="0" layoutInCell="1" allowOverlap="1" wp14:anchorId="24EA60AA" wp14:editId="4E8B1C5E">
                <wp:simplePos x="0" y="0"/>
                <wp:positionH relativeFrom="column">
                  <wp:posOffset>2669540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2E1B8A" w:rsidRPr="001F5520" w:rsidSect="003E0A55">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07T09:09:00Z" w:initials="Start">
    <w:p w:rsidR="002E1B8A" w:rsidRPr="001F5520" w:rsidRDefault="002E1B8A">
      <w:pPr>
        <w:pStyle w:val="CommentText"/>
        <w:rPr>
          <w:lang w:val="en-US"/>
        </w:rPr>
      </w:pPr>
      <w:r>
        <w:fldChar w:fldCharType="begin"/>
      </w:r>
      <w:r w:rsidRPr="001F5520">
        <w:rPr>
          <w:rStyle w:val="CommentReference"/>
          <w:lang w:val="en-US"/>
        </w:rPr>
        <w:instrText xml:space="preserve"> </w:instrText>
      </w:r>
      <w:r w:rsidRPr="001F5520">
        <w:rPr>
          <w:lang w:val="en-US"/>
        </w:rPr>
        <w:instrText>PAGE \# "'Page: '#'</w:instrText>
      </w:r>
      <w:r w:rsidRPr="001F5520">
        <w:rPr>
          <w:lang w:val="en-US"/>
        </w:rPr>
        <w:br/>
        <w:instrText>'"</w:instrText>
      </w:r>
      <w:r w:rsidRPr="001F5520">
        <w:rPr>
          <w:rStyle w:val="CommentReference"/>
          <w:lang w:val="en-US"/>
        </w:rPr>
        <w:instrText xml:space="preserve"> </w:instrText>
      </w:r>
      <w:r>
        <w:fldChar w:fldCharType="end"/>
      </w:r>
      <w:r>
        <w:rPr>
          <w:rStyle w:val="CommentReference"/>
        </w:rPr>
        <w:annotationRef/>
      </w:r>
      <w:r w:rsidRPr="001F5520">
        <w:rPr>
          <w:lang w:val="en-US"/>
        </w:rPr>
        <w:t>&lt;&lt;ODS JOB NO&gt;&gt;N1519085S&lt;&lt;ODS JOB NO&gt;&gt;</w:t>
      </w:r>
    </w:p>
    <w:p w:rsidR="002E1B8A" w:rsidRPr="00724D53" w:rsidRDefault="002E1B8A">
      <w:pPr>
        <w:pStyle w:val="CommentText"/>
        <w:rPr>
          <w:lang w:val="en-US"/>
        </w:rPr>
      </w:pPr>
      <w:r w:rsidRPr="00724D53">
        <w:rPr>
          <w:lang w:val="en-US"/>
        </w:rPr>
        <w:t>&lt;&lt;ODS DOC SYMBOL1&gt;&gt;CEDAW/C/62/1&lt;&lt;ODS DOC SYMBOL1&gt;&gt;</w:t>
      </w:r>
    </w:p>
    <w:p w:rsidR="002E1B8A" w:rsidRPr="00724D53" w:rsidRDefault="002E1B8A">
      <w:pPr>
        <w:pStyle w:val="CommentText"/>
        <w:rPr>
          <w:lang w:val="en-US"/>
        </w:rPr>
      </w:pPr>
      <w:r w:rsidRPr="00724D53">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32" w:rsidRDefault="00213D32" w:rsidP="008F1E8F">
      <w:pPr>
        <w:spacing w:line="240" w:lineRule="auto"/>
      </w:pPr>
      <w:r>
        <w:separator/>
      </w:r>
    </w:p>
  </w:endnote>
  <w:endnote w:type="continuationSeparator" w:id="0">
    <w:p w:rsidR="00213D32" w:rsidRDefault="00213D32"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2E1B8A" w:rsidTr="002E1B8A">
      <w:tc>
        <w:tcPr>
          <w:tcW w:w="4990" w:type="dxa"/>
          <w:shd w:val="clear" w:color="auto" w:fill="auto"/>
        </w:tcPr>
        <w:p w:rsidR="002E1B8A" w:rsidRPr="002E1B8A" w:rsidRDefault="002E1B8A" w:rsidP="002E1B8A">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91090">
            <w:rPr>
              <w:b w:val="0"/>
              <w:color w:val="000000"/>
              <w:w w:val="103"/>
              <w:sz w:val="14"/>
            </w:rPr>
            <w:t>15-10389</w:t>
          </w:r>
          <w:r>
            <w:rPr>
              <w:b w:val="0"/>
              <w:color w:val="000000"/>
              <w:w w:val="103"/>
              <w:sz w:val="14"/>
            </w:rPr>
            <w:fldChar w:fldCharType="end"/>
          </w:r>
        </w:p>
      </w:tc>
      <w:tc>
        <w:tcPr>
          <w:tcW w:w="4990" w:type="dxa"/>
          <w:shd w:val="clear" w:color="auto" w:fill="auto"/>
        </w:tcPr>
        <w:p w:rsidR="002E1B8A" w:rsidRPr="002E1B8A" w:rsidRDefault="002E1B8A" w:rsidP="002E1B8A">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05ED4">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05ED4">
            <w:rPr>
              <w:color w:val="000000"/>
              <w:w w:val="103"/>
            </w:rPr>
            <w:t>2</w:t>
          </w:r>
          <w:r>
            <w:rPr>
              <w:color w:val="000000"/>
              <w:w w:val="103"/>
            </w:rPr>
            <w:fldChar w:fldCharType="end"/>
          </w:r>
        </w:p>
      </w:tc>
    </w:tr>
  </w:tbl>
  <w:p w:rsidR="002E1B8A" w:rsidRPr="002E1B8A" w:rsidRDefault="002E1B8A" w:rsidP="002E1B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2E1B8A" w:rsidTr="002E1B8A">
      <w:tc>
        <w:tcPr>
          <w:tcW w:w="4990" w:type="dxa"/>
          <w:shd w:val="clear" w:color="auto" w:fill="auto"/>
        </w:tcPr>
        <w:p w:rsidR="002E1B8A" w:rsidRPr="002E1B8A" w:rsidRDefault="002E1B8A" w:rsidP="002E1B8A">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91090">
            <w:rPr>
              <w:color w:val="000000"/>
              <w:w w:val="103"/>
            </w:rPr>
            <w:t>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91090">
            <w:rPr>
              <w:color w:val="000000"/>
              <w:w w:val="103"/>
            </w:rPr>
            <w:t>5</w:t>
          </w:r>
          <w:r>
            <w:rPr>
              <w:color w:val="000000"/>
              <w:w w:val="103"/>
            </w:rPr>
            <w:fldChar w:fldCharType="end"/>
          </w:r>
        </w:p>
      </w:tc>
      <w:tc>
        <w:tcPr>
          <w:tcW w:w="4990" w:type="dxa"/>
          <w:shd w:val="clear" w:color="auto" w:fill="auto"/>
        </w:tcPr>
        <w:p w:rsidR="002E1B8A" w:rsidRPr="002E1B8A" w:rsidRDefault="002E1B8A" w:rsidP="002E1B8A">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91090">
            <w:rPr>
              <w:b w:val="0"/>
              <w:color w:val="000000"/>
              <w:w w:val="103"/>
              <w:sz w:val="14"/>
            </w:rPr>
            <w:t>15-10389</w:t>
          </w:r>
          <w:r>
            <w:rPr>
              <w:b w:val="0"/>
              <w:color w:val="000000"/>
              <w:w w:val="103"/>
              <w:sz w:val="14"/>
            </w:rPr>
            <w:fldChar w:fldCharType="end"/>
          </w:r>
        </w:p>
      </w:tc>
    </w:tr>
  </w:tbl>
  <w:p w:rsidR="002E1B8A" w:rsidRPr="002E1B8A" w:rsidRDefault="002E1B8A" w:rsidP="002E1B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8A" w:rsidRPr="002E1B8A" w:rsidRDefault="002E1B8A" w:rsidP="002E1B8A">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2F48FC8C" wp14:editId="1E0D42CE">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62/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2/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72"/>
      <w:gridCol w:w="4990"/>
    </w:tblGrid>
    <w:tr w:rsidR="002E1B8A" w:rsidTr="002E1B8A">
      <w:tc>
        <w:tcPr>
          <w:tcW w:w="3772" w:type="dxa"/>
        </w:tcPr>
        <w:p w:rsidR="002E1B8A" w:rsidRDefault="002E1B8A" w:rsidP="002E1B8A">
          <w:pPr>
            <w:pStyle w:val="ReleaseDate"/>
          </w:pPr>
          <w:r>
            <w:t>15-10389</w:t>
          </w:r>
          <w:r w:rsidR="001F5520">
            <w:t>X</w:t>
          </w:r>
          <w:r>
            <w:t xml:space="preserve"> (S)    </w:t>
          </w:r>
        </w:p>
        <w:p w:rsidR="002E1B8A" w:rsidRPr="002E1B8A" w:rsidRDefault="002E1B8A" w:rsidP="002E1B8A">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*1510389*</w:t>
          </w:r>
        </w:p>
      </w:tc>
      <w:tc>
        <w:tcPr>
          <w:tcW w:w="4990" w:type="dxa"/>
        </w:tcPr>
        <w:p w:rsidR="002E1B8A" w:rsidRDefault="002E1B8A" w:rsidP="002E1B8A">
          <w:pPr>
            <w:pStyle w:val="Footer"/>
            <w:jc w:val="right"/>
            <w:rPr>
              <w:b w:val="0"/>
              <w:sz w:val="20"/>
            </w:rPr>
          </w:pPr>
          <w:r>
            <w:rPr>
              <w:b w:val="0"/>
              <w:sz w:val="20"/>
              <w:lang w:eastAsia="zh-CN"/>
            </w:rPr>
            <w:drawing>
              <wp:inline distT="0" distB="0" distL="0" distR="0" wp14:anchorId="7DC8984C" wp14:editId="1387960C">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2E1B8A" w:rsidRPr="002E1B8A" w:rsidRDefault="002E1B8A" w:rsidP="002E1B8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32" w:rsidRDefault="00213D32" w:rsidP="008F1E8F">
      <w:pPr>
        <w:spacing w:line="240" w:lineRule="auto"/>
      </w:pPr>
      <w:r>
        <w:separator/>
      </w:r>
    </w:p>
  </w:footnote>
  <w:footnote w:type="continuationSeparator" w:id="0">
    <w:p w:rsidR="00213D32" w:rsidRDefault="00213D32"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2E1B8A" w:rsidTr="002E1B8A">
      <w:trPr>
        <w:trHeight w:hRule="exact" w:val="864"/>
      </w:trPr>
      <w:tc>
        <w:tcPr>
          <w:tcW w:w="4838" w:type="dxa"/>
          <w:shd w:val="clear" w:color="auto" w:fill="auto"/>
          <w:vAlign w:val="bottom"/>
        </w:tcPr>
        <w:p w:rsidR="002E1B8A" w:rsidRPr="002E1B8A" w:rsidRDefault="002E1B8A" w:rsidP="002E1B8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91090">
            <w:rPr>
              <w:b/>
              <w:color w:val="000000"/>
            </w:rPr>
            <w:t>CEDAW/C/62/1</w:t>
          </w:r>
          <w:r>
            <w:rPr>
              <w:b/>
              <w:color w:val="000000"/>
            </w:rPr>
            <w:fldChar w:fldCharType="end"/>
          </w:r>
        </w:p>
      </w:tc>
      <w:tc>
        <w:tcPr>
          <w:tcW w:w="4990" w:type="dxa"/>
          <w:shd w:val="clear" w:color="auto" w:fill="auto"/>
          <w:vAlign w:val="bottom"/>
        </w:tcPr>
        <w:p w:rsidR="002E1B8A" w:rsidRDefault="002E1B8A" w:rsidP="002E1B8A">
          <w:pPr>
            <w:pStyle w:val="Header"/>
          </w:pPr>
        </w:p>
      </w:tc>
    </w:tr>
  </w:tbl>
  <w:p w:rsidR="002E1B8A" w:rsidRPr="002E1B8A" w:rsidRDefault="002E1B8A" w:rsidP="002E1B8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2E1B8A" w:rsidTr="002E1B8A">
      <w:trPr>
        <w:trHeight w:hRule="exact" w:val="864"/>
      </w:trPr>
      <w:tc>
        <w:tcPr>
          <w:tcW w:w="4838" w:type="dxa"/>
          <w:shd w:val="clear" w:color="auto" w:fill="auto"/>
          <w:vAlign w:val="bottom"/>
        </w:tcPr>
        <w:p w:rsidR="002E1B8A" w:rsidRDefault="002E1B8A" w:rsidP="002E1B8A">
          <w:pPr>
            <w:pStyle w:val="Header"/>
          </w:pPr>
        </w:p>
      </w:tc>
      <w:tc>
        <w:tcPr>
          <w:tcW w:w="4990" w:type="dxa"/>
          <w:shd w:val="clear" w:color="auto" w:fill="auto"/>
          <w:vAlign w:val="bottom"/>
        </w:tcPr>
        <w:p w:rsidR="002E1B8A" w:rsidRPr="002E1B8A" w:rsidRDefault="002E1B8A" w:rsidP="002E1B8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91090">
            <w:rPr>
              <w:b/>
              <w:color w:val="000000"/>
            </w:rPr>
            <w:t>CEDAW/C/62/1</w:t>
          </w:r>
          <w:r>
            <w:rPr>
              <w:b/>
              <w:color w:val="000000"/>
            </w:rPr>
            <w:fldChar w:fldCharType="end"/>
          </w:r>
        </w:p>
      </w:tc>
    </w:tr>
  </w:tbl>
  <w:p w:rsidR="002E1B8A" w:rsidRPr="002E1B8A" w:rsidRDefault="002E1B8A" w:rsidP="002E1B8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E1B8A" w:rsidTr="002E1B8A">
      <w:trPr>
        <w:gridAfter w:val="1"/>
        <w:wAfter w:w="12" w:type="dxa"/>
        <w:trHeight w:hRule="exact" w:val="864"/>
      </w:trPr>
      <w:tc>
        <w:tcPr>
          <w:tcW w:w="1267" w:type="dxa"/>
          <w:tcBorders>
            <w:bottom w:val="single" w:sz="4" w:space="0" w:color="auto"/>
          </w:tcBorders>
          <w:shd w:val="clear" w:color="auto" w:fill="auto"/>
          <w:vAlign w:val="bottom"/>
        </w:tcPr>
        <w:p w:rsidR="002E1B8A" w:rsidRDefault="002E1B8A" w:rsidP="002E1B8A">
          <w:pPr>
            <w:pStyle w:val="Header"/>
            <w:spacing w:after="120"/>
          </w:pPr>
        </w:p>
      </w:tc>
      <w:tc>
        <w:tcPr>
          <w:tcW w:w="2059" w:type="dxa"/>
          <w:tcBorders>
            <w:bottom w:val="single" w:sz="4" w:space="0" w:color="auto"/>
          </w:tcBorders>
          <w:shd w:val="clear" w:color="auto" w:fill="auto"/>
          <w:vAlign w:val="bottom"/>
        </w:tcPr>
        <w:p w:rsidR="002E1B8A" w:rsidRPr="002E1B8A" w:rsidRDefault="002E1B8A" w:rsidP="002E1B8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E1B8A" w:rsidRDefault="002E1B8A" w:rsidP="002E1B8A">
          <w:pPr>
            <w:pStyle w:val="Header"/>
            <w:spacing w:after="120"/>
          </w:pPr>
        </w:p>
      </w:tc>
      <w:tc>
        <w:tcPr>
          <w:tcW w:w="6523" w:type="dxa"/>
          <w:gridSpan w:val="3"/>
          <w:tcBorders>
            <w:bottom w:val="single" w:sz="4" w:space="0" w:color="auto"/>
          </w:tcBorders>
          <w:shd w:val="clear" w:color="auto" w:fill="auto"/>
          <w:vAlign w:val="bottom"/>
        </w:tcPr>
        <w:p w:rsidR="002E1B8A" w:rsidRPr="002E1B8A" w:rsidRDefault="002E1B8A" w:rsidP="002E1B8A">
          <w:pPr>
            <w:spacing w:after="80" w:line="240" w:lineRule="auto"/>
            <w:jc w:val="right"/>
            <w:rPr>
              <w:position w:val="-4"/>
            </w:rPr>
          </w:pPr>
          <w:r>
            <w:rPr>
              <w:position w:val="-4"/>
              <w:sz w:val="40"/>
            </w:rPr>
            <w:t>CEDAW</w:t>
          </w:r>
          <w:r>
            <w:rPr>
              <w:position w:val="-4"/>
            </w:rPr>
            <w:t>/C/62/1</w:t>
          </w:r>
        </w:p>
      </w:tc>
    </w:tr>
    <w:tr w:rsidR="002E1B8A" w:rsidRPr="002E1B8A" w:rsidTr="002E1B8A">
      <w:trPr>
        <w:trHeight w:hRule="exact" w:val="2880"/>
      </w:trPr>
      <w:tc>
        <w:tcPr>
          <w:tcW w:w="1267" w:type="dxa"/>
          <w:tcBorders>
            <w:top w:val="single" w:sz="4" w:space="0" w:color="auto"/>
            <w:bottom w:val="single" w:sz="12" w:space="0" w:color="auto"/>
          </w:tcBorders>
          <w:shd w:val="clear" w:color="auto" w:fill="auto"/>
        </w:tcPr>
        <w:p w:rsidR="002E1B8A" w:rsidRPr="002E1B8A" w:rsidRDefault="002E1B8A" w:rsidP="002E1B8A">
          <w:pPr>
            <w:pStyle w:val="Header"/>
            <w:spacing w:before="120"/>
            <w:jc w:val="center"/>
          </w:pPr>
          <w:r>
            <w:t xml:space="preserve"> </w:t>
          </w:r>
          <w:r>
            <w:rPr>
              <w:lang w:eastAsia="zh-CN"/>
            </w:rPr>
            <w:drawing>
              <wp:inline distT="0" distB="0" distL="0" distR="0" wp14:anchorId="6B90839A" wp14:editId="2215898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E1B8A" w:rsidRPr="002E1B8A" w:rsidRDefault="002E1B8A" w:rsidP="002E1B8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2E1B8A" w:rsidRPr="001F5520" w:rsidRDefault="002E1B8A" w:rsidP="002E1B8A">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2E1B8A" w:rsidRDefault="002E1B8A" w:rsidP="002E1B8A">
          <w:pPr>
            <w:pStyle w:val="Distribution"/>
            <w:spacing w:before="240"/>
          </w:pPr>
          <w:r>
            <w:t>Distr. general</w:t>
          </w:r>
        </w:p>
        <w:p w:rsidR="002E1B8A" w:rsidRDefault="002E1B8A" w:rsidP="002E1B8A">
          <w:pPr>
            <w:pStyle w:val="Publication"/>
          </w:pPr>
          <w:r>
            <w:t>24 de junio de 2015</w:t>
          </w:r>
        </w:p>
        <w:p w:rsidR="002E1B8A" w:rsidRDefault="002E1B8A" w:rsidP="002E1B8A">
          <w:r>
            <w:t>Español</w:t>
          </w:r>
        </w:p>
        <w:p w:rsidR="002E1B8A" w:rsidRDefault="002E1B8A" w:rsidP="002E1B8A">
          <w:pPr>
            <w:pStyle w:val="Original"/>
          </w:pPr>
          <w:r>
            <w:t>Original: inglés</w:t>
          </w:r>
        </w:p>
        <w:p w:rsidR="002E1B8A" w:rsidRPr="002E1B8A" w:rsidRDefault="002E1B8A" w:rsidP="002E1B8A"/>
      </w:tc>
    </w:tr>
  </w:tbl>
  <w:p w:rsidR="002E1B8A" w:rsidRPr="002E1B8A" w:rsidRDefault="002E1B8A" w:rsidP="002E1B8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79A047F"/>
    <w:multiLevelType w:val="multilevel"/>
    <w:tmpl w:val="BEB4B0DC"/>
    <w:name w:val="TOC4"/>
    <w:lvl w:ilvl="0">
      <w:start w:val="1"/>
      <w:numFmt w:val="decimal"/>
      <w:lvlText w:val="%1."/>
      <w:lvlJc w:val="left"/>
      <w:pPr>
        <w:ind w:left="1440" w:hanging="360"/>
      </w:pPr>
      <w:rPr>
        <w:rFonts w:hint="default"/>
        <w:b w:val="0"/>
        <w:i w:val="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252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0389*"/>
    <w:docVar w:name="CreationDt" w:val="07/07/2015 9:09: AM"/>
    <w:docVar w:name="DocCategory" w:val="Doc"/>
    <w:docVar w:name="DocType" w:val="Final"/>
    <w:docVar w:name="DutyStation" w:val="New York"/>
    <w:docVar w:name="FooterJN" w:val="15-10389"/>
    <w:docVar w:name="jobn" w:val="15-10389 (S)"/>
    <w:docVar w:name="jobnDT" w:val="15-10389 (S)   070715"/>
    <w:docVar w:name="jobnDTDT" w:val="15-10389 (S)   070715   070715"/>
    <w:docVar w:name="JobNo" w:val="1510389S"/>
    <w:docVar w:name="JobNo2" w:val="15190859:09: AM"/>
    <w:docVar w:name="LocalDrive" w:val="0"/>
    <w:docVar w:name="OandT" w:val="  - lmg (X)"/>
    <w:docVar w:name="PaperSize" w:val="Letter"/>
    <w:docVar w:name="sss1" w:val="CEDAW/C/62/1"/>
    <w:docVar w:name="sss2" w:val="-"/>
    <w:docVar w:name="Symbol1" w:val="CEDAW/C/62/1"/>
    <w:docVar w:name="Symbol2" w:val="-"/>
  </w:docVars>
  <w:rsids>
    <w:rsidRoot w:val="00213D32"/>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3FD7"/>
    <w:rsid w:val="00154204"/>
    <w:rsid w:val="001561B2"/>
    <w:rsid w:val="001571BC"/>
    <w:rsid w:val="001701FE"/>
    <w:rsid w:val="00170784"/>
    <w:rsid w:val="00173125"/>
    <w:rsid w:val="0017756D"/>
    <w:rsid w:val="00177A61"/>
    <w:rsid w:val="00186A14"/>
    <w:rsid w:val="00187C4A"/>
    <w:rsid w:val="00190B00"/>
    <w:rsid w:val="00195EFF"/>
    <w:rsid w:val="001A2E38"/>
    <w:rsid w:val="001A2FAC"/>
    <w:rsid w:val="001A546F"/>
    <w:rsid w:val="001A72EA"/>
    <w:rsid w:val="001B2FC3"/>
    <w:rsid w:val="001B56CE"/>
    <w:rsid w:val="001B5CC5"/>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5520"/>
    <w:rsid w:val="001F74B0"/>
    <w:rsid w:val="00200A61"/>
    <w:rsid w:val="0020684C"/>
    <w:rsid w:val="002070C6"/>
    <w:rsid w:val="00213D32"/>
    <w:rsid w:val="00214AF3"/>
    <w:rsid w:val="00217E05"/>
    <w:rsid w:val="0022060C"/>
    <w:rsid w:val="002277C7"/>
    <w:rsid w:val="00242088"/>
    <w:rsid w:val="0024283D"/>
    <w:rsid w:val="00244CF4"/>
    <w:rsid w:val="00247894"/>
    <w:rsid w:val="0025615B"/>
    <w:rsid w:val="00260DF5"/>
    <w:rsid w:val="00261CCA"/>
    <w:rsid w:val="002639B8"/>
    <w:rsid w:val="002652F7"/>
    <w:rsid w:val="00266F6B"/>
    <w:rsid w:val="00272964"/>
    <w:rsid w:val="002744AC"/>
    <w:rsid w:val="002841B4"/>
    <w:rsid w:val="00295FD6"/>
    <w:rsid w:val="00297ED1"/>
    <w:rsid w:val="002B0F08"/>
    <w:rsid w:val="002B105C"/>
    <w:rsid w:val="002B1378"/>
    <w:rsid w:val="002B1548"/>
    <w:rsid w:val="002B2680"/>
    <w:rsid w:val="002B6B53"/>
    <w:rsid w:val="002B7407"/>
    <w:rsid w:val="002C2CAF"/>
    <w:rsid w:val="002C345B"/>
    <w:rsid w:val="002C379E"/>
    <w:rsid w:val="002C3E79"/>
    <w:rsid w:val="002D3F35"/>
    <w:rsid w:val="002E1262"/>
    <w:rsid w:val="002E1B8A"/>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5CE7"/>
    <w:rsid w:val="003B613E"/>
    <w:rsid w:val="003C12C7"/>
    <w:rsid w:val="003C2AA1"/>
    <w:rsid w:val="003C2D96"/>
    <w:rsid w:val="003C473B"/>
    <w:rsid w:val="003C4940"/>
    <w:rsid w:val="003C5008"/>
    <w:rsid w:val="003C67B3"/>
    <w:rsid w:val="003D0989"/>
    <w:rsid w:val="003D1093"/>
    <w:rsid w:val="003D2D4A"/>
    <w:rsid w:val="003E0A55"/>
    <w:rsid w:val="003E11AD"/>
    <w:rsid w:val="003E5AAE"/>
    <w:rsid w:val="003E60D2"/>
    <w:rsid w:val="003E7A69"/>
    <w:rsid w:val="003F2A56"/>
    <w:rsid w:val="003F3052"/>
    <w:rsid w:val="003F3C3C"/>
    <w:rsid w:val="00400307"/>
    <w:rsid w:val="00404990"/>
    <w:rsid w:val="0040564F"/>
    <w:rsid w:val="004057C7"/>
    <w:rsid w:val="004072AB"/>
    <w:rsid w:val="004211F7"/>
    <w:rsid w:val="0042642D"/>
    <w:rsid w:val="00431501"/>
    <w:rsid w:val="004318E8"/>
    <w:rsid w:val="00433FB5"/>
    <w:rsid w:val="00434234"/>
    <w:rsid w:val="004374B8"/>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D5375"/>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24D53"/>
    <w:rsid w:val="007253D7"/>
    <w:rsid w:val="00732348"/>
    <w:rsid w:val="0073329F"/>
    <w:rsid w:val="0073710F"/>
    <w:rsid w:val="0074000F"/>
    <w:rsid w:val="007401AE"/>
    <w:rsid w:val="007502C6"/>
    <w:rsid w:val="00750DA9"/>
    <w:rsid w:val="00754308"/>
    <w:rsid w:val="007549E2"/>
    <w:rsid w:val="00754F43"/>
    <w:rsid w:val="007577D7"/>
    <w:rsid w:val="00770E8E"/>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4E6C"/>
    <w:rsid w:val="00991090"/>
    <w:rsid w:val="00991572"/>
    <w:rsid w:val="00995BD2"/>
    <w:rsid w:val="009A54AA"/>
    <w:rsid w:val="009A73EA"/>
    <w:rsid w:val="009A7735"/>
    <w:rsid w:val="009B1C06"/>
    <w:rsid w:val="009B26B8"/>
    <w:rsid w:val="009B6140"/>
    <w:rsid w:val="009C0D3E"/>
    <w:rsid w:val="009C31A4"/>
    <w:rsid w:val="009C3306"/>
    <w:rsid w:val="009C558E"/>
    <w:rsid w:val="009D32AC"/>
    <w:rsid w:val="009D5257"/>
    <w:rsid w:val="009D54EB"/>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0E66"/>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7DC9"/>
    <w:rsid w:val="00AB0ED1"/>
    <w:rsid w:val="00AB3E70"/>
    <w:rsid w:val="00AB7836"/>
    <w:rsid w:val="00AC3F53"/>
    <w:rsid w:val="00AC5CBF"/>
    <w:rsid w:val="00AC6AD9"/>
    <w:rsid w:val="00AD0BE5"/>
    <w:rsid w:val="00AD37F0"/>
    <w:rsid w:val="00AD5D6A"/>
    <w:rsid w:val="00AD778A"/>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40A4"/>
    <w:rsid w:val="00BC60F3"/>
    <w:rsid w:val="00BC7B5B"/>
    <w:rsid w:val="00BD4396"/>
    <w:rsid w:val="00BD47B9"/>
    <w:rsid w:val="00BE2BF9"/>
    <w:rsid w:val="00BE32B5"/>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C6DBC"/>
    <w:rsid w:val="00CD1545"/>
    <w:rsid w:val="00CD2C4C"/>
    <w:rsid w:val="00CD4760"/>
    <w:rsid w:val="00CD4EC2"/>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05ED4"/>
    <w:rsid w:val="00E119D6"/>
    <w:rsid w:val="00E1561C"/>
    <w:rsid w:val="00E22845"/>
    <w:rsid w:val="00E241A1"/>
    <w:rsid w:val="00E26954"/>
    <w:rsid w:val="00E31D49"/>
    <w:rsid w:val="00E35244"/>
    <w:rsid w:val="00E427B7"/>
    <w:rsid w:val="00E50390"/>
    <w:rsid w:val="00E51BC9"/>
    <w:rsid w:val="00E54F48"/>
    <w:rsid w:val="00E606CA"/>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2BE2"/>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5A8D"/>
    <w:rsid w:val="00F564E9"/>
    <w:rsid w:val="00F60962"/>
    <w:rsid w:val="00F61A78"/>
    <w:rsid w:val="00F624F3"/>
    <w:rsid w:val="00F659BF"/>
    <w:rsid w:val="00F66521"/>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2E1B8A"/>
    <w:pPr>
      <w:spacing w:line="240" w:lineRule="auto"/>
    </w:pPr>
    <w:rPr>
      <w:szCs w:val="20"/>
    </w:rPr>
  </w:style>
  <w:style w:type="character" w:customStyle="1" w:styleId="CommentTextChar">
    <w:name w:val="Comment Text Char"/>
    <w:basedOn w:val="DefaultParagraphFont"/>
    <w:link w:val="CommentText"/>
    <w:rsid w:val="002E1B8A"/>
    <w:rPr>
      <w:rFonts w:ascii="Times New Roman" w:hAnsi="Times New Roman"/>
      <w:spacing w:val="4"/>
      <w:w w:val="103"/>
      <w:lang w:val="es-ES"/>
    </w:rPr>
  </w:style>
  <w:style w:type="paragraph" w:styleId="CommentSubject">
    <w:name w:val="annotation subject"/>
    <w:basedOn w:val="CommentText"/>
    <w:next w:val="CommentText"/>
    <w:link w:val="CommentSubjectChar"/>
    <w:rsid w:val="002E1B8A"/>
    <w:rPr>
      <w:b/>
      <w:bCs/>
    </w:rPr>
  </w:style>
  <w:style w:type="character" w:customStyle="1" w:styleId="CommentSubjectChar">
    <w:name w:val="Comment Subject Char"/>
    <w:basedOn w:val="CommentTextChar"/>
    <w:link w:val="CommentSubject"/>
    <w:rsid w:val="002E1B8A"/>
    <w:rPr>
      <w:rFonts w:ascii="Times New Roman" w:hAnsi="Times New Roman"/>
      <w:b/>
      <w:bCs/>
      <w:spacing w:val="4"/>
      <w:w w:val="103"/>
      <w:lang w:val="es-ES"/>
    </w:rPr>
  </w:style>
  <w:style w:type="character" w:customStyle="1" w:styleId="SingleTxtChar">
    <w:name w:val="__Single Txt Char"/>
    <w:link w:val="SingleTxt"/>
    <w:rsid w:val="006D5375"/>
    <w:rPr>
      <w:rFonts w:ascii="Times New Roman" w:hAnsi="Times New Roman"/>
      <w:spacing w:val="4"/>
      <w:w w:val="103"/>
      <w:kern w:val="14"/>
      <w:szCs w:val="22"/>
      <w:lang w:val="es-ES"/>
    </w:rPr>
  </w:style>
  <w:style w:type="paragraph" w:styleId="Revision">
    <w:name w:val="Revision"/>
    <w:hidden/>
    <w:uiPriority w:val="99"/>
    <w:semiHidden/>
    <w:rsid w:val="00173125"/>
    <w:rPr>
      <w:rFonts w:ascii="Times New Roman" w:hAnsi="Times New Roman"/>
      <w:spacing w:val="4"/>
      <w:w w:val="103"/>
      <w:szCs w:val="22"/>
      <w:lang w:val="es-ES"/>
    </w:rPr>
  </w:style>
  <w:style w:type="character" w:styleId="Hyperlink">
    <w:name w:val="Hyperlink"/>
    <w:basedOn w:val="DefaultParagraphFont"/>
    <w:rsid w:val="00F66521"/>
    <w:rPr>
      <w:color w:val="0000FF"/>
      <w:u w:val="none"/>
    </w:rPr>
  </w:style>
  <w:style w:type="character" w:styleId="FollowedHyperlink">
    <w:name w:val="FollowedHyperlink"/>
    <w:basedOn w:val="DefaultParagraphFont"/>
    <w:rsid w:val="00F66521"/>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2E1B8A"/>
    <w:pPr>
      <w:spacing w:line="240" w:lineRule="auto"/>
    </w:pPr>
    <w:rPr>
      <w:szCs w:val="20"/>
    </w:rPr>
  </w:style>
  <w:style w:type="character" w:customStyle="1" w:styleId="CommentTextChar">
    <w:name w:val="Comment Text Char"/>
    <w:basedOn w:val="DefaultParagraphFont"/>
    <w:link w:val="CommentText"/>
    <w:rsid w:val="002E1B8A"/>
    <w:rPr>
      <w:rFonts w:ascii="Times New Roman" w:hAnsi="Times New Roman"/>
      <w:spacing w:val="4"/>
      <w:w w:val="103"/>
      <w:lang w:val="es-ES"/>
    </w:rPr>
  </w:style>
  <w:style w:type="paragraph" w:styleId="CommentSubject">
    <w:name w:val="annotation subject"/>
    <w:basedOn w:val="CommentText"/>
    <w:next w:val="CommentText"/>
    <w:link w:val="CommentSubjectChar"/>
    <w:rsid w:val="002E1B8A"/>
    <w:rPr>
      <w:b/>
      <w:bCs/>
    </w:rPr>
  </w:style>
  <w:style w:type="character" w:customStyle="1" w:styleId="CommentSubjectChar">
    <w:name w:val="Comment Subject Char"/>
    <w:basedOn w:val="CommentTextChar"/>
    <w:link w:val="CommentSubject"/>
    <w:rsid w:val="002E1B8A"/>
    <w:rPr>
      <w:rFonts w:ascii="Times New Roman" w:hAnsi="Times New Roman"/>
      <w:b/>
      <w:bCs/>
      <w:spacing w:val="4"/>
      <w:w w:val="103"/>
      <w:lang w:val="es-ES"/>
    </w:rPr>
  </w:style>
  <w:style w:type="character" w:customStyle="1" w:styleId="SingleTxtChar">
    <w:name w:val="__Single Txt Char"/>
    <w:link w:val="SingleTxt"/>
    <w:rsid w:val="006D5375"/>
    <w:rPr>
      <w:rFonts w:ascii="Times New Roman" w:hAnsi="Times New Roman"/>
      <w:spacing w:val="4"/>
      <w:w w:val="103"/>
      <w:kern w:val="14"/>
      <w:szCs w:val="22"/>
      <w:lang w:val="es-ES"/>
    </w:rPr>
  </w:style>
  <w:style w:type="paragraph" w:styleId="Revision">
    <w:name w:val="Revision"/>
    <w:hidden/>
    <w:uiPriority w:val="99"/>
    <w:semiHidden/>
    <w:rsid w:val="00173125"/>
    <w:rPr>
      <w:rFonts w:ascii="Times New Roman" w:hAnsi="Times New Roman"/>
      <w:spacing w:val="4"/>
      <w:w w:val="103"/>
      <w:szCs w:val="22"/>
      <w:lang w:val="es-ES"/>
    </w:rPr>
  </w:style>
  <w:style w:type="character" w:styleId="Hyperlink">
    <w:name w:val="Hyperlink"/>
    <w:basedOn w:val="DefaultParagraphFont"/>
    <w:rsid w:val="00F66521"/>
    <w:rPr>
      <w:color w:val="0000FF"/>
      <w:u w:val="none"/>
    </w:rPr>
  </w:style>
  <w:style w:type="character" w:styleId="FollowedHyperlink">
    <w:name w:val="FollowedHyperlink"/>
    <w:basedOn w:val="DefaultParagraphFont"/>
    <w:rsid w:val="00F6652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http://unterm.un.org/DGAACS/unterm.nsf/blank.gif?OpenImageResource" TargetMode="External"/><Relationship Id="rId26" Type="http://schemas.openxmlformats.org/officeDocument/2006/relationships/hyperlink" Target="http://undocs.org/sp/CEDAW/C/SVN/5" TargetMode="External"/><Relationship Id="rId39" Type="http://schemas.openxmlformats.org/officeDocument/2006/relationships/hyperlink" Target="http://undocs.org/sp/CEDAW/C/ARE/Q/2" TargetMode="External"/><Relationship Id="rId3" Type="http://schemas.openxmlformats.org/officeDocument/2006/relationships/styles" Target="styles.xml"/><Relationship Id="rId21" Type="http://schemas.openxmlformats.org/officeDocument/2006/relationships/hyperlink" Target="http://undocs.org/sp/CEDAW/C/LBR/7" TargetMode="External"/><Relationship Id="rId34" Type="http://schemas.openxmlformats.org/officeDocument/2006/relationships/hyperlink" Target="http://undocs.org/sp/CEDAW/C/PRT/Q/8" TargetMode="External"/><Relationship Id="rId42" Type="http://schemas.openxmlformats.org/officeDocument/2006/relationships/hyperlink" Target="http://undocs.org/sp/CEDAW/C/LBR/Q/7" TargetMode="External"/><Relationship Id="rId47" Type="http://schemas.openxmlformats.org/officeDocument/2006/relationships/hyperlink" Target="http://undocs.org/sp/CEDAW/C/SVK/Q/5" TargetMode="External"/><Relationship Id="rId50" Type="http://schemas.openxmlformats.org/officeDocument/2006/relationships/hyperlink" Target="http://undocs.org/sp/CEDAW/C/ARE/Q/2"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gif"/><Relationship Id="rId25" Type="http://schemas.openxmlformats.org/officeDocument/2006/relationships/hyperlink" Target="http://undocs.org/sp/CEDAW/C/RUS/8" TargetMode="External"/><Relationship Id="rId33" Type="http://schemas.openxmlformats.org/officeDocument/2006/relationships/hyperlink" Target="http://undocs.org/sp/CEDAW/C/MWI/Q/7" TargetMode="External"/><Relationship Id="rId38" Type="http://schemas.openxmlformats.org/officeDocument/2006/relationships/hyperlink" Target="http://undocs.org/sp/CEDAW/C/TLS/Q/2" TargetMode="External"/><Relationship Id="rId46" Type="http://schemas.openxmlformats.org/officeDocument/2006/relationships/hyperlink" Target="http://undocs.org/sp/CEDAW/C/RUS/Q/8/Add.1" TargetMode="External"/><Relationship Id="rId2" Type="http://schemas.openxmlformats.org/officeDocument/2006/relationships/numbering" Target="numbering.xml"/><Relationship Id="rId16" Type="http://schemas.openxmlformats.org/officeDocument/2006/relationships/hyperlink" Target="http://undocs.org/CEDAW/C/57/1" TargetMode="External"/><Relationship Id="rId20" Type="http://schemas.openxmlformats.org/officeDocument/2006/relationships/hyperlink" Target="http://undocs.org/sp/CEDAW/C/LBN/4" TargetMode="External"/><Relationship Id="rId29" Type="http://schemas.openxmlformats.org/officeDocument/2006/relationships/hyperlink" Target="http://undocs.org/sp/CEDAW/C/UZB/5" TargetMode="External"/><Relationship Id="rId41" Type="http://schemas.openxmlformats.org/officeDocument/2006/relationships/hyperlink" Target="http://undocs.org/sp/CEDAW/C/LBN/Q/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sp/CEDAW/C/PRT/8" TargetMode="External"/><Relationship Id="rId32" Type="http://schemas.openxmlformats.org/officeDocument/2006/relationships/hyperlink" Target="http://undocs.org/sp/CEDAW/C/MDG/Q/6" TargetMode="External"/><Relationship Id="rId37" Type="http://schemas.openxmlformats.org/officeDocument/2006/relationships/hyperlink" Target="http://undocs.org/sp/CEDAW/C/SVN/Q/5" TargetMode="External"/><Relationship Id="rId40" Type="http://schemas.openxmlformats.org/officeDocument/2006/relationships/hyperlink" Target="http://undocs.org/sp/CEDAW/C/UZB/Q/5" TargetMode="External"/><Relationship Id="rId45" Type="http://schemas.openxmlformats.org/officeDocument/2006/relationships/hyperlink" Target="http://undocs.org/sp/CEDAW/C/PRT/Q/8"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sp/CEDAW/C/MWI/7" TargetMode="External"/><Relationship Id="rId28" Type="http://schemas.openxmlformats.org/officeDocument/2006/relationships/hyperlink" Target="http://undocs.org/sp/CEDAW/C/ARE/2" TargetMode="External"/><Relationship Id="rId36" Type="http://schemas.openxmlformats.org/officeDocument/2006/relationships/hyperlink" Target="http://undocs.org/sp/CEDAW/C/SVK/Q/5" TargetMode="External"/><Relationship Id="rId49" Type="http://schemas.openxmlformats.org/officeDocument/2006/relationships/hyperlink" Target="http://undocs.org/sp/CEDAW/C/TLS/Q/2" TargetMode="External"/><Relationship Id="rId10" Type="http://schemas.openxmlformats.org/officeDocument/2006/relationships/header" Target="header2.xml"/><Relationship Id="rId19" Type="http://schemas.openxmlformats.org/officeDocument/2006/relationships/hyperlink" Target="http://undocs.org/sp/CEDAW/C/PSWG/62/1" TargetMode="External"/><Relationship Id="rId31" Type="http://schemas.openxmlformats.org/officeDocument/2006/relationships/hyperlink" Target="http://undocs.org/sp/CEDAW/C/LBR/Q/7" TargetMode="External"/><Relationship Id="rId44" Type="http://schemas.openxmlformats.org/officeDocument/2006/relationships/hyperlink" Target="http://undocs.org/sp/CEDAW/C/MWI/Q/7/Add.1" TargetMode="External"/><Relationship Id="rId52" Type="http://schemas.openxmlformats.org/officeDocument/2006/relationships/hyperlink" Target="http://undocs.org/CEDAW/C/58/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sp/CEDAW/C/MDG/6" TargetMode="External"/><Relationship Id="rId27" Type="http://schemas.openxmlformats.org/officeDocument/2006/relationships/hyperlink" Target="http://undocs.org/sp/CEDAW/C/TLS/2" TargetMode="External"/><Relationship Id="rId30" Type="http://schemas.openxmlformats.org/officeDocument/2006/relationships/hyperlink" Target="http://undocs.org/sp/CEDAW/C/LBN/Q/4" TargetMode="External"/><Relationship Id="rId35" Type="http://schemas.openxmlformats.org/officeDocument/2006/relationships/hyperlink" Target="http://undocs.org/sp/CEDAW/C/RUS/Q/8" TargetMode="External"/><Relationship Id="rId43" Type="http://schemas.openxmlformats.org/officeDocument/2006/relationships/hyperlink" Target="http://undocs.org/sp/CEDAW/C/MDG/Q/6" TargetMode="External"/><Relationship Id="rId48" Type="http://schemas.openxmlformats.org/officeDocument/2006/relationships/hyperlink" Target="http://undocs.org/sp/CEDAW/C/SVN/Q/5" TargetMode="External"/><Relationship Id="rId8" Type="http://schemas.openxmlformats.org/officeDocument/2006/relationships/endnotes" Target="endnotes.xml"/><Relationship Id="rId51" Type="http://schemas.openxmlformats.org/officeDocument/2006/relationships/hyperlink" Target="http://undocs.org/sp/CEDAW/C/UZB/Q/5/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1C749-A7D4-4C92-969D-A006151E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1534</Words>
  <Characters>8749</Characters>
  <Application>Microsoft Office Word</Application>
  <DocSecurity>0</DocSecurity>
  <Lines>72</Lines>
  <Paragraphs>20</Paragraphs>
  <ScaleCrop>false</ScaleCrop>
  <Company>United Nations</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Test</dc:creator>
  <cp:keywords/>
  <dc:description/>
  <cp:lastModifiedBy>Spanish Text Processing FD2</cp:lastModifiedBy>
  <cp:revision>10</cp:revision>
  <cp:lastPrinted>2015-07-07T18:22:00Z</cp:lastPrinted>
  <dcterms:created xsi:type="dcterms:W3CDTF">2015-07-07T13:15:00Z</dcterms:created>
  <dcterms:modified xsi:type="dcterms:W3CDTF">2015-07-07T18:25:00Z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1510389</vt:lpwstr>
  </property>
  <property fmtid="{D5CDD505-2E9C-101B-9397-08002B2CF9AE}" pid="3" name="ODSRefJobNo">
    <vt:lpwstr>1519085</vt:lpwstr>
  </property>
  <property fmtid="{D5CDD505-2E9C-101B-9397-08002B2CF9AE}" pid="4" name="Symbol1">
    <vt:lpwstr>CEDAW/C/62/1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24 de junio de 2015</vt:lpwstr>
  </property>
  <property fmtid="{D5CDD505-2E9C-101B-9397-08002B2CF9AE}" pid="8" name="Original">
    <vt:lpwstr>inglés</vt:lpwstr>
  </property>
  <property fmtid="{D5CDD505-2E9C-101B-9397-08002B2CF9AE}" pid="9" name="Release Date">
    <vt:lpwstr>070715</vt:lpwstr>
  </property>
  <property fmtid="{D5CDD505-2E9C-101B-9397-08002B2CF9AE}" pid="10" name="Comment">
    <vt:lpwstr/>
  </property>
  <property fmtid="{D5CDD505-2E9C-101B-9397-08002B2CF9AE}" pid="11" name="DraftPages">
    <vt:lpwstr> </vt:lpwstr>
  </property>
  <property fmtid="{D5CDD505-2E9C-101B-9397-08002B2CF9AE}" pid="12" name="Operator">
    <vt:lpwstr>  - lmg (X)</vt:lpwstr>
  </property>
  <property fmtid="{D5CDD505-2E9C-101B-9397-08002B2CF9AE}" pid="13" name="Translator">
    <vt:lpwstr>  - lmg (X)</vt:lpwstr>
  </property>
</Properties>
</file>