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0713" w14:textId="77777777" w:rsidR="00A852F5" w:rsidRDefault="00A852F5" w:rsidP="00A852F5">
      <w:pPr>
        <w:spacing w:line="240" w:lineRule="auto"/>
        <w:jc w:val="left"/>
        <w:rPr>
          <w:szCs w:val="2"/>
          <w:rtl/>
        </w:rPr>
        <w:sectPr w:rsidR="00A852F5" w:rsidSect="00724E8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223A7727" w14:textId="77777777" w:rsidR="00724E87" w:rsidRPr="00724E87" w:rsidRDefault="00724E87" w:rsidP="002F6BD9">
      <w:pPr>
        <w:pStyle w:val="TitleH1"/>
        <w:rPr>
          <w:rtl/>
        </w:rPr>
      </w:pPr>
      <w:r w:rsidRPr="00724E87">
        <w:rPr>
          <w:rtl/>
        </w:rPr>
        <w:t>اللجنة المعنية بالقضاء على التمييز ضد المرأة</w:t>
      </w:r>
    </w:p>
    <w:p w14:paraId="225A5420" w14:textId="68BC0788" w:rsidR="00724E87" w:rsidRPr="00724E87" w:rsidRDefault="00724E87" w:rsidP="00724E87">
      <w:pPr>
        <w:framePr w:w="9792" w:h="432" w:hSpace="180" w:wrap="notBeside" w:hAnchor="page" w:x="1196" w:yAlign="bottom"/>
        <w:spacing w:line="240" w:lineRule="auto"/>
        <w:rPr>
          <w:szCs w:val="6"/>
          <w:rtl/>
        </w:rPr>
      </w:pPr>
      <w:r w:rsidRPr="00724E87">
        <w:rPr>
          <w:rFonts w:hint="cs"/>
          <w:noProof/>
          <w:szCs w:val="6"/>
          <w:lang w:eastAsia="zh-CN"/>
        </w:rPr>
        <mc:AlternateContent>
          <mc:Choice Requires="wps">
            <w:drawing>
              <wp:anchor distT="0" distB="0" distL="114300" distR="114300" simplePos="0" relativeHeight="251659264" behindDoc="0" locked="0" layoutInCell="1" allowOverlap="1" wp14:anchorId="1079D23D" wp14:editId="2C831BDE">
                <wp:simplePos x="0" y="0"/>
                <wp:positionH relativeFrom="column">
                  <wp:posOffset>5026152</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1B3D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75pt,-1pt" to="46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" strokecolor="#010000"/>
            </w:pict>
          </mc:Fallback>
        </mc:AlternateContent>
      </w:r>
    </w:p>
    <w:p w14:paraId="1E40291B" w14:textId="50DC39B3" w:rsidR="00724E87" w:rsidRDefault="00724E87" w:rsidP="00724E87">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724E87">
        <w:rPr>
          <w:sz w:val="17"/>
          <w:szCs w:val="24"/>
          <w:rtl/>
        </w:rPr>
        <w:t>اتخذته اللّجنة في دورتها الثامنة والستين (23 تشرين الأول/أكتوبر - 17 تشرين الثاني/نوفمبر 2017).</w:t>
      </w:r>
    </w:p>
    <w:p w14:paraId="2B9E5581" w14:textId="101B013B" w:rsidR="00724E87" w:rsidRPr="00724E87" w:rsidRDefault="00724E87" w:rsidP="00724E87">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rFonts w:hint="cs"/>
          <w:sz w:val="17"/>
          <w:szCs w:val="24"/>
          <w:rtl/>
        </w:rPr>
        <w:tab/>
      </w:r>
      <w:r w:rsidRPr="00724E87">
        <w:rPr>
          <w:sz w:val="17"/>
          <w:szCs w:val="24"/>
          <w:rtl/>
        </w:rPr>
        <w:t xml:space="preserve">شارك أعضاء اللجنة التالية أسماؤهم في دراسة هذه الرسالة: </w:t>
      </w:r>
      <w:proofErr w:type="spellStart"/>
      <w:r w:rsidRPr="00724E87">
        <w:rPr>
          <w:sz w:val="17"/>
          <w:szCs w:val="24"/>
          <w:rtl/>
        </w:rPr>
        <w:t>غلاديس</w:t>
      </w:r>
      <w:proofErr w:type="spellEnd"/>
      <w:r w:rsidRPr="00724E87">
        <w:rPr>
          <w:sz w:val="17"/>
          <w:szCs w:val="24"/>
          <w:rtl/>
        </w:rPr>
        <w:t xml:space="preserve"> أكوستا </w:t>
      </w:r>
      <w:proofErr w:type="spellStart"/>
      <w:r w:rsidRPr="00724E87">
        <w:rPr>
          <w:sz w:val="17"/>
          <w:szCs w:val="24"/>
          <w:rtl/>
        </w:rPr>
        <w:t>فارغاس</w:t>
      </w:r>
      <w:proofErr w:type="spellEnd"/>
      <w:r w:rsidRPr="00724E87">
        <w:rPr>
          <w:sz w:val="17"/>
          <w:szCs w:val="24"/>
          <w:rtl/>
        </w:rPr>
        <w:t xml:space="preserve">، ونيكول </w:t>
      </w:r>
      <w:proofErr w:type="spellStart"/>
      <w:r w:rsidRPr="00724E87">
        <w:rPr>
          <w:sz w:val="17"/>
          <w:szCs w:val="24"/>
          <w:rtl/>
        </w:rPr>
        <w:t>أميلين</w:t>
      </w:r>
      <w:proofErr w:type="spellEnd"/>
      <w:r w:rsidRPr="00724E87">
        <w:rPr>
          <w:sz w:val="17"/>
          <w:szCs w:val="24"/>
          <w:rtl/>
        </w:rPr>
        <w:t xml:space="preserve">، </w:t>
      </w:r>
      <w:proofErr w:type="spellStart"/>
      <w:r w:rsidRPr="00724E87">
        <w:rPr>
          <w:sz w:val="17"/>
          <w:szCs w:val="24"/>
          <w:rtl/>
        </w:rPr>
        <w:t>وماغاليس</w:t>
      </w:r>
      <w:proofErr w:type="spellEnd"/>
      <w:r w:rsidRPr="00724E87">
        <w:rPr>
          <w:sz w:val="17"/>
          <w:szCs w:val="24"/>
          <w:rtl/>
        </w:rPr>
        <w:t xml:space="preserve"> أروشا </w:t>
      </w:r>
      <w:proofErr w:type="spellStart"/>
      <w:r w:rsidRPr="00724E87">
        <w:rPr>
          <w:sz w:val="17"/>
          <w:szCs w:val="24"/>
          <w:rtl/>
        </w:rPr>
        <w:t>ديومنغيز</w:t>
      </w:r>
      <w:proofErr w:type="spellEnd"/>
      <w:r w:rsidRPr="00724E87">
        <w:rPr>
          <w:sz w:val="17"/>
          <w:szCs w:val="24"/>
          <w:rtl/>
        </w:rPr>
        <w:t xml:space="preserve">، وغونار برغبي، وماريون </w:t>
      </w:r>
      <w:proofErr w:type="spellStart"/>
      <w:r w:rsidRPr="00724E87">
        <w:rPr>
          <w:sz w:val="17"/>
          <w:szCs w:val="24"/>
          <w:rtl/>
        </w:rPr>
        <w:t>بيثيل</w:t>
      </w:r>
      <w:proofErr w:type="spellEnd"/>
      <w:r w:rsidRPr="00724E87">
        <w:rPr>
          <w:sz w:val="17"/>
          <w:szCs w:val="24"/>
          <w:rtl/>
        </w:rPr>
        <w:t xml:space="preserve">، ولويزا </w:t>
      </w:r>
      <w:proofErr w:type="spellStart"/>
      <w:r w:rsidRPr="00724E87">
        <w:rPr>
          <w:sz w:val="17"/>
          <w:szCs w:val="24"/>
          <w:rtl/>
        </w:rPr>
        <w:t>شالال</w:t>
      </w:r>
      <w:proofErr w:type="spellEnd"/>
      <w:r w:rsidRPr="00724E87">
        <w:rPr>
          <w:sz w:val="17"/>
          <w:szCs w:val="24"/>
          <w:rtl/>
        </w:rPr>
        <w:t xml:space="preserve">، وهيلاري </w:t>
      </w:r>
      <w:proofErr w:type="spellStart"/>
      <w:r w:rsidRPr="00724E87">
        <w:rPr>
          <w:sz w:val="17"/>
          <w:szCs w:val="24"/>
          <w:rtl/>
        </w:rPr>
        <w:t>غبيديما</w:t>
      </w:r>
      <w:proofErr w:type="spellEnd"/>
      <w:r w:rsidRPr="00724E87">
        <w:rPr>
          <w:sz w:val="17"/>
          <w:szCs w:val="24"/>
          <w:rtl/>
        </w:rPr>
        <w:t xml:space="preserve">، ونهلة حيدر، </w:t>
      </w:r>
      <w:proofErr w:type="spellStart"/>
      <w:r w:rsidRPr="00724E87">
        <w:rPr>
          <w:sz w:val="17"/>
          <w:szCs w:val="24"/>
          <w:rtl/>
        </w:rPr>
        <w:t>ويوكو</w:t>
      </w:r>
      <w:proofErr w:type="spellEnd"/>
      <w:r w:rsidRPr="00724E87">
        <w:rPr>
          <w:sz w:val="17"/>
          <w:szCs w:val="24"/>
          <w:rtl/>
        </w:rPr>
        <w:t xml:space="preserve"> </w:t>
      </w:r>
      <w:proofErr w:type="spellStart"/>
      <w:r w:rsidRPr="00724E87">
        <w:rPr>
          <w:sz w:val="17"/>
          <w:szCs w:val="24"/>
          <w:rtl/>
        </w:rPr>
        <w:t>هاياشي</w:t>
      </w:r>
      <w:proofErr w:type="spellEnd"/>
      <w:r w:rsidRPr="00724E87">
        <w:rPr>
          <w:sz w:val="17"/>
          <w:szCs w:val="24"/>
          <w:rtl/>
        </w:rPr>
        <w:t xml:space="preserve">، وليليان </w:t>
      </w:r>
      <w:proofErr w:type="spellStart"/>
      <w:r w:rsidRPr="00724E87">
        <w:rPr>
          <w:sz w:val="17"/>
          <w:szCs w:val="24"/>
          <w:rtl/>
        </w:rPr>
        <w:t>هوفمايستر</w:t>
      </w:r>
      <w:proofErr w:type="spellEnd"/>
      <w:r w:rsidRPr="00724E87">
        <w:rPr>
          <w:sz w:val="17"/>
          <w:szCs w:val="24"/>
          <w:rtl/>
        </w:rPr>
        <w:t xml:space="preserve">، وعصمت جاهان، وداليا </w:t>
      </w:r>
      <w:proofErr w:type="spellStart"/>
      <w:r w:rsidRPr="00724E87">
        <w:rPr>
          <w:sz w:val="17"/>
          <w:szCs w:val="24"/>
          <w:rtl/>
        </w:rPr>
        <w:t>لاينارته</w:t>
      </w:r>
      <w:proofErr w:type="spellEnd"/>
      <w:r w:rsidRPr="00724E87">
        <w:rPr>
          <w:sz w:val="17"/>
          <w:szCs w:val="24"/>
          <w:rtl/>
        </w:rPr>
        <w:t xml:space="preserve">، </w:t>
      </w:r>
      <w:proofErr w:type="spellStart"/>
      <w:r w:rsidRPr="00724E87">
        <w:rPr>
          <w:sz w:val="17"/>
          <w:szCs w:val="24"/>
          <w:rtl/>
        </w:rPr>
        <w:t>وروزاريو</w:t>
      </w:r>
      <w:proofErr w:type="spellEnd"/>
      <w:r w:rsidRPr="00724E87">
        <w:rPr>
          <w:sz w:val="17"/>
          <w:szCs w:val="24"/>
          <w:rtl/>
        </w:rPr>
        <w:t xml:space="preserve"> </w:t>
      </w:r>
      <w:proofErr w:type="spellStart"/>
      <w:r w:rsidRPr="00724E87">
        <w:rPr>
          <w:sz w:val="17"/>
          <w:szCs w:val="24"/>
          <w:rtl/>
        </w:rPr>
        <w:t>مانالو</w:t>
      </w:r>
      <w:proofErr w:type="spellEnd"/>
      <w:r w:rsidRPr="00724E87">
        <w:rPr>
          <w:sz w:val="17"/>
          <w:szCs w:val="24"/>
          <w:rtl/>
        </w:rPr>
        <w:t xml:space="preserve">، وليا </w:t>
      </w:r>
      <w:proofErr w:type="spellStart"/>
      <w:r w:rsidRPr="00724E87">
        <w:rPr>
          <w:sz w:val="17"/>
          <w:szCs w:val="24"/>
          <w:rtl/>
        </w:rPr>
        <w:t>نادارايا</w:t>
      </w:r>
      <w:proofErr w:type="spellEnd"/>
      <w:r w:rsidRPr="00724E87">
        <w:rPr>
          <w:sz w:val="17"/>
          <w:szCs w:val="24"/>
          <w:rtl/>
        </w:rPr>
        <w:t xml:space="preserve">، وأرونا </w:t>
      </w:r>
      <w:proofErr w:type="spellStart"/>
      <w:r w:rsidRPr="00724E87">
        <w:rPr>
          <w:sz w:val="17"/>
          <w:szCs w:val="24"/>
          <w:rtl/>
        </w:rPr>
        <w:t>ديفي</w:t>
      </w:r>
      <w:proofErr w:type="spellEnd"/>
      <w:r w:rsidRPr="00724E87">
        <w:rPr>
          <w:sz w:val="17"/>
          <w:szCs w:val="24"/>
          <w:rtl/>
        </w:rPr>
        <w:t xml:space="preserve"> </w:t>
      </w:r>
      <w:proofErr w:type="spellStart"/>
      <w:r w:rsidRPr="00724E87">
        <w:rPr>
          <w:sz w:val="17"/>
          <w:szCs w:val="24"/>
          <w:rtl/>
        </w:rPr>
        <w:t>ناراين</w:t>
      </w:r>
      <w:proofErr w:type="spellEnd"/>
      <w:r w:rsidRPr="00724E87">
        <w:rPr>
          <w:sz w:val="17"/>
          <w:szCs w:val="24"/>
          <w:rtl/>
        </w:rPr>
        <w:t xml:space="preserve">، </w:t>
      </w:r>
      <w:proofErr w:type="spellStart"/>
      <w:r w:rsidRPr="00724E87">
        <w:rPr>
          <w:sz w:val="17"/>
          <w:szCs w:val="24"/>
          <w:rtl/>
        </w:rPr>
        <w:t>وباتريسيا</w:t>
      </w:r>
      <w:proofErr w:type="spellEnd"/>
      <w:r w:rsidRPr="00724E87">
        <w:rPr>
          <w:sz w:val="17"/>
          <w:szCs w:val="24"/>
          <w:rtl/>
        </w:rPr>
        <w:t xml:space="preserve"> </w:t>
      </w:r>
      <w:proofErr w:type="spellStart"/>
      <w:r w:rsidRPr="00724E87">
        <w:rPr>
          <w:sz w:val="17"/>
          <w:szCs w:val="24"/>
          <w:rtl/>
        </w:rPr>
        <w:t>شولتز</w:t>
      </w:r>
      <w:proofErr w:type="spellEnd"/>
      <w:r w:rsidRPr="00724E87">
        <w:rPr>
          <w:sz w:val="17"/>
          <w:szCs w:val="24"/>
          <w:rtl/>
        </w:rPr>
        <w:t xml:space="preserve">، </w:t>
      </w:r>
      <w:proofErr w:type="spellStart"/>
      <w:r w:rsidRPr="00724E87">
        <w:rPr>
          <w:sz w:val="17"/>
          <w:szCs w:val="24"/>
          <w:rtl/>
        </w:rPr>
        <w:t>ووينيان</w:t>
      </w:r>
      <w:proofErr w:type="spellEnd"/>
      <w:r w:rsidRPr="00724E87">
        <w:rPr>
          <w:sz w:val="17"/>
          <w:szCs w:val="24"/>
          <w:rtl/>
        </w:rPr>
        <w:t xml:space="preserve"> </w:t>
      </w:r>
      <w:proofErr w:type="spellStart"/>
      <w:r w:rsidRPr="00724E87">
        <w:rPr>
          <w:sz w:val="17"/>
          <w:szCs w:val="24"/>
          <w:rtl/>
        </w:rPr>
        <w:t>سونغ</w:t>
      </w:r>
      <w:proofErr w:type="spellEnd"/>
      <w:r w:rsidRPr="00724E87">
        <w:rPr>
          <w:sz w:val="17"/>
          <w:szCs w:val="24"/>
          <w:rtl/>
        </w:rPr>
        <w:t xml:space="preserve"> وعائشة فال فرجس.</w:t>
      </w:r>
    </w:p>
    <w:p w14:paraId="7E2F7C7C" w14:textId="2B436F3C" w:rsidR="002F6BD9" w:rsidRPr="000C4190" w:rsidRDefault="002F6BD9" w:rsidP="000C4190">
      <w:pPr>
        <w:pStyle w:val="SingleTxt"/>
        <w:spacing w:after="0" w:line="120" w:lineRule="exact"/>
        <w:rPr>
          <w:sz w:val="10"/>
          <w:rtl/>
        </w:rPr>
      </w:pPr>
    </w:p>
    <w:p w14:paraId="550F143B" w14:textId="3E88078E" w:rsidR="000C4190" w:rsidRPr="000C4190" w:rsidRDefault="000C4190" w:rsidP="000C4190">
      <w:pPr>
        <w:pStyle w:val="SingleTxt"/>
        <w:spacing w:after="0" w:line="120" w:lineRule="exact"/>
        <w:rPr>
          <w:sz w:val="10"/>
          <w:rtl/>
        </w:rPr>
      </w:pPr>
    </w:p>
    <w:p w14:paraId="0396B08D" w14:textId="46FFBC28" w:rsidR="000C4190" w:rsidRPr="000C4190" w:rsidRDefault="000C4190" w:rsidP="000C4190">
      <w:pPr>
        <w:pStyle w:val="SingleTxt"/>
        <w:spacing w:after="0" w:line="120" w:lineRule="exact"/>
        <w:rPr>
          <w:sz w:val="10"/>
          <w:rtl/>
        </w:rPr>
      </w:pPr>
    </w:p>
    <w:p w14:paraId="4D96F7C1" w14:textId="534ED58F" w:rsidR="00A852F5" w:rsidRDefault="002F6BD9" w:rsidP="002F6BD9">
      <w:pPr>
        <w:pStyle w:val="TitleH1"/>
        <w:ind w:left="1267" w:right="1260" w:hanging="1267"/>
      </w:pPr>
      <w:r>
        <w:tab/>
      </w:r>
      <w:r>
        <w:tab/>
      </w:r>
      <w:r w:rsidR="00724E87" w:rsidRPr="00724E87">
        <w:rPr>
          <w:rtl/>
        </w:rPr>
        <w:t>القرار الذي اعتمدته اللجنة بموجب المادة ٤ (2) (هـ) من البروتوكول الاختياري، بشأن الرسالة رقم 95/2015</w:t>
      </w:r>
      <w:r w:rsidR="00724E87">
        <w:rPr>
          <w:rFonts w:hint="cs"/>
          <w:rtl/>
        </w:rPr>
        <w:t>*</w:t>
      </w:r>
      <w:r w:rsidR="00724E87" w:rsidRPr="001A4CD8">
        <w:rPr>
          <w:rFonts w:hint="cs"/>
          <w:vertAlign w:val="superscript"/>
          <w:rtl/>
        </w:rPr>
        <w:t>،</w:t>
      </w:r>
      <w:r w:rsidR="00724E87" w:rsidRPr="001A4CD8">
        <w:rPr>
          <w:vertAlign w:val="superscript"/>
          <w:rtl/>
        </w:rPr>
        <w:t xml:space="preserve"> </w:t>
      </w:r>
      <w:r w:rsidR="00724E87">
        <w:rPr>
          <w:rFonts w:hint="cs"/>
          <w:rtl/>
        </w:rPr>
        <w:t>**</w:t>
      </w:r>
    </w:p>
    <w:p w14:paraId="1263B647" w14:textId="5EDC6B8D" w:rsidR="00D96483" w:rsidRPr="00D96483" w:rsidRDefault="00D96483" w:rsidP="00D96483">
      <w:pPr>
        <w:pStyle w:val="SingleTxt"/>
        <w:spacing w:after="0" w:line="120" w:lineRule="exact"/>
        <w:rPr>
          <w:sz w:val="10"/>
          <w:rtl/>
        </w:rPr>
      </w:pPr>
    </w:p>
    <w:tbl>
      <w:tblPr>
        <w:bidiVisual/>
        <w:tblW w:w="7320" w:type="dxa"/>
        <w:tblInd w:w="1375" w:type="dxa"/>
        <w:tblLayout w:type="fixed"/>
        <w:tblCellMar>
          <w:left w:w="0" w:type="dxa"/>
          <w:right w:w="0" w:type="dxa"/>
        </w:tblCellMar>
        <w:tblLook w:val="0000" w:firstRow="0" w:lastRow="0" w:firstColumn="0" w:lastColumn="0" w:noHBand="0" w:noVBand="0"/>
      </w:tblPr>
      <w:tblGrid>
        <w:gridCol w:w="2280"/>
        <w:gridCol w:w="5040"/>
      </w:tblGrid>
      <w:tr w:rsidR="00D96483" w14:paraId="727C0066" w14:textId="77777777" w:rsidTr="00BC29CA">
        <w:tc>
          <w:tcPr>
            <w:tcW w:w="2280" w:type="dxa"/>
            <w:shd w:val="clear" w:color="auto" w:fill="auto"/>
          </w:tcPr>
          <w:p w14:paraId="6C4EDBB0" w14:textId="344638B1" w:rsidR="00D96483" w:rsidRPr="001A4CD8" w:rsidRDefault="00D96483" w:rsidP="00D96483">
            <w:pPr>
              <w:tabs>
                <w:tab w:val="left" w:pos="288"/>
                <w:tab w:val="left" w:pos="576"/>
                <w:tab w:val="left" w:pos="864"/>
                <w:tab w:val="left" w:pos="1152"/>
              </w:tabs>
              <w:ind w:left="43" w:right="101"/>
              <w:rPr>
                <w:i/>
                <w:iCs/>
                <w:rtl/>
              </w:rPr>
            </w:pPr>
            <w:r w:rsidRPr="001A4CD8">
              <w:rPr>
                <w:i/>
                <w:iCs/>
                <w:rtl/>
              </w:rPr>
              <w:t>رسالة مقدمة من:</w:t>
            </w:r>
          </w:p>
        </w:tc>
        <w:tc>
          <w:tcPr>
            <w:tcW w:w="5040" w:type="dxa"/>
            <w:shd w:val="clear" w:color="auto" w:fill="auto"/>
          </w:tcPr>
          <w:p w14:paraId="284ECF86" w14:textId="1AE1C401" w:rsidR="00D96483" w:rsidRDefault="00D96483" w:rsidP="00D96483">
            <w:pPr>
              <w:tabs>
                <w:tab w:val="left" w:pos="288"/>
                <w:tab w:val="left" w:pos="576"/>
                <w:tab w:val="left" w:pos="864"/>
                <w:tab w:val="left" w:pos="1152"/>
              </w:tabs>
              <w:ind w:left="43" w:right="101"/>
              <w:rPr>
                <w:rtl/>
              </w:rPr>
            </w:pPr>
            <w:r w:rsidRPr="00D96483">
              <w:rPr>
                <w:rtl/>
              </w:rPr>
              <w:t>ن. ب. (لا يمثلها محام)</w:t>
            </w:r>
          </w:p>
        </w:tc>
      </w:tr>
      <w:tr w:rsidR="00D96483" w14:paraId="37A65193" w14:textId="77777777" w:rsidTr="00BC29CA">
        <w:tc>
          <w:tcPr>
            <w:tcW w:w="2280" w:type="dxa"/>
            <w:shd w:val="clear" w:color="auto" w:fill="auto"/>
          </w:tcPr>
          <w:p w14:paraId="1A283627" w14:textId="6843FE06" w:rsidR="00D96483" w:rsidRPr="001A4CD8" w:rsidRDefault="00D96483" w:rsidP="00D96483">
            <w:pPr>
              <w:tabs>
                <w:tab w:val="left" w:pos="288"/>
                <w:tab w:val="left" w:pos="576"/>
                <w:tab w:val="left" w:pos="864"/>
                <w:tab w:val="left" w:pos="1152"/>
              </w:tabs>
              <w:ind w:left="43" w:right="101"/>
              <w:rPr>
                <w:i/>
                <w:iCs/>
                <w:rtl/>
              </w:rPr>
            </w:pPr>
            <w:r w:rsidRPr="001A4CD8">
              <w:rPr>
                <w:i/>
                <w:iCs/>
                <w:rtl/>
              </w:rPr>
              <w:t>الضحية المزعومة:</w:t>
            </w:r>
          </w:p>
        </w:tc>
        <w:tc>
          <w:tcPr>
            <w:tcW w:w="5040" w:type="dxa"/>
            <w:shd w:val="clear" w:color="auto" w:fill="auto"/>
          </w:tcPr>
          <w:p w14:paraId="13B23BA1" w14:textId="4A97DE55" w:rsidR="00D96483" w:rsidRDefault="00D96483" w:rsidP="00D96483">
            <w:pPr>
              <w:tabs>
                <w:tab w:val="left" w:pos="288"/>
                <w:tab w:val="left" w:pos="576"/>
                <w:tab w:val="left" w:pos="864"/>
                <w:tab w:val="left" w:pos="1152"/>
              </w:tabs>
              <w:ind w:left="43" w:right="101"/>
              <w:rPr>
                <w:rtl/>
              </w:rPr>
            </w:pPr>
            <w:r w:rsidRPr="00D96483">
              <w:rPr>
                <w:rtl/>
              </w:rPr>
              <w:t>صاحبة الرسالة</w:t>
            </w:r>
          </w:p>
        </w:tc>
      </w:tr>
      <w:tr w:rsidR="00D96483" w14:paraId="197399F8" w14:textId="77777777" w:rsidTr="00BC29CA">
        <w:tc>
          <w:tcPr>
            <w:tcW w:w="2280" w:type="dxa"/>
            <w:shd w:val="clear" w:color="auto" w:fill="auto"/>
          </w:tcPr>
          <w:p w14:paraId="02945630" w14:textId="45E619DF" w:rsidR="00D96483" w:rsidRPr="001A4CD8" w:rsidRDefault="00D96483" w:rsidP="00D96483">
            <w:pPr>
              <w:tabs>
                <w:tab w:val="left" w:pos="288"/>
                <w:tab w:val="left" w:pos="576"/>
                <w:tab w:val="left" w:pos="864"/>
                <w:tab w:val="left" w:pos="1152"/>
              </w:tabs>
              <w:ind w:left="43" w:right="101"/>
              <w:rPr>
                <w:i/>
                <w:iCs/>
                <w:rtl/>
              </w:rPr>
            </w:pPr>
            <w:r w:rsidRPr="001A4CD8">
              <w:rPr>
                <w:i/>
                <w:iCs/>
                <w:rtl/>
              </w:rPr>
              <w:t>الدولة الطرف:</w:t>
            </w:r>
          </w:p>
        </w:tc>
        <w:tc>
          <w:tcPr>
            <w:tcW w:w="5040" w:type="dxa"/>
            <w:shd w:val="clear" w:color="auto" w:fill="auto"/>
          </w:tcPr>
          <w:p w14:paraId="0FBB247D" w14:textId="481C5AD5" w:rsidR="00D96483" w:rsidRDefault="00D96483" w:rsidP="00D96483">
            <w:pPr>
              <w:tabs>
                <w:tab w:val="left" w:pos="288"/>
                <w:tab w:val="left" w:pos="576"/>
                <w:tab w:val="left" w:pos="864"/>
                <w:tab w:val="left" w:pos="1152"/>
              </w:tabs>
              <w:ind w:left="43" w:right="101"/>
              <w:rPr>
                <w:rtl/>
              </w:rPr>
            </w:pPr>
            <w:r w:rsidRPr="00D96483">
              <w:rPr>
                <w:rtl/>
              </w:rPr>
              <w:t>أوكرانيا</w:t>
            </w:r>
          </w:p>
        </w:tc>
      </w:tr>
      <w:tr w:rsidR="00D96483" w14:paraId="4F0A9CEC" w14:textId="77777777" w:rsidTr="00BC29CA">
        <w:tc>
          <w:tcPr>
            <w:tcW w:w="2280" w:type="dxa"/>
            <w:shd w:val="clear" w:color="auto" w:fill="auto"/>
          </w:tcPr>
          <w:p w14:paraId="02E67F50" w14:textId="75E8F133" w:rsidR="00D96483" w:rsidRPr="001A4CD8" w:rsidRDefault="00D96483" w:rsidP="00D96483">
            <w:pPr>
              <w:tabs>
                <w:tab w:val="left" w:pos="288"/>
                <w:tab w:val="left" w:pos="576"/>
                <w:tab w:val="left" w:pos="864"/>
                <w:tab w:val="left" w:pos="1152"/>
              </w:tabs>
              <w:ind w:left="43" w:right="101"/>
              <w:rPr>
                <w:i/>
                <w:iCs/>
                <w:rtl/>
              </w:rPr>
            </w:pPr>
            <w:r w:rsidRPr="001A4CD8">
              <w:rPr>
                <w:i/>
                <w:iCs/>
                <w:rtl/>
              </w:rPr>
              <w:t>تاريخ تقديم الرسالة</w:t>
            </w:r>
          </w:p>
        </w:tc>
        <w:tc>
          <w:tcPr>
            <w:tcW w:w="5040" w:type="dxa"/>
            <w:shd w:val="clear" w:color="auto" w:fill="auto"/>
          </w:tcPr>
          <w:p w14:paraId="5FAEC6B9" w14:textId="5B5A8A26" w:rsidR="00D96483" w:rsidRDefault="00D96483" w:rsidP="00D96483">
            <w:pPr>
              <w:tabs>
                <w:tab w:val="left" w:pos="288"/>
                <w:tab w:val="left" w:pos="576"/>
                <w:tab w:val="left" w:pos="864"/>
                <w:tab w:val="left" w:pos="1152"/>
              </w:tabs>
              <w:ind w:left="43" w:right="101"/>
              <w:rPr>
                <w:rtl/>
              </w:rPr>
            </w:pPr>
            <w:r w:rsidRPr="00D96483">
              <w:rPr>
                <w:rtl/>
              </w:rPr>
              <w:t>24 حزيران/يونيه 2015 (رسالة أولى)</w:t>
            </w:r>
          </w:p>
        </w:tc>
      </w:tr>
      <w:tr w:rsidR="00D96483" w14:paraId="0C6CA8B3" w14:textId="77777777" w:rsidTr="00BC29CA">
        <w:tc>
          <w:tcPr>
            <w:tcW w:w="2280" w:type="dxa"/>
            <w:shd w:val="clear" w:color="auto" w:fill="auto"/>
          </w:tcPr>
          <w:p w14:paraId="6532E1EC" w14:textId="6A97FE36" w:rsidR="00D96483" w:rsidRPr="001A4CD8" w:rsidRDefault="00D96483" w:rsidP="00D96483">
            <w:pPr>
              <w:tabs>
                <w:tab w:val="left" w:pos="288"/>
                <w:tab w:val="left" w:pos="576"/>
                <w:tab w:val="left" w:pos="864"/>
                <w:tab w:val="left" w:pos="1152"/>
              </w:tabs>
              <w:ind w:left="43" w:right="101"/>
              <w:rPr>
                <w:i/>
                <w:iCs/>
                <w:rtl/>
              </w:rPr>
            </w:pPr>
            <w:r w:rsidRPr="001A4CD8">
              <w:rPr>
                <w:i/>
                <w:iCs/>
                <w:rtl/>
              </w:rPr>
              <w:t>الجهات المحال إليها:</w:t>
            </w:r>
          </w:p>
        </w:tc>
        <w:tc>
          <w:tcPr>
            <w:tcW w:w="5040" w:type="dxa"/>
            <w:shd w:val="clear" w:color="auto" w:fill="auto"/>
          </w:tcPr>
          <w:p w14:paraId="6C1212EB" w14:textId="5DBF2A12" w:rsidR="00D96483" w:rsidRDefault="00D96483" w:rsidP="00D96483">
            <w:pPr>
              <w:tabs>
                <w:tab w:val="left" w:pos="288"/>
                <w:tab w:val="left" w:pos="576"/>
                <w:tab w:val="left" w:pos="864"/>
                <w:tab w:val="left" w:pos="1152"/>
              </w:tabs>
              <w:ind w:left="43" w:right="101"/>
              <w:rPr>
                <w:rtl/>
              </w:rPr>
            </w:pPr>
            <w:r w:rsidRPr="00D96483">
              <w:rPr>
                <w:rtl/>
              </w:rPr>
              <w:t>أحيلت إلى الدولة الطرف في ١٧ أيلول/سبتمبر ٢٠١٥</w:t>
            </w:r>
          </w:p>
        </w:tc>
      </w:tr>
      <w:tr w:rsidR="00D96483" w14:paraId="22FF420C" w14:textId="77777777" w:rsidTr="00BC29CA">
        <w:tc>
          <w:tcPr>
            <w:tcW w:w="2280" w:type="dxa"/>
            <w:shd w:val="clear" w:color="auto" w:fill="auto"/>
          </w:tcPr>
          <w:p w14:paraId="3F90A116" w14:textId="2E25E83E" w:rsidR="00D96483" w:rsidRPr="001A4CD8" w:rsidRDefault="00D96483" w:rsidP="00D96483">
            <w:pPr>
              <w:tabs>
                <w:tab w:val="left" w:pos="288"/>
                <w:tab w:val="left" w:pos="576"/>
                <w:tab w:val="left" w:pos="864"/>
                <w:tab w:val="left" w:pos="1152"/>
              </w:tabs>
              <w:ind w:left="43" w:right="101"/>
              <w:rPr>
                <w:i/>
                <w:iCs/>
                <w:rtl/>
              </w:rPr>
            </w:pPr>
            <w:r w:rsidRPr="001A4CD8">
              <w:rPr>
                <w:i/>
                <w:iCs/>
                <w:rtl/>
              </w:rPr>
              <w:t>تاريخ اتخاذ القرار:</w:t>
            </w:r>
          </w:p>
        </w:tc>
        <w:tc>
          <w:tcPr>
            <w:tcW w:w="5040" w:type="dxa"/>
            <w:shd w:val="clear" w:color="auto" w:fill="auto"/>
          </w:tcPr>
          <w:p w14:paraId="2A809C77" w14:textId="2E84881D" w:rsidR="00D96483" w:rsidRDefault="00D96483" w:rsidP="00D96483">
            <w:pPr>
              <w:tabs>
                <w:tab w:val="left" w:pos="288"/>
                <w:tab w:val="left" w:pos="576"/>
                <w:tab w:val="left" w:pos="864"/>
                <w:tab w:val="left" w:pos="1152"/>
              </w:tabs>
              <w:ind w:left="43" w:right="101"/>
              <w:rPr>
                <w:rtl/>
              </w:rPr>
            </w:pPr>
            <w:r w:rsidRPr="00D96483">
              <w:rPr>
                <w:rtl/>
              </w:rPr>
              <w:t>٦ تشرين الثاني/نوفمبر ٢٠١٧</w:t>
            </w:r>
          </w:p>
        </w:tc>
      </w:tr>
    </w:tbl>
    <w:p w14:paraId="45ABBF79" w14:textId="77777777" w:rsidR="00D96483" w:rsidRDefault="00D96483" w:rsidP="00D96483">
      <w:pPr>
        <w:pStyle w:val="SingleTxt"/>
      </w:pPr>
    </w:p>
    <w:p w14:paraId="43E9A9CB" w14:textId="7623BC0A" w:rsidR="00D96483" w:rsidRDefault="00D96483" w:rsidP="00D96483">
      <w:pPr>
        <w:pStyle w:val="SingleTxt"/>
      </w:pPr>
    </w:p>
    <w:p w14:paraId="53F1D008" w14:textId="77777777" w:rsidR="00D96483" w:rsidRPr="00D96483" w:rsidRDefault="00D96483" w:rsidP="00D96483">
      <w:pPr>
        <w:pStyle w:val="SingleTxt"/>
      </w:pPr>
    </w:p>
    <w:p w14:paraId="3506D84F" w14:textId="6B41C476" w:rsidR="00724E87" w:rsidRDefault="00724E87" w:rsidP="00724E87">
      <w:pPr>
        <w:pStyle w:val="SingleTxt"/>
      </w:pPr>
    </w:p>
    <w:p w14:paraId="551ADE0C" w14:textId="201DDBE2" w:rsidR="002F6BD9" w:rsidRDefault="002F6BD9">
      <w:pPr>
        <w:bidi w:val="0"/>
        <w:spacing w:line="240" w:lineRule="auto"/>
        <w:jc w:val="left"/>
        <w:rPr>
          <w:szCs w:val="20"/>
          <w:rtl/>
        </w:rPr>
      </w:pPr>
      <w:r>
        <w:rPr>
          <w:szCs w:val="20"/>
          <w:rtl/>
        </w:rPr>
        <w:br w:type="page"/>
      </w:r>
    </w:p>
    <w:p w14:paraId="3DF55EC0" w14:textId="0BD1CC1A" w:rsidR="002F6BD9" w:rsidRPr="00740B9C" w:rsidRDefault="00A20AD0" w:rsidP="00AE6466">
      <w:pPr>
        <w:pStyle w:val="SingleTxt"/>
        <w:rPr>
          <w:rtl/>
        </w:rPr>
      </w:pPr>
      <w:r>
        <w:rPr>
          <w:rFonts w:hint="cs"/>
          <w:rtl/>
        </w:rPr>
        <w:lastRenderedPageBreak/>
        <w:t xml:space="preserve">1 </w:t>
      </w:r>
      <w:r w:rsidR="002F6BD9" w:rsidRPr="00740B9C">
        <w:rPr>
          <w:rtl/>
        </w:rPr>
        <w:t>-</w:t>
      </w:r>
      <w:r w:rsidR="00740B9C" w:rsidRPr="00740B9C">
        <w:tab/>
      </w:r>
      <w:r w:rsidR="002F6BD9" w:rsidRPr="00740B9C">
        <w:rPr>
          <w:rtl/>
        </w:rPr>
        <w:t xml:space="preserve">صاحبة الرسالة هي </w:t>
      </w:r>
      <w:proofErr w:type="spellStart"/>
      <w:r w:rsidR="002F6BD9" w:rsidRPr="00740B9C">
        <w:rPr>
          <w:rtl/>
        </w:rPr>
        <w:t>ن.ب</w:t>
      </w:r>
      <w:proofErr w:type="spellEnd"/>
      <w:r w:rsidR="002F6BD9" w:rsidRPr="00740B9C">
        <w:rPr>
          <w:rtl/>
        </w:rPr>
        <w:t>. التي هي مواطنة أوكراني</w:t>
      </w:r>
      <w:r w:rsidR="000C4190">
        <w:rPr>
          <w:rtl/>
        </w:rPr>
        <w:t>ة ولدت في عام 1970. وهي تدعي أن</w:t>
      </w:r>
      <w:r w:rsidR="000C4190">
        <w:rPr>
          <w:rFonts w:hint="cs"/>
          <w:rtl/>
        </w:rPr>
        <w:t> </w:t>
      </w:r>
      <w:r w:rsidR="002F6BD9" w:rsidRPr="00740B9C">
        <w:rPr>
          <w:rtl/>
        </w:rPr>
        <w:t>أوكرانيا انتهكت حقوقها بموجب المواد 2 (ج) و (د) و (ه)، و</w:t>
      </w:r>
      <w:r w:rsidR="008816BC">
        <w:rPr>
          <w:rFonts w:hint="cs"/>
          <w:rtl/>
        </w:rPr>
        <w:t xml:space="preserve"> </w:t>
      </w:r>
      <w:r w:rsidR="002F6BD9" w:rsidRPr="00740B9C">
        <w:rPr>
          <w:rtl/>
        </w:rPr>
        <w:t>11 (1) (أ)، و</w:t>
      </w:r>
      <w:r w:rsidR="00740B9C">
        <w:rPr>
          <w:rFonts w:hint="cs"/>
          <w:rtl/>
        </w:rPr>
        <w:t xml:space="preserve"> </w:t>
      </w:r>
      <w:r w:rsidR="000C4190">
        <w:rPr>
          <w:rtl/>
        </w:rPr>
        <w:t>15 (2)، و</w:t>
      </w:r>
      <w:r w:rsidR="000C4190">
        <w:rPr>
          <w:rFonts w:hint="cs"/>
          <w:rtl/>
        </w:rPr>
        <w:t> </w:t>
      </w:r>
      <w:r w:rsidR="000C4190">
        <w:rPr>
          <w:rtl/>
        </w:rPr>
        <w:t>24</w:t>
      </w:r>
      <w:r w:rsidR="000C4190">
        <w:rPr>
          <w:rFonts w:hint="cs"/>
          <w:rtl/>
        </w:rPr>
        <w:t> </w:t>
      </w:r>
      <w:r w:rsidR="000C4190">
        <w:rPr>
          <w:rtl/>
        </w:rPr>
        <w:t>من</w:t>
      </w:r>
      <w:r w:rsidR="000C4190">
        <w:rPr>
          <w:rFonts w:hint="cs"/>
          <w:rtl/>
        </w:rPr>
        <w:t> </w:t>
      </w:r>
      <w:r w:rsidR="002F6BD9" w:rsidRPr="00740B9C">
        <w:rPr>
          <w:rtl/>
        </w:rPr>
        <w:t>اتفاقية القضاء على جميع أشكال التمييز ضد المرأة، بسبب فصلها من وظيفتها في مستشفى عمومي لاعتبارات تدعي أنها تمييزية، وبسبب المعاملة غير المتساوية التي تلقتها أمام المحاكم الوطنية، وعدم قيام الدولة الطرف بحماية حقوقها بصورة فعالة. وقد دخل البروتوكول الاختياري حيز النفاذ بالنسبة لأوكرانيا في 26 كانون الأول/ديسمبر 2003. ولا يمثل صاحبة الرسالة محام.</w:t>
      </w:r>
    </w:p>
    <w:p w14:paraId="43F251B6" w14:textId="43C64C75" w:rsidR="00740B9C" w:rsidRPr="000C4190" w:rsidRDefault="00740B9C" w:rsidP="000C4190">
      <w:pPr>
        <w:pStyle w:val="SingleTxt"/>
        <w:spacing w:after="0" w:line="120" w:lineRule="exact"/>
        <w:rPr>
          <w:sz w:val="10"/>
          <w:rtl/>
          <w:lang w:val="en-GB"/>
        </w:rPr>
      </w:pPr>
    </w:p>
    <w:p w14:paraId="16AC4F3A" w14:textId="37293C12" w:rsidR="002F6BD9" w:rsidRPr="002F6BD9" w:rsidRDefault="002F6BD9" w:rsidP="00740B9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F6BD9">
        <w:rPr>
          <w:lang w:val="en-GB"/>
        </w:rPr>
        <w:tab/>
      </w:r>
      <w:r w:rsidRPr="002F6BD9">
        <w:rPr>
          <w:lang w:val="en-GB"/>
        </w:rPr>
        <w:tab/>
      </w:r>
      <w:r w:rsidRPr="002F6BD9">
        <w:rPr>
          <w:rtl/>
        </w:rPr>
        <w:t>الوقائع من منظور صاحبة الرسالة</w:t>
      </w:r>
    </w:p>
    <w:p w14:paraId="14113F63" w14:textId="16B67856" w:rsidR="002F6BD9" w:rsidRPr="00A20AD0" w:rsidRDefault="00A20AD0" w:rsidP="00AE6466">
      <w:pPr>
        <w:pStyle w:val="SingleTxt"/>
        <w:rPr>
          <w:spacing w:val="-2"/>
          <w:rtl/>
        </w:rPr>
      </w:pPr>
      <w:r w:rsidRPr="00A20AD0">
        <w:rPr>
          <w:rFonts w:hint="cs"/>
          <w:spacing w:val="-2"/>
          <w:rtl/>
        </w:rPr>
        <w:t>2</w:t>
      </w:r>
      <w:r w:rsidR="00740B9C" w:rsidRPr="00A20AD0">
        <w:rPr>
          <w:rFonts w:hint="cs"/>
          <w:spacing w:val="-2"/>
          <w:rtl/>
        </w:rPr>
        <w:t>-1</w:t>
      </w:r>
      <w:r w:rsidR="00740B9C" w:rsidRPr="00A20AD0">
        <w:rPr>
          <w:spacing w:val="-2"/>
        </w:rPr>
        <w:tab/>
      </w:r>
      <w:r w:rsidR="002F6BD9" w:rsidRPr="00A20AD0">
        <w:rPr>
          <w:spacing w:val="-2"/>
          <w:rtl/>
        </w:rPr>
        <w:t>في الفترة بين عامي 1997 و 2000، عملت صاحبة البلاغ طب</w:t>
      </w:r>
      <w:r w:rsidR="000C4190">
        <w:rPr>
          <w:spacing w:val="-2"/>
          <w:rtl/>
        </w:rPr>
        <w:t>يبة في التوليد وأمراض النساء في</w:t>
      </w:r>
      <w:r w:rsidR="000C4190">
        <w:rPr>
          <w:rFonts w:hint="cs"/>
          <w:spacing w:val="-2"/>
          <w:rtl/>
        </w:rPr>
        <w:t> </w:t>
      </w:r>
      <w:r w:rsidR="002F6BD9" w:rsidRPr="00A20AD0">
        <w:rPr>
          <w:spacing w:val="-2"/>
          <w:rtl/>
        </w:rPr>
        <w:t xml:space="preserve">مستشفى بلدة </w:t>
      </w:r>
      <w:proofErr w:type="spellStart"/>
      <w:r w:rsidR="002F6BD9" w:rsidRPr="00A20AD0">
        <w:rPr>
          <w:spacing w:val="-2"/>
          <w:rtl/>
        </w:rPr>
        <w:t>إيتشنيا</w:t>
      </w:r>
      <w:proofErr w:type="spellEnd"/>
      <w:r w:rsidR="002F6BD9" w:rsidRPr="00A20AD0">
        <w:rPr>
          <w:spacing w:val="-2"/>
          <w:rtl/>
        </w:rPr>
        <w:t xml:space="preserve"> بإقليم </w:t>
      </w:r>
      <w:proofErr w:type="spellStart"/>
      <w:r w:rsidR="002F6BD9" w:rsidRPr="00A20AD0">
        <w:rPr>
          <w:spacing w:val="-2"/>
          <w:rtl/>
        </w:rPr>
        <w:t>تشيرنيهيف</w:t>
      </w:r>
      <w:proofErr w:type="spellEnd"/>
      <w:r w:rsidR="002F6BD9" w:rsidRPr="00A20AD0">
        <w:rPr>
          <w:spacing w:val="-2"/>
          <w:rtl/>
        </w:rPr>
        <w:t xml:space="preserve"> في أوكرانيا. وأثناء عملها بالمستشفى، أوكلت إليها مسؤولية تصريف شؤون إدارة تنظيم الأسرة بالمستشفى دون أن تحصل على أجر يتناسب مع تلك المس</w:t>
      </w:r>
      <w:r w:rsidR="000C4190">
        <w:rPr>
          <w:spacing w:val="-2"/>
          <w:rtl/>
        </w:rPr>
        <w:t>ؤولية. وفي</w:t>
      </w:r>
      <w:r w:rsidR="000C4190">
        <w:rPr>
          <w:rFonts w:hint="cs"/>
          <w:spacing w:val="-2"/>
          <w:rtl/>
        </w:rPr>
        <w:t> </w:t>
      </w:r>
      <w:r w:rsidR="002F6BD9" w:rsidRPr="00A20AD0">
        <w:rPr>
          <w:spacing w:val="-2"/>
          <w:rtl/>
        </w:rPr>
        <w:t>12</w:t>
      </w:r>
      <w:r w:rsidR="008816BC">
        <w:rPr>
          <w:rFonts w:hint="cs"/>
          <w:spacing w:val="-2"/>
          <w:rtl/>
        </w:rPr>
        <w:t> </w:t>
      </w:r>
      <w:r w:rsidR="002F6BD9" w:rsidRPr="00A20AD0">
        <w:rPr>
          <w:spacing w:val="-2"/>
          <w:rtl/>
        </w:rPr>
        <w:t>كانون الأول/ديسمبر 1999، تلقت صاحبة الرسالة توبيخا لعدم فحص مجموعة من المرضى وتفويض مهامها إلى موظف مبتدئ. وفي 22 كانون الأول/ديسمبر 1</w:t>
      </w:r>
      <w:r w:rsidR="000C4190">
        <w:rPr>
          <w:spacing w:val="-2"/>
          <w:rtl/>
        </w:rPr>
        <w:t>999، تلقت توبيخا على إهمالها في</w:t>
      </w:r>
      <w:r w:rsidR="000C4190">
        <w:rPr>
          <w:rFonts w:hint="cs"/>
          <w:spacing w:val="-2"/>
          <w:rtl/>
        </w:rPr>
        <w:t> </w:t>
      </w:r>
      <w:r w:rsidR="002F6BD9" w:rsidRPr="00A20AD0">
        <w:rPr>
          <w:spacing w:val="-2"/>
          <w:rtl/>
        </w:rPr>
        <w:t xml:space="preserve">فحص امرأة حامل. وكانت كلتا العقوبتين التأديبيتين المفروضتين على صاحبة </w:t>
      </w:r>
      <w:r w:rsidR="000C4190">
        <w:rPr>
          <w:spacing w:val="-2"/>
          <w:rtl/>
        </w:rPr>
        <w:t>الرسالة تتصل بعملها في</w:t>
      </w:r>
      <w:r w:rsidR="000C4190">
        <w:rPr>
          <w:rFonts w:hint="cs"/>
          <w:spacing w:val="-2"/>
          <w:rtl/>
        </w:rPr>
        <w:t> </w:t>
      </w:r>
      <w:r w:rsidR="002F6BD9" w:rsidRPr="00A20AD0">
        <w:rPr>
          <w:spacing w:val="-2"/>
          <w:rtl/>
        </w:rPr>
        <w:t>إدارة تنظيم الأسرة. وطُلب منها أن تحسّن عمل الإدارة بحلول نهاية العام. ورداً على التوبيخين، أبلغت رئيس المستشفى في 27 كانون الأول/ديسمبر 1999 رفضَها الاضطلاع بأي مسؤولية إدارية في إدارة تنظيم الأسرة، وهي مسؤولية تدعي أنها كانت ذات طابع طوعي. وفي 29 كانون الأول/ديسمبر 1999، أظهر تقييم داخلي أنه لم يحدث تحسن في عمل الإدارة المذكورة. وفي 21</w:t>
      </w:r>
      <w:r w:rsidR="00FD57FF" w:rsidRPr="00A20AD0">
        <w:rPr>
          <w:rFonts w:hint="cs"/>
          <w:spacing w:val="-2"/>
          <w:rtl/>
        </w:rPr>
        <w:t> </w:t>
      </w:r>
      <w:r w:rsidR="002F6BD9" w:rsidRPr="00A20AD0">
        <w:rPr>
          <w:spacing w:val="-2"/>
          <w:rtl/>
        </w:rPr>
        <w:t xml:space="preserve">كانون الثاني/يناير 2000، فُصلت صاحبة الرسالة من وظيفتها كطبيبة في التوليد وأمراض النساء لعدم </w:t>
      </w:r>
      <w:proofErr w:type="spellStart"/>
      <w:r w:rsidR="002F6BD9" w:rsidRPr="00A20AD0">
        <w:rPr>
          <w:spacing w:val="-2"/>
          <w:rtl/>
        </w:rPr>
        <w:t>مواظبتها</w:t>
      </w:r>
      <w:proofErr w:type="spellEnd"/>
      <w:r w:rsidR="002F6BD9" w:rsidRPr="00A20AD0">
        <w:rPr>
          <w:spacing w:val="-2"/>
          <w:rtl/>
        </w:rPr>
        <w:t xml:space="preserve"> على الوفاء بواجباتها المهنية.</w:t>
      </w:r>
    </w:p>
    <w:p w14:paraId="74B974FB" w14:textId="32E194D6" w:rsidR="002F6BD9" w:rsidRPr="002F6BD9" w:rsidRDefault="002F6BD9" w:rsidP="00AE6466">
      <w:pPr>
        <w:pStyle w:val="SingleTxt"/>
        <w:rPr>
          <w:rtl/>
        </w:rPr>
      </w:pPr>
      <w:r w:rsidRPr="002F6BD9">
        <w:rPr>
          <w:rtl/>
        </w:rPr>
        <w:t>٢</w:t>
      </w:r>
      <w:r w:rsidR="00FD57FF">
        <w:rPr>
          <w:rFonts w:hint="cs"/>
          <w:rtl/>
        </w:rPr>
        <w:t>-</w:t>
      </w:r>
      <w:r w:rsidRPr="002F6BD9">
        <w:rPr>
          <w:rtl/>
        </w:rPr>
        <w:t>٢</w:t>
      </w:r>
      <w:r w:rsidR="00FD57FF">
        <w:rPr>
          <w:rtl/>
        </w:rPr>
        <w:tab/>
      </w:r>
      <w:r w:rsidRPr="002F6BD9">
        <w:rPr>
          <w:rtl/>
        </w:rPr>
        <w:t xml:space="preserve">وفي كانون الثاني/يناير 2000، طعنت صاحبة الرسالة في قرار فصلها أمام محكمة </w:t>
      </w:r>
      <w:proofErr w:type="spellStart"/>
      <w:r w:rsidRPr="002F6BD9">
        <w:rPr>
          <w:rtl/>
        </w:rPr>
        <w:t>إيتشنيا</w:t>
      </w:r>
      <w:proofErr w:type="spellEnd"/>
      <w:r w:rsidRPr="002F6BD9">
        <w:rPr>
          <w:rtl/>
        </w:rPr>
        <w:t xml:space="preserve"> المحلية، واحتجت بأنه نظرا لأن المسؤوليات التي لم تف بها كانت ذات طابع طوعي وتخرج عن نطاق واجباتها المهنية، فإنه لم يكن ينبغي أن تطبق عليها عقوبات تأديبية من قبيل الفصل من الوظيفة. ورفضت المحكمة المحلية الدعوى بقرار أصدرته في 17 أيار/مايو 2000. وفي 27 حزيران/يونيه 2000، أبطلت محكمة إقليم </w:t>
      </w:r>
      <w:proofErr w:type="spellStart"/>
      <w:r w:rsidRPr="002F6BD9">
        <w:rPr>
          <w:rtl/>
        </w:rPr>
        <w:t>تشيرنيهيف</w:t>
      </w:r>
      <w:proofErr w:type="spellEnd"/>
      <w:r w:rsidRPr="002F6BD9">
        <w:rPr>
          <w:rtl/>
        </w:rPr>
        <w:t xml:space="preserve"> هذا القرار في مرحلة الاستئناف، فبينت العيوب التي اعتورت إثبات الظروف </w:t>
      </w:r>
      <w:proofErr w:type="spellStart"/>
      <w:r w:rsidRPr="002F6BD9">
        <w:rPr>
          <w:rtl/>
        </w:rPr>
        <w:t>الوقائعية</w:t>
      </w:r>
      <w:proofErr w:type="spellEnd"/>
      <w:r w:rsidRPr="002F6BD9">
        <w:rPr>
          <w:rtl/>
        </w:rPr>
        <w:t xml:space="preserve"> والقانونية للقضية. وقضت، على وجه الخصوص، بأنه يتعين على محكمة الدرجة الأولى أن تثبت ما إذا كانت العقوبتان التأديبيتان المفروضتان على صاحبة الرسالة قبل فصلها من الوظيفة قانونيتين ومبررتين وما إذا كانت قد ارتكبت بعد ذلك مخالفةً جديدة تستوجب عقوبة تأديبية وتسوغ فصلها. وعلاوةً على ذلك، أصدرت توجيهاتها لمحكمة الدرجة الأولى أن </w:t>
      </w:r>
      <w:r w:rsidR="000C4190">
        <w:rPr>
          <w:rtl/>
        </w:rPr>
        <w:t xml:space="preserve">تنظر حسب ما </w:t>
      </w:r>
      <w:proofErr w:type="spellStart"/>
      <w:r w:rsidR="000C4190">
        <w:rPr>
          <w:rtl/>
        </w:rPr>
        <w:t>تقتضيه</w:t>
      </w:r>
      <w:proofErr w:type="spellEnd"/>
      <w:r w:rsidR="000C4190">
        <w:rPr>
          <w:rtl/>
        </w:rPr>
        <w:t xml:space="preserve"> الأصول في</w:t>
      </w:r>
      <w:r w:rsidR="000C4190">
        <w:rPr>
          <w:rFonts w:hint="cs"/>
          <w:rtl/>
        </w:rPr>
        <w:t> </w:t>
      </w:r>
      <w:r w:rsidRPr="002F6BD9">
        <w:rPr>
          <w:rtl/>
        </w:rPr>
        <w:t xml:space="preserve">حجة صاحبة الرسالة أن المستشفى لا يحق له أن يفصلها عن وظيفتها بصفتها أخصائية شابة، دون أن يحصل على موافقة مسبقة على ذلك من الهيئة الحكومية المختصة. </w:t>
      </w:r>
      <w:proofErr w:type="spellStart"/>
      <w:r w:rsidRPr="002F6BD9">
        <w:rPr>
          <w:rtl/>
        </w:rPr>
        <w:t>وأعيدت</w:t>
      </w:r>
      <w:proofErr w:type="spellEnd"/>
      <w:r w:rsidRPr="002F6BD9">
        <w:rPr>
          <w:rtl/>
        </w:rPr>
        <w:t xml:space="preserve"> القضية إلى المحكمة المحلية لتعيد النظر فيها. وفي أثناء نظرها في القضية مجددا، امتثلت المحكمة المحلية التعليمات التي أصدرتها لها محكمة الإقليم. وفي 26 شباط/فبراير 2001، رفضت المحكمة المحلية القضية بعد أن أعادت النظر فيها، حيث خلصت إلى أن صاحبة الرسالة لم تواظب على أداء واجباتها المهنية وأن فصلها من وظيفتها لتلك الأسباب كان مبررا. وقدمت صاحبة البلاغ مرة أخرى طعنا إلى محكمة إقليم </w:t>
      </w:r>
      <w:proofErr w:type="spellStart"/>
      <w:r w:rsidRPr="002F6BD9">
        <w:rPr>
          <w:rtl/>
        </w:rPr>
        <w:t>تشيرنيهيف</w:t>
      </w:r>
      <w:proofErr w:type="spellEnd"/>
      <w:r w:rsidRPr="002F6BD9">
        <w:rPr>
          <w:rtl/>
        </w:rPr>
        <w:t xml:space="preserve">، عرضت فيه </w:t>
      </w:r>
      <w:r w:rsidRPr="002F6BD9">
        <w:rPr>
          <w:rtl/>
        </w:rPr>
        <w:lastRenderedPageBreak/>
        <w:t>نفس الحجج التي سبق لها أن عرضتها على المحكمة المحلية. وفي 17 نيسان/أبريل 2001، قضت محكمة الإقليم برفض الاستئناف. وقدمت صاحبة الرسالة طعناً في القرارين المذكورين أعلاه طلبت فيه إجراء مراجعة قضائية عليا. وفي 7 أيار/مايو 2001، قضت محكمة الإقليم، متصرفة بوصفها محكمة للمراجعة القضائية العليا، بتأييد القرارين.</w:t>
      </w:r>
    </w:p>
    <w:p w14:paraId="09C9ADFC" w14:textId="75974E9F" w:rsidR="002F6BD9" w:rsidRPr="002F6BD9" w:rsidRDefault="002F6BD9" w:rsidP="00AE6466">
      <w:pPr>
        <w:pStyle w:val="SingleTxt"/>
        <w:rPr>
          <w:rtl/>
        </w:rPr>
      </w:pPr>
      <w:r w:rsidRPr="002F6BD9">
        <w:rPr>
          <w:rtl/>
        </w:rPr>
        <w:t>٢-</w:t>
      </w:r>
      <w:r w:rsidR="006D7B4D">
        <w:rPr>
          <w:rFonts w:hint="cs"/>
          <w:rtl/>
        </w:rPr>
        <w:t>3</w:t>
      </w:r>
      <w:r w:rsidR="006D7B4D">
        <w:rPr>
          <w:rtl/>
        </w:rPr>
        <w:tab/>
      </w:r>
      <w:r w:rsidRPr="00C10622">
        <w:rPr>
          <w:spacing w:val="-2"/>
          <w:rtl/>
        </w:rPr>
        <w:t>خلال الفترة بين عامي 2001 و 2010، قدَّمت صاحبة الرسالة العديد من الطلبات إلى المحكمة العليا في أوكرانيا التمست فيها إعادة فتح الإجراءات المتعلقة بمنازعتها بشأن صرفها من وظيفتها وإعادة النظر في القضية لأسباب استثنائية. وتقول صاحبة الرسالة إن بعض طلباتها لم يسجَّل أصلا من قبل المحكمة العليا، في حين أعيدت إليها الطلبات الأخرى لأسباب إجرائية أو رُفضت بقرارات ذات صلة بالقضية. وتبين الوثائق المقدمة من صاحبة الرسالة أن تلك القرارات اعتمدت في 11 تشرين الثاني/نوفمبر 2005</w:t>
      </w:r>
      <w:r w:rsidRPr="002F6BD9">
        <w:rPr>
          <w:rtl/>
        </w:rPr>
        <w:t>، و</w:t>
      </w:r>
      <w:r w:rsidR="00C10622">
        <w:rPr>
          <w:rFonts w:hint="cs"/>
          <w:rtl/>
        </w:rPr>
        <w:t> </w:t>
      </w:r>
      <w:r w:rsidRPr="002F6BD9">
        <w:rPr>
          <w:rtl/>
        </w:rPr>
        <w:t>13 شباط/فبراير و 9 نيسان/أبريل و 20 تموز/يوليه و 9 تشرين الثاني/نوفمبر 2009، و</w:t>
      </w:r>
      <w:r w:rsidR="00A20AD0">
        <w:rPr>
          <w:rFonts w:hint="cs"/>
          <w:rtl/>
        </w:rPr>
        <w:t> </w:t>
      </w:r>
      <w:r w:rsidRPr="002F6BD9">
        <w:rPr>
          <w:rtl/>
        </w:rPr>
        <w:t>11</w:t>
      </w:r>
      <w:r w:rsidR="00C10622">
        <w:rPr>
          <w:rFonts w:hint="cs"/>
          <w:rtl/>
        </w:rPr>
        <w:t> </w:t>
      </w:r>
      <w:r w:rsidRPr="002F6BD9">
        <w:rPr>
          <w:rtl/>
        </w:rPr>
        <w:t>آذار/مارس و 21 أيار/مايو و 16 تموز/يوليه 2010. وفي 7 آب/أغسطس و 25 تشرين الأول/أكتوبر 2010، قدمت صاحبة الرسالة طلبين آخرين التمست فيهما من المحكمة العليا أن تعيد فتح الإجراءات لأسباب استثنائية. وفي 24 تشرين الثاني/نوفمبر 2011، رفضت المحكمة العليا الطلبين باعتبار أنهما لا يستندان إلى أساس.</w:t>
      </w:r>
    </w:p>
    <w:p w14:paraId="19244623" w14:textId="52064D18" w:rsidR="002F6BD9" w:rsidRPr="002F6BD9" w:rsidRDefault="002F6BD9" w:rsidP="00AE6466">
      <w:pPr>
        <w:pStyle w:val="SingleTxt"/>
        <w:rPr>
          <w:rtl/>
        </w:rPr>
      </w:pPr>
      <w:r w:rsidRPr="002F6BD9">
        <w:rPr>
          <w:rtl/>
        </w:rPr>
        <w:t>٢-٤</w:t>
      </w:r>
      <w:r w:rsidR="00645C21">
        <w:rPr>
          <w:rtl/>
        </w:rPr>
        <w:tab/>
      </w:r>
      <w:r w:rsidRPr="002F6BD9">
        <w:rPr>
          <w:rtl/>
        </w:rPr>
        <w:t>وفي 30 حزيران/يونيه 2012، قدمت صاحبة الرسالة دعوى إدارية أمام المحكمة الإدارية التابعة للدائرة القضائية لكييف دفعت فيها بأن المحكمة العليا تجاوزت نطاق اختصاصها لدى نظرها في طلبها المؤرخ 25 تشرين الأول/أكتوبر 2010. وفي 8 آب/أغسطس 2012، رفضت المحكمة الإدارية التابعة للدائرة القضائية الدعوى، مشيرة إلى أنها ليست جهة الاختصاص القانوني المناسبة للطعن في قرار المحكمة العليا المؤرخ 24</w:t>
      </w:r>
      <w:r w:rsidR="00645C21">
        <w:rPr>
          <w:rFonts w:hint="cs"/>
          <w:rtl/>
        </w:rPr>
        <w:t> </w:t>
      </w:r>
      <w:r w:rsidRPr="002F6BD9">
        <w:rPr>
          <w:rtl/>
        </w:rPr>
        <w:t>تشرين الثاني/نوفمبر 2011 نظرا لأنه لا يمكن البت في هذه القضية في دعوى إدارية. وفي 10 تشرين الأول/أكتوبر 2012، أيدت محكمة كييف الإدارية للاستئناف قرارَ المحكمة الإدارية التابعة للدائرة القضائية، كما أيدته المحكمة الإدارية العليا في أوكرانيا في 20 آذار/مارس 2014.</w:t>
      </w:r>
    </w:p>
    <w:p w14:paraId="3E2B1BBA" w14:textId="003CA920" w:rsidR="00AE6466" w:rsidRPr="000C4190" w:rsidRDefault="00AE6466" w:rsidP="000C4190">
      <w:pPr>
        <w:pStyle w:val="SingleTxt"/>
        <w:spacing w:after="0" w:line="120" w:lineRule="exact"/>
        <w:rPr>
          <w:sz w:val="10"/>
          <w:rtl/>
          <w:lang w:val="en-GB"/>
        </w:rPr>
      </w:pPr>
    </w:p>
    <w:p w14:paraId="58973604" w14:textId="195DCA6B" w:rsidR="002F6BD9" w:rsidRPr="002F6BD9" w:rsidRDefault="002F6BD9" w:rsidP="00AE64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F6BD9">
        <w:rPr>
          <w:lang w:val="en-GB"/>
        </w:rPr>
        <w:tab/>
      </w:r>
      <w:r w:rsidRPr="002F6BD9">
        <w:rPr>
          <w:lang w:val="en-GB"/>
        </w:rPr>
        <w:tab/>
      </w:r>
      <w:r w:rsidRPr="002F6BD9">
        <w:rPr>
          <w:rtl/>
        </w:rPr>
        <w:t>الشكوى</w:t>
      </w:r>
    </w:p>
    <w:p w14:paraId="6BFD00E3" w14:textId="1F2F6D17" w:rsidR="002F6BD9" w:rsidRPr="002F6BD9" w:rsidRDefault="002F6BD9" w:rsidP="00AE6466">
      <w:pPr>
        <w:pStyle w:val="SingleTxt"/>
        <w:rPr>
          <w:rtl/>
        </w:rPr>
      </w:pPr>
      <w:r w:rsidRPr="002F6BD9">
        <w:rPr>
          <w:rtl/>
        </w:rPr>
        <w:t>٣-١</w:t>
      </w:r>
      <w:r w:rsidR="00AE6466">
        <w:rPr>
          <w:rtl/>
        </w:rPr>
        <w:tab/>
      </w:r>
      <w:r w:rsidRPr="002F6BD9">
        <w:rPr>
          <w:rtl/>
        </w:rPr>
        <w:t>تدعي صاحبة الرسالة أن الدولة الطرف انتهكت حقوقها بموجب المواد 2 (ج) و (د) و (ه)، و 11 (1) (أ)، و 15 (2)، و 24 من الاتفاقية.</w:t>
      </w:r>
    </w:p>
    <w:p w14:paraId="6417F2E8" w14:textId="03427E67" w:rsidR="002F6BD9" w:rsidRPr="002F6BD9" w:rsidRDefault="002F6BD9" w:rsidP="00AE6466">
      <w:pPr>
        <w:pStyle w:val="SingleTxt"/>
        <w:rPr>
          <w:rtl/>
        </w:rPr>
      </w:pPr>
      <w:r w:rsidRPr="002F6BD9">
        <w:rPr>
          <w:rtl/>
        </w:rPr>
        <w:t>٣-٢</w:t>
      </w:r>
      <w:r w:rsidR="00AE6466">
        <w:rPr>
          <w:rtl/>
        </w:rPr>
        <w:tab/>
      </w:r>
      <w:r w:rsidRPr="002F6BD9">
        <w:rPr>
          <w:rtl/>
        </w:rPr>
        <w:t>وتدعي صاحبة الرسالة، على وجه الخصوص، أن أسباب فصلها من وظيفتها في المستشفى العمومي كانت تمييزية وأن السببين الرئيسيين لإنهاء عقد عملها كانا هما نزاعها مع زملائها ورفضها إقامة علاقات جنسية مع رئيس المستشفى. ولم تقم الدولة الطرف، بدورها، بحمايتها من التمييز القائم على أساس نوع الجنس ولم تعدها إلى عملها إعمالا لحقوقها في العمل. وهي تذهب إلى أنها لم تعامل معاملة متساوية في جميع الدعاوى المحلية التي أقامتها: فالمحاكم الوطنية، أثناء نظرها في منازعتها المتعلقة بفصلها من وظيفتها، أعطت الأفضلية للحجج والأدلة المزيفة المقدمة من الطرف المدعى عليه، الذي يمثله رئيس المستشفى، وهو رجل، ومن ثم قامت بالتمييز ضدها كامرأة؛ والمحاكم الإدارية رفضت بصورة غير قانونية الدعوى التي رفعتها ضد المحكمة العليا، وبالتالي لم توفر لها الحماية من التمييز.</w:t>
      </w:r>
    </w:p>
    <w:p w14:paraId="05CEA499" w14:textId="55EC0EB1" w:rsidR="002F6BD9" w:rsidRPr="000C4190" w:rsidRDefault="002F6BD9" w:rsidP="000C4190">
      <w:pPr>
        <w:pStyle w:val="SingleTxt"/>
        <w:spacing w:after="0" w:line="120" w:lineRule="exact"/>
        <w:rPr>
          <w:sz w:val="10"/>
          <w:rtl/>
          <w:lang w:val="en-GB"/>
        </w:rPr>
      </w:pPr>
    </w:p>
    <w:p w14:paraId="638D2DCA" w14:textId="77777777" w:rsidR="002F6BD9" w:rsidRPr="002F6BD9" w:rsidRDefault="002F6BD9" w:rsidP="00AE64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F6BD9">
        <w:rPr>
          <w:lang w:val="en-GB"/>
        </w:rPr>
        <w:tab/>
      </w:r>
      <w:r w:rsidRPr="002F6BD9">
        <w:rPr>
          <w:lang w:val="en-GB"/>
        </w:rPr>
        <w:tab/>
      </w:r>
      <w:r w:rsidRPr="002F6BD9">
        <w:rPr>
          <w:rtl/>
        </w:rPr>
        <w:t>ملاحظات الدولة الطرف على مقبولية الرسالة</w:t>
      </w:r>
    </w:p>
    <w:p w14:paraId="58622941" w14:textId="65042F2B" w:rsidR="002F6BD9" w:rsidRPr="002F6BD9" w:rsidRDefault="002F6BD9" w:rsidP="00AE6466">
      <w:pPr>
        <w:pStyle w:val="SingleTxt"/>
        <w:rPr>
          <w:rtl/>
        </w:rPr>
      </w:pPr>
      <w:r w:rsidRPr="002F6BD9">
        <w:rPr>
          <w:rtl/>
        </w:rPr>
        <w:t>٤</w:t>
      </w:r>
      <w:r w:rsidR="00AE6466">
        <w:rPr>
          <w:rFonts w:hint="cs"/>
          <w:rtl/>
        </w:rPr>
        <w:t xml:space="preserve"> </w:t>
      </w:r>
      <w:r w:rsidRPr="002F6BD9">
        <w:rPr>
          <w:rtl/>
        </w:rPr>
        <w:t>-</w:t>
      </w:r>
      <w:r w:rsidR="00AE6466">
        <w:rPr>
          <w:rtl/>
        </w:rPr>
        <w:tab/>
      </w:r>
      <w:r w:rsidRPr="002F6BD9">
        <w:rPr>
          <w:rtl/>
        </w:rPr>
        <w:t>تعتبر الدولة الطرف في ملاحظاتها المؤرخة 29 آذار/مارس 2016 أن الرسالة المقدمة بموجب الاتفاقية غير مقبولة، لا لأن وقائع القضية لا تكشف عن وجود أي تمييز ضد المرأة، بل لإن ادعاءات صاحبة الرسالة بانتهاك حقوقها لا يدعمها أي دليل أيضاً. وعلاوةً على ذلك، فإن الوقائع التي عرضتها صاحبة الرسالة يعود تاريخها إلى عام 2000، في حين دخل البروتوكول الاختياري للاتفاقية حيز النفاذ بالنسبة للدولة الطرف في عام 2003. وبناء عليه، ترى الدولة الطرف أن الشكوى المقدمة من صاحبة الرسالة غير مقبولة بسبب العامل الزمني.</w:t>
      </w:r>
    </w:p>
    <w:p w14:paraId="53BB8595" w14:textId="0D8F6E6C" w:rsidR="00AE6466" w:rsidRPr="000C4190" w:rsidRDefault="00AE6466" w:rsidP="000C4190">
      <w:pPr>
        <w:pStyle w:val="SingleTxt"/>
        <w:spacing w:after="0" w:line="120" w:lineRule="exact"/>
        <w:rPr>
          <w:sz w:val="10"/>
          <w:rtl/>
          <w:lang w:val="en-GB"/>
        </w:rPr>
      </w:pPr>
    </w:p>
    <w:p w14:paraId="45640E27" w14:textId="5FA18D6D" w:rsidR="002F6BD9" w:rsidRPr="002F6BD9" w:rsidRDefault="002F6BD9" w:rsidP="00AE64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F6BD9">
        <w:rPr>
          <w:lang w:val="en-GB"/>
        </w:rPr>
        <w:tab/>
      </w:r>
      <w:r w:rsidRPr="002F6BD9">
        <w:rPr>
          <w:lang w:val="en-GB"/>
        </w:rPr>
        <w:tab/>
      </w:r>
      <w:r w:rsidRPr="002F6BD9">
        <w:rPr>
          <w:rtl/>
        </w:rPr>
        <w:t>تعليقات صاحبة الرسالة على ملاحظات الدولة الطرف بشأن المقبولية</w:t>
      </w:r>
    </w:p>
    <w:p w14:paraId="01A797BB" w14:textId="5B9B1EC8" w:rsidR="002F6BD9" w:rsidRPr="002F6BD9" w:rsidRDefault="002F6BD9" w:rsidP="00AE6466">
      <w:pPr>
        <w:pStyle w:val="SingleTxt"/>
        <w:rPr>
          <w:rtl/>
        </w:rPr>
      </w:pPr>
      <w:r w:rsidRPr="002F6BD9">
        <w:rPr>
          <w:rtl/>
        </w:rPr>
        <w:t>٥</w:t>
      </w:r>
      <w:r w:rsidR="00AE6466">
        <w:rPr>
          <w:rFonts w:hint="cs"/>
          <w:rtl/>
        </w:rPr>
        <w:t xml:space="preserve"> </w:t>
      </w:r>
      <w:r w:rsidRPr="002F6BD9">
        <w:rPr>
          <w:rtl/>
        </w:rPr>
        <w:t>-</w:t>
      </w:r>
      <w:r w:rsidR="00AE6466">
        <w:rPr>
          <w:rtl/>
        </w:rPr>
        <w:tab/>
      </w:r>
      <w:r w:rsidRPr="002F6BD9">
        <w:rPr>
          <w:rtl/>
        </w:rPr>
        <w:t>تكرر صاحبة الرسالة شكواها في تعليقاتها المؤرخة 21 نيسان/أبريل 2016 وتذكر أن انتهاكات حقوقها بموجب الاتفاقية ذات طابع متصل، وتقصد بذلك أن إشارة الدولة الطرف إلى شرط العامل الزمني ينبغي أن تعتبر باطلة.</w:t>
      </w:r>
    </w:p>
    <w:p w14:paraId="1574A319" w14:textId="3B554186" w:rsidR="002F6BD9" w:rsidRPr="000C4190" w:rsidRDefault="002F6BD9" w:rsidP="000C4190">
      <w:pPr>
        <w:pStyle w:val="SingleTxt"/>
        <w:spacing w:after="0" w:line="120" w:lineRule="exact"/>
        <w:rPr>
          <w:sz w:val="10"/>
          <w:rtl/>
        </w:rPr>
      </w:pPr>
    </w:p>
    <w:p w14:paraId="36A1B878" w14:textId="77777777" w:rsidR="002F6BD9" w:rsidRPr="002F6BD9" w:rsidRDefault="002F6BD9" w:rsidP="00AE64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F6BD9">
        <w:rPr>
          <w:lang w:val="en-GB"/>
        </w:rPr>
        <w:tab/>
      </w:r>
      <w:r w:rsidRPr="002F6BD9">
        <w:rPr>
          <w:lang w:val="en-GB"/>
        </w:rPr>
        <w:tab/>
      </w:r>
      <w:r w:rsidRPr="002F6BD9">
        <w:rPr>
          <w:rtl/>
        </w:rPr>
        <w:t>المسائل والإجراءات المعروضة على اللجنة فيما يتعلق بالمقبولية</w:t>
      </w:r>
    </w:p>
    <w:p w14:paraId="1C17CD95" w14:textId="5EDCCD18" w:rsidR="002F6BD9" w:rsidRPr="002F6BD9" w:rsidRDefault="002F6BD9" w:rsidP="00AE6466">
      <w:pPr>
        <w:pStyle w:val="SingleTxt"/>
        <w:rPr>
          <w:rtl/>
        </w:rPr>
      </w:pPr>
      <w:r w:rsidRPr="002F6BD9">
        <w:rPr>
          <w:rtl/>
        </w:rPr>
        <w:t>٦-١</w:t>
      </w:r>
      <w:r w:rsidR="00AE6466">
        <w:rPr>
          <w:rtl/>
        </w:rPr>
        <w:tab/>
      </w:r>
      <w:r w:rsidRPr="002F6BD9">
        <w:rPr>
          <w:rtl/>
        </w:rPr>
        <w:t>يجب على اللجنة أن تقرر، وفقاً للمادة 64 من نظامها الداخلي، ما إذا كانت الرسالة مقبولة بموجب البروتوكول الاختياري. ويجوز لها، عملا بالمادة 66 من نظامها الداخلي، أن تقرر النظر في مقبولية الرسالة بمعزل عن موضوعها. ووفقا للمادة 4 (2) (أ) من البروتوكول ا</w:t>
      </w:r>
      <w:r w:rsidR="000C4190">
        <w:rPr>
          <w:rtl/>
        </w:rPr>
        <w:t>لاختياري، فإن اللجنة مقتنعة بأن</w:t>
      </w:r>
      <w:r w:rsidR="000C4190">
        <w:rPr>
          <w:rFonts w:hint="cs"/>
          <w:rtl/>
        </w:rPr>
        <w:t> </w:t>
      </w:r>
      <w:r w:rsidRPr="002F6BD9">
        <w:rPr>
          <w:rtl/>
        </w:rPr>
        <w:t>المسألة نفسها لم تُبحث ولا يجري بحثها في إطار أي إجراء آخر من إجراءات التحقيق الدولي أو</w:t>
      </w:r>
      <w:r w:rsidR="00325086">
        <w:rPr>
          <w:rFonts w:hint="cs"/>
          <w:rtl/>
        </w:rPr>
        <w:t> </w:t>
      </w:r>
      <w:r w:rsidRPr="002F6BD9">
        <w:rPr>
          <w:rtl/>
        </w:rPr>
        <w:t>التسوية</w:t>
      </w:r>
      <w:r w:rsidR="00AE6466">
        <w:rPr>
          <w:rFonts w:hint="cs"/>
          <w:rtl/>
        </w:rPr>
        <w:t> </w:t>
      </w:r>
      <w:r w:rsidRPr="002F6BD9">
        <w:rPr>
          <w:rtl/>
        </w:rPr>
        <w:t>الدولية.</w:t>
      </w:r>
    </w:p>
    <w:p w14:paraId="583689E5" w14:textId="64F60567" w:rsidR="002F6BD9" w:rsidRPr="000D1FD9" w:rsidRDefault="002F6BD9" w:rsidP="00AE6466">
      <w:pPr>
        <w:pStyle w:val="SingleTxt"/>
        <w:rPr>
          <w:spacing w:val="-2"/>
          <w:rtl/>
        </w:rPr>
      </w:pPr>
      <w:r w:rsidRPr="000D1FD9">
        <w:rPr>
          <w:spacing w:val="-2"/>
          <w:rtl/>
        </w:rPr>
        <w:t>٦-٢</w:t>
      </w:r>
      <w:r w:rsidR="00AE6466" w:rsidRPr="000D1FD9">
        <w:rPr>
          <w:spacing w:val="-2"/>
          <w:rtl/>
        </w:rPr>
        <w:tab/>
      </w:r>
      <w:r w:rsidRPr="000D1FD9">
        <w:rPr>
          <w:spacing w:val="-2"/>
          <w:rtl/>
        </w:rPr>
        <w:t xml:space="preserve">وتلاحظ اللجنة أن شكوى صاحبة الرسالة ذات عنصرين رئيسيين. فأولا، تطعن صاحبة الرسالة في قرار فصلها من وظيفتها بالمستشفى العمومي بدعوى التمييز القائم على نوع الجنس وعدم قيام المحاكم الوطنية بحماية حقوقها بصورة فعالة بأن تعيدها إلى تلك الوظيفة. وثانيا، تدعي صاحبة الرسالة أنها تعرضت للتمييز من جانب المحاكم الوطنية في جميع مراحل الإجراءات، بما في ذلك الإجراءات المتعلقة بطلباتها إعادة النظر في القضية في ضوء اكتشاف ظروف استثنائية والإجراءات </w:t>
      </w:r>
      <w:r w:rsidR="000C4190">
        <w:rPr>
          <w:spacing w:val="-2"/>
          <w:rtl/>
        </w:rPr>
        <w:t>التي تمت أمام المحاكم الإدارية.</w:t>
      </w:r>
    </w:p>
    <w:p w14:paraId="3F54FBF2" w14:textId="2C91D0CA" w:rsidR="002F6BD9" w:rsidRPr="000D1FD9" w:rsidRDefault="002F6BD9" w:rsidP="00AE6466">
      <w:pPr>
        <w:pStyle w:val="SingleTxt"/>
        <w:rPr>
          <w:spacing w:val="-2"/>
          <w:rtl/>
        </w:rPr>
      </w:pPr>
      <w:r w:rsidRPr="000D1FD9">
        <w:rPr>
          <w:spacing w:val="-2"/>
          <w:rtl/>
        </w:rPr>
        <w:t>٦-٣</w:t>
      </w:r>
      <w:r w:rsidR="00AE6466" w:rsidRPr="000D1FD9">
        <w:rPr>
          <w:spacing w:val="-2"/>
          <w:rtl/>
        </w:rPr>
        <w:tab/>
      </w:r>
      <w:r w:rsidRPr="000D1FD9">
        <w:rPr>
          <w:spacing w:val="-2"/>
          <w:rtl/>
        </w:rPr>
        <w:t xml:space="preserve">وتحيط اللجنة علما بحجة الدولة الطرف بأن شكوى صاحبة الرسالة غير مقبولة من حيث العامل الزمني. ووفقا للمادة 4 (2) (ه) من البروتوكول الاختياري للاتفاقية، تعلن اللجنة عدم مقبولية الرسالة متى كانت الوقائع التي هي موضوعها قد حدثت قبل بدء نفاذ البروتوكول الاختياري بالنسبة للدولة الطرف المعنية، إلا إذا استمرت هذه الوقائع بعد تاريخ بدء النفاذ. وتلاحظ اللجنة أن الوقائع المتصلة بفصل صاحبة الرسالة من وظيفتها والمنازعة التي أعقبت ذلك سبقتا تصديق أوكرانيا على البروتوكول الاختياري. </w:t>
      </w:r>
      <w:r w:rsidR="00302B17" w:rsidRPr="000D1FD9">
        <w:rPr>
          <w:spacing w:val="-2"/>
          <w:rtl/>
        </w:rPr>
        <w:t>كما</w:t>
      </w:r>
      <w:r w:rsidR="00302B17">
        <w:rPr>
          <w:rFonts w:hint="cs"/>
          <w:spacing w:val="-2"/>
          <w:rtl/>
        </w:rPr>
        <w:t> </w:t>
      </w:r>
      <w:r w:rsidRPr="000D1FD9">
        <w:rPr>
          <w:spacing w:val="-2"/>
          <w:rtl/>
        </w:rPr>
        <w:t xml:space="preserve">تلاحظ اللجنة من الوثائق الموجودة في الملف أن آخر مراجعة للدعوى المقدمة من صاحبة الرسالة قامت بها محكمة إقليم </w:t>
      </w:r>
      <w:proofErr w:type="spellStart"/>
      <w:r w:rsidRPr="000D1FD9">
        <w:rPr>
          <w:spacing w:val="-2"/>
          <w:rtl/>
        </w:rPr>
        <w:t>تشيرنيهيف</w:t>
      </w:r>
      <w:proofErr w:type="spellEnd"/>
      <w:r w:rsidRPr="000D1FD9">
        <w:rPr>
          <w:spacing w:val="-2"/>
          <w:rtl/>
        </w:rPr>
        <w:t xml:space="preserve"> في 7 أيار/مايو 2001، في حين دخل البروتوكول الاختياري حيز النفاذ بالنسبة للدولة الطرف في 26 كانون الأول/ديسمبر 2003. ولم تبين صاحبة الرسالة في رسالتها ما</w:t>
      </w:r>
      <w:r w:rsidR="000C4190">
        <w:rPr>
          <w:rFonts w:hint="cs"/>
          <w:spacing w:val="-2"/>
          <w:rtl/>
        </w:rPr>
        <w:t> </w:t>
      </w:r>
      <w:r w:rsidRPr="000D1FD9">
        <w:rPr>
          <w:spacing w:val="-2"/>
          <w:rtl/>
        </w:rPr>
        <w:t>هي</w:t>
      </w:r>
      <w:r w:rsidR="000C4190">
        <w:rPr>
          <w:rFonts w:hint="cs"/>
          <w:spacing w:val="-2"/>
          <w:rtl/>
        </w:rPr>
        <w:t> </w:t>
      </w:r>
      <w:r w:rsidRPr="000D1FD9">
        <w:rPr>
          <w:spacing w:val="-2"/>
          <w:rtl/>
        </w:rPr>
        <w:t>وقائع التمييز التي استمرت بعد دخول البروتوكول الاختياري حيز النفاذ، أو ما هي الأسباب الاستثنائية التي ينبغي أن تنظر فيها المحاكم الوطنية من أجل استئناف إجراءات النظر في قضيتها.</w:t>
      </w:r>
    </w:p>
    <w:p w14:paraId="3A524004" w14:textId="6EB5BB9A" w:rsidR="002F6BD9" w:rsidRPr="002F6BD9" w:rsidRDefault="002F6BD9" w:rsidP="00AE6466">
      <w:pPr>
        <w:pStyle w:val="SingleTxt"/>
        <w:rPr>
          <w:rtl/>
        </w:rPr>
      </w:pPr>
      <w:r w:rsidRPr="002F6BD9">
        <w:rPr>
          <w:rtl/>
        </w:rPr>
        <w:t>٦-٤</w:t>
      </w:r>
      <w:r w:rsidR="00AE6466">
        <w:rPr>
          <w:rtl/>
        </w:rPr>
        <w:tab/>
      </w:r>
      <w:r w:rsidRPr="002F6BD9">
        <w:rPr>
          <w:rtl/>
        </w:rPr>
        <w:t>من ثم تستنتج اللجنة أن الانتهاكات المزعومة قد وقعت قبل د</w:t>
      </w:r>
      <w:r w:rsidR="000C4190">
        <w:rPr>
          <w:rtl/>
        </w:rPr>
        <w:t>خول البروتوكول الاختياري حيز</w:t>
      </w:r>
      <w:r w:rsidR="000C4190">
        <w:rPr>
          <w:rFonts w:hint="cs"/>
          <w:rtl/>
        </w:rPr>
        <w:t> </w:t>
      </w:r>
      <w:r w:rsidRPr="002F6BD9">
        <w:rPr>
          <w:rtl/>
        </w:rPr>
        <w:t>النفاذ بالنسبة للدولة الطرف. وحيث لا يمكن أن يطبق البروتوكول الاختياري بأثر رجعي، فلا يمكن للجنة، وفقا للمادة ٤ (٢) (هـ) من البروتوكول، أن تنظر في هذه الرسالة بسبب العامل الزمني.</w:t>
      </w:r>
    </w:p>
    <w:p w14:paraId="006EAFC6" w14:textId="3A504F5D" w:rsidR="002F6BD9" w:rsidRPr="002F6BD9" w:rsidRDefault="002F6BD9" w:rsidP="000D1FD9">
      <w:pPr>
        <w:pStyle w:val="SingleTxt"/>
        <w:rPr>
          <w:rtl/>
        </w:rPr>
      </w:pPr>
      <w:r w:rsidRPr="002F6BD9">
        <w:rPr>
          <w:rtl/>
        </w:rPr>
        <w:t>٧</w:t>
      </w:r>
      <w:r w:rsidR="00AE6466">
        <w:rPr>
          <w:rFonts w:hint="cs"/>
          <w:rtl/>
        </w:rPr>
        <w:t xml:space="preserve"> </w:t>
      </w:r>
      <w:r w:rsidRPr="002F6BD9">
        <w:rPr>
          <w:rtl/>
        </w:rPr>
        <w:t>-</w:t>
      </w:r>
      <w:r w:rsidR="00AE6466">
        <w:rPr>
          <w:rtl/>
        </w:rPr>
        <w:tab/>
      </w:r>
      <w:r w:rsidRPr="002F6BD9">
        <w:rPr>
          <w:rtl/>
        </w:rPr>
        <w:t>وبناء على ذلك، تقرر اللجنة ما يلي:</w:t>
      </w:r>
      <w:r w:rsidRPr="002F6BD9">
        <w:rPr>
          <w:rFonts w:ascii="Arial" w:hAnsi="Arial" w:cs="Arial" w:hint="cs"/>
          <w:rtl/>
        </w:rPr>
        <w:t>‬</w:t>
      </w:r>
      <w:r w:rsidRPr="002F6BD9">
        <w:rPr>
          <w:rFonts w:ascii="Arial" w:hAnsi="Arial" w:cs="Arial" w:hint="cs"/>
          <w:rtl/>
        </w:rPr>
        <w:t>‬</w:t>
      </w:r>
      <w:r w:rsidRPr="002F6BD9">
        <w:rPr>
          <w:rFonts w:ascii="Arial" w:hAnsi="Arial" w:cs="Arial" w:hint="cs"/>
          <w:rtl/>
        </w:rPr>
        <w:t>‬</w:t>
      </w:r>
      <w:r w:rsidRPr="002F6BD9">
        <w:rPr>
          <w:rFonts w:ascii="Arial" w:hAnsi="Arial" w:cs="Arial" w:hint="cs"/>
          <w:rtl/>
        </w:rPr>
        <w:t>‬</w:t>
      </w:r>
      <w:r w:rsidRPr="002F6BD9">
        <w:rPr>
          <w:rFonts w:ascii="Arial" w:hAnsi="Arial" w:cs="Arial" w:hint="cs"/>
          <w:rtl/>
        </w:rPr>
        <w:t>‬</w:t>
      </w:r>
    </w:p>
    <w:p w14:paraId="3159FBFF" w14:textId="02492F3E" w:rsidR="002F6BD9" w:rsidRPr="002F6BD9" w:rsidRDefault="000D1FD9" w:rsidP="000D1FD9">
      <w:pPr>
        <w:pStyle w:val="SingleTxt"/>
        <w:rPr>
          <w:rtl/>
        </w:rPr>
      </w:pPr>
      <w:r>
        <w:rPr>
          <w:rtl/>
        </w:rPr>
        <w:tab/>
      </w:r>
      <w:r w:rsidR="002F6BD9" w:rsidRPr="002F6BD9">
        <w:rPr>
          <w:rtl/>
        </w:rPr>
        <w:t>(أ)</w:t>
      </w:r>
      <w:r>
        <w:rPr>
          <w:rtl/>
        </w:rPr>
        <w:tab/>
      </w:r>
      <w:r w:rsidR="002F6BD9" w:rsidRPr="002F6BD9">
        <w:rPr>
          <w:rtl/>
        </w:rPr>
        <w:t>عدم مقبولية الرسالة بموجب المادة 4 (2) (هـ) من البروتوكول الاختياري؛</w:t>
      </w:r>
    </w:p>
    <w:p w14:paraId="642540E6" w14:textId="7730C7F8" w:rsidR="002F6BD9" w:rsidRPr="002F6BD9" w:rsidRDefault="000D1FD9" w:rsidP="000D1FD9">
      <w:pPr>
        <w:pStyle w:val="SingleTxt"/>
        <w:rPr>
          <w:rtl/>
        </w:rPr>
      </w:pPr>
      <w:r>
        <w:rPr>
          <w:rtl/>
        </w:rPr>
        <w:tab/>
      </w:r>
      <w:r w:rsidR="002F6BD9" w:rsidRPr="002F6BD9">
        <w:rPr>
          <w:rtl/>
        </w:rPr>
        <w:t>(ب)</w:t>
      </w:r>
      <w:r>
        <w:rPr>
          <w:rtl/>
        </w:rPr>
        <w:tab/>
      </w:r>
      <w:r w:rsidR="002F6BD9" w:rsidRPr="002F6BD9">
        <w:rPr>
          <w:rtl/>
        </w:rPr>
        <w:t>تبليغ هذا القرار إلى كل من الدولة الطرف وصاحبة الرسالة.</w:t>
      </w:r>
    </w:p>
    <w:p w14:paraId="0437A60A" w14:textId="77777777" w:rsidR="002F6BD9" w:rsidRPr="002F6BD9" w:rsidRDefault="002F6BD9" w:rsidP="002F6BD9">
      <w:pPr>
        <w:pStyle w:val="SingleTxt"/>
        <w:spacing w:line="240" w:lineRule="auto"/>
        <w:rPr>
          <w:szCs w:val="20"/>
          <w:lang w:val="en-GB"/>
        </w:rPr>
      </w:pPr>
      <w:r w:rsidRPr="002F6BD9">
        <w:rPr>
          <w:noProof/>
          <w:szCs w:val="20"/>
          <w:lang w:eastAsia="zh-CN"/>
        </w:rPr>
        <mc:AlternateContent>
          <mc:Choice Requires="wps">
            <w:drawing>
              <wp:anchor distT="4294967294" distB="4294967294" distL="114300" distR="114300" simplePos="0" relativeHeight="251661312" behindDoc="0" locked="0" layoutInCell="1" allowOverlap="1" wp14:anchorId="65E98DC5" wp14:editId="4BF0AAFD">
                <wp:simplePos x="0" y="0"/>
                <wp:positionH relativeFrom="column">
                  <wp:posOffset>2669540</wp:posOffset>
                </wp:positionH>
                <wp:positionV relativeFrom="paragraph">
                  <wp:posOffset>304799</wp:posOffset>
                </wp:positionV>
                <wp:extent cx="914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11AFF1"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CtkB5H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p w14:paraId="348936C2" w14:textId="3309F801" w:rsidR="00724E87" w:rsidRPr="002F6BD9" w:rsidRDefault="00724E87" w:rsidP="00724E87">
      <w:pPr>
        <w:pStyle w:val="SingleTxt"/>
        <w:spacing w:line="240" w:lineRule="auto"/>
        <w:rPr>
          <w:rFonts w:hint="cs"/>
          <w:szCs w:val="20"/>
          <w:rtl/>
          <w:lang w:val="en-GB"/>
        </w:rPr>
      </w:pPr>
      <w:bookmarkStart w:id="1" w:name="_GoBack"/>
      <w:bookmarkEnd w:id="1"/>
    </w:p>
    <w:sectPr w:rsidR="00724E87" w:rsidRPr="002F6BD9" w:rsidSect="00724E87">
      <w:endnotePr>
        <w:numFmt w:val="decimal"/>
      </w:endnotePr>
      <w:type w:val="continuous"/>
      <w:pgSz w:w="12240" w:h="15840" w:code="1"/>
      <w:pgMar w:top="1440" w:right="1200" w:bottom="1757"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7T11:19:00Z" w:initials="Start">
    <w:p w14:paraId="1606E3B7" w14:textId="77777777" w:rsidR="00A852F5" w:rsidRDefault="00A852F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NO&gt;&gt;N1741574A&lt;&lt;ODS JOB NO</w:t>
      </w:r>
      <w:r>
        <w:rPr>
          <w:rtl/>
        </w:rPr>
        <w:t>&gt;&gt;</w:t>
      </w:r>
    </w:p>
    <w:p w14:paraId="215A911D" w14:textId="77777777" w:rsidR="00A852F5" w:rsidRDefault="00A852F5">
      <w:pPr>
        <w:pStyle w:val="CommentText"/>
        <w:rPr>
          <w:rtl/>
        </w:rPr>
      </w:pPr>
      <w:r>
        <w:rPr>
          <w:rtl/>
        </w:rPr>
        <w:t>&lt;&lt;</w:t>
      </w:r>
      <w:r>
        <w:t>ODS DOC SYMBOL1&gt;&gt;CEDAW/C/68/D/95/2015&lt;&lt;ODS DOC SYMBOL1</w:t>
      </w:r>
      <w:r>
        <w:rPr>
          <w:rtl/>
        </w:rPr>
        <w:t>&gt;&gt;</w:t>
      </w:r>
    </w:p>
    <w:p w14:paraId="2A7DD0C4" w14:textId="77777777" w:rsidR="00A852F5" w:rsidRDefault="00A852F5">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7DD0C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7A80" w14:textId="77777777" w:rsidR="00AF60F6" w:rsidRDefault="00AF60F6" w:rsidP="00693CF9">
      <w:pPr>
        <w:spacing w:line="240" w:lineRule="auto"/>
      </w:pPr>
      <w:r>
        <w:separator/>
      </w:r>
    </w:p>
  </w:endnote>
  <w:endnote w:type="continuationSeparator" w:id="0">
    <w:p w14:paraId="154A353A" w14:textId="77777777" w:rsidR="00AF60F6" w:rsidRDefault="00AF60F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A852F5" w14:paraId="5722E749" w14:textId="77777777" w:rsidTr="00A852F5">
      <w:tc>
        <w:tcPr>
          <w:tcW w:w="4920" w:type="dxa"/>
          <w:shd w:val="clear" w:color="auto" w:fill="auto"/>
        </w:tcPr>
        <w:p w14:paraId="2EEE6A03" w14:textId="2B0CD787" w:rsidR="00A852F5" w:rsidRPr="00A852F5" w:rsidRDefault="00A852F5" w:rsidP="00A852F5">
          <w:pPr>
            <w:pStyle w:val="Footer"/>
            <w:rPr>
              <w:w w:val="103"/>
            </w:rPr>
          </w:pPr>
          <w:r>
            <w:rPr>
              <w:w w:val="103"/>
            </w:rPr>
            <w:fldChar w:fldCharType="begin"/>
          </w:r>
          <w:r>
            <w:rPr>
              <w:w w:val="103"/>
            </w:rPr>
            <w:instrText xml:space="preserve"> PAGE  \* Arabic  \* MERGEFORMAT </w:instrText>
          </w:r>
          <w:r>
            <w:rPr>
              <w:w w:val="103"/>
            </w:rPr>
            <w:fldChar w:fldCharType="separate"/>
          </w:r>
          <w:r w:rsidR="00C17BF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7BFA">
            <w:rPr>
              <w:noProof/>
              <w:w w:val="103"/>
            </w:rPr>
            <w:t>5</w:t>
          </w:r>
          <w:r>
            <w:rPr>
              <w:w w:val="103"/>
            </w:rPr>
            <w:fldChar w:fldCharType="end"/>
          </w:r>
        </w:p>
      </w:tc>
      <w:tc>
        <w:tcPr>
          <w:tcW w:w="4920" w:type="dxa"/>
          <w:shd w:val="clear" w:color="auto" w:fill="auto"/>
        </w:tcPr>
        <w:p w14:paraId="0B65B023" w14:textId="77777777" w:rsidR="00A852F5" w:rsidRPr="00A852F5" w:rsidRDefault="00A852F5" w:rsidP="00A852F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17-21674</w:t>
          </w:r>
          <w:r>
            <w:rPr>
              <w:b w:val="0"/>
              <w:w w:val="103"/>
            </w:rPr>
            <w:fldChar w:fldCharType="end"/>
          </w:r>
        </w:p>
      </w:tc>
    </w:tr>
  </w:tbl>
  <w:p w14:paraId="710FBAAD" w14:textId="77777777" w:rsidR="00A852F5" w:rsidRPr="00A852F5" w:rsidRDefault="00A852F5" w:rsidP="00A85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A852F5" w14:paraId="7E8187E5" w14:textId="77777777" w:rsidTr="00A852F5">
      <w:tc>
        <w:tcPr>
          <w:tcW w:w="4920" w:type="dxa"/>
          <w:shd w:val="clear" w:color="auto" w:fill="auto"/>
        </w:tcPr>
        <w:p w14:paraId="653A3C6B" w14:textId="77777777" w:rsidR="00A852F5" w:rsidRPr="00A852F5" w:rsidRDefault="00A852F5" w:rsidP="00A852F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17-21674</w:t>
          </w:r>
          <w:r>
            <w:rPr>
              <w:b w:val="0"/>
              <w:w w:val="103"/>
            </w:rPr>
            <w:fldChar w:fldCharType="end"/>
          </w:r>
        </w:p>
      </w:tc>
      <w:tc>
        <w:tcPr>
          <w:tcW w:w="4920" w:type="dxa"/>
          <w:shd w:val="clear" w:color="auto" w:fill="auto"/>
        </w:tcPr>
        <w:p w14:paraId="062CC4AB" w14:textId="1322F483" w:rsidR="00A852F5" w:rsidRPr="00A852F5" w:rsidRDefault="00A852F5" w:rsidP="00A852F5">
          <w:pPr>
            <w:pStyle w:val="Footer"/>
            <w:jc w:val="left"/>
            <w:rPr>
              <w:w w:val="103"/>
            </w:rPr>
          </w:pPr>
          <w:r>
            <w:rPr>
              <w:w w:val="103"/>
            </w:rPr>
            <w:fldChar w:fldCharType="begin"/>
          </w:r>
          <w:r>
            <w:rPr>
              <w:w w:val="103"/>
            </w:rPr>
            <w:instrText xml:space="preserve"> PAGE  \* Arabic  \* MERGEFORMAT </w:instrText>
          </w:r>
          <w:r>
            <w:rPr>
              <w:w w:val="103"/>
            </w:rPr>
            <w:fldChar w:fldCharType="separate"/>
          </w:r>
          <w:r w:rsidR="00C17BF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7BFA">
            <w:rPr>
              <w:noProof/>
              <w:w w:val="103"/>
            </w:rPr>
            <w:t>5</w:t>
          </w:r>
          <w:r>
            <w:rPr>
              <w:w w:val="103"/>
            </w:rPr>
            <w:fldChar w:fldCharType="end"/>
          </w:r>
        </w:p>
      </w:tc>
    </w:tr>
  </w:tbl>
  <w:p w14:paraId="4A4749BC" w14:textId="77777777" w:rsidR="00A852F5" w:rsidRPr="00A852F5" w:rsidRDefault="00A852F5" w:rsidP="00A85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3888"/>
      <w:gridCol w:w="4920"/>
    </w:tblGrid>
    <w:tr w:rsidR="00A852F5" w14:paraId="415F14BA" w14:textId="77777777" w:rsidTr="00A852F5">
      <w:trPr>
        <w:jc w:val="right"/>
      </w:trPr>
      <w:tc>
        <w:tcPr>
          <w:tcW w:w="3888" w:type="dxa"/>
        </w:tcPr>
        <w:p w14:paraId="1F4ED142" w14:textId="77777777" w:rsidR="00A852F5" w:rsidRDefault="00A852F5" w:rsidP="00A852F5">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3D27E881" wp14:editId="3F0F6E50">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68/D/95/2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D/95/2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74C1C3D2" wp14:editId="48824E5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DBE9949" w14:textId="1B0D6F92" w:rsidR="00A852F5" w:rsidRDefault="00A852F5" w:rsidP="00A852F5">
          <w:pPr>
            <w:pStyle w:val="ReleaseDate"/>
          </w:pPr>
          <w:r>
            <w:t>2</w:t>
          </w:r>
          <w:r w:rsidR="005342F3">
            <w:t>9</w:t>
          </w:r>
          <w:r>
            <w:t xml:space="preserve">1217    271217    </w:t>
          </w:r>
          <w:fldSimple w:instr=" DOCVARIABLE &quot;jobn&quot; \* MERGEFORMAT ">
            <w:r>
              <w:t>17-21674 (A)</w:t>
            </w:r>
          </w:fldSimple>
        </w:p>
        <w:p w14:paraId="040B5240" w14:textId="77777777" w:rsidR="00A852F5" w:rsidRPr="00A852F5" w:rsidRDefault="00A852F5" w:rsidP="00A852F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*1721674*</w:t>
          </w:r>
          <w:r>
            <w:rPr>
              <w:rFonts w:ascii="Barcode 3 of 9 by request" w:hAnsi="Barcode 3 of 9 by request"/>
              <w:sz w:val="24"/>
            </w:rPr>
            <w:fldChar w:fldCharType="end"/>
          </w:r>
        </w:p>
      </w:tc>
    </w:tr>
  </w:tbl>
  <w:p w14:paraId="77AAF53D" w14:textId="77777777" w:rsidR="00A852F5" w:rsidRPr="00A852F5" w:rsidRDefault="00A852F5" w:rsidP="00A852F5">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2692" w14:textId="77777777" w:rsidR="00AF60F6" w:rsidRDefault="00AF60F6" w:rsidP="00693CF9">
      <w:pPr>
        <w:spacing w:line="240" w:lineRule="auto"/>
      </w:pPr>
      <w:r>
        <w:separator/>
      </w:r>
    </w:p>
  </w:footnote>
  <w:footnote w:type="continuationSeparator" w:id="0">
    <w:p w14:paraId="05733F1F" w14:textId="77777777" w:rsidR="00AF60F6" w:rsidRDefault="00AF60F6"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852F5" w14:paraId="6DA31825" w14:textId="77777777" w:rsidTr="00A852F5">
      <w:trPr>
        <w:trHeight w:hRule="exact" w:val="864"/>
        <w:jc w:val="center"/>
      </w:trPr>
      <w:tc>
        <w:tcPr>
          <w:tcW w:w="4920" w:type="dxa"/>
          <w:shd w:val="clear" w:color="auto" w:fill="auto"/>
          <w:vAlign w:val="bottom"/>
        </w:tcPr>
        <w:p w14:paraId="2A2F3D04" w14:textId="77777777" w:rsidR="00A852F5" w:rsidRDefault="00A852F5" w:rsidP="00A852F5">
          <w:pPr>
            <w:pStyle w:val="Header"/>
            <w:bidi/>
          </w:pPr>
        </w:p>
      </w:tc>
      <w:tc>
        <w:tcPr>
          <w:tcW w:w="4920" w:type="dxa"/>
          <w:shd w:val="clear" w:color="auto" w:fill="auto"/>
          <w:vAlign w:val="bottom"/>
        </w:tcPr>
        <w:p w14:paraId="71448B5B" w14:textId="77777777" w:rsidR="00A852F5" w:rsidRPr="00A852F5" w:rsidRDefault="00A852F5" w:rsidP="00A852F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CEDAW/C/68/D/95/2015</w:t>
          </w:r>
          <w:r>
            <w:rPr>
              <w:w w:val="103"/>
            </w:rPr>
            <w:fldChar w:fldCharType="end"/>
          </w:r>
        </w:p>
      </w:tc>
    </w:tr>
  </w:tbl>
  <w:p w14:paraId="24E22779" w14:textId="77777777" w:rsidR="00A852F5" w:rsidRPr="00A852F5" w:rsidRDefault="00A852F5" w:rsidP="00A85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852F5" w14:paraId="4C74E8DD" w14:textId="77777777" w:rsidTr="00A852F5">
      <w:trPr>
        <w:trHeight w:hRule="exact" w:val="864"/>
        <w:jc w:val="center"/>
      </w:trPr>
      <w:tc>
        <w:tcPr>
          <w:tcW w:w="4920" w:type="dxa"/>
          <w:shd w:val="clear" w:color="auto" w:fill="auto"/>
          <w:vAlign w:val="bottom"/>
        </w:tcPr>
        <w:p w14:paraId="111ED369" w14:textId="77777777" w:rsidR="00A852F5" w:rsidRPr="00A852F5" w:rsidRDefault="00A852F5" w:rsidP="00A852F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Pr>
              <w:w w:val="103"/>
            </w:rPr>
            <w:t>CEDAW/C/68/D/95/2015</w:t>
          </w:r>
          <w:r>
            <w:rPr>
              <w:w w:val="103"/>
            </w:rPr>
            <w:fldChar w:fldCharType="end"/>
          </w:r>
        </w:p>
      </w:tc>
      <w:tc>
        <w:tcPr>
          <w:tcW w:w="4920" w:type="dxa"/>
          <w:shd w:val="clear" w:color="auto" w:fill="auto"/>
          <w:vAlign w:val="bottom"/>
        </w:tcPr>
        <w:p w14:paraId="66A11379" w14:textId="77777777" w:rsidR="00A852F5" w:rsidRDefault="00A852F5" w:rsidP="00A852F5">
          <w:pPr>
            <w:pStyle w:val="Header"/>
          </w:pPr>
        </w:p>
      </w:tc>
    </w:tr>
  </w:tbl>
  <w:p w14:paraId="3C16534E" w14:textId="77777777" w:rsidR="00A852F5" w:rsidRPr="00A852F5" w:rsidRDefault="00A852F5" w:rsidP="00A85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852F5" w14:paraId="2C3A275B" w14:textId="77777777" w:rsidTr="00A852F5">
      <w:trPr>
        <w:gridAfter w:val="1"/>
        <w:wAfter w:w="18" w:type="dxa"/>
        <w:trHeight w:hRule="exact" w:val="864"/>
      </w:trPr>
      <w:tc>
        <w:tcPr>
          <w:tcW w:w="1282" w:type="dxa"/>
          <w:tcBorders>
            <w:bottom w:val="single" w:sz="4" w:space="0" w:color="auto"/>
          </w:tcBorders>
          <w:shd w:val="clear" w:color="auto" w:fill="auto"/>
          <w:vAlign w:val="bottom"/>
        </w:tcPr>
        <w:p w14:paraId="7CF66A23" w14:textId="77777777" w:rsidR="00A852F5" w:rsidRDefault="00A852F5" w:rsidP="00A852F5">
          <w:pPr>
            <w:pStyle w:val="Header"/>
            <w:spacing w:after="120"/>
          </w:pPr>
        </w:p>
      </w:tc>
      <w:tc>
        <w:tcPr>
          <w:tcW w:w="1786" w:type="dxa"/>
          <w:tcBorders>
            <w:bottom w:val="single" w:sz="4" w:space="0" w:color="auto"/>
          </w:tcBorders>
          <w:shd w:val="clear" w:color="auto" w:fill="auto"/>
          <w:vAlign w:val="bottom"/>
        </w:tcPr>
        <w:p w14:paraId="1452C2DE" w14:textId="77777777" w:rsidR="00A852F5" w:rsidRPr="00A852F5" w:rsidRDefault="00A852F5" w:rsidP="00A852F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60A85C1" w14:textId="77777777" w:rsidR="00A852F5" w:rsidRDefault="00A852F5" w:rsidP="00A852F5">
          <w:pPr>
            <w:pStyle w:val="Header"/>
            <w:spacing w:after="120"/>
          </w:pPr>
        </w:p>
      </w:tc>
      <w:tc>
        <w:tcPr>
          <w:tcW w:w="6523" w:type="dxa"/>
          <w:gridSpan w:val="3"/>
          <w:tcBorders>
            <w:bottom w:val="single" w:sz="4" w:space="0" w:color="auto"/>
          </w:tcBorders>
          <w:shd w:val="clear" w:color="auto" w:fill="auto"/>
          <w:vAlign w:val="bottom"/>
        </w:tcPr>
        <w:p w14:paraId="1CBA256A" w14:textId="77777777" w:rsidR="00A852F5" w:rsidRPr="00A852F5" w:rsidRDefault="00A852F5" w:rsidP="00A852F5">
          <w:pPr>
            <w:spacing w:line="380" w:lineRule="exact"/>
            <w:jc w:val="right"/>
          </w:pPr>
          <w:r>
            <w:rPr>
              <w:sz w:val="40"/>
            </w:rPr>
            <w:t>CEDAW</w:t>
          </w:r>
          <w:r>
            <w:t>/C/68/D/95/2015</w:t>
          </w:r>
        </w:p>
      </w:tc>
    </w:tr>
    <w:tr w:rsidR="00A852F5" w:rsidRPr="00A852F5" w14:paraId="05578EDA" w14:textId="77777777" w:rsidTr="00A852F5">
      <w:trPr>
        <w:trHeight w:hRule="exact" w:val="2880"/>
      </w:trPr>
      <w:tc>
        <w:tcPr>
          <w:tcW w:w="1282" w:type="dxa"/>
          <w:tcBorders>
            <w:top w:val="single" w:sz="4" w:space="0" w:color="auto"/>
            <w:bottom w:val="single" w:sz="12" w:space="0" w:color="auto"/>
          </w:tcBorders>
          <w:shd w:val="clear" w:color="auto" w:fill="auto"/>
        </w:tcPr>
        <w:p w14:paraId="4E048B59" w14:textId="77777777" w:rsidR="00A852F5" w:rsidRDefault="00A852F5" w:rsidP="00A852F5">
          <w:pPr>
            <w:pStyle w:val="Header"/>
            <w:spacing w:before="120"/>
            <w:jc w:val="center"/>
          </w:pPr>
          <w:r>
            <w:t xml:space="preserve"> </w:t>
          </w:r>
          <w:r>
            <w:rPr>
              <w:noProof/>
              <w:lang w:eastAsia="zh-CN"/>
            </w:rPr>
            <w:drawing>
              <wp:inline distT="0" distB="0" distL="0" distR="0" wp14:anchorId="79BC6894" wp14:editId="4C04F1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1F62C581" w14:textId="77777777" w:rsidR="00A852F5" w:rsidRPr="00A852F5" w:rsidRDefault="00A852F5" w:rsidP="00A852F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B3F961E" w14:textId="77777777" w:rsidR="00A852F5" w:rsidRPr="00A852F5" w:rsidRDefault="00A852F5" w:rsidP="00A852F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16ED5D7" w14:textId="77777777" w:rsidR="00A852F5" w:rsidRPr="00A852F5" w:rsidRDefault="00A852F5" w:rsidP="00A852F5">
          <w:pPr>
            <w:pStyle w:val="Header"/>
            <w:spacing w:before="109"/>
          </w:pPr>
        </w:p>
      </w:tc>
      <w:tc>
        <w:tcPr>
          <w:tcW w:w="3100" w:type="dxa"/>
          <w:gridSpan w:val="2"/>
          <w:tcBorders>
            <w:top w:val="single" w:sz="4" w:space="0" w:color="auto"/>
            <w:bottom w:val="single" w:sz="12" w:space="0" w:color="auto"/>
          </w:tcBorders>
          <w:shd w:val="clear" w:color="auto" w:fill="auto"/>
        </w:tcPr>
        <w:p w14:paraId="540E63E2" w14:textId="77777777" w:rsidR="00A852F5" w:rsidRDefault="00A852F5" w:rsidP="00A852F5">
          <w:pPr>
            <w:pStyle w:val="Distribution"/>
            <w:bidi w:val="0"/>
            <w:spacing w:before="240"/>
          </w:pPr>
          <w:r>
            <w:t>Distr.: General</w:t>
          </w:r>
        </w:p>
        <w:p w14:paraId="471AB995" w14:textId="48E3B94E" w:rsidR="00A852F5" w:rsidRDefault="00A852F5" w:rsidP="00A852F5">
          <w:pPr>
            <w:pStyle w:val="Publication"/>
            <w:bidi w:val="0"/>
          </w:pPr>
          <w:r>
            <w:t>2</w:t>
          </w:r>
          <w:r w:rsidR="00724E87">
            <w:t>0</w:t>
          </w:r>
          <w:r>
            <w:t xml:space="preserve"> November 2017</w:t>
          </w:r>
        </w:p>
        <w:p w14:paraId="674E52DB" w14:textId="77777777" w:rsidR="00A852F5" w:rsidRDefault="00A852F5" w:rsidP="00A852F5">
          <w:pPr>
            <w:bidi w:val="0"/>
            <w:spacing w:line="240" w:lineRule="exact"/>
            <w:jc w:val="left"/>
          </w:pPr>
          <w:r>
            <w:t>Arabic</w:t>
          </w:r>
        </w:p>
        <w:p w14:paraId="42CD9192" w14:textId="77777777" w:rsidR="00A852F5" w:rsidRDefault="00A852F5" w:rsidP="00A852F5">
          <w:pPr>
            <w:pStyle w:val="Original"/>
            <w:bidi w:val="0"/>
          </w:pPr>
          <w:r>
            <w:t>Original: English</w:t>
          </w:r>
        </w:p>
        <w:p w14:paraId="63566B19" w14:textId="77777777" w:rsidR="00A852F5" w:rsidRPr="00A852F5" w:rsidRDefault="00A852F5" w:rsidP="00A852F5">
          <w:pPr>
            <w:bidi w:val="0"/>
            <w:spacing w:line="240" w:lineRule="exact"/>
            <w:jc w:val="left"/>
          </w:pPr>
        </w:p>
      </w:tc>
    </w:tr>
  </w:tbl>
  <w:p w14:paraId="0B1002D6" w14:textId="77777777" w:rsidR="00A852F5" w:rsidRPr="00A852F5" w:rsidRDefault="00A852F5" w:rsidP="00A852F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674*"/>
    <w:docVar w:name="CreationDt" w:val="27/12/2017 11:19 AM"/>
    <w:docVar w:name="DocCategory" w:val="Doc"/>
    <w:docVar w:name="DocType" w:val="Final"/>
    <w:docVar w:name="DutyStation" w:val="New York"/>
    <w:docVar w:name="FooterJN" w:val="17-21674"/>
    <w:docVar w:name="jobn" w:val="17-21674 (A)"/>
    <w:docVar w:name="jobnDT" w:val="17-21674 (A)   271217"/>
    <w:docVar w:name="jobnDTDT" w:val="17-21674 (A)   271217   271217"/>
    <w:docVar w:name="JobNo" w:val="1721674A"/>
    <w:docVar w:name="LocalDrive" w:val="0"/>
    <w:docVar w:name="OandT" w:val=" "/>
    <w:docVar w:name="sss1" w:val="CEDAW/C/68/D/95/2015"/>
    <w:docVar w:name="sss2" w:val="-"/>
    <w:docVar w:name="Symbol1" w:val="CEDAW/C/68/D/95/2015"/>
    <w:docVar w:name="Symbol2" w:val="-"/>
  </w:docVars>
  <w:rsids>
    <w:rsidRoot w:val="00AF60F6"/>
    <w:rsid w:val="000020C4"/>
    <w:rsid w:val="0000693B"/>
    <w:rsid w:val="000170D3"/>
    <w:rsid w:val="00024DD0"/>
    <w:rsid w:val="0002744A"/>
    <w:rsid w:val="000311C9"/>
    <w:rsid w:val="00042425"/>
    <w:rsid w:val="00047F6A"/>
    <w:rsid w:val="0005137B"/>
    <w:rsid w:val="00056AA7"/>
    <w:rsid w:val="00057805"/>
    <w:rsid w:val="0006197D"/>
    <w:rsid w:val="0006281B"/>
    <w:rsid w:val="0006648F"/>
    <w:rsid w:val="00070E09"/>
    <w:rsid w:val="00087310"/>
    <w:rsid w:val="00092439"/>
    <w:rsid w:val="000927B5"/>
    <w:rsid w:val="0009732C"/>
    <w:rsid w:val="000974BE"/>
    <w:rsid w:val="000B640C"/>
    <w:rsid w:val="000C041E"/>
    <w:rsid w:val="000C4190"/>
    <w:rsid w:val="000C4EED"/>
    <w:rsid w:val="000D1FD9"/>
    <w:rsid w:val="000D2CEC"/>
    <w:rsid w:val="000E6E89"/>
    <w:rsid w:val="000F3F48"/>
    <w:rsid w:val="001007CB"/>
    <w:rsid w:val="00100A90"/>
    <w:rsid w:val="00101EE8"/>
    <w:rsid w:val="00102521"/>
    <w:rsid w:val="0010461F"/>
    <w:rsid w:val="00113349"/>
    <w:rsid w:val="0012522B"/>
    <w:rsid w:val="00127CDF"/>
    <w:rsid w:val="00132672"/>
    <w:rsid w:val="00140DA9"/>
    <w:rsid w:val="00143096"/>
    <w:rsid w:val="001519A9"/>
    <w:rsid w:val="001568A8"/>
    <w:rsid w:val="00165F18"/>
    <w:rsid w:val="00170A5E"/>
    <w:rsid w:val="001737F8"/>
    <w:rsid w:val="001775EA"/>
    <w:rsid w:val="0018030C"/>
    <w:rsid w:val="00182D99"/>
    <w:rsid w:val="00187870"/>
    <w:rsid w:val="00194C85"/>
    <w:rsid w:val="001A015D"/>
    <w:rsid w:val="001A0D70"/>
    <w:rsid w:val="001A4CD8"/>
    <w:rsid w:val="001A5B00"/>
    <w:rsid w:val="001B59EE"/>
    <w:rsid w:val="001B6BCA"/>
    <w:rsid w:val="001C6531"/>
    <w:rsid w:val="001D038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528F"/>
    <w:rsid w:val="002606E6"/>
    <w:rsid w:val="00262A33"/>
    <w:rsid w:val="0026372E"/>
    <w:rsid w:val="00266F59"/>
    <w:rsid w:val="00267D73"/>
    <w:rsid w:val="00272B6C"/>
    <w:rsid w:val="00273E91"/>
    <w:rsid w:val="00274D87"/>
    <w:rsid w:val="00275EB3"/>
    <w:rsid w:val="0027623A"/>
    <w:rsid w:val="00281856"/>
    <w:rsid w:val="00286687"/>
    <w:rsid w:val="0028685E"/>
    <w:rsid w:val="00290F2F"/>
    <w:rsid w:val="002937DA"/>
    <w:rsid w:val="00296950"/>
    <w:rsid w:val="002971E7"/>
    <w:rsid w:val="002A09C6"/>
    <w:rsid w:val="002A6916"/>
    <w:rsid w:val="002B0A3E"/>
    <w:rsid w:val="002B120A"/>
    <w:rsid w:val="002B22A3"/>
    <w:rsid w:val="002B4F37"/>
    <w:rsid w:val="002B6966"/>
    <w:rsid w:val="002C2AF2"/>
    <w:rsid w:val="002C3561"/>
    <w:rsid w:val="002C4866"/>
    <w:rsid w:val="002C4E1B"/>
    <w:rsid w:val="002D0ACA"/>
    <w:rsid w:val="002D58BC"/>
    <w:rsid w:val="002D782A"/>
    <w:rsid w:val="002E1490"/>
    <w:rsid w:val="002E750A"/>
    <w:rsid w:val="002F0398"/>
    <w:rsid w:val="002F0573"/>
    <w:rsid w:val="002F0ADA"/>
    <w:rsid w:val="002F1211"/>
    <w:rsid w:val="002F473F"/>
    <w:rsid w:val="002F6BD9"/>
    <w:rsid w:val="002F7737"/>
    <w:rsid w:val="0030254E"/>
    <w:rsid w:val="00302B17"/>
    <w:rsid w:val="00307CFF"/>
    <w:rsid w:val="003102AE"/>
    <w:rsid w:val="00310FA5"/>
    <w:rsid w:val="00312162"/>
    <w:rsid w:val="00312525"/>
    <w:rsid w:val="00325086"/>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91AA1"/>
    <w:rsid w:val="003A65ED"/>
    <w:rsid w:val="003B38D9"/>
    <w:rsid w:val="003C20E8"/>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4C9F"/>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16DD"/>
    <w:rsid w:val="004F1885"/>
    <w:rsid w:val="004F33CC"/>
    <w:rsid w:val="004F59EC"/>
    <w:rsid w:val="004F75CD"/>
    <w:rsid w:val="005003FF"/>
    <w:rsid w:val="00502029"/>
    <w:rsid w:val="0050659B"/>
    <w:rsid w:val="00520086"/>
    <w:rsid w:val="00521CAC"/>
    <w:rsid w:val="0052301E"/>
    <w:rsid w:val="0052427E"/>
    <w:rsid w:val="005243A0"/>
    <w:rsid w:val="00524A2E"/>
    <w:rsid w:val="005279DE"/>
    <w:rsid w:val="005342F3"/>
    <w:rsid w:val="00534772"/>
    <w:rsid w:val="00537FCD"/>
    <w:rsid w:val="00541189"/>
    <w:rsid w:val="00542632"/>
    <w:rsid w:val="00545F76"/>
    <w:rsid w:val="00551E87"/>
    <w:rsid w:val="005545BB"/>
    <w:rsid w:val="005560C9"/>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650B"/>
    <w:rsid w:val="005C7ED8"/>
    <w:rsid w:val="005D5B76"/>
    <w:rsid w:val="005E46BF"/>
    <w:rsid w:val="006007BD"/>
    <w:rsid w:val="006046A6"/>
    <w:rsid w:val="00612939"/>
    <w:rsid w:val="00616E82"/>
    <w:rsid w:val="006218A3"/>
    <w:rsid w:val="00631D41"/>
    <w:rsid w:val="00645C2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D7B4D"/>
    <w:rsid w:val="006E7E51"/>
    <w:rsid w:val="006F4577"/>
    <w:rsid w:val="006F7BB7"/>
    <w:rsid w:val="007006FC"/>
    <w:rsid w:val="00700F06"/>
    <w:rsid w:val="007020AD"/>
    <w:rsid w:val="00702343"/>
    <w:rsid w:val="0070583C"/>
    <w:rsid w:val="00714319"/>
    <w:rsid w:val="0071531E"/>
    <w:rsid w:val="0071645B"/>
    <w:rsid w:val="00716E9D"/>
    <w:rsid w:val="00724E87"/>
    <w:rsid w:val="0073328E"/>
    <w:rsid w:val="007372CB"/>
    <w:rsid w:val="00740B9C"/>
    <w:rsid w:val="00740D62"/>
    <w:rsid w:val="00745A2C"/>
    <w:rsid w:val="00747B47"/>
    <w:rsid w:val="00747B9E"/>
    <w:rsid w:val="007524BE"/>
    <w:rsid w:val="007525FA"/>
    <w:rsid w:val="0075339D"/>
    <w:rsid w:val="007668E3"/>
    <w:rsid w:val="00766B3B"/>
    <w:rsid w:val="00767151"/>
    <w:rsid w:val="00770CF8"/>
    <w:rsid w:val="00774FF0"/>
    <w:rsid w:val="0078262F"/>
    <w:rsid w:val="00784325"/>
    <w:rsid w:val="00784F2B"/>
    <w:rsid w:val="00786C60"/>
    <w:rsid w:val="00786F0C"/>
    <w:rsid w:val="0079046D"/>
    <w:rsid w:val="007925B2"/>
    <w:rsid w:val="0079753A"/>
    <w:rsid w:val="007A296C"/>
    <w:rsid w:val="007A3AD0"/>
    <w:rsid w:val="007A5773"/>
    <w:rsid w:val="007A6DD9"/>
    <w:rsid w:val="007B3DC8"/>
    <w:rsid w:val="007B5729"/>
    <w:rsid w:val="007C7274"/>
    <w:rsid w:val="007D489C"/>
    <w:rsid w:val="007D60E0"/>
    <w:rsid w:val="007D6B8D"/>
    <w:rsid w:val="007E32B9"/>
    <w:rsid w:val="00802997"/>
    <w:rsid w:val="008029C9"/>
    <w:rsid w:val="0081284F"/>
    <w:rsid w:val="00814843"/>
    <w:rsid w:val="008170DE"/>
    <w:rsid w:val="00820B87"/>
    <w:rsid w:val="00830E32"/>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16BC"/>
    <w:rsid w:val="0088317F"/>
    <w:rsid w:val="00887330"/>
    <w:rsid w:val="008913BC"/>
    <w:rsid w:val="00897390"/>
    <w:rsid w:val="008A068D"/>
    <w:rsid w:val="008A3FCA"/>
    <w:rsid w:val="008D1C04"/>
    <w:rsid w:val="008E739A"/>
    <w:rsid w:val="008F04A0"/>
    <w:rsid w:val="008F3D2C"/>
    <w:rsid w:val="008F419C"/>
    <w:rsid w:val="008F5850"/>
    <w:rsid w:val="008F64A7"/>
    <w:rsid w:val="0090012B"/>
    <w:rsid w:val="0090351F"/>
    <w:rsid w:val="009124C9"/>
    <w:rsid w:val="00914215"/>
    <w:rsid w:val="00933ADA"/>
    <w:rsid w:val="009532EE"/>
    <w:rsid w:val="00956E02"/>
    <w:rsid w:val="009570F4"/>
    <w:rsid w:val="009572F9"/>
    <w:rsid w:val="00964FA8"/>
    <w:rsid w:val="00970BAD"/>
    <w:rsid w:val="009717B1"/>
    <w:rsid w:val="009768D1"/>
    <w:rsid w:val="009807FF"/>
    <w:rsid w:val="00981A4D"/>
    <w:rsid w:val="00981E99"/>
    <w:rsid w:val="00981EB9"/>
    <w:rsid w:val="009829B7"/>
    <w:rsid w:val="00983729"/>
    <w:rsid w:val="009927C0"/>
    <w:rsid w:val="00995138"/>
    <w:rsid w:val="00996063"/>
    <w:rsid w:val="009961E6"/>
    <w:rsid w:val="009975A9"/>
    <w:rsid w:val="009A2361"/>
    <w:rsid w:val="009A66AE"/>
    <w:rsid w:val="009B4A58"/>
    <w:rsid w:val="009B6C08"/>
    <w:rsid w:val="009B6C65"/>
    <w:rsid w:val="009B752D"/>
    <w:rsid w:val="009C0017"/>
    <w:rsid w:val="009C15F4"/>
    <w:rsid w:val="009C785C"/>
    <w:rsid w:val="009D25F3"/>
    <w:rsid w:val="009D2E8B"/>
    <w:rsid w:val="009D62A3"/>
    <w:rsid w:val="009E23AC"/>
    <w:rsid w:val="009E2A1F"/>
    <w:rsid w:val="009E5241"/>
    <w:rsid w:val="009F231F"/>
    <w:rsid w:val="009F5698"/>
    <w:rsid w:val="009F60C8"/>
    <w:rsid w:val="00A027B2"/>
    <w:rsid w:val="00A140D9"/>
    <w:rsid w:val="00A14A6C"/>
    <w:rsid w:val="00A156A3"/>
    <w:rsid w:val="00A20AD0"/>
    <w:rsid w:val="00A248A9"/>
    <w:rsid w:val="00A25994"/>
    <w:rsid w:val="00A25CE3"/>
    <w:rsid w:val="00A31113"/>
    <w:rsid w:val="00A311BC"/>
    <w:rsid w:val="00A376EC"/>
    <w:rsid w:val="00A37C4B"/>
    <w:rsid w:val="00A407F8"/>
    <w:rsid w:val="00A43192"/>
    <w:rsid w:val="00A47282"/>
    <w:rsid w:val="00A50991"/>
    <w:rsid w:val="00A51F13"/>
    <w:rsid w:val="00A5351D"/>
    <w:rsid w:val="00A53F4A"/>
    <w:rsid w:val="00A56F63"/>
    <w:rsid w:val="00A6077A"/>
    <w:rsid w:val="00A66F66"/>
    <w:rsid w:val="00A71AE5"/>
    <w:rsid w:val="00A7670F"/>
    <w:rsid w:val="00A777E2"/>
    <w:rsid w:val="00A77F16"/>
    <w:rsid w:val="00A84144"/>
    <w:rsid w:val="00A852F5"/>
    <w:rsid w:val="00A90909"/>
    <w:rsid w:val="00A92F60"/>
    <w:rsid w:val="00A93FB9"/>
    <w:rsid w:val="00AA0963"/>
    <w:rsid w:val="00AA1E16"/>
    <w:rsid w:val="00AB77AB"/>
    <w:rsid w:val="00AC002C"/>
    <w:rsid w:val="00AC0E42"/>
    <w:rsid w:val="00AC2EE0"/>
    <w:rsid w:val="00AC6CDD"/>
    <w:rsid w:val="00AD0821"/>
    <w:rsid w:val="00AD1A68"/>
    <w:rsid w:val="00AD38D0"/>
    <w:rsid w:val="00AE108C"/>
    <w:rsid w:val="00AE3AF5"/>
    <w:rsid w:val="00AE5AE2"/>
    <w:rsid w:val="00AE6466"/>
    <w:rsid w:val="00AF1A53"/>
    <w:rsid w:val="00AF43A0"/>
    <w:rsid w:val="00AF60F6"/>
    <w:rsid w:val="00AF7AC7"/>
    <w:rsid w:val="00B00389"/>
    <w:rsid w:val="00B05ADC"/>
    <w:rsid w:val="00B17D31"/>
    <w:rsid w:val="00B17F65"/>
    <w:rsid w:val="00B214DC"/>
    <w:rsid w:val="00B272BE"/>
    <w:rsid w:val="00B3471A"/>
    <w:rsid w:val="00B36AFF"/>
    <w:rsid w:val="00B37A36"/>
    <w:rsid w:val="00B424BC"/>
    <w:rsid w:val="00B42E96"/>
    <w:rsid w:val="00B4489E"/>
    <w:rsid w:val="00B47AD1"/>
    <w:rsid w:val="00B5784C"/>
    <w:rsid w:val="00B60553"/>
    <w:rsid w:val="00B63CA3"/>
    <w:rsid w:val="00B66B1A"/>
    <w:rsid w:val="00B82BE9"/>
    <w:rsid w:val="00B9542C"/>
    <w:rsid w:val="00B95560"/>
    <w:rsid w:val="00B9745D"/>
    <w:rsid w:val="00BA1BCD"/>
    <w:rsid w:val="00BA7FAB"/>
    <w:rsid w:val="00BB6B6E"/>
    <w:rsid w:val="00BC29CA"/>
    <w:rsid w:val="00BC2F4C"/>
    <w:rsid w:val="00BC43AD"/>
    <w:rsid w:val="00BC4A05"/>
    <w:rsid w:val="00BC567D"/>
    <w:rsid w:val="00BC6BA6"/>
    <w:rsid w:val="00BD1767"/>
    <w:rsid w:val="00BE15C1"/>
    <w:rsid w:val="00BE2093"/>
    <w:rsid w:val="00BF0B15"/>
    <w:rsid w:val="00C10622"/>
    <w:rsid w:val="00C12CBB"/>
    <w:rsid w:val="00C16F77"/>
    <w:rsid w:val="00C17412"/>
    <w:rsid w:val="00C17BFA"/>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1EC4"/>
    <w:rsid w:val="00C7606D"/>
    <w:rsid w:val="00C77CA1"/>
    <w:rsid w:val="00C814A5"/>
    <w:rsid w:val="00C82932"/>
    <w:rsid w:val="00C84B2B"/>
    <w:rsid w:val="00C855F6"/>
    <w:rsid w:val="00C96573"/>
    <w:rsid w:val="00CA17B1"/>
    <w:rsid w:val="00CA1C73"/>
    <w:rsid w:val="00CA286A"/>
    <w:rsid w:val="00CA4791"/>
    <w:rsid w:val="00CA7205"/>
    <w:rsid w:val="00CC04B5"/>
    <w:rsid w:val="00CC6953"/>
    <w:rsid w:val="00CD03C6"/>
    <w:rsid w:val="00CD0BB8"/>
    <w:rsid w:val="00CD3849"/>
    <w:rsid w:val="00CE0509"/>
    <w:rsid w:val="00CE2D9C"/>
    <w:rsid w:val="00CE5A9B"/>
    <w:rsid w:val="00CF4D77"/>
    <w:rsid w:val="00CF7384"/>
    <w:rsid w:val="00D00717"/>
    <w:rsid w:val="00D0526B"/>
    <w:rsid w:val="00D221F3"/>
    <w:rsid w:val="00D2343D"/>
    <w:rsid w:val="00D30EAE"/>
    <w:rsid w:val="00D318F1"/>
    <w:rsid w:val="00D40B0E"/>
    <w:rsid w:val="00D416C2"/>
    <w:rsid w:val="00D44CE0"/>
    <w:rsid w:val="00D44FE0"/>
    <w:rsid w:val="00D4694F"/>
    <w:rsid w:val="00D51E19"/>
    <w:rsid w:val="00D5423E"/>
    <w:rsid w:val="00D63F86"/>
    <w:rsid w:val="00D66413"/>
    <w:rsid w:val="00D810DB"/>
    <w:rsid w:val="00D84B95"/>
    <w:rsid w:val="00D932B9"/>
    <w:rsid w:val="00D96483"/>
    <w:rsid w:val="00DA46A0"/>
    <w:rsid w:val="00DA66B7"/>
    <w:rsid w:val="00DB0865"/>
    <w:rsid w:val="00DB0C91"/>
    <w:rsid w:val="00DB7206"/>
    <w:rsid w:val="00DC36C8"/>
    <w:rsid w:val="00DC5A01"/>
    <w:rsid w:val="00DC5C1E"/>
    <w:rsid w:val="00DC761D"/>
    <w:rsid w:val="00DE5433"/>
    <w:rsid w:val="00DE68A7"/>
    <w:rsid w:val="00DF2A65"/>
    <w:rsid w:val="00DF2AE6"/>
    <w:rsid w:val="00DF5A43"/>
    <w:rsid w:val="00DF5F38"/>
    <w:rsid w:val="00DF6AA9"/>
    <w:rsid w:val="00DF7639"/>
    <w:rsid w:val="00E04526"/>
    <w:rsid w:val="00E069D7"/>
    <w:rsid w:val="00E07BAA"/>
    <w:rsid w:val="00E10CC8"/>
    <w:rsid w:val="00E1179E"/>
    <w:rsid w:val="00E14180"/>
    <w:rsid w:val="00E21491"/>
    <w:rsid w:val="00E21D3D"/>
    <w:rsid w:val="00E23336"/>
    <w:rsid w:val="00E31661"/>
    <w:rsid w:val="00E32B52"/>
    <w:rsid w:val="00E34040"/>
    <w:rsid w:val="00E35D91"/>
    <w:rsid w:val="00E3652F"/>
    <w:rsid w:val="00E36830"/>
    <w:rsid w:val="00E44EE2"/>
    <w:rsid w:val="00E46D06"/>
    <w:rsid w:val="00E47EB8"/>
    <w:rsid w:val="00E521D4"/>
    <w:rsid w:val="00E52F1E"/>
    <w:rsid w:val="00E704FD"/>
    <w:rsid w:val="00E71F5F"/>
    <w:rsid w:val="00E750E1"/>
    <w:rsid w:val="00E7795A"/>
    <w:rsid w:val="00E829A3"/>
    <w:rsid w:val="00E84985"/>
    <w:rsid w:val="00E9114A"/>
    <w:rsid w:val="00EA0D5B"/>
    <w:rsid w:val="00EA3948"/>
    <w:rsid w:val="00EA489C"/>
    <w:rsid w:val="00EA7B59"/>
    <w:rsid w:val="00EB0CA7"/>
    <w:rsid w:val="00EB344D"/>
    <w:rsid w:val="00EB4992"/>
    <w:rsid w:val="00EC2B29"/>
    <w:rsid w:val="00ED251D"/>
    <w:rsid w:val="00ED3C2E"/>
    <w:rsid w:val="00EF0947"/>
    <w:rsid w:val="00EF2E52"/>
    <w:rsid w:val="00EF4F85"/>
    <w:rsid w:val="00EF6045"/>
    <w:rsid w:val="00F004A8"/>
    <w:rsid w:val="00F031FB"/>
    <w:rsid w:val="00F13AD1"/>
    <w:rsid w:val="00F15C1B"/>
    <w:rsid w:val="00F247BA"/>
    <w:rsid w:val="00F32228"/>
    <w:rsid w:val="00F32E4A"/>
    <w:rsid w:val="00F33C18"/>
    <w:rsid w:val="00F36D8C"/>
    <w:rsid w:val="00F4710F"/>
    <w:rsid w:val="00F53DA5"/>
    <w:rsid w:val="00F571D1"/>
    <w:rsid w:val="00F57DED"/>
    <w:rsid w:val="00F90A71"/>
    <w:rsid w:val="00F923A5"/>
    <w:rsid w:val="00F93545"/>
    <w:rsid w:val="00F93FCF"/>
    <w:rsid w:val="00F96337"/>
    <w:rsid w:val="00F96FBA"/>
    <w:rsid w:val="00F97261"/>
    <w:rsid w:val="00F9797C"/>
    <w:rsid w:val="00FB0C1B"/>
    <w:rsid w:val="00FB2B5B"/>
    <w:rsid w:val="00FB469E"/>
    <w:rsid w:val="00FB4E06"/>
    <w:rsid w:val="00FB6C6C"/>
    <w:rsid w:val="00FC3483"/>
    <w:rsid w:val="00FC4303"/>
    <w:rsid w:val="00FC4D68"/>
    <w:rsid w:val="00FC56D7"/>
    <w:rsid w:val="00FD2ADA"/>
    <w:rsid w:val="00FD57FF"/>
    <w:rsid w:val="00FD5AB0"/>
    <w:rsid w:val="00FD5BB5"/>
    <w:rsid w:val="00FD675B"/>
    <w:rsid w:val="00FE4594"/>
    <w:rsid w:val="00FE5D1E"/>
    <w:rsid w:val="00FF5D78"/>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54863"/>
  <w15:chartTrackingRefBased/>
  <w15:docId w15:val="{66BCD39B-EF47-4FB8-B68B-19C093B5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4">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97261"/>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F97261"/>
    <w:pPr>
      <w:keepNext/>
      <w:outlineLvl w:val="0"/>
    </w:pPr>
    <w:rPr>
      <w:sz w:val="24"/>
      <w:szCs w:val="24"/>
    </w:rPr>
  </w:style>
  <w:style w:type="paragraph" w:styleId="Heading2">
    <w:name w:val="heading 2"/>
    <w:basedOn w:val="Normal"/>
    <w:next w:val="Normal"/>
    <w:link w:val="Heading2Char"/>
    <w:qFormat/>
    <w:rsid w:val="00F97261"/>
    <w:pPr>
      <w:outlineLvl w:val="1"/>
    </w:pPr>
  </w:style>
  <w:style w:type="paragraph" w:styleId="Heading3">
    <w:name w:val="heading 3"/>
    <w:basedOn w:val="Normal"/>
    <w:next w:val="Normal"/>
    <w:link w:val="Heading3Char"/>
    <w:qFormat/>
    <w:rsid w:val="00F9726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97261"/>
    <w:pPr>
      <w:keepNext/>
      <w:keepLines/>
      <w:spacing w:after="120" w:line="400" w:lineRule="exact"/>
      <w:outlineLvl w:val="0"/>
    </w:pPr>
    <w:rPr>
      <w:b/>
      <w:bCs/>
      <w:sz w:val="24"/>
      <w:szCs w:val="32"/>
    </w:rPr>
  </w:style>
  <w:style w:type="paragraph" w:customStyle="1" w:styleId="HCh">
    <w:name w:val="_ H _Ch"/>
    <w:basedOn w:val="H1"/>
    <w:next w:val="SingleTxt"/>
    <w:qFormat/>
    <w:rsid w:val="00F97261"/>
    <w:pPr>
      <w:spacing w:line="440" w:lineRule="exact"/>
    </w:pPr>
    <w:rPr>
      <w:spacing w:val="-2"/>
      <w:sz w:val="28"/>
      <w:szCs w:val="36"/>
    </w:rPr>
  </w:style>
  <w:style w:type="character" w:styleId="CommentReference">
    <w:name w:val="annotation reference"/>
    <w:basedOn w:val="DefaultParagraphFont"/>
    <w:semiHidden/>
    <w:rsid w:val="00F97261"/>
    <w:rPr>
      <w:sz w:val="6"/>
      <w:szCs w:val="9"/>
    </w:rPr>
  </w:style>
  <w:style w:type="paragraph" w:styleId="FootnoteText">
    <w:name w:val="footnote text"/>
    <w:basedOn w:val="Normal"/>
    <w:link w:val="FootnoteTextChar"/>
    <w:rsid w:val="00F97261"/>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F9726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F97261"/>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F97261"/>
    <w:rPr>
      <w:rFonts w:ascii="Tahoma" w:hAnsi="Tahoma" w:cs="Tahoma"/>
      <w:sz w:val="16"/>
      <w:szCs w:val="16"/>
    </w:rPr>
  </w:style>
  <w:style w:type="paragraph" w:customStyle="1" w:styleId="HM">
    <w:name w:val="_ H __M"/>
    <w:basedOn w:val="HCh"/>
    <w:next w:val="Normal"/>
    <w:qFormat/>
    <w:rsid w:val="00F97261"/>
    <w:pPr>
      <w:suppressAutoHyphens/>
      <w:spacing w:line="520" w:lineRule="exact"/>
    </w:pPr>
    <w:rPr>
      <w:spacing w:val="-3"/>
      <w:sz w:val="34"/>
      <w:szCs w:val="48"/>
    </w:rPr>
  </w:style>
  <w:style w:type="paragraph" w:customStyle="1" w:styleId="SingleTxt">
    <w:name w:val="__Single Txt"/>
    <w:basedOn w:val="Normal"/>
    <w:qFormat/>
    <w:rsid w:val="00F97261"/>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F97261"/>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F97261"/>
    <w:pPr>
      <w:keepNext/>
      <w:keepLines/>
      <w:suppressAutoHyphens/>
      <w:spacing w:after="120"/>
      <w:outlineLvl w:val="3"/>
    </w:pPr>
    <w:rPr>
      <w:i/>
      <w:iCs/>
    </w:rPr>
  </w:style>
  <w:style w:type="paragraph" w:customStyle="1" w:styleId="H56">
    <w:name w:val="_ H_5/6"/>
    <w:basedOn w:val="Normal"/>
    <w:next w:val="Normal"/>
    <w:qFormat/>
    <w:rsid w:val="00F97261"/>
    <w:pPr>
      <w:keepNext/>
      <w:keepLines/>
      <w:suppressAutoHyphens/>
      <w:spacing w:after="120"/>
      <w:outlineLvl w:val="4"/>
    </w:pPr>
  </w:style>
  <w:style w:type="paragraph" w:customStyle="1" w:styleId="DualTxt">
    <w:name w:val="__Dual Txt"/>
    <w:basedOn w:val="Normal"/>
    <w:qFormat/>
    <w:rsid w:val="00F97261"/>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F9726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97261"/>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F97261"/>
    <w:rPr>
      <w:rFonts w:eastAsiaTheme="minorHAnsi"/>
      <w:b/>
      <w:bCs/>
      <w:kern w:val="14"/>
      <w:sz w:val="17"/>
      <w:szCs w:val="25"/>
      <w:lang w:eastAsia="en-US"/>
    </w:rPr>
  </w:style>
  <w:style w:type="paragraph" w:styleId="Header">
    <w:name w:val="header"/>
    <w:link w:val="HeaderChar"/>
    <w:qFormat/>
    <w:rsid w:val="00F97261"/>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F97261"/>
    <w:rPr>
      <w:rFonts w:eastAsiaTheme="minorHAnsi"/>
      <w:b/>
      <w:bCs/>
      <w:w w:val="105"/>
      <w:kern w:val="14"/>
      <w:sz w:val="17"/>
      <w:szCs w:val="25"/>
      <w:lang w:eastAsia="en-US"/>
    </w:rPr>
  </w:style>
  <w:style w:type="character" w:customStyle="1" w:styleId="Heading3Char">
    <w:name w:val="Heading 3 Char"/>
    <w:basedOn w:val="DefaultParagraphFont"/>
    <w:link w:val="Heading3"/>
    <w:rsid w:val="00F97261"/>
    <w:rPr>
      <w:rFonts w:ascii="Arial" w:eastAsiaTheme="majorEastAsia" w:hAnsi="Arial" w:cs="Arial"/>
      <w:b/>
      <w:bCs/>
      <w:kern w:val="14"/>
      <w:sz w:val="26"/>
      <w:szCs w:val="26"/>
      <w:lang w:eastAsia="en-US"/>
    </w:rPr>
  </w:style>
  <w:style w:type="paragraph" w:customStyle="1" w:styleId="JSingleTxt">
    <w:name w:val="J__Single Txt"/>
    <w:basedOn w:val="Normal"/>
    <w:qFormat/>
    <w:rsid w:val="00F9726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97261"/>
    <w:pPr>
      <w:spacing w:after="120" w:line="440" w:lineRule="exact"/>
      <w:jc w:val="center"/>
    </w:pPr>
    <w:rPr>
      <w:b/>
      <w:bCs/>
      <w:sz w:val="25"/>
      <w:szCs w:val="38"/>
    </w:rPr>
  </w:style>
  <w:style w:type="paragraph" w:customStyle="1" w:styleId="JH1">
    <w:name w:val="J_H_1"/>
    <w:basedOn w:val="JCH"/>
    <w:qFormat/>
    <w:rsid w:val="00F97261"/>
    <w:pPr>
      <w:spacing w:line="420" w:lineRule="exact"/>
    </w:pPr>
    <w:rPr>
      <w:sz w:val="23"/>
      <w:szCs w:val="34"/>
    </w:rPr>
  </w:style>
  <w:style w:type="paragraph" w:customStyle="1" w:styleId="JH2">
    <w:name w:val="J_H_2"/>
    <w:basedOn w:val="JH1"/>
    <w:qFormat/>
    <w:rsid w:val="00F97261"/>
    <w:pPr>
      <w:spacing w:line="400" w:lineRule="exact"/>
    </w:pPr>
    <w:rPr>
      <w:sz w:val="20"/>
      <w:szCs w:val="30"/>
    </w:rPr>
  </w:style>
  <w:style w:type="paragraph" w:customStyle="1" w:styleId="JSmall">
    <w:name w:val="J_Small"/>
    <w:basedOn w:val="JSingleTxt"/>
    <w:next w:val="JSingleTxt"/>
    <w:qFormat/>
    <w:rsid w:val="00F9726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9726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97261"/>
    <w:rPr>
      <w:sz w:val="14"/>
      <w:szCs w:val="16"/>
    </w:rPr>
  </w:style>
  <w:style w:type="paragraph" w:customStyle="1" w:styleId="SmallX">
    <w:name w:val="SmallX"/>
    <w:basedOn w:val="Small"/>
    <w:next w:val="Normal"/>
    <w:qFormat/>
    <w:rsid w:val="00F97261"/>
    <w:pPr>
      <w:spacing w:line="240" w:lineRule="exact"/>
    </w:pPr>
    <w:rPr>
      <w:spacing w:val="6"/>
      <w:w w:val="106"/>
      <w:sz w:val="14"/>
      <w:szCs w:val="21"/>
    </w:rPr>
  </w:style>
  <w:style w:type="paragraph" w:customStyle="1" w:styleId="XLarge">
    <w:name w:val="XLarge"/>
    <w:basedOn w:val="HM"/>
    <w:qFormat/>
    <w:rsid w:val="00F9726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97261"/>
    <w:pPr>
      <w:spacing w:line="820" w:lineRule="exact"/>
    </w:pPr>
    <w:rPr>
      <w:spacing w:val="-8"/>
      <w:w w:val="96"/>
      <w:sz w:val="57"/>
      <w:szCs w:val="86"/>
    </w:rPr>
  </w:style>
  <w:style w:type="paragraph" w:customStyle="1" w:styleId="Distribution">
    <w:name w:val="Distribution"/>
    <w:basedOn w:val="Normal"/>
    <w:next w:val="Normal"/>
    <w:qFormat/>
    <w:rsid w:val="00F9726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9726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F97261"/>
    <w:pPr>
      <w:tabs>
        <w:tab w:val="left" w:pos="662"/>
        <w:tab w:val="left" w:pos="1267"/>
        <w:tab w:val="left" w:pos="1987"/>
        <w:tab w:val="left" w:pos="2650"/>
      </w:tabs>
      <w:spacing w:line="240" w:lineRule="exact"/>
    </w:pPr>
  </w:style>
  <w:style w:type="paragraph" w:customStyle="1" w:styleId="ReleaseDate">
    <w:name w:val="Release Date"/>
    <w:next w:val="Footer"/>
    <w:qFormat/>
    <w:rsid w:val="00F97261"/>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F97261"/>
    <w:pPr>
      <w:tabs>
        <w:tab w:val="left" w:pos="662"/>
        <w:tab w:val="left" w:pos="1267"/>
        <w:tab w:val="left" w:pos="1987"/>
        <w:tab w:val="left" w:pos="2650"/>
      </w:tabs>
      <w:ind w:left="663" w:hanging="663"/>
    </w:pPr>
  </w:style>
  <w:style w:type="paragraph" w:customStyle="1" w:styleId="Committee">
    <w:name w:val="Committee"/>
    <w:basedOn w:val="H1"/>
    <w:qFormat/>
    <w:rsid w:val="00F97261"/>
    <w:pPr>
      <w:tabs>
        <w:tab w:val="left" w:pos="662"/>
        <w:tab w:val="left" w:pos="1267"/>
        <w:tab w:val="left" w:pos="1987"/>
        <w:tab w:val="left" w:pos="2650"/>
      </w:tabs>
      <w:ind w:right="1264"/>
    </w:pPr>
  </w:style>
  <w:style w:type="paragraph" w:customStyle="1" w:styleId="AgendaItemNormal">
    <w:name w:val="Agenda_Item_Normal"/>
    <w:next w:val="Normal"/>
    <w:qFormat/>
    <w:rsid w:val="00F97261"/>
    <w:pPr>
      <w:spacing w:line="360" w:lineRule="exact"/>
      <w:jc w:val="both"/>
    </w:pPr>
    <w:rPr>
      <w:rFonts w:eastAsiaTheme="minorHAnsi"/>
      <w:w w:val="103"/>
      <w:kern w:val="14"/>
      <w:szCs w:val="28"/>
      <w:lang w:eastAsia="en-US"/>
    </w:rPr>
  </w:style>
  <w:style w:type="paragraph" w:customStyle="1" w:styleId="Sponsors">
    <w:name w:val="Sponsors"/>
    <w:basedOn w:val="H23"/>
    <w:qFormat/>
    <w:rsid w:val="00F97261"/>
    <w:pPr>
      <w:tabs>
        <w:tab w:val="right" w:pos="1022"/>
        <w:tab w:val="left" w:pos="1267"/>
        <w:tab w:val="left" w:pos="1930"/>
        <w:tab w:val="left" w:pos="2592"/>
        <w:tab w:val="left" w:pos="3254"/>
      </w:tabs>
      <w:ind w:left="1264" w:right="1264" w:hanging="1264"/>
    </w:pPr>
  </w:style>
  <w:style w:type="paragraph" w:customStyle="1" w:styleId="TitleHCH">
    <w:name w:val="Title_H_CH"/>
    <w:basedOn w:val="H1"/>
    <w:next w:val="SingleTxt"/>
    <w:qFormat/>
    <w:rsid w:val="00F97261"/>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pPr>
    <w:rPr>
      <w:spacing w:val="-2"/>
      <w:sz w:val="28"/>
      <w:szCs w:val="36"/>
    </w:rPr>
  </w:style>
  <w:style w:type="paragraph" w:customStyle="1" w:styleId="TitleH1">
    <w:name w:val="Title_H1"/>
    <w:basedOn w:val="Normal"/>
    <w:next w:val="Normal"/>
    <w:qFormat/>
    <w:rsid w:val="00F9726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outlineLvl w:val="0"/>
    </w:pPr>
    <w:rPr>
      <w:bCs/>
      <w:sz w:val="24"/>
      <w:szCs w:val="32"/>
    </w:rPr>
  </w:style>
  <w:style w:type="paragraph" w:customStyle="1" w:styleId="TitleH2">
    <w:name w:val="Title_H2"/>
    <w:basedOn w:val="H1"/>
    <w:next w:val="Normal"/>
    <w:qFormat/>
    <w:rsid w:val="00F97261"/>
    <w:pPr>
      <w:tabs>
        <w:tab w:val="right" w:pos="1022"/>
        <w:tab w:val="left" w:pos="1267"/>
        <w:tab w:val="left" w:pos="1930"/>
        <w:tab w:val="left" w:pos="2592"/>
        <w:tab w:val="left" w:pos="3254"/>
        <w:tab w:val="left" w:pos="3917"/>
        <w:tab w:val="left" w:pos="4579"/>
        <w:tab w:val="left" w:pos="5242"/>
        <w:tab w:val="left" w:pos="5904"/>
        <w:tab w:val="left" w:pos="6566"/>
      </w:tabs>
      <w:spacing w:line="360" w:lineRule="exact"/>
      <w:outlineLvl w:val="1"/>
    </w:pPr>
    <w:rPr>
      <w:spacing w:val="2"/>
      <w:sz w:val="20"/>
      <w:szCs w:val="28"/>
    </w:rPr>
  </w:style>
  <w:style w:type="character" w:styleId="Hyperlink">
    <w:name w:val="Hyperlink"/>
    <w:basedOn w:val="DefaultParagraphFont"/>
    <w:rsid w:val="00F97261"/>
    <w:rPr>
      <w:color w:val="0000FF" w:themeColor="hyperlink"/>
      <w:u w:val="single"/>
    </w:rPr>
  </w:style>
  <w:style w:type="character" w:styleId="FollowedHyperlink">
    <w:name w:val="FollowedHyperlink"/>
    <w:basedOn w:val="DefaultParagraphFont"/>
    <w:rsid w:val="00F97261"/>
    <w:rPr>
      <w:color w:val="0000FF"/>
      <w:u w:val="single"/>
    </w:rPr>
  </w:style>
  <w:style w:type="paragraph" w:customStyle="1" w:styleId="Bullet1">
    <w:name w:val="Bullet 1"/>
    <w:basedOn w:val="Normal"/>
    <w:qFormat/>
    <w:rsid w:val="00F97261"/>
    <w:pPr>
      <w:numPr>
        <w:numId w:val="28"/>
      </w:numPr>
      <w:spacing w:after="120"/>
      <w:ind w:right="1264"/>
    </w:pPr>
  </w:style>
  <w:style w:type="paragraph" w:customStyle="1" w:styleId="Bullet2">
    <w:name w:val="Bullet 2"/>
    <w:basedOn w:val="Normal"/>
    <w:qFormat/>
    <w:rsid w:val="00F97261"/>
    <w:pPr>
      <w:numPr>
        <w:numId w:val="29"/>
      </w:numPr>
      <w:spacing w:after="120"/>
      <w:ind w:right="1264"/>
    </w:pPr>
  </w:style>
  <w:style w:type="character" w:styleId="EndnoteReference">
    <w:name w:val="endnote reference"/>
    <w:basedOn w:val="DefaultParagraphFont"/>
    <w:semiHidden/>
    <w:rsid w:val="00F9726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7261"/>
    <w:pPr>
      <w:numPr>
        <w:numId w:val="30"/>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F97261"/>
    <w:pPr>
      <w:spacing w:line="360" w:lineRule="exact"/>
      <w:outlineLvl w:val="1"/>
    </w:pPr>
    <w:rPr>
      <w:spacing w:val="2"/>
      <w:sz w:val="20"/>
      <w:szCs w:val="28"/>
    </w:rPr>
  </w:style>
  <w:style w:type="character" w:customStyle="1" w:styleId="BalloonTextChar">
    <w:name w:val="Balloon Text Char"/>
    <w:basedOn w:val="DefaultParagraphFont"/>
    <w:link w:val="BalloonText"/>
    <w:semiHidden/>
    <w:rsid w:val="00F97261"/>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F97261"/>
    <w:rPr>
      <w:rFonts w:eastAsiaTheme="minorHAnsi"/>
      <w:kern w:val="14"/>
      <w:sz w:val="17"/>
      <w:szCs w:val="24"/>
      <w:lang w:eastAsia="en-US"/>
    </w:rPr>
  </w:style>
  <w:style w:type="character" w:customStyle="1" w:styleId="EndnoteTextChar">
    <w:name w:val="Endnote Text Char"/>
    <w:basedOn w:val="DefaultParagraphFont"/>
    <w:link w:val="EndnoteText"/>
    <w:semiHidden/>
    <w:rsid w:val="00F97261"/>
    <w:rPr>
      <w:rFonts w:eastAsiaTheme="minorHAnsi"/>
      <w:kern w:val="14"/>
      <w:sz w:val="17"/>
      <w:szCs w:val="24"/>
      <w:lang w:eastAsia="en-US"/>
    </w:rPr>
  </w:style>
  <w:style w:type="character" w:customStyle="1" w:styleId="Heading1Char">
    <w:name w:val="Heading 1 Char"/>
    <w:basedOn w:val="DefaultParagraphFont"/>
    <w:link w:val="Heading1"/>
    <w:rsid w:val="00F97261"/>
    <w:rPr>
      <w:rFonts w:eastAsiaTheme="minorHAnsi"/>
      <w:kern w:val="14"/>
      <w:sz w:val="24"/>
      <w:szCs w:val="24"/>
      <w:lang w:eastAsia="en-US"/>
    </w:rPr>
  </w:style>
  <w:style w:type="character" w:customStyle="1" w:styleId="Heading2Char">
    <w:name w:val="Heading 2 Char"/>
    <w:basedOn w:val="DefaultParagraphFont"/>
    <w:link w:val="Heading2"/>
    <w:rsid w:val="00F97261"/>
    <w:rPr>
      <w:rFonts w:eastAsiaTheme="minorHAnsi"/>
      <w:kern w:val="14"/>
      <w:szCs w:val="28"/>
      <w:lang w:eastAsia="en-US"/>
    </w:rPr>
  </w:style>
  <w:style w:type="paragraph" w:styleId="CommentText">
    <w:name w:val="annotation text"/>
    <w:basedOn w:val="Normal"/>
    <w:link w:val="CommentTextChar"/>
    <w:semiHidden/>
    <w:unhideWhenUsed/>
    <w:rsid w:val="00A852F5"/>
    <w:pPr>
      <w:spacing w:line="240" w:lineRule="auto"/>
    </w:pPr>
    <w:rPr>
      <w:szCs w:val="20"/>
    </w:rPr>
  </w:style>
  <w:style w:type="character" w:customStyle="1" w:styleId="CommentTextChar">
    <w:name w:val="Comment Text Char"/>
    <w:basedOn w:val="DefaultParagraphFont"/>
    <w:link w:val="CommentText"/>
    <w:semiHidden/>
    <w:rsid w:val="00A852F5"/>
    <w:rPr>
      <w:rFonts w:eastAsiaTheme="minorHAnsi"/>
      <w:kern w:val="14"/>
      <w:lang w:eastAsia="en-US"/>
    </w:rPr>
  </w:style>
  <w:style w:type="paragraph" w:styleId="CommentSubject">
    <w:name w:val="annotation subject"/>
    <w:basedOn w:val="CommentText"/>
    <w:next w:val="CommentText"/>
    <w:link w:val="CommentSubjectChar"/>
    <w:semiHidden/>
    <w:unhideWhenUsed/>
    <w:rsid w:val="00A852F5"/>
    <w:rPr>
      <w:b/>
      <w:bCs/>
    </w:rPr>
  </w:style>
  <w:style w:type="character" w:customStyle="1" w:styleId="CommentSubjectChar">
    <w:name w:val="Comment Subject Char"/>
    <w:basedOn w:val="CommentTextChar"/>
    <w:link w:val="CommentSubject"/>
    <w:semiHidden/>
    <w:rsid w:val="00A852F5"/>
    <w:rPr>
      <w:rFonts w:eastAsiaTheme="minorHAnsi"/>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1AE4-92CB-4DB5-AAD3-F8362E32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1589</Words>
  <Characters>8012</Characters>
  <Application>Microsoft Office Word</Application>
  <DocSecurity>0</DocSecurity>
  <Lines>143</Lines>
  <Paragraphs>44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Shery Rizk</dc:creator>
  <cp:keywords/>
  <dc:description/>
  <cp:lastModifiedBy>Ahmad Jouejati</cp:lastModifiedBy>
  <cp:revision>3</cp:revision>
  <cp:lastPrinted>2014-05-15T21:29:00Z</cp:lastPrinted>
  <dcterms:created xsi:type="dcterms:W3CDTF">2017-12-27T17:50:00Z</dcterms:created>
  <dcterms:modified xsi:type="dcterms:W3CDTF">2017-12-27T19:05:00Z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1721674</vt:lpwstr>
  </property>
  <property fmtid="{D5CDD505-2E9C-101B-9397-08002B2CF9AE}" pid="3" name="ODSRefJobNo">
    <vt:lpwstr>1741574A</vt:lpwstr>
  </property>
  <property fmtid="{D5CDD505-2E9C-101B-9397-08002B2CF9AE}" pid="4" name="Symbol1">
    <vt:lpwstr>CEDAW/C/68/D/95/2015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20 November 2017</vt:lpwstr>
  </property>
  <property fmtid="{D5CDD505-2E9C-101B-9397-08002B2CF9AE}" pid="11" name="Original">
    <vt:lpwstr>English</vt:lpwstr>
  </property>
  <property fmtid="{D5CDD505-2E9C-101B-9397-08002B2CF9AE}" pid="12" name="Release Date">
    <vt:lpwstr>271217</vt:lpwstr>
  </property>
  <property fmtid="{D5CDD505-2E9C-101B-9397-08002B2CF9AE}" pid="13" name="Title1">
    <vt:lpwstr>اللجنة المعنية بالقضاء على التمييز ضد المرأة</vt:lpwstr>
  </property>
  <property fmtid="{D5CDD505-2E9C-101B-9397-08002B2CF9AE}" pid="14" name="Title2">
    <vt:lpwstr>		القرار الذي اعتمدته اللجنة بموجب المادة ٤ (2) (هـ) من البروتوكول الاختياري، بشأن الرسالة رقم 95/2015*، **</vt:lpwstr>
  </property>
  <property fmtid="{D5CDD505-2E9C-101B-9397-08002B2CF9AE}" pid="15" name="Comment">
    <vt:lpwstr>ENGLISH FINAL TEXT </vt:lpwstr>
  </property>
  <property fmtid="{D5CDD505-2E9C-101B-9397-08002B2CF9AE}" pid="16" name="DraftPages">
    <vt:lpwstr> 5</vt:lpwstr>
  </property>
  <property fmtid="{D5CDD505-2E9C-101B-9397-08002B2CF9AE}" pid="17" name="Operator">
    <vt:lpwstr>أحمد</vt:lpwstr>
  </property>
</Properties>
</file>