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F6" w:rsidRDefault="00250DF6" w:rsidP="00250DF6">
      <w:pPr>
        <w:spacing w:line="60" w:lineRule="exact"/>
        <w:rPr>
          <w:color w:val="010000"/>
          <w:sz w:val="6"/>
        </w:rPr>
        <w:sectPr w:rsidR="00250DF6" w:rsidSect="00250D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B1045A" w:rsidRPr="00B1045A" w:rsidRDefault="00B1045A" w:rsidP="00B1045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Style w:val="H1GChar"/>
          <w:rFonts w:eastAsia="Calibri"/>
          <w:szCs w:val="24"/>
          <w:lang w:val="ru-RU"/>
        </w:rPr>
      </w:pPr>
      <w:r w:rsidRPr="000F24B4">
        <w:t>Комитет по ликвидации дискриминации</w:t>
      </w:r>
      <w:r w:rsidRPr="00B1045A">
        <w:br/>
      </w:r>
      <w:r w:rsidRPr="000F24B4">
        <w:t>в отношении женщин</w:t>
      </w:r>
    </w:p>
    <w:p w:rsidR="00B1045A" w:rsidRPr="00B1045A" w:rsidRDefault="00B1045A" w:rsidP="00B1045A">
      <w:pPr>
        <w:rPr>
          <w:b/>
        </w:rPr>
      </w:pPr>
      <w:r w:rsidRPr="00B1045A">
        <w:rPr>
          <w:b/>
        </w:rPr>
        <w:t>Шестидесятая сессия</w:t>
      </w:r>
    </w:p>
    <w:p w:rsidR="00B1045A" w:rsidRPr="00B1045A" w:rsidRDefault="00B1045A" w:rsidP="00B1045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1045A">
        <w:t>16</w:t>
      </w:r>
      <w:r>
        <w:t xml:space="preserve"> февраля — </w:t>
      </w:r>
      <w:r w:rsidRPr="00B1045A">
        <w:t>6</w:t>
      </w:r>
      <w:r>
        <w:t> марта</w:t>
      </w:r>
      <w:r w:rsidRPr="00B1045A">
        <w:t xml:space="preserve"> 2015</w:t>
      </w:r>
      <w:r>
        <w:t> года</w:t>
      </w:r>
    </w:p>
    <w:p w:rsidR="00B1045A" w:rsidRPr="000F24B4" w:rsidRDefault="00B1045A" w:rsidP="00B1045A">
      <w:r>
        <w:t>Пункт</w:t>
      </w:r>
      <w:r w:rsidRPr="00DD4FBF">
        <w:t xml:space="preserve"> 6 </w:t>
      </w:r>
      <w:r>
        <w:t>предварительной повестки дня</w:t>
      </w:r>
      <w:r w:rsidRPr="00B1045A">
        <w:rPr>
          <w:rStyle w:val="FootnoteReference"/>
        </w:rPr>
        <w:footnoteReference w:customMarkFollows="1" w:id="1"/>
        <w:t>*</w:t>
      </w:r>
    </w:p>
    <w:p w:rsidR="00B1045A" w:rsidRDefault="00B1045A" w:rsidP="00B1045A">
      <w:pPr>
        <w:rPr>
          <w:b/>
          <w:szCs w:val="24"/>
        </w:rPr>
      </w:pPr>
      <w:r w:rsidRPr="00D30B39">
        <w:rPr>
          <w:b/>
          <w:szCs w:val="24"/>
        </w:rPr>
        <w:t>Осуществление статей</w:t>
      </w:r>
      <w:r w:rsidR="00D30B39">
        <w:rPr>
          <w:b/>
          <w:szCs w:val="24"/>
        </w:rPr>
        <w:t> </w:t>
      </w:r>
      <w:r w:rsidRPr="00D30B39">
        <w:rPr>
          <w:b/>
          <w:szCs w:val="24"/>
        </w:rPr>
        <w:t xml:space="preserve">21 и 22 Конвенции </w:t>
      </w:r>
      <w:r w:rsidRPr="00D30B39">
        <w:rPr>
          <w:b/>
          <w:szCs w:val="24"/>
        </w:rPr>
        <w:br/>
        <w:t xml:space="preserve">о ликвидации всех форм дискриминации </w:t>
      </w:r>
      <w:r w:rsidRPr="00D30B39">
        <w:rPr>
          <w:b/>
          <w:szCs w:val="24"/>
        </w:rPr>
        <w:br/>
        <w:t>в отношении женщин</w:t>
      </w:r>
    </w:p>
    <w:p w:rsidR="00D30B39" w:rsidRPr="00D30B39" w:rsidRDefault="00D30B39" w:rsidP="00D30B39">
      <w:pPr>
        <w:spacing w:line="120" w:lineRule="exact"/>
        <w:rPr>
          <w:b/>
          <w:sz w:val="10"/>
          <w:szCs w:val="24"/>
        </w:rPr>
      </w:pPr>
    </w:p>
    <w:p w:rsidR="00D30B39" w:rsidRPr="00D30B39" w:rsidRDefault="00D30B39" w:rsidP="00D30B39">
      <w:pPr>
        <w:spacing w:line="120" w:lineRule="exact"/>
        <w:rPr>
          <w:b/>
          <w:sz w:val="10"/>
          <w:szCs w:val="24"/>
        </w:rPr>
      </w:pPr>
    </w:p>
    <w:p w:rsidR="00D30B39" w:rsidRPr="00D30B39" w:rsidRDefault="00D30B39" w:rsidP="00D30B39">
      <w:pPr>
        <w:spacing w:line="120" w:lineRule="exact"/>
        <w:rPr>
          <w:b/>
          <w:sz w:val="10"/>
          <w:szCs w:val="24"/>
        </w:rPr>
      </w:pPr>
    </w:p>
    <w:p w:rsidR="00B1045A" w:rsidRDefault="00D30B39" w:rsidP="00D30B3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szCs w:val="24"/>
        </w:rPr>
        <w:tab/>
      </w:r>
      <w:r w:rsidR="00B1045A" w:rsidRPr="00323E71">
        <w:rPr>
          <w:szCs w:val="24"/>
        </w:rPr>
        <w:tab/>
      </w:r>
      <w:r w:rsidR="00B1045A" w:rsidRPr="00323E71">
        <w:t>Доклады специализированных учреждений об</w:t>
      </w:r>
      <w:r>
        <w:t> </w:t>
      </w:r>
      <w:r w:rsidR="00B1045A" w:rsidRPr="00323E71">
        <w:t>осуществлении Конвенции о ликвидации всех форм дискриминации в отношении женщин в областях, входящих в</w:t>
      </w:r>
      <w:r>
        <w:t xml:space="preserve"> </w:t>
      </w:r>
      <w:r w:rsidR="00B1045A" w:rsidRPr="00323E71">
        <w:t>сферу их деятельности</w:t>
      </w:r>
    </w:p>
    <w:p w:rsidR="00D30B39" w:rsidRPr="00D30B39" w:rsidRDefault="00D30B39" w:rsidP="00D30B39">
      <w:pPr>
        <w:pStyle w:val="SingleTxt"/>
        <w:spacing w:after="0" w:line="120" w:lineRule="exact"/>
        <w:rPr>
          <w:sz w:val="10"/>
        </w:rPr>
      </w:pPr>
    </w:p>
    <w:p w:rsidR="00D30B39" w:rsidRPr="00D30B39" w:rsidRDefault="00D30B39" w:rsidP="00D30B39">
      <w:pPr>
        <w:pStyle w:val="SingleTxt"/>
        <w:spacing w:after="0" w:line="120" w:lineRule="exact"/>
        <w:rPr>
          <w:sz w:val="10"/>
        </w:rPr>
      </w:pPr>
    </w:p>
    <w:p w:rsidR="00B1045A" w:rsidRDefault="00B1045A" w:rsidP="00D30B3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 w:rsidRPr="00323E71">
        <w:rPr>
          <w:szCs w:val="24"/>
        </w:rPr>
        <w:tab/>
      </w:r>
      <w:r w:rsidRPr="00323E71">
        <w:rPr>
          <w:szCs w:val="24"/>
        </w:rPr>
        <w:tab/>
      </w:r>
      <w:r w:rsidRPr="00323E71">
        <w:t>Доклад Международной организации труда</w:t>
      </w:r>
      <w:r w:rsidRPr="00B1045A">
        <w:rPr>
          <w:rStyle w:val="FootnoteReference"/>
          <w:b w:val="0"/>
          <w:sz w:val="20"/>
        </w:rPr>
        <w:footnoteReference w:customMarkFollows="1" w:id="2"/>
        <w:t>**</w:t>
      </w:r>
    </w:p>
    <w:p w:rsidR="00D30B39" w:rsidRPr="00D30B39" w:rsidRDefault="00D30B39" w:rsidP="00D30B39">
      <w:pPr>
        <w:pStyle w:val="SingleTxt"/>
        <w:spacing w:after="0" w:line="120" w:lineRule="exact"/>
        <w:rPr>
          <w:sz w:val="10"/>
        </w:rPr>
      </w:pPr>
    </w:p>
    <w:p w:rsidR="00D30B39" w:rsidRPr="00D30B39" w:rsidRDefault="00D30B39" w:rsidP="00D30B39">
      <w:pPr>
        <w:pStyle w:val="SingleTxt"/>
        <w:spacing w:after="0" w:line="120" w:lineRule="exact"/>
        <w:rPr>
          <w:sz w:val="10"/>
        </w:rPr>
      </w:pPr>
    </w:p>
    <w:tbl>
      <w:tblPr>
        <w:tblW w:w="9922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2"/>
      </w:tblGrid>
      <w:tr w:rsidR="00D30B39" w:rsidTr="00D30B39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top w:val="single" w:sz="2" w:space="0" w:color="auto"/>
            </w:tcBorders>
            <w:shd w:val="clear" w:color="auto" w:fill="auto"/>
          </w:tcPr>
          <w:p w:rsidR="00D30B39" w:rsidRPr="00D30B39" w:rsidRDefault="00D30B39" w:rsidP="00D30B39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D30B39" w:rsidTr="00D30B39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clear" w:color="auto" w:fill="auto"/>
          </w:tcPr>
          <w:p w:rsidR="00D30B39" w:rsidRPr="00D30B39" w:rsidRDefault="00D30B39" w:rsidP="00781E18">
            <w:pPr>
              <w:pStyle w:val="SingleTxt"/>
            </w:pPr>
            <w:r>
              <w:tab/>
            </w:r>
            <w:r w:rsidRPr="00D30B39">
              <w:t>В соответствии со статьей</w:t>
            </w:r>
            <w:r w:rsidR="00781E18">
              <w:t> </w:t>
            </w:r>
            <w:r w:rsidRPr="00D30B39">
              <w:t>22 Конвенции о ликвидации всех форм дискр</w:t>
            </w:r>
            <w:r w:rsidRPr="00D30B39">
              <w:t>и</w:t>
            </w:r>
            <w:r w:rsidRPr="00D30B39">
              <w:t>минации в отношении женщин специализированным учреждениям Организ</w:t>
            </w:r>
            <w:r w:rsidRPr="00D30B39">
              <w:t>а</w:t>
            </w:r>
            <w:r w:rsidRPr="00D30B39">
              <w:t>ции Объединенных Наций было предложено представить Комитету по ликвид</w:t>
            </w:r>
            <w:r w:rsidRPr="00D30B39">
              <w:t>а</w:t>
            </w:r>
            <w:r w:rsidRPr="00D30B39">
              <w:t>ции дискриминации в отношении женщин на его шестидесятой сессии докл</w:t>
            </w:r>
            <w:r w:rsidRPr="00D30B39">
              <w:t>а</w:t>
            </w:r>
            <w:r w:rsidRPr="00D30B39">
              <w:t>ды об осуществлении Конвенции в областях, входящих в сферу их деятельн</w:t>
            </w:r>
            <w:r w:rsidRPr="00D30B39">
              <w:t>о</w:t>
            </w:r>
            <w:r w:rsidRPr="00D30B39">
              <w:t>сти.</w:t>
            </w:r>
          </w:p>
        </w:tc>
      </w:tr>
      <w:tr w:rsidR="00D30B39" w:rsidTr="00D30B39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bottom w:val="single" w:sz="2" w:space="0" w:color="auto"/>
            </w:tcBorders>
            <w:shd w:val="clear" w:color="auto" w:fill="auto"/>
          </w:tcPr>
          <w:p w:rsidR="00D30B39" w:rsidRPr="00D30B39" w:rsidRDefault="00D30B39" w:rsidP="00D30B39">
            <w:pPr>
              <w:pStyle w:val="SingleTxt"/>
            </w:pPr>
          </w:p>
        </w:tc>
      </w:tr>
    </w:tbl>
    <w:p w:rsidR="00D30B39" w:rsidRPr="00D30B39" w:rsidRDefault="00D30B39" w:rsidP="00D30B39">
      <w:pPr>
        <w:pStyle w:val="SingleTxt"/>
        <w:spacing w:after="0" w:line="120" w:lineRule="exact"/>
        <w:rPr>
          <w:sz w:val="10"/>
        </w:rPr>
      </w:pPr>
    </w:p>
    <w:p w:rsidR="00D30B39" w:rsidRPr="00D30B39" w:rsidRDefault="00D30B39" w:rsidP="00D30B39">
      <w:pPr>
        <w:pStyle w:val="SingleTxt"/>
        <w:spacing w:after="0" w:line="120" w:lineRule="exact"/>
        <w:rPr>
          <w:sz w:val="10"/>
        </w:rPr>
      </w:pPr>
    </w:p>
    <w:p w:rsidR="00D30B39" w:rsidRPr="00D30B39" w:rsidRDefault="00D30B39" w:rsidP="00D30B39">
      <w:pPr>
        <w:pStyle w:val="SingleTxt"/>
        <w:spacing w:after="0" w:line="120" w:lineRule="exact"/>
        <w:rPr>
          <w:sz w:val="10"/>
        </w:rPr>
      </w:pPr>
    </w:p>
    <w:p w:rsidR="00B1045A" w:rsidRPr="00781E18" w:rsidRDefault="00781E18" w:rsidP="00781E18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FA3186" w:rsidRPr="00FA3186" w:rsidRDefault="00FA3186" w:rsidP="00FA3186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7056"/>
        <w:gridCol w:w="994"/>
        <w:gridCol w:w="720"/>
      </w:tblGrid>
      <w:tr w:rsidR="00FA3186" w:rsidRPr="00FA3186" w:rsidTr="00FA3186">
        <w:tblPrEx>
          <w:tblCellMar>
            <w:top w:w="0" w:type="dxa"/>
            <w:bottom w:w="0" w:type="dxa"/>
          </w:tblCellMar>
        </w:tblPrEx>
        <w:tc>
          <w:tcPr>
            <w:tcW w:w="1060" w:type="dxa"/>
            <w:shd w:val="clear" w:color="auto" w:fill="auto"/>
          </w:tcPr>
          <w:p w:rsidR="00FA3186" w:rsidRPr="00FA3186" w:rsidRDefault="00FA3186" w:rsidP="00FA3186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FA3186" w:rsidRPr="00FA3186" w:rsidRDefault="00FA3186" w:rsidP="00FA3186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FA3186" w:rsidRPr="00FA3186" w:rsidRDefault="00FA3186" w:rsidP="00FA3186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FA3186" w:rsidRPr="00FA3186" w:rsidRDefault="00FA3186" w:rsidP="00FA3186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FA3186" w:rsidRPr="00FA3186" w:rsidTr="00FA3186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FA3186" w:rsidRPr="00FA3186" w:rsidRDefault="00FA3186" w:rsidP="00AC6FF3">
            <w:pPr>
              <w:numPr>
                <w:ilvl w:val="0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080" w:firstLine="0"/>
            </w:pPr>
            <w:r>
              <w:tab/>
            </w:r>
            <w:r w:rsidR="00980B30">
              <w:t>Введение</w:t>
            </w:r>
            <w:r w:rsidR="00AC6FF3">
              <w:rPr>
                <w:spacing w:val="60"/>
                <w:sz w:val="17"/>
              </w:rPr>
              <w:tab/>
            </w:r>
            <w:r w:rsidR="00AC6FF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A3186" w:rsidRPr="0014763A" w:rsidRDefault="0014763A" w:rsidP="00FA318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A3186" w:rsidRPr="00FA3186" w:rsidTr="00FA3186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FA3186" w:rsidRDefault="00FA3186" w:rsidP="00AC6FF3">
            <w:pPr>
              <w:numPr>
                <w:ilvl w:val="0"/>
                <w:numId w:val="8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980B30">
              <w:t>Информация о положении в отдельных странах</w:t>
            </w:r>
            <w:r w:rsidR="00AC6FF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A3186" w:rsidRPr="0014763A" w:rsidRDefault="0014763A" w:rsidP="00FA318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3186" w:rsidRPr="00FA3186" w:rsidTr="00FA3186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FA3186" w:rsidRPr="00AC6FF3" w:rsidRDefault="00FA3186" w:rsidP="00AC6FF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  <w:r w:rsidR="00980B30">
              <w:t>Азербайджан</w:t>
            </w:r>
            <w:r w:rsidR="00AC6FF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A3186" w:rsidRPr="0014763A" w:rsidRDefault="0014763A" w:rsidP="00FA318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3186" w:rsidRPr="00FA3186" w:rsidTr="00FA3186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FA3186" w:rsidRPr="00AC6FF3" w:rsidRDefault="00FA3186" w:rsidP="00AC6FF3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  <w:r w:rsidR="00980B30">
              <w:t>Дания</w:t>
            </w:r>
            <w:r w:rsidR="00AC6FF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A3186" w:rsidRPr="0014763A" w:rsidRDefault="0014763A" w:rsidP="00FA318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A3186" w:rsidRPr="00FA3186" w:rsidTr="00FA3186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FA3186" w:rsidRPr="00AC6FF3" w:rsidRDefault="00FA3186" w:rsidP="00AC6FF3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  <w:r w:rsidR="00980B30">
              <w:t>Эквадор</w:t>
            </w:r>
            <w:r w:rsidR="00AC6FF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A3186" w:rsidRPr="0014763A" w:rsidRDefault="0014763A" w:rsidP="00FA318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pacing w:after="120"/>
              <w:ind w:right="40"/>
              <w:jc w:val="right"/>
            </w:pPr>
            <w:r w:rsidRPr="0014763A">
              <w:t>10</w:t>
            </w:r>
          </w:p>
        </w:tc>
      </w:tr>
      <w:tr w:rsidR="00FA3186" w:rsidRPr="00FA3186" w:rsidTr="00FA3186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FA3186" w:rsidRPr="00AC6FF3" w:rsidRDefault="00FA3186" w:rsidP="00AC6FF3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  <w:r w:rsidR="00980B30">
              <w:t>Эритрея</w:t>
            </w:r>
            <w:r w:rsidR="00AC6FF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A3186" w:rsidRPr="0014763A" w:rsidRDefault="0014763A" w:rsidP="00FA318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pacing w:after="120"/>
              <w:ind w:right="40"/>
              <w:jc w:val="right"/>
            </w:pPr>
            <w:r w:rsidRPr="0014763A">
              <w:t>12</w:t>
            </w:r>
          </w:p>
        </w:tc>
      </w:tr>
      <w:tr w:rsidR="00FA3186" w:rsidRPr="00FA3186" w:rsidTr="00FA3186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FA3186" w:rsidRPr="00AC6FF3" w:rsidRDefault="00FA3186" w:rsidP="00AC6FF3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  <w:r w:rsidR="00980B30">
              <w:t>Габон</w:t>
            </w:r>
            <w:r w:rsidR="00AC6FF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A3186" w:rsidRPr="0014763A" w:rsidRDefault="0014763A" w:rsidP="00FA318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pacing w:after="120"/>
              <w:ind w:right="40"/>
              <w:jc w:val="right"/>
            </w:pPr>
            <w:r w:rsidRPr="0014763A">
              <w:t>14</w:t>
            </w:r>
          </w:p>
        </w:tc>
      </w:tr>
      <w:tr w:rsidR="00FA3186" w:rsidRPr="00FA3186" w:rsidTr="00FA3186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FA3186" w:rsidRPr="00AC6FF3" w:rsidRDefault="00FA3186" w:rsidP="00AC6FF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  <w:r w:rsidR="00980B30">
              <w:t>Кыргызстан</w:t>
            </w:r>
            <w:r w:rsidR="00AC6FF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A3186" w:rsidRPr="0014763A" w:rsidRDefault="0014763A" w:rsidP="00FA318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pacing w:after="120"/>
              <w:ind w:right="40"/>
              <w:jc w:val="right"/>
            </w:pPr>
            <w:r w:rsidRPr="0014763A">
              <w:t>17</w:t>
            </w:r>
          </w:p>
        </w:tc>
      </w:tr>
      <w:tr w:rsidR="00FA3186" w:rsidRPr="00FA3186" w:rsidTr="00FA3186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FA3186" w:rsidRPr="00AC6FF3" w:rsidRDefault="00FA3186" w:rsidP="00C83D7A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  <w:r w:rsidR="00980B30">
              <w:t>Мальдив</w:t>
            </w:r>
            <w:r w:rsidR="00C83D7A">
              <w:t>ские Острова</w:t>
            </w:r>
            <w:r w:rsidR="00AC6FF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A3186" w:rsidRPr="0014763A" w:rsidRDefault="0014763A" w:rsidP="00FA318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pacing w:after="120"/>
              <w:ind w:right="40"/>
              <w:jc w:val="right"/>
            </w:pPr>
            <w:r w:rsidRPr="0014763A">
              <w:t>20</w:t>
            </w:r>
          </w:p>
        </w:tc>
      </w:tr>
      <w:tr w:rsidR="00FA3186" w:rsidRPr="00FA3186" w:rsidTr="00FA3186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FA3186" w:rsidRPr="00AC6FF3" w:rsidRDefault="00FA3186" w:rsidP="00AC6FF3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  <w:r w:rsidR="00980B30">
              <w:t>Тувалу</w:t>
            </w:r>
            <w:r w:rsidR="00AC6FF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A3186" w:rsidRPr="0014763A" w:rsidRDefault="0014763A" w:rsidP="00FA318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pacing w:after="120"/>
              <w:ind w:right="40"/>
              <w:jc w:val="right"/>
            </w:pPr>
            <w:r w:rsidRPr="0014763A">
              <w:t>20</w:t>
            </w:r>
          </w:p>
        </w:tc>
      </w:tr>
    </w:tbl>
    <w:p w:rsidR="00781E18" w:rsidRDefault="00781E18" w:rsidP="00FA3186"/>
    <w:p w:rsidR="00CC4E88" w:rsidRPr="00EE7811" w:rsidRDefault="00FA3186" w:rsidP="00013A5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CC4E88" w:rsidRPr="00980B30">
        <w:tab/>
      </w:r>
      <w:r w:rsidR="00CC4E88" w:rsidRPr="00EE7811">
        <w:rPr>
          <w:lang w:val="en-GB"/>
        </w:rPr>
        <w:t>I</w:t>
      </w:r>
      <w:r w:rsidR="00CC4E88" w:rsidRPr="00A45129">
        <w:t>.</w:t>
      </w:r>
      <w:r w:rsidR="00CC4E88" w:rsidRPr="00A45129">
        <w:tab/>
      </w:r>
      <w:r w:rsidR="00CC4E88" w:rsidRPr="00EE7811">
        <w:t>Введение</w:t>
      </w:r>
    </w:p>
    <w:p w:rsidR="00CC4E88" w:rsidRPr="00A45129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A45129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pStyle w:val="SingleTxt"/>
      </w:pPr>
      <w:r w:rsidRPr="00EE7811">
        <w:t>1.</w:t>
      </w:r>
      <w:r w:rsidRPr="00EE7811">
        <w:tab/>
        <w:t>Положения статьи</w:t>
      </w:r>
      <w:r w:rsidRPr="00EE7811">
        <w:rPr>
          <w:lang w:val="en-GB"/>
        </w:rPr>
        <w:t> </w:t>
      </w:r>
      <w:r w:rsidRPr="00EE7811">
        <w:t>11 Конвенции о ликвидации всех форм дискриминации в отношении женщин затрагиваются в ряде конвенций Международной орг</w:t>
      </w:r>
      <w:r w:rsidRPr="00EE7811">
        <w:t>а</w:t>
      </w:r>
      <w:r w:rsidRPr="00EE7811">
        <w:t>низации труда (МОТ). Сведения, содержащиеся в настоящем докладе, относя</w:t>
      </w:r>
      <w:r w:rsidRPr="00EE7811">
        <w:t>т</w:t>
      </w:r>
      <w:r w:rsidRPr="00EE7811">
        <w:t>ся в основном к следующим из 189 конвенций, принятых до настоящего врем</w:t>
      </w:r>
      <w:r w:rsidRPr="00EE7811">
        <w:t>е</w:t>
      </w:r>
      <w:r w:rsidRPr="00EE7811">
        <w:t>ни:</w:t>
      </w:r>
    </w:p>
    <w:p w:rsidR="00CC4E88" w:rsidRPr="005079B2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1951</w:t>
      </w:r>
      <w:r w:rsidRPr="00EE7811">
        <w:rPr>
          <w:lang w:val="en-GB"/>
        </w:rPr>
        <w:t> </w:t>
      </w:r>
      <w:r w:rsidRPr="00EE7811">
        <w:t>года о равном вознаграждении (№</w:t>
      </w:r>
      <w:r w:rsidRPr="00EE7811">
        <w:rPr>
          <w:lang w:val="en-GB"/>
        </w:rPr>
        <w:t> </w:t>
      </w:r>
      <w:r w:rsidRPr="00EE7811">
        <w:t>100), которая ратиф</w:t>
      </w:r>
      <w:r w:rsidRPr="00EE7811">
        <w:t>и</w:t>
      </w:r>
      <w:r w:rsidRPr="00EE7811">
        <w:t>цирована 171</w:t>
      </w:r>
      <w:r w:rsidRPr="00EE7811">
        <w:rPr>
          <w:lang w:val="en-GB"/>
        </w:rPr>
        <w:t> </w:t>
      </w:r>
      <w:r w:rsidRPr="00EE7811">
        <w:t>государством-членом</w:t>
      </w:r>
    </w:p>
    <w:p w:rsidR="00CC4E88" w:rsidRPr="005079B2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1958</w:t>
      </w:r>
      <w:r w:rsidRPr="00EE7811">
        <w:rPr>
          <w:lang w:val="en-GB"/>
        </w:rPr>
        <w:t> </w:t>
      </w:r>
      <w:r w:rsidRPr="00EE7811">
        <w:t>года о дискриминации в области труда и занятий (№</w:t>
      </w:r>
      <w:r w:rsidRPr="00EE7811">
        <w:rPr>
          <w:lang w:val="en-GB"/>
        </w:rPr>
        <w:t> </w:t>
      </w:r>
      <w:r w:rsidRPr="00EE7811">
        <w:t>111), к</w:t>
      </w:r>
      <w:r w:rsidRPr="00EE7811">
        <w:t>о</w:t>
      </w:r>
      <w:r w:rsidRPr="00EE7811">
        <w:t>торая ратифицирована 172 государствами-членами</w:t>
      </w: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1981</w:t>
      </w:r>
      <w:r w:rsidRPr="00EE7811">
        <w:rPr>
          <w:lang w:val="en-GB"/>
        </w:rPr>
        <w:t> </w:t>
      </w:r>
      <w:r w:rsidRPr="00EE7811">
        <w:t>года о трудящихся с семейными обязанностями (№</w:t>
      </w:r>
      <w:r w:rsidRPr="00EE7811">
        <w:rPr>
          <w:lang w:val="en-GB"/>
        </w:rPr>
        <w:t> </w:t>
      </w:r>
      <w:r w:rsidRPr="00EE7811">
        <w:t>156), кот</w:t>
      </w:r>
      <w:r w:rsidRPr="00EE7811">
        <w:t>о</w:t>
      </w:r>
      <w:r w:rsidRPr="00EE7811">
        <w:t>рая ратифицирована 43 государствами-членами</w:t>
      </w:r>
    </w:p>
    <w:p w:rsidR="00CC4E88" w:rsidRPr="00EE7811" w:rsidRDefault="00CC4E88" w:rsidP="00CC4E88">
      <w:pPr>
        <w:pStyle w:val="SingleTxt"/>
      </w:pPr>
      <w:r w:rsidRPr="00EE7811">
        <w:t>2.</w:t>
      </w:r>
      <w:r w:rsidRPr="00EE7811">
        <w:tab/>
        <w:t>Там, где это применимо, даются ссылки на ряд других конвенций, каса</w:t>
      </w:r>
      <w:r w:rsidRPr="00EE7811">
        <w:t>ю</w:t>
      </w:r>
      <w:r w:rsidRPr="00EE7811">
        <w:t xml:space="preserve">щихся занятости женщин: 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Pr="005079B2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</w:rPr>
      </w:pPr>
      <w:r w:rsidRPr="00CC4E88">
        <w:tab/>
      </w:r>
      <w:r w:rsidRPr="00CC4E88">
        <w:tab/>
      </w:r>
      <w:r w:rsidRPr="00EE7811">
        <w:t>Принудительный труд</w:t>
      </w:r>
      <w:r w:rsidRPr="005079B2">
        <w:rPr>
          <w:iCs/>
        </w:rPr>
        <w:t xml:space="preserve"> 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5079B2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1930</w:t>
      </w:r>
      <w:r w:rsidRPr="00EE7811">
        <w:rPr>
          <w:lang w:val="en-GB"/>
        </w:rPr>
        <w:t> </w:t>
      </w:r>
      <w:r w:rsidRPr="00EE7811">
        <w:t>года о принудительном труде (№ 29)</w:t>
      </w: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1957</w:t>
      </w:r>
      <w:r w:rsidRPr="00EE7811">
        <w:rPr>
          <w:lang w:val="en-GB"/>
        </w:rPr>
        <w:t> </w:t>
      </w:r>
      <w:r w:rsidRPr="00EE7811">
        <w:t>года об упразднении принудительного труда (№</w:t>
      </w:r>
      <w:r w:rsidRPr="00EE7811">
        <w:rPr>
          <w:lang w:val="en-GB"/>
        </w:rPr>
        <w:t> </w:t>
      </w:r>
      <w:r w:rsidRPr="00EE7811">
        <w:t xml:space="preserve">105) 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Pr="005079B2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</w:rPr>
      </w:pPr>
      <w:r w:rsidRPr="00CC4E88">
        <w:tab/>
      </w:r>
      <w:r w:rsidRPr="00CC4E88">
        <w:tab/>
      </w:r>
      <w:r w:rsidRPr="00EE7811">
        <w:t>Детский труд</w:t>
      </w:r>
      <w:r w:rsidRPr="005079B2">
        <w:rPr>
          <w:iCs/>
        </w:rPr>
        <w:t xml:space="preserve"> 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5079B2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1973</w:t>
      </w:r>
      <w:r w:rsidRPr="00EE7811">
        <w:rPr>
          <w:lang w:val="en-GB"/>
        </w:rPr>
        <w:t> </w:t>
      </w:r>
      <w:r w:rsidRPr="00EE7811">
        <w:t>года о минимальном возрасте (№ 138)</w:t>
      </w: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1999</w:t>
      </w:r>
      <w:r w:rsidRPr="00EE7811">
        <w:rPr>
          <w:lang w:val="en-GB"/>
        </w:rPr>
        <w:t> </w:t>
      </w:r>
      <w:r w:rsidRPr="00EE7811">
        <w:t>года о наихудших формах детского труда (№</w:t>
      </w:r>
      <w:r w:rsidRPr="00EE7811">
        <w:rPr>
          <w:lang w:val="en-GB"/>
        </w:rPr>
        <w:t> </w:t>
      </w:r>
      <w:r w:rsidRPr="00EE7811">
        <w:t>182)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iCs/>
          <w:sz w:val="10"/>
        </w:rPr>
      </w:pPr>
    </w:p>
    <w:p w:rsidR="00CC4E88" w:rsidRPr="005079B2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Свобода ассоциации</w:t>
      </w:r>
      <w:r w:rsidRPr="005079B2">
        <w:t xml:space="preserve"> </w:t>
      </w: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742" w:right="1267" w:hanging="475"/>
        <w:jc w:val="both"/>
        <w:rPr>
          <w:rFonts w:eastAsia="Times New Roman"/>
          <w:sz w:val="10"/>
          <w:szCs w:val="20"/>
        </w:rPr>
      </w:pP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1948</w:t>
      </w:r>
      <w:r w:rsidRPr="00EE7811">
        <w:rPr>
          <w:lang w:val="en-GB"/>
        </w:rPr>
        <w:t> </w:t>
      </w:r>
      <w:r w:rsidRPr="00EE7811">
        <w:t>года о свободе ассоциации и защите права на организ</w:t>
      </w:r>
      <w:r w:rsidRPr="00EE7811">
        <w:t>а</w:t>
      </w:r>
      <w:r w:rsidRPr="00EE7811">
        <w:t xml:space="preserve">цию </w:t>
      </w:r>
      <w:r w:rsidRPr="005079B2">
        <w:t>(№</w:t>
      </w:r>
      <w:r w:rsidRPr="00EE7811">
        <w:rPr>
          <w:lang w:val="en-GB"/>
        </w:rPr>
        <w:t> </w:t>
      </w:r>
      <w:r w:rsidRPr="005079B2">
        <w:t>87)</w:t>
      </w: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1949</w:t>
      </w:r>
      <w:r w:rsidRPr="00EE7811">
        <w:rPr>
          <w:lang w:val="en-GB"/>
        </w:rPr>
        <w:t> </w:t>
      </w:r>
      <w:r w:rsidRPr="00EE7811">
        <w:t>года о праве на организацию и на ведение коллективных пер</w:t>
      </w:r>
      <w:r w:rsidRPr="00EE7811">
        <w:t>е</w:t>
      </w:r>
      <w:r w:rsidRPr="00EE7811">
        <w:t>говоров (№</w:t>
      </w:r>
      <w:r w:rsidRPr="00EE7811">
        <w:rPr>
          <w:lang w:val="en-GB"/>
        </w:rPr>
        <w:t> </w:t>
      </w:r>
      <w:r w:rsidRPr="00EE7811">
        <w:t>98)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Pr="00EE7811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</w:rPr>
      </w:pPr>
      <w:r w:rsidRPr="00CC4E88">
        <w:tab/>
      </w:r>
      <w:r w:rsidRPr="00CC4E88">
        <w:tab/>
      </w:r>
      <w:r w:rsidRPr="00EE7811">
        <w:t>Политика в области занятости</w:t>
      </w:r>
      <w:r w:rsidRPr="00EE7811">
        <w:rPr>
          <w:iCs/>
        </w:rPr>
        <w:t xml:space="preserve"> </w:t>
      </w:r>
    </w:p>
    <w:p w:rsidR="00CC4E88" w:rsidRPr="00CC4E8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742" w:right="1267" w:hanging="475"/>
        <w:jc w:val="both"/>
        <w:rPr>
          <w:rFonts w:eastAsia="Times New Roman"/>
          <w:sz w:val="10"/>
          <w:szCs w:val="20"/>
        </w:rPr>
      </w:pP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1964</w:t>
      </w:r>
      <w:r w:rsidRPr="00EE7811">
        <w:rPr>
          <w:lang w:val="en-GB"/>
        </w:rPr>
        <w:t> </w:t>
      </w:r>
      <w:r w:rsidRPr="00EE7811">
        <w:t>года о политике в области занятости (№ 122)</w:t>
      </w: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1975</w:t>
      </w:r>
      <w:r w:rsidRPr="00EE7811">
        <w:rPr>
          <w:lang w:val="en-GB"/>
        </w:rPr>
        <w:t> </w:t>
      </w:r>
      <w:r w:rsidRPr="00EE7811">
        <w:t>года о развитии людских ресурсов (№ 142)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iCs/>
          <w:sz w:val="10"/>
        </w:rPr>
      </w:pPr>
    </w:p>
    <w:p w:rsidR="00CC4E88" w:rsidRPr="005079B2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Охрана материнства</w:t>
      </w:r>
      <w:r w:rsidRPr="005079B2">
        <w:t xml:space="preserve"> 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1919</w:t>
      </w:r>
      <w:r w:rsidRPr="00EE7811">
        <w:rPr>
          <w:lang w:val="en-GB"/>
        </w:rPr>
        <w:t> </w:t>
      </w:r>
      <w:r w:rsidRPr="00EE7811">
        <w:t>года об охране материнства (№ 3)</w:t>
      </w: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(пересмотренная) 1952</w:t>
      </w:r>
      <w:r w:rsidRPr="00EE7811">
        <w:rPr>
          <w:lang w:val="en-GB"/>
        </w:rPr>
        <w:t> </w:t>
      </w:r>
      <w:r w:rsidRPr="00EE7811">
        <w:t>года об охране материнства (№</w:t>
      </w:r>
      <w:r w:rsidRPr="00EE7811">
        <w:rPr>
          <w:lang w:val="en-GB"/>
        </w:rPr>
        <w:t> </w:t>
      </w:r>
      <w:r w:rsidRPr="00EE7811">
        <w:t>103)</w:t>
      </w: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2000</w:t>
      </w:r>
      <w:r w:rsidRPr="00EE7811">
        <w:rPr>
          <w:lang w:val="en-GB"/>
        </w:rPr>
        <w:t> </w:t>
      </w:r>
      <w:r w:rsidRPr="00EE7811">
        <w:t>года об охране материнства (№ 183)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iCs/>
          <w:sz w:val="10"/>
        </w:rPr>
      </w:pPr>
    </w:p>
    <w:p w:rsidR="00CC4E88" w:rsidRPr="005079B2" w:rsidRDefault="00B96DBF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CC4E88" w:rsidRPr="00652848">
        <w:tab/>
      </w:r>
      <w:r w:rsidR="00CC4E88" w:rsidRPr="00652848">
        <w:tab/>
      </w:r>
      <w:r w:rsidR="00CC4E88" w:rsidRPr="00EE7811">
        <w:t>Работа в ночное время</w:t>
      </w:r>
      <w:r w:rsidR="00CC4E88" w:rsidRPr="005079B2">
        <w:t xml:space="preserve"> 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eastAsia="Times New Roman"/>
          <w:szCs w:val="20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(пересмотренная) 1948</w:t>
      </w:r>
      <w:r w:rsidRPr="00EE7811">
        <w:rPr>
          <w:lang w:val="en-GB"/>
        </w:rPr>
        <w:t> </w:t>
      </w:r>
      <w:r w:rsidRPr="00EE7811">
        <w:t>года о ночном труде женщин (№</w:t>
      </w:r>
      <w:r w:rsidRPr="00EE7811">
        <w:rPr>
          <w:lang w:val="en-GB"/>
        </w:rPr>
        <w:t> </w:t>
      </w:r>
      <w:r w:rsidRPr="00EE7811">
        <w:t>89) и Пр</w:t>
      </w:r>
      <w:r w:rsidRPr="00EE7811">
        <w:t>о</w:t>
      </w:r>
      <w:r w:rsidRPr="00EE7811">
        <w:t>токол к ней 1990 года</w:t>
      </w:r>
    </w:p>
    <w:p w:rsidR="00CC4E8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lang w:val="en-US"/>
        </w:rPr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1990</w:t>
      </w:r>
      <w:r w:rsidRPr="00EE7811">
        <w:rPr>
          <w:lang w:val="en-US"/>
        </w:rPr>
        <w:t> </w:t>
      </w:r>
      <w:r w:rsidRPr="00EE7811">
        <w:t>года о ночном труде (№</w:t>
      </w:r>
      <w:r w:rsidRPr="00EE7811">
        <w:rPr>
          <w:lang w:val="en-GB"/>
        </w:rPr>
        <w:t> </w:t>
      </w:r>
      <w:r w:rsidRPr="00EE7811">
        <w:t>171)</w:t>
      </w:r>
    </w:p>
    <w:p w:rsidR="00B96DBF" w:rsidRPr="00B96DBF" w:rsidRDefault="00B96DBF" w:rsidP="00B96DBF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742" w:right="1267" w:hanging="475"/>
        <w:jc w:val="both"/>
        <w:rPr>
          <w:sz w:val="10"/>
          <w:lang w:val="en-US"/>
        </w:rPr>
      </w:pPr>
    </w:p>
    <w:p w:rsidR="00CC4E88" w:rsidRPr="005079B2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Работа под землей</w:t>
      </w:r>
      <w:r w:rsidRPr="005079B2">
        <w:t xml:space="preserve"> 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1935</w:t>
      </w:r>
      <w:r w:rsidRPr="00EE7811">
        <w:rPr>
          <w:lang w:val="en-US"/>
        </w:rPr>
        <w:t> </w:t>
      </w:r>
      <w:r w:rsidRPr="00EE7811">
        <w:t>года о применении труда женщин на подземных работах (№</w:t>
      </w:r>
      <w:r w:rsidRPr="00EE7811">
        <w:rPr>
          <w:lang w:val="en-GB"/>
        </w:rPr>
        <w:t> </w:t>
      </w:r>
      <w:r w:rsidRPr="00EE7811">
        <w:t xml:space="preserve">45) 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Pr="00EE7811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Трудящиеся-мигранты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(пересмотренная) 1949</w:t>
      </w:r>
      <w:r w:rsidRPr="00EE7811">
        <w:rPr>
          <w:lang w:val="en-US"/>
        </w:rPr>
        <w:t> </w:t>
      </w:r>
      <w:r w:rsidRPr="00EE7811">
        <w:t>года о трудящихся-мигрантах (№ 97</w:t>
      </w:r>
      <w:r>
        <w:t>)</w:t>
      </w:r>
    </w:p>
    <w:p w:rsidR="00CC4E88" w:rsidRPr="00EE7811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1975</w:t>
      </w:r>
      <w:r w:rsidRPr="00EE7811">
        <w:rPr>
          <w:lang w:val="en-US"/>
        </w:rPr>
        <w:t> </w:t>
      </w:r>
      <w:r w:rsidRPr="00EE7811">
        <w:t>года о трудящихся-мигрантах (дополнительные полож</w:t>
      </w:r>
      <w:r w:rsidRPr="00EE7811">
        <w:t>е</w:t>
      </w:r>
      <w:r w:rsidRPr="00EE7811">
        <w:t>ния) (№</w:t>
      </w:r>
      <w:r w:rsidRPr="00EE7811">
        <w:rPr>
          <w:lang w:val="en-GB"/>
        </w:rPr>
        <w:t> </w:t>
      </w:r>
      <w:r w:rsidRPr="00EE7811">
        <w:t>143)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Pr="00EE7811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Коренные народы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1989 года о коренных народах и народах, ведущих племенной образ жизни (№ 169)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Pr="00EE7811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</w:rPr>
      </w:pPr>
      <w:r w:rsidRPr="00652848">
        <w:tab/>
      </w:r>
      <w:r w:rsidRPr="00652848">
        <w:tab/>
      </w:r>
      <w:r w:rsidRPr="00EE7811">
        <w:t>Работа на условиях неполного рабочего времени</w:t>
      </w:r>
      <w:r w:rsidRPr="00EE7811">
        <w:rPr>
          <w:iCs/>
        </w:rPr>
        <w:t xml:space="preserve"> 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652848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1994</w:t>
      </w:r>
      <w:r w:rsidRPr="00EE7811">
        <w:rPr>
          <w:lang w:val="en-US"/>
        </w:rPr>
        <w:t> </w:t>
      </w:r>
      <w:r w:rsidRPr="00EE7811">
        <w:t>года о работе на условиях неполного рабочего времени (№</w:t>
      </w:r>
      <w:r w:rsidRPr="00EE7811">
        <w:rPr>
          <w:lang w:val="en-GB"/>
        </w:rPr>
        <w:t> </w:t>
      </w:r>
      <w:r w:rsidRPr="00EE7811">
        <w:t>175)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iCs/>
          <w:sz w:val="10"/>
        </w:rPr>
      </w:pPr>
    </w:p>
    <w:p w:rsidR="00CC4E88" w:rsidRPr="005079B2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Надомный труд</w:t>
      </w:r>
      <w:r w:rsidRPr="005079B2">
        <w:t xml:space="preserve"> 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1996</w:t>
      </w:r>
      <w:r w:rsidRPr="00EE7811">
        <w:rPr>
          <w:lang w:val="en-US"/>
        </w:rPr>
        <w:t> </w:t>
      </w:r>
      <w:r w:rsidRPr="00EE7811">
        <w:t>года о надомном труде (№</w:t>
      </w:r>
      <w:r w:rsidRPr="00EE7811">
        <w:rPr>
          <w:lang w:val="en-GB"/>
        </w:rPr>
        <w:t> </w:t>
      </w:r>
      <w:r w:rsidRPr="00EE7811">
        <w:t xml:space="preserve">177) 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Pr="005079B2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Домашние работники</w:t>
      </w:r>
      <w:r w:rsidRPr="005079B2">
        <w:t xml:space="preserve"> 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tabs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</w:pPr>
      <w:r w:rsidRPr="005079B2">
        <w:rPr>
          <w:rFonts w:eastAsia="Times New Roman"/>
          <w:szCs w:val="20"/>
        </w:rPr>
        <w:tab/>
        <w:t>•</w:t>
      </w:r>
      <w:r w:rsidRPr="005079B2">
        <w:rPr>
          <w:rFonts w:eastAsia="Times New Roman"/>
          <w:szCs w:val="20"/>
        </w:rPr>
        <w:tab/>
      </w:r>
      <w:r w:rsidRPr="00EE7811">
        <w:t>Конвенция 2011</w:t>
      </w:r>
      <w:r w:rsidRPr="00EE7811">
        <w:rPr>
          <w:lang w:val="en-US"/>
        </w:rPr>
        <w:t> </w:t>
      </w:r>
      <w:r w:rsidRPr="00EE7811">
        <w:t>года о достойном труде домашних работников (№</w:t>
      </w:r>
      <w:r w:rsidRPr="00EE7811">
        <w:rPr>
          <w:lang w:val="en-US"/>
        </w:rPr>
        <w:t> </w:t>
      </w:r>
      <w:r w:rsidRPr="00EE7811">
        <w:t>189)</w:t>
      </w:r>
    </w:p>
    <w:p w:rsidR="00CC4E88" w:rsidRPr="00EE7811" w:rsidRDefault="00CC4E88" w:rsidP="00CC4E88">
      <w:pPr>
        <w:pStyle w:val="SingleTxt"/>
      </w:pPr>
      <w:r w:rsidRPr="00EE7811">
        <w:t>3.</w:t>
      </w:r>
      <w:r w:rsidRPr="00EE7811">
        <w:tab/>
        <w:t>Надзор за применением ратифицированных конвенций осуществляет К</w:t>
      </w:r>
      <w:r w:rsidRPr="00EE7811">
        <w:t>о</w:t>
      </w:r>
      <w:r w:rsidRPr="00EE7811">
        <w:t>митет экспертов МОТ по применению конвенций и рек</w:t>
      </w:r>
      <w:r>
        <w:t>омендаций («Комитет экспертов»)</w:t>
      </w:r>
      <w:r>
        <w:rPr>
          <w:lang w:val="en-US"/>
        </w:rPr>
        <w:t> </w:t>
      </w:r>
      <w:r w:rsidRPr="00EE7811">
        <w:t>— орган в составе независимых экспертов со всего мира, засед</w:t>
      </w:r>
      <w:r w:rsidRPr="00EE7811">
        <w:t>а</w:t>
      </w:r>
      <w:r w:rsidRPr="00EE7811">
        <w:t>ния которого проходят ежегодно. Информация, приведенная в разделе</w:t>
      </w:r>
      <w:r w:rsidRPr="00EE7811">
        <w:rPr>
          <w:lang w:val="en-GB"/>
        </w:rPr>
        <w:t> II</w:t>
      </w:r>
      <w:r w:rsidRPr="00EE7811">
        <w:t xml:space="preserve"> наст</w:t>
      </w:r>
      <w:r w:rsidRPr="00EE7811">
        <w:t>о</w:t>
      </w:r>
      <w:r w:rsidRPr="00EE7811">
        <w:t>ящего доклада, представляет собой краткое изложение замечаний и прямых з</w:t>
      </w:r>
      <w:r w:rsidRPr="00EE7811">
        <w:t>а</w:t>
      </w:r>
      <w:r w:rsidRPr="00EE7811">
        <w:t>просов Комитета. Замечания представляют собой комментарии, публикуемые в ежегодном докладе Комитета экспертов, который издается на английском, французском и испанском языках, и направляемые на рассмотрение Комитета по применению стандартов Международной конференции труда. Прямые з</w:t>
      </w:r>
      <w:r w:rsidRPr="00EE7811">
        <w:t>а</w:t>
      </w:r>
      <w:r w:rsidRPr="00EE7811">
        <w:t>просы, составляемые на английском и французском языках, а в случае испан</w:t>
      </w:r>
      <w:r w:rsidRPr="00EE7811">
        <w:t>о</w:t>
      </w:r>
      <w:r w:rsidRPr="00EE7811">
        <w:t xml:space="preserve">язычных стран также и на испанском языке, не публикуются в виде отдельного издания, но обнародуются. Позднее они помещаются в ведущуюся МОТ базу данных </w:t>
      </w:r>
      <w:r w:rsidRPr="00EE7811">
        <w:rPr>
          <w:lang w:val="en-US"/>
        </w:rPr>
        <w:t>NORMLEX</w:t>
      </w:r>
      <w:r w:rsidRPr="00EE7811">
        <w:t>, которая посвящена надзорной деятельности.</w:t>
      </w:r>
    </w:p>
    <w:p w:rsidR="00CC4E88" w:rsidRPr="00652848" w:rsidRDefault="00CC4E88" w:rsidP="00CC4E88">
      <w:pPr>
        <w:pStyle w:val="SingleTxt"/>
      </w:pPr>
      <w:r w:rsidRPr="00EE7811">
        <w:t>4.</w:t>
      </w:r>
      <w:r w:rsidRPr="00EE7811">
        <w:tab/>
        <w:t>Приводимая ниже информация содержит краткие ссылки на существенно более развернутые комментарии надзорных органов МОТ. С соответствующ</w:t>
      </w:r>
      <w:r w:rsidRPr="00EE7811">
        <w:t>и</w:t>
      </w:r>
      <w:r w:rsidRPr="00EE7811">
        <w:t>ми комментариями Комитета экспертов, о которых говорится в разделе</w:t>
      </w:r>
      <w:r w:rsidRPr="00EE7811">
        <w:rPr>
          <w:lang w:val="en-US"/>
        </w:rPr>
        <w:t> </w:t>
      </w:r>
      <w:r w:rsidRPr="00EE7811">
        <w:rPr>
          <w:lang w:val="en-GB"/>
        </w:rPr>
        <w:t>II</w:t>
      </w:r>
      <w:r w:rsidRPr="00EE7811">
        <w:t>, мо</w:t>
      </w:r>
      <w:r w:rsidRPr="00EE7811">
        <w:t>ж</w:t>
      </w:r>
      <w:r w:rsidRPr="00EE7811">
        <w:t>но ознакомиться на сайте:</w:t>
      </w:r>
      <w:r w:rsidRPr="00652848">
        <w:t xml:space="preserve"> </w:t>
      </w:r>
      <w:r w:rsidRPr="00652848">
        <w:rPr>
          <w:lang w:val="en-GB"/>
        </w:rPr>
        <w:t>http</w:t>
      </w:r>
      <w:r w:rsidRPr="00652848">
        <w:t>://</w:t>
      </w:r>
      <w:r w:rsidRPr="00652848">
        <w:rPr>
          <w:lang w:val="en-GB"/>
        </w:rPr>
        <w:t>www</w:t>
      </w:r>
      <w:r w:rsidRPr="00652848">
        <w:t>.</w:t>
      </w:r>
      <w:r w:rsidRPr="00652848">
        <w:rPr>
          <w:lang w:val="en-GB"/>
        </w:rPr>
        <w:t>ilo</w:t>
      </w:r>
      <w:r w:rsidRPr="00652848">
        <w:t>.</w:t>
      </w:r>
      <w:r w:rsidRPr="00652848">
        <w:rPr>
          <w:lang w:val="en-GB"/>
        </w:rPr>
        <w:t>org</w:t>
      </w:r>
      <w:r w:rsidRPr="00652848">
        <w:t>/</w:t>
      </w:r>
      <w:r w:rsidRPr="00652848">
        <w:rPr>
          <w:lang w:val="en-GB"/>
        </w:rPr>
        <w:t>dyn</w:t>
      </w:r>
      <w:r w:rsidRPr="00652848">
        <w:t>/</w:t>
      </w:r>
      <w:r w:rsidRPr="00652848">
        <w:rPr>
          <w:lang w:val="en-GB"/>
        </w:rPr>
        <w:t>normlex</w:t>
      </w:r>
      <w:r w:rsidRPr="00652848">
        <w:t>/</w:t>
      </w:r>
      <w:r w:rsidRPr="00652848">
        <w:rPr>
          <w:lang w:val="en-GB"/>
        </w:rPr>
        <w:t>en</w:t>
      </w:r>
      <w:r w:rsidRPr="00652848">
        <w:t>/.</w:t>
      </w:r>
    </w:p>
    <w:p w:rsidR="00CC4E88" w:rsidRPr="00EE7811" w:rsidRDefault="00CC4E88" w:rsidP="00CC4E88">
      <w:pPr>
        <w:pStyle w:val="SingleTxt"/>
      </w:pPr>
      <w:r w:rsidRPr="00EE7811">
        <w:t>5.</w:t>
      </w:r>
      <w:r w:rsidRPr="00EE7811">
        <w:tab/>
        <w:t>Следует отметить, что Комитет экспертов часто включает в свои комме</w:t>
      </w:r>
      <w:r w:rsidRPr="00EE7811">
        <w:t>н</w:t>
      </w:r>
      <w:r w:rsidRPr="00EE7811">
        <w:t>тарии ссылки на информацию, представленную правительствами Комитету по ликвидации дискриминации в отношении женщин или другим договорным о</w:t>
      </w:r>
      <w:r w:rsidRPr="00EE7811">
        <w:t>р</w:t>
      </w:r>
      <w:r w:rsidRPr="00EE7811">
        <w:t>ганам Организации Объединенных Наций, а также на доклады этих догово</w:t>
      </w:r>
      <w:r w:rsidRPr="00EE7811">
        <w:t>р</w:t>
      </w:r>
      <w:r w:rsidRPr="00EE7811">
        <w:t>ных органов.</w:t>
      </w:r>
    </w:p>
    <w:p w:rsidR="00CC4E88" w:rsidRPr="00652848" w:rsidRDefault="00CC4E88" w:rsidP="00CC4E88">
      <w:pPr>
        <w:pStyle w:val="SingleTxt"/>
        <w:spacing w:after="0" w:line="120" w:lineRule="exact"/>
        <w:rPr>
          <w:b/>
          <w:sz w:val="10"/>
        </w:rPr>
      </w:pPr>
    </w:p>
    <w:p w:rsidR="00CC4E88" w:rsidRPr="00652848" w:rsidRDefault="00CC4E88" w:rsidP="00CC4E88">
      <w:pPr>
        <w:pStyle w:val="SingleTxt"/>
        <w:spacing w:after="0" w:line="120" w:lineRule="exact"/>
        <w:rPr>
          <w:b/>
          <w:sz w:val="10"/>
        </w:rPr>
      </w:pPr>
    </w:p>
    <w:p w:rsidR="00CC4E88" w:rsidRPr="00EE7811" w:rsidRDefault="00CC4E88" w:rsidP="000068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7811">
        <w:tab/>
      </w:r>
      <w:r w:rsidRPr="00EE7811">
        <w:rPr>
          <w:lang w:val="en-US"/>
        </w:rPr>
        <w:t>II</w:t>
      </w:r>
      <w:r w:rsidRPr="00EE7811">
        <w:t>.</w:t>
      </w:r>
      <w:r w:rsidRPr="00EE7811">
        <w:tab/>
        <w:t xml:space="preserve">Информация о положении в отдельных странах </w:t>
      </w:r>
    </w:p>
    <w:p w:rsidR="00CC4E88" w:rsidRPr="00652848" w:rsidRDefault="00CC4E88" w:rsidP="00CC4E88">
      <w:pPr>
        <w:pStyle w:val="SingleTxt"/>
        <w:spacing w:after="0" w:line="120" w:lineRule="exact"/>
        <w:rPr>
          <w:b/>
          <w:bCs/>
          <w:sz w:val="10"/>
        </w:rPr>
      </w:pPr>
    </w:p>
    <w:p w:rsidR="00CC4E88" w:rsidRPr="00652848" w:rsidRDefault="00CC4E88" w:rsidP="00CC4E88">
      <w:pPr>
        <w:pStyle w:val="SingleTxt"/>
        <w:spacing w:after="0" w:line="120" w:lineRule="exact"/>
        <w:rPr>
          <w:b/>
          <w:bCs/>
          <w:sz w:val="10"/>
        </w:rPr>
      </w:pPr>
    </w:p>
    <w:p w:rsidR="00CC4E88" w:rsidRPr="00EE7811" w:rsidRDefault="00CC4E88" w:rsidP="000068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Азербайджан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pStyle w:val="SingleTxt"/>
      </w:pPr>
      <w:r w:rsidRPr="00EE7811">
        <w:t>6.</w:t>
      </w:r>
      <w:r w:rsidRPr="00EE7811">
        <w:tab/>
        <w:t>Из соответствующих конвенций МОТ Азербайджан ратифицировал ко</w:t>
      </w:r>
      <w:r w:rsidRPr="00EE7811">
        <w:t>н</w:t>
      </w:r>
      <w:r w:rsidRPr="00EE7811">
        <w:t>венции №</w:t>
      </w:r>
      <w:r w:rsidRPr="00EE7811">
        <w:rPr>
          <w:lang w:val="en-GB"/>
        </w:rPr>
        <w:t> </w:t>
      </w:r>
      <w:r w:rsidRPr="00EE7811">
        <w:t>№ 100 и</w:t>
      </w:r>
      <w:r w:rsidRPr="00EE7811">
        <w:rPr>
          <w:lang w:val="en-GB"/>
        </w:rPr>
        <w:t> </w:t>
      </w:r>
      <w:r w:rsidRPr="00EE7811">
        <w:t>111. Он также ратифицировал конвенции №№ 29, 45, 87, 98, 105, 122, 138, 142, 182 и 183.</w:t>
      </w:r>
    </w:p>
    <w:p w:rsidR="00CC4E88" w:rsidRPr="00652848" w:rsidRDefault="00CC4E88" w:rsidP="00CC4E88">
      <w:pPr>
        <w:pStyle w:val="SingleTxt"/>
        <w:spacing w:after="0" w:line="120" w:lineRule="exact"/>
        <w:rPr>
          <w:b/>
          <w:sz w:val="10"/>
        </w:rPr>
      </w:pPr>
    </w:p>
    <w:p w:rsidR="00CC4E88" w:rsidRPr="00EE7811" w:rsidRDefault="00CC4E88" w:rsidP="00CC4E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 xml:space="preserve">Комментарии надзорных органов Международной организации труда 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pStyle w:val="SingleTxt"/>
      </w:pPr>
      <w:r w:rsidRPr="00EE7811">
        <w:t>7.</w:t>
      </w:r>
      <w:r w:rsidRPr="00EE7811">
        <w:tab/>
        <w:t>Представленные на рассмотрение комментарии Комитета экспертов, о</w:t>
      </w:r>
      <w:r w:rsidRPr="00EE7811">
        <w:t>т</w:t>
      </w:r>
      <w:r w:rsidRPr="00EE7811">
        <w:t>носящиеся к положениям Конвенции о ликвидации всех форм дискриминации в отношении женщин, касаются нижеследующих пунктов: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Pr="00CC4E88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Конвенция № 100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pStyle w:val="SingleTxt"/>
      </w:pPr>
      <w:r w:rsidRPr="00EE7811">
        <w:t>8.</w:t>
      </w:r>
      <w:r w:rsidRPr="00EE7811">
        <w:tab/>
        <w:t>В своем замечании, сделанном в 2012 году, Комитет напомнил, что общие положения разделов 16, 154 и 158 Трудового кодекса 1999 не касаются при</w:t>
      </w:r>
      <w:r w:rsidRPr="00EE7811">
        <w:t>н</w:t>
      </w:r>
      <w:r w:rsidRPr="00EE7811">
        <w:t>ципа равного вознаграждения мужчин и женщин за труд равной ценности и что раздел 9 Закона о гендерном равенстве № 150-</w:t>
      </w:r>
      <w:r w:rsidRPr="00EE7811">
        <w:rPr>
          <w:lang w:val="en-GB"/>
        </w:rPr>
        <w:t>IIIQ</w:t>
      </w:r>
      <w:r w:rsidRPr="00EE7811">
        <w:t xml:space="preserve"> от 10 октября 2006 года не полностью отражает этот принцип. Раздел 9 ограничен вопросами равной за</w:t>
      </w:r>
      <w:r w:rsidRPr="00EE7811">
        <w:t>р</w:t>
      </w:r>
      <w:r w:rsidRPr="00EE7811">
        <w:t>платы для мужчин и женщин, которые выполняют работу на равных условиях, на том же предприятии и с одинаковой квалификацией. Что касается средних размеров зарплаты, то согласно статистическим данным за 2011 год, предста</w:t>
      </w:r>
      <w:r w:rsidRPr="00EE7811">
        <w:t>в</w:t>
      </w:r>
      <w:r w:rsidRPr="00EE7811">
        <w:t>ленным правительством, женщины зарабатывают значительно меньше, чем мужчины, во многих секторах экономики: на 38,4 процента меньше в нефтег</w:t>
      </w:r>
      <w:r w:rsidRPr="00EE7811">
        <w:t>а</w:t>
      </w:r>
      <w:r w:rsidRPr="00EE7811">
        <w:t>зовой промышленности; на 35,1 процента меньше в сфере здравоохранения и социальных услуг; и на 30,8 процента меньше в химической промышленности. Комитет также напомнил о значительной горизонтальной и вертикальной с</w:t>
      </w:r>
      <w:r w:rsidRPr="00EE7811">
        <w:t>е</w:t>
      </w:r>
      <w:r w:rsidRPr="00EE7811">
        <w:t>грегации между полами на рынке труда. Комитет настоятельно призвал прав</w:t>
      </w:r>
      <w:r w:rsidRPr="00EE7811">
        <w:t>и</w:t>
      </w:r>
      <w:r w:rsidRPr="00EE7811">
        <w:t>тельство принять необходимые меры для полного отражения в его законод</w:t>
      </w:r>
      <w:r w:rsidRPr="00EE7811">
        <w:t>а</w:t>
      </w:r>
      <w:r w:rsidRPr="00EE7811">
        <w:t>тельстве принципа равного вознаграждения мужчин и женщин за труд равной ценности и для действенного устранения большой разницы в размере возн</w:t>
      </w:r>
      <w:r w:rsidRPr="00EE7811">
        <w:t>а</w:t>
      </w:r>
      <w:r w:rsidRPr="00EE7811">
        <w:t>граждения между мужчинами и женщинами.</w:t>
      </w:r>
    </w:p>
    <w:p w:rsidR="00CC4E88" w:rsidRPr="00EE7811" w:rsidRDefault="00CC4E88" w:rsidP="00CC4E88">
      <w:pPr>
        <w:pStyle w:val="SingleTxt"/>
      </w:pPr>
      <w:r w:rsidRPr="00EE7811">
        <w:t>9.</w:t>
      </w:r>
      <w:r w:rsidRPr="00EE7811">
        <w:tab/>
        <w:t>В своем прямом запросе, сделанном в 2012</w:t>
      </w:r>
      <w:r w:rsidRPr="00EE7811">
        <w:rPr>
          <w:lang w:val="en-GB"/>
        </w:rPr>
        <w:t> </w:t>
      </w:r>
      <w:r w:rsidRPr="00EE7811">
        <w:t>году, Комитет вновь просил правительство представить информацию о деятельности, осуществляемой с</w:t>
      </w:r>
      <w:r w:rsidRPr="00EE7811">
        <w:t>о</w:t>
      </w:r>
      <w:r w:rsidRPr="00EE7811">
        <w:t>циальными партнерами для претворения в жизнь принципа равного вознагра</w:t>
      </w:r>
      <w:r w:rsidRPr="00EE7811">
        <w:t>ж</w:t>
      </w:r>
      <w:r w:rsidRPr="00EE7811">
        <w:t>дения мужчин и женщин за труд равной ценности. Комитет также принял к сведению указание правительства на то, что за последние 10 лет государстве</w:t>
      </w:r>
      <w:r w:rsidRPr="00EE7811">
        <w:t>н</w:t>
      </w:r>
      <w:r w:rsidRPr="00EE7811">
        <w:t>ная инспекция труда не обнаружила никаких случаев гендерной дискримин</w:t>
      </w:r>
      <w:r w:rsidRPr="00EE7811">
        <w:t>а</w:t>
      </w:r>
      <w:r w:rsidRPr="00EE7811">
        <w:t>ции.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Pr="00EE7811" w:rsidRDefault="00B96DBF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CC4E88" w:rsidRPr="00CC4E88">
        <w:tab/>
      </w:r>
      <w:r w:rsidR="00CC4E88" w:rsidRPr="00CC4E88">
        <w:tab/>
      </w:r>
      <w:r w:rsidR="00CC4E88" w:rsidRPr="00EE7811">
        <w:t xml:space="preserve">Конвенция № 111 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pStyle w:val="SingleTxt"/>
      </w:pPr>
      <w:r w:rsidRPr="00EE7811">
        <w:t>10.</w:t>
      </w:r>
      <w:r w:rsidRPr="00EE7811">
        <w:tab/>
        <w:t>В своем замечании, сделанном в 2012 году, Комитет отметил, что после принятия Закона № 424-</w:t>
      </w:r>
      <w:r w:rsidRPr="00EE7811">
        <w:rPr>
          <w:lang w:val="en-GB"/>
        </w:rPr>
        <w:t>IIIQD</w:t>
      </w:r>
      <w:r w:rsidRPr="00EE7811">
        <w:t xml:space="preserve"> от 1 октября 2007 года, в котором предусмотр</w:t>
      </w:r>
      <w:r w:rsidRPr="00EE7811">
        <w:t>е</w:t>
      </w:r>
      <w:r w:rsidRPr="00EE7811">
        <w:t>но, что объявление конкурса только для представителей одного пола запрещ</w:t>
      </w:r>
      <w:r w:rsidRPr="00EE7811">
        <w:t>а</w:t>
      </w:r>
      <w:r w:rsidRPr="00EE7811">
        <w:t>ется, помимо случаев, предусмотренных в законодательстве, 17 мая 2009 года в раздел</w:t>
      </w:r>
      <w:r w:rsidR="00B96DBF">
        <w:rPr>
          <w:lang w:val="en-US"/>
        </w:rPr>
        <w:t> </w:t>
      </w:r>
      <w:r w:rsidRPr="00EE7811">
        <w:t>50(2) Трудового кодекса были внесены поправки с целью включения ТОО же запрета. По заявлениям правительства, оба эти положения согласую</w:t>
      </w:r>
      <w:r w:rsidRPr="00EE7811">
        <w:t>т</w:t>
      </w:r>
      <w:r w:rsidRPr="00EE7811">
        <w:t>ся с разделом 10 Закона о гендерном равенстве. Комитет также принял к свед</w:t>
      </w:r>
      <w:r w:rsidRPr="00EE7811">
        <w:t>е</w:t>
      </w:r>
      <w:r w:rsidRPr="00EE7811">
        <w:t>нию указание правительства на то, что 18 марта 2009 года в Конституцию были внесены поправки с целью включить положение, предусматривающее, что н</w:t>
      </w:r>
      <w:r w:rsidRPr="00EE7811">
        <w:t>и</w:t>
      </w:r>
      <w:r w:rsidRPr="00EE7811">
        <w:t>кому не может быть нанесен ущерб, предоставлены льготы или привилегии либо отказано в предоставлении льгот или привилегий по различным указа</w:t>
      </w:r>
      <w:r w:rsidRPr="00EE7811">
        <w:t>н</w:t>
      </w:r>
      <w:r w:rsidRPr="00EE7811">
        <w:t>ным основаниям (раздел 25(4)), включая пол.</w:t>
      </w:r>
    </w:p>
    <w:p w:rsidR="00CC4E88" w:rsidRPr="00EE7811" w:rsidRDefault="00CC4E88" w:rsidP="00CC4E88">
      <w:pPr>
        <w:pStyle w:val="SingleTxt"/>
      </w:pPr>
      <w:r w:rsidRPr="00EE7811">
        <w:t>11.</w:t>
      </w:r>
      <w:r w:rsidRPr="00EE7811">
        <w:tab/>
        <w:t>На протяжении ряда лет Комитет выражал озабоченность по поводу</w:t>
      </w:r>
      <w:r w:rsidR="00B96DBF">
        <w:t xml:space="preserve"> </w:t>
      </w:r>
      <w:r w:rsidRPr="00EE7811">
        <w:t>и</w:t>
      </w:r>
      <w:r w:rsidRPr="00EE7811">
        <w:t>с</w:t>
      </w:r>
      <w:r w:rsidRPr="00EE7811">
        <w:t>ключения женщин из определенных занятий во исполнение решения</w:t>
      </w:r>
      <w:r w:rsidR="00B96DBF">
        <w:rPr>
          <w:lang w:val="en-US"/>
        </w:rPr>
        <w:t> </w:t>
      </w:r>
      <w:r w:rsidRPr="00EE7811">
        <w:t>№</w:t>
      </w:r>
      <w:r w:rsidR="00B96DBF">
        <w:rPr>
          <w:lang w:val="en-US"/>
        </w:rPr>
        <w:t> </w:t>
      </w:r>
      <w:r w:rsidRPr="00EE7811">
        <w:t>170 от 20</w:t>
      </w:r>
      <w:r w:rsidR="00B96DBF">
        <w:rPr>
          <w:lang w:val="en-US"/>
        </w:rPr>
        <w:t> </w:t>
      </w:r>
      <w:r w:rsidRPr="00EE7811">
        <w:t>октября 1999 года, вынесенного на основании раздела 241 Трудового коде</w:t>
      </w:r>
      <w:r w:rsidRPr="00EE7811">
        <w:t>к</w:t>
      </w:r>
      <w:r w:rsidRPr="00EE7811">
        <w:t>са. Приняв к сведению указание правительства на то, что прилагаются усилия для отмены или аннулирования списка согласно решению, Комитет насто</w:t>
      </w:r>
      <w:r w:rsidRPr="00EE7811">
        <w:t>я</w:t>
      </w:r>
      <w:r w:rsidRPr="00EE7811">
        <w:t>тельно призвал правительство отменить такой список и обеспечить, чтобы л</w:t>
      </w:r>
      <w:r w:rsidRPr="00EE7811">
        <w:t>ю</w:t>
      </w:r>
      <w:r w:rsidRPr="00EE7811">
        <w:t>бые меры, ограничивающие прием на работу женщин, сводились исключ</w:t>
      </w:r>
      <w:r w:rsidRPr="00EE7811">
        <w:t>и</w:t>
      </w:r>
      <w:r w:rsidRPr="00EE7811">
        <w:t>тельно к соображениям охраны материнства.</w:t>
      </w:r>
    </w:p>
    <w:p w:rsidR="00CC4E88" w:rsidRPr="00EE7811" w:rsidRDefault="00CC4E88" w:rsidP="00CC4E88">
      <w:pPr>
        <w:pStyle w:val="SingleTxt"/>
      </w:pPr>
      <w:r w:rsidRPr="00EE7811">
        <w:t>12.</w:t>
      </w:r>
      <w:r w:rsidRPr="00EE7811">
        <w:tab/>
        <w:t>Комитет напомнил о принятии государственной программы по осущест</w:t>
      </w:r>
      <w:r w:rsidRPr="00EE7811">
        <w:t>в</w:t>
      </w:r>
      <w:r w:rsidRPr="00EE7811">
        <w:t>лению стратегии в области занятости на 2007–2010 годы, в которой излагается стратегия решения вопросов, касающихся занятости женщин, и предусматр</w:t>
      </w:r>
      <w:r w:rsidRPr="00EE7811">
        <w:t>и</w:t>
      </w:r>
      <w:r w:rsidRPr="00EE7811">
        <w:t>вается гендерное равенство в сфере занятости. Он отметил, что в соответствии со страновой программой МОТ по обеспечению достойной работы, которая нацелена на включение расширения возможностей индивидуальной трудовой деятельности для женщин и на их подключение к предпринимательской де</w:t>
      </w:r>
      <w:r w:rsidRPr="00EE7811">
        <w:t>я</w:t>
      </w:r>
      <w:r w:rsidRPr="00EE7811">
        <w:t>тельности, была осуществлена программа под названием «Развитие гендерного равенства и женского предпринимательства». Комитет просил правительство представить конкретную информацию о прогрессе, достигнутом в осуществл</w:t>
      </w:r>
      <w:r w:rsidRPr="00EE7811">
        <w:t>е</w:t>
      </w:r>
      <w:r w:rsidRPr="00EE7811">
        <w:t>нии мер, принимаемых для поощрения гендерного равенства в рамках стран</w:t>
      </w:r>
      <w:r w:rsidRPr="00EE7811">
        <w:t>о</w:t>
      </w:r>
      <w:r w:rsidRPr="00EE7811">
        <w:t>вой программы, и о воздействии таких мер, в том числе по линии программы «Развитие гендерного равенства и женского предпринимательства».</w:t>
      </w:r>
    </w:p>
    <w:p w:rsidR="00CC4E88" w:rsidRPr="00EE7811" w:rsidRDefault="00CC4E88" w:rsidP="00CC4E88">
      <w:pPr>
        <w:pStyle w:val="SingleTxt"/>
      </w:pPr>
      <w:r w:rsidRPr="00EE7811">
        <w:t>13.</w:t>
      </w:r>
      <w:r w:rsidRPr="00EE7811">
        <w:tab/>
        <w:t>Комитет также напомнил о значительной горизонтальной и вертикальной сегрегации между полами на рынке труда и о разъяснении правительства, с</w:t>
      </w:r>
      <w:r w:rsidRPr="00EE7811">
        <w:t>о</w:t>
      </w:r>
      <w:r w:rsidRPr="00EE7811">
        <w:t>гласно которому женщины не занимают управленческие должности в силу их семейных обязанностей. Комитет принял к сведению указание правительства на то, что в 2011</w:t>
      </w:r>
      <w:r w:rsidR="00B96DBF">
        <w:t> </w:t>
      </w:r>
      <w:r w:rsidRPr="00EE7811">
        <w:t>году государственная служба занятости позволила 4</w:t>
      </w:r>
      <w:r>
        <w:t>299</w:t>
      </w:r>
      <w:r>
        <w:rPr>
          <w:lang w:val="en-US"/>
        </w:rPr>
        <w:t> </w:t>
      </w:r>
      <w:r w:rsidRPr="00EE7811">
        <w:t>лицам, включая 2039</w:t>
      </w:r>
      <w:r w:rsidR="00B96DBF">
        <w:t> </w:t>
      </w:r>
      <w:r w:rsidRPr="00EE7811">
        <w:t>женщин, пройти профессионально-техническое об</w:t>
      </w:r>
      <w:r w:rsidRPr="00EE7811">
        <w:t>у</w:t>
      </w:r>
      <w:r w:rsidRPr="00EE7811">
        <w:t>чение. Комитет просил правительство предпринять конкретные действия для решения проблемы горизонтальной и вертикальной сегрегации между п</w:t>
      </w:r>
      <w:r w:rsidRPr="00EE7811">
        <w:t>о</w:t>
      </w:r>
      <w:r w:rsidRPr="00EE7811">
        <w:t>лами на рынке труда и принять конкретные меры для повышения коэффициентов участия женщин в тех экономических секторах и сферах занятий, в которых они недопредставлены, в том числе посредством обеспечения их участия в б</w:t>
      </w:r>
      <w:r w:rsidRPr="00EE7811">
        <w:t>о</w:t>
      </w:r>
      <w:r w:rsidRPr="00EE7811">
        <w:t>лее широком наборе курсов профессионально-технической подготовки, вед</w:t>
      </w:r>
      <w:r w:rsidRPr="00EE7811">
        <w:t>у</w:t>
      </w:r>
      <w:r w:rsidRPr="00EE7811">
        <w:t xml:space="preserve">щей к занятости с возможностями продвижения по службе и повышения в должности. </w:t>
      </w:r>
    </w:p>
    <w:p w:rsidR="00CC4E88" w:rsidRPr="00EE7811" w:rsidRDefault="00CC4E88" w:rsidP="00CC4E88">
      <w:pPr>
        <w:pStyle w:val="SingleTxt"/>
        <w:rPr>
          <w:bCs/>
        </w:rPr>
      </w:pPr>
      <w:r w:rsidRPr="00EE7811">
        <w:t>14.</w:t>
      </w:r>
      <w:r w:rsidRPr="00EE7811">
        <w:tab/>
        <w:t>В своем прямом запросе, сделанном в 2012</w:t>
      </w:r>
      <w:r w:rsidRPr="00EE7811">
        <w:rPr>
          <w:lang w:val="en-GB"/>
        </w:rPr>
        <w:t> </w:t>
      </w:r>
      <w:r w:rsidRPr="00EE7811">
        <w:t xml:space="preserve">году, Комитет напомнил, что Закон о гендерном равенстве запрещает </w:t>
      </w:r>
      <w:r w:rsidRPr="00EE7811">
        <w:rPr>
          <w:bCs/>
        </w:rPr>
        <w:t>сексуальные домогательства (раздел</w:t>
      </w:r>
      <w:r w:rsidR="00B96DBF">
        <w:rPr>
          <w:bCs/>
        </w:rPr>
        <w:t> </w:t>
      </w:r>
      <w:r w:rsidRPr="00EE7811">
        <w:rPr>
          <w:bCs/>
        </w:rPr>
        <w:t>4) и предусматривает осуществление мер для недопущения гендерной дискрим</w:t>
      </w:r>
      <w:r w:rsidRPr="00EE7811">
        <w:rPr>
          <w:bCs/>
        </w:rPr>
        <w:t>и</w:t>
      </w:r>
      <w:r w:rsidRPr="00EE7811">
        <w:rPr>
          <w:bCs/>
        </w:rPr>
        <w:t>нации и сексуальных домогательств (раздел 7.2.5), а в разделе 31 Трудового к</w:t>
      </w:r>
      <w:r w:rsidRPr="00EE7811">
        <w:rPr>
          <w:bCs/>
        </w:rPr>
        <w:t>о</w:t>
      </w:r>
      <w:r w:rsidRPr="00EE7811">
        <w:rPr>
          <w:bCs/>
        </w:rPr>
        <w:t>декса 1999 года предусмотрены меры, принимаемые сторонами коллекти</w:t>
      </w:r>
      <w:r w:rsidRPr="00EE7811">
        <w:rPr>
          <w:bCs/>
        </w:rPr>
        <w:t>в</w:t>
      </w:r>
      <w:r w:rsidRPr="00EE7811">
        <w:rPr>
          <w:bCs/>
        </w:rPr>
        <w:t>ных договоров для предупреждения сексуальных домогательств на работе. К</w:t>
      </w:r>
      <w:r w:rsidRPr="00EE7811">
        <w:rPr>
          <w:bCs/>
        </w:rPr>
        <w:t>о</w:t>
      </w:r>
      <w:r w:rsidRPr="00EE7811">
        <w:rPr>
          <w:bCs/>
        </w:rPr>
        <w:t>митет принял к сведению указание правительства на то, что в Трудовой кодекс внес</w:t>
      </w:r>
      <w:r w:rsidRPr="00EE7811">
        <w:rPr>
          <w:bCs/>
        </w:rPr>
        <w:t>е</w:t>
      </w:r>
      <w:r w:rsidRPr="00EE7811">
        <w:rPr>
          <w:bCs/>
        </w:rPr>
        <w:t>ны поправки и что сейчас он предусматривает обязательство нанимателей пр</w:t>
      </w:r>
      <w:r w:rsidRPr="00EE7811">
        <w:rPr>
          <w:bCs/>
        </w:rPr>
        <w:t>и</w:t>
      </w:r>
      <w:r w:rsidRPr="00EE7811">
        <w:rPr>
          <w:bCs/>
        </w:rPr>
        <w:t>нимать необходимые меры для предотвращения гендерной дискриминации и сексуальных домогательств (раздел 12(1)), включая возложение на нанимат</w:t>
      </w:r>
      <w:r w:rsidRPr="00EE7811">
        <w:rPr>
          <w:bCs/>
        </w:rPr>
        <w:t>е</w:t>
      </w:r>
      <w:r w:rsidRPr="00EE7811">
        <w:rPr>
          <w:bCs/>
        </w:rPr>
        <w:t>лей ответственности за тот ущерб, который несет работник в случае сексуал</w:t>
      </w:r>
      <w:r w:rsidRPr="00EE7811">
        <w:rPr>
          <w:bCs/>
        </w:rPr>
        <w:t>ь</w:t>
      </w:r>
      <w:r w:rsidRPr="00EE7811">
        <w:rPr>
          <w:bCs/>
        </w:rPr>
        <w:t>ных домогательств (раздел</w:t>
      </w:r>
      <w:r w:rsidR="00B96DBF">
        <w:rPr>
          <w:bCs/>
        </w:rPr>
        <w:t> </w:t>
      </w:r>
      <w:r>
        <w:rPr>
          <w:bCs/>
        </w:rPr>
        <w:t xml:space="preserve">195). </w:t>
      </w:r>
      <w:r w:rsidRPr="00EE7811">
        <w:rPr>
          <w:bCs/>
        </w:rPr>
        <w:t>Комитет далее принял к сведению указание правительства на то, что принятая 25</w:t>
      </w:r>
      <w:r w:rsidR="00B96DBF">
        <w:rPr>
          <w:bCs/>
        </w:rPr>
        <w:t> </w:t>
      </w:r>
      <w:r w:rsidRPr="00EE7811">
        <w:rPr>
          <w:bCs/>
        </w:rPr>
        <w:t>января 2007</w:t>
      </w:r>
      <w:r w:rsidR="00B96DBF">
        <w:rPr>
          <w:bCs/>
        </w:rPr>
        <w:t> </w:t>
      </w:r>
      <w:r w:rsidRPr="00EE7811">
        <w:rPr>
          <w:bCs/>
        </w:rPr>
        <w:t>года всеобъемлющая пр</w:t>
      </w:r>
      <w:r w:rsidRPr="00EE7811">
        <w:rPr>
          <w:bCs/>
        </w:rPr>
        <w:t>о</w:t>
      </w:r>
      <w:r w:rsidRPr="00EE7811">
        <w:rPr>
          <w:bCs/>
        </w:rPr>
        <w:t>грамма по борьбе с каждодневным насилием включает проекты предложений по усилению проводимых государственной инспекцией труда проверок в целях обеспечения соблюдения законодательства, касающегося профилактических мер против насилия сексуального характера, а также других действий, униж</w:t>
      </w:r>
      <w:r w:rsidRPr="00EE7811">
        <w:rPr>
          <w:bCs/>
        </w:rPr>
        <w:t>а</w:t>
      </w:r>
      <w:r w:rsidRPr="00EE7811">
        <w:rPr>
          <w:bCs/>
        </w:rPr>
        <w:t>ющих достоинство работников. Комитет просил правительство представить информацию о любых мерах, принимаемых организациями работников и раб</w:t>
      </w:r>
      <w:r w:rsidRPr="00EE7811">
        <w:rPr>
          <w:bCs/>
        </w:rPr>
        <w:t>о</w:t>
      </w:r>
      <w:r w:rsidRPr="00EE7811">
        <w:rPr>
          <w:bCs/>
        </w:rPr>
        <w:t>тодателей либо правительством в целях недопущения сексуальных домог</w:t>
      </w:r>
      <w:r w:rsidRPr="00EE7811">
        <w:rPr>
          <w:bCs/>
        </w:rPr>
        <w:t>а</w:t>
      </w:r>
      <w:r w:rsidRPr="00EE7811">
        <w:rPr>
          <w:bCs/>
        </w:rPr>
        <w:t>тельств на рабочем месте и борьбы с ними, включая конкретные примеры пр</w:t>
      </w:r>
      <w:r w:rsidRPr="00EE7811">
        <w:rPr>
          <w:bCs/>
        </w:rPr>
        <w:t>о</w:t>
      </w:r>
      <w:r w:rsidRPr="00EE7811">
        <w:rPr>
          <w:bCs/>
        </w:rPr>
        <w:t>веденных мероприятий по повышению осведомленности и их результаты.</w:t>
      </w:r>
    </w:p>
    <w:p w:rsidR="00CC4E88" w:rsidRPr="00652848" w:rsidRDefault="00CC4E88" w:rsidP="00CC4E88">
      <w:pPr>
        <w:pStyle w:val="SingleTxt"/>
        <w:spacing w:after="0" w:line="120" w:lineRule="exact"/>
        <w:rPr>
          <w:bCs/>
          <w:i/>
          <w:sz w:val="10"/>
        </w:rPr>
      </w:pPr>
    </w:p>
    <w:p w:rsidR="00CC4E88" w:rsidRPr="00CC4E88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Конвенция № 183</w:t>
      </w:r>
    </w:p>
    <w:p w:rsidR="00CC4E88" w:rsidRPr="00652848" w:rsidRDefault="00CC4E88" w:rsidP="00CC4E88">
      <w:pPr>
        <w:pStyle w:val="SingleTxt"/>
        <w:spacing w:after="0" w:line="120" w:lineRule="exact"/>
        <w:rPr>
          <w:bCs/>
          <w:sz w:val="10"/>
        </w:rPr>
      </w:pPr>
    </w:p>
    <w:p w:rsidR="00CC4E88" w:rsidRPr="00EE7811" w:rsidRDefault="00CC4E88" w:rsidP="00CC4E88">
      <w:pPr>
        <w:pStyle w:val="SingleTxt"/>
        <w:rPr>
          <w:bCs/>
        </w:rPr>
      </w:pPr>
      <w:r w:rsidRPr="00EE7811">
        <w:rPr>
          <w:bCs/>
        </w:rPr>
        <w:t>15.</w:t>
      </w:r>
      <w:r w:rsidRPr="00EE7811">
        <w:rPr>
          <w:bCs/>
        </w:rPr>
        <w:tab/>
      </w:r>
      <w:r w:rsidRPr="00EE7811">
        <w:t>В своем прямом запросе, сделанном в 2013</w:t>
      </w:r>
      <w:r w:rsidRPr="00EE7811">
        <w:rPr>
          <w:lang w:val="en-GB"/>
        </w:rPr>
        <w:t> </w:t>
      </w:r>
      <w:r w:rsidRPr="00EE7811">
        <w:t xml:space="preserve">году, Комитет </w:t>
      </w:r>
      <w:r w:rsidRPr="00EE7811">
        <w:rPr>
          <w:bCs/>
        </w:rPr>
        <w:t>просил прав</w:t>
      </w:r>
      <w:r w:rsidRPr="00EE7811">
        <w:rPr>
          <w:bCs/>
        </w:rPr>
        <w:t>и</w:t>
      </w:r>
      <w:r w:rsidRPr="00EE7811">
        <w:rPr>
          <w:bCs/>
        </w:rPr>
        <w:t>тельство представить детальную информацию о видах медицинского обслуж</w:t>
      </w:r>
      <w:r w:rsidRPr="00EE7811">
        <w:rPr>
          <w:bCs/>
        </w:rPr>
        <w:t>и</w:t>
      </w:r>
      <w:r w:rsidRPr="00EE7811">
        <w:rPr>
          <w:bCs/>
        </w:rPr>
        <w:t>вания, предоставляемых женщинам в период беременности, при родах и в п</w:t>
      </w:r>
      <w:r w:rsidRPr="00EE7811">
        <w:rPr>
          <w:bCs/>
        </w:rPr>
        <w:t>о</w:t>
      </w:r>
      <w:r w:rsidRPr="00EE7811">
        <w:rPr>
          <w:bCs/>
        </w:rPr>
        <w:t>слеродовой период, а также об условиях, которым необходимо соответствовать, и условиях, определяющих стоимость такого обслуживания.</w:t>
      </w:r>
    </w:p>
    <w:p w:rsidR="00CC4E88" w:rsidRPr="00EE7811" w:rsidRDefault="00CC4E88" w:rsidP="00CC4E88">
      <w:pPr>
        <w:pStyle w:val="SingleTxt"/>
        <w:rPr>
          <w:bCs/>
        </w:rPr>
      </w:pPr>
      <w:r w:rsidRPr="00EE7811">
        <w:rPr>
          <w:bCs/>
        </w:rPr>
        <w:t>16.</w:t>
      </w:r>
      <w:r w:rsidRPr="00EE7811">
        <w:rPr>
          <w:bCs/>
        </w:rPr>
        <w:tab/>
        <w:t>Комитет отметил, что во исполнение раздела 6 Закона о социальном стр</w:t>
      </w:r>
      <w:r w:rsidRPr="00EE7811">
        <w:rPr>
          <w:bCs/>
        </w:rPr>
        <w:t>а</w:t>
      </w:r>
      <w:r w:rsidRPr="00EE7811">
        <w:rPr>
          <w:bCs/>
        </w:rPr>
        <w:t>ховании женщины, производящие взносы в национальную систему социальн</w:t>
      </w:r>
      <w:r w:rsidRPr="00EE7811">
        <w:rPr>
          <w:bCs/>
        </w:rPr>
        <w:t>о</w:t>
      </w:r>
      <w:r w:rsidRPr="00EE7811">
        <w:rPr>
          <w:bCs/>
        </w:rPr>
        <w:t>го страхования на протяжении периода меньше шести месяцев, не имеют права на оплачиваемый отпуск по беременности и родам. С учетом заявления прав</w:t>
      </w:r>
      <w:r w:rsidRPr="00EE7811">
        <w:rPr>
          <w:bCs/>
        </w:rPr>
        <w:t>и</w:t>
      </w:r>
      <w:r w:rsidRPr="00EE7811">
        <w:rPr>
          <w:bCs/>
        </w:rPr>
        <w:t>тельства о том, что в 201</w:t>
      </w:r>
      <w:r w:rsidR="00B96DBF">
        <w:rPr>
          <w:bCs/>
        </w:rPr>
        <w:t> </w:t>
      </w:r>
      <w:r w:rsidRPr="00EE7811">
        <w:rPr>
          <w:bCs/>
        </w:rPr>
        <w:t>году Министерство труда и социальной защиты нас</w:t>
      </w:r>
      <w:r w:rsidRPr="00EE7811">
        <w:rPr>
          <w:bCs/>
        </w:rPr>
        <w:t>е</w:t>
      </w:r>
      <w:r w:rsidRPr="00EE7811">
        <w:rPr>
          <w:bCs/>
        </w:rPr>
        <w:t>ления внесло в кабинет министров предложение об отмене этого положения, Комитет запросил указание о том, было ли принято это предложение.</w:t>
      </w:r>
    </w:p>
    <w:p w:rsidR="00CC4E88" w:rsidRPr="00EE7811" w:rsidRDefault="00CC4E88" w:rsidP="00CC4E88">
      <w:pPr>
        <w:pStyle w:val="SingleTxt"/>
        <w:rPr>
          <w:bCs/>
        </w:rPr>
      </w:pPr>
      <w:r w:rsidRPr="00EE7811">
        <w:rPr>
          <w:bCs/>
        </w:rPr>
        <w:t>17.</w:t>
      </w:r>
      <w:r w:rsidRPr="00EE7811">
        <w:rPr>
          <w:bCs/>
        </w:rPr>
        <w:tab/>
        <w:t>В своем докладе правительство указало на то, что разрабатывается зак</w:t>
      </w:r>
      <w:r w:rsidRPr="00EE7811">
        <w:rPr>
          <w:bCs/>
        </w:rPr>
        <w:t>о</w:t>
      </w:r>
      <w:r w:rsidRPr="00EE7811">
        <w:rPr>
          <w:bCs/>
        </w:rPr>
        <w:t>нопроект о поправках и добавлениях к Трудовому кодексу, который, в частн</w:t>
      </w:r>
      <w:r w:rsidRPr="00EE7811">
        <w:rPr>
          <w:bCs/>
        </w:rPr>
        <w:t>о</w:t>
      </w:r>
      <w:r w:rsidRPr="00EE7811">
        <w:rPr>
          <w:bCs/>
        </w:rPr>
        <w:t>сти, предусматривает выделение в пределах рабочего места или рядом с ним отдельной комнаты, которая будет использоваться в качестве детских яслей или для целей грудного кормления. Комитет</w:t>
      </w:r>
      <w:r w:rsidRPr="005079B2">
        <w:rPr>
          <w:bCs/>
        </w:rPr>
        <w:t xml:space="preserve"> </w:t>
      </w:r>
      <w:r w:rsidRPr="00EE7811">
        <w:rPr>
          <w:bCs/>
        </w:rPr>
        <w:t>запросил</w:t>
      </w:r>
      <w:r w:rsidRPr="005079B2">
        <w:rPr>
          <w:bCs/>
        </w:rPr>
        <w:t xml:space="preserve"> </w:t>
      </w:r>
      <w:r w:rsidRPr="00EE7811">
        <w:rPr>
          <w:bCs/>
        </w:rPr>
        <w:t>информацию</w:t>
      </w:r>
      <w:r w:rsidRPr="005079B2">
        <w:rPr>
          <w:bCs/>
        </w:rPr>
        <w:t xml:space="preserve"> </w:t>
      </w:r>
      <w:r w:rsidRPr="00EE7811">
        <w:rPr>
          <w:bCs/>
        </w:rPr>
        <w:t>о</w:t>
      </w:r>
      <w:r w:rsidRPr="005079B2">
        <w:rPr>
          <w:bCs/>
        </w:rPr>
        <w:t xml:space="preserve"> </w:t>
      </w:r>
      <w:r w:rsidRPr="00EE7811">
        <w:rPr>
          <w:bCs/>
        </w:rPr>
        <w:t>том</w:t>
      </w:r>
      <w:r w:rsidRPr="005079B2">
        <w:rPr>
          <w:bCs/>
        </w:rPr>
        <w:t xml:space="preserve">, </w:t>
      </w:r>
      <w:r w:rsidRPr="00EE7811">
        <w:rPr>
          <w:bCs/>
        </w:rPr>
        <w:t>принят</w:t>
      </w:r>
      <w:r w:rsidRPr="005079B2">
        <w:rPr>
          <w:bCs/>
        </w:rPr>
        <w:t xml:space="preserve"> </w:t>
      </w:r>
      <w:r w:rsidRPr="00EE7811">
        <w:rPr>
          <w:bCs/>
        </w:rPr>
        <w:t>ли</w:t>
      </w:r>
      <w:r w:rsidRPr="005079B2">
        <w:rPr>
          <w:bCs/>
        </w:rPr>
        <w:t xml:space="preserve"> </w:t>
      </w:r>
      <w:r w:rsidRPr="00EE7811">
        <w:rPr>
          <w:bCs/>
        </w:rPr>
        <w:t>этот</w:t>
      </w:r>
      <w:r w:rsidRPr="005079B2">
        <w:rPr>
          <w:bCs/>
        </w:rPr>
        <w:t xml:space="preserve"> </w:t>
      </w:r>
      <w:r w:rsidRPr="00EE7811">
        <w:rPr>
          <w:bCs/>
        </w:rPr>
        <w:t>законопроект</w:t>
      </w:r>
      <w:r w:rsidRPr="005079B2">
        <w:rPr>
          <w:bCs/>
        </w:rPr>
        <w:t>.</w:t>
      </w:r>
    </w:p>
    <w:p w:rsidR="00CC4E88" w:rsidRPr="00652848" w:rsidRDefault="00CC4E88" w:rsidP="00CC4E88">
      <w:pPr>
        <w:pStyle w:val="SingleTxt"/>
        <w:spacing w:after="0" w:line="120" w:lineRule="exact"/>
        <w:rPr>
          <w:bCs/>
          <w:i/>
          <w:sz w:val="10"/>
        </w:rPr>
      </w:pPr>
    </w:p>
    <w:p w:rsidR="00CC4E88" w:rsidRPr="00EE7811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Другие конвенции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pStyle w:val="SingleTxt"/>
      </w:pPr>
      <w:r w:rsidRPr="00EE7811">
        <w:t>18.</w:t>
      </w:r>
      <w:r w:rsidRPr="00EE7811">
        <w:tab/>
        <w:t>Самые последние доклады правительства об осуществлении конве</w:t>
      </w:r>
      <w:r w:rsidRPr="00EE7811">
        <w:t>н</w:t>
      </w:r>
      <w:r w:rsidRPr="00EE7811">
        <w:t>ций</w:t>
      </w:r>
      <w:r w:rsidR="00B96DBF">
        <w:t> </w:t>
      </w:r>
      <w:r w:rsidRPr="00EE7811">
        <w:t>№№</w:t>
      </w:r>
      <w:r w:rsidR="00B96DBF">
        <w:t> </w:t>
      </w:r>
      <w:r w:rsidRPr="00EE7811">
        <w:t xml:space="preserve">138 и </w:t>
      </w:r>
      <w:r w:rsidR="009054D3">
        <w:t>1</w:t>
      </w:r>
      <w:r w:rsidRPr="00EE7811">
        <w:t>82 получены, и они были рассмотрены Комитетом экспертов на его сессии в ноябре</w:t>
      </w:r>
      <w:r w:rsidR="00B96DBF">
        <w:t>–</w:t>
      </w:r>
      <w:r w:rsidRPr="00EE7811">
        <w:t>декабре 2014</w:t>
      </w:r>
      <w:r w:rsidR="00B96DBF">
        <w:t> </w:t>
      </w:r>
      <w:r w:rsidRPr="00EE7811">
        <w:t>года.</w:t>
      </w:r>
    </w:p>
    <w:p w:rsidR="00CC4E88" w:rsidRPr="00EE7811" w:rsidRDefault="00CC4E88" w:rsidP="00CC4E88">
      <w:pPr>
        <w:pStyle w:val="SingleTxt"/>
        <w:rPr>
          <w:bCs/>
        </w:rPr>
      </w:pPr>
      <w:r w:rsidRPr="00EE7811">
        <w:rPr>
          <w:bCs/>
        </w:rPr>
        <w:t>19.</w:t>
      </w:r>
      <w:r w:rsidRPr="00EE7811">
        <w:rPr>
          <w:bCs/>
        </w:rPr>
        <w:tab/>
        <w:t>Новые доклады об осуществлении конвенций №№ 29, 105 и 122 были п</w:t>
      </w:r>
      <w:r w:rsidRPr="00EE7811">
        <w:rPr>
          <w:bCs/>
        </w:rPr>
        <w:t>о</w:t>
      </w:r>
      <w:r w:rsidRPr="00EE7811">
        <w:rPr>
          <w:bCs/>
        </w:rPr>
        <w:t>лучены и будут рассмотрены Комитетом экспертов на</w:t>
      </w:r>
      <w:r w:rsidR="00B96DBF">
        <w:rPr>
          <w:bCs/>
        </w:rPr>
        <w:t xml:space="preserve"> </w:t>
      </w:r>
      <w:r w:rsidRPr="00EE7811">
        <w:t>его сессии в ноябре</w:t>
      </w:r>
      <w:r w:rsidR="00B96DBF">
        <w:t>–</w:t>
      </w:r>
      <w:r w:rsidRPr="00EE7811">
        <w:t>декабре 2015 года</w:t>
      </w:r>
      <w:r w:rsidRPr="00EE7811">
        <w:rPr>
          <w:bCs/>
        </w:rPr>
        <w:t>.</w:t>
      </w:r>
    </w:p>
    <w:p w:rsidR="00CC4E88" w:rsidRPr="00EE7811" w:rsidRDefault="00CC4E88" w:rsidP="00CC4E88">
      <w:pPr>
        <w:pStyle w:val="SingleTxt"/>
        <w:rPr>
          <w:i/>
        </w:rPr>
      </w:pPr>
      <w:r w:rsidRPr="00EE7811">
        <w:t>20.</w:t>
      </w:r>
      <w:r w:rsidRPr="00EE7811">
        <w:tab/>
        <w:t>Правительству было предложено представить свои доклады об осущест</w:t>
      </w:r>
      <w:r w:rsidRPr="00EE7811">
        <w:t>в</w:t>
      </w:r>
      <w:r w:rsidRPr="00EE7811">
        <w:t>лении конвенций №№ 45, 100 и 111, которые должны быть рассмотрены Ком</w:t>
      </w:r>
      <w:r w:rsidRPr="00EE7811">
        <w:t>и</w:t>
      </w:r>
      <w:r w:rsidRPr="00EE7811">
        <w:t>тетом экспертов на той же сессии.</w:t>
      </w:r>
    </w:p>
    <w:p w:rsidR="00CC4E88" w:rsidRPr="00652848" w:rsidRDefault="00CC4E88" w:rsidP="00CC4E88">
      <w:pPr>
        <w:pStyle w:val="SingleTxt"/>
        <w:spacing w:after="0" w:line="120" w:lineRule="exact"/>
        <w:rPr>
          <w:b/>
          <w:sz w:val="10"/>
        </w:rPr>
      </w:pPr>
    </w:p>
    <w:p w:rsidR="00CC4E88" w:rsidRPr="00652848" w:rsidRDefault="00CC4E88" w:rsidP="00CC4E88">
      <w:pPr>
        <w:pStyle w:val="SingleTxt"/>
        <w:spacing w:after="0" w:line="120" w:lineRule="exact"/>
        <w:rPr>
          <w:b/>
          <w:sz w:val="10"/>
        </w:rPr>
      </w:pPr>
    </w:p>
    <w:p w:rsidR="00CC4E88" w:rsidRPr="00EE7811" w:rsidRDefault="00CC4E88" w:rsidP="00CC4E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Дания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pStyle w:val="SingleTxt"/>
      </w:pPr>
      <w:r w:rsidRPr="00EE7811">
        <w:t>21.</w:t>
      </w:r>
      <w:r w:rsidRPr="00EE7811">
        <w:tab/>
        <w:t>Из соответствующих конвенций МОТ Дания ратифицировала конвенции №№</w:t>
      </w:r>
      <w:r w:rsidRPr="00EE7811">
        <w:rPr>
          <w:lang w:val="en-GB"/>
        </w:rPr>
        <w:t> </w:t>
      </w:r>
      <w:r w:rsidRPr="00EE7811">
        <w:t>100 и</w:t>
      </w:r>
      <w:r w:rsidRPr="00EE7811">
        <w:rPr>
          <w:lang w:val="en-GB"/>
        </w:rPr>
        <w:t> </w:t>
      </w:r>
      <w:r w:rsidRPr="00EE7811">
        <w:t>111. Она также ратифицировала конвенции №№</w:t>
      </w:r>
      <w:r w:rsidR="00B96DBF">
        <w:rPr>
          <w:lang w:val="en-GB"/>
        </w:rPr>
        <w:t xml:space="preserve"> </w:t>
      </w:r>
      <w:r w:rsidRPr="00EE7811">
        <w:t>29, 87, 98, 105, 122, 138, 142, 169 и 182.</w:t>
      </w:r>
    </w:p>
    <w:p w:rsidR="00CC4E88" w:rsidRPr="00652848" w:rsidRDefault="00CC4E88" w:rsidP="00CC4E88">
      <w:pPr>
        <w:pStyle w:val="SingleTxt"/>
        <w:spacing w:after="0" w:line="120" w:lineRule="exact"/>
        <w:rPr>
          <w:b/>
          <w:sz w:val="10"/>
        </w:rPr>
      </w:pPr>
    </w:p>
    <w:p w:rsidR="00CC4E88" w:rsidRPr="00EE7811" w:rsidRDefault="00CC4E88" w:rsidP="00CC4E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 xml:space="preserve">Комментарии надзорных органов Международной организации труда 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pStyle w:val="SingleTxt"/>
      </w:pPr>
      <w:r w:rsidRPr="00EE7811">
        <w:t>22.</w:t>
      </w:r>
      <w:r w:rsidRPr="00EE7811">
        <w:tab/>
        <w:t>Представленные на рассмотрение комментарии Комитета экспертов, о</w:t>
      </w:r>
      <w:r w:rsidRPr="00EE7811">
        <w:t>т</w:t>
      </w:r>
      <w:r w:rsidRPr="00EE7811">
        <w:t>носящиеся к положениям Конвенции о ликвидации всех форм дискриминации в отношении женщин,</w:t>
      </w:r>
      <w:r w:rsidR="009054D3">
        <w:t xml:space="preserve"> касаются нижеследующих пунктов.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Pr="00CC4E88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Конвенция № 100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pStyle w:val="SingleTxt"/>
      </w:pPr>
      <w:r w:rsidRPr="00EE7811">
        <w:t>23.</w:t>
      </w:r>
      <w:r w:rsidRPr="00EE7811">
        <w:tab/>
        <w:t>В своем прямом запросе, сделанном в 2012</w:t>
      </w:r>
      <w:r w:rsidRPr="00EE7811">
        <w:rPr>
          <w:lang w:val="en-GB"/>
        </w:rPr>
        <w:t> </w:t>
      </w:r>
      <w:r w:rsidRPr="00EE7811">
        <w:t>году, Комитет, отталкиваясь от доклада правительства, отметил, что в 2009</w:t>
      </w:r>
      <w:r w:rsidR="00B96DBF">
        <w:t> </w:t>
      </w:r>
      <w:r w:rsidRPr="00EE7811">
        <w:t>году женщины зарабатывали в среднем на 18</w:t>
      </w:r>
      <w:r w:rsidR="00B96DBF">
        <w:t>–</w:t>
      </w:r>
      <w:r w:rsidRPr="00EE7811">
        <w:t>20 процентов меньше, чем мужчины, и что разница в зарабо</w:t>
      </w:r>
      <w:r w:rsidRPr="00EE7811">
        <w:t>т</w:t>
      </w:r>
      <w:r w:rsidRPr="00EE7811">
        <w:t>ной плате между мужчинами и женщинами в рамках государственной и мес</w:t>
      </w:r>
      <w:r w:rsidRPr="00EE7811">
        <w:t>т</w:t>
      </w:r>
      <w:r w:rsidRPr="00EE7811">
        <w:t>ной гражданской службы и в частном секторе оставалась приблизительно неизменной на протяжении последних 15 лет. Правительство вновь повторило свое разъяснение относительно основополагающих причин этих различий в зарплате и заявило, что гендерный разрыв в оплате труда можно в значител</w:t>
      </w:r>
      <w:r w:rsidRPr="00EE7811">
        <w:t>ь</w:t>
      </w:r>
      <w:r w:rsidRPr="00EE7811">
        <w:t>ной мере объяснить гендерной сегрегацией на рынке труда, которая проявляе</w:t>
      </w:r>
      <w:r w:rsidRPr="00EE7811">
        <w:t>т</w:t>
      </w:r>
      <w:r w:rsidRPr="00EE7811">
        <w:t>ся в большей представленности женщин в государственном секторе (7 из 10</w:t>
      </w:r>
      <w:r w:rsidR="00B96DBF">
        <w:t> </w:t>
      </w:r>
      <w:r w:rsidRPr="00EE7811">
        <w:t>государственных работников), большей доле женщин среди работников, з</w:t>
      </w:r>
      <w:r w:rsidRPr="00EE7811">
        <w:t>а</w:t>
      </w:r>
      <w:r w:rsidRPr="00EE7811">
        <w:t>нятых неполный рабочий день (37 процентов по сравнению с 14</w:t>
      </w:r>
      <w:r w:rsidR="00B96DBF">
        <w:t> </w:t>
      </w:r>
      <w:r w:rsidRPr="00EE7811">
        <w:t>процентами мужчин), более длительных и частых перерывах в трудовой деятельности и н</w:t>
      </w:r>
      <w:r w:rsidRPr="00EE7811">
        <w:t>е</w:t>
      </w:r>
      <w:r w:rsidRPr="00EE7811">
        <w:t>допредставленности женщин на руководящих должностях (3 из 10 руководит</w:t>
      </w:r>
      <w:r w:rsidRPr="00EE7811">
        <w:t>е</w:t>
      </w:r>
      <w:r w:rsidRPr="00EE7811">
        <w:t>лей). Из веб-сайта Министерства занятости и равенства Комитет отметил, что лишь две трети предприятий, охваченных законодательством, готовят дезагр</w:t>
      </w:r>
      <w:r w:rsidRPr="00EE7811">
        <w:t>е</w:t>
      </w:r>
      <w:r w:rsidRPr="00EE7811">
        <w:t>гированные по признаку пола статистические данные об оплате труда или д</w:t>
      </w:r>
      <w:r w:rsidRPr="00EE7811">
        <w:t>о</w:t>
      </w:r>
      <w:r w:rsidRPr="00EE7811">
        <w:t>клады о равной оплате и что слабые знания законодательства и нежелание пр</w:t>
      </w:r>
      <w:r w:rsidRPr="00EE7811">
        <w:t>и</w:t>
      </w:r>
      <w:r w:rsidRPr="00EE7811">
        <w:t>знать разницу в оплате между мужчинами и женщинами и решить эту пробл</w:t>
      </w:r>
      <w:r w:rsidRPr="00EE7811">
        <w:t>е</w:t>
      </w:r>
      <w:r w:rsidRPr="00EE7811">
        <w:t>му на предприятиях в значительной мере объясняет несоблюдение законод</w:t>
      </w:r>
      <w:r w:rsidRPr="00EE7811">
        <w:t>а</w:t>
      </w:r>
      <w:r w:rsidRPr="00EE7811">
        <w:t xml:space="preserve">тельных положений. </w:t>
      </w:r>
    </w:p>
    <w:p w:rsidR="00CC4E88" w:rsidRPr="00EE7811" w:rsidRDefault="00CC4E88" w:rsidP="00CC4E88">
      <w:pPr>
        <w:pStyle w:val="SingleTxt"/>
      </w:pPr>
      <w:r w:rsidRPr="00EE7811">
        <w:t>24.</w:t>
      </w:r>
      <w:r w:rsidRPr="00EE7811">
        <w:tab/>
        <w:t>Правительство указало, что пока не принято никаких мер для разработки объективных методов оценки должностных обязанностей и что в этом отнош</w:t>
      </w:r>
      <w:r w:rsidRPr="00EE7811">
        <w:t>е</w:t>
      </w:r>
      <w:r w:rsidRPr="00EE7811">
        <w:t>нии не намечается никаких действий. Оно также указало на то, что вследствие непосредственного осуществления Закона № 899 от 2008 года о равной оплате труда мужчин и женщин посредством заключения коллективных договоров случаи дискриминации в оплате по признаку пола можно передавать на ра</w:t>
      </w:r>
      <w:r w:rsidRPr="00EE7811">
        <w:t>с</w:t>
      </w:r>
      <w:r w:rsidRPr="00EE7811">
        <w:t>смотрение судов по трудовым спорам. Далее Комитет отметил, что Конфедер</w:t>
      </w:r>
      <w:r w:rsidRPr="00EE7811">
        <w:t>а</w:t>
      </w:r>
      <w:r w:rsidRPr="00EE7811">
        <w:t>ция датской промышленности и Центральная организация промышленных р</w:t>
      </w:r>
      <w:r w:rsidRPr="00EE7811">
        <w:t>а</w:t>
      </w:r>
      <w:r w:rsidRPr="00EE7811">
        <w:t>ботников создали в июне 2011</w:t>
      </w:r>
      <w:r w:rsidR="00B96DBF">
        <w:t> </w:t>
      </w:r>
      <w:r w:rsidRPr="00EE7811">
        <w:t>года трибунал по вопросам равной оплаты, уполномоченный разбирать дела о неравной оплате по признаку пола. Из пр</w:t>
      </w:r>
      <w:r w:rsidRPr="00EE7811">
        <w:t>о</w:t>
      </w:r>
      <w:r w:rsidRPr="00EE7811">
        <w:t>веденного в 2010 году обзора по вопросам равной оплаты труда Комитет также отметил, что социальные партнеры по-прежнему весьма активно проповедуют принцип равного вознаграждения мужчин и женщин за труд равной ценности, вынося рекомендации, организуя учебные занятия, семинары и форумы и ра</w:t>
      </w:r>
      <w:r w:rsidRPr="00EE7811">
        <w:t>с</w:t>
      </w:r>
      <w:r w:rsidRPr="00EE7811">
        <w:t>пространяя информацию по вопросам равной оплаты труда.</w:t>
      </w:r>
    </w:p>
    <w:p w:rsidR="00CC4E88" w:rsidRPr="00EE7811" w:rsidRDefault="00CC4E88" w:rsidP="00CC4E88">
      <w:pPr>
        <w:pStyle w:val="SingleTxt"/>
      </w:pPr>
      <w:r w:rsidRPr="00EE7811">
        <w:t>25.</w:t>
      </w:r>
      <w:r w:rsidRPr="00EE7811">
        <w:tab/>
        <w:t>Комитет принял к сведению указание правительства на то, что Хартия об увеличении числа женщин в составе руководства на данный момент времени подписана 115 компаниями в частном и государственном секторах. Он также отметил, что Министерство занятости и равенства финансировало исследов</w:t>
      </w:r>
      <w:r w:rsidRPr="00EE7811">
        <w:t>а</w:t>
      </w:r>
      <w:r w:rsidRPr="00EE7811">
        <w:t>ние в целях выявления и оценки культурных барьеров, мешающих женщинам занимать руководящие должности в крупных компаниях. Согласно выводам и</w:t>
      </w:r>
      <w:r w:rsidRPr="00EE7811">
        <w:t>с</w:t>
      </w:r>
      <w:r w:rsidRPr="00EE7811">
        <w:t>следования, опубликованным в 2011 году, корпоративная культура играет кл</w:t>
      </w:r>
      <w:r w:rsidRPr="00EE7811">
        <w:t>ю</w:t>
      </w:r>
      <w:r w:rsidRPr="00EE7811">
        <w:t>чевую роль в содействии доступу к руководящим должностям. Комитет просил правительство собрать и представить информацию о результатах, д</w:t>
      </w:r>
      <w:r w:rsidRPr="00EE7811">
        <w:t>о</w:t>
      </w:r>
      <w:r w:rsidRPr="00EE7811">
        <w:t>стигнутых благодаря осуществлению Хартии, и о любых других инициативах, предприн</w:t>
      </w:r>
      <w:r w:rsidRPr="00EE7811">
        <w:t>я</w:t>
      </w:r>
      <w:r w:rsidRPr="00EE7811">
        <w:t>тых в сотрудничестве с социальными партнерами с целью умен</w:t>
      </w:r>
      <w:r w:rsidRPr="00EE7811">
        <w:t>ь</w:t>
      </w:r>
      <w:r w:rsidRPr="00EE7811">
        <w:t>шить различия в оплате между мужчинами и женщинами.</w:t>
      </w:r>
    </w:p>
    <w:p w:rsidR="00CC4E88" w:rsidRPr="00EE7811" w:rsidRDefault="00CC4E88" w:rsidP="00CC4E88">
      <w:pPr>
        <w:pStyle w:val="SingleTxt"/>
      </w:pPr>
      <w:r w:rsidRPr="00EE7811">
        <w:t>26.</w:t>
      </w:r>
      <w:r w:rsidRPr="00EE7811">
        <w:tab/>
        <w:t>Комитет принял к сведению подготовленный Комиссией по вопросам з</w:t>
      </w:r>
      <w:r w:rsidRPr="00EE7811">
        <w:t>а</w:t>
      </w:r>
      <w:r w:rsidRPr="00EE7811">
        <w:t>работной платы в 2010 году доклад под названием «Заработная плата, генде</w:t>
      </w:r>
      <w:r w:rsidRPr="00EE7811">
        <w:t>р</w:t>
      </w:r>
      <w:r w:rsidRPr="00EE7811">
        <w:t>ная проблематика, образование и гибкость», который указал на некоторый э</w:t>
      </w:r>
      <w:r w:rsidRPr="00EE7811">
        <w:t>ф</w:t>
      </w:r>
      <w:r w:rsidRPr="00EE7811">
        <w:t>фект гендерного разделения, то есть на то, что женщины и мужчины с один</w:t>
      </w:r>
      <w:r w:rsidRPr="00EE7811">
        <w:t>а</w:t>
      </w:r>
      <w:r w:rsidRPr="00EE7811">
        <w:t>ковой подготовкой и работающие в той же области часто оказываются занят</w:t>
      </w:r>
      <w:r w:rsidRPr="00EE7811">
        <w:t>ы</w:t>
      </w:r>
      <w:r w:rsidRPr="00EE7811">
        <w:t>ми выполнением разных задач. Комитет просил правительство представить больше информации о рекомендациях Комиссии и о любых мерах, принятых или предусматриваемых с целью сузить разрыв в оплате труда мужчин и же</w:t>
      </w:r>
      <w:r w:rsidRPr="00EE7811">
        <w:t>н</w:t>
      </w:r>
      <w:r w:rsidRPr="00EE7811">
        <w:t>щин и заняться проблемой профессиональной гендерной сегрегации на рынке труда, равно как и о воздействии таких мер.</w:t>
      </w:r>
    </w:p>
    <w:p w:rsidR="00CC4E88" w:rsidRPr="00652848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Pr="00CC4E88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Конвенция № 111</w:t>
      </w:r>
    </w:p>
    <w:p w:rsidR="00CC4E88" w:rsidRPr="00652848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pStyle w:val="SingleTxt"/>
      </w:pPr>
      <w:r w:rsidRPr="00EE7811">
        <w:t>27.</w:t>
      </w:r>
      <w:r w:rsidRPr="00EE7811">
        <w:tab/>
        <w:t>В своем прямом запросе, сделанном в 2012</w:t>
      </w:r>
      <w:r w:rsidRPr="00EE7811">
        <w:rPr>
          <w:lang w:val="en-GB"/>
        </w:rPr>
        <w:t> </w:t>
      </w:r>
      <w:r w:rsidRPr="00EE7811">
        <w:t xml:space="preserve">году, Комитет с </w:t>
      </w:r>
      <w:r w:rsidRPr="009054D3">
        <w:t xml:space="preserve">интересом </w:t>
      </w:r>
      <w:r w:rsidRPr="00EE7811">
        <w:t>о</w:t>
      </w:r>
      <w:r w:rsidRPr="00EE7811">
        <w:t>т</w:t>
      </w:r>
      <w:r w:rsidRPr="00EE7811">
        <w:t>метил принятие Закона № 645 от 8 июня 2011 года о равноправии между му</w:t>
      </w:r>
      <w:r w:rsidRPr="00EE7811">
        <w:t>ж</w:t>
      </w:r>
      <w:r w:rsidRPr="00EE7811">
        <w:t>чинами и женщинами в сфере занятости, который отменил Закон № 734 от 28</w:t>
      </w:r>
      <w:r w:rsidR="00B96DBF">
        <w:t> </w:t>
      </w:r>
      <w:r w:rsidRPr="00EE7811">
        <w:t>июня 2006 года, хотя и повторил его положения. В раздел 18 Закона также включены поправки, внесенные Законом № 182 от 8 марта 2011</w:t>
      </w:r>
      <w:r w:rsidR="00B96DBF">
        <w:rPr>
          <w:lang w:val="en-US"/>
        </w:rPr>
        <w:t> </w:t>
      </w:r>
      <w:r w:rsidRPr="00EE7811">
        <w:t>года в целях осуществления директивы 2006/54/</w:t>
      </w:r>
      <w:r w:rsidRPr="00EE7811">
        <w:rPr>
          <w:lang w:val="en-GB"/>
        </w:rPr>
        <w:t>EC</w:t>
      </w:r>
      <w:r w:rsidRPr="00EE7811">
        <w:t>. Закон предусматривает, что Датский центр международных исследований и прав человека занимается развитием, оценкой, мониторингом и поддержкой равноправия женщин и мужчин, в ос</w:t>
      </w:r>
      <w:r w:rsidRPr="00EE7811">
        <w:t>о</w:t>
      </w:r>
      <w:r w:rsidRPr="00EE7811">
        <w:t>бенности путем оказания жертвам гендерной дискриминации поддержки в п</w:t>
      </w:r>
      <w:r w:rsidRPr="00EE7811">
        <w:t>о</w:t>
      </w:r>
      <w:r w:rsidRPr="00EE7811">
        <w:t>даче и обеспечении рассмотрения их жалоб. Комитет просил правительство представить информацию о применении антидискриминационного законод</w:t>
      </w:r>
      <w:r w:rsidRPr="00EE7811">
        <w:t>а</w:t>
      </w:r>
      <w:r w:rsidRPr="00EE7811">
        <w:t>тельства и, в частности, о любых случаях дискриминации п</w:t>
      </w:r>
      <w:r w:rsidR="009054D3">
        <w:t>о</w:t>
      </w:r>
      <w:r w:rsidRPr="00EE7811">
        <w:t xml:space="preserve"> признаку пола, переданных в суды или в Совет по вопросам равноправия с помощью Датского центра международных исследований и прав человека, и о полученных резул</w:t>
      </w:r>
      <w:r w:rsidRPr="00EE7811">
        <w:t>ь</w:t>
      </w:r>
      <w:r w:rsidRPr="00EE7811">
        <w:t>татах.</w:t>
      </w:r>
    </w:p>
    <w:p w:rsidR="00CC4E88" w:rsidRPr="00EE7811" w:rsidRDefault="00CC4E88" w:rsidP="00CC4E88">
      <w:pPr>
        <w:pStyle w:val="SingleTxt"/>
      </w:pPr>
      <w:r w:rsidRPr="00EE7811">
        <w:t>28.</w:t>
      </w:r>
      <w:r w:rsidRPr="00EE7811">
        <w:tab/>
        <w:t>Комитет принял к сведению содержащиеся в докладе правительства ст</w:t>
      </w:r>
      <w:r w:rsidRPr="00EE7811">
        <w:t>а</w:t>
      </w:r>
      <w:r w:rsidRPr="00EE7811">
        <w:t>тистические данные, которые показывают, что в 2009 году в суды или в Совет по вопросам равноправия было передано в общей сложности 19 предполага</w:t>
      </w:r>
      <w:r w:rsidRPr="00EE7811">
        <w:t>е</w:t>
      </w:r>
      <w:r w:rsidRPr="00EE7811">
        <w:t>мых дел о дискриминации по причине беременности или родов, из которых 15 были сочтены вполне обоснованными. В 2010 году те же суды и Совет призн</w:t>
      </w:r>
      <w:r w:rsidRPr="00EE7811">
        <w:t>а</w:t>
      </w:r>
      <w:r w:rsidRPr="00EE7811">
        <w:t>ли нарушения законодательства о равноправии на тех же основаниях в 29 из 46</w:t>
      </w:r>
      <w:r w:rsidR="00B96DBF">
        <w:rPr>
          <w:lang w:val="en-US"/>
        </w:rPr>
        <w:t> </w:t>
      </w:r>
      <w:r w:rsidRPr="00EE7811">
        <w:t>дел, которыми они занимались. Комитет повторил свою просьбу о том, чт</w:t>
      </w:r>
      <w:r w:rsidRPr="00EE7811">
        <w:t>о</w:t>
      </w:r>
      <w:r w:rsidRPr="00EE7811">
        <w:t>бы правительство в сотрудничестве с социальными партнерами изучило вопрос о том, существует ли потребность в дальнейших действиях для предотвращ</w:t>
      </w:r>
      <w:r w:rsidRPr="00EE7811">
        <w:t>е</w:t>
      </w:r>
      <w:r w:rsidRPr="00EE7811">
        <w:t>ния и ликвидации дискриминации в связи с беременностью или уходом в о</w:t>
      </w:r>
      <w:r w:rsidRPr="00EE7811">
        <w:t>т</w:t>
      </w:r>
      <w:r w:rsidRPr="00EE7811">
        <w:t>пуск по беременности и родам.</w:t>
      </w:r>
    </w:p>
    <w:p w:rsidR="00CC4E88" w:rsidRPr="0051187C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Pr="00EE7811" w:rsidRDefault="00CC4E88" w:rsidP="00CC4E8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Другие конвенции</w:t>
      </w:r>
    </w:p>
    <w:p w:rsidR="00CC4E88" w:rsidRPr="0051187C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EE7811" w:rsidRDefault="00CC4E88" w:rsidP="00CC4E88">
      <w:pPr>
        <w:pStyle w:val="SingleTxt"/>
      </w:pPr>
      <w:r w:rsidRPr="00EE7811">
        <w:t>29.</w:t>
      </w:r>
      <w:r w:rsidRPr="00EE7811">
        <w:tab/>
        <w:t>Самые последние доклады правительства об осуществлении конве</w:t>
      </w:r>
      <w:r w:rsidRPr="00EE7811">
        <w:t>н</w:t>
      </w:r>
      <w:r w:rsidRPr="00EE7811">
        <w:t>ций</w:t>
      </w:r>
      <w:r w:rsidR="00B96DBF">
        <w:rPr>
          <w:lang w:val="en-US"/>
        </w:rPr>
        <w:t> </w:t>
      </w:r>
      <w:r w:rsidRPr="00EE7811">
        <w:t xml:space="preserve">№№ </w:t>
      </w:r>
      <w:r w:rsidRPr="00EE7811">
        <w:rPr>
          <w:bCs/>
        </w:rPr>
        <w:t xml:space="preserve">29, 105, </w:t>
      </w:r>
      <w:r w:rsidRPr="00EE7811">
        <w:t>138 и 182 получены, и они были рассмотрены Комитетом экспертов на его сессии в ноябре</w:t>
      </w:r>
      <w:r w:rsidR="009054D3">
        <w:t>–</w:t>
      </w:r>
      <w:r w:rsidRPr="00EE7811">
        <w:t>декабре 2014 года.</w:t>
      </w:r>
    </w:p>
    <w:p w:rsidR="00CC4E88" w:rsidRPr="00EE7811" w:rsidRDefault="00CC4E88" w:rsidP="00CC4E88">
      <w:pPr>
        <w:pStyle w:val="SingleTxt"/>
        <w:rPr>
          <w:bCs/>
        </w:rPr>
      </w:pPr>
      <w:r w:rsidRPr="00EE7811">
        <w:rPr>
          <w:bCs/>
        </w:rPr>
        <w:t>30.</w:t>
      </w:r>
      <w:r w:rsidRPr="00EE7811">
        <w:rPr>
          <w:bCs/>
        </w:rPr>
        <w:tab/>
        <w:t>Новый доклад об осуществлении Конвенции № 122 был получен и будет рассмотрен Комитетом экспертов на</w:t>
      </w:r>
      <w:r w:rsidR="00B96DBF">
        <w:rPr>
          <w:bCs/>
        </w:rPr>
        <w:t xml:space="preserve"> </w:t>
      </w:r>
      <w:r w:rsidRPr="00EE7811">
        <w:t>его сессии в ноябре</w:t>
      </w:r>
      <w:r w:rsidR="00B96DBF" w:rsidRPr="006C7293">
        <w:t>–</w:t>
      </w:r>
      <w:r w:rsidRPr="00EE7811">
        <w:t>декабре 2015</w:t>
      </w:r>
      <w:r w:rsidR="00B96DBF">
        <w:rPr>
          <w:lang w:val="en-US"/>
        </w:rPr>
        <w:t> </w:t>
      </w:r>
      <w:r w:rsidRPr="00EE7811">
        <w:t>года.</w:t>
      </w:r>
    </w:p>
    <w:p w:rsidR="00CC4E88" w:rsidRPr="00EE7811" w:rsidRDefault="00CC4E88" w:rsidP="00CC4E88">
      <w:pPr>
        <w:pStyle w:val="SingleTxt"/>
      </w:pPr>
      <w:r w:rsidRPr="00EE7811">
        <w:t>31.</w:t>
      </w:r>
      <w:r w:rsidRPr="00EE7811">
        <w:tab/>
        <w:t>Правительству было предложено представить свои доклады об осущест</w:t>
      </w:r>
      <w:r w:rsidRPr="00EE7811">
        <w:t>в</w:t>
      </w:r>
      <w:r w:rsidRPr="00EE7811">
        <w:t>лении конвенций №№ 100 и 111, которые должны быть рассмотрены Комит</w:t>
      </w:r>
      <w:r w:rsidRPr="00EE7811">
        <w:t>е</w:t>
      </w:r>
      <w:r w:rsidRPr="00EE7811">
        <w:t>том экспертов на той же сессии.</w:t>
      </w:r>
    </w:p>
    <w:p w:rsidR="00CC4E88" w:rsidRPr="0051187C" w:rsidRDefault="00CC4E88" w:rsidP="00CC4E88">
      <w:pPr>
        <w:pStyle w:val="SingleTxt"/>
        <w:spacing w:after="0" w:line="120" w:lineRule="exact"/>
        <w:rPr>
          <w:b/>
          <w:sz w:val="10"/>
        </w:rPr>
      </w:pPr>
    </w:p>
    <w:p w:rsidR="00CC4E88" w:rsidRPr="0051187C" w:rsidRDefault="00CC4E88" w:rsidP="00CC4E88">
      <w:pPr>
        <w:pStyle w:val="SingleTxt"/>
        <w:spacing w:after="0" w:line="120" w:lineRule="exact"/>
        <w:rPr>
          <w:b/>
          <w:sz w:val="10"/>
        </w:rPr>
      </w:pPr>
    </w:p>
    <w:p w:rsidR="00CC4E88" w:rsidRPr="00EE7811" w:rsidRDefault="00CC4E88" w:rsidP="00CC4E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4E88">
        <w:tab/>
      </w:r>
      <w:r w:rsidRPr="00CC4E88">
        <w:tab/>
      </w:r>
      <w:r w:rsidRPr="00EE7811">
        <w:t>Эквадор</w:t>
      </w:r>
    </w:p>
    <w:p w:rsidR="00CC4E88" w:rsidRPr="00323A56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323A56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323A56" w:rsidRDefault="00CC4E88" w:rsidP="00CC4E88">
      <w:pPr>
        <w:pStyle w:val="SingleTxt"/>
      </w:pPr>
      <w:r w:rsidRPr="00B479F3">
        <w:t>32.</w:t>
      </w:r>
      <w:r w:rsidRPr="00B479F3">
        <w:tab/>
        <w:t>Из соответствующих конвенций МОТ Эквадор ратифицировал конве</w:t>
      </w:r>
      <w:r w:rsidRPr="00B479F3">
        <w:t>н</w:t>
      </w:r>
      <w:r w:rsidRPr="00B479F3">
        <w:t>ции</w:t>
      </w:r>
      <w:r w:rsidR="006C7293">
        <w:rPr>
          <w:lang w:val="en-US"/>
        </w:rPr>
        <w:t> </w:t>
      </w:r>
      <w:r w:rsidRPr="00B479F3">
        <w:t>№№</w:t>
      </w:r>
      <w:r w:rsidRPr="00B479F3">
        <w:rPr>
          <w:lang w:val="en-GB"/>
        </w:rPr>
        <w:t> </w:t>
      </w:r>
      <w:r w:rsidRPr="00B479F3">
        <w:t>100 и 111. Он также ратифицировал конвенции №№</w:t>
      </w:r>
      <w:r w:rsidRPr="00B479F3">
        <w:rPr>
          <w:lang w:val="en-GB"/>
        </w:rPr>
        <w:t> </w:t>
      </w:r>
      <w:r w:rsidRPr="00B479F3">
        <w:t>29, 45, 87, 97, 98, 103, 105, 122, 138, 142, 169, 182 и 189.</w:t>
      </w:r>
    </w:p>
    <w:p w:rsidR="00CC4E88" w:rsidRPr="00323A56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B479F3" w:rsidRDefault="00CC4E88" w:rsidP="00CC4E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23A56">
        <w:tab/>
      </w:r>
      <w:r w:rsidRPr="00323A56">
        <w:tab/>
      </w:r>
      <w:r w:rsidRPr="00B479F3">
        <w:t xml:space="preserve">Комментарии надзорных органов Международной организации труда 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Default="00CC4E88" w:rsidP="006C7293">
      <w:pPr>
        <w:pStyle w:val="SingleTxt"/>
        <w:rPr>
          <w:lang w:val="en-US"/>
        </w:rPr>
      </w:pPr>
      <w:r w:rsidRPr="00B479F3">
        <w:t>33.</w:t>
      </w:r>
      <w:r w:rsidRPr="00B479F3">
        <w:tab/>
        <w:t>Представленные на рассмотрение комментарии Комитета экспертов, о</w:t>
      </w:r>
      <w:r w:rsidRPr="00B479F3">
        <w:t>т</w:t>
      </w:r>
      <w:r w:rsidRPr="00B479F3">
        <w:t>носящиеся к положениям Конвенции о ликвидации всех форм дискриминации в отношении женщин, касаются нижеследующих пунктов:</w:t>
      </w:r>
    </w:p>
    <w:p w:rsidR="006C7293" w:rsidRPr="006C7293" w:rsidRDefault="006C7293" w:rsidP="006C7293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6C7293" w:rsidP="006C729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Конвенция № 97</w:t>
      </w:r>
      <w:r w:rsidR="00CC4E88">
        <w:t xml:space="preserve"> </w:t>
      </w:r>
    </w:p>
    <w:p w:rsidR="006C7293" w:rsidRPr="006C7293" w:rsidRDefault="006C7293" w:rsidP="006C7293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34.</w:t>
      </w:r>
      <w:r w:rsidRPr="00B479F3">
        <w:tab/>
        <w:t>В своем прямом запросе, сделанном в 201</w:t>
      </w:r>
      <w:r w:rsidR="00F9554E">
        <w:t>3</w:t>
      </w:r>
      <w:r w:rsidRPr="00B479F3">
        <w:rPr>
          <w:lang w:val="en-GB"/>
        </w:rPr>
        <w:t> </w:t>
      </w:r>
      <w:r w:rsidRPr="00B479F3">
        <w:t>году, Комитет отметил знач</w:t>
      </w:r>
      <w:r w:rsidRPr="00B479F3">
        <w:t>и</w:t>
      </w:r>
      <w:r w:rsidRPr="00B479F3">
        <w:t>тельное число работающих женщин, которые эмигрируют из Эквадора. Соо</w:t>
      </w:r>
      <w:r w:rsidRPr="00B479F3">
        <w:t>т</w:t>
      </w:r>
      <w:r w:rsidRPr="00B479F3">
        <w:t>ветственно, он просил правительство представить информацию о конкретных мерах, принятых для обеспечения того, чтобы такие женщины также пользов</w:t>
      </w:r>
      <w:r w:rsidRPr="00B479F3">
        <w:t>а</w:t>
      </w:r>
      <w:r w:rsidRPr="00B479F3">
        <w:t>лись правами, изложенными в Конвенции. В частности, Комитет просил прав</w:t>
      </w:r>
      <w:r w:rsidRPr="00B479F3">
        <w:t>и</w:t>
      </w:r>
      <w:r w:rsidRPr="00B479F3">
        <w:t>тельство представить имеющуюся информацию об условиях жизни и труда женщин из числа трудящихся-мигрантов и о трудностях, с которыми они встречаются. Комитет также просил правительство указать то, как вопрос о р</w:t>
      </w:r>
      <w:r w:rsidRPr="00B479F3">
        <w:t>а</w:t>
      </w:r>
      <w:r w:rsidRPr="00B479F3">
        <w:t>венстве между мужчинами и женщинами включен в миграционную политику.</w:t>
      </w:r>
    </w:p>
    <w:p w:rsidR="00CC4E88" w:rsidRPr="00323A56" w:rsidRDefault="00CC4E88" w:rsidP="00CC4E88">
      <w:pPr>
        <w:pStyle w:val="SingleTxt"/>
      </w:pPr>
      <w:r w:rsidRPr="00B479F3">
        <w:t>35.</w:t>
      </w:r>
      <w:r w:rsidRPr="00B479F3">
        <w:tab/>
        <w:t>Кроме того, Комитет просил правительство представить информацию об оказываемой помощи и информационных услугах, имеющих отношение к в</w:t>
      </w:r>
      <w:r w:rsidRPr="00B479F3">
        <w:t>о</w:t>
      </w:r>
      <w:r w:rsidRPr="00B479F3">
        <w:t>просам, которые особенно сказываются на женщинах среди трудящихся м</w:t>
      </w:r>
      <w:r w:rsidRPr="00B479F3">
        <w:t>и</w:t>
      </w:r>
      <w:r w:rsidRPr="00B479F3">
        <w:t>грантов, включая вопросы, касающиеся вводящей в заблуждение информации о возможностях занятости и условиях труда.</w:t>
      </w:r>
    </w:p>
    <w:p w:rsidR="00CC4E88" w:rsidRDefault="006C7293" w:rsidP="006C729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Конвенция № 100</w:t>
      </w:r>
      <w:r w:rsidR="00CC4E88">
        <w:t xml:space="preserve"> </w:t>
      </w:r>
    </w:p>
    <w:p w:rsidR="006C7293" w:rsidRPr="006C7293" w:rsidRDefault="006C7293" w:rsidP="006C7293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CC4E88" w:rsidP="00CC4E88">
      <w:pPr>
        <w:pStyle w:val="SingleTxt"/>
        <w:rPr>
          <w:lang w:val="en-US"/>
        </w:rPr>
      </w:pPr>
      <w:r w:rsidRPr="00B479F3">
        <w:t>36.</w:t>
      </w:r>
      <w:r w:rsidRPr="00B479F3">
        <w:tab/>
        <w:t>В своем замечании, сделанном в 2013 году, Комитет напомнил, что на протяжении ряда лет он говорил о необходимости внести поправки в раздел</w:t>
      </w:r>
      <w:r>
        <w:t> </w:t>
      </w:r>
      <w:r w:rsidRPr="00B479F3">
        <w:t>79 Трудового кодекса, который предусматривает равное вознаграждение за ра</w:t>
      </w:r>
      <w:r w:rsidRPr="00B479F3">
        <w:t>в</w:t>
      </w:r>
      <w:r w:rsidRPr="00B479F3">
        <w:t>ный труд и является более ограничительным, чем принцип труда «равной це</w:t>
      </w:r>
      <w:r w:rsidRPr="00B479F3">
        <w:t>н</w:t>
      </w:r>
      <w:r w:rsidRPr="00B479F3">
        <w:t>ности». Комитет настоятельно призвал правительство в рамках реформы Тр</w:t>
      </w:r>
      <w:r w:rsidRPr="00B479F3">
        <w:t>у</w:t>
      </w:r>
      <w:r w:rsidRPr="00B479F3">
        <w:t>дового кодекса внести поправки в раздел 79 Трудового кодекса, с тем чтобы полностью отразить принцип равного вознаграждения мужчин и женщин за труд равной ценности. Комитет рекомендовал правительству запросить техн</w:t>
      </w:r>
      <w:r w:rsidRPr="00B479F3">
        <w:t>и</w:t>
      </w:r>
      <w:r w:rsidRPr="00B479F3">
        <w:t>ческую помощь МОТ в этом отношении.</w:t>
      </w:r>
    </w:p>
    <w:p w:rsidR="006C7293" w:rsidRPr="006C7293" w:rsidRDefault="006C7293" w:rsidP="006C7293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6C7293" w:rsidP="006C729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Конвенция № 103</w:t>
      </w:r>
      <w:r w:rsidR="00CC4E88">
        <w:t xml:space="preserve"> </w:t>
      </w:r>
    </w:p>
    <w:p w:rsidR="006C7293" w:rsidRPr="006C7293" w:rsidRDefault="006C7293" w:rsidP="006C7293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37.</w:t>
      </w:r>
      <w:r w:rsidRPr="00B479F3">
        <w:tab/>
        <w:t>В своем прямом запросе, сделанном в 2011</w:t>
      </w:r>
      <w:r w:rsidRPr="00B479F3">
        <w:rPr>
          <w:lang w:val="en-GB"/>
        </w:rPr>
        <w:t> </w:t>
      </w:r>
      <w:r w:rsidRPr="00B479F3">
        <w:t>году (повторенном в 2013</w:t>
      </w:r>
      <w:r w:rsidR="006C7293">
        <w:rPr>
          <w:lang w:val="en-US"/>
        </w:rPr>
        <w:t> </w:t>
      </w:r>
      <w:r w:rsidRPr="00B479F3">
        <w:t>году), Комитет отметил, что Эквадорский институт социального обесп</w:t>
      </w:r>
      <w:r w:rsidRPr="00B479F3">
        <w:t>е</w:t>
      </w:r>
      <w:r w:rsidRPr="00B479F3">
        <w:t>чения</w:t>
      </w:r>
      <w:r>
        <w:t xml:space="preserve"> </w:t>
      </w:r>
      <w:r w:rsidRPr="00B479F3">
        <w:t>должен предоставлять пособия по беременности и родам всем застрах</w:t>
      </w:r>
      <w:r w:rsidRPr="00B479F3">
        <w:t>о</w:t>
      </w:r>
      <w:r w:rsidRPr="00B479F3">
        <w:t>ванным лицам, которые выполняют предусмотренные в законодательстве усл</w:t>
      </w:r>
      <w:r w:rsidRPr="00B479F3">
        <w:t>о</w:t>
      </w:r>
      <w:r w:rsidRPr="00B479F3">
        <w:t>вия. Комитет просил правительство указать, какие пособия будут получать женщины, которые не обла</w:t>
      </w:r>
      <w:r w:rsidR="00F9554E">
        <w:t>да</w:t>
      </w:r>
      <w:r w:rsidRPr="00B479F3">
        <w:t>ют правом на получение пособий, предоставля</w:t>
      </w:r>
      <w:r w:rsidRPr="00B479F3">
        <w:t>е</w:t>
      </w:r>
      <w:r w:rsidRPr="00B479F3">
        <w:t>мых Инстит</w:t>
      </w:r>
      <w:r w:rsidRPr="00B479F3">
        <w:t>у</w:t>
      </w:r>
      <w:r w:rsidRPr="00B479F3">
        <w:t>том, и чьи работодатели имеют задолженность по уплате взносов.</w:t>
      </w:r>
    </w:p>
    <w:p w:rsidR="00CC4E88" w:rsidRDefault="00CC4E88" w:rsidP="00CC4E88">
      <w:pPr>
        <w:pStyle w:val="SingleTxt"/>
        <w:rPr>
          <w:lang w:val="en-US"/>
        </w:rPr>
      </w:pPr>
      <w:r w:rsidRPr="00B479F3">
        <w:t>38.</w:t>
      </w:r>
      <w:r w:rsidRPr="00B479F3">
        <w:tab/>
        <w:t>Кроме того, Комитет настоятельно призвал правительство дополнить по</w:t>
      </w:r>
      <w:r w:rsidRPr="00B479F3">
        <w:t>д</w:t>
      </w:r>
      <w:r w:rsidRPr="00B479F3">
        <w:t>раздел 3 раздела 155 Трудового кодекса, согласно которому женщины, вскар</w:t>
      </w:r>
      <w:r w:rsidRPr="00B479F3">
        <w:t>м</w:t>
      </w:r>
      <w:r w:rsidRPr="00B479F3">
        <w:t>ливающие грудью ребенка, пользуются правом на шестичасовой рабочий день, конкретно указав, что этот сокращенный рабочий день засчитывается как по</w:t>
      </w:r>
      <w:r w:rsidRPr="00B479F3">
        <w:t>л</w:t>
      </w:r>
      <w:r w:rsidRPr="00B479F3">
        <w:t>ный рабочий день и оплачивается соответствующим образом. Комитет просил правительство включить в свой следующий доклад информацию о положениях, касающихся бремени доказывания в случае увольнения женщины во время ее отпуска по беременности и родам, и о том, какое толкование дают национал</w:t>
      </w:r>
      <w:r w:rsidRPr="00B479F3">
        <w:t>ь</w:t>
      </w:r>
      <w:r w:rsidRPr="00B479F3">
        <w:t>ные суды применению раздела 153 Трудового кодекса.</w:t>
      </w:r>
    </w:p>
    <w:p w:rsidR="006C7293" w:rsidRPr="006C7293" w:rsidRDefault="006C7293" w:rsidP="006C7293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6C7293" w:rsidP="006C729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Конвенция № 111</w:t>
      </w:r>
      <w:r w:rsidR="00CC4E88">
        <w:t xml:space="preserve"> </w:t>
      </w:r>
    </w:p>
    <w:p w:rsidR="006C7293" w:rsidRPr="006C7293" w:rsidRDefault="006C7293" w:rsidP="006C7293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39.</w:t>
      </w:r>
      <w:r w:rsidRPr="00B479F3">
        <w:tab/>
        <w:t>В своем замечании, сделанном в 2013</w:t>
      </w:r>
      <w:r w:rsidR="006C7293">
        <w:rPr>
          <w:lang w:val="en-US"/>
        </w:rPr>
        <w:t> </w:t>
      </w:r>
      <w:r w:rsidRPr="00B479F3">
        <w:t>году, Комитет просил правител</w:t>
      </w:r>
      <w:r w:rsidRPr="00B479F3">
        <w:t>ь</w:t>
      </w:r>
      <w:r w:rsidRPr="00B479F3">
        <w:t>ство принять необходимые меры для отмены раздела 17(</w:t>
      </w:r>
      <w:r w:rsidRPr="00B479F3">
        <w:rPr>
          <w:lang w:val="en-GB"/>
        </w:rPr>
        <w:t>b</w:t>
      </w:r>
      <w:r w:rsidRPr="00B479F3">
        <w:t>) постановления, и</w:t>
      </w:r>
      <w:r w:rsidRPr="00B479F3">
        <w:t>з</w:t>
      </w:r>
      <w:r w:rsidRPr="00B479F3">
        <w:t>данного на основании Закона о кооперативах, согласно которому женщине нужно разрешение ее мужа на то, чтобы вступить в кооперативы сельскохозя</w:t>
      </w:r>
      <w:r w:rsidRPr="00B479F3">
        <w:t>й</w:t>
      </w:r>
      <w:r w:rsidRPr="00B479F3">
        <w:t>ственного жилья и</w:t>
      </w:r>
      <w:r>
        <w:t xml:space="preserve"> </w:t>
      </w:r>
      <w:r w:rsidRPr="00B479F3">
        <w:t>семейного садово-огородного хозяйства.</w:t>
      </w:r>
    </w:p>
    <w:p w:rsidR="00CC4E88" w:rsidRPr="00B479F3" w:rsidRDefault="00CC4E88" w:rsidP="00CC4E88">
      <w:pPr>
        <w:pStyle w:val="SingleTxt"/>
      </w:pPr>
      <w:r w:rsidRPr="00B479F3">
        <w:t>40.</w:t>
      </w:r>
      <w:r w:rsidRPr="00B479F3">
        <w:tab/>
        <w:t>Комитет напомнил, что вопрос о сексуальных домогательствах рассма</w:t>
      </w:r>
      <w:r w:rsidRPr="00B479F3">
        <w:t>т</w:t>
      </w:r>
      <w:r w:rsidRPr="00B479F3">
        <w:t>ривается лишь в Уголовном кодексе, и предложил правительству принять соо</w:t>
      </w:r>
      <w:r w:rsidRPr="00B479F3">
        <w:t>т</w:t>
      </w:r>
      <w:r w:rsidRPr="00B479F3">
        <w:t>ветствующие законодательные меры для определения и запрета сексуальных домогательств в сфере труда и занятий. Комитет также просил правительство рассмотреть вопрос о включении</w:t>
      </w:r>
      <w:r>
        <w:t xml:space="preserve"> </w:t>
      </w:r>
      <w:r w:rsidRPr="00B479F3">
        <w:t>требования о том, чтобы работодатели пр</w:t>
      </w:r>
      <w:r w:rsidRPr="00B479F3">
        <w:t>и</w:t>
      </w:r>
      <w:r w:rsidRPr="00B479F3">
        <w:t>нимали меры для предупреждения сексуальных домогательств на предприятии, и представить информацию о любых иных мерах, принимаемых для недоп</w:t>
      </w:r>
      <w:r w:rsidRPr="00B479F3">
        <w:t>у</w:t>
      </w:r>
      <w:r w:rsidRPr="00B479F3">
        <w:t>щения сексуальных домогательств.</w:t>
      </w:r>
    </w:p>
    <w:p w:rsidR="00CC4E88" w:rsidRPr="00B479F3" w:rsidRDefault="00CC4E88" w:rsidP="00CC4E88">
      <w:pPr>
        <w:pStyle w:val="SingleTxt"/>
      </w:pPr>
      <w:r w:rsidRPr="00B479F3">
        <w:t>41.</w:t>
      </w:r>
      <w:r w:rsidRPr="00B479F3">
        <w:tab/>
        <w:t>В своем прямом запросе, сделанном в 2013</w:t>
      </w:r>
      <w:r w:rsidRPr="00B479F3">
        <w:rPr>
          <w:lang w:val="en-GB"/>
        </w:rPr>
        <w:t> </w:t>
      </w:r>
      <w:r w:rsidRPr="00B479F3">
        <w:t>году, Комитет отметил, что Конституция, принятая в 200</w:t>
      </w:r>
      <w:r w:rsidR="00F9554E">
        <w:t>8</w:t>
      </w:r>
      <w:r w:rsidRPr="00B479F3">
        <w:t xml:space="preserve"> году, предусматривает создание национальных советов по вопросам равенства, ответственных за обеспечение подготовки, с</w:t>
      </w:r>
      <w:r w:rsidRPr="00B479F3">
        <w:t>о</w:t>
      </w:r>
      <w:r w:rsidRPr="00B479F3">
        <w:t>блюдения, мониторинга и оценки государственной политики, касающейся ге</w:t>
      </w:r>
      <w:r w:rsidRPr="00B479F3">
        <w:t>н</w:t>
      </w:r>
      <w:r w:rsidRPr="00B479F3">
        <w:t>дерных вопросов и этнических проблем, отношений между поколениями, ме</w:t>
      </w:r>
      <w:r w:rsidRPr="00B479F3">
        <w:t>ж</w:t>
      </w:r>
      <w:r w:rsidRPr="00B479F3">
        <w:t>культурных отношений и вопросов инвалидности. Эти советы должны раб</w:t>
      </w:r>
      <w:r w:rsidRPr="00B479F3">
        <w:t>о</w:t>
      </w:r>
      <w:r w:rsidRPr="00B479F3">
        <w:t>тать в координации со специализированными национальными учреждениями. Комитет также принял к сведению Национальный план обеспечения благоп</w:t>
      </w:r>
      <w:r w:rsidRPr="00B479F3">
        <w:t>о</w:t>
      </w:r>
      <w:r w:rsidRPr="00B479F3">
        <w:t>лучия на 2009–2013 годы, одна из целей которого заключается в поощрении равенства без дискриминации по признаку пола, этнического происхождения, социального уровня, религии, сексуальной ориентации или места происхожд</w:t>
      </w:r>
      <w:r w:rsidRPr="00B479F3">
        <w:t>е</w:t>
      </w:r>
      <w:r w:rsidRPr="00B479F3">
        <w:t>ния. Комитет просил правительство представить информацию о создании национальных советов по вопросам равенства и их сферах компетенции, а та</w:t>
      </w:r>
      <w:r w:rsidRPr="00B479F3">
        <w:t>к</w:t>
      </w:r>
      <w:r w:rsidRPr="00B479F3">
        <w:t>же о трудностях, с которыми они сталкиваются при исполнении своих фун</w:t>
      </w:r>
      <w:r w:rsidRPr="00B479F3">
        <w:t>к</w:t>
      </w:r>
      <w:r w:rsidRPr="00B479F3">
        <w:t>ций.</w:t>
      </w:r>
    </w:p>
    <w:p w:rsidR="00CC4E88" w:rsidRDefault="00CC4E88" w:rsidP="00CC4E88">
      <w:pPr>
        <w:pStyle w:val="SingleTxt"/>
        <w:rPr>
          <w:lang w:val="en-US"/>
        </w:rPr>
      </w:pPr>
      <w:r w:rsidRPr="00B479F3">
        <w:t>42.</w:t>
      </w:r>
      <w:r w:rsidRPr="00B479F3">
        <w:tab/>
        <w:t>Комитет отметил, что, как предусматривает Конституция, государство должно обеспечивать равное представительство женщин и мужчин на госуда</w:t>
      </w:r>
      <w:r w:rsidRPr="00B479F3">
        <w:t>р</w:t>
      </w:r>
      <w:r w:rsidRPr="00B479F3">
        <w:t>ственной службе, в руководящих и директивных органах и в политических партиях и движениях. В статье 70 предусмотрено, что государство должно провозгласить и проводить политику для достижения равенства женщин и мужчин посредством специализированного механизма и должно обеспечивать всесторонний учет гендерной проблематики в планах и программах. Наци</w:t>
      </w:r>
      <w:r w:rsidRPr="00B479F3">
        <w:t>о</w:t>
      </w:r>
      <w:r w:rsidRPr="00B479F3">
        <w:t>нальный план обеспечения благополучия на 2009–2013 годы также призывает к обеспечению гендерного равенства, а Основной закон об участии граждан предусматривает обеспечение гендерного паритета посредством позитивных действий в поддержку равных возможностей. Правительство представило да</w:t>
      </w:r>
      <w:r w:rsidRPr="00B479F3">
        <w:t>н</w:t>
      </w:r>
      <w:r w:rsidRPr="00B479F3">
        <w:t>ные, свидетельствующие о расширении в последние год</w:t>
      </w:r>
      <w:r w:rsidR="000B3F66">
        <w:t>ы</w:t>
      </w:r>
      <w:r w:rsidRPr="00B479F3">
        <w:t xml:space="preserve"> участия женщин в государственной жизни и на должностях, заполняемых путем народного гол</w:t>
      </w:r>
      <w:r w:rsidRPr="00B479F3">
        <w:t>о</w:t>
      </w:r>
      <w:r w:rsidRPr="00B479F3">
        <w:t>сования. Комитет также просил правительство указать то, как национальные советы по вопросам равенства способствуют обеспечению гендерного раве</w:t>
      </w:r>
      <w:r w:rsidRPr="00B479F3">
        <w:t>н</w:t>
      </w:r>
      <w:r w:rsidRPr="00B479F3">
        <w:t>ства и доступа женщин к возможностям занятости.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Другие конвенции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43.</w:t>
      </w:r>
      <w:r w:rsidRPr="00B479F3">
        <w:tab/>
        <w:t>Самые последние доклады правительства об осуществлении конве</w:t>
      </w:r>
      <w:r w:rsidRPr="00B479F3">
        <w:t>н</w:t>
      </w:r>
      <w:r w:rsidRPr="00B479F3">
        <w:t>ций</w:t>
      </w:r>
      <w:r w:rsidR="006C7293">
        <w:rPr>
          <w:lang w:val="en-US"/>
        </w:rPr>
        <w:t> </w:t>
      </w:r>
      <w:r w:rsidRPr="00B479F3">
        <w:t xml:space="preserve">№№ </w:t>
      </w:r>
      <w:r w:rsidRPr="00B479F3">
        <w:rPr>
          <w:bCs/>
        </w:rPr>
        <w:t xml:space="preserve">29, 87, 98, 103, 105, 122, 138, 142, 169 и 182 </w:t>
      </w:r>
      <w:r w:rsidRPr="00B479F3">
        <w:t>получены, и они были рассмотрены Комитетом экспертов на его сессии в ноябре</w:t>
      </w:r>
      <w:r w:rsidR="006C7293" w:rsidRPr="006C7293">
        <w:t>–</w:t>
      </w:r>
      <w:r w:rsidRPr="00B479F3">
        <w:t>декабре 2014 года.</w:t>
      </w:r>
    </w:p>
    <w:p w:rsidR="00CC4E88" w:rsidRPr="00B479F3" w:rsidRDefault="00CC4E88" w:rsidP="00CC4E88">
      <w:pPr>
        <w:pStyle w:val="SingleTxt"/>
      </w:pPr>
      <w:r w:rsidRPr="00B479F3">
        <w:t>44.</w:t>
      </w:r>
      <w:r w:rsidRPr="00B479F3">
        <w:tab/>
        <w:t>Правительству было предложено представить свои доклады об осущест</w:t>
      </w:r>
      <w:r w:rsidRPr="00B479F3">
        <w:t>в</w:t>
      </w:r>
      <w:r w:rsidRPr="00B479F3">
        <w:t>лении конвенций №№ 45, 100, 111 и 189 (первый доклад), которые должны быть рассмотрены Комитетом экспертов на его сессии в ноябре</w:t>
      </w:r>
      <w:r w:rsidR="006C7293" w:rsidRPr="006C7293">
        <w:t>–</w:t>
      </w:r>
      <w:r w:rsidRPr="00B479F3">
        <w:t>декабре 2015</w:t>
      </w:r>
      <w:r>
        <w:t> </w:t>
      </w:r>
      <w:r w:rsidRPr="00B479F3">
        <w:t>года.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323A56" w:rsidRDefault="00CC4E88" w:rsidP="00CC4E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79F3">
        <w:tab/>
      </w:r>
      <w:r w:rsidRPr="00B479F3">
        <w:tab/>
        <w:t>Эритрея</w:t>
      </w:r>
    </w:p>
    <w:p w:rsidR="00CC4E88" w:rsidRPr="00323A56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323A56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323A56" w:rsidRDefault="00CC4E88" w:rsidP="00CC4E88">
      <w:pPr>
        <w:pStyle w:val="SingleTxt"/>
      </w:pPr>
      <w:r w:rsidRPr="00B479F3">
        <w:t>45.</w:t>
      </w:r>
      <w:r w:rsidRPr="00B479F3">
        <w:tab/>
        <w:t>Из соответствующих конвенций МОТ Эритрея ратифицировала конве</w:t>
      </w:r>
      <w:r w:rsidRPr="00B479F3">
        <w:t>н</w:t>
      </w:r>
      <w:r w:rsidRPr="00B479F3">
        <w:t>ции №№ 100 и 111. Она также ратифицировала конвенции №№</w:t>
      </w:r>
      <w:r w:rsidRPr="00B479F3">
        <w:rPr>
          <w:lang w:val="en-GB"/>
        </w:rPr>
        <w:t> </w:t>
      </w:r>
      <w:r w:rsidRPr="00B479F3">
        <w:t>29, 87, 98, 105 и 138.</w:t>
      </w:r>
    </w:p>
    <w:p w:rsidR="00CC4E88" w:rsidRPr="00323A56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B479F3" w:rsidRDefault="00CC4E88" w:rsidP="00CC4E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23A56">
        <w:tab/>
      </w:r>
      <w:r w:rsidRPr="00323A56">
        <w:tab/>
      </w:r>
      <w:r w:rsidRPr="00B479F3">
        <w:t xml:space="preserve">Комментарии надзорных органов Международной организации труда 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Default="00CC4E88" w:rsidP="00CC4E88">
      <w:pPr>
        <w:pStyle w:val="SingleTxt"/>
        <w:rPr>
          <w:lang w:val="en-US"/>
        </w:rPr>
      </w:pPr>
      <w:r w:rsidRPr="00B479F3">
        <w:t>46.</w:t>
      </w:r>
      <w:r w:rsidRPr="00B479F3">
        <w:tab/>
        <w:t>Представленные на рассмотрение комментарии Комитета экспертов, о</w:t>
      </w:r>
      <w:r w:rsidRPr="00B479F3">
        <w:t>т</w:t>
      </w:r>
      <w:r w:rsidRPr="00B479F3">
        <w:t>носящиеся к положениям Конвенции о ликвидации всех форм дискриминации в отношении женщин, касаются нижеследующих пунктов: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0068EB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Конвенция № 100</w:t>
      </w:r>
      <w:r w:rsidR="00CC4E88">
        <w:t xml:space="preserve"> 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</w:rPr>
      </w:pPr>
    </w:p>
    <w:p w:rsidR="00CC4E88" w:rsidRPr="00B479F3" w:rsidRDefault="00CC4E88" w:rsidP="00CC4E88">
      <w:pPr>
        <w:pStyle w:val="SingleTxt"/>
      </w:pPr>
      <w:r w:rsidRPr="00B479F3">
        <w:t>47.</w:t>
      </w:r>
      <w:r w:rsidRPr="00B479F3">
        <w:tab/>
        <w:t>В своем прямом запросе, сделанном в 201</w:t>
      </w:r>
      <w:r w:rsidR="000B3F66">
        <w:t>2</w:t>
      </w:r>
      <w:r w:rsidRPr="00B479F3">
        <w:rPr>
          <w:lang w:val="en-GB"/>
        </w:rPr>
        <w:t> </w:t>
      </w:r>
      <w:r w:rsidRPr="00B479F3">
        <w:t>году, Комитет, отметив, что Указ о труде пересматривается и что определение «вознаграждения», пред</w:t>
      </w:r>
      <w:r w:rsidRPr="00B479F3">
        <w:t>у</w:t>
      </w:r>
      <w:r w:rsidRPr="00B479F3">
        <w:t>смотренное в разделе 3(15), уже, чем определение согласно Конвенции, просил правительство обеспечить, чтобы пересмотр охватывал все компоненты возн</w:t>
      </w:r>
      <w:r w:rsidRPr="00B479F3">
        <w:t>а</w:t>
      </w:r>
      <w:r w:rsidRPr="00B479F3">
        <w:t>граждения, и указать, как на практике обеспечивается, чтобы дискриминация в вознаграждении между мужчинами и женщинами не распространялась на те виды вознаграждения, которые сейчас не входят в сферу охвата Указа о труде.</w:t>
      </w:r>
    </w:p>
    <w:p w:rsidR="00CC4E88" w:rsidRPr="00B479F3" w:rsidRDefault="00CC4E88" w:rsidP="00CC4E88">
      <w:pPr>
        <w:pStyle w:val="SingleTxt"/>
      </w:pPr>
      <w:r w:rsidRPr="00B479F3">
        <w:t>48.</w:t>
      </w:r>
      <w:r w:rsidRPr="00B479F3">
        <w:tab/>
        <w:t>Комитет просил правительство предпринять конкретные шаги для внес</w:t>
      </w:r>
      <w:r w:rsidRPr="00B479F3">
        <w:t>е</w:t>
      </w:r>
      <w:r w:rsidRPr="00B479F3">
        <w:t>ния поправок в Указ о труде, который предусматривает отказ от дискримин</w:t>
      </w:r>
      <w:r w:rsidRPr="00B479F3">
        <w:t>а</w:t>
      </w:r>
      <w:r w:rsidRPr="00B479F3">
        <w:t>ции в вознаграждении по признаку пола, но не охватывает концепцию «равной ценности», с тем чтобы полностью отразить в законодательстве этот принцип согласно Конвенции.</w:t>
      </w:r>
    </w:p>
    <w:p w:rsidR="00CC4E88" w:rsidRDefault="00CC4E88" w:rsidP="00CC4E88">
      <w:pPr>
        <w:pStyle w:val="SingleTxt"/>
        <w:rPr>
          <w:lang w:val="en-US"/>
        </w:rPr>
      </w:pPr>
      <w:r w:rsidRPr="00B479F3">
        <w:t>49.</w:t>
      </w:r>
      <w:r w:rsidRPr="00B479F3">
        <w:tab/>
        <w:t>Комитет просил правительство обеспечить, чтобы</w:t>
      </w:r>
      <w:r>
        <w:t xml:space="preserve"> </w:t>
      </w:r>
      <w:r w:rsidRPr="00B479F3">
        <w:t>принцип равного во</w:t>
      </w:r>
      <w:r w:rsidRPr="00B479F3">
        <w:t>з</w:t>
      </w:r>
      <w:r w:rsidRPr="00B479F3">
        <w:t>награждения мужчин и женщин за труд равной ценности был включен в око</w:t>
      </w:r>
      <w:r w:rsidRPr="00B479F3">
        <w:t>н</w:t>
      </w:r>
      <w:r w:rsidRPr="00B479F3">
        <w:t>чательный текст Указа о гражданской службе. Он также просил правительство представить более детальную информацию о завершившемся процессе оценки должностных обязанностей и проводимой в настоящее время классификации должностей, включая указания о том, каким образом обеспечено, чтобы ставки вознаграждения были установлены без дискриминации по признаку пола.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0068EB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Конвенция № 111</w:t>
      </w:r>
      <w:r w:rsidR="00CC4E88">
        <w:t xml:space="preserve"> 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</w:rPr>
      </w:pPr>
    </w:p>
    <w:p w:rsidR="00CC4E88" w:rsidRDefault="00CC4E88" w:rsidP="00CC4E88">
      <w:pPr>
        <w:pStyle w:val="SingleTxt"/>
        <w:rPr>
          <w:lang w:val="en-US"/>
        </w:rPr>
      </w:pPr>
      <w:r w:rsidRPr="00B479F3">
        <w:t>50.</w:t>
      </w:r>
      <w:r w:rsidRPr="00B479F3">
        <w:tab/>
        <w:t>В своем прямом запросе, сделанном в 2012</w:t>
      </w:r>
      <w:r w:rsidRPr="00B479F3">
        <w:rPr>
          <w:lang w:val="en-GB"/>
        </w:rPr>
        <w:t> </w:t>
      </w:r>
      <w:r w:rsidRPr="00B479F3">
        <w:t>году, Комитет просил прав</w:t>
      </w:r>
      <w:r w:rsidRPr="00B479F3">
        <w:t>и</w:t>
      </w:r>
      <w:r w:rsidRPr="00B479F3">
        <w:t>тельство принять меры для обеспечения эффективной защиты от дискримин</w:t>
      </w:r>
      <w:r w:rsidRPr="00B479F3">
        <w:t>а</w:t>
      </w:r>
      <w:r w:rsidRPr="00B479F3">
        <w:t>ции в сфере труда и занятий для домашних работников, к которым не примен</w:t>
      </w:r>
      <w:r w:rsidRPr="00B479F3">
        <w:t>я</w:t>
      </w:r>
      <w:r w:rsidRPr="00B479F3">
        <w:t>ется Указ о труде</w:t>
      </w:r>
      <w:r w:rsidRPr="00B479F3">
        <w:rPr>
          <w:bCs/>
          <w:iCs/>
        </w:rPr>
        <w:t xml:space="preserve">. </w:t>
      </w:r>
      <w:r w:rsidRPr="00B479F3">
        <w:t>Отметив, что национальный план действий по гендерным вопросам на период 2003–2008 годов предусматривает расширение экономич</w:t>
      </w:r>
      <w:r w:rsidRPr="00B479F3">
        <w:t>е</w:t>
      </w:r>
      <w:r w:rsidRPr="00B479F3">
        <w:t>ских прав и возможностей женщин, а также образование и профессиональную подготовку женщин, Комитет также просил правительство указать, был ли этот план обновлен, и представить информацию о любой национальной политике в области равенства. Он далее просил правительство представить информацию о практических мерах для эффективного содействия обеспечению равенства возможностей и обращения для мужчин и женщин в том, что касается доступа к образованию и профессионально-технической подготовке, доступа к занят</w:t>
      </w:r>
      <w:r w:rsidRPr="00B479F3">
        <w:t>о</w:t>
      </w:r>
      <w:r w:rsidRPr="00B479F3">
        <w:t>сти и особым видам занятий, включая индивидуальную трудовую деятел</w:t>
      </w:r>
      <w:r w:rsidRPr="00B479F3">
        <w:t>ь</w:t>
      </w:r>
      <w:r w:rsidRPr="00B479F3">
        <w:t xml:space="preserve">ность. 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Другие конвенции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51.</w:t>
      </w:r>
      <w:r w:rsidRPr="00B479F3">
        <w:tab/>
        <w:t>Самые последние доклады правительства об осуществлении конве</w:t>
      </w:r>
      <w:r w:rsidRPr="00B479F3">
        <w:t>н</w:t>
      </w:r>
      <w:r w:rsidRPr="00B479F3">
        <w:t>ций</w:t>
      </w:r>
      <w:r w:rsidR="006C7293">
        <w:rPr>
          <w:lang w:val="en-US"/>
        </w:rPr>
        <w:t> </w:t>
      </w:r>
      <w:r w:rsidRPr="00B479F3">
        <w:t>№№ 29, 87, 98, 105 и 138 получены, и они были рассмотрены Комитетом экспертов на его сессии в ноябре</w:t>
      </w:r>
      <w:r w:rsidR="006C7293" w:rsidRPr="006C7293">
        <w:t>–</w:t>
      </w:r>
      <w:r w:rsidRPr="00B479F3">
        <w:t>декабре 2014 года.</w:t>
      </w:r>
    </w:p>
    <w:p w:rsidR="00CC4E88" w:rsidRDefault="00CC4E88" w:rsidP="00CC4E88">
      <w:pPr>
        <w:pStyle w:val="SingleTxt"/>
      </w:pPr>
      <w:r w:rsidRPr="00B479F3">
        <w:t>52.</w:t>
      </w:r>
      <w:r w:rsidRPr="00B479F3">
        <w:tab/>
        <w:t>Правительству было предложено представить свои доклады об осущест</w:t>
      </w:r>
      <w:r w:rsidRPr="00B479F3">
        <w:t>в</w:t>
      </w:r>
      <w:r w:rsidRPr="00B479F3">
        <w:t>лении конвенций №№ 100 и 111, которые должны быть рассмотрены Комит</w:t>
      </w:r>
      <w:r w:rsidRPr="00B479F3">
        <w:t>е</w:t>
      </w:r>
      <w:r w:rsidRPr="00B479F3">
        <w:t>том экспертов на его сессии в ноябре</w:t>
      </w:r>
      <w:r w:rsidR="006C7293" w:rsidRPr="006C7293">
        <w:t>–</w:t>
      </w:r>
      <w:r w:rsidRPr="00B479F3">
        <w:t xml:space="preserve">декабре 2015 года. 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B479F3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Default="006C7293" w:rsidP="00CC4E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CC4E88">
        <w:tab/>
      </w:r>
      <w:r w:rsidR="00CC4E88">
        <w:tab/>
      </w:r>
      <w:r w:rsidR="00CC4E88" w:rsidRPr="00B479F3">
        <w:t>Габон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Default="00CC4E88" w:rsidP="00CC4E88">
      <w:pPr>
        <w:pStyle w:val="SingleTxt"/>
      </w:pPr>
      <w:r w:rsidRPr="00B479F3">
        <w:t>53.</w:t>
      </w:r>
      <w:r w:rsidRPr="00B479F3">
        <w:tab/>
        <w:t>Из соответствующих конвенций МОТ Габон ратифицировал конве</w:t>
      </w:r>
      <w:r w:rsidRPr="00B479F3">
        <w:t>н</w:t>
      </w:r>
      <w:r w:rsidRPr="00B479F3">
        <w:t>ции</w:t>
      </w:r>
      <w:r w:rsidR="006C7293">
        <w:rPr>
          <w:lang w:val="en-US"/>
        </w:rPr>
        <w:t> </w:t>
      </w:r>
      <w:r w:rsidRPr="00B479F3">
        <w:t>№№</w:t>
      </w:r>
      <w:r w:rsidRPr="00B479F3">
        <w:rPr>
          <w:lang w:val="en-GB"/>
        </w:rPr>
        <w:t> </w:t>
      </w:r>
      <w:r w:rsidRPr="00B479F3">
        <w:t>100 и</w:t>
      </w:r>
      <w:r w:rsidRPr="00B479F3">
        <w:rPr>
          <w:lang w:val="en-GB"/>
        </w:rPr>
        <w:t> </w:t>
      </w:r>
      <w:r w:rsidRPr="00B479F3">
        <w:t>111. Он также ратифицировал конвенции №№</w:t>
      </w:r>
      <w:r w:rsidRPr="00B479F3">
        <w:rPr>
          <w:lang w:val="en-GB"/>
        </w:rPr>
        <w:t> </w:t>
      </w:r>
      <w:r w:rsidRPr="00B479F3">
        <w:t>3, 29, 45, 87, 98, 105, 138 и 182.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Default="00CC4E88" w:rsidP="00CC4E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479F3">
        <w:t xml:space="preserve">Комментарии надзорных органов Международной организации труда 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Default="00CC4E88" w:rsidP="00CC4E88">
      <w:pPr>
        <w:pStyle w:val="SingleTxt"/>
        <w:rPr>
          <w:lang w:val="en-US"/>
        </w:rPr>
      </w:pPr>
      <w:r w:rsidRPr="00B479F3">
        <w:t>54.</w:t>
      </w:r>
      <w:r w:rsidRPr="00B479F3">
        <w:tab/>
        <w:t>Представленные на рассмотрение комментарии Комитета экспертов, о</w:t>
      </w:r>
      <w:r w:rsidRPr="00B479F3">
        <w:t>т</w:t>
      </w:r>
      <w:r w:rsidRPr="00B479F3">
        <w:t>носящиеся к положениям Конвенции о ликвидации всех форм дискриминации в отношении женщин, касаются нижеследующих пунктов: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Конвенция № 3</w:t>
      </w:r>
      <w:r w:rsidR="00CC4E88">
        <w:t xml:space="preserve"> 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CC4E88" w:rsidP="00CC4E88">
      <w:pPr>
        <w:pStyle w:val="SingleTxt"/>
        <w:rPr>
          <w:lang w:val="en-US"/>
        </w:rPr>
      </w:pPr>
      <w:r w:rsidRPr="00B479F3">
        <w:t>55.</w:t>
      </w:r>
      <w:r w:rsidRPr="00B479F3">
        <w:tab/>
        <w:t>В своем прямом запросе, сделанном в 2013</w:t>
      </w:r>
      <w:r w:rsidRPr="00B479F3">
        <w:rPr>
          <w:lang w:val="en-GB"/>
        </w:rPr>
        <w:t> </w:t>
      </w:r>
      <w:r w:rsidRPr="00B479F3">
        <w:t>году, Комитет отметил, что правительство вновь заявило о своем намерении ввести</w:t>
      </w:r>
      <w:r>
        <w:t xml:space="preserve"> — </w:t>
      </w:r>
      <w:r w:rsidRPr="00B479F3">
        <w:t>в контексте закон</w:t>
      </w:r>
      <w:r w:rsidRPr="00B479F3">
        <w:t>о</w:t>
      </w:r>
      <w:r w:rsidRPr="00B479F3">
        <w:t>проекта о внесении поправок в Трудовой кодекс</w:t>
      </w:r>
      <w:r>
        <w:t xml:space="preserve"> — </w:t>
      </w:r>
      <w:r w:rsidRPr="00B479F3">
        <w:t>обязательный период п</w:t>
      </w:r>
      <w:r w:rsidRPr="00B479F3">
        <w:t>о</w:t>
      </w:r>
      <w:r w:rsidRPr="00B479F3">
        <w:t>слеродового отпуска продолжительностью не менее шести недель для обесп</w:t>
      </w:r>
      <w:r w:rsidRPr="00B479F3">
        <w:t>е</w:t>
      </w:r>
      <w:r w:rsidRPr="00B479F3">
        <w:t>чения того, чтобы в результате давления или какого-то предложения о матер</w:t>
      </w:r>
      <w:r w:rsidRPr="00B479F3">
        <w:t>и</w:t>
      </w:r>
      <w:r w:rsidRPr="00B479F3">
        <w:t>альной выгоде, которое может поступить, женщина не склонялась к тому, чт</w:t>
      </w:r>
      <w:r w:rsidRPr="00B479F3">
        <w:t>о</w:t>
      </w:r>
      <w:r w:rsidRPr="00B479F3">
        <w:t>бы вернуться на работу до окончания предусмотренного законом периода п</w:t>
      </w:r>
      <w:r w:rsidRPr="00B479F3">
        <w:t>о</w:t>
      </w:r>
      <w:r w:rsidRPr="00B479F3">
        <w:t>слеродового отпуска в ущерб ее собственному здоровью и здоровью ее ребе</w:t>
      </w:r>
      <w:r w:rsidRPr="00B479F3">
        <w:t>н</w:t>
      </w:r>
      <w:r w:rsidRPr="00B479F3">
        <w:t>ка. Комитет указал на то, что он обращал внимание правительства на этот в</w:t>
      </w:r>
      <w:r w:rsidRPr="00B479F3">
        <w:t>о</w:t>
      </w:r>
      <w:r w:rsidRPr="00B479F3">
        <w:t>прос на протяжении многих лет, и выразил надежду на то, что в своем след</w:t>
      </w:r>
      <w:r w:rsidRPr="00B479F3">
        <w:t>у</w:t>
      </w:r>
      <w:r w:rsidRPr="00B479F3">
        <w:t>ющем д</w:t>
      </w:r>
      <w:r w:rsidRPr="00B479F3">
        <w:t>о</w:t>
      </w:r>
      <w:r w:rsidRPr="00B479F3">
        <w:t>кладе правительство доложит о достигнутом прогрессе в приведении наци</w:t>
      </w:r>
      <w:r w:rsidRPr="00B479F3">
        <w:t>о</w:t>
      </w:r>
      <w:r w:rsidRPr="00B479F3">
        <w:t>нального законодательства в полное соответствие с Конвенцией.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Конвенция № 100</w:t>
      </w:r>
      <w:r w:rsidR="00CC4E88">
        <w:t xml:space="preserve"> 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56.</w:t>
      </w:r>
      <w:r w:rsidRPr="00B479F3">
        <w:tab/>
        <w:t>В своем прямом запросе, сделанном в 2013</w:t>
      </w:r>
      <w:r w:rsidRPr="00B479F3">
        <w:rPr>
          <w:lang w:val="en-GB"/>
        </w:rPr>
        <w:t> </w:t>
      </w:r>
      <w:r w:rsidRPr="00B479F3">
        <w:t>году, Комитет указал на то, что Трудовой кодекс с поправками, внесенными в него в феврале 2010 года, с</w:t>
      </w:r>
      <w:r w:rsidRPr="00B479F3">
        <w:t>о</w:t>
      </w:r>
      <w:r w:rsidRPr="00B479F3">
        <w:t>держит концепцию «труда равной ценности», но вместе с тем сохраняет и ст</w:t>
      </w:r>
      <w:r w:rsidRPr="00B479F3">
        <w:t>а</w:t>
      </w:r>
      <w:r w:rsidRPr="00B479F3">
        <w:t>рые положения, которые касаются равной оплаты «в равных условиях труда, при равной квалификации и равной выработке» для всех работников, незав</w:t>
      </w:r>
      <w:r w:rsidRPr="00B479F3">
        <w:t>и</w:t>
      </w:r>
      <w:r w:rsidRPr="00B479F3">
        <w:t>симо от их происхождения, взглядов, пола и возраста. Напомнив о риске пут</w:t>
      </w:r>
      <w:r w:rsidRPr="00B479F3">
        <w:t>а</w:t>
      </w:r>
      <w:r w:rsidRPr="00B479F3">
        <w:t>ницы, которая может возникать вследствие непосредственного соприкоснов</w:t>
      </w:r>
      <w:r w:rsidRPr="00B479F3">
        <w:t>е</w:t>
      </w:r>
      <w:r w:rsidRPr="00B479F3">
        <w:t>ния этих положений, Комитет просил правительство представить информацию о мерах, принятых для внесения поправок в Трудовой кодекс, с тем чтобы он полностью отражал этот принцип Конвенции.</w:t>
      </w:r>
    </w:p>
    <w:p w:rsidR="00CC4E88" w:rsidRPr="00B479F3" w:rsidRDefault="00CC4E88" w:rsidP="00CC4E88">
      <w:pPr>
        <w:pStyle w:val="SingleTxt"/>
      </w:pPr>
      <w:r w:rsidRPr="00B479F3">
        <w:t>57.</w:t>
      </w:r>
      <w:r w:rsidRPr="00B479F3">
        <w:tab/>
        <w:t>Указав ранее на то, что принятия нейтральной с гендерной точки зрения шкалы заработной платы недостаточно для ликвидации всей дискриминации в заработной плате, и подчеркнув, что такая дискриминация может также возн</w:t>
      </w:r>
      <w:r w:rsidRPr="00B479F3">
        <w:t>и</w:t>
      </w:r>
      <w:r w:rsidRPr="00B479F3">
        <w:t>кать за счет критериев, используемых для классификации рабочих мест, и за счет недооценки задач, выполняемых преимущественно женщинами, Комитет вновь повторил свою просьбу представить информацию о том, как принцип равного вознаграждения мужчин и женщин за труд равной ценности приним</w:t>
      </w:r>
      <w:r w:rsidRPr="00B479F3">
        <w:t>а</w:t>
      </w:r>
      <w:r w:rsidRPr="00B479F3">
        <w:t>ется во внимание социальными партнерами при ведении переговоров по в</w:t>
      </w:r>
      <w:r w:rsidRPr="00B479F3">
        <w:t>о</w:t>
      </w:r>
      <w:r w:rsidRPr="00B479F3">
        <w:t>просам заработной платы. Он вновь просил Комитет указать, должна ли пров</w:t>
      </w:r>
      <w:r w:rsidRPr="00B479F3">
        <w:t>о</w:t>
      </w:r>
      <w:r w:rsidRPr="00B479F3">
        <w:t>диться объективная оценка рабочих мест с учетом соответствующих выполн</w:t>
      </w:r>
      <w:r w:rsidRPr="00B479F3">
        <w:t>я</w:t>
      </w:r>
      <w:r w:rsidRPr="00B479F3">
        <w:t>емых задач при установлении ставок заработной платы.</w:t>
      </w:r>
    </w:p>
    <w:p w:rsidR="00CC4E88" w:rsidRPr="00B479F3" w:rsidRDefault="00CC4E88" w:rsidP="00CC4E88">
      <w:pPr>
        <w:pStyle w:val="SingleTxt"/>
      </w:pPr>
      <w:r w:rsidRPr="00B479F3">
        <w:t>58.</w:t>
      </w:r>
      <w:r w:rsidRPr="00B479F3">
        <w:tab/>
        <w:t>Комитет рекомендовал правительству продолжать и активизировать де</w:t>
      </w:r>
      <w:r w:rsidRPr="00B479F3">
        <w:t>я</w:t>
      </w:r>
      <w:r w:rsidRPr="00B479F3">
        <w:t>тельность по подготовке и повышению осведомленности о принципе равного вознаграждения мужчин и женщин за труд равной ценности. Он также просил правительство представить информацию</w:t>
      </w:r>
      <w:r>
        <w:t xml:space="preserve"> </w:t>
      </w:r>
      <w:r w:rsidRPr="00B479F3">
        <w:t>относительно любой жалобы о ди</w:t>
      </w:r>
      <w:r w:rsidRPr="00B479F3">
        <w:t>с</w:t>
      </w:r>
      <w:r w:rsidRPr="00B479F3">
        <w:t>криминации в заработной плате между мужчинами и женщинами, которой з</w:t>
      </w:r>
      <w:r w:rsidRPr="00B479F3">
        <w:t>а</w:t>
      </w:r>
      <w:r w:rsidRPr="00B479F3">
        <w:t xml:space="preserve">нимаются инспекторы по вопросам труда или суды. </w:t>
      </w:r>
    </w:p>
    <w:p w:rsidR="00CC4E88" w:rsidRDefault="00CC4E88" w:rsidP="00CC4E88">
      <w:pPr>
        <w:pStyle w:val="SingleTxt"/>
        <w:rPr>
          <w:lang w:val="en-US"/>
        </w:rPr>
      </w:pPr>
      <w:r w:rsidRPr="00B479F3">
        <w:t>59.</w:t>
      </w:r>
      <w:r w:rsidRPr="00B479F3">
        <w:tab/>
        <w:t>Комитет отметил, что представленные данные не позволяют оценить с</w:t>
      </w:r>
      <w:r w:rsidRPr="00B479F3">
        <w:t>и</w:t>
      </w:r>
      <w:r w:rsidRPr="00B479F3">
        <w:t>туацию. Отметив необходимость создания и организации национальной стат</w:t>
      </w:r>
      <w:r w:rsidRPr="00B479F3">
        <w:t>и</w:t>
      </w:r>
      <w:r w:rsidRPr="00B479F3">
        <w:t>стической системы, он просил правительство предпринять необходимые шаги для сбора и анализа данных о заработках мужчин и женщин в разбивке по се</w:t>
      </w:r>
      <w:r w:rsidRPr="00B479F3">
        <w:t>к</w:t>
      </w:r>
      <w:r w:rsidRPr="00B479F3">
        <w:t>торам деятельности, занятиям и уровням занятости в государственном и час</w:t>
      </w:r>
      <w:r w:rsidRPr="00B479F3">
        <w:t>т</w:t>
      </w:r>
      <w:r w:rsidRPr="00B479F3">
        <w:t>ном секторах.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Конвенция № 111</w:t>
      </w:r>
      <w:r w:rsidR="00CC4E88">
        <w:t xml:space="preserve"> 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60.</w:t>
      </w:r>
      <w:r w:rsidRPr="00B479F3">
        <w:tab/>
        <w:t>В своем прямом запросе, сделанном в 2013</w:t>
      </w:r>
      <w:r w:rsidRPr="00B479F3">
        <w:rPr>
          <w:lang w:val="en-GB"/>
        </w:rPr>
        <w:t> </w:t>
      </w:r>
      <w:r w:rsidRPr="00B479F3">
        <w:t>году, Комитет отметил н</w:t>
      </w:r>
      <w:r w:rsidRPr="00B479F3">
        <w:t>е</w:t>
      </w:r>
      <w:r w:rsidRPr="00B479F3">
        <w:t>сколько положений, дискриминирующих против женщин, которые содержатся в разделах 253 (муж является главой семьи), 254 (муж определяет место пр</w:t>
      </w:r>
      <w:r w:rsidRPr="00B479F3">
        <w:t>о</w:t>
      </w:r>
      <w:r w:rsidRPr="00B479F3">
        <w:t>живания семьи) и 261 (профессиональная трудовая деятельность женщин) Гражданского кодекса и которые на практике могут создавать препятствия на пути трудоустройства женщин. Комитет отметил, что, как явствует из доклада правительства, в парламент представлены два законопроекта об отмене и и</w:t>
      </w:r>
      <w:r w:rsidRPr="00B479F3">
        <w:t>з</w:t>
      </w:r>
      <w:r w:rsidRPr="00B479F3">
        <w:t>менении Закона № 19/89 от 30 декабря 1989 года относительно принятия Гра</w:t>
      </w:r>
      <w:r w:rsidRPr="00B479F3">
        <w:t>ж</w:t>
      </w:r>
      <w:r w:rsidRPr="00B479F3">
        <w:t>данского кодекса. Комитет выразил уверенность в том, что положения Гра</w:t>
      </w:r>
      <w:r w:rsidRPr="00B479F3">
        <w:t>ж</w:t>
      </w:r>
      <w:r w:rsidRPr="00B479F3">
        <w:t>данского кодекса, дискриминирующие против женщин, будут отменены в бл</w:t>
      </w:r>
      <w:r w:rsidRPr="00B479F3">
        <w:t>и</w:t>
      </w:r>
      <w:r w:rsidRPr="00B479F3">
        <w:t>жайшем будущем, и он просил правительство представить ему копию Гра</w:t>
      </w:r>
      <w:r w:rsidRPr="00B479F3">
        <w:t>ж</w:t>
      </w:r>
      <w:r w:rsidRPr="00B479F3">
        <w:t xml:space="preserve">данского кодекса с внесенными в него поправками. </w:t>
      </w:r>
    </w:p>
    <w:p w:rsidR="00CC4E88" w:rsidRPr="00B479F3" w:rsidRDefault="00CC4E88" w:rsidP="00CC4E88">
      <w:pPr>
        <w:pStyle w:val="SingleTxt"/>
      </w:pPr>
      <w:r w:rsidRPr="00B479F3">
        <w:t>61.</w:t>
      </w:r>
      <w:r w:rsidRPr="00B479F3">
        <w:tab/>
        <w:t>Что касается ночной работы женщин, которая регулируется разделами 167 и 169 Трудового кодекса, то Комитет просил правительство в контексте пер</w:t>
      </w:r>
      <w:r w:rsidRPr="00B479F3">
        <w:t>е</w:t>
      </w:r>
      <w:r w:rsidRPr="00B479F3">
        <w:t>смотра Кодекса критически оценить эти положения в свете принципа раве</w:t>
      </w:r>
      <w:r w:rsidRPr="00B479F3">
        <w:t>н</w:t>
      </w:r>
      <w:r w:rsidRPr="00B479F3">
        <w:t>ства возможностей и обращения с мужчинами и женщинами, одновременно под</w:t>
      </w:r>
      <w:r w:rsidRPr="00B479F3">
        <w:t>у</w:t>
      </w:r>
      <w:r w:rsidRPr="00B479F3">
        <w:t>мав о том, существует ли необходимость в принятии мер по обеспечению бе</w:t>
      </w:r>
      <w:r w:rsidRPr="00B479F3">
        <w:t>з</w:t>
      </w:r>
      <w:r w:rsidRPr="00B479F3">
        <w:t xml:space="preserve">опасности и развития надлежащих средств транспорта. </w:t>
      </w:r>
    </w:p>
    <w:p w:rsidR="00CC4E88" w:rsidRPr="00B479F3" w:rsidRDefault="00CC4E88" w:rsidP="00CC4E88">
      <w:pPr>
        <w:pStyle w:val="SingleTxt"/>
      </w:pPr>
      <w:r w:rsidRPr="00B479F3">
        <w:t>62.</w:t>
      </w:r>
      <w:r w:rsidRPr="00B479F3">
        <w:tab/>
        <w:t>Комитет принял к сведению указание правительства на то, что в проекте пересмотренного варианта Трудового кодекса содержатся положения, запр</w:t>
      </w:r>
      <w:r w:rsidRPr="00B479F3">
        <w:t>е</w:t>
      </w:r>
      <w:r w:rsidRPr="00B479F3">
        <w:t>щающие сексуальные домогательства. Комитет выразил надежду на то, что проект пересмотренного варианта Кодекса будет вскоре принят и что он будет содержать определение сексуальных домогательств и их четкое запрещение на основе как «услуги за услугу», так и враждебной обстановки на производстве. Комитет также рекомендовал правительству осуществить меры повышения осведомленности и профилактики против сексуальных домогательств, такие как распространение брошюр и проведение информационных встреч и камп</w:t>
      </w:r>
      <w:r w:rsidRPr="00B479F3">
        <w:t>а</w:t>
      </w:r>
      <w:r w:rsidRPr="00B479F3">
        <w:t>ний, и указать, какие меры приняты в этом отношении. Комитет просил прав</w:t>
      </w:r>
      <w:r w:rsidRPr="00B479F3">
        <w:t>и</w:t>
      </w:r>
      <w:r w:rsidRPr="00B479F3">
        <w:t>тельство представить информацию о деятельности организаций трудящихся и работодателей по повышению осведомленности и представить информацию о сексуальных домогательствах на производстве.</w:t>
      </w:r>
    </w:p>
    <w:p w:rsidR="00CC4E88" w:rsidRPr="00B479F3" w:rsidRDefault="00CC4E88" w:rsidP="00CC4E88">
      <w:pPr>
        <w:pStyle w:val="SingleTxt"/>
      </w:pPr>
      <w:r w:rsidRPr="00B479F3">
        <w:t>63.</w:t>
      </w:r>
      <w:r w:rsidRPr="00B479F3">
        <w:tab/>
        <w:t>Комитет просил правительство представить информацию о мерах, прин</w:t>
      </w:r>
      <w:r w:rsidRPr="00B479F3">
        <w:t>я</w:t>
      </w:r>
      <w:r w:rsidRPr="00B479F3">
        <w:t>тых для осуществления Национальной стратегии 2010 года в области равн</w:t>
      </w:r>
      <w:r w:rsidRPr="00B479F3">
        <w:t>о</w:t>
      </w:r>
      <w:r w:rsidRPr="00B479F3">
        <w:t>правия и гендерного равенства в целях содействия равенству возможностей и обращения между мужчинами и женщинами в отношении образования, пр</w:t>
      </w:r>
      <w:r w:rsidRPr="00B479F3">
        <w:t>о</w:t>
      </w:r>
      <w:r w:rsidRPr="00B479F3">
        <w:t>фессиональной подготовки, труда и занятий, а также для отмены дискримин</w:t>
      </w:r>
      <w:r w:rsidRPr="00B479F3">
        <w:t>а</w:t>
      </w:r>
      <w:r w:rsidRPr="00B479F3">
        <w:t>ционных законодательных положений, на которые он ссылался. Комитет также просил правительство принять необходимые меры для обеспечения соблюд</w:t>
      </w:r>
      <w:r w:rsidRPr="00B479F3">
        <w:t>е</w:t>
      </w:r>
      <w:r w:rsidRPr="00B479F3">
        <w:t>ния существующего законодательства и устранения трудностей, с которыми сталкиваются женщины в получении доступа к ресурсам и производственным факторам, в частности кредитам и земле.</w:t>
      </w:r>
    </w:p>
    <w:p w:rsidR="00CC4E88" w:rsidRDefault="00CC4E88" w:rsidP="00CC4E88">
      <w:pPr>
        <w:pStyle w:val="SingleTxt"/>
        <w:rPr>
          <w:lang w:val="en-US"/>
        </w:rPr>
      </w:pPr>
      <w:r w:rsidRPr="00B479F3">
        <w:t>64.</w:t>
      </w:r>
      <w:r w:rsidRPr="00B479F3">
        <w:tab/>
        <w:t>Комитет отметил, что женщины недопредставлены во всех категориях государственной службы и что они составляют лишь 30 и 35 процентов, соо</w:t>
      </w:r>
      <w:r w:rsidRPr="00B479F3">
        <w:t>т</w:t>
      </w:r>
      <w:r w:rsidRPr="00B479F3">
        <w:t xml:space="preserve">ветственно, сотрудников высших двух категорий, а именно </w:t>
      </w:r>
      <w:r w:rsidRPr="00B479F3">
        <w:rPr>
          <w:lang w:val="en-GB"/>
        </w:rPr>
        <w:t>A</w:t>
      </w:r>
      <w:r w:rsidRPr="00B479F3">
        <w:t xml:space="preserve">1 и </w:t>
      </w:r>
      <w:r w:rsidRPr="00B479F3">
        <w:rPr>
          <w:lang w:val="en-GB"/>
        </w:rPr>
        <w:t>A</w:t>
      </w:r>
      <w:r w:rsidRPr="00B479F3">
        <w:t>2 (по состо</w:t>
      </w:r>
      <w:r w:rsidRPr="00B479F3">
        <w:t>я</w:t>
      </w:r>
      <w:r w:rsidRPr="00B479F3">
        <w:t xml:space="preserve">нию на декабрь 2006 года). Комитет вновь обратился с просьбой представить информацию о конкретных мерах, принимаемых для поощрения на практике равенства возможностей для мужчин и женщин на государственной службе и, в частности, для увеличения числа женщин на должностях категорий </w:t>
      </w:r>
      <w:r w:rsidRPr="00B479F3">
        <w:rPr>
          <w:lang w:val="en-GB"/>
        </w:rPr>
        <w:t>A</w:t>
      </w:r>
      <w:r w:rsidRPr="00B479F3">
        <w:t xml:space="preserve">1 и </w:t>
      </w:r>
      <w:r w:rsidRPr="00B479F3">
        <w:rPr>
          <w:lang w:val="en-GB"/>
        </w:rPr>
        <w:t>A</w:t>
      </w:r>
      <w:r w:rsidRPr="00B479F3">
        <w:t>2, например посредством непрерывного обучения, и он также просил правител</w:t>
      </w:r>
      <w:r w:rsidRPr="00B479F3">
        <w:t>ь</w:t>
      </w:r>
      <w:r w:rsidRPr="00B479F3">
        <w:t>ство продолжать представлять статистические данные, дезагрегированные по признаку пола, о количестве государственных служащих в разбивке по катег</w:t>
      </w:r>
      <w:r w:rsidRPr="00B479F3">
        <w:t>о</w:t>
      </w:r>
      <w:r w:rsidRPr="00B479F3">
        <w:t>риям.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 xml:space="preserve">Конвенция № 182 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65.</w:t>
      </w:r>
      <w:r w:rsidRPr="00B479F3">
        <w:tab/>
        <w:t>В своем замечании, сделанном в 2012 году, Комитет снабдил ссылками свои предыдущие комментарии, в которых он отметил, что согласно информ</w:t>
      </w:r>
      <w:r w:rsidRPr="00B479F3">
        <w:t>а</w:t>
      </w:r>
      <w:r w:rsidRPr="00B479F3">
        <w:t>ции, содержащейся в докладе Детского фонда Организации Объединенных Наций от 2006 года под названием «Торговля людьми, в частности женщинами и детьми, в Западной и Центральной Африке», ряд детей, в особенности дев</w:t>
      </w:r>
      <w:r w:rsidRPr="00B479F3">
        <w:t>о</w:t>
      </w:r>
      <w:r w:rsidRPr="00B479F3">
        <w:t>чек, являются жертвами внутренней и трансграничной торговли для целей р</w:t>
      </w:r>
      <w:r w:rsidRPr="00B479F3">
        <w:t>а</w:t>
      </w:r>
      <w:r w:rsidRPr="00B479F3">
        <w:t>боты в качестве домашней прислуги или для продажи на рынках страны. Ком</w:t>
      </w:r>
      <w:r w:rsidRPr="00B479F3">
        <w:t>и</w:t>
      </w:r>
      <w:r w:rsidRPr="00B479F3">
        <w:t>тет выразил обеспокоенность тем, что судебное преследование лиц, которые предположительно несут ответственность за торговлю детьми в Габоне,</w:t>
      </w:r>
      <w:r>
        <w:t xml:space="preserve"> </w:t>
      </w:r>
      <w:r w:rsidRPr="00B479F3">
        <w:t>как представляется, осуществляется национальными судами несвоевременно. К</w:t>
      </w:r>
      <w:r w:rsidRPr="00B479F3">
        <w:t>о</w:t>
      </w:r>
      <w:r w:rsidRPr="00B479F3">
        <w:t>митет вновь настоятельно призвал правительство принять необходимые меры для обеспечения углубленного расследования и активного преследования лиц, занимающихся продажей и торговлей детьми в возрасте до 18 лет, в соотве</w:t>
      </w:r>
      <w:r w:rsidRPr="00B479F3">
        <w:t>т</w:t>
      </w:r>
      <w:r w:rsidRPr="00B479F3">
        <w:t>ствии с действующим национальным законодательством и обеспечивать быс</w:t>
      </w:r>
      <w:r w:rsidRPr="00B479F3">
        <w:t>т</w:t>
      </w:r>
      <w:r w:rsidRPr="00B479F3">
        <w:t>рое вынесение судами решений по делам, связанным с такой торговлей.</w:t>
      </w:r>
    </w:p>
    <w:p w:rsidR="00CC4E88" w:rsidRDefault="00CC4E88" w:rsidP="00CC4E88">
      <w:pPr>
        <w:pStyle w:val="SingleTxt"/>
        <w:rPr>
          <w:lang w:val="en-US"/>
        </w:rPr>
      </w:pPr>
      <w:r w:rsidRPr="00B479F3">
        <w:t>66.</w:t>
      </w:r>
      <w:r w:rsidRPr="00B479F3">
        <w:tab/>
        <w:t>Поскольку дети, нанятые в качестве домашних работников, подвержены наихудшим формам детского труда, Комитет настоятельно призвал правител</w:t>
      </w:r>
      <w:r w:rsidRPr="00B479F3">
        <w:t>ь</w:t>
      </w:r>
      <w:r w:rsidRPr="00B479F3">
        <w:t>ство принять незамедлительные и эффективные меры для защиты детей от т</w:t>
      </w:r>
      <w:r w:rsidRPr="00B479F3">
        <w:t>а</w:t>
      </w:r>
      <w:r w:rsidRPr="00B479F3">
        <w:t>кого труда, включая опасные работы, обеспечить им доступ к образованию и представить информацию о конкретных мерах, принятых в этом отношении, с учетом особой ситуации девочек. Комитет рекомендовал правительству рат</w:t>
      </w:r>
      <w:r w:rsidRPr="00B479F3">
        <w:t>и</w:t>
      </w:r>
      <w:r w:rsidRPr="00B479F3">
        <w:t>фицировать Конвенцию 2011 года о достойном труде домашних работников (№</w:t>
      </w:r>
      <w:r>
        <w:t> </w:t>
      </w:r>
      <w:r w:rsidRPr="00B479F3">
        <w:t>189), в которой содержатся основные положения по защите детей.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Другие конвенции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67.</w:t>
      </w:r>
      <w:r w:rsidRPr="00B479F3">
        <w:tab/>
        <w:t>Самые последние доклады правительства об осуществлении конве</w:t>
      </w:r>
      <w:r w:rsidRPr="00B479F3">
        <w:t>н</w:t>
      </w:r>
      <w:r w:rsidRPr="00B479F3">
        <w:t>ций</w:t>
      </w:r>
      <w:r w:rsidR="006C7293">
        <w:rPr>
          <w:lang w:val="en-US"/>
        </w:rPr>
        <w:t> </w:t>
      </w:r>
      <w:r w:rsidRPr="00B479F3">
        <w:t>№№ 87 и 98 получены, и они были рассмотрены Комитетом экспертов на его сессии в ноябре</w:t>
      </w:r>
      <w:r w:rsidR="006C7293" w:rsidRPr="006C7293">
        <w:t>–</w:t>
      </w:r>
      <w:r w:rsidRPr="00B479F3">
        <w:t>декабре 2014 года.</w:t>
      </w:r>
    </w:p>
    <w:p w:rsidR="00CC4E88" w:rsidRDefault="00CC4E88" w:rsidP="00CC4E88">
      <w:pPr>
        <w:pStyle w:val="SingleTxt"/>
      </w:pPr>
      <w:r w:rsidRPr="00B479F3">
        <w:t>68.</w:t>
      </w:r>
      <w:r w:rsidRPr="00B479F3">
        <w:tab/>
        <w:t>Правительству было предложено представить свои доклады об осущест</w:t>
      </w:r>
      <w:r w:rsidRPr="00B479F3">
        <w:t>в</w:t>
      </w:r>
      <w:r w:rsidRPr="00B479F3">
        <w:t>лении конвенций №№</w:t>
      </w:r>
      <w:r>
        <w:t> </w:t>
      </w:r>
      <w:r w:rsidRPr="00B479F3">
        <w:t>29, 45, 138 и 182, которые должны быть рассмотрены Комитетом экспертов на его сессии в ноябре-декабре 2015 года.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B479F3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CC4E88" w:rsidRDefault="00CC4E88" w:rsidP="00CC4E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479F3">
        <w:t>Кыргызстан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Default="00CC4E88" w:rsidP="00CC4E88">
      <w:pPr>
        <w:pStyle w:val="SingleTxt"/>
        <w:rPr>
          <w:bCs/>
        </w:rPr>
      </w:pPr>
      <w:r w:rsidRPr="00B479F3">
        <w:t>69.</w:t>
      </w:r>
      <w:r w:rsidRPr="00B479F3">
        <w:tab/>
        <w:t>Из соответствующих конвенций МОТ Кыргызстан ратифицировал ко</w:t>
      </w:r>
      <w:r w:rsidRPr="00B479F3">
        <w:t>н</w:t>
      </w:r>
      <w:r w:rsidRPr="00B479F3">
        <w:t>венции №№</w:t>
      </w:r>
      <w:r w:rsidRPr="00B479F3">
        <w:rPr>
          <w:lang w:val="en-GB"/>
        </w:rPr>
        <w:t> </w:t>
      </w:r>
      <w:r w:rsidRPr="00B479F3">
        <w:t>100 и 111. Он также ратифицировал конвенции №№</w:t>
      </w:r>
      <w:r w:rsidRPr="00B479F3">
        <w:rPr>
          <w:lang w:val="en-GB"/>
        </w:rPr>
        <w:t> </w:t>
      </w:r>
      <w:r w:rsidRPr="00B479F3">
        <w:rPr>
          <w:bCs/>
        </w:rPr>
        <w:t>29, 87, 97, 98, 103, 105, 122, 138, 142 и 182.</w:t>
      </w:r>
    </w:p>
    <w:p w:rsidR="00CC4E88" w:rsidRPr="00B479F3" w:rsidRDefault="00CC4E88" w:rsidP="00CC4E88">
      <w:pPr>
        <w:pStyle w:val="SingleTxt"/>
        <w:spacing w:after="0" w:line="120" w:lineRule="exact"/>
        <w:rPr>
          <w:bCs/>
          <w:sz w:val="10"/>
        </w:rPr>
      </w:pPr>
    </w:p>
    <w:p w:rsidR="00CC4E88" w:rsidRDefault="00CC4E88" w:rsidP="00CC4E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479F3">
        <w:t xml:space="preserve">Комментарии надзорных органов Международной организации труда 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0B3F66" w:rsidRDefault="00CC4E88" w:rsidP="00CC4E88">
      <w:pPr>
        <w:pStyle w:val="SingleTxt"/>
      </w:pPr>
      <w:r w:rsidRPr="00B479F3">
        <w:t>70.</w:t>
      </w:r>
      <w:r w:rsidRPr="00B479F3">
        <w:tab/>
        <w:t>Представленные на рассмотрение комментарии Комитета экспертов, о</w:t>
      </w:r>
      <w:r w:rsidRPr="00B479F3">
        <w:t>т</w:t>
      </w:r>
      <w:r w:rsidRPr="00B479F3">
        <w:t>носящиеся к положениям Конвенции о ликвидации всех форм дискриминации в отношении женщин,</w:t>
      </w:r>
      <w:r w:rsidR="000B3F66">
        <w:t xml:space="preserve"> касаются нижеследующих пунктов.</w:t>
      </w:r>
    </w:p>
    <w:p w:rsidR="000068EB" w:rsidRPr="000B3F66" w:rsidRDefault="000068EB" w:rsidP="000068EB">
      <w:pPr>
        <w:pStyle w:val="SingleTxt"/>
        <w:spacing w:after="0" w:line="120" w:lineRule="exact"/>
        <w:rPr>
          <w:sz w:val="10"/>
        </w:rPr>
      </w:pPr>
    </w:p>
    <w:p w:rsidR="00CC4E88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B3F66">
        <w:tab/>
      </w:r>
      <w:r w:rsidRPr="000B3F66">
        <w:tab/>
      </w:r>
      <w:r w:rsidR="00CC4E88" w:rsidRPr="00B479F3">
        <w:t>Конвенция № 29</w:t>
      </w:r>
      <w:r w:rsidR="00CC4E88">
        <w:t xml:space="preserve"> 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0B3F66" w:rsidRDefault="00CC4E88" w:rsidP="00CC4E88">
      <w:pPr>
        <w:pStyle w:val="SingleTxt"/>
      </w:pPr>
      <w:r w:rsidRPr="00B479F3">
        <w:t>71.</w:t>
      </w:r>
      <w:r w:rsidRPr="00B479F3">
        <w:tab/>
        <w:t>В своем прямом запросе, сделанном в 2012</w:t>
      </w:r>
      <w:r w:rsidRPr="00B479F3">
        <w:rPr>
          <w:lang w:val="en-GB"/>
        </w:rPr>
        <w:t> </w:t>
      </w:r>
      <w:r w:rsidRPr="00B479F3">
        <w:t>году, Комитет просил прав</w:t>
      </w:r>
      <w:r w:rsidRPr="00B479F3">
        <w:t>и</w:t>
      </w:r>
      <w:r w:rsidRPr="00B479F3">
        <w:t>тельство активизировать свои усилия, в том числе в рамках Национального плана действий по борьбе с торговлей людьми, для предупреждения, пресеч</w:t>
      </w:r>
      <w:r w:rsidRPr="00B479F3">
        <w:t>е</w:t>
      </w:r>
      <w:r w:rsidRPr="00B479F3">
        <w:t>ния и борьбе с торговлей людьми</w:t>
      </w:r>
      <w:r w:rsidR="000B3F66">
        <w:t>,</w:t>
      </w:r>
      <w:r w:rsidRPr="00B479F3">
        <w:t xml:space="preserve"> и представить информацию о конкретных мерах, принятых в этом отношении.</w:t>
      </w:r>
    </w:p>
    <w:p w:rsidR="000068EB" w:rsidRPr="000B3F66" w:rsidRDefault="000068EB" w:rsidP="000068EB">
      <w:pPr>
        <w:pStyle w:val="SingleTxt"/>
        <w:spacing w:after="0" w:line="120" w:lineRule="exact"/>
        <w:rPr>
          <w:sz w:val="10"/>
        </w:rPr>
      </w:pPr>
    </w:p>
    <w:p w:rsidR="00CC4E88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B3F66">
        <w:tab/>
      </w:r>
      <w:r w:rsidRPr="000B3F66">
        <w:tab/>
      </w:r>
      <w:r w:rsidR="00CC4E88" w:rsidRPr="00B479F3">
        <w:t>Конвенция № 100</w:t>
      </w:r>
      <w:r w:rsidR="00CC4E88">
        <w:t xml:space="preserve"> 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72.</w:t>
      </w:r>
      <w:r w:rsidRPr="00B479F3">
        <w:tab/>
        <w:t>В своем прямом запросе, сделанном в 2013</w:t>
      </w:r>
      <w:r w:rsidRPr="00B479F3">
        <w:rPr>
          <w:lang w:val="en-GB"/>
        </w:rPr>
        <w:t> </w:t>
      </w:r>
      <w:r w:rsidRPr="00B479F3">
        <w:t>году, Комитет принял к свед</w:t>
      </w:r>
      <w:r w:rsidRPr="00B479F3">
        <w:t>е</w:t>
      </w:r>
      <w:r w:rsidRPr="00B479F3">
        <w:t>нию указание правительства на то, что в соответствии с Трудовым кодексом «компенсационные и поощрительные выплаты» производятся в форме надб</w:t>
      </w:r>
      <w:r w:rsidRPr="00B479F3">
        <w:t>а</w:t>
      </w:r>
      <w:r w:rsidRPr="00B479F3">
        <w:t>вок и дополнительных выплат и что их размеры устанавливаются либо в виде точной суммы, либо рассчитываются пропорционально в зависимости от баз</w:t>
      </w:r>
      <w:r w:rsidRPr="00B479F3">
        <w:t>о</w:t>
      </w:r>
      <w:r w:rsidRPr="00B479F3">
        <w:t>вой зарплаты или базового оклада. Соответственно, Комитет просил прав</w:t>
      </w:r>
      <w:r w:rsidRPr="00B479F3">
        <w:t>и</w:t>
      </w:r>
      <w:r w:rsidRPr="00B479F3">
        <w:t>тельство указать, как на практике принцип равного вознаграждения примен</w:t>
      </w:r>
      <w:r w:rsidRPr="00B479F3">
        <w:t>я</w:t>
      </w:r>
      <w:r w:rsidRPr="00B479F3">
        <w:t>ется по отношению к выплатам натурой и к дополнительным выплатам, вкл</w:t>
      </w:r>
      <w:r w:rsidRPr="00B479F3">
        <w:t>ю</w:t>
      </w:r>
      <w:r w:rsidRPr="00B479F3">
        <w:t>чая премии и пособия.</w:t>
      </w:r>
    </w:p>
    <w:p w:rsidR="00CC4E88" w:rsidRPr="00B479F3" w:rsidRDefault="00CC4E88" w:rsidP="00CC4E88">
      <w:pPr>
        <w:pStyle w:val="SingleTxt"/>
      </w:pPr>
      <w:r w:rsidRPr="00B479F3">
        <w:t>73.</w:t>
      </w:r>
      <w:r w:rsidRPr="00B479F3">
        <w:tab/>
        <w:t>Комитет сослался на раздел 17 Закона 2003 года о гендерном равенстве, в котором предусматривается, что лица различного пола с одинаковой квалиф</w:t>
      </w:r>
      <w:r w:rsidRPr="00B479F3">
        <w:t>и</w:t>
      </w:r>
      <w:r w:rsidRPr="00B479F3">
        <w:t>кацией и одинаковыми условиями труда имеют право на равную зарплату. О</w:t>
      </w:r>
      <w:r w:rsidRPr="00B479F3">
        <w:t>т</w:t>
      </w:r>
      <w:r w:rsidRPr="00B479F3">
        <w:t>метив, что концепция «труда равной ценности» имеет основополагающее зн</w:t>
      </w:r>
      <w:r w:rsidRPr="00B479F3">
        <w:t>а</w:t>
      </w:r>
      <w:r w:rsidRPr="00B479F3">
        <w:t>чение для борьбы с профессиональной сегрегацией между полами на рынке труда, Комитет, соответственно, просил правительство предпринять шаги для внесения поправок в раздел 17 для того, чтобы полностью отразить в законод</w:t>
      </w:r>
      <w:r w:rsidRPr="00B479F3">
        <w:t>а</w:t>
      </w:r>
      <w:r w:rsidRPr="00B479F3">
        <w:t>тельстве этот принцип Конвенции, и указать, как применяется на практике принцип равного вознаграждения мужчин и женщин за труд равной ценности. Комитет также просил правительство указать, применяется ли Закон в равной мере к государственному и частному секторам, и представить информацию о том, какие меры приняты или предполагается принять для осуществления п</w:t>
      </w:r>
      <w:r w:rsidRPr="00B479F3">
        <w:t>о</w:t>
      </w:r>
      <w:r w:rsidRPr="00B479F3">
        <w:t>ложений Закона о гендерном равенстве.</w:t>
      </w:r>
    </w:p>
    <w:p w:rsidR="00CC4E88" w:rsidRPr="00B479F3" w:rsidRDefault="00CC4E88" w:rsidP="00CC4E88">
      <w:pPr>
        <w:pStyle w:val="SingleTxt"/>
      </w:pPr>
      <w:r w:rsidRPr="00B479F3">
        <w:t>74.</w:t>
      </w:r>
      <w:r w:rsidRPr="00B479F3">
        <w:tab/>
        <w:t>Что касается утверждения третьего национального плана действий по обеспечению гендерного равенства на 2012</w:t>
      </w:r>
      <w:r>
        <w:t>–</w:t>
      </w:r>
      <w:r w:rsidRPr="00B479F3">
        <w:t>2014</w:t>
      </w:r>
      <w:r w:rsidR="006C7293">
        <w:rPr>
          <w:lang w:val="en-US"/>
        </w:rPr>
        <w:t> </w:t>
      </w:r>
      <w:r w:rsidRPr="00B479F3">
        <w:t>годы, то Комитет просил также правительство представить обновленную информацию о любой полит</w:t>
      </w:r>
      <w:r w:rsidRPr="00B479F3">
        <w:t>и</w:t>
      </w:r>
      <w:r w:rsidRPr="00B479F3">
        <w:t>ке в области заработной платы, равно как и о других принятых или намеча</w:t>
      </w:r>
      <w:r w:rsidRPr="00B479F3">
        <w:t>е</w:t>
      </w:r>
      <w:r w:rsidRPr="00B479F3">
        <w:t>мых мерах, в том числе в рамках плана действий, для поощрения и обеспеч</w:t>
      </w:r>
      <w:r w:rsidRPr="00B479F3">
        <w:t>е</w:t>
      </w:r>
      <w:r w:rsidRPr="00B479F3">
        <w:t>ния пр</w:t>
      </w:r>
      <w:r w:rsidRPr="00B479F3">
        <w:t>и</w:t>
      </w:r>
      <w:r w:rsidRPr="00B479F3">
        <w:t>менения принципа равного вознаграждения мужчин и женщин за труд равной ценности.</w:t>
      </w:r>
    </w:p>
    <w:p w:rsidR="00CC4E88" w:rsidRPr="00B479F3" w:rsidRDefault="00CC4E88" w:rsidP="00CC4E88">
      <w:pPr>
        <w:pStyle w:val="SingleTxt"/>
      </w:pPr>
      <w:r w:rsidRPr="00B479F3">
        <w:t>75.</w:t>
      </w:r>
      <w:r w:rsidRPr="00B479F3">
        <w:tab/>
        <w:t>Напомнив о прежнем указании правительства на то, что заработная плата в государственном секторе устанавливается в соответствии с Законом о гос</w:t>
      </w:r>
      <w:r w:rsidRPr="00B479F3">
        <w:t>у</w:t>
      </w:r>
      <w:r w:rsidRPr="00B479F3">
        <w:t>дарственных служащих и что правительство одобрило единую шкалу зарабо</w:t>
      </w:r>
      <w:r w:rsidRPr="00B479F3">
        <w:t>т</w:t>
      </w:r>
      <w:r w:rsidRPr="00B479F3">
        <w:t>ной платы, Комитет вновь просил правительство представить копию единой шкалы заработной платы в государственном секторе наряду со статистической информацией о количестве государственных служащих в разбивке по занятиям и должностям и по признаку пола. Комитет также просил правительство ук</w:t>
      </w:r>
      <w:r w:rsidRPr="00B479F3">
        <w:t>а</w:t>
      </w:r>
      <w:r w:rsidRPr="00B479F3">
        <w:t>зать, как обеспечивается применение принципа равного вознаграждения му</w:t>
      </w:r>
      <w:r w:rsidRPr="00B479F3">
        <w:t>ж</w:t>
      </w:r>
      <w:r w:rsidRPr="00B479F3">
        <w:t>чин и женщин за труд равной ценности в отношении платежей натурой, а та</w:t>
      </w:r>
      <w:r w:rsidRPr="00B479F3">
        <w:t>к</w:t>
      </w:r>
      <w:r w:rsidRPr="00B479F3">
        <w:t>же дополнительных выплат в государственном секторе.</w:t>
      </w:r>
    </w:p>
    <w:p w:rsidR="00CC4E88" w:rsidRDefault="00CC4E88" w:rsidP="00CC4E88">
      <w:pPr>
        <w:pStyle w:val="SingleTxt"/>
        <w:rPr>
          <w:lang w:val="en-US"/>
        </w:rPr>
      </w:pPr>
      <w:r w:rsidRPr="00B479F3">
        <w:t>76.</w:t>
      </w:r>
      <w:r w:rsidRPr="00B479F3">
        <w:tab/>
        <w:t>Отметив создание в декабре 2012 года Национального совета по вопросам женщин, семьи и гендерному развитию, Комитет просил правительство пре</w:t>
      </w:r>
      <w:r w:rsidRPr="00B479F3">
        <w:t>д</w:t>
      </w:r>
      <w:r w:rsidRPr="00B479F3">
        <w:t>ставить детальную информацию о работе Совета в отношении поощрения и применения принципа Конвенции. Он также просил правительство предст</w:t>
      </w:r>
      <w:r w:rsidRPr="00B479F3">
        <w:t>а</w:t>
      </w:r>
      <w:r w:rsidRPr="00B479F3">
        <w:t>вить детальные сведения о количестве жалоб по вопросам равной оплаты, п</w:t>
      </w:r>
      <w:r w:rsidRPr="00B479F3">
        <w:t>о</w:t>
      </w:r>
      <w:r w:rsidRPr="00B479F3">
        <w:t>данных в соответствии с Трудовым кодексом и Законом о гендерном равенстве, и об итогах их рассмотрения.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Конвенция № 103</w:t>
      </w:r>
      <w:r w:rsidR="00CC4E88">
        <w:t xml:space="preserve"> 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77.</w:t>
      </w:r>
      <w:r w:rsidRPr="00B479F3">
        <w:tab/>
        <w:t>В своем прямом запросе, сделанном в 2013</w:t>
      </w:r>
      <w:r w:rsidRPr="00B479F3">
        <w:rPr>
          <w:lang w:val="en-GB"/>
        </w:rPr>
        <w:t> </w:t>
      </w:r>
      <w:r w:rsidRPr="00B479F3">
        <w:t>году, Комитет отметил сжатый доклад правительства, в котором не содержалось никакой информации по в</w:t>
      </w:r>
      <w:r w:rsidRPr="00B479F3">
        <w:t>о</w:t>
      </w:r>
      <w:r w:rsidRPr="00B479F3">
        <w:t>просам, поставленным в его более ранних комментариях. Комитет выразил надежду на то, что в следующем докладе будет содержаться детальная инфо</w:t>
      </w:r>
      <w:r w:rsidRPr="00B479F3">
        <w:t>р</w:t>
      </w:r>
      <w:r w:rsidRPr="00B479F3">
        <w:t>мация по следующим вопросам:</w:t>
      </w:r>
    </w:p>
    <w:p w:rsidR="00CC4E88" w:rsidRPr="00B479F3" w:rsidRDefault="00CC4E88" w:rsidP="00CC4E88">
      <w:pPr>
        <w:pStyle w:val="SingleTxt"/>
      </w:pPr>
      <w:r w:rsidRPr="00323A56">
        <w:tab/>
      </w:r>
      <w:r>
        <w:rPr>
          <w:lang w:val="en-US"/>
        </w:rPr>
        <w:t>a</w:t>
      </w:r>
      <w:r>
        <w:t>)</w:t>
      </w:r>
      <w:r>
        <w:tab/>
      </w:r>
      <w:r w:rsidRPr="00B479F3">
        <w:t>сфера охвата категорий трудящихся женщин в соответствии с зак</w:t>
      </w:r>
      <w:r w:rsidRPr="00B479F3">
        <w:t>о</w:t>
      </w:r>
      <w:r w:rsidRPr="00B479F3">
        <w:t>нодательством по вопросам социального обеспечения и Трудовым кодексом, например таких, как лица, занимающиеся надомным трудом, домашние рабо</w:t>
      </w:r>
      <w:r w:rsidRPr="00B479F3">
        <w:t>т</w:t>
      </w:r>
      <w:r w:rsidRPr="00B479F3">
        <w:t>ники, с</w:t>
      </w:r>
      <w:r w:rsidRPr="00B479F3">
        <w:t>е</w:t>
      </w:r>
      <w:r w:rsidRPr="00B479F3">
        <w:t>зонные работники,</w:t>
      </w:r>
      <w:r>
        <w:t xml:space="preserve"> </w:t>
      </w:r>
      <w:r w:rsidRPr="00B479F3">
        <w:t>лица, работающие на условиях неполного рабочего времени, лица, работающие в течение короткого срока, и т.д. (статья 1 Конве</w:t>
      </w:r>
      <w:r w:rsidRPr="00B479F3">
        <w:t>н</w:t>
      </w:r>
      <w:r w:rsidRPr="00B479F3">
        <w:t>ции);</w:t>
      </w:r>
    </w:p>
    <w:p w:rsidR="00CC4E88" w:rsidRPr="00B479F3" w:rsidRDefault="00CC4E88" w:rsidP="00CC4E88">
      <w:pPr>
        <w:pStyle w:val="SingleTxt"/>
      </w:pPr>
      <w:r>
        <w:tab/>
        <w:t>b)</w:t>
      </w:r>
      <w:r>
        <w:tab/>
      </w:r>
      <w:r w:rsidRPr="00B479F3">
        <w:t xml:space="preserve">обязательный характер послеродового отпуска (статья 3(3)); </w:t>
      </w:r>
    </w:p>
    <w:p w:rsidR="00CC4E88" w:rsidRPr="00B479F3" w:rsidRDefault="00CC4E88" w:rsidP="00CC4E88">
      <w:pPr>
        <w:pStyle w:val="SingleTxt"/>
      </w:pPr>
      <w:r>
        <w:tab/>
        <w:t>c)</w:t>
      </w:r>
      <w:r>
        <w:tab/>
      </w:r>
      <w:r w:rsidRPr="00B479F3">
        <w:t>законодательство, регулирующее денежные пособия и пособия по болезни, включая ставки денежных пособий и тип обеспечиваемого медици</w:t>
      </w:r>
      <w:r w:rsidRPr="00B479F3">
        <w:t>н</w:t>
      </w:r>
      <w:r w:rsidRPr="00B479F3">
        <w:t>ского обслуживания (статья 4);</w:t>
      </w:r>
    </w:p>
    <w:p w:rsidR="00CC4E88" w:rsidRPr="00B479F3" w:rsidRDefault="00CC4E88" w:rsidP="00CC4E88">
      <w:pPr>
        <w:pStyle w:val="SingleTxt"/>
      </w:pPr>
      <w:r>
        <w:tab/>
        <w:t>d)</w:t>
      </w:r>
      <w:r>
        <w:tab/>
      </w:r>
      <w:r w:rsidRPr="00B479F3">
        <w:t>выплата пособий по линии фондов социального вспомоществования трудящимся женщинам, которые не имеют права на получение пособия по б</w:t>
      </w:r>
      <w:r w:rsidRPr="00B479F3">
        <w:t>е</w:t>
      </w:r>
      <w:r w:rsidRPr="00B479F3">
        <w:t>ременности и родам в рамках системы социальн</w:t>
      </w:r>
      <w:r w:rsidR="000B3F66">
        <w:t xml:space="preserve">ого страхования (статья 4(5)); </w:t>
      </w:r>
    </w:p>
    <w:p w:rsidR="00CC4E88" w:rsidRPr="00AA7EDC" w:rsidRDefault="00CC4E88" w:rsidP="00CC4E88">
      <w:pPr>
        <w:pStyle w:val="SingleTxt"/>
      </w:pPr>
      <w:r>
        <w:tab/>
        <w:t>e)</w:t>
      </w:r>
      <w:r>
        <w:tab/>
      </w:r>
      <w:r w:rsidRPr="00B479F3">
        <w:t>как Конвенция применяется на практике, включая информацию о к</w:t>
      </w:r>
      <w:r w:rsidRPr="00B479F3">
        <w:t>о</w:t>
      </w:r>
      <w:r w:rsidRPr="00B479F3">
        <w:t>личестве и характере проведенных инспекций и о выявленных нарушениях (часть</w:t>
      </w:r>
      <w:r w:rsidR="00AA7EDC">
        <w:rPr>
          <w:lang w:val="en-US"/>
        </w:rPr>
        <w:t> </w:t>
      </w:r>
      <w:r w:rsidRPr="00B479F3">
        <w:rPr>
          <w:lang w:val="en-GB"/>
        </w:rPr>
        <w:t>V</w:t>
      </w:r>
      <w:r w:rsidRPr="00B479F3">
        <w:t xml:space="preserve"> фо</w:t>
      </w:r>
      <w:r w:rsidRPr="00B479F3">
        <w:t>р</w:t>
      </w:r>
      <w:r w:rsidRPr="00B479F3">
        <w:t>мы доклада).</w:t>
      </w:r>
    </w:p>
    <w:p w:rsidR="000068EB" w:rsidRPr="00AA7EDC" w:rsidRDefault="000068EB" w:rsidP="000068EB">
      <w:pPr>
        <w:pStyle w:val="SingleTxt"/>
        <w:spacing w:after="0" w:line="120" w:lineRule="exact"/>
        <w:rPr>
          <w:sz w:val="10"/>
        </w:rPr>
      </w:pPr>
    </w:p>
    <w:p w:rsidR="00CC4E88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AA7EDC">
        <w:tab/>
      </w:r>
      <w:r w:rsidRPr="00AA7EDC">
        <w:tab/>
      </w:r>
      <w:r w:rsidR="00CC4E88" w:rsidRPr="00B479F3">
        <w:t>Конвенция № 111</w:t>
      </w:r>
      <w:r w:rsidR="00CC4E88">
        <w:t xml:space="preserve"> 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78.</w:t>
      </w:r>
      <w:r w:rsidRPr="00B479F3">
        <w:tab/>
        <w:t>В своем прямом запросе, сделанном в 2</w:t>
      </w:r>
      <w:r>
        <w:t>0</w:t>
      </w:r>
      <w:r w:rsidRPr="00B479F3">
        <w:t>12</w:t>
      </w:r>
      <w:r>
        <w:t> </w:t>
      </w:r>
      <w:r w:rsidRPr="00B479F3">
        <w:t>году (повторенном в 2013</w:t>
      </w:r>
      <w:r w:rsidRPr="00B479F3">
        <w:rPr>
          <w:lang w:val="en-GB"/>
        </w:rPr>
        <w:t> </w:t>
      </w:r>
      <w:r w:rsidRPr="00B479F3">
        <w:t>году), Комитет принял к сведению запрет на «скрытую гендерную ди</w:t>
      </w:r>
      <w:r w:rsidRPr="00B479F3">
        <w:t>с</w:t>
      </w:r>
      <w:r w:rsidRPr="00B479F3">
        <w:t>криминацию» в Законе о гендерном равенстве от 31</w:t>
      </w:r>
      <w:r w:rsidR="00AA7EDC">
        <w:rPr>
          <w:lang w:val="en-US"/>
        </w:rPr>
        <w:t> </w:t>
      </w:r>
      <w:r w:rsidRPr="00B479F3">
        <w:t>января 2003</w:t>
      </w:r>
      <w:r w:rsidR="00AA7EDC">
        <w:rPr>
          <w:lang w:val="en-US"/>
        </w:rPr>
        <w:t> </w:t>
      </w:r>
      <w:r w:rsidRPr="00B479F3">
        <w:t>года, опред</w:t>
      </w:r>
      <w:r w:rsidRPr="00B479F3">
        <w:t>е</w:t>
      </w:r>
      <w:r w:rsidRPr="00B479F3">
        <w:t>ляемую как «дискриминация без прямого упоминания пола лица». Отметив, что это определение уже, чем концепция непрямой дискриминации, Комитет просил правител</w:t>
      </w:r>
      <w:r w:rsidRPr="00B479F3">
        <w:t>ь</w:t>
      </w:r>
      <w:r w:rsidRPr="00B479F3">
        <w:t>ство указать любые шаги, предпринятые или намечаемые для более четкого определения непрямой гендерной дискриминации</w:t>
      </w:r>
      <w:r>
        <w:t xml:space="preserve"> </w:t>
      </w:r>
      <w:r w:rsidRPr="00B479F3">
        <w:t>в Законе о гендерном раве</w:t>
      </w:r>
      <w:r w:rsidRPr="00B479F3">
        <w:t>н</w:t>
      </w:r>
      <w:r w:rsidRPr="00B479F3">
        <w:t xml:space="preserve">стве. </w:t>
      </w:r>
    </w:p>
    <w:p w:rsidR="00CC4E88" w:rsidRPr="00B479F3" w:rsidRDefault="00CC4E88" w:rsidP="00CC4E88">
      <w:pPr>
        <w:pStyle w:val="SingleTxt"/>
      </w:pPr>
      <w:r w:rsidRPr="00B479F3">
        <w:t>79.</w:t>
      </w:r>
      <w:r w:rsidRPr="00B479F3">
        <w:tab/>
        <w:t>Комитет принял к сведению определение сексуальных домогательств в Законе о гендерном равенстве (раздел 1). Комитет просил правительство ук</w:t>
      </w:r>
      <w:r w:rsidRPr="00B479F3">
        <w:t>а</w:t>
      </w:r>
      <w:r w:rsidRPr="00B479F3">
        <w:t>зать любые шаги, предпринятые или намечаемые для включения в законод</w:t>
      </w:r>
      <w:r w:rsidRPr="00B479F3">
        <w:t>а</w:t>
      </w:r>
      <w:r w:rsidRPr="00B479F3">
        <w:t>тельство четкого определения и запрещения сексуальных домогательств на о</w:t>
      </w:r>
      <w:r w:rsidRPr="00B479F3">
        <w:t>с</w:t>
      </w:r>
      <w:r w:rsidRPr="00B479F3">
        <w:t>нове как «услуги за услугу», так и враждебной обстановки на производстве. Он также просил правительство указать, какие меры приняты для предотвр</w:t>
      </w:r>
      <w:r w:rsidRPr="00B479F3">
        <w:t>а</w:t>
      </w:r>
      <w:r w:rsidRPr="00B479F3">
        <w:t>щения и запрещения сексуальных домогательств на рабочем месте со стороны коллег по работе, а также для повышения осведомленности работодателей и работников и их представителей относительно сексуальных домогательств.</w:t>
      </w:r>
    </w:p>
    <w:p w:rsidR="00CC4E88" w:rsidRPr="00B479F3" w:rsidRDefault="00CC4E88" w:rsidP="00CC4E88">
      <w:pPr>
        <w:pStyle w:val="SingleTxt"/>
      </w:pPr>
      <w:r w:rsidRPr="00B479F3">
        <w:t>80.</w:t>
      </w:r>
      <w:r w:rsidRPr="00B479F3">
        <w:tab/>
        <w:t>Комитет также просил правительство обеспечить, чтобы любые меры, ограничивающие доступ женщин к труду и занятиям, сводились исключител</w:t>
      </w:r>
      <w:r w:rsidRPr="00B479F3">
        <w:t>ь</w:t>
      </w:r>
      <w:r w:rsidRPr="00B479F3">
        <w:t>но к соображениям охраны материнства, и представить информацию о любых шагах, предпринятых в этой связи.</w:t>
      </w:r>
    </w:p>
    <w:p w:rsidR="00CC4E88" w:rsidRPr="00B479F3" w:rsidRDefault="00CC4E88" w:rsidP="00CC4E88">
      <w:pPr>
        <w:pStyle w:val="SingleTxt"/>
      </w:pPr>
      <w:r w:rsidRPr="00B479F3">
        <w:t>81.</w:t>
      </w:r>
      <w:r w:rsidRPr="00B479F3">
        <w:tab/>
        <w:t>Комитет отметил, что согласно Трудовому кодексу (раздел 304(2)) раб</w:t>
      </w:r>
      <w:r w:rsidRPr="00B479F3">
        <w:t>о</w:t>
      </w:r>
      <w:r w:rsidRPr="00B479F3">
        <w:t>тающих женщин, имеющих детей в возрасте до 3 лет, разрешается посылать в командировки или вынуждать работать сверхурочно либо в ночное время лишь с согласия женщин. Напомнив, что законодательство, отражающее посылку о том, что главную ответственность за семейный уход несут женщины, усилив</w:t>
      </w:r>
      <w:r w:rsidRPr="00B479F3">
        <w:t>а</w:t>
      </w:r>
      <w:r w:rsidRPr="00B479F3">
        <w:t>ет и продлевает стереотипы в отношении роли женщин и мужчин в семье и обществе, Комитет просил правительство указать любые меры, принятые или намечаемые для обеспечения того, чтобы право на социальные выплаты с</w:t>
      </w:r>
      <w:r w:rsidRPr="00B479F3">
        <w:t>о</w:t>
      </w:r>
      <w:r w:rsidRPr="00B479F3">
        <w:t>гласно разделу</w:t>
      </w:r>
      <w:r w:rsidR="00AA7EDC">
        <w:rPr>
          <w:lang w:val="en-US"/>
        </w:rPr>
        <w:t> </w:t>
      </w:r>
      <w:r w:rsidRPr="00B479F3">
        <w:t>304(2) Трудового кодекса имели мужчины и женщины на ра</w:t>
      </w:r>
      <w:r w:rsidRPr="00B479F3">
        <w:t>в</w:t>
      </w:r>
      <w:r w:rsidRPr="00B479F3">
        <w:t>ной основе.</w:t>
      </w:r>
    </w:p>
    <w:p w:rsidR="00CC4E88" w:rsidRDefault="00CC4E88" w:rsidP="00CC4E88">
      <w:pPr>
        <w:pStyle w:val="SingleTxt"/>
        <w:rPr>
          <w:lang w:val="en-US"/>
        </w:rPr>
      </w:pPr>
      <w:r w:rsidRPr="00B479F3">
        <w:t>82.</w:t>
      </w:r>
      <w:r w:rsidRPr="00B479F3">
        <w:tab/>
        <w:t>Комитет отметил, что в соответствии с Законом о гендерном равенстве государственные органы, общественные организации и другие неправител</w:t>
      </w:r>
      <w:r w:rsidRPr="00B479F3">
        <w:t>ь</w:t>
      </w:r>
      <w:r w:rsidRPr="00B479F3">
        <w:t>ственные ассоциации регистрируют нарушения гендерного равенства и пре</w:t>
      </w:r>
      <w:r w:rsidRPr="00B479F3">
        <w:t>д</w:t>
      </w:r>
      <w:r w:rsidRPr="00B479F3">
        <w:t>ставляют соответствующую информацию в Национальный совет по вопросам женщин, семьи и гендерному развитию для того, чтобы можно было отслеж</w:t>
      </w:r>
      <w:r w:rsidRPr="00B479F3">
        <w:t>и</w:t>
      </w:r>
      <w:r w:rsidRPr="00B479F3">
        <w:t>вать ситуацию в отношении гендерного равенства. Он также отметил, что, как предусмотрено в Трудовом кодексе, трудящиеся, утверждающие, что они по</w:t>
      </w:r>
      <w:r w:rsidRPr="00B479F3">
        <w:t>д</w:t>
      </w:r>
      <w:r w:rsidRPr="00B479F3">
        <w:t>вергаются дискриминации, могут добиваться возмещения через суды. Поэтому Комитет просил правительство представить информацию о количестве и х</w:t>
      </w:r>
      <w:r w:rsidRPr="00B479F3">
        <w:t>а</w:t>
      </w:r>
      <w:r w:rsidRPr="00B479F3">
        <w:t>рактере поданных жалоб, а также резюме решений, имеющих непосредстве</w:t>
      </w:r>
      <w:r w:rsidRPr="00B479F3">
        <w:t>н</w:t>
      </w:r>
      <w:r w:rsidRPr="00B479F3">
        <w:t>ное отношение к этому принципу Конвенции. Он также просил правительство представить информацию о предусмотренных средствах правовой защиты или о мерах наказания, установленных Законом о гендерном равенстве.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0B653C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br w:type="page"/>
      </w:r>
      <w:r w:rsidR="000068EB">
        <w:rPr>
          <w:lang w:val="en-US"/>
        </w:rPr>
        <w:tab/>
      </w:r>
      <w:r w:rsidR="000068EB">
        <w:rPr>
          <w:lang w:val="en-US"/>
        </w:rPr>
        <w:tab/>
      </w:r>
      <w:r w:rsidR="00CC4E88" w:rsidRPr="00B479F3">
        <w:t>Другие конвенции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Pr="00B479F3" w:rsidRDefault="00CC4E88" w:rsidP="00CC4E88">
      <w:pPr>
        <w:pStyle w:val="SingleTxt"/>
      </w:pPr>
      <w:r w:rsidRPr="00B479F3">
        <w:t>83.</w:t>
      </w:r>
      <w:r w:rsidRPr="00B479F3">
        <w:tab/>
        <w:t>Самые последние доклады правительства об осуществлении конве</w:t>
      </w:r>
      <w:r w:rsidRPr="00B479F3">
        <w:t>н</w:t>
      </w:r>
      <w:r w:rsidRPr="00B479F3">
        <w:t>ций</w:t>
      </w:r>
      <w:r w:rsidR="00AA7EDC">
        <w:rPr>
          <w:lang w:val="en-US"/>
        </w:rPr>
        <w:t> </w:t>
      </w:r>
      <w:r w:rsidRPr="00B479F3">
        <w:t>№№</w:t>
      </w:r>
      <w:r>
        <w:t> </w:t>
      </w:r>
      <w:r w:rsidRPr="00B479F3">
        <w:t>87 и 98 получены, и они были рассмотрены Комитетом экспертов на его сессии в ноябре</w:t>
      </w:r>
      <w:r w:rsidR="00AA7EDC" w:rsidRPr="00AA7EDC">
        <w:t>–</w:t>
      </w:r>
      <w:r w:rsidRPr="00B479F3">
        <w:t>декабре 2014</w:t>
      </w:r>
      <w:r w:rsidR="00AA7EDC">
        <w:rPr>
          <w:lang w:val="en-US"/>
        </w:rPr>
        <w:t> </w:t>
      </w:r>
      <w:r w:rsidRPr="00B479F3">
        <w:t>года.</w:t>
      </w:r>
    </w:p>
    <w:p w:rsidR="00CC4E88" w:rsidRDefault="00CC4E88" w:rsidP="00CC4E88">
      <w:pPr>
        <w:pStyle w:val="SingleTxt"/>
        <w:rPr>
          <w:i/>
        </w:rPr>
      </w:pPr>
      <w:r w:rsidRPr="00B479F3">
        <w:t>84.</w:t>
      </w:r>
      <w:r w:rsidRPr="00B479F3">
        <w:tab/>
        <w:t>Правительству было предложено представить свои доклады об осущест</w:t>
      </w:r>
      <w:r w:rsidRPr="00B479F3">
        <w:t>в</w:t>
      </w:r>
      <w:r w:rsidRPr="00B479F3">
        <w:t>лении конвенций №№</w:t>
      </w:r>
      <w:r>
        <w:t> </w:t>
      </w:r>
      <w:r w:rsidRPr="00B479F3">
        <w:t>29, 105, 111, 138, 142 и 182, которые должны быть ра</w:t>
      </w:r>
      <w:r w:rsidRPr="00B479F3">
        <w:t>с</w:t>
      </w:r>
      <w:r w:rsidRPr="00B479F3">
        <w:t>смотрены Комитетом экспертов на его сессии в ноябре</w:t>
      </w:r>
      <w:r w:rsidR="00AA7EDC" w:rsidRPr="00516C84">
        <w:t>–</w:t>
      </w:r>
      <w:r w:rsidRPr="00B479F3">
        <w:t>декабре 2015 года.</w:t>
      </w:r>
      <w:r w:rsidRPr="00B479F3">
        <w:rPr>
          <w:i/>
        </w:rPr>
        <w:t xml:space="preserve"> </w:t>
      </w:r>
    </w:p>
    <w:p w:rsidR="00CC4E88" w:rsidRPr="00516C84" w:rsidRDefault="00CC4E88" w:rsidP="00CC4E88">
      <w:pPr>
        <w:pStyle w:val="SingleTxt"/>
        <w:spacing w:after="0" w:line="120" w:lineRule="exact"/>
        <w:rPr>
          <w:i/>
          <w:sz w:val="10"/>
        </w:rPr>
      </w:pPr>
    </w:p>
    <w:p w:rsidR="00AA7EDC" w:rsidRPr="00516C84" w:rsidRDefault="00AA7EDC" w:rsidP="00CC4E88">
      <w:pPr>
        <w:pStyle w:val="SingleTxt"/>
        <w:spacing w:after="0" w:line="120" w:lineRule="exact"/>
        <w:rPr>
          <w:i/>
          <w:sz w:val="10"/>
        </w:rPr>
      </w:pPr>
    </w:p>
    <w:p w:rsidR="00CC4E88" w:rsidRDefault="00CC4E88" w:rsidP="00CC4E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479F3">
        <w:t>Мальдив</w:t>
      </w:r>
      <w:r w:rsidR="00C83D7A">
        <w:t>ские Острова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Default="00CC4E88" w:rsidP="00CC4E88">
      <w:pPr>
        <w:pStyle w:val="SingleTxt"/>
        <w:rPr>
          <w:bCs/>
          <w:lang w:val="en-US"/>
        </w:rPr>
      </w:pPr>
      <w:r w:rsidRPr="00B479F3">
        <w:t>85.</w:t>
      </w:r>
      <w:r w:rsidRPr="00B479F3">
        <w:tab/>
        <w:t>Из соответствующих конвенций МОТ Мальдив</w:t>
      </w:r>
      <w:r w:rsidR="00C83D7A">
        <w:t>ские Острова</w:t>
      </w:r>
      <w:r w:rsidRPr="00B479F3">
        <w:t xml:space="preserve"> ратифицир</w:t>
      </w:r>
      <w:r w:rsidRPr="00B479F3">
        <w:t>о</w:t>
      </w:r>
      <w:r w:rsidRPr="00B479F3">
        <w:t>вал</w:t>
      </w:r>
      <w:r w:rsidR="00C45E7F">
        <w:t>и</w:t>
      </w:r>
      <w:r w:rsidRPr="00B479F3">
        <w:t xml:space="preserve"> конвенции №№</w:t>
      </w:r>
      <w:r w:rsidRPr="00B479F3">
        <w:rPr>
          <w:lang w:val="en-GB"/>
        </w:rPr>
        <w:t> </w:t>
      </w:r>
      <w:r w:rsidRPr="00B479F3">
        <w:t>100 и 111. Она также ратифицировала конвенции №№</w:t>
      </w:r>
      <w:r w:rsidRPr="00B479F3">
        <w:rPr>
          <w:lang w:val="en-GB"/>
        </w:rPr>
        <w:t> </w:t>
      </w:r>
      <w:r w:rsidRPr="00B479F3">
        <w:rPr>
          <w:bCs/>
        </w:rPr>
        <w:t>29, 87, 98, 105, 138 и 182. Все эти конвенции были ратифицированы 4 января 2013 г</w:t>
      </w:r>
      <w:r w:rsidRPr="00B479F3">
        <w:rPr>
          <w:bCs/>
        </w:rPr>
        <w:t>о</w:t>
      </w:r>
      <w:r w:rsidRPr="00B479F3">
        <w:rPr>
          <w:bCs/>
        </w:rPr>
        <w:t>да.</w:t>
      </w:r>
    </w:p>
    <w:p w:rsidR="000068EB" w:rsidRPr="000068EB" w:rsidRDefault="000068EB" w:rsidP="000068EB">
      <w:pPr>
        <w:pStyle w:val="SingleTxt"/>
        <w:spacing w:after="0" w:line="120" w:lineRule="exact"/>
        <w:rPr>
          <w:bCs/>
          <w:sz w:val="10"/>
          <w:lang w:val="en-US"/>
        </w:rPr>
      </w:pPr>
    </w:p>
    <w:p w:rsidR="00CC4E88" w:rsidRDefault="000068EB" w:rsidP="000068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E88" w:rsidRPr="00B479F3">
        <w:t>Другие конвенции</w:t>
      </w:r>
    </w:p>
    <w:p w:rsidR="000068EB" w:rsidRPr="000068EB" w:rsidRDefault="000068EB" w:rsidP="000068EB">
      <w:pPr>
        <w:pStyle w:val="SingleTxt"/>
        <w:spacing w:after="0" w:line="120" w:lineRule="exact"/>
        <w:rPr>
          <w:sz w:val="10"/>
          <w:lang w:val="en-US"/>
        </w:rPr>
      </w:pPr>
    </w:p>
    <w:p w:rsidR="00CC4E88" w:rsidRDefault="00CC4E88" w:rsidP="00CC4E88">
      <w:pPr>
        <w:pStyle w:val="SingleTxt"/>
      </w:pPr>
      <w:r w:rsidRPr="00B479F3">
        <w:t>86.</w:t>
      </w:r>
      <w:r w:rsidRPr="00B479F3">
        <w:tab/>
        <w:t>Правительству было предложено представить свои первые доклады об осуществлении конвенций №№ 29, 87, 98, 100, 105, 111, 138 и 182 для ра</w:t>
      </w:r>
      <w:r w:rsidRPr="00B479F3">
        <w:t>с</w:t>
      </w:r>
      <w:r w:rsidRPr="00B479F3">
        <w:t>смотрения Комитетом экспертов на его сессии в ноябре-декабре 2015 года.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Default="00CC4E88" w:rsidP="00CC4E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479F3">
        <w:t>Тувалу</w:t>
      </w: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B479F3" w:rsidRDefault="00CC4E88" w:rsidP="00CC4E88">
      <w:pPr>
        <w:pStyle w:val="SingleTxt"/>
        <w:spacing w:after="0" w:line="120" w:lineRule="exact"/>
        <w:rPr>
          <w:sz w:val="10"/>
        </w:rPr>
      </w:pPr>
    </w:p>
    <w:p w:rsidR="00CC4E88" w:rsidRPr="00251DB0" w:rsidRDefault="00CC4E88" w:rsidP="00CC4E88">
      <w:pPr>
        <w:pStyle w:val="SingleTxt"/>
      </w:pPr>
      <w:r w:rsidRPr="00B479F3">
        <w:t>87.</w:t>
      </w:r>
      <w:r w:rsidRPr="00B479F3">
        <w:tab/>
        <w:t>Тувалу не ратифицировало ни одной из соответствующих конвенций МОТ.</w:t>
      </w:r>
    </w:p>
    <w:p w:rsidR="00CC4E88" w:rsidRPr="000068EB" w:rsidRDefault="000068EB" w:rsidP="000068EB">
      <w:pPr>
        <w:pStyle w:val="SingleTxt"/>
        <w:spacing w:after="0" w:line="240" w:lineRule="auto"/>
      </w:pPr>
      <w:r>
        <w:rPr>
          <w:noProof/>
          <w:w w:val="100"/>
          <w:lang w:val="en-US"/>
        </w:rPr>
        <w:pict>
          <v:line id="_x0000_s1027" style="position:absolute;left:0;text-align:left;z-index:1" from="210.2pt,30pt" to="282.2pt,30pt" strokecolor="#010000" strokeweight=".25pt"/>
        </w:pict>
      </w:r>
    </w:p>
    <w:sectPr w:rsidR="00CC4E88" w:rsidRPr="000068EB" w:rsidSect="00250DF6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5-02-12T10:58:00Z" w:initials="Start">
    <w:p w:rsidR="00250DF6" w:rsidRPr="001006FC" w:rsidRDefault="00250DF6">
      <w:pPr>
        <w:pStyle w:val="CommentText"/>
        <w:rPr>
          <w:lang w:val="en-US"/>
        </w:rPr>
      </w:pPr>
      <w:r>
        <w:fldChar w:fldCharType="begin"/>
      </w:r>
      <w:r w:rsidRPr="001006FC">
        <w:rPr>
          <w:rStyle w:val="CommentReference"/>
          <w:lang w:val="en-US"/>
        </w:rPr>
        <w:instrText xml:space="preserve"> </w:instrText>
      </w:r>
      <w:r w:rsidRPr="001006FC">
        <w:rPr>
          <w:lang w:val="en-US"/>
        </w:rPr>
        <w:instrText>PAGE \# "'Page: '#'</w:instrText>
      </w:r>
      <w:r w:rsidRPr="001006FC">
        <w:rPr>
          <w:lang w:val="en-US"/>
        </w:rPr>
        <w:br/>
        <w:instrText>'"</w:instrText>
      </w:r>
      <w:r w:rsidRPr="001006F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006FC">
        <w:rPr>
          <w:lang w:val="en-US"/>
        </w:rPr>
        <w:t>&lt;&lt;ODS JOB NO&gt;&gt;N1501487R&lt;&lt;ODS JOB NO&gt;&gt;</w:t>
      </w:r>
    </w:p>
    <w:p w:rsidR="00250DF6" w:rsidRPr="001006FC" w:rsidRDefault="00250DF6">
      <w:pPr>
        <w:pStyle w:val="CommentText"/>
        <w:rPr>
          <w:lang w:val="en-US"/>
        </w:rPr>
      </w:pPr>
      <w:r w:rsidRPr="001006FC">
        <w:rPr>
          <w:lang w:val="en-US"/>
        </w:rPr>
        <w:t>&lt;&lt;ODS DOC SYMBOL1&gt;</w:t>
      </w:r>
      <w:r w:rsidR="00A9042A">
        <w:rPr>
          <w:lang w:val="en-US"/>
        </w:rPr>
        <w:t>CEDAW/C/60/2</w:t>
      </w:r>
      <w:r w:rsidRPr="001006FC">
        <w:rPr>
          <w:lang w:val="en-US"/>
        </w:rPr>
        <w:t>&gt;CEDAW/C/60/2&lt;&lt;ODS DOC SYMBOL1&gt;&gt;</w:t>
      </w:r>
    </w:p>
    <w:p w:rsidR="00250DF6" w:rsidRPr="001006FC" w:rsidRDefault="00250DF6">
      <w:pPr>
        <w:pStyle w:val="CommentText"/>
        <w:rPr>
          <w:lang w:val="en-US"/>
        </w:rPr>
      </w:pPr>
      <w:r w:rsidRPr="001006FC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2A" w:rsidRDefault="00A9042A" w:rsidP="008A1A7A">
      <w:pPr>
        <w:spacing w:line="240" w:lineRule="auto"/>
      </w:pPr>
      <w:r>
        <w:separator/>
      </w:r>
    </w:p>
  </w:endnote>
  <w:endnote w:type="continuationSeparator" w:id="0">
    <w:p w:rsidR="00A9042A" w:rsidRDefault="00A9042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250DF6" w:rsidTr="00250DF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250DF6" w:rsidRPr="00047983" w:rsidRDefault="00250DF6" w:rsidP="00250DF6">
          <w:pPr>
            <w:pStyle w:val="Footer"/>
            <w:rPr>
              <w:color w:val="000000"/>
              <w:szCs w:val="22"/>
              <w:lang w:eastAsia="en-US"/>
            </w:rPr>
          </w:pPr>
          <w:r w:rsidRPr="00047983">
            <w:rPr>
              <w:szCs w:val="22"/>
              <w:lang w:eastAsia="en-US"/>
            </w:rPr>
            <w:fldChar w:fldCharType="begin"/>
          </w:r>
          <w:r w:rsidRPr="00047983">
            <w:rPr>
              <w:szCs w:val="22"/>
              <w:lang w:eastAsia="en-US"/>
            </w:rPr>
            <w:instrText xml:space="preserve"> PAGE  \* Arabic  \* MERGEFORMAT </w:instrText>
          </w:r>
          <w:r w:rsidRPr="00047983">
            <w:rPr>
              <w:szCs w:val="22"/>
              <w:lang w:eastAsia="en-US"/>
            </w:rPr>
            <w:fldChar w:fldCharType="separate"/>
          </w:r>
          <w:r w:rsidR="00D00D99" w:rsidRPr="00047983">
            <w:rPr>
              <w:noProof/>
              <w:szCs w:val="22"/>
              <w:lang w:eastAsia="en-US"/>
            </w:rPr>
            <w:t>20</w:t>
          </w:r>
          <w:r w:rsidRPr="00047983">
            <w:rPr>
              <w:szCs w:val="22"/>
              <w:lang w:eastAsia="en-US"/>
            </w:rPr>
            <w:fldChar w:fldCharType="end"/>
          </w:r>
          <w:r w:rsidRPr="00047983">
            <w:rPr>
              <w:szCs w:val="22"/>
              <w:lang w:eastAsia="en-US"/>
            </w:rPr>
            <w:t>/</w:t>
          </w:r>
          <w:fldSimple w:instr=" NUMPAGES  \* Arabic  \* MERGEFORMAT ">
            <w:r w:rsidR="00D00D99" w:rsidRPr="00047983">
              <w:rPr>
                <w:noProof/>
                <w:szCs w:val="22"/>
                <w:lang w:eastAsia="en-US"/>
              </w:rPr>
              <w:t>20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250DF6" w:rsidRPr="00047983" w:rsidRDefault="00250DF6" w:rsidP="00250DF6">
          <w:pPr>
            <w:pStyle w:val="Footer"/>
            <w:jc w:val="right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D00D99" w:rsidRPr="00047983">
              <w:rPr>
                <w:b w:val="0"/>
                <w:color w:val="000000"/>
                <w:sz w:val="14"/>
                <w:szCs w:val="22"/>
                <w:lang w:eastAsia="en-US"/>
              </w:rPr>
              <w:t>15-00567</w:t>
            </w:r>
          </w:fldSimple>
        </w:p>
      </w:tc>
    </w:tr>
  </w:tbl>
  <w:p w:rsidR="00250DF6" w:rsidRPr="00250DF6" w:rsidRDefault="00250DF6" w:rsidP="00250D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250DF6" w:rsidTr="00250DF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250DF6" w:rsidRPr="00047983" w:rsidRDefault="00250DF6" w:rsidP="00250DF6">
          <w:pPr>
            <w:pStyle w:val="Footer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D00D99" w:rsidRPr="00047983">
              <w:rPr>
                <w:b w:val="0"/>
                <w:color w:val="000000"/>
                <w:sz w:val="14"/>
                <w:szCs w:val="22"/>
                <w:lang w:eastAsia="en-US"/>
              </w:rPr>
              <w:t>15-00567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250DF6" w:rsidRPr="00047983" w:rsidRDefault="00250DF6" w:rsidP="00250DF6">
          <w:pPr>
            <w:pStyle w:val="Footer"/>
            <w:jc w:val="right"/>
            <w:rPr>
              <w:szCs w:val="22"/>
              <w:lang w:eastAsia="en-US"/>
            </w:rPr>
          </w:pPr>
          <w:r w:rsidRPr="00047983">
            <w:rPr>
              <w:szCs w:val="22"/>
              <w:lang w:eastAsia="en-US"/>
            </w:rPr>
            <w:fldChar w:fldCharType="begin"/>
          </w:r>
          <w:r w:rsidRPr="00047983">
            <w:rPr>
              <w:szCs w:val="22"/>
              <w:lang w:eastAsia="en-US"/>
            </w:rPr>
            <w:instrText xml:space="preserve"> PAGE  \* Arabic  \* MERGEFORMAT </w:instrText>
          </w:r>
          <w:r w:rsidRPr="00047983">
            <w:rPr>
              <w:szCs w:val="22"/>
              <w:lang w:eastAsia="en-US"/>
            </w:rPr>
            <w:fldChar w:fldCharType="separate"/>
          </w:r>
          <w:r w:rsidR="00D00D99" w:rsidRPr="00047983">
            <w:rPr>
              <w:noProof/>
              <w:szCs w:val="22"/>
              <w:lang w:eastAsia="en-US"/>
            </w:rPr>
            <w:t>19</w:t>
          </w:r>
          <w:r w:rsidRPr="00047983">
            <w:rPr>
              <w:szCs w:val="22"/>
              <w:lang w:eastAsia="en-US"/>
            </w:rPr>
            <w:fldChar w:fldCharType="end"/>
          </w:r>
          <w:r w:rsidRPr="00047983">
            <w:rPr>
              <w:szCs w:val="22"/>
              <w:lang w:eastAsia="en-US"/>
            </w:rPr>
            <w:t>/</w:t>
          </w:r>
          <w:fldSimple w:instr=" NUMPAGES  \* Arabic  \* MERGEFORMAT ">
            <w:r w:rsidR="00D00D99" w:rsidRPr="00047983">
              <w:rPr>
                <w:noProof/>
                <w:szCs w:val="22"/>
                <w:lang w:eastAsia="en-US"/>
              </w:rPr>
              <w:t>20</w:t>
            </w:r>
          </w:fldSimple>
        </w:p>
      </w:tc>
    </w:tr>
  </w:tbl>
  <w:p w:rsidR="00250DF6" w:rsidRPr="00250DF6" w:rsidRDefault="00250DF6" w:rsidP="00250D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F6" w:rsidRDefault="00250DF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65pt;margin-top:683.9pt;width:54.9pt;height:54.9pt;z-index:1;mso-position-horizontal-relative:page;mso-position-vertical-relative:page" o:preferrelative="f">
          <v:imagedata r:id="rId1" o:title="2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250DF6" w:rsidTr="00250DF6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250DF6" w:rsidRDefault="00250DF6" w:rsidP="00250DF6">
          <w:pPr>
            <w:pStyle w:val="ReleaseDate"/>
            <w:rPr>
              <w:color w:val="010000"/>
            </w:rPr>
          </w:pPr>
          <w:r>
            <w:t>15-00567 (R)</w:t>
          </w:r>
          <w:r>
            <w:rPr>
              <w:color w:val="010000"/>
            </w:rPr>
            <w:t xml:space="preserve">    1</w:t>
          </w:r>
          <w:r w:rsidR="001006FC">
            <w:rPr>
              <w:color w:val="010000"/>
              <w:lang w:val="en-US"/>
            </w:rPr>
            <w:t>0</w:t>
          </w:r>
          <w:r>
            <w:rPr>
              <w:color w:val="010000"/>
            </w:rPr>
            <w:t>0215    120215</w:t>
          </w:r>
        </w:p>
        <w:p w:rsidR="00250DF6" w:rsidRPr="00250DF6" w:rsidRDefault="00250DF6" w:rsidP="00250DF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*1500567(R)*</w:t>
          </w:r>
        </w:p>
      </w:tc>
      <w:tc>
        <w:tcPr>
          <w:tcW w:w="5033" w:type="dxa"/>
        </w:tcPr>
        <w:p w:rsidR="00250DF6" w:rsidRPr="00047983" w:rsidRDefault="00250DF6" w:rsidP="00250DF6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047983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250DF6" w:rsidRPr="00250DF6" w:rsidRDefault="00250DF6" w:rsidP="00250DF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2A" w:rsidRPr="00B1045A" w:rsidRDefault="00A9042A" w:rsidP="00B1045A">
      <w:pPr>
        <w:pStyle w:val="Footer"/>
        <w:spacing w:after="80"/>
        <w:ind w:left="792"/>
        <w:rPr>
          <w:sz w:val="16"/>
        </w:rPr>
      </w:pPr>
      <w:r w:rsidRPr="00B1045A">
        <w:rPr>
          <w:sz w:val="16"/>
        </w:rPr>
        <w:t>__________________</w:t>
      </w:r>
    </w:p>
  </w:footnote>
  <w:footnote w:type="continuationSeparator" w:id="0">
    <w:p w:rsidR="00A9042A" w:rsidRPr="00B1045A" w:rsidRDefault="00A9042A" w:rsidP="00B1045A">
      <w:pPr>
        <w:pStyle w:val="Footer"/>
        <w:spacing w:after="80"/>
        <w:ind w:left="792"/>
        <w:rPr>
          <w:sz w:val="16"/>
        </w:rPr>
      </w:pPr>
      <w:r w:rsidRPr="00B1045A">
        <w:rPr>
          <w:sz w:val="16"/>
        </w:rPr>
        <w:t>__________________</w:t>
      </w:r>
    </w:p>
  </w:footnote>
  <w:footnote w:id="1">
    <w:p w:rsidR="00B1045A" w:rsidRDefault="00B1045A" w:rsidP="00B1045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rPr>
          <w:rStyle w:val="FootnoteReference"/>
        </w:rPr>
        <w:tab/>
      </w:r>
      <w:hyperlink r:id="rId1" w:history="1">
        <w:r w:rsidRPr="003E0CBE">
          <w:rPr>
            <w:rStyle w:val="Hyperlink"/>
          </w:rPr>
          <w:t>CEDAW/C/60/1</w:t>
        </w:r>
      </w:hyperlink>
      <w:r w:rsidRPr="00B1045A">
        <w:t>.</w:t>
      </w:r>
    </w:p>
  </w:footnote>
  <w:footnote w:id="2">
    <w:p w:rsidR="00B1045A" w:rsidRDefault="00B1045A" w:rsidP="00B1045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**</w:t>
      </w:r>
      <w:r>
        <w:rPr>
          <w:rStyle w:val="FootnoteReference"/>
        </w:rPr>
        <w:tab/>
      </w:r>
      <w:r w:rsidRPr="00B1045A">
        <w:t>Настоящий документ был представлен с опозданием ввиду задержки с получением материалов из других источников.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250DF6" w:rsidTr="00250DF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50DF6" w:rsidRPr="00047983" w:rsidRDefault="00250DF6" w:rsidP="00250DF6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D00D99" w:rsidRPr="00047983">
              <w:rPr>
                <w:b/>
                <w:szCs w:val="22"/>
                <w:lang w:eastAsia="en-US"/>
              </w:rPr>
              <w:t>CEDAW/C/60/2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250DF6" w:rsidRPr="00047983" w:rsidRDefault="00250DF6" w:rsidP="00250DF6">
          <w:pPr>
            <w:pStyle w:val="Header"/>
            <w:rPr>
              <w:szCs w:val="22"/>
              <w:lang w:eastAsia="en-US"/>
            </w:rPr>
          </w:pPr>
        </w:p>
      </w:tc>
    </w:tr>
  </w:tbl>
  <w:p w:rsidR="00250DF6" w:rsidRPr="00250DF6" w:rsidRDefault="00250DF6" w:rsidP="00250D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250DF6" w:rsidTr="00250DF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50DF6" w:rsidRPr="00047983" w:rsidRDefault="00250DF6" w:rsidP="00250DF6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250DF6" w:rsidRPr="00047983" w:rsidRDefault="00250DF6" w:rsidP="00250DF6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D00D99" w:rsidRPr="00047983">
              <w:rPr>
                <w:b/>
                <w:szCs w:val="22"/>
                <w:lang w:eastAsia="en-US"/>
              </w:rPr>
              <w:t>CEDAW/C/60/2</w:t>
            </w:r>
          </w:fldSimple>
        </w:p>
      </w:tc>
    </w:tr>
  </w:tbl>
  <w:p w:rsidR="00250DF6" w:rsidRPr="00250DF6" w:rsidRDefault="00250DF6" w:rsidP="00250D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250DF6" w:rsidTr="00250DF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50DF6" w:rsidRPr="00250DF6" w:rsidRDefault="00250DF6" w:rsidP="00250DF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50DF6" w:rsidRPr="00047983" w:rsidRDefault="00250DF6" w:rsidP="00250DF6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50DF6" w:rsidRPr="00047983" w:rsidRDefault="00250DF6" w:rsidP="00250DF6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047983">
            <w:rPr>
              <w:sz w:val="40"/>
              <w:szCs w:val="22"/>
              <w:lang w:eastAsia="en-US"/>
            </w:rPr>
            <w:t>CEDAW</w:t>
          </w:r>
          <w:r w:rsidRPr="00047983">
            <w:rPr>
              <w:sz w:val="20"/>
              <w:szCs w:val="22"/>
              <w:lang w:eastAsia="en-US"/>
            </w:rPr>
            <w:t>/C/60/2</w:t>
          </w:r>
        </w:p>
      </w:tc>
    </w:tr>
    <w:tr w:rsidR="00250DF6" w:rsidRPr="001006FC" w:rsidTr="00250DF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50DF6" w:rsidRPr="00047983" w:rsidRDefault="00250DF6" w:rsidP="00250DF6">
          <w:pPr>
            <w:pStyle w:val="Header"/>
            <w:spacing w:before="109"/>
            <w:rPr>
              <w:szCs w:val="22"/>
              <w:lang w:eastAsia="en-US"/>
            </w:rPr>
          </w:pPr>
          <w:r w:rsidRPr="00047983">
            <w:rPr>
              <w:szCs w:val="22"/>
              <w:lang w:eastAsia="en-US"/>
            </w:rPr>
            <w:t xml:space="preserve"> </w:t>
          </w:r>
          <w:r w:rsidRPr="00047983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250DF6" w:rsidRPr="00047983" w:rsidRDefault="00250DF6" w:rsidP="00250DF6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50DF6" w:rsidRPr="00250DF6" w:rsidRDefault="00250DF6" w:rsidP="00250DF6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50DF6" w:rsidRPr="00047983" w:rsidRDefault="00250DF6" w:rsidP="00250DF6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50DF6" w:rsidRPr="001006FC" w:rsidRDefault="00250DF6" w:rsidP="00250DF6">
          <w:pPr>
            <w:pStyle w:val="Distribution"/>
            <w:rPr>
              <w:color w:val="000000"/>
              <w:lang w:val="en-US"/>
            </w:rPr>
          </w:pPr>
          <w:r w:rsidRPr="001006FC">
            <w:rPr>
              <w:color w:val="000000"/>
              <w:lang w:val="en-US"/>
            </w:rPr>
            <w:t>Distr.: General</w:t>
          </w:r>
        </w:p>
        <w:p w:rsidR="00250DF6" w:rsidRPr="001006FC" w:rsidRDefault="00250DF6" w:rsidP="00250DF6">
          <w:pPr>
            <w:pStyle w:val="Publication"/>
            <w:rPr>
              <w:color w:val="000000"/>
              <w:lang w:val="en-US"/>
            </w:rPr>
          </w:pPr>
          <w:r w:rsidRPr="001006FC">
            <w:rPr>
              <w:color w:val="000000"/>
              <w:lang w:val="en-US"/>
            </w:rPr>
            <w:t>16 January 2015</w:t>
          </w:r>
        </w:p>
        <w:p w:rsidR="00250DF6" w:rsidRPr="001006FC" w:rsidRDefault="00250DF6" w:rsidP="00250DF6">
          <w:pPr>
            <w:rPr>
              <w:color w:val="000000"/>
              <w:lang w:val="en-US"/>
            </w:rPr>
          </w:pPr>
          <w:r w:rsidRPr="001006FC">
            <w:rPr>
              <w:color w:val="000000"/>
              <w:lang w:val="en-US"/>
            </w:rPr>
            <w:t>Russian</w:t>
          </w:r>
        </w:p>
        <w:p w:rsidR="00250DF6" w:rsidRPr="001006FC" w:rsidRDefault="00250DF6" w:rsidP="00250DF6">
          <w:pPr>
            <w:pStyle w:val="Original"/>
            <w:rPr>
              <w:color w:val="000000"/>
              <w:lang w:val="en-US"/>
            </w:rPr>
          </w:pPr>
          <w:r w:rsidRPr="001006FC">
            <w:rPr>
              <w:color w:val="000000"/>
              <w:lang w:val="en-US"/>
            </w:rPr>
            <w:t>Original: English</w:t>
          </w:r>
        </w:p>
        <w:p w:rsidR="00250DF6" w:rsidRPr="001006FC" w:rsidRDefault="00250DF6" w:rsidP="00250DF6">
          <w:pPr>
            <w:rPr>
              <w:lang w:val="en-US"/>
            </w:rPr>
          </w:pPr>
        </w:p>
      </w:tc>
    </w:tr>
  </w:tbl>
  <w:p w:rsidR="00250DF6" w:rsidRPr="001006FC" w:rsidRDefault="00250DF6" w:rsidP="00250DF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2A0C556C"/>
    <w:multiLevelType w:val="multilevel"/>
    <w:tmpl w:val="8E4C822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00567*"/>
    <w:docVar w:name="CreationDt" w:val="12/02/2015 9:23: AM"/>
    <w:docVar w:name="DocCategory" w:val="Doc"/>
    <w:docVar w:name="DocType" w:val="Final"/>
    <w:docVar w:name="FooterJN" w:val="15-00567"/>
    <w:docVar w:name="jobn" w:val="15-00567 (R)"/>
    <w:docVar w:name="jobnDT" w:val="15-00567 (R)   120215"/>
    <w:docVar w:name="jobnDTDT" w:val="15-00567 (R)   120215   120215"/>
    <w:docVar w:name="JobNo" w:val="1500567R"/>
    <w:docVar w:name="JobNo2" w:val="1501487R"/>
    <w:docVar w:name="OandT" w:val=" "/>
    <w:docVar w:name="sss1" w:val="CEDAW/C/60/2"/>
    <w:docVar w:name="sss2" w:val="-"/>
    <w:docVar w:name="Symbol1" w:val="CEDAW/C/60/2"/>
    <w:docVar w:name="Symbol2" w:val="-"/>
  </w:docVars>
  <w:rsids>
    <w:rsidRoot w:val="001F3CAE"/>
    <w:rsid w:val="00004615"/>
    <w:rsid w:val="00004756"/>
    <w:rsid w:val="000068EB"/>
    <w:rsid w:val="00013A57"/>
    <w:rsid w:val="00024A67"/>
    <w:rsid w:val="00033C1F"/>
    <w:rsid w:val="00047983"/>
    <w:rsid w:val="000513EF"/>
    <w:rsid w:val="0005420D"/>
    <w:rsid w:val="00055EA2"/>
    <w:rsid w:val="00067A90"/>
    <w:rsid w:val="00070C37"/>
    <w:rsid w:val="000A111E"/>
    <w:rsid w:val="000B3F66"/>
    <w:rsid w:val="000B653C"/>
    <w:rsid w:val="000C67BC"/>
    <w:rsid w:val="000E4411"/>
    <w:rsid w:val="000F1ACD"/>
    <w:rsid w:val="000F5D07"/>
    <w:rsid w:val="001006FC"/>
    <w:rsid w:val="00105B0E"/>
    <w:rsid w:val="001444A3"/>
    <w:rsid w:val="0014763A"/>
    <w:rsid w:val="00153645"/>
    <w:rsid w:val="00153E8C"/>
    <w:rsid w:val="00161F29"/>
    <w:rsid w:val="00162E88"/>
    <w:rsid w:val="001726A4"/>
    <w:rsid w:val="00177361"/>
    <w:rsid w:val="001A39EE"/>
    <w:rsid w:val="001A6777"/>
    <w:rsid w:val="001C54CE"/>
    <w:rsid w:val="001D1749"/>
    <w:rsid w:val="001E25A2"/>
    <w:rsid w:val="001E61AD"/>
    <w:rsid w:val="001F3CAE"/>
    <w:rsid w:val="00211A7E"/>
    <w:rsid w:val="00217A24"/>
    <w:rsid w:val="00223C57"/>
    <w:rsid w:val="00250DF6"/>
    <w:rsid w:val="002535D8"/>
    <w:rsid w:val="00254046"/>
    <w:rsid w:val="00261386"/>
    <w:rsid w:val="00261C41"/>
    <w:rsid w:val="00264A43"/>
    <w:rsid w:val="00277697"/>
    <w:rsid w:val="002B6E2A"/>
    <w:rsid w:val="002C66D0"/>
    <w:rsid w:val="002D4606"/>
    <w:rsid w:val="002E1F79"/>
    <w:rsid w:val="002F5C45"/>
    <w:rsid w:val="002F6149"/>
    <w:rsid w:val="00304954"/>
    <w:rsid w:val="00326F5F"/>
    <w:rsid w:val="00337D91"/>
    <w:rsid w:val="00350756"/>
    <w:rsid w:val="003658B0"/>
    <w:rsid w:val="00385E6D"/>
    <w:rsid w:val="0039505F"/>
    <w:rsid w:val="003A150E"/>
    <w:rsid w:val="003C2842"/>
    <w:rsid w:val="003D0825"/>
    <w:rsid w:val="003D2003"/>
    <w:rsid w:val="003D5DA2"/>
    <w:rsid w:val="003E0CBE"/>
    <w:rsid w:val="003E5193"/>
    <w:rsid w:val="00427FE5"/>
    <w:rsid w:val="00433222"/>
    <w:rsid w:val="00436F13"/>
    <w:rsid w:val="00441061"/>
    <w:rsid w:val="004420FB"/>
    <w:rsid w:val="004504A6"/>
    <w:rsid w:val="00460D23"/>
    <w:rsid w:val="004645DD"/>
    <w:rsid w:val="00482473"/>
    <w:rsid w:val="004A7499"/>
    <w:rsid w:val="004B1314"/>
    <w:rsid w:val="004D275F"/>
    <w:rsid w:val="004D656E"/>
    <w:rsid w:val="004E6443"/>
    <w:rsid w:val="005121DC"/>
    <w:rsid w:val="00513113"/>
    <w:rsid w:val="00515869"/>
    <w:rsid w:val="00516C84"/>
    <w:rsid w:val="005214BA"/>
    <w:rsid w:val="00524A24"/>
    <w:rsid w:val="005251C4"/>
    <w:rsid w:val="00526E12"/>
    <w:rsid w:val="00533411"/>
    <w:rsid w:val="0054563F"/>
    <w:rsid w:val="005469E1"/>
    <w:rsid w:val="00552E08"/>
    <w:rsid w:val="0056579C"/>
    <w:rsid w:val="00567706"/>
    <w:rsid w:val="005734C2"/>
    <w:rsid w:val="00574AA1"/>
    <w:rsid w:val="0057633B"/>
    <w:rsid w:val="00590EDF"/>
    <w:rsid w:val="005933CB"/>
    <w:rsid w:val="005A1D01"/>
    <w:rsid w:val="005D38B6"/>
    <w:rsid w:val="005D7642"/>
    <w:rsid w:val="005E0A46"/>
    <w:rsid w:val="005E7DCF"/>
    <w:rsid w:val="005F6E5C"/>
    <w:rsid w:val="00602F9D"/>
    <w:rsid w:val="00616B8D"/>
    <w:rsid w:val="006261A6"/>
    <w:rsid w:val="0063491E"/>
    <w:rsid w:val="00635AF8"/>
    <w:rsid w:val="00646363"/>
    <w:rsid w:val="00655212"/>
    <w:rsid w:val="00657EE4"/>
    <w:rsid w:val="00674915"/>
    <w:rsid w:val="006A1698"/>
    <w:rsid w:val="006A1D06"/>
    <w:rsid w:val="006A3F10"/>
    <w:rsid w:val="006C7293"/>
    <w:rsid w:val="006F3683"/>
    <w:rsid w:val="00700738"/>
    <w:rsid w:val="00705549"/>
    <w:rsid w:val="0071210D"/>
    <w:rsid w:val="00716BC5"/>
    <w:rsid w:val="00723115"/>
    <w:rsid w:val="00724550"/>
    <w:rsid w:val="00733F72"/>
    <w:rsid w:val="00736A19"/>
    <w:rsid w:val="00745258"/>
    <w:rsid w:val="00781ACA"/>
    <w:rsid w:val="00781E18"/>
    <w:rsid w:val="00787B44"/>
    <w:rsid w:val="00795A5A"/>
    <w:rsid w:val="007B098D"/>
    <w:rsid w:val="007B1DE5"/>
    <w:rsid w:val="007B5785"/>
    <w:rsid w:val="007B5CF3"/>
    <w:rsid w:val="007C62D1"/>
    <w:rsid w:val="007C706F"/>
    <w:rsid w:val="007E0E39"/>
    <w:rsid w:val="007E2B60"/>
    <w:rsid w:val="00803EC5"/>
    <w:rsid w:val="00821CE2"/>
    <w:rsid w:val="00830FF8"/>
    <w:rsid w:val="00844407"/>
    <w:rsid w:val="00853E2A"/>
    <w:rsid w:val="008541E9"/>
    <w:rsid w:val="00856EEB"/>
    <w:rsid w:val="008776BB"/>
    <w:rsid w:val="00880540"/>
    <w:rsid w:val="0088396E"/>
    <w:rsid w:val="008A1A7A"/>
    <w:rsid w:val="008B08A3"/>
    <w:rsid w:val="008B709D"/>
    <w:rsid w:val="008C2A03"/>
    <w:rsid w:val="008C6372"/>
    <w:rsid w:val="008D0CE3"/>
    <w:rsid w:val="008F12FD"/>
    <w:rsid w:val="008F13EA"/>
    <w:rsid w:val="00904F3C"/>
    <w:rsid w:val="009054D3"/>
    <w:rsid w:val="00907EDB"/>
    <w:rsid w:val="009110C5"/>
    <w:rsid w:val="00915944"/>
    <w:rsid w:val="009327BF"/>
    <w:rsid w:val="00935F33"/>
    <w:rsid w:val="0094745A"/>
    <w:rsid w:val="0095649D"/>
    <w:rsid w:val="00980B30"/>
    <w:rsid w:val="00984EE4"/>
    <w:rsid w:val="00985F5D"/>
    <w:rsid w:val="0099354F"/>
    <w:rsid w:val="009B3444"/>
    <w:rsid w:val="009B5DCD"/>
    <w:rsid w:val="009D3D22"/>
    <w:rsid w:val="009D6E3D"/>
    <w:rsid w:val="009E4B2C"/>
    <w:rsid w:val="009F0808"/>
    <w:rsid w:val="00A14F1D"/>
    <w:rsid w:val="00A1703F"/>
    <w:rsid w:val="00A63339"/>
    <w:rsid w:val="00A9042A"/>
    <w:rsid w:val="00A90F41"/>
    <w:rsid w:val="00A9600A"/>
    <w:rsid w:val="00A96C80"/>
    <w:rsid w:val="00AA0ABF"/>
    <w:rsid w:val="00AA27C2"/>
    <w:rsid w:val="00AA7EDC"/>
    <w:rsid w:val="00AC6FF3"/>
    <w:rsid w:val="00AD6322"/>
    <w:rsid w:val="00AD78B1"/>
    <w:rsid w:val="00AF0B91"/>
    <w:rsid w:val="00B1045A"/>
    <w:rsid w:val="00B33139"/>
    <w:rsid w:val="00B5129B"/>
    <w:rsid w:val="00B56376"/>
    <w:rsid w:val="00B606B7"/>
    <w:rsid w:val="00B77FC0"/>
    <w:rsid w:val="00B96DBF"/>
    <w:rsid w:val="00BB052D"/>
    <w:rsid w:val="00BB1F92"/>
    <w:rsid w:val="00BB5B7F"/>
    <w:rsid w:val="00BD2F16"/>
    <w:rsid w:val="00BE448A"/>
    <w:rsid w:val="00BE531D"/>
    <w:rsid w:val="00BF3D60"/>
    <w:rsid w:val="00BF5FCB"/>
    <w:rsid w:val="00C03D4A"/>
    <w:rsid w:val="00C16B93"/>
    <w:rsid w:val="00C2210E"/>
    <w:rsid w:val="00C2524E"/>
    <w:rsid w:val="00C32802"/>
    <w:rsid w:val="00C40B0B"/>
    <w:rsid w:val="00C45E7F"/>
    <w:rsid w:val="00C60105"/>
    <w:rsid w:val="00C623BF"/>
    <w:rsid w:val="00C70D59"/>
    <w:rsid w:val="00C7432F"/>
    <w:rsid w:val="00C77473"/>
    <w:rsid w:val="00C83D7A"/>
    <w:rsid w:val="00C97417"/>
    <w:rsid w:val="00CA2CF3"/>
    <w:rsid w:val="00CB519E"/>
    <w:rsid w:val="00CC4E88"/>
    <w:rsid w:val="00CC5B37"/>
    <w:rsid w:val="00CD2ED3"/>
    <w:rsid w:val="00CD3C62"/>
    <w:rsid w:val="00CF021B"/>
    <w:rsid w:val="00CF066B"/>
    <w:rsid w:val="00CF07BE"/>
    <w:rsid w:val="00D00D99"/>
    <w:rsid w:val="00D028FF"/>
    <w:rsid w:val="00D05963"/>
    <w:rsid w:val="00D1470E"/>
    <w:rsid w:val="00D20AA4"/>
    <w:rsid w:val="00D30B39"/>
    <w:rsid w:val="00D434AF"/>
    <w:rsid w:val="00D61BB7"/>
    <w:rsid w:val="00D7165D"/>
    <w:rsid w:val="00D75705"/>
    <w:rsid w:val="00D961D6"/>
    <w:rsid w:val="00D97B17"/>
    <w:rsid w:val="00DA1A4A"/>
    <w:rsid w:val="00DC1E7E"/>
    <w:rsid w:val="00DC7A5F"/>
    <w:rsid w:val="00DD6A66"/>
    <w:rsid w:val="00DF1CF0"/>
    <w:rsid w:val="00E04C73"/>
    <w:rsid w:val="00E079A3"/>
    <w:rsid w:val="00E13F88"/>
    <w:rsid w:val="00E15D7D"/>
    <w:rsid w:val="00E17234"/>
    <w:rsid w:val="00E261F5"/>
    <w:rsid w:val="00E6111E"/>
    <w:rsid w:val="00E616D0"/>
    <w:rsid w:val="00E62CCE"/>
    <w:rsid w:val="00E65C07"/>
    <w:rsid w:val="00E8225E"/>
    <w:rsid w:val="00E90547"/>
    <w:rsid w:val="00E970B0"/>
    <w:rsid w:val="00EA1656"/>
    <w:rsid w:val="00EA1819"/>
    <w:rsid w:val="00EB646E"/>
    <w:rsid w:val="00EC6F5D"/>
    <w:rsid w:val="00EF1FBD"/>
    <w:rsid w:val="00F07DDF"/>
    <w:rsid w:val="00F16256"/>
    <w:rsid w:val="00F231E8"/>
    <w:rsid w:val="00F33544"/>
    <w:rsid w:val="00F35ACF"/>
    <w:rsid w:val="00F624BD"/>
    <w:rsid w:val="00F62A5E"/>
    <w:rsid w:val="00F74A39"/>
    <w:rsid w:val="00F85203"/>
    <w:rsid w:val="00F92676"/>
    <w:rsid w:val="00F94262"/>
    <w:rsid w:val="00F9554E"/>
    <w:rsid w:val="00F979A8"/>
    <w:rsid w:val="00FA1B93"/>
    <w:rsid w:val="00FA3186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250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DF6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250DF6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D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0DF6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paragraph" w:customStyle="1" w:styleId="HChG">
    <w:name w:val="_ H _Ch_G"/>
    <w:basedOn w:val="Normal"/>
    <w:next w:val="Normal"/>
    <w:rsid w:val="00B1045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B1045A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B1045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B1045A"/>
    <w:rPr>
      <w:rFonts w:ascii="Times New Roman" w:eastAsia="Times New Roman" w:hAnsi="Times New Roman" w:cs="Times New Roman"/>
      <w:b/>
      <w:sz w:val="24"/>
      <w:lang w:val="en-GB"/>
    </w:rPr>
  </w:style>
  <w:style w:type="character" w:customStyle="1" w:styleId="SingleTxtGChar">
    <w:name w:val="_ Single Txt_G Char"/>
    <w:link w:val="SingleTxtG"/>
    <w:rsid w:val="00B1045A"/>
    <w:rPr>
      <w:rFonts w:ascii="Times New Roman" w:eastAsia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3E0CBE"/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CB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E0CBE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Hyperlink">
    <w:name w:val="Hyperlink"/>
    <w:uiPriority w:val="99"/>
    <w:unhideWhenUsed/>
    <w:rsid w:val="003E0CBE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3E0CBE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CEDAW/C/60/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20</Pages>
  <Words>6514</Words>
  <Characters>42214</Characters>
  <Application>Microsoft Office Outlook</Application>
  <DocSecurity>4</DocSecurity>
  <Lines>959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48496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http://undocs.org/ru/CEDAW/C/60/1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Nina Mouslikova</dc:creator>
  <cp:keywords/>
  <cp:lastModifiedBy>Nina Mouslikova</cp:lastModifiedBy>
  <cp:revision>9</cp:revision>
  <cp:lastPrinted>2015-02-12T09:59:00Z</cp:lastPrinted>
  <dcterms:created xsi:type="dcterms:W3CDTF">2015-02-12T09:35:00Z</dcterms:created>
  <dcterms:modified xsi:type="dcterms:W3CDTF">2015-02-12T09:59:00Z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1500567R</vt:lpwstr>
  </property>
  <property fmtid="{D5CDD505-2E9C-101B-9397-08002B2CF9AE}" pid="3" name="ODSRefJobNo">
    <vt:lpwstr>1501487R</vt:lpwstr>
  </property>
  <property fmtid="{D5CDD505-2E9C-101B-9397-08002B2CF9AE}" pid="4" name="Symbol1">
    <vt:lpwstr>CEDAW/C/60/2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16 January 2015</vt:lpwstr>
  </property>
  <property fmtid="{D5CDD505-2E9C-101B-9397-08002B2CF9AE}" pid="9" name="Original">
    <vt:lpwstr>English</vt:lpwstr>
  </property>
  <property fmtid="{D5CDD505-2E9C-101B-9397-08002B2CF9AE}" pid="10" name="Release Date">
    <vt:lpwstr>120215</vt:lpwstr>
  </property>
  <property fmtid="{D5CDD505-2E9C-101B-9397-08002B2CF9AE}" pid="11" name="Comment">
    <vt:lpwstr/>
  </property>
  <property fmtid="{D5CDD505-2E9C-101B-9397-08002B2CF9AE}" pid="12" name="DraftPages">
    <vt:lpwstr>20</vt:lpwstr>
  </property>
  <property fmtid="{D5CDD505-2E9C-101B-9397-08002B2CF9AE}" pid="13" name="Operator">
    <vt:lpwstr>Mouslikova</vt:lpwstr>
  </property>
</Properties>
</file>