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97BDF1E" w14:textId="77777777" w:rsidTr="00BF2178">
        <w:trPr>
          <w:trHeight w:hRule="exact" w:val="851"/>
        </w:trPr>
        <w:tc>
          <w:tcPr>
            <w:tcW w:w="1280" w:type="dxa"/>
            <w:tcBorders>
              <w:bottom w:val="single" w:sz="4" w:space="0" w:color="auto"/>
            </w:tcBorders>
          </w:tcPr>
          <w:p w14:paraId="4734516A" w14:textId="77777777" w:rsidR="002D5AAC" w:rsidRDefault="002D5AAC" w:rsidP="00BF2178">
            <w:pPr>
              <w:pStyle w:val="Sinespaciado"/>
              <w:kinsoku w:val="0"/>
              <w:overflowPunct w:val="0"/>
              <w:autoSpaceDE w:val="0"/>
              <w:autoSpaceDN w:val="0"/>
              <w:adjustRightInd w:val="0"/>
              <w:snapToGrid w:val="0"/>
            </w:pPr>
          </w:p>
        </w:tc>
        <w:tc>
          <w:tcPr>
            <w:tcW w:w="2273" w:type="dxa"/>
            <w:tcBorders>
              <w:bottom w:val="single" w:sz="4" w:space="0" w:color="auto"/>
            </w:tcBorders>
            <w:vAlign w:val="bottom"/>
          </w:tcPr>
          <w:p w14:paraId="3D243410" w14:textId="77777777"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30EE1A83" w14:textId="77777777" w:rsidR="002D5AAC" w:rsidRDefault="00BF2178" w:rsidP="00BF2178">
            <w:pPr>
              <w:jc w:val="right"/>
            </w:pPr>
            <w:r w:rsidRPr="00BF2178">
              <w:rPr>
                <w:sz w:val="40"/>
              </w:rPr>
              <w:t>CRC</w:t>
            </w:r>
            <w:r>
              <w:t>/C/GC/25</w:t>
            </w:r>
          </w:p>
        </w:tc>
      </w:tr>
      <w:tr w:rsidR="002D5AAC" w14:paraId="26F9E552" w14:textId="77777777" w:rsidTr="00BF2178">
        <w:trPr>
          <w:trHeight w:hRule="exact" w:val="2835"/>
        </w:trPr>
        <w:tc>
          <w:tcPr>
            <w:tcW w:w="1280" w:type="dxa"/>
            <w:tcBorders>
              <w:top w:val="single" w:sz="4" w:space="0" w:color="auto"/>
              <w:bottom w:val="single" w:sz="12" w:space="0" w:color="auto"/>
            </w:tcBorders>
          </w:tcPr>
          <w:p w14:paraId="602B5F55" w14:textId="77777777" w:rsidR="002D5AAC" w:rsidRDefault="007D431B" w:rsidP="007F3812">
            <w:pPr>
              <w:spacing w:before="120"/>
              <w:jc w:val="center"/>
            </w:pPr>
            <w:r>
              <w:rPr>
                <w:noProof/>
              </w:rPr>
              <w:drawing>
                <wp:inline distT="0" distB="0" distL="0" distR="0" wp14:anchorId="74F16604" wp14:editId="6BE39CF0">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7AF52D1F" w14:textId="77777777"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14:paraId="2AD0F806" w14:textId="77777777" w:rsidR="002D5AAC" w:rsidRDefault="00BF2178" w:rsidP="007F3812">
            <w:pPr>
              <w:spacing w:before="240"/>
            </w:pPr>
            <w:r>
              <w:t>Distr. general</w:t>
            </w:r>
          </w:p>
          <w:p w14:paraId="2DC7B81A" w14:textId="77777777" w:rsidR="00BF2178" w:rsidRDefault="00BF2178" w:rsidP="00BF2178">
            <w:pPr>
              <w:spacing w:line="240" w:lineRule="exact"/>
            </w:pPr>
            <w:r>
              <w:t>2 de marzo de 2021</w:t>
            </w:r>
          </w:p>
          <w:p w14:paraId="61EE8094" w14:textId="77777777" w:rsidR="00BF2178" w:rsidRDefault="00BF2178" w:rsidP="00BF2178">
            <w:pPr>
              <w:spacing w:line="240" w:lineRule="exact"/>
            </w:pPr>
            <w:r>
              <w:t>Español</w:t>
            </w:r>
          </w:p>
          <w:p w14:paraId="15C7A461" w14:textId="77777777" w:rsidR="00BF2178" w:rsidRDefault="00BF2178" w:rsidP="00BF2178">
            <w:pPr>
              <w:spacing w:line="240" w:lineRule="exact"/>
            </w:pPr>
            <w:r>
              <w:t>Original: inglés</w:t>
            </w:r>
          </w:p>
        </w:tc>
      </w:tr>
    </w:tbl>
    <w:p w14:paraId="5BDF4A96" w14:textId="77777777" w:rsidR="00BF2178" w:rsidRPr="00BF2178" w:rsidRDefault="00BF2178" w:rsidP="00BF2178">
      <w:pPr>
        <w:spacing w:before="120"/>
        <w:rPr>
          <w:b/>
          <w:bCs/>
          <w:sz w:val="24"/>
          <w:szCs w:val="24"/>
        </w:rPr>
      </w:pPr>
      <w:r w:rsidRPr="00BF2178">
        <w:rPr>
          <w:b/>
          <w:bCs/>
          <w:sz w:val="24"/>
          <w:szCs w:val="24"/>
        </w:rPr>
        <w:t>Comité de los Derechos del Niño</w:t>
      </w:r>
    </w:p>
    <w:p w14:paraId="203D477E" w14:textId="77777777" w:rsidR="00BF2178" w:rsidRPr="00BF2178" w:rsidRDefault="00BF2178" w:rsidP="00BF2178">
      <w:pPr>
        <w:pStyle w:val="HChG"/>
      </w:pPr>
      <w:r>
        <w:tab/>
      </w:r>
      <w:r w:rsidRPr="00BF2178">
        <w:tab/>
        <w:t>Observación general núm. 25 (2021) relativa a los derechos</w:t>
      </w:r>
      <w:r>
        <w:t> </w:t>
      </w:r>
      <w:r w:rsidRPr="00BF2178">
        <w:t>de los niños en relación con el entorno digital</w:t>
      </w:r>
    </w:p>
    <w:p w14:paraId="69EC6EEF" w14:textId="77777777" w:rsidR="00BF2178" w:rsidRPr="00BF2178" w:rsidRDefault="00BF2178" w:rsidP="00BF2178">
      <w:pPr>
        <w:pStyle w:val="HChG"/>
      </w:pPr>
      <w:r>
        <w:tab/>
      </w:r>
      <w:r w:rsidRPr="00BF2178">
        <w:t>I.</w:t>
      </w:r>
      <w:r w:rsidRPr="00BF2178">
        <w:tab/>
        <w:t>Introducción</w:t>
      </w:r>
    </w:p>
    <w:p w14:paraId="2E68AF93" w14:textId="77777777" w:rsidR="00BF2178" w:rsidRPr="00BF2178" w:rsidRDefault="00BF2178" w:rsidP="00BF2178">
      <w:pPr>
        <w:pStyle w:val="SingleTxtG"/>
      </w:pPr>
      <w:r w:rsidRPr="00BF2178">
        <w:t>1.</w:t>
      </w:r>
      <w:r w:rsidRPr="00BF2178">
        <w:tab/>
        <w:t xml:space="preserve">Los niños consultados para la presente observación general señalaron que las tecnologías digitales eran esenciales para su vida actual y para su futuro: </w:t>
      </w:r>
      <w:r w:rsidR="006271D9">
        <w:t>“</w:t>
      </w:r>
      <w:r w:rsidRPr="00BF2178">
        <w:t>Por medio de la tecnología digital, podemos obtener información de todas partes del mundo</w:t>
      </w:r>
      <w:r w:rsidR="006271D9">
        <w:t>”</w:t>
      </w:r>
      <w:r w:rsidRPr="00BF2178">
        <w:t xml:space="preserve">; </w:t>
      </w:r>
      <w:r w:rsidR="006271D9">
        <w:t>“</w:t>
      </w:r>
      <w:r w:rsidRPr="00BF2178">
        <w:t>[La tecnología digital] me permitió conocer aspectos importantes de mi propia identificación personal</w:t>
      </w:r>
      <w:r w:rsidR="006271D9">
        <w:t>”</w:t>
      </w:r>
      <w:r w:rsidRPr="00BF2178">
        <w:t xml:space="preserve">; </w:t>
      </w:r>
      <w:r w:rsidR="006271D9">
        <w:t>“</w:t>
      </w:r>
      <w:r w:rsidRPr="00BF2178">
        <w:t>Cuando estás triste, Internet puede ayudarte a ver cosas que te alegran</w:t>
      </w:r>
      <w:r w:rsidR="006271D9">
        <w:t>”</w:t>
      </w:r>
      <w:r w:rsidRPr="00BF2178">
        <w:rPr>
          <w:sz w:val="18"/>
          <w:szCs w:val="18"/>
          <w:vertAlign w:val="superscript"/>
        </w:rPr>
        <w:footnoteReference w:id="1"/>
      </w:r>
      <w:r w:rsidRPr="00BF2178">
        <w:t>.</w:t>
      </w:r>
    </w:p>
    <w:p w14:paraId="012471B3" w14:textId="77777777" w:rsidR="00BF2178" w:rsidRPr="00BF2178" w:rsidRDefault="00BF2178" w:rsidP="00BF2178">
      <w:pPr>
        <w:pStyle w:val="SingleTxtG"/>
      </w:pPr>
      <w:r w:rsidRPr="00BF2178">
        <w:t>2.</w:t>
      </w:r>
      <w:r w:rsidRPr="00BF2178">
        <w:tab/>
        <w:t>El entorno digital está en constante evolución y expansión, y abarca las tecnologías de la información y las comunicaciones, incluidas las redes, los contenidos, los servicios y las aplicaciones digitales, los dispositivos y entornos conectados, la realidad virtual y aumentada, la inteligencia artificial, la robótica, los sistemas automatizados, los algoritmos y el análisis de datos, la biometría y la tecnología de implantes</w:t>
      </w:r>
      <w:r w:rsidRPr="00BF2178">
        <w:rPr>
          <w:sz w:val="18"/>
          <w:szCs w:val="18"/>
          <w:vertAlign w:val="superscript"/>
        </w:rPr>
        <w:footnoteReference w:id="2"/>
      </w:r>
      <w:r w:rsidRPr="00BF2178">
        <w:t>.</w:t>
      </w:r>
    </w:p>
    <w:p w14:paraId="6E2A8497" w14:textId="77777777" w:rsidR="00BF2178" w:rsidRPr="00BF2178" w:rsidRDefault="00BF2178" w:rsidP="00BF2178">
      <w:pPr>
        <w:pStyle w:val="SingleTxtG"/>
      </w:pPr>
      <w:r w:rsidRPr="00BF2178">
        <w:t>3.</w:t>
      </w:r>
      <w:r w:rsidRPr="00BF2178">
        <w:tab/>
        <w:t xml:space="preserve">El entorno digital reviste una creciente importancia para casi todos los aspectos de la vida de los niños, entre otras situaciones en tiempos de crisis, puesto que las funciones sociales, como la educación, los servicios gubernamentales y el comercio, dependen cada vez más de las tecnologías digitales. Ofrece nuevas oportunidades para hacer efectivos los derechos de los niños, aunque también plantea riesgos relacionados con su violación o abuso. Durante las consultas, los niños opinaron que el entorno digital debía apoyar, promover y proteger su participación segura y equitativa: </w:t>
      </w:r>
      <w:r w:rsidR="006271D9">
        <w:t>“</w:t>
      </w:r>
      <w:r w:rsidRPr="00BF2178">
        <w:t>Nos gustaría que el gobierno, las empresas de tecnología y los maestros nos ayudaran a gestionar la información no fiable en línea.</w:t>
      </w:r>
      <w:r w:rsidR="006271D9">
        <w:t>”</w:t>
      </w:r>
      <w:r w:rsidRPr="00BF2178">
        <w:t xml:space="preserve">; </w:t>
      </w:r>
      <w:r w:rsidR="006271D9">
        <w:t>“</w:t>
      </w:r>
      <w:r w:rsidRPr="00BF2178">
        <w:t>Me gustaría conocer mejor lo que ocurre realmente con mis datos... ¿Por qué y de qué forma se reúnen?</w:t>
      </w:r>
      <w:r w:rsidR="006271D9">
        <w:t>”</w:t>
      </w:r>
      <w:r w:rsidRPr="00BF2178">
        <w:t xml:space="preserve">; </w:t>
      </w:r>
      <w:r w:rsidR="006271D9">
        <w:t>“</w:t>
      </w:r>
      <w:r w:rsidRPr="00BF2178">
        <w:t>Me</w:t>
      </w:r>
      <w:r w:rsidR="00E5553D">
        <w:t>...</w:t>
      </w:r>
      <w:r w:rsidRPr="00BF2178">
        <w:t xml:space="preserve"> preocupa que se difundan mis datos</w:t>
      </w:r>
      <w:r w:rsidR="006271D9">
        <w:t>”</w:t>
      </w:r>
      <w:r w:rsidRPr="00BF2178">
        <w:rPr>
          <w:sz w:val="18"/>
          <w:szCs w:val="18"/>
          <w:vertAlign w:val="superscript"/>
        </w:rPr>
        <w:footnoteReference w:id="3"/>
      </w:r>
      <w:r w:rsidRPr="00BF2178">
        <w:t>.</w:t>
      </w:r>
    </w:p>
    <w:p w14:paraId="702D8745" w14:textId="77777777" w:rsidR="00BF2178" w:rsidRPr="00BF2178" w:rsidDel="00F326C8" w:rsidRDefault="00BF2178" w:rsidP="00BF2178">
      <w:pPr>
        <w:pStyle w:val="SingleTxtG"/>
      </w:pPr>
      <w:r w:rsidRPr="00BF2178">
        <w:t>4.</w:t>
      </w:r>
      <w:r w:rsidRPr="00BF2178">
        <w:tab/>
        <w:t>Los derechos de todos los niños deben respetarse, protegerse y hacerse efectivos en el entorno digital. Las innovaciones en las tecnologías digitales tienen consecuencias de carácter amplio e interdependiente para la vida de los niños y para sus derechos, incluso cuando los propios niños no tienen acceso a Internet. La posibilidad de acceder a las tecnologías digitales de forma provechosa puede ayudar a los niños a ejercer efectivamente toda la gama de sus derechos civiles, políticos, culturales, económicos y sociales. Sin embargo, si no se logra la inclusión digital, es probable que aumenten las desigualdades existentes y que surjan otras nuevas.</w:t>
      </w:r>
    </w:p>
    <w:p w14:paraId="1DAB5589" w14:textId="77777777" w:rsidR="00BF2178" w:rsidRPr="00BF2178" w:rsidRDefault="00BF2178" w:rsidP="00BF2178">
      <w:pPr>
        <w:pStyle w:val="SingleTxtG"/>
      </w:pPr>
      <w:r w:rsidRPr="00BF2178">
        <w:lastRenderedPageBreak/>
        <w:t>5.</w:t>
      </w:r>
      <w:r w:rsidRPr="00BF2178">
        <w:tab/>
        <w:t>La presente observación general se basa en la experiencia adquirida por el Comité en su examen de los informes de los Estados partes; su día de debate general sobre los medios digitales y los derechos del niño; la jurisprudencia de los órganos creados en virtud de tratados de derechos humanos; las recomendaciones del Consejo de Derechos Humanos y los procedimientos especiales del Consejo; dos rondas de consultas con Estados, expertos y otros interesados sobre la nota conceptual y el proyecto de texto avanzado; y una consulta internacional con 709 niños que viven en muy distintas circunstancias en 28 países de varias regiones.</w:t>
      </w:r>
    </w:p>
    <w:p w14:paraId="50FD18CC" w14:textId="77777777" w:rsidR="00BF2178" w:rsidRPr="00BF2178" w:rsidRDefault="00BF2178" w:rsidP="00BF2178">
      <w:pPr>
        <w:pStyle w:val="SingleTxtG"/>
      </w:pPr>
      <w:r w:rsidRPr="00BF2178">
        <w:t>6.</w:t>
      </w:r>
      <w:r w:rsidRPr="00BF2178">
        <w:tab/>
        <w:t>La presente observación general debe leerse juntamente con otras observaciones generales pertinentes del Comité y con sus directrices relativas a la aplicación del Protocolo Facultativo de la Convención relativo a la venta de niños, la prostitución infantil y la utilización de niños en la pornografía.</w:t>
      </w:r>
    </w:p>
    <w:p w14:paraId="18AD3483" w14:textId="77777777" w:rsidR="00BF2178" w:rsidRPr="00BF2178" w:rsidRDefault="00BF2178" w:rsidP="00BF2178">
      <w:pPr>
        <w:pStyle w:val="HChG"/>
      </w:pPr>
      <w:bookmarkStart w:id="0" w:name="_Toc47967787"/>
      <w:r>
        <w:tab/>
      </w:r>
      <w:r w:rsidRPr="00BF2178">
        <w:t>II.</w:t>
      </w:r>
      <w:r w:rsidRPr="00BF2178">
        <w:tab/>
        <w:t>Objetivo</w:t>
      </w:r>
      <w:bookmarkEnd w:id="0"/>
    </w:p>
    <w:p w14:paraId="47C4365E" w14:textId="77777777" w:rsidR="00BF2178" w:rsidRPr="00BF2178" w:rsidRDefault="00BF2178" w:rsidP="00BF2178">
      <w:pPr>
        <w:pStyle w:val="SingleTxtG"/>
      </w:pPr>
      <w:r w:rsidRPr="00BF2178">
        <w:t>7.</w:t>
      </w:r>
      <w:r w:rsidRPr="00BF2178">
        <w:tab/>
        <w:t>En la presente observación general, el Comité explica la forma en que los Estados partes deben aplicar la Convención en relación con el entorno digital y ofrece orientación sobre las medidas legislativas, normativas y de otra índole pertinentes destinadas a garantizar el pleno cumplimiento de las obligaciones contraídas en virtud de la Convención y sus Protocolos Facultativos, habida cuenta de las oportunidades, los riesgos y los desafíos que plantean la promoción, el respeto, la protección y el ejercicio efectivo de todos los derechos de los niños en el entorno digital.</w:t>
      </w:r>
    </w:p>
    <w:p w14:paraId="4D669781" w14:textId="77777777" w:rsidR="00BF2178" w:rsidRPr="00BF2178" w:rsidRDefault="00BF2178" w:rsidP="00BF2178">
      <w:pPr>
        <w:pStyle w:val="HChG"/>
      </w:pPr>
      <w:bookmarkStart w:id="1" w:name="_Toc42783084"/>
      <w:bookmarkStart w:id="2" w:name="_Toc42783088"/>
      <w:bookmarkStart w:id="3" w:name="_Toc42783090"/>
      <w:bookmarkStart w:id="4" w:name="_Toc42783091"/>
      <w:bookmarkStart w:id="5" w:name="_Toc36165134"/>
      <w:bookmarkStart w:id="6" w:name="_Toc47967788"/>
      <w:bookmarkEnd w:id="1"/>
      <w:bookmarkEnd w:id="2"/>
      <w:bookmarkEnd w:id="3"/>
      <w:bookmarkEnd w:id="4"/>
      <w:bookmarkEnd w:id="5"/>
      <w:r>
        <w:tab/>
      </w:r>
      <w:r w:rsidRPr="00BF2178">
        <w:t>III.</w:t>
      </w:r>
      <w:r w:rsidRPr="00BF2178">
        <w:tab/>
        <w:t>Principios generales</w:t>
      </w:r>
      <w:bookmarkEnd w:id="6"/>
    </w:p>
    <w:p w14:paraId="73CF0428" w14:textId="77777777" w:rsidR="00BF2178" w:rsidRPr="00BF2178" w:rsidRDefault="00BF2178" w:rsidP="00BF2178">
      <w:pPr>
        <w:pStyle w:val="SingleTxtG"/>
      </w:pPr>
      <w:r w:rsidRPr="00BF2178">
        <w:t>8.</w:t>
      </w:r>
      <w:r w:rsidRPr="00BF2178">
        <w:tab/>
        <w:t>Los cuatro principios descritos a continuación proporcionan una lente a través de la que debe considerarse el ejercicio de todos los demás derechos previstos en la Convención. Deben servir de guía a la hora de determinar las medidas necesarias para garantizar la efectividad de los derechos de los niños en relación con el entorno digital.</w:t>
      </w:r>
    </w:p>
    <w:p w14:paraId="67DF59A1" w14:textId="77777777" w:rsidR="00BF2178" w:rsidRPr="00BF2178" w:rsidRDefault="00BF2178" w:rsidP="00BF2178">
      <w:pPr>
        <w:pStyle w:val="H1G"/>
      </w:pPr>
      <w:bookmarkStart w:id="7" w:name="_Toc47967789"/>
      <w:r w:rsidRPr="00BF2178">
        <w:tab/>
        <w:t>A.</w:t>
      </w:r>
      <w:r w:rsidRPr="00BF2178">
        <w:tab/>
        <w:t>No discriminación</w:t>
      </w:r>
      <w:bookmarkEnd w:id="7"/>
    </w:p>
    <w:p w14:paraId="7E7E734A" w14:textId="77777777" w:rsidR="00BF2178" w:rsidRPr="00BF2178" w:rsidRDefault="00BF2178" w:rsidP="00BF2178">
      <w:pPr>
        <w:pStyle w:val="SingleTxtG"/>
      </w:pPr>
      <w:r w:rsidRPr="00BF2178">
        <w:t>9.</w:t>
      </w:r>
      <w:r w:rsidRPr="00BF2178">
        <w:tab/>
        <w:t>El derecho a la no discriminación exige que los Estados partes se aseguren de que todos los niños tengan acceso equitativo y efectivo al entorno digital de manera beneficiosa para ellos</w:t>
      </w:r>
      <w:r w:rsidRPr="00BF2178">
        <w:rPr>
          <w:sz w:val="18"/>
          <w:szCs w:val="18"/>
          <w:vertAlign w:val="superscript"/>
        </w:rPr>
        <w:footnoteReference w:id="4"/>
      </w:r>
      <w:r w:rsidRPr="00BF2178">
        <w:t>. Los Estados partes deben adoptar todas las medidas necesarias para evitar la exclusión digital. Esto incluye proporcionar acceso gratuito y seguro a los niños en lugares públicos específicos e invertir en políticas y programas que apoyen el acceso asequible de todos los niños a las tecnologías digitales y su utilización informada en los entornos educativos, las comunidades y los hogares.</w:t>
      </w:r>
    </w:p>
    <w:p w14:paraId="5419DD1C" w14:textId="77777777" w:rsidR="00BF2178" w:rsidRPr="00BF2178" w:rsidRDefault="00BF2178" w:rsidP="00BF2178">
      <w:pPr>
        <w:pStyle w:val="SingleTxtG"/>
      </w:pPr>
      <w:r w:rsidRPr="00BF2178">
        <w:t>10.</w:t>
      </w:r>
      <w:r w:rsidRPr="00BF2178">
        <w:tab/>
        <w:t>Los niños pueden sufrir discriminación si son excluidos del uso de las tecnologías y los servicios digitales o si reciben comunicaciones que transmiten odio o un trato injusto cuando utilizan esas tecnologías. Otras formas de discriminación pueden surgir cuando los procesos automatizados que dan lugar al filtrado de información, la elaboración de perfiles o la adopción de decisiones se basan en datos sesgados, parciales o injustamente obtenidos sobre un niño.</w:t>
      </w:r>
    </w:p>
    <w:p w14:paraId="7F44657E" w14:textId="77777777" w:rsidR="00BF2178" w:rsidRPr="00BF2178" w:rsidRDefault="00BF2178" w:rsidP="00BF2178">
      <w:pPr>
        <w:pStyle w:val="SingleTxtG"/>
      </w:pPr>
      <w:r w:rsidRPr="00BF2178">
        <w:t>11.</w:t>
      </w:r>
      <w:r w:rsidRPr="00BF2178">
        <w:tab/>
        <w:t xml:space="preserve">El Comité exhorta a los Estados partes a que adopten medidas proactivas para prevenir la discriminación por motivos de sexo, discapacidad, situación socioeconómica, origen étnico o nacional, idioma o cualquier otro motivo, así como la discriminación contra los niños pertenecientes a minorías y los niños indígenas, los niños solicitantes de asilo, refugiados y migrantes, aquellos con orientación sexual lesbiana, gay, bisexual, transexual e intersexual, los que son víctimas y supervivientes de la trata o la explotación sexual, los que están acogidos en modalidades alternativas de cuidado, los privados de libertad y los que se encuentran en otras situaciones de vulnerabilidad. Se necesitarán medidas específicas para </w:t>
      </w:r>
      <w:bookmarkStart w:id="8" w:name="_GoBack"/>
      <w:bookmarkEnd w:id="8"/>
      <w:r w:rsidRPr="00BF2178">
        <w:lastRenderedPageBreak/>
        <w:t>cerrar la brecha digital relacionada con el género en el caso de las niñas y para garantizar que se preste especial atención al acceso, la alfabetización digital, la privacidad y la seguridad en línea.</w:t>
      </w:r>
    </w:p>
    <w:p w14:paraId="7DF6894E" w14:textId="77777777" w:rsidR="00BF2178" w:rsidRPr="00BF2178" w:rsidRDefault="00BF2178" w:rsidP="00BF2178">
      <w:pPr>
        <w:pStyle w:val="H1G"/>
      </w:pPr>
      <w:bookmarkStart w:id="9" w:name="_Toc47967790"/>
      <w:r w:rsidRPr="00BF2178">
        <w:tab/>
        <w:t>B.</w:t>
      </w:r>
      <w:r w:rsidRPr="00BF2178">
        <w:tab/>
        <w:t xml:space="preserve">Interés superior del niño </w:t>
      </w:r>
      <w:bookmarkEnd w:id="9"/>
    </w:p>
    <w:p w14:paraId="75FE8352" w14:textId="77777777" w:rsidR="00BF2178" w:rsidRPr="00BF2178" w:rsidRDefault="00BF2178" w:rsidP="00BF2178">
      <w:pPr>
        <w:pStyle w:val="SingleTxtG"/>
      </w:pPr>
      <w:r w:rsidRPr="00BF2178">
        <w:t>12.</w:t>
      </w:r>
      <w:r w:rsidRPr="00BF2178">
        <w:tab/>
        <w:t>El interés superior del niño es un concepto dinámico que debe evaluarse adecuadamente en cada contexto</w:t>
      </w:r>
      <w:r w:rsidRPr="00BF2178">
        <w:rPr>
          <w:sz w:val="18"/>
          <w:szCs w:val="18"/>
          <w:vertAlign w:val="superscript"/>
        </w:rPr>
        <w:footnoteReference w:id="5"/>
      </w:r>
      <w:r w:rsidRPr="00BF2178">
        <w:t>. El entorno digital no fue diseñado en un principio para los niños y, sin embargo, desempeña un papel importante en su vida. Los Estados partes deben cerciorarse de que, en todas las actuaciones relativas al suministro, la regulación, el diseño, la gestión y la utilización del entorno digital, el interés superior de todos los niños sea una consideración primordial.</w:t>
      </w:r>
    </w:p>
    <w:p w14:paraId="4000E915" w14:textId="77777777" w:rsidR="00BF2178" w:rsidRPr="00BF2178" w:rsidRDefault="00BF2178" w:rsidP="00BF2178">
      <w:pPr>
        <w:pStyle w:val="SingleTxtG"/>
      </w:pPr>
      <w:r w:rsidRPr="00BF2178">
        <w:t>13.</w:t>
      </w:r>
      <w:r w:rsidRPr="00BF2178">
        <w:tab/>
        <w:t>En esas actividades, los Estados partes deben recabar la participación de los órganos nacionales y locales encargados de vigilar que se hagan efectivos los derechos de los niños. Al considerar el interés superior del niño, deben tener en cuenta todos los derechos de los niños, incluidos su derecho a buscar, recibir y difundir información, a recibir protección contra todo daño y a que sus opiniones se tengan debidamente en cuenta, y deben asimismo garantizar la transparencia en lo tocante a la evaluación del interés superior del niño y a los criterios aplicados al respecto.</w:t>
      </w:r>
    </w:p>
    <w:p w14:paraId="7DFAB40D" w14:textId="77777777" w:rsidR="00BF2178" w:rsidRPr="00BF2178" w:rsidRDefault="00BF2178" w:rsidP="00BF2178">
      <w:pPr>
        <w:pStyle w:val="H1G"/>
      </w:pPr>
      <w:bookmarkStart w:id="10" w:name="_Toc47967791"/>
      <w:r w:rsidRPr="00BF2178">
        <w:tab/>
        <w:t>C.</w:t>
      </w:r>
      <w:r w:rsidRPr="00BF2178">
        <w:tab/>
        <w:t>Derecho a la vida, a la supervivencia y al desarrollo</w:t>
      </w:r>
      <w:bookmarkEnd w:id="10"/>
    </w:p>
    <w:p w14:paraId="15DA465E" w14:textId="77777777" w:rsidR="00BF2178" w:rsidRPr="00BF2178" w:rsidRDefault="00BF2178" w:rsidP="00BF2178">
      <w:pPr>
        <w:pStyle w:val="SingleTxtG"/>
      </w:pPr>
      <w:r w:rsidRPr="00BF2178">
        <w:t>14.</w:t>
      </w:r>
      <w:r w:rsidRPr="00BF2178">
        <w:tab/>
        <w:t>Las oportunidades que ofrece el entorno digital desempeñan un papel cada vez más decisivo en el desarrollo de los niños y pueden ser fundamentales para su vida y su supervivencia, especialmente en situaciones de crisis. Los Estados partes deben adoptar todas las medidas apropiadas para proteger a los niños frente a todo lo que constituya una amenaza para su derecho a la vida, la supervivencia y el desarrollo. Los riesgos relacionados con los contenidos, los contactos, las conductas y los contratos en ese ámbito abarcan, entre otras cosas, los contenidos violentos y sexuales, la ciberagresión y el acoso, los juegos de azar, la explotación y el maltrato, incluidos la explotación y los abusos sexuales, y la promoción del suicidio o de actividades que pongan en peligro la vida, o la incitación a estos, por parte, entre otros, de delincuentes o grupos armados identificados como terroristas o extremistas violentos. Los Estados partes deben determinar y abordar los nuevos riesgos que afrontan los niños en diversos contextos, por ejemplo escuchando sus opiniones sobre el carácter de los riesgos concretos a los que se enfrentan.</w:t>
      </w:r>
    </w:p>
    <w:p w14:paraId="71CA507F" w14:textId="77777777" w:rsidR="00BF2178" w:rsidRPr="00BF2178" w:rsidRDefault="00BF2178" w:rsidP="00BF2178">
      <w:pPr>
        <w:pStyle w:val="SingleTxtG"/>
      </w:pPr>
      <w:r w:rsidRPr="00BF2178">
        <w:t>15.</w:t>
      </w:r>
      <w:r w:rsidRPr="00BF2178">
        <w:tab/>
        <w:t>El uso de dispositivos digitales no debe ser perjudicial, ni sustituir las interacciones personales entre los niños o entre estos y sus padres o cuidadores. Los Estados partes deben prestar especial atención a los efectos de la tecnología en los primeros años de vida, cuando la plasticidad del cerebro es máxima y el entorno social, en particular las relaciones con los padres y cuidadores, es esencial para configurar el desarrollo cognitivo, emocional y social de los niños. En esos primeros años, puede ser necesario tomar precauciones, según el diseño, la finalidad y los usos de las tecnologías. Se debería impartir formación y asesoramiento sobre la utilización adecuada de los dispositivos digitales a los padres, cuidadores, educadores y otros agentes pertinentes, teniendo en cuenta las investigaciones sobre los efectos de las tecnologías digitales en el desarrollo del niño, especialmente durante los tramos críticos de crecimiento neurológico en la primera infancia y en la adolescencia</w:t>
      </w:r>
      <w:r w:rsidRPr="00BF2178">
        <w:rPr>
          <w:sz w:val="18"/>
          <w:szCs w:val="18"/>
          <w:vertAlign w:val="superscript"/>
        </w:rPr>
        <w:footnoteReference w:id="6"/>
      </w:r>
      <w:r w:rsidRPr="00BF2178">
        <w:t>.</w:t>
      </w:r>
    </w:p>
    <w:p w14:paraId="797F1BDC" w14:textId="77777777" w:rsidR="00BF2178" w:rsidRPr="00BF2178" w:rsidRDefault="00BF2178" w:rsidP="00BF2178">
      <w:pPr>
        <w:pStyle w:val="H1G"/>
      </w:pPr>
      <w:bookmarkStart w:id="11" w:name="_Toc47967792"/>
      <w:r w:rsidRPr="00BF2178">
        <w:tab/>
        <w:t>D.</w:t>
      </w:r>
      <w:r w:rsidRPr="00BF2178">
        <w:tab/>
        <w:t>Respeto de las opiniones del niño</w:t>
      </w:r>
      <w:bookmarkEnd w:id="11"/>
    </w:p>
    <w:p w14:paraId="1C5CAD5A" w14:textId="77777777" w:rsidR="00BF2178" w:rsidRPr="00BF2178" w:rsidRDefault="00BF2178" w:rsidP="00BF2178">
      <w:pPr>
        <w:pStyle w:val="SingleTxtG"/>
      </w:pPr>
      <w:r w:rsidRPr="00BF2178">
        <w:t>16.</w:t>
      </w:r>
      <w:r w:rsidRPr="00BF2178">
        <w:tab/>
        <w:t>Los niños señalaron que el entorno digital les ofrecía valiosas oportunidades para hacerse oír en relación con asuntos que los afectaban</w:t>
      </w:r>
      <w:r w:rsidRPr="00BF2178">
        <w:rPr>
          <w:sz w:val="18"/>
          <w:szCs w:val="18"/>
          <w:vertAlign w:val="superscript"/>
        </w:rPr>
        <w:footnoteReference w:id="7"/>
      </w:r>
      <w:r w:rsidRPr="00BF2178">
        <w:t xml:space="preserve">. La utilización de las tecnologías digitales puede contribuir a que los niños participen en los planos local, nacional e </w:t>
      </w:r>
      <w:r w:rsidRPr="00BF2178">
        <w:lastRenderedPageBreak/>
        <w:t>internacional</w:t>
      </w:r>
      <w:r w:rsidRPr="00BF2178">
        <w:rPr>
          <w:sz w:val="18"/>
          <w:szCs w:val="18"/>
          <w:vertAlign w:val="superscript"/>
        </w:rPr>
        <w:footnoteReference w:id="8"/>
      </w:r>
      <w:r w:rsidRPr="00BF2178">
        <w:t>. Los Estados partes deben promover la concienciación sobre los medios digitales y el acceso a ellos para que los niños expresen sus opiniones, así como ofrecer capacitación y apoyo a fin de que estos participen en igualdad de condiciones con los adultos, de forma anónima cuando sea necesario, para que puedan ser defensores efectivos de sus derechos, individualmente y como grupo.</w:t>
      </w:r>
    </w:p>
    <w:p w14:paraId="2A7314DD" w14:textId="77777777" w:rsidR="00BF2178" w:rsidRPr="00BF2178" w:rsidRDefault="00BF2178" w:rsidP="00BF2178">
      <w:pPr>
        <w:pStyle w:val="SingleTxtG"/>
      </w:pPr>
      <w:r w:rsidRPr="00BF2178">
        <w:t>17.</w:t>
      </w:r>
      <w:r w:rsidRPr="00BF2178">
        <w:tab/>
        <w:t>Al elaborar leyes, políticas, programas, servicios y formación sobre los derechos de los niños en relación con el entorno digital, los Estados partes deben recabar la participación de todos los niños, escuchar sus necesidades y conceder la debida importancia a sus opiniones. Deben asegurarse de que los proveedores de servicios digitales colaboren activamente con los niños, aplicando salvaguardias apropiadas, y tengan debidamente en cuenta las opiniones de estos al concebir sus productos y servicios.</w:t>
      </w:r>
    </w:p>
    <w:p w14:paraId="1BF41A7C" w14:textId="77777777" w:rsidR="00BF2178" w:rsidRPr="00BF2178" w:rsidRDefault="00BF2178" w:rsidP="00BF2178">
      <w:pPr>
        <w:pStyle w:val="SingleTxtG"/>
      </w:pPr>
      <w:r w:rsidRPr="00BF2178">
        <w:t>18.</w:t>
      </w:r>
      <w:r w:rsidRPr="00BF2178">
        <w:tab/>
        <w:t>Se alienta a los Estados partes a que utilicen el entorno digital para consultar a los niños sobre medidas legislativas, administrativas y de otra índole pertinentes y velen por que se tengan en cuenta seriamente sus opiniones y su participación no dé lugar a una vigilancia indebida ni a una recopilación de datos que viole su derecho a la privacidad y a la libertad de pensamiento y de opinión. Deben garantizar que en los procesos de consulta se incluya a los niños que no tienen acceso a la tecnología o que carecen de las aptitudes necesarias para utilizarla.</w:t>
      </w:r>
    </w:p>
    <w:p w14:paraId="7EA8C35C" w14:textId="77777777" w:rsidR="00BF2178" w:rsidRPr="00BF2178" w:rsidRDefault="00BF2178" w:rsidP="00BF2178">
      <w:pPr>
        <w:pStyle w:val="HChG"/>
      </w:pPr>
      <w:bookmarkStart w:id="12" w:name="_Toc42783097"/>
      <w:bookmarkStart w:id="13" w:name="_Toc47967793"/>
      <w:bookmarkEnd w:id="12"/>
      <w:r>
        <w:tab/>
      </w:r>
      <w:r w:rsidRPr="00BF2178">
        <w:t>IV.</w:t>
      </w:r>
      <w:r w:rsidRPr="00BF2178">
        <w:tab/>
        <w:t>Evolución de las facultades</w:t>
      </w:r>
      <w:bookmarkEnd w:id="13"/>
    </w:p>
    <w:p w14:paraId="2B5BA918" w14:textId="77777777" w:rsidR="00BF2178" w:rsidRPr="00BF2178" w:rsidRDefault="00BF2178" w:rsidP="00BF2178">
      <w:pPr>
        <w:pStyle w:val="SingleTxtG"/>
      </w:pPr>
      <w:r w:rsidRPr="00BF2178">
        <w:t>19.</w:t>
      </w:r>
      <w:r w:rsidRPr="00BF2178">
        <w:tab/>
        <w:t>Los Estados partes deben respetar la evolución de las facultades del niño como un principio habilitador que determina su proceso de adquisición gradual de competencias, comprensión y autonomía</w:t>
      </w:r>
      <w:r w:rsidRPr="00BF2178">
        <w:rPr>
          <w:sz w:val="18"/>
          <w:szCs w:val="18"/>
          <w:vertAlign w:val="superscript"/>
        </w:rPr>
        <w:footnoteReference w:id="9"/>
      </w:r>
      <w:r w:rsidRPr="00BF2178">
        <w:t>. Ese proceso reviste especial importancia en el entorno digital, en el que los niños pueden participar con mayor independencia respecto de la supervisión de sus padres y cuidadores. Las oportunidades y los riesgos asociados a la participación de los niños en el entorno digital varían en función de su edad y su fase de desarrollo. Los Estados partes deben atender a estas consideraciones al concebir medidas encaminadas a proteger a los niños en ese entorno o a facilitar su acceso a él. La elaboración de medidas apropiadas en función de la edad debe basarse en las investigaciones mejores y más actualizadas disponibles en las diversas disciplinas.</w:t>
      </w:r>
    </w:p>
    <w:p w14:paraId="7672BD2E" w14:textId="77777777" w:rsidR="00BF2178" w:rsidRPr="00BF2178" w:rsidRDefault="00BF2178" w:rsidP="00BF2178">
      <w:pPr>
        <w:pStyle w:val="SingleTxtG"/>
      </w:pPr>
      <w:r w:rsidRPr="00BF2178">
        <w:t>20.</w:t>
      </w:r>
      <w:r w:rsidRPr="00BF2178">
        <w:tab/>
        <w:t>Los Estados partes deben tener en cuenta la constante evolución de los niños y de su nivel de autonomía en el mundo moderno, así como su grado de competencia y comprensión, que se desarrollan de forma desigual en las distintas esferas de aptitud y actividad, y la diversa naturaleza de los riesgos posibles. Ahora bien, debe lograrse un equilibrio entre estas consideraciones y la importancia de que los niños ejerzan sus derechos en entornos que les proporcionen el apoyo necesario, por un lado, y la variedad de experiencias y circunstancias individuales, por otro</w:t>
      </w:r>
      <w:r w:rsidRPr="00BF2178">
        <w:rPr>
          <w:sz w:val="18"/>
          <w:szCs w:val="18"/>
          <w:vertAlign w:val="superscript"/>
        </w:rPr>
        <w:footnoteReference w:id="10"/>
      </w:r>
      <w:r w:rsidRPr="00BF2178">
        <w:t>. Los Estados partes deben garantizar que los proveedores de servicios digitales ofrezcan servicios acordes con la evolución de las facultades de los niños.</w:t>
      </w:r>
    </w:p>
    <w:p w14:paraId="2AD08825" w14:textId="77777777" w:rsidR="00BF2178" w:rsidRPr="00BF2178" w:rsidRDefault="00BF2178" w:rsidP="00BF2178">
      <w:pPr>
        <w:pStyle w:val="SingleTxtG"/>
      </w:pPr>
      <w:r w:rsidRPr="00BF2178">
        <w:t>21.</w:t>
      </w:r>
      <w:r w:rsidRPr="00BF2178">
        <w:tab/>
        <w:t>De conformidad con la obligación de los Estados de prestar una asistencia adecuada a los padres y cuidadores en el desempeño de sus responsabilidades en la crianza de los niños, los Estados partes deben promover que aquellos sean conscientes de la necesidad de respetar la evolución de la autonomía, las facultades y la privacidad de los niños. Deben apoyar a los padres y cuidadores para que adquieran conocimientos digitales y sean conscientes de los riesgos que corren los niños a fin de ayudarles a hacer efectivos sus derechos, incluido el derecho de protección, en relación con el entorno digital.</w:t>
      </w:r>
    </w:p>
    <w:p w14:paraId="1D03C5CA" w14:textId="77777777" w:rsidR="00BF2178" w:rsidRPr="00BF2178" w:rsidRDefault="00BF2178" w:rsidP="00BF2178">
      <w:pPr>
        <w:pStyle w:val="HChG"/>
      </w:pPr>
      <w:bookmarkStart w:id="14" w:name="_Toc47967794"/>
      <w:r>
        <w:lastRenderedPageBreak/>
        <w:tab/>
      </w:r>
      <w:r w:rsidRPr="00BF2178">
        <w:t>V.</w:t>
      </w:r>
      <w:r w:rsidRPr="00BF2178">
        <w:tab/>
        <w:t>Medidas generales de aplicación por los Estados partes</w:t>
      </w:r>
      <w:bookmarkEnd w:id="14"/>
    </w:p>
    <w:p w14:paraId="34C7A1C3" w14:textId="77777777" w:rsidR="00BF2178" w:rsidRPr="00BF2178" w:rsidRDefault="00BF2178" w:rsidP="00BF2178">
      <w:pPr>
        <w:pStyle w:val="SingleTxtG"/>
      </w:pPr>
      <w:r w:rsidRPr="00BF2178">
        <w:t>22.</w:t>
      </w:r>
      <w:r w:rsidRPr="00BF2178">
        <w:tab/>
        <w:t>A fin de crear oportunidades para hacer efectivos los derechos de los niños y asegurar su protección en el entorno digital se requiere una amplia gama de medidas legislativas, administrativas y de otra índole, incluidas medidas preventivas.</w:t>
      </w:r>
    </w:p>
    <w:p w14:paraId="69958556" w14:textId="77777777" w:rsidR="00BF2178" w:rsidRPr="00BF2178" w:rsidRDefault="00BF2178" w:rsidP="00BF2178">
      <w:pPr>
        <w:pStyle w:val="H1G"/>
      </w:pPr>
      <w:bookmarkStart w:id="15" w:name="_Toc47967795"/>
      <w:r w:rsidRPr="00BF2178">
        <w:tab/>
        <w:t>A.</w:t>
      </w:r>
      <w:r w:rsidRPr="00BF2178">
        <w:tab/>
        <w:t>Legislación</w:t>
      </w:r>
      <w:bookmarkEnd w:id="15"/>
    </w:p>
    <w:p w14:paraId="282929BB" w14:textId="77777777" w:rsidR="00BF2178" w:rsidRPr="00BF2178" w:rsidRDefault="00BF2178" w:rsidP="00BF2178">
      <w:pPr>
        <w:pStyle w:val="SingleTxtG"/>
      </w:pPr>
      <w:r w:rsidRPr="00BF2178">
        <w:t>23.</w:t>
      </w:r>
      <w:r w:rsidRPr="00BF2178">
        <w:tab/>
        <w:t>Los Estados partes deben aprobar legislación nacional, y revisar y actualizar la existente, en consonancia con las normas internacionales de derechos humanos, a fin de garantizar un entorno digital compatible con los derechos previstos en la Convención y sus Protocolos Facultativos. La legislación debe conservar su pertinencia en el contexto de los adelantos tecnológicos y las prácticas emergentes. Los Estados partes deben exigir que se realicen evaluaciones del impacto del entorno digital en los derechos del niño a fin de integrar estos derechos en la legislación, las asignaciones presupuestarias y otras decisiones administrativas relacionadas con el entorno digital, así como alentar a los organismos públicos y las empresas relacionadas con el entorno digital a que utilicen dichas evaluaciones</w:t>
      </w:r>
      <w:r w:rsidRPr="00BF2178">
        <w:rPr>
          <w:sz w:val="18"/>
          <w:szCs w:val="18"/>
          <w:vertAlign w:val="superscript"/>
        </w:rPr>
        <w:footnoteReference w:id="11"/>
      </w:r>
      <w:r w:rsidRPr="00BF2178">
        <w:t>.</w:t>
      </w:r>
    </w:p>
    <w:p w14:paraId="4E32BD94" w14:textId="77777777" w:rsidR="00BF2178" w:rsidRPr="00BF2178" w:rsidRDefault="00BF2178" w:rsidP="00BF2178">
      <w:pPr>
        <w:pStyle w:val="H1G"/>
      </w:pPr>
      <w:bookmarkStart w:id="16" w:name="_Toc47967796"/>
      <w:r w:rsidRPr="00BF2178">
        <w:tab/>
        <w:t>B.</w:t>
      </w:r>
      <w:r w:rsidRPr="00BF2178">
        <w:tab/>
        <w:t>Política y estrategia integrales</w:t>
      </w:r>
      <w:bookmarkEnd w:id="16"/>
    </w:p>
    <w:p w14:paraId="0B9FBE05" w14:textId="77777777" w:rsidR="00BF2178" w:rsidRPr="00BF2178" w:rsidRDefault="00BF2178" w:rsidP="00BF2178">
      <w:pPr>
        <w:pStyle w:val="SingleTxtG"/>
      </w:pPr>
      <w:r w:rsidRPr="00BF2178">
        <w:t>24.</w:t>
      </w:r>
      <w:r w:rsidRPr="00BF2178">
        <w:tab/>
        <w:t>Los Estados partes deben cerciorarse de que las políticas nacionales relativas a los derechos de los niños aborden específicamente el entorno digital y deben aplicar reglamentaciones, códigos industriales, normas de diseño y planes de acción pertinentes, todo lo cual debe ser evaluado y actualizado periódicamente. Esas políticas nacionales deben tener como objetivo ofrecer a los niños la oportunidad de sacar provecho del entorno digital y garantizar su acceso seguro a él.</w:t>
      </w:r>
    </w:p>
    <w:p w14:paraId="0A4984D6" w14:textId="77777777" w:rsidR="00BF2178" w:rsidRPr="00BF2178" w:rsidRDefault="00BF2178" w:rsidP="00BF2178">
      <w:pPr>
        <w:pStyle w:val="SingleTxtG"/>
      </w:pPr>
      <w:r w:rsidRPr="00BF2178">
        <w:t>25.</w:t>
      </w:r>
      <w:r w:rsidRPr="00BF2178">
        <w:tab/>
        <w:t>La protección digital de los niños debe ser parte integrante de las políticas nacionales de protección de la infancia. Los Estados partes deben aplicar medidas para proteger a los niños de los riesgos asociados con ese entorno, como la ciberagresión y la explotación y los abusos sexuales de niños en línea facilitados por la tecnología digital, asegurarse de que se investiguen esos delitos y ofrecer reparación y apoyo a los niños que sean víctimas de esos actos. Asimismo, deben atender a las necesidades de los niños en situaciones desfavorecidas o de vulnerabilidad, entre otras formas proporcionando información adaptada a los niños y, cuando proceda, traducida a los idiomas minoritarios pertinentes.</w:t>
      </w:r>
    </w:p>
    <w:p w14:paraId="4179B001" w14:textId="77777777" w:rsidR="00BF2178" w:rsidRPr="00BF2178" w:rsidRDefault="00BF2178" w:rsidP="00BF2178">
      <w:pPr>
        <w:pStyle w:val="SingleTxtG"/>
      </w:pPr>
      <w:r w:rsidRPr="00BF2178">
        <w:t>26.</w:t>
      </w:r>
      <w:r w:rsidRPr="00BF2178">
        <w:tab/>
        <w:t>Los Estados partes deben garantizar la aplicación de mecanismos eficaces de protección digital de los niños, así como de normativas de salvaguardia, respetando al mismo tiempo los demás derechos de los niños, en todos los ámbitos en que estos acceden al entorno digital y que incluyen el hogar, los entornos educativos, los cibercafés, los centros juveniles, las bibliotecas y los centros de atención sanitaria y modalidades alternativas de cuidado.</w:t>
      </w:r>
    </w:p>
    <w:p w14:paraId="7461DAEB" w14:textId="77777777" w:rsidR="00BF2178" w:rsidRPr="00BF2178" w:rsidRDefault="00BF2178" w:rsidP="00BF2178">
      <w:pPr>
        <w:pStyle w:val="H1G"/>
      </w:pPr>
      <w:bookmarkStart w:id="17" w:name="_Toc47967797"/>
      <w:r w:rsidRPr="00BF2178">
        <w:tab/>
        <w:t>C.</w:t>
      </w:r>
      <w:r w:rsidRPr="00BF2178">
        <w:tab/>
        <w:t>Coordinación</w:t>
      </w:r>
      <w:bookmarkEnd w:id="17"/>
    </w:p>
    <w:p w14:paraId="6918714A" w14:textId="77777777" w:rsidR="00BF2178" w:rsidRPr="00BF2178" w:rsidRDefault="00BF2178" w:rsidP="00BF2178">
      <w:pPr>
        <w:pStyle w:val="SingleTxtG"/>
      </w:pPr>
      <w:r w:rsidRPr="00BF2178">
        <w:t>27.</w:t>
      </w:r>
      <w:r w:rsidRPr="00BF2178">
        <w:tab/>
        <w:t>A fin de abarcar las consecuencias transversales que tiene el entorno digital en los derechos de los niños, los Estados partes deben asignar a un órgano gubernamental el mandato de coordinar las políticas, las directrices y los programas relacionados con dichos derechos entre los departamentos de la administración central y los distintos niveles de gobierno</w:t>
      </w:r>
      <w:r w:rsidRPr="00BF2178">
        <w:rPr>
          <w:sz w:val="18"/>
          <w:szCs w:val="18"/>
          <w:vertAlign w:val="superscript"/>
        </w:rPr>
        <w:footnoteReference w:id="12"/>
      </w:r>
      <w:r w:rsidRPr="00BF2178">
        <w:t xml:space="preserve">. Ese mecanismo de coordinación nacional debe colaborar con las escuelas y el sector de la tecnología de la información y las comunicaciones y cooperar con las empresas, la sociedad civil, el mundo académico y las organizaciones a fin de hacer efectivos los derechos de los niños en relación con el entorno digital en los planos intersectorial, nacional, </w:t>
      </w:r>
      <w:r w:rsidRPr="00BF2178">
        <w:lastRenderedPageBreak/>
        <w:t>regional y local</w:t>
      </w:r>
      <w:r w:rsidRPr="00BF2178">
        <w:rPr>
          <w:sz w:val="18"/>
          <w:szCs w:val="18"/>
          <w:vertAlign w:val="superscript"/>
        </w:rPr>
        <w:footnoteReference w:id="13"/>
      </w:r>
      <w:r w:rsidRPr="00BF2178">
        <w:t>. Asimismo, debe aprovechar los conocimientos tecnológicos y otros conocimientos especializados pertinentes dentro y fuera de la administración, según sea necesario, y ser sometido a evaluación de forma independiente para comprobar su eficacia en el cumplimiento de sus obligaciones.</w:t>
      </w:r>
    </w:p>
    <w:p w14:paraId="69BF10E7" w14:textId="77777777" w:rsidR="00BF2178" w:rsidRPr="00BF2178" w:rsidRDefault="00BF2178" w:rsidP="00BF2178">
      <w:pPr>
        <w:pStyle w:val="H1G"/>
      </w:pPr>
      <w:bookmarkStart w:id="18" w:name="_Toc47967798"/>
      <w:r w:rsidRPr="00BF2178">
        <w:tab/>
        <w:t>D.</w:t>
      </w:r>
      <w:r w:rsidRPr="00BF2178">
        <w:tab/>
        <w:t>Asignación de recursos</w:t>
      </w:r>
      <w:bookmarkEnd w:id="18"/>
    </w:p>
    <w:p w14:paraId="61F852C5" w14:textId="77777777" w:rsidR="00BF2178" w:rsidRPr="00BF2178" w:rsidRDefault="00BF2178" w:rsidP="00BF2178">
      <w:pPr>
        <w:pStyle w:val="SingleTxtG"/>
      </w:pPr>
      <w:r w:rsidRPr="00BF2178">
        <w:t>28.</w:t>
      </w:r>
      <w:r w:rsidRPr="00BF2178">
        <w:tab/>
        <w:t>Los Estados partes deben movilizar, asignar y utilizar recursos públicos para aplicar leyes, políticas y programas que permitan hacer plenamente efectivos los derechos de los niños en el entorno digital y mejorar la inclusión digital, que es necesaria para hacer frente al creciente impacto del entorno digital en la vida de los niños y para promover la igualdad de acceso a los servicios y la conectividad, así como su asequibilidad</w:t>
      </w:r>
      <w:r w:rsidRPr="00BF2178">
        <w:rPr>
          <w:sz w:val="18"/>
          <w:szCs w:val="18"/>
          <w:vertAlign w:val="superscript"/>
        </w:rPr>
        <w:footnoteReference w:id="14"/>
      </w:r>
      <w:r w:rsidRPr="00BF2178">
        <w:t>.</w:t>
      </w:r>
    </w:p>
    <w:p w14:paraId="0E8C3C24" w14:textId="77777777" w:rsidR="00BF2178" w:rsidRPr="00BF2178" w:rsidRDefault="00BF2178" w:rsidP="00BF2178">
      <w:pPr>
        <w:pStyle w:val="SingleTxtG"/>
      </w:pPr>
      <w:r w:rsidRPr="00BF2178">
        <w:t>29.</w:t>
      </w:r>
      <w:r w:rsidRPr="00BF2178">
        <w:tab/>
        <w:t>Cuando los recursos provengan del sector empresarial o se obtengan a través de la cooperación internacional, los Estados partes deben asegurarse de que su propio mandato, la movilización de ingresos, las asignaciones presupuestarias y los gastos no se vean interferidos o socavados por terceros</w:t>
      </w:r>
      <w:r w:rsidRPr="00BF2178">
        <w:rPr>
          <w:sz w:val="18"/>
          <w:szCs w:val="18"/>
          <w:vertAlign w:val="superscript"/>
        </w:rPr>
        <w:footnoteReference w:id="15"/>
      </w:r>
      <w:r w:rsidRPr="00BF2178">
        <w:t>.</w:t>
      </w:r>
    </w:p>
    <w:p w14:paraId="34EBEC1F" w14:textId="77777777" w:rsidR="00BF2178" w:rsidRPr="00BF2178" w:rsidRDefault="00BF2178" w:rsidP="00BF2178">
      <w:pPr>
        <w:pStyle w:val="H1G"/>
      </w:pPr>
      <w:bookmarkStart w:id="19" w:name="_Toc47967799"/>
      <w:r w:rsidRPr="00BF2178">
        <w:tab/>
        <w:t>E.</w:t>
      </w:r>
      <w:r w:rsidRPr="00BF2178">
        <w:tab/>
        <w:t>Reunión de datos e investigación</w:t>
      </w:r>
      <w:bookmarkEnd w:id="19"/>
    </w:p>
    <w:p w14:paraId="59CE4032" w14:textId="77777777" w:rsidR="00BF2178" w:rsidRPr="00BF2178" w:rsidRDefault="00BF2178" w:rsidP="00BF2178">
      <w:pPr>
        <w:pStyle w:val="SingleTxtG"/>
      </w:pPr>
      <w:r w:rsidRPr="00BF2178">
        <w:t>30.</w:t>
      </w:r>
      <w:r w:rsidRPr="00BF2178">
        <w:tab/>
        <w:t>La actualización periódica de los datos y la investigación son fundamentales para comprender las repercusiones del entorno digital en la vida de los niños, evaluar los efectos que esta tiene en sus derechos y determinar la eficacia de las intervenciones del Estado. Los Estados partes deben lograr que se reúnan datos fiables e integrales con el apoyo de recursos suficientes y que los datos estén desglosados por edad, sexo, discapacidad, ubicación geográfica, origen étnico y nacional y situación socioeconómica. Esos datos e investigaciones, incluidas las investigaciones realizadas con y por niños, deben servir de base para la legislación, las políticas y las prácticas y ser de dominio público</w:t>
      </w:r>
      <w:r w:rsidRPr="00BF2178">
        <w:rPr>
          <w:sz w:val="18"/>
          <w:szCs w:val="18"/>
          <w:vertAlign w:val="superscript"/>
        </w:rPr>
        <w:footnoteReference w:id="16"/>
      </w:r>
      <w:r w:rsidRPr="00BF2178">
        <w:t>. En la reunión de datos y las investigaciones relacionadas con la actividad digital de los niños se debe respetar su privacidad y acatar las normas éticas más estrictas.</w:t>
      </w:r>
    </w:p>
    <w:p w14:paraId="58819D52" w14:textId="77777777" w:rsidR="00BF2178" w:rsidRPr="00BF2178" w:rsidRDefault="00BF2178" w:rsidP="00BF2178">
      <w:pPr>
        <w:pStyle w:val="H1G"/>
      </w:pPr>
      <w:bookmarkStart w:id="20" w:name="_Toc47967800"/>
      <w:r w:rsidRPr="00BF2178">
        <w:tab/>
        <w:t>F.</w:t>
      </w:r>
      <w:r w:rsidRPr="00BF2178">
        <w:tab/>
        <w:t>Vigilancia independiente</w:t>
      </w:r>
      <w:bookmarkEnd w:id="20"/>
    </w:p>
    <w:p w14:paraId="7F7D46D9" w14:textId="77777777" w:rsidR="00BF2178" w:rsidRPr="00BF2178" w:rsidRDefault="00BF2178" w:rsidP="00BF2178">
      <w:pPr>
        <w:pStyle w:val="SingleTxtG"/>
      </w:pPr>
      <w:r w:rsidRPr="00BF2178">
        <w:t>31.</w:t>
      </w:r>
      <w:r w:rsidRPr="00BF2178">
        <w:tab/>
        <w:t>Los Estados partes deben cerciorarse de que los mandatos de las instituciones nacionales de derechos humanos y otras instituciones independientes pertinentes abarquen los derechos de los niños en el entorno digital y que estas puedan recibir, investigar y atender las denuncias presentadas por niños y sus representantes</w:t>
      </w:r>
      <w:r w:rsidRPr="00BF2178">
        <w:rPr>
          <w:sz w:val="18"/>
          <w:szCs w:val="18"/>
          <w:vertAlign w:val="superscript"/>
        </w:rPr>
        <w:footnoteReference w:id="17"/>
      </w:r>
      <w:r w:rsidRPr="00BF2178">
        <w:t>. Cuando existan órganos de supervisión independientes encargados de vigilar las actividades relacionadas con el entorno digital, las instituciones nacionales de derechos humanos deben colaborar estrechamente con esos órganos para garantizar el cumplimiento efectivo de su mandato en relación con los derechos de los niños</w:t>
      </w:r>
      <w:r w:rsidRPr="00BF2178">
        <w:rPr>
          <w:sz w:val="18"/>
          <w:szCs w:val="18"/>
          <w:vertAlign w:val="superscript"/>
        </w:rPr>
        <w:footnoteReference w:id="18"/>
      </w:r>
      <w:r w:rsidRPr="00BF2178">
        <w:t>.</w:t>
      </w:r>
    </w:p>
    <w:p w14:paraId="041400E6" w14:textId="77777777" w:rsidR="00BF2178" w:rsidRPr="00BF2178" w:rsidRDefault="00BF2178" w:rsidP="00BF2178">
      <w:pPr>
        <w:pStyle w:val="H1G"/>
      </w:pPr>
      <w:bookmarkStart w:id="21" w:name="_Toc47967801"/>
      <w:r w:rsidRPr="00BF2178">
        <w:tab/>
        <w:t>G.</w:t>
      </w:r>
      <w:r w:rsidRPr="00BF2178">
        <w:tab/>
        <w:t>Difusión de información, concienciación y capacitación</w:t>
      </w:r>
      <w:bookmarkEnd w:id="21"/>
    </w:p>
    <w:p w14:paraId="0E733A05" w14:textId="77777777" w:rsidR="00BF2178" w:rsidRPr="00BF2178" w:rsidRDefault="00BF2178" w:rsidP="00BF2178">
      <w:pPr>
        <w:pStyle w:val="SingleTxtG"/>
      </w:pPr>
      <w:r w:rsidRPr="00BF2178">
        <w:t>32.</w:t>
      </w:r>
      <w:r w:rsidRPr="00BF2178">
        <w:tab/>
        <w:t xml:space="preserve">Los Estados partes deben difundir información y realizar campañas de concienciación sobre los derechos del niño en el entorno digital, centrando especialmente la atención en aquellas cuyas actividades repercutan directa o indirectamente en los niños. Deben promover programas educativos destinados a los niños, los padres y cuidadores, el público en general y los encargados de la formulación de políticas a fin de que conozcan mejor los derechos de los niños en relación con las oportunidades y los riesgos asociados a los productos y servicios </w:t>
      </w:r>
      <w:r w:rsidRPr="00BF2178">
        <w:lastRenderedPageBreak/>
        <w:t>digitales. Esos programas deben incluir información sobre cómo los niños pueden beneficiarse de los productos y servicios digitales y desarrollar sus conocimientos y aptitudes al respecto, cómo se ha de proteger la privacidad de los niños e impedir la victimización, y cómo reconocer a un niño que ha sido víctima de un daño perpetrado dentro o fuera del entorno digital y ofrecer soluciones apropiadas. Asimismo, deben basarse en investigaciones y en consultas mantenidas con los niños, los padres y los cuidadores.</w:t>
      </w:r>
    </w:p>
    <w:p w14:paraId="758589B6" w14:textId="77777777" w:rsidR="00BF2178" w:rsidRPr="00BF2178" w:rsidRDefault="00BF2178" w:rsidP="00BF2178">
      <w:pPr>
        <w:pStyle w:val="SingleTxtG"/>
      </w:pPr>
      <w:r w:rsidRPr="00BF2178">
        <w:t>33.</w:t>
      </w:r>
      <w:r w:rsidRPr="00BF2178">
        <w:tab/>
        <w:t xml:space="preserve">Los profesionales que trabajan para y con los niños, así como el sector empresarial, incluida la industria de la tecnología, deben recibir formación sobre los efectos del entorno digital en los derechos del niño en múltiples contextos, las diversas formas en que los niños ejercen sus derechos en el entorno digital y la manera en que acceden a las tecnologías y las utilizan. También deben recibir formación sobre la aplicación de las normas internacionales de derechos humanos en el entorno digital. Los Estados partes deben lograr que, antes de la contratación y durante el empleo, se imparta formación relacionada con el entorno digital a los profesionales de la enseñanza en todos los niveles a fin de apoyar el perfeccionamiento de sus conocimientos, aptitudes y prácticas. </w:t>
      </w:r>
    </w:p>
    <w:p w14:paraId="1F00F84A" w14:textId="77777777" w:rsidR="00BF2178" w:rsidRPr="00BF2178" w:rsidRDefault="00BF2178" w:rsidP="00BF2178">
      <w:pPr>
        <w:pStyle w:val="H1G"/>
      </w:pPr>
      <w:bookmarkStart w:id="22" w:name="_Toc47967802"/>
      <w:r w:rsidRPr="00BF2178">
        <w:tab/>
        <w:t>H.</w:t>
      </w:r>
      <w:r w:rsidRPr="00BF2178">
        <w:tab/>
        <w:t>Cooperación con la sociedad civil</w:t>
      </w:r>
      <w:bookmarkEnd w:id="22"/>
    </w:p>
    <w:p w14:paraId="0341FB63" w14:textId="77777777" w:rsidR="00BF2178" w:rsidRPr="00BF2178" w:rsidRDefault="00BF2178" w:rsidP="00BF2178">
      <w:pPr>
        <w:pStyle w:val="SingleTxtG"/>
      </w:pPr>
      <w:r w:rsidRPr="00BF2178">
        <w:t>34.</w:t>
      </w:r>
      <w:r w:rsidRPr="00BF2178">
        <w:tab/>
        <w:t>Los Estados partes deben recabar sistemáticamente la participación de la sociedad civil, incluidos los grupos dirigidos por niños y las organizaciones no gubernamentales que trabajan en el ámbito de los derechos del niño, así como las que se ocupan del entorno digital, en la elaboración, aplicación, vigilancia y evaluación de leyes, políticas, planes y programas relativos a los derechos de los niños. Además, deben asegurarse de que las organizaciones de la sociedad civil estén en condiciones de llevar a cabo sus actividades de promoción y protección de los derechos de los niños en relación con el entorno digital.</w:t>
      </w:r>
    </w:p>
    <w:p w14:paraId="1555C9E7" w14:textId="77777777" w:rsidR="00BF2178" w:rsidRPr="00BF2178" w:rsidRDefault="00BF2178" w:rsidP="00BF2178">
      <w:pPr>
        <w:pStyle w:val="H1G"/>
      </w:pPr>
      <w:bookmarkStart w:id="23" w:name="_Toc47967803"/>
      <w:r w:rsidRPr="00BF2178">
        <w:tab/>
        <w:t>I.</w:t>
      </w:r>
      <w:r w:rsidRPr="00BF2178">
        <w:tab/>
        <w:t>Los derechos de los niños y el sector empresarial</w:t>
      </w:r>
      <w:bookmarkEnd w:id="23"/>
    </w:p>
    <w:p w14:paraId="172F5A98" w14:textId="77777777" w:rsidR="00BF2178" w:rsidRPr="00BF2178" w:rsidRDefault="00BF2178" w:rsidP="00BF2178">
      <w:pPr>
        <w:pStyle w:val="SingleTxtG"/>
      </w:pPr>
      <w:r w:rsidRPr="00BF2178">
        <w:t>35.</w:t>
      </w:r>
      <w:r w:rsidRPr="00BF2178">
        <w:tab/>
        <w:t>El sector empresarial, incluidas las organizaciones sin fines de lucro, incide en los derechos del niño, tanto directa como indirectamente, al prestar servicios y ofrecer productos relacionados con el entorno digital. Las empresas deben respetar los derechos de los niños e impedir y reparar toda vulneración de sus derechos en relación con el entorno digital. Los Estados partes tienen la obligación de garantizar que las empresas cumplen esas obligaciones</w:t>
      </w:r>
      <w:r w:rsidRPr="00BF2178">
        <w:rPr>
          <w:sz w:val="18"/>
          <w:szCs w:val="18"/>
          <w:vertAlign w:val="superscript"/>
        </w:rPr>
        <w:footnoteReference w:id="19"/>
      </w:r>
      <w:r w:rsidRPr="00BF2178">
        <w:t>.</w:t>
      </w:r>
    </w:p>
    <w:p w14:paraId="0EB34221" w14:textId="77777777" w:rsidR="00BF2178" w:rsidRPr="00BF2178" w:rsidRDefault="00BF2178" w:rsidP="00BF2178">
      <w:pPr>
        <w:pStyle w:val="SingleTxtG"/>
      </w:pPr>
      <w:r w:rsidRPr="00BF2178">
        <w:t>36.</w:t>
      </w:r>
      <w:r w:rsidRPr="00BF2178">
        <w:tab/>
        <w:t>Los Estados partes deben adoptar medidas mediante, entre otras cosas, la elaboración, vigilancia, aplicación y evaluación de leyes, reglamentos y políticas, para cerciorarse de que las empresas cumplan sus obligaciones consistentes en impedir que sus redes o servicios en línea se utilicen de forma que causen o propicien violaciones o vulneraciones de los derechos de los niños, incluidos sus derechos a la privacidad y a la protección, así como en facilitar recursos rápidos y eficaces a los niños, padres y cuidadores. Deben también alentar a las empresas a proporcionar información pública y asesoramiento accesible y oportuno para apoyar la participación de los niños en actividades digitales seguras y provechosas.</w:t>
      </w:r>
    </w:p>
    <w:p w14:paraId="0DFC955A" w14:textId="77777777" w:rsidR="00BF2178" w:rsidRPr="00BF2178" w:rsidRDefault="00BF2178" w:rsidP="00BF2178">
      <w:pPr>
        <w:pStyle w:val="SingleTxtG"/>
      </w:pPr>
      <w:r w:rsidRPr="00BF2178">
        <w:t>37.</w:t>
      </w:r>
      <w:r w:rsidRPr="00BF2178">
        <w:tab/>
        <w:t>Los Estados partes tienen la obligación de proteger a los niños frente a cualquier conculcación de sus derechos por parte de empresas comerciales, lo que incluye al derecho a gozar de protección contra todas las formas de violencia en el entorno digital. Aunque las empresas no estén directamente involucradas en la comisión de actos perjudiciales, pueden causar o propiciar violaciones del derecho de los niños a vivir libres de violencia, por ejemplo como resultado del diseño y el funcionamiento de sus servicios digitales. Los Estados partes deben establecer leyes y reglamentos destinados a impedir las vulneraciones del derecho a la protección contra la violencia, así como a investigar, juzgar y reparar las vulneraciones que se produzcan en relación con el entorno digital, y deben vigilar y exigir su cumplimiento</w:t>
      </w:r>
      <w:r w:rsidRPr="00BF2178">
        <w:rPr>
          <w:sz w:val="18"/>
          <w:szCs w:val="18"/>
          <w:vertAlign w:val="superscript"/>
        </w:rPr>
        <w:footnoteReference w:id="20"/>
      </w:r>
      <w:r w:rsidRPr="00BF2178">
        <w:t>.</w:t>
      </w:r>
    </w:p>
    <w:p w14:paraId="2DFA5B5D" w14:textId="77777777" w:rsidR="00BF2178" w:rsidRPr="00BF2178" w:rsidRDefault="00BF2178" w:rsidP="00D45E38">
      <w:pPr>
        <w:pStyle w:val="SingleTxtG"/>
        <w:keepNext/>
        <w:keepLines/>
      </w:pPr>
      <w:r w:rsidRPr="00BF2178">
        <w:lastRenderedPageBreak/>
        <w:t>38.</w:t>
      </w:r>
      <w:r w:rsidRPr="00BF2178">
        <w:tab/>
        <w:t>Los Estados partes deben exigir al sector empresarial que actúe con la diligencia debida en relación con los derechos del niño, en particular que lleve a cabo evaluaciones del impacto en dichos derechos y las haga públicas, prestando especial atención a los efectos diferenciados y, a veces, graves que tiene el entorno digital en los niños</w:t>
      </w:r>
      <w:r w:rsidRPr="00BF2178">
        <w:rPr>
          <w:sz w:val="18"/>
          <w:szCs w:val="18"/>
          <w:vertAlign w:val="superscript"/>
        </w:rPr>
        <w:footnoteReference w:id="21"/>
      </w:r>
      <w:r w:rsidRPr="00BF2178">
        <w:t>. Deben adoptar medidas apropiadas para prevenir, vigilar, investigar y castigar las vulneraciones de los derechos del niño por parte de empresas.</w:t>
      </w:r>
    </w:p>
    <w:p w14:paraId="788FC511" w14:textId="77777777" w:rsidR="00BF2178" w:rsidRPr="00BF2178" w:rsidRDefault="00BF2178" w:rsidP="00BF2178">
      <w:pPr>
        <w:pStyle w:val="SingleTxtG"/>
      </w:pPr>
      <w:r w:rsidRPr="00BF2178">
        <w:t>39.</w:t>
      </w:r>
      <w:r w:rsidRPr="00BF2178">
        <w:tab/>
        <w:t>Además de elaborar leyes y políticas, los Estados partes deben exigir a todas las empresas cuyas actividades afectan a los derechos del niño en relación con el entorno digital que apliquen marcos normativos, códigos industriales y condiciones de servicio acordes con las normas más estrictas de ética, privacidad y seguridad en relación con el diseño, la ingeniería, el desarrollo, el funcionamiento, la distribución y la comercialización de sus productos y servicios. Esto incluye a las empresas que se dirigen a los niños, que tienen a niños como usuarios finales o que afectan de alguna otra manera a los niños. Deben exigir a esas empresas que mantengan altos niveles de transparencia y responsabilidad y alentarlas a adoptar medidas innovadoras en favor del interés superior del niño. Deben asimismo exigirles que proporcionen una explicación de sus condiciones de servicio a los niños, de forma apropiada según la edad, o a los padres y cuidadores en el caso de niños muy pequeños.</w:t>
      </w:r>
    </w:p>
    <w:p w14:paraId="3E88058D" w14:textId="77777777" w:rsidR="00BF2178" w:rsidRPr="00BF2178" w:rsidRDefault="00BF2178" w:rsidP="00BF2178">
      <w:pPr>
        <w:pStyle w:val="H1G"/>
      </w:pPr>
      <w:bookmarkStart w:id="24" w:name="_Toc47967804"/>
      <w:r w:rsidRPr="00BF2178">
        <w:tab/>
        <w:t>J.</w:t>
      </w:r>
      <w:r w:rsidRPr="00BF2178">
        <w:tab/>
        <w:t xml:space="preserve">Publicidad comercial y </w:t>
      </w:r>
      <w:bookmarkEnd w:id="24"/>
      <w:r w:rsidRPr="00BF2178">
        <w:t>comercialización</w:t>
      </w:r>
    </w:p>
    <w:p w14:paraId="0349CD1D" w14:textId="77777777" w:rsidR="00BF2178" w:rsidRPr="00BF2178" w:rsidRDefault="00BF2178" w:rsidP="00BF2178">
      <w:pPr>
        <w:pStyle w:val="SingleTxtG"/>
      </w:pPr>
      <w:r w:rsidRPr="00BF2178">
        <w:t>40.</w:t>
      </w:r>
      <w:r w:rsidRPr="00BF2178">
        <w:tab/>
        <w:t>El entorno digital abarca empresas que dependen económicamente del procesamiento de datos personales para orientar los contenidos generadores de ingresos o de pago, y esos procesos afectan de manera tanto intencional como no intencional las experiencias digitales de los niños. Muchos de esos procesos entrañan la participación de múltiples socios comerciales, lo que crea una cadena de suministro de actividades comerciales y de procesamiento de datos personales que puede dar lugar a violaciones o vulneraciones de los derechos de los niños, por ejemplo como resultado de características de diseño publicitario que anticipan las acciones del niño y lo guían hacia la búsqueda de contenidos más extremos, de notificaciones automatizadas que pueden interrumpir el sueño o del uso de la información personal o la ubicación de un niño para transmitir contenidos potencialmente nocivos con fines comerciales.</w:t>
      </w:r>
    </w:p>
    <w:p w14:paraId="414E91AD" w14:textId="77777777" w:rsidR="00BF2178" w:rsidRPr="00BF2178" w:rsidRDefault="00BF2178" w:rsidP="00BF2178">
      <w:pPr>
        <w:pStyle w:val="SingleTxtG"/>
      </w:pPr>
      <w:r w:rsidRPr="00BF2178">
        <w:t>41.</w:t>
      </w:r>
      <w:r w:rsidRPr="00BF2178">
        <w:tab/>
        <w:t>Los Estados partes deben hacer del interés superior del niño una consideración primordial a la hora de regular la publicidad y la comercialización dirigidas y accesibles a los niños. El patrocinio, la colocación de productos y todas las formas de contenidos con fines comerciales deben distinguirse claramente de todos los demás contenidos y no deben perpetuar estereotipos de género o raza.</w:t>
      </w:r>
    </w:p>
    <w:p w14:paraId="7E375FE8" w14:textId="77777777" w:rsidR="00BF2178" w:rsidRPr="00BF2178" w:rsidRDefault="00BF2178" w:rsidP="00BF2178">
      <w:pPr>
        <w:pStyle w:val="SingleTxtG"/>
      </w:pPr>
      <w:r w:rsidRPr="00BF2178">
        <w:t>42.</w:t>
      </w:r>
      <w:r w:rsidRPr="00BF2178">
        <w:tab/>
        <w:t>Los Estados partes deben prohibir por ley la elaboración de perfiles o la selección de niños de cualquier edad con fines comerciales mediante un registro digital de sus características reales o inferidas, incluidos los datos grupales o colectivos, la selección por asociación o los perfiles de afinidad. Las prácticas basadas en la publicidad subliminal, la analítica emocional, la publicidad inmersiva y la publicidad en entornos de realidad virtual y aumentada para promocionar productos, aplicaciones y servicios también deben tener prohibida la interacción directa o indirecta con niños.</w:t>
      </w:r>
    </w:p>
    <w:p w14:paraId="2D6731C1" w14:textId="77777777" w:rsidR="00BF2178" w:rsidRPr="00BF2178" w:rsidRDefault="00BF2178" w:rsidP="00BF2178">
      <w:pPr>
        <w:pStyle w:val="H1G"/>
      </w:pPr>
      <w:bookmarkStart w:id="25" w:name="_Toc47967805"/>
      <w:r w:rsidRPr="00BF2178">
        <w:tab/>
        <w:t>K.</w:t>
      </w:r>
      <w:r w:rsidRPr="00BF2178">
        <w:tab/>
        <w:t>Acceso a la justicia y la reparación</w:t>
      </w:r>
      <w:bookmarkEnd w:id="25"/>
    </w:p>
    <w:p w14:paraId="6AEC974C" w14:textId="77777777" w:rsidR="00BF2178" w:rsidRPr="00BF2178" w:rsidRDefault="00BF2178" w:rsidP="00BF2178">
      <w:pPr>
        <w:pStyle w:val="SingleTxtG"/>
      </w:pPr>
      <w:r w:rsidRPr="00BF2178">
        <w:t>43.</w:t>
      </w:r>
      <w:r w:rsidRPr="00BF2178">
        <w:tab/>
        <w:t xml:space="preserve">Respecto del acceso a la justicia en relación con el entorno digital, los niños se enfrentan a dificultades especiales por una serie de razones. Esos problemas surgen debido a la falta de legislación que sancione las violaciones de los derechos de los niños específicamente relacionadas con el entorno digital, así como a las dificultades para obtener pruebas o identificar a los autores, o bien porque los niños y sus padres o cuidadores no conocen sus derechos o lo que constituye una violación o vulneración de sus derechos en el entorno digital, entre otros factores. Pueden surgir otros problemas cuando los niños se ven </w:t>
      </w:r>
      <w:r w:rsidRPr="00BF2178">
        <w:lastRenderedPageBreak/>
        <w:t>obligados a revelar actividades delicadas o privadas en línea, o cuando temen represalias por parte de sus iguales o la exclusión social.</w:t>
      </w:r>
    </w:p>
    <w:p w14:paraId="117524D1" w14:textId="77777777" w:rsidR="00BF2178" w:rsidRPr="00BF2178" w:rsidRDefault="00BF2178" w:rsidP="00BF2178">
      <w:pPr>
        <w:pStyle w:val="SingleTxtG"/>
      </w:pPr>
      <w:r w:rsidRPr="00BF2178">
        <w:t>44.</w:t>
      </w:r>
      <w:r w:rsidRPr="00BF2178">
        <w:tab/>
        <w:t>Los Estados partes deben asegurarse de que todos los niños y sus representantes conozcan y tengan a su disposición mecanismos de reparación judiciales y no judiciales adecuados y eficaces para abordar las violaciones de los derechos de los niños en relación con el entorno digital. Los mecanismos de denuncia e información deberían ser gratuitos, seguros, confidenciales, receptivos, adaptados a los niños y disponibles en formatos accesibles. Los Estados partes también deben prever las denuncias colectivas, incluidas demandas colectivas y los litigios de interés público, así como la prestación de asistencia apropiada, jurídica o de otra índole, por ejemplo mediante servicios especializados, a los niños cuyos derechos hayan sido vulnerados en el entorno digital o a través de este.</w:t>
      </w:r>
    </w:p>
    <w:p w14:paraId="5612101C" w14:textId="77777777" w:rsidR="00BF2178" w:rsidRPr="00BF2178" w:rsidRDefault="00BF2178" w:rsidP="00BF2178">
      <w:pPr>
        <w:pStyle w:val="SingleTxtG"/>
      </w:pPr>
      <w:r w:rsidRPr="00BF2178">
        <w:t>45.</w:t>
      </w:r>
      <w:r w:rsidRPr="00BF2178">
        <w:tab/>
        <w:t>Los Estados partes deben establecer, coordinar, y vigilar y evaluar periódicamente los marcos para la derivación de esos casos y la prestación de un apoyo eficaz a los niños víctimas</w:t>
      </w:r>
      <w:r w:rsidRPr="00BF2178">
        <w:rPr>
          <w:sz w:val="18"/>
          <w:szCs w:val="18"/>
          <w:vertAlign w:val="superscript"/>
        </w:rPr>
        <w:footnoteReference w:id="22"/>
      </w:r>
      <w:r w:rsidRPr="00BF2178">
        <w:t>. Los marcos deben incluir medidas para detectar a esos niños, proporcionarles terapia y seguimiento, y asegurar su reintegración social. Los mecanismos de derivación deben incluir formación sobre la detección de niños víctimas, también para los proveedores de servicios digitales. Las medidas dentro de ese marco deben tomarse a nivel de los diversos organismos interesados y adaptarse a los niños, a fin de evitar su victimización recurrente o secundaria en el contexto de los procesos investigativos y judiciales. Ello puede requerir protecciones especializadas para garantizar la confidencialidad y para reparar los daños relacionados con el entorno digital.</w:t>
      </w:r>
    </w:p>
    <w:p w14:paraId="0E00E621" w14:textId="77777777" w:rsidR="00BF2178" w:rsidRPr="00BF2178" w:rsidRDefault="00BF2178" w:rsidP="00BF2178">
      <w:pPr>
        <w:pStyle w:val="SingleTxtG"/>
      </w:pPr>
      <w:r w:rsidRPr="00BF2178">
        <w:t>46.</w:t>
      </w:r>
      <w:r w:rsidRPr="00BF2178">
        <w:tab/>
        <w:t>Una reparación adecuada incluye la restitución, la compensación y la satisfacción, y puede requerir una disculpa, una corrección, la eliminación de contenidos ilícitos, el acceso a servicios de recuperación psicológica u otras medidas</w:t>
      </w:r>
      <w:r w:rsidRPr="00BF2178">
        <w:rPr>
          <w:sz w:val="18"/>
          <w:szCs w:val="18"/>
          <w:vertAlign w:val="superscript"/>
        </w:rPr>
        <w:footnoteReference w:id="23"/>
      </w:r>
      <w:r w:rsidRPr="00BF2178">
        <w:t>. En relación con las vulneraciones en el entorno digital, los mecanismos de reparación deben tener en cuenta la vulnerabilidad de los niños y la necesidad de actuar con rapidez a fin de detener los daños actuales y futuros. Los Estados partes deben garantizar la no recurrencia de las vulneraciones mediante, entre otras cosas, la reforma de las leyes y políticas pertinentes y su aplicación efectiva.</w:t>
      </w:r>
    </w:p>
    <w:p w14:paraId="53893F4D" w14:textId="77777777" w:rsidR="00BF2178" w:rsidRPr="00BF2178" w:rsidRDefault="00BF2178" w:rsidP="00BF2178">
      <w:pPr>
        <w:pStyle w:val="SingleTxtG"/>
      </w:pPr>
      <w:r w:rsidRPr="00BF2178">
        <w:t>47.</w:t>
      </w:r>
      <w:r w:rsidRPr="00BF2178">
        <w:tab/>
        <w:t>Las tecnologías digitales aportan una complejidad adicional a la investigación y el enjuiciamiento de los delitos cometidos contra niños, que pueden ser de carácter transnacional. Los Estados partes deben examinar las modalidades en que la utilización de las tecnologías digitales puede facilitar u obstaculizar la investigación y el enjuiciamiento de los delitos cometidos contra niños y adoptar todas las medidas preventivas, coercitivas y correctivas disponibles, en cooperación con asociados internacionales cuando proceda. Deben impartir formación especializada a los agentes del orden, a los fiscales y a los jueces en relación con las vulneraciones de los derechos del niño específicamente relacionadas con el entorno digital, entre otras formas mediante la cooperación internacional.</w:t>
      </w:r>
    </w:p>
    <w:p w14:paraId="534E5978" w14:textId="77777777" w:rsidR="00BF2178" w:rsidRPr="00BF2178" w:rsidRDefault="00BF2178" w:rsidP="00BF2178">
      <w:pPr>
        <w:pStyle w:val="SingleTxtG"/>
      </w:pPr>
      <w:r w:rsidRPr="00BF2178">
        <w:t>48.</w:t>
      </w:r>
      <w:r w:rsidRPr="00BF2178">
        <w:tab/>
        <w:t>Los niños pueden afrontar especiales dificultades para obtener reparación cuando sus derechos han sido vulnerados en el entorno digital por empresas, en particular en el contexto de sus operaciones a escala mundial</w:t>
      </w:r>
      <w:r w:rsidRPr="00BF2178">
        <w:rPr>
          <w:sz w:val="18"/>
          <w:szCs w:val="18"/>
          <w:vertAlign w:val="superscript"/>
        </w:rPr>
        <w:footnoteReference w:id="24"/>
      </w:r>
      <w:r w:rsidR="005E24EF">
        <w:t xml:space="preserve">. </w:t>
      </w:r>
      <w:r w:rsidRPr="00BF2178">
        <w:t>Los Estados partes deben considerar la posibilidad de adoptar medidas para respetar, proteger y hacer efectivos los derechos del niño en el contexto de las actividades y operaciones empresariales de carácter extraterritorial, siempre que exista un vínculo razonable entre el Estado y la conducta de que se trate. Deben asegurarse de que las empresas ofrezcan mecanismos de denuncia eficaces; sin embargo, estos mecanismos no deben impedir que los niños tengan acceso a recursos estatales. También deben cerciorarse de que los organismos con competencias de supervisión que sean pertinentes para los derechos de los niños, como los relacionados con la salud y la seguridad, la protección de datos y los derechos de los consumidores, la educación, y la publicidad y la comercialización, investiguen las denuncias y ofrezcan recursos adecuados para los casos de violaciones o vulneraciones de los derechos de los niños en el entorno digital</w:t>
      </w:r>
      <w:r w:rsidRPr="00BF2178">
        <w:rPr>
          <w:sz w:val="18"/>
          <w:szCs w:val="18"/>
          <w:vertAlign w:val="superscript"/>
        </w:rPr>
        <w:footnoteReference w:id="25"/>
      </w:r>
      <w:r w:rsidRPr="00BF2178">
        <w:t>.</w:t>
      </w:r>
    </w:p>
    <w:p w14:paraId="7FCB2B07" w14:textId="77777777" w:rsidR="00BF2178" w:rsidRPr="00BF2178" w:rsidRDefault="00BF2178" w:rsidP="00BF2178">
      <w:pPr>
        <w:pStyle w:val="SingleTxtG"/>
      </w:pPr>
      <w:r w:rsidRPr="00BF2178">
        <w:lastRenderedPageBreak/>
        <w:t>49.</w:t>
      </w:r>
      <w:r w:rsidRPr="00BF2178">
        <w:tab/>
        <w:t xml:space="preserve">Los Estados partes deben proporcionar a los niños información adaptada a sus necesidades y a su edad en un lenguaje apropiado para ellos sobre sus derechos y sobre los mecanismos de información y denuncia, los servicios y los recursos de que disponen en caso de violación o vulneración de sus derechos en relación con el entorno digital. Esta información también debe proporcionarse a los padres, cuidadores y profesionales que trabajan con los niños y en favor de estos. </w:t>
      </w:r>
      <w:bookmarkStart w:id="26" w:name="m_-3334785828707335506__ftnref1"/>
      <w:bookmarkEnd w:id="26"/>
    </w:p>
    <w:p w14:paraId="303EB4F6" w14:textId="77777777" w:rsidR="00BF2178" w:rsidRPr="00BF2178" w:rsidRDefault="00BF2178" w:rsidP="00BF2178">
      <w:pPr>
        <w:pStyle w:val="HChG"/>
      </w:pPr>
      <w:bookmarkStart w:id="27" w:name="_Toc47967806"/>
      <w:r>
        <w:tab/>
      </w:r>
      <w:r w:rsidRPr="00BF2178">
        <w:t>VI.</w:t>
      </w:r>
      <w:r w:rsidRPr="00BF2178">
        <w:tab/>
        <w:t>Derechos y libertades civiles</w:t>
      </w:r>
      <w:bookmarkEnd w:id="27"/>
    </w:p>
    <w:p w14:paraId="70B1204C" w14:textId="77777777" w:rsidR="00BF2178" w:rsidRPr="00BF2178" w:rsidRDefault="00BF2178" w:rsidP="00BF2178">
      <w:pPr>
        <w:pStyle w:val="H1G"/>
      </w:pPr>
      <w:bookmarkStart w:id="28" w:name="_Toc47967807"/>
      <w:r w:rsidRPr="00BF2178">
        <w:tab/>
        <w:t>A.</w:t>
      </w:r>
      <w:r w:rsidRPr="00BF2178">
        <w:tab/>
        <w:t>Acceso a la información</w:t>
      </w:r>
      <w:bookmarkEnd w:id="28"/>
    </w:p>
    <w:p w14:paraId="56310921" w14:textId="77777777" w:rsidR="00BF2178" w:rsidRPr="00BF2178" w:rsidRDefault="00BF2178" w:rsidP="00BF2178">
      <w:pPr>
        <w:pStyle w:val="SingleTxtG"/>
      </w:pPr>
      <w:r w:rsidRPr="00BF2178">
        <w:t>50.</w:t>
      </w:r>
      <w:r w:rsidRPr="00BF2178">
        <w:tab/>
        <w:t>El entorno digital ofrece una oportunidad única para que los niños hagan efectivo su derecho de acceso a la información. A este respecto, los medios de información y comunicación, incluidos los contenidos digitales y en línea, desempeñan una función importante</w:t>
      </w:r>
      <w:r w:rsidRPr="00BF2178">
        <w:rPr>
          <w:sz w:val="18"/>
          <w:szCs w:val="18"/>
          <w:vertAlign w:val="superscript"/>
        </w:rPr>
        <w:footnoteReference w:id="26"/>
      </w:r>
      <w:r w:rsidR="005E24EF">
        <w:t>.</w:t>
      </w:r>
      <w:r w:rsidRPr="00BF2178">
        <w:t xml:space="preserve"> Los Estados partes deben garantizar que los niños tengan acceso a la información en el entorno digital y que el ejercicio de ese derecho solo se restrinja cuando lo disponga la ley y sea necesario para los fines estipulados en el artículo 13 de la Convención.</w:t>
      </w:r>
    </w:p>
    <w:p w14:paraId="32382B34" w14:textId="77777777" w:rsidR="00BF2178" w:rsidRPr="00BF2178" w:rsidRDefault="00BF2178" w:rsidP="00BF2178">
      <w:pPr>
        <w:pStyle w:val="SingleTxtG"/>
      </w:pPr>
      <w:r w:rsidRPr="00BF2178">
        <w:t>51.</w:t>
      </w:r>
      <w:r w:rsidRPr="00BF2178">
        <w:tab/>
        <w:t>Los Estados partes deben fomentar y apoyar la creación de contenidos digitales adaptados a la edad de los niños y destinados a potenciar su papel en la sociedad, de acuerdo con la evolución de sus facultades, y lograr que estos tengan acceso a una amplia diversidad de información, incluida la que poseen los organismos públicos, sobre cultura, deportes, artes, salud, asuntos civiles y políticos y derechos de los niños.</w:t>
      </w:r>
    </w:p>
    <w:p w14:paraId="2FDE392B" w14:textId="77777777" w:rsidR="00BF2178" w:rsidRPr="00BF2178" w:rsidRDefault="00BF2178" w:rsidP="00BF2178">
      <w:pPr>
        <w:pStyle w:val="SingleTxtG"/>
      </w:pPr>
      <w:r w:rsidRPr="00BF2178">
        <w:t>52.</w:t>
      </w:r>
      <w:r w:rsidRPr="00BF2178">
        <w:tab/>
        <w:t>Los Estados partes deben alentar la producción y difusión de esos contenidos utilizando múltiples formatos y a partir de una pluralidad de fuentes nacionales e internacionales, incluidos los medios de comunicación, las emisoras, los museos, las bibliotecas y las organizaciones educativas, científicas y culturales. En particular, deben esforzarse por mejorar la oferta de contenidos diversos, accesibles y provechosos para los niños con discapacidad y los pertenecientes a grupos étnicos, lingüísticos, indígenas y otras minorías. La posibilidad de acceder a información pertinente, en los idiomas que los niños entienden, puede tener efectos positivos considerables en la igualdad</w:t>
      </w:r>
      <w:r w:rsidRPr="00BF2178">
        <w:rPr>
          <w:sz w:val="18"/>
          <w:szCs w:val="18"/>
          <w:vertAlign w:val="superscript"/>
        </w:rPr>
        <w:footnoteReference w:id="27"/>
      </w:r>
      <w:r w:rsidRPr="00BF2178">
        <w:t>.</w:t>
      </w:r>
    </w:p>
    <w:p w14:paraId="7B43E0D6" w14:textId="77777777" w:rsidR="00BF2178" w:rsidRPr="00BF2178" w:rsidRDefault="00BF2178" w:rsidP="00BF2178">
      <w:pPr>
        <w:pStyle w:val="SingleTxtG"/>
      </w:pPr>
      <w:r w:rsidRPr="00BF2178">
        <w:t>53.</w:t>
      </w:r>
      <w:r w:rsidRPr="00BF2178">
        <w:tab/>
        <w:t>Los Estados partes deben asegurarse de que todos los niños estén informados y puedan encontrar fácilmente información diversa y de buena calidad en línea, incluidos contenidos independientes de intereses comerciales o políticos. Deben cerciorarse asimismo de que la búsqueda y el filtrado de información automatizados, incluidos los sistemas de recomendación, no den mayor prioridad a contenidos de pago que tengan una motivación comercial o política en desmedro de las opciones expresadas por los niños o a expensas del derecho de estos a la información.</w:t>
      </w:r>
    </w:p>
    <w:p w14:paraId="7615771D" w14:textId="77777777" w:rsidR="00BF2178" w:rsidRPr="00BF2178" w:rsidRDefault="00BF2178" w:rsidP="0064254D">
      <w:pPr>
        <w:pStyle w:val="SingleTxtG"/>
        <w:spacing w:after="130"/>
      </w:pPr>
      <w:r w:rsidRPr="00BF2178">
        <w:t>54.</w:t>
      </w:r>
      <w:r w:rsidRPr="00BF2178">
        <w:tab/>
        <w:t>En el entorno digital puede haber información que propugne los estereotipos de género, la discriminación, el racismo, la violencia, la pornografía y la explotación, así como relatos falsos, información errónea y desinformación, e información que incite a los niños a participar en actividades ilícitas o perjudiciales. Esa información puede proceder de múltiples fuentes, tales como otros usuarios, creadores de contenidos comerciales, delincuentes sexuales o grupos armados designados como terroristas o extremistas violentos. Los Estados partes deben proteger a los niños contra los contenidos nocivos y poco fiables y garantizar que las empresas pertinentes y otros proveedores de contenidos digitales elaboren y apliquen directrices que permitan a los niños acceder de forma segura a contenidos diversos, reconociendo los derechos de los niños a la información y a la libertad de expresión, y protegiéndolos al mismo tiempo frente a ese material nocivo de conformidad con sus derechos y la evolución de sus facultades</w:t>
      </w:r>
      <w:r w:rsidRPr="00BF2178">
        <w:rPr>
          <w:sz w:val="18"/>
          <w:szCs w:val="18"/>
          <w:vertAlign w:val="superscript"/>
        </w:rPr>
        <w:footnoteReference w:id="28"/>
      </w:r>
      <w:r w:rsidRPr="00BF2178">
        <w:t>. Toda restricción del funcionamiento de los sistemas de difusión de información basados en Internet, electrónicos o de otra índole debe ajustarse a lo dispuesto en el artículo 13 de la Convención</w:t>
      </w:r>
      <w:r w:rsidRPr="00BF2178">
        <w:rPr>
          <w:sz w:val="18"/>
          <w:szCs w:val="18"/>
          <w:vertAlign w:val="superscript"/>
        </w:rPr>
        <w:footnoteReference w:id="29"/>
      </w:r>
      <w:r w:rsidRPr="00BF2178">
        <w:t xml:space="preserve">. Los Estados partes no deben </w:t>
      </w:r>
      <w:r w:rsidRPr="00BF2178">
        <w:lastRenderedPageBreak/>
        <w:t>obstruir intencionalmente ni permitir que otros agentes obstruyan el suministro de electricidad, las redes de telefonía móvil o la conectividad a Internet en ninguna zona geográfica, ya sea en parte o en su totalidad, de manera que ello pueda tener por efecto obstaculizar el acceso de los niños a la información y la comunicación.</w:t>
      </w:r>
    </w:p>
    <w:p w14:paraId="308779AA" w14:textId="77777777" w:rsidR="00BF2178" w:rsidRPr="00BF2178" w:rsidRDefault="00BF2178" w:rsidP="0064254D">
      <w:pPr>
        <w:pStyle w:val="SingleTxtG"/>
        <w:spacing w:after="130"/>
      </w:pPr>
      <w:r w:rsidRPr="00BF2178">
        <w:t>55.</w:t>
      </w:r>
      <w:r w:rsidRPr="00BF2178">
        <w:tab/>
        <w:t>Los Estados partes deben alentar a los proveedores de servicios digitales utilizados por los niños a aplicar un etiquetado de contenidos conciso e inteligible, por ejemplo en lo que respecta a la adecuación a la edad o la fiabilidad de los contenidos. También deben fomentar la provisión de orientación, capacitación, materiales educativos y mecanismos de información accesibles a los niños, los padres y cuidadores, los educadores y los grupos profesionales pertinentes</w:t>
      </w:r>
      <w:r w:rsidRPr="00BF2178">
        <w:rPr>
          <w:sz w:val="18"/>
          <w:szCs w:val="18"/>
          <w:vertAlign w:val="superscript"/>
        </w:rPr>
        <w:footnoteReference w:id="30"/>
      </w:r>
      <w:r w:rsidR="00B76D28">
        <w:t xml:space="preserve">. </w:t>
      </w:r>
      <w:r w:rsidRPr="00BF2178">
        <w:t>Los sistemas basados en la edad o en el contenido, diseñados para proteger a los niños contra contenidos inapropiados para su edad, deben ser coherentes con el principio de minimización de los datos.</w:t>
      </w:r>
    </w:p>
    <w:p w14:paraId="58533869" w14:textId="77777777" w:rsidR="00BF2178" w:rsidRPr="00BF2178" w:rsidRDefault="00BF2178" w:rsidP="0064254D">
      <w:pPr>
        <w:pStyle w:val="SingleTxtG"/>
        <w:spacing w:after="130"/>
      </w:pPr>
      <w:r w:rsidRPr="00BF2178">
        <w:t>56.</w:t>
      </w:r>
      <w:r w:rsidRPr="00BF2178">
        <w:tab/>
        <w:t>Los Estados partes deben lograr que los proveedores de servicios digitales respeten las directrices, normas y códigos pertinentes</w:t>
      </w:r>
      <w:r w:rsidRPr="00BF2178">
        <w:rPr>
          <w:sz w:val="18"/>
          <w:szCs w:val="18"/>
          <w:vertAlign w:val="superscript"/>
        </w:rPr>
        <w:footnoteReference w:id="31"/>
      </w:r>
      <w:r w:rsidRPr="00BF2178">
        <w:t xml:space="preserve"> y apliquen normas de moderación de contenidos lícitas, necesarias y proporcionadas. Los controles de contenido, los sistemas de filtrado escolar y otras tecnologías orientadas a la seguridad no deben utilizarse para restringir el acceso de los niños a la información en el entorno digital, sino únicamente para evitar que el material nocivo llegue a los niños. La moderación y el control de los contenidos deben equilibrarse con el derecho de los niños a la protección frente a las violaciones de otros derechos, especialmente su derecho a la libertad de expresión y a la privacidad.</w:t>
      </w:r>
    </w:p>
    <w:p w14:paraId="0BA80331" w14:textId="77777777" w:rsidR="00BF2178" w:rsidRPr="00BF2178" w:rsidRDefault="00BF2178" w:rsidP="0064254D">
      <w:pPr>
        <w:pStyle w:val="SingleTxtG"/>
        <w:spacing w:after="130"/>
      </w:pPr>
      <w:r w:rsidRPr="00BF2178">
        <w:t>57.</w:t>
      </w:r>
      <w:r w:rsidRPr="00BF2178">
        <w:tab/>
        <w:t>Los códigos de conducta profesional establecidos por los medios de comunicación y otras organizaciones pertinentes deben incluir orientaciones sobre cómo informar de los riesgos y oportunidades digitales que guardan relación con los niños. Esas orientaciones deben tener como resultado la presentación de informes basados en pruebas que no revelen la identidad de los niños víctimas y supervivientes y que se ajusten a las normas internacionales de derechos humanos.</w:t>
      </w:r>
    </w:p>
    <w:p w14:paraId="478F299F" w14:textId="77777777" w:rsidR="00BF2178" w:rsidRPr="00BF2178" w:rsidRDefault="00BF2178" w:rsidP="00BF2178">
      <w:pPr>
        <w:pStyle w:val="H1G"/>
      </w:pPr>
      <w:bookmarkStart w:id="29" w:name="_Toc47967808"/>
      <w:bookmarkStart w:id="30" w:name="_Toc27062255"/>
      <w:r w:rsidRPr="00BF2178">
        <w:tab/>
        <w:t>B.</w:t>
      </w:r>
      <w:r w:rsidRPr="00BF2178">
        <w:tab/>
        <w:t>Libertad de expresión</w:t>
      </w:r>
      <w:bookmarkEnd w:id="29"/>
    </w:p>
    <w:p w14:paraId="5A3C82CA" w14:textId="77777777" w:rsidR="00BF2178" w:rsidRPr="00BF2178" w:rsidRDefault="00BF2178" w:rsidP="0064254D">
      <w:pPr>
        <w:pStyle w:val="SingleTxtG"/>
        <w:spacing w:after="130"/>
      </w:pPr>
      <w:r w:rsidRPr="00BF2178">
        <w:t>58.</w:t>
      </w:r>
      <w:r w:rsidRPr="00BF2178">
        <w:tab/>
        <w:t>El derecho de los niños a la libertad de expresión incluye la libertad de buscar, recibir y difundir información e ideas de todo tipo a través de cualquier medio que ellos elijan. Los niños señalaron</w:t>
      </w:r>
      <w:r w:rsidRPr="00BF2178">
        <w:rPr>
          <w:sz w:val="18"/>
          <w:szCs w:val="18"/>
          <w:vertAlign w:val="superscript"/>
        </w:rPr>
        <w:footnoteReference w:id="32"/>
      </w:r>
      <w:r w:rsidRPr="00BF2178">
        <w:t xml:space="preserve"> que el entorno digital ofrecía un margen considerable para expresar sus ideas, opiniones y puntos de vista políticos. Para los niños en situaciones desfavorecidas o de vulnerabilidad, la interacción que la tecnología les permite establecer con otros niños con experiencias similares puede fomentar su capacidad de expresión.</w:t>
      </w:r>
      <w:bookmarkEnd w:id="30"/>
    </w:p>
    <w:p w14:paraId="5E726AE7" w14:textId="77777777" w:rsidR="00BF2178" w:rsidRPr="00BF2178" w:rsidRDefault="00BF2178" w:rsidP="0064254D">
      <w:pPr>
        <w:pStyle w:val="SingleTxtG"/>
        <w:spacing w:after="130"/>
      </w:pPr>
      <w:r w:rsidRPr="00BF2178">
        <w:t>59.</w:t>
      </w:r>
      <w:r w:rsidRPr="00BF2178">
        <w:tab/>
        <w:t>Cualquier restricción del derecho a la libertad de expresión de los niños en el entorno digital, como los filtros, incluidas las medidas de seguridad, debe ser legal, necesaria y proporcionada. Los motivos de estas restricciones deben ser transparentes y comunicarse a los niños en un lenguaje adaptado a su edad. Los Estados partes deben proporcionar a los niños información y oportunidades de formación sobre cómo ejercer efectivamente ese derecho, en particular sobre cómo crear y difundir contenidos digitales de forma segura, respetando los derechos y la dignidad de los demás y no infringiendo la legislación, como la relativa a la incitación al odio y la violencia.</w:t>
      </w:r>
    </w:p>
    <w:p w14:paraId="667C12DB" w14:textId="77777777" w:rsidR="00BF2178" w:rsidRPr="00BF2178" w:rsidRDefault="00BF2178" w:rsidP="0064254D">
      <w:pPr>
        <w:pStyle w:val="SingleTxtG"/>
        <w:spacing w:after="130"/>
      </w:pPr>
      <w:r w:rsidRPr="00BF2178">
        <w:t>60.</w:t>
      </w:r>
      <w:r w:rsidRPr="00BF2178">
        <w:tab/>
        <w:t>Cuando los niños expresan sus opiniones e identidades políticas o de otra índole en el entorno digital, pueden atraer críticas, hostilidad, amenazas o castigos. Los Estados partes deben proteger a los niños contra las ciberagresiones y amenazas, la censura, las filtraciones de datos y la vigilancia digital. Los niños no deben ser enjuiciados por expresar sus opiniones en el entorno digital, a menos que no respeten las restricciones previstas en la legislación penal que sean compatibles con el artículo 13 de la Convención.</w:t>
      </w:r>
    </w:p>
    <w:p w14:paraId="40EC4DD3" w14:textId="77777777" w:rsidR="00BF2178" w:rsidRPr="00BF2178" w:rsidRDefault="00BF2178" w:rsidP="0064254D">
      <w:pPr>
        <w:pStyle w:val="SingleTxtG"/>
        <w:keepNext/>
        <w:keepLines/>
      </w:pPr>
      <w:r w:rsidRPr="00BF2178">
        <w:lastRenderedPageBreak/>
        <w:t>61.</w:t>
      </w:r>
      <w:r w:rsidRPr="00BF2178">
        <w:tab/>
        <w:t>Dada la existencia de motivaciones comerciales y políticas para promover determinadas visiones del mundo, los Estados partes deben garantizar que la utilización de los procesos automatizados de filtrado de información, elaboración de perfiles, comercialización y adopción de decisiones no suplanten, manipulen o inhiban la capacidad de los niños para formar y expresar sus opiniones en el entorno digital.</w:t>
      </w:r>
    </w:p>
    <w:p w14:paraId="44727191" w14:textId="77777777" w:rsidR="00BF2178" w:rsidRPr="00BF2178" w:rsidRDefault="00BF2178" w:rsidP="00BF2178">
      <w:pPr>
        <w:pStyle w:val="H1G"/>
      </w:pPr>
      <w:bookmarkStart w:id="31" w:name="_Toc42700956"/>
      <w:bookmarkStart w:id="32" w:name="_Toc47967809"/>
      <w:r w:rsidRPr="00BF2178">
        <w:tab/>
        <w:t>C.</w:t>
      </w:r>
      <w:r w:rsidRPr="00BF2178">
        <w:tab/>
        <w:t>Libertad de pensamiento, de conciencia y de religión</w:t>
      </w:r>
      <w:bookmarkEnd w:id="31"/>
      <w:bookmarkEnd w:id="32"/>
    </w:p>
    <w:p w14:paraId="757BA050" w14:textId="77777777" w:rsidR="00BF2178" w:rsidRPr="00BF2178" w:rsidRDefault="00BF2178" w:rsidP="00D5698F">
      <w:pPr>
        <w:pStyle w:val="SingleTxtG"/>
        <w:spacing w:after="130"/>
      </w:pPr>
      <w:r w:rsidRPr="00BF2178">
        <w:t>62.</w:t>
      </w:r>
      <w:r w:rsidRPr="00BF2178">
        <w:tab/>
        <w:t>Los Estados partes deben respetar el derecho del niño a la libertad de pensamiento, de conciencia y de religión en el entorno digital. El Comité alienta a los Estados partes a que establezcan una normativa de protección de datos y de diseño, o actualicen la existente, a fin de incluir la identificación, definición y prohibición de las prácticas que manipulen o inhiban el derecho de los niños a la libertad de pensamiento y de creencias en el entorno digital, por ejemplo mediante el análisis emocional o la inferencia. Los sistemas automatizados pueden utilizarse para hacer inferencias sobre el estado interior del niño. Los Estados partes deben garantizar que los sistemas automatizados o los sistemas de filtrado de información no se utilicen para afectar o influenciar el comportamiento o las emociones de los niños ni para limitar sus oportunidades o su desarrollo.</w:t>
      </w:r>
    </w:p>
    <w:p w14:paraId="22C218B2" w14:textId="77777777" w:rsidR="00BF2178" w:rsidRPr="00BF2178" w:rsidRDefault="00BF2178" w:rsidP="00BF2178">
      <w:pPr>
        <w:pStyle w:val="SingleTxtG"/>
      </w:pPr>
      <w:r w:rsidRPr="00BF2178">
        <w:t>63.</w:t>
      </w:r>
      <w:r w:rsidRPr="00BF2178">
        <w:tab/>
        <w:t>Los Estados partes deben velar por que los niños no sean penalizados por su religión o sus creencias y no se restrinjan sus oportunidades futuras de ningún otro modo. El ejercicio del derecho de los niños a manifestar su religión o sus creencias en el entorno digital solo puede estar sujeto a limitaciones que sean legales, necesarias y proporcionadas.</w:t>
      </w:r>
    </w:p>
    <w:p w14:paraId="0B3A336B" w14:textId="77777777" w:rsidR="00BF2178" w:rsidRPr="00BF2178" w:rsidRDefault="00BF2178" w:rsidP="00BF2178">
      <w:pPr>
        <w:pStyle w:val="H1G"/>
      </w:pPr>
      <w:bookmarkStart w:id="33" w:name="_Toc42700957"/>
      <w:bookmarkStart w:id="34" w:name="_Toc47967810"/>
      <w:r w:rsidRPr="00BF2178">
        <w:tab/>
        <w:t>D.</w:t>
      </w:r>
      <w:r w:rsidRPr="00BF2178">
        <w:tab/>
        <w:t>Libertad de asociación y de reunión pacífica</w:t>
      </w:r>
      <w:bookmarkEnd w:id="33"/>
      <w:bookmarkEnd w:id="34"/>
    </w:p>
    <w:p w14:paraId="52D33FAD" w14:textId="77777777" w:rsidR="00BF2178" w:rsidRPr="00BF2178" w:rsidRDefault="00BF2178" w:rsidP="00D5698F">
      <w:pPr>
        <w:pStyle w:val="SingleTxtG"/>
        <w:spacing w:after="130"/>
      </w:pPr>
      <w:r w:rsidRPr="00BF2178">
        <w:t>64.</w:t>
      </w:r>
      <w:r w:rsidRPr="00BF2178">
        <w:tab/>
        <w:t>El entorno digital puede contribuir a que los niños formen sus identidades sociales, religiosas, culturales, étnicas, sexuales y políticas y participen en comunidades asociadas y en espacios públicos de deliberación, intercambio cultural, cohesión social y diversidad</w:t>
      </w:r>
      <w:r w:rsidRPr="00BF2178">
        <w:rPr>
          <w:sz w:val="18"/>
          <w:szCs w:val="18"/>
          <w:vertAlign w:val="superscript"/>
        </w:rPr>
        <w:footnoteReference w:id="33"/>
      </w:r>
      <w:r w:rsidRPr="00BF2178">
        <w:t>. Los niños afirmaron que el entorno digital les proporcionaba valiosas oportunidades para reunirse, intercambiar experiencias y dialogar con otros niños, con los encargados de la adopción de decisiones y con otras personas que compartían sus intereses</w:t>
      </w:r>
      <w:r w:rsidRPr="00BF2178">
        <w:rPr>
          <w:sz w:val="18"/>
          <w:szCs w:val="18"/>
          <w:vertAlign w:val="superscript"/>
        </w:rPr>
        <w:footnoteReference w:id="34"/>
      </w:r>
      <w:r w:rsidRPr="00BF2178">
        <w:t>.</w:t>
      </w:r>
    </w:p>
    <w:p w14:paraId="0D3EA558" w14:textId="77777777" w:rsidR="00BF2178" w:rsidRPr="00BF2178" w:rsidRDefault="00BF2178" w:rsidP="00D5698F">
      <w:pPr>
        <w:pStyle w:val="SingleTxtG"/>
        <w:spacing w:after="130"/>
      </w:pPr>
      <w:r w:rsidRPr="00BF2178">
        <w:t>65.</w:t>
      </w:r>
      <w:r w:rsidRPr="00BF2178">
        <w:tab/>
        <w:t>Los Estados partes deben cerciorarse de que sus leyes, reglamentos y políticas protejan el derecho de los niños a participar en organizaciones que funcionan parcial o exclusivamente en el entorno digital. No se pueden imponer restricciones al ejercicio del derecho de los niños a la libertad de asociación y de reunión pacífica en el entorno digital, salvo las que sean legales, necesarias y proporcionadas</w:t>
      </w:r>
      <w:r w:rsidRPr="00BF2178">
        <w:rPr>
          <w:sz w:val="18"/>
          <w:szCs w:val="18"/>
          <w:vertAlign w:val="superscript"/>
        </w:rPr>
        <w:footnoteReference w:id="35"/>
      </w:r>
      <w:r w:rsidRPr="00BF2178">
        <w:t>. Esa participación no debe tener por sí misma consecuencias negativas para esos niños, como su exclusión de la escuela, la restricción o la privación de futuras oportunidades o la creación de un perfil policial. Su participación debe ser segura, privada y libre de vigilancia por parte de entidades públicas o privadas.</w:t>
      </w:r>
    </w:p>
    <w:p w14:paraId="3759DE1C" w14:textId="77777777" w:rsidR="00BF2178" w:rsidRPr="00BF2178" w:rsidRDefault="00BF2178" w:rsidP="00D5698F">
      <w:pPr>
        <w:pStyle w:val="SingleTxtG"/>
        <w:spacing w:after="130"/>
      </w:pPr>
      <w:r w:rsidRPr="00BF2178">
        <w:t>66.</w:t>
      </w:r>
      <w:r w:rsidRPr="00BF2178">
        <w:tab/>
        <w:t>La visibilidad pública y las oportunidades de establecer redes en el entorno digital también pueden apoyar el activismo dirigido por los niños y empoderarlos como defensores de los derechos humanos. El Comité reconoce que el entorno digital permite a los niños, incluidos los que son defensores de los derechos humanos, así como los que se encuentran en situaciones de vulnerabilidad, comunicarse entre sí, defender sus derechos y formar asociaciones. Los Estados partes deben apoyarlos, entre otras formas facilitando la creación de espacios digitales específicos, y deben garantizar su seguridad.</w:t>
      </w:r>
    </w:p>
    <w:p w14:paraId="0DAABA68" w14:textId="77777777" w:rsidR="00BF2178" w:rsidRPr="00BF2178" w:rsidRDefault="00BF2178" w:rsidP="00BF2178">
      <w:pPr>
        <w:pStyle w:val="H1G"/>
      </w:pPr>
      <w:bookmarkStart w:id="35" w:name="_Toc27062256"/>
      <w:bookmarkStart w:id="36" w:name="_Toc42700958"/>
      <w:bookmarkStart w:id="37" w:name="_Toc47967811"/>
      <w:r w:rsidRPr="00BF2178">
        <w:lastRenderedPageBreak/>
        <w:tab/>
        <w:t>E.</w:t>
      </w:r>
      <w:r w:rsidRPr="00BF2178">
        <w:tab/>
        <w:t>Derecho a la privacidad</w:t>
      </w:r>
      <w:bookmarkEnd w:id="35"/>
      <w:bookmarkEnd w:id="36"/>
      <w:bookmarkEnd w:id="37"/>
    </w:p>
    <w:p w14:paraId="69BDE046" w14:textId="77777777" w:rsidR="00BF2178" w:rsidRPr="00BF2178" w:rsidRDefault="00BF2178" w:rsidP="00BF2178">
      <w:pPr>
        <w:pStyle w:val="SingleTxtG"/>
      </w:pPr>
      <w:bookmarkStart w:id="38" w:name="_Toc36165146"/>
      <w:bookmarkStart w:id="39" w:name="_Toc36165147"/>
      <w:bookmarkStart w:id="40" w:name="_Toc36165148"/>
      <w:bookmarkStart w:id="41" w:name="_Toc36165149"/>
      <w:bookmarkStart w:id="42" w:name="_Toc36165150"/>
      <w:bookmarkStart w:id="43" w:name="_Toc36165151"/>
      <w:bookmarkStart w:id="44" w:name="_Toc36165153"/>
      <w:bookmarkEnd w:id="38"/>
      <w:bookmarkEnd w:id="39"/>
      <w:bookmarkEnd w:id="40"/>
      <w:bookmarkEnd w:id="41"/>
      <w:bookmarkEnd w:id="42"/>
      <w:bookmarkEnd w:id="43"/>
      <w:bookmarkEnd w:id="44"/>
      <w:r w:rsidRPr="00BF2178">
        <w:t>67.</w:t>
      </w:r>
      <w:r w:rsidRPr="00BF2178">
        <w:tab/>
        <w:t>La privacidad es vital para la autonomía, la dignidad y la seguridad de los niños y para el ejercicio de sus derechos. Los datos personales de los niños se procesan para ofrecerles prestaciones educativas, sanitarias y de otra índole. Las amenazas a la privacidad de los niños pueden provenir de la reunión y el procesamiento de datos por instituciones públicas, empresas y otras organizaciones, así como de actividades delictivas como el robo de la identidad. Esas amenazas también pueden surgir como resultado de las propias actividades de los niños y de las actividades de los miembros de la familia, sus iguales u otras personas, por ejemplo cuando los padres publican fotografías en línea o una persona desconocida difunde información sobre un niño.</w:t>
      </w:r>
    </w:p>
    <w:p w14:paraId="3451DBFC" w14:textId="77777777" w:rsidR="00BF2178" w:rsidRPr="00BF2178" w:rsidRDefault="00BF2178" w:rsidP="00BF2178">
      <w:pPr>
        <w:pStyle w:val="SingleTxtG"/>
      </w:pPr>
      <w:r w:rsidRPr="00BF2178">
        <w:t>68.</w:t>
      </w:r>
      <w:r w:rsidRPr="00BF2178">
        <w:tab/>
        <w:t>Esos datos pueden incluir información sobre la identidad, las actividades, la ubicación, la comunicación, las emociones, la salud y las relaciones de los niños, entre otras cosas. Ciertas combinaciones de datos personales, como los datos biométricos, pueden identificar a un niño de forma determinante. Las prácticas digitales, como el procesamiento automatizado de datos, la elaboración de perfiles, la selección de comportamientos, la verificación obligatoria de la identidad, el filtrado de información y la vigilancia masiva, se están convirtiendo en procedimientos de rutina. Estas prácticas pueden dar lugar a una injerencia arbitraria o ilegal en el derecho de los niños a la privacidad y pueden también tener consecuencias adversas para estos, cuyo efecto podría continuar en etapas posteriores de su vida.</w:t>
      </w:r>
    </w:p>
    <w:p w14:paraId="4371245E" w14:textId="77777777" w:rsidR="00BF2178" w:rsidRPr="00BF2178" w:rsidRDefault="00BF2178" w:rsidP="00BF2178">
      <w:pPr>
        <w:pStyle w:val="SingleTxtG"/>
      </w:pPr>
      <w:r w:rsidRPr="00BF2178">
        <w:t>69.</w:t>
      </w:r>
      <w:r w:rsidRPr="00BF2178">
        <w:tab/>
        <w:t>La injerencia en la vida privada de un niño s</w:t>
      </w:r>
      <w:r w:rsidR="006271D9">
        <w:t>o</w:t>
      </w:r>
      <w:r w:rsidRPr="00BF2178">
        <w:t>lo es admisible si no es arbitraria o ilegal. Por tanto, toda injerencia de este tipo debe estar prevista por la ley, tener una finalidad legítima, respetar el principio de minimización de los datos, ser proporcionada, estar concebida en función del interés superior del niño y no debe entrar en conflicto con las disposiciones, los fines o los objetivos de la Convención.</w:t>
      </w:r>
    </w:p>
    <w:p w14:paraId="668D1179" w14:textId="77777777" w:rsidR="00BF2178" w:rsidRPr="00BF2178" w:rsidRDefault="00BF2178" w:rsidP="00BF2178">
      <w:pPr>
        <w:pStyle w:val="SingleTxtG"/>
      </w:pPr>
      <w:r w:rsidRPr="00BF2178">
        <w:t>70.</w:t>
      </w:r>
      <w:r w:rsidRPr="00BF2178">
        <w:tab/>
        <w:t>Los Estados partes deben adoptar medidas legislativas, administrativas y de otra índole para garantizar que la privacidad de los niños sea respetada y protegida por todas las organizaciones y en todos los entornos en que se procesen sus datos. La legislación debe incluir salvaguardias sólidas, transparencia, supervisión independiente y acceso a recursos. Los Estados partes deben exigir la integración de la privacidad desde la fase del diseño en los productos y servicios digitales que afectan a los niños. Deben revisar periódicamente la legislación sobre privacidad y protección de datos y asegurarse de que los procedimientos y las prácticas impidan toda infracción deliberada o violación accidental de la privacidad de los niños. Cuando se estime que el cifrado es un medio apropiado, los Estados partes deben considerar la adopción de medidas adecuadas que permitan detectar y denunciar la explotación y los abusos sexuales de niños o el material que muestre abusos sexuales de niños. Estas medidas deben estar estrictamente limitadas con arreglo a los principios de legalidad, necesidad y proporcionalidad.</w:t>
      </w:r>
    </w:p>
    <w:p w14:paraId="4CE43B4E" w14:textId="77777777" w:rsidR="00BF2178" w:rsidRPr="00BF2178" w:rsidRDefault="00BF2178" w:rsidP="00BF2178">
      <w:pPr>
        <w:pStyle w:val="SingleTxtG"/>
      </w:pPr>
      <w:r w:rsidRPr="00BF2178">
        <w:t>71.</w:t>
      </w:r>
      <w:r w:rsidRPr="00BF2178">
        <w:tab/>
        <w:t>Cuando se solicite el consentimiento para procesar los datos de un niño, los Estados partes deben cerciorarse de que el niño o, según su edad y el grado de evolución de sus facultades, el padre o el cuidador, den su consentimiento informado, libre y previo al procesamiento de esos datos. Cuando el propio consentimiento del niño se considere insuficiente y se requiera el consentimiento de los padres para procesar los datos personales del niño, los Estados partes deben exigir que las organizaciones que procesan esos datos verifiquen que el consentimiento es informado, consecuente y dado por el padre o cuidador del niño.</w:t>
      </w:r>
    </w:p>
    <w:p w14:paraId="6AC3EBD6" w14:textId="77777777" w:rsidR="00BF2178" w:rsidRPr="00BF2178" w:rsidRDefault="00BF2178" w:rsidP="00BF2178">
      <w:pPr>
        <w:pStyle w:val="SingleTxtG"/>
      </w:pPr>
      <w:r w:rsidRPr="00BF2178">
        <w:t>72.</w:t>
      </w:r>
      <w:r w:rsidRPr="00BF2178">
        <w:tab/>
        <w:t>Los Estados partes deben garantizar que los niños y sus padres o cuidadores puedan acceder fácilmente a los datos almacenados, rectificar los que sean inexactos u obsoletos y eliminar los datos almacenados de forma ilegal o innecesaria por autoridades públicas, particulares u otras entidades, con sujeción a limitaciones razonables y legales</w:t>
      </w:r>
      <w:r w:rsidRPr="00BF2178">
        <w:rPr>
          <w:sz w:val="18"/>
          <w:szCs w:val="18"/>
          <w:vertAlign w:val="superscript"/>
        </w:rPr>
        <w:footnoteReference w:id="36"/>
      </w:r>
      <w:r w:rsidRPr="00BF2178">
        <w:t xml:space="preserve">. Deben garantizar asimismo el derecho de los niños a retirar su consentimiento y a oponerse al procesamiento de datos personales cuando la persona encargada de procesarlos no demuestre que existen motivos legítimos e imperiosos para ello. Además, deben proporcionar </w:t>
      </w:r>
      <w:r w:rsidRPr="00BF2178">
        <w:lastRenderedPageBreak/>
        <w:t>información a los niños, padres y cuidadores sobre estas cuestiones, en un lenguaje adaptado a los niños y en formatos accesibles.</w:t>
      </w:r>
    </w:p>
    <w:p w14:paraId="793B5C09" w14:textId="77777777" w:rsidR="00BF2178" w:rsidRPr="00BF2178" w:rsidRDefault="00BF2178" w:rsidP="00BF2178">
      <w:pPr>
        <w:pStyle w:val="SingleTxtG"/>
      </w:pPr>
      <w:r w:rsidRPr="00BF2178">
        <w:t>73.</w:t>
      </w:r>
      <w:r w:rsidRPr="00BF2178">
        <w:tab/>
        <w:t>Los datos personales de los niños deben ser accesibles únicamente para las autoridades, organizaciones y personas encargadas por ley de procesarlos de conformidad con las debidas garantías, como auditorías periódicas y medidas de rendición de cuentas</w:t>
      </w:r>
      <w:r w:rsidRPr="00BF2178">
        <w:rPr>
          <w:sz w:val="18"/>
          <w:szCs w:val="18"/>
          <w:vertAlign w:val="superscript"/>
        </w:rPr>
        <w:footnoteReference w:id="37"/>
      </w:r>
      <w:r w:rsidRPr="00BF2178">
        <w:t>. Los datos de niños que se reúnan para fines definidos, en cualquier entorno, incluidos los antecedentes penales digitalizados, deben estar protegidos y utilizarse exclusivamente para esos fines y no deben conservarse de forma ilegal o innecesaria ni usarse con otra finalidad. Cuando la información se proporciona en un entorno y podría beneficiar legítimamente al niño mediante su utilización en un entorno diferente, por ejemplo, en el contexto de la escolarización y la educación superior, la utilización de esos datos debe ser transparente, responsable y estar sujeta al consentimiento del niño, los padres o los cuidadores, según proceda.</w:t>
      </w:r>
    </w:p>
    <w:p w14:paraId="7546C9AA" w14:textId="77777777" w:rsidR="00BF2178" w:rsidRPr="00BF2178" w:rsidRDefault="00BF2178" w:rsidP="00BF2178">
      <w:pPr>
        <w:pStyle w:val="SingleTxtG"/>
      </w:pPr>
      <w:r w:rsidRPr="00BF2178">
        <w:t>74.</w:t>
      </w:r>
      <w:r w:rsidRPr="00BF2178">
        <w:tab/>
        <w:t xml:space="preserve">La legislación y las medidas de protección de la privacidad y los datos no deben limitar arbitrariamente otros derechos de los niños, como su derecho a la libertad de expresión o a la protección. Los Estados partes deben velar por que la legislación sobre protección de datos respete la privacidad y los datos personales de los niños en relación con el entorno digital. Debido a la continua innovación tecnológica, el ámbito del entorno digital se está ampliando para incluir un número cada vez mayor de servicios y productos, como ropa y juguetes. A medida que los entornos en que los niños pasan el tiempo se van </w:t>
      </w:r>
      <w:r w:rsidR="006271D9">
        <w:t>“</w:t>
      </w:r>
      <w:r w:rsidRPr="00BF2178">
        <w:t>conectando</w:t>
      </w:r>
      <w:r w:rsidR="006271D9">
        <w:t>”</w:t>
      </w:r>
      <w:r w:rsidRPr="00BF2178">
        <w:t>, mediante el uso de sensores incorporados, conectados a sistemas automatizados, los Estados partes deben asegurarse de que los productos y servicios que contribuyen a crear esos entornos estén sujetos a un estricto régimen de protección de datos y a otras regulaciones y normas en materia de privacidad. Ello incluye los entornos públicos, como calles, escuelas, bibliotecas, lugares de deporte y esparcimiento y locales comerciales, como tiendas y cines, además del hogar.</w:t>
      </w:r>
    </w:p>
    <w:p w14:paraId="37B37D76" w14:textId="77777777" w:rsidR="00BF2178" w:rsidRPr="00BF2178" w:rsidRDefault="00BF2178" w:rsidP="00BF2178">
      <w:pPr>
        <w:pStyle w:val="SingleTxtG"/>
      </w:pPr>
      <w:r w:rsidRPr="00BF2178">
        <w:t>75.</w:t>
      </w:r>
      <w:r w:rsidRPr="00BF2178">
        <w:tab/>
        <w:t>Toda vigilancia digital de los niños, junto con cualquier procesamiento automatizado de datos personales conexo, debe respetar el derecho del niño a la privacidad y no debe realizarse de forma rutinaria, indiscriminada o sin el conocimiento del niño o, en el caso de niños de corta edad, de sus padres o cuidadores; tampoco debe efectuarse dicha vigilancia en entornos comerciales, educativos y asistenciales sin que exista el derecho a oponerse a ella, y siempre debe tenerse en cuenta el medio disponible menos intrusivo para la privacidad que permita cumplir el propósito deseado.</w:t>
      </w:r>
    </w:p>
    <w:p w14:paraId="7BE0F7B2" w14:textId="77777777" w:rsidR="00BF2178" w:rsidRPr="00BF2178" w:rsidRDefault="00BF2178" w:rsidP="00BF2178">
      <w:pPr>
        <w:pStyle w:val="SingleTxtG"/>
      </w:pPr>
      <w:r w:rsidRPr="00BF2178">
        <w:t>76.</w:t>
      </w:r>
      <w:r w:rsidRPr="00BF2178">
        <w:tab/>
        <w:t>El entorno digital plantea problemas particulares a los padres y cuidadores a la hora de respetar el derecho a la privacidad de los niños. Las tecnologías que controlan las actividades en línea con fines de seguridad, como los dispositivos y servicios de rastreo, si no se aplican con cuidado, pueden impedir que un niño acceda a una línea de asistencia digital o busque información delicada. Los Estados partes deben asesorar a los niños, a los padres y cuidadores y al público en general sobre la importancia del derecho del niño a la privacidad y sobre cómo sus propias prácticas pueden poner en peligro ese derecho. También se les debe asesorar sobre las prácticas que les permitan respetar y proteger la privacidad de los niños en relación con el entorno digital, a la vez que fomentan su seguridad. La vigilancia de la actividad digital de los niños por parte de los padres y cuidadores debe ser proporcionada y acorde con la evolución de las facultades del niño.</w:t>
      </w:r>
    </w:p>
    <w:p w14:paraId="008B7415" w14:textId="77777777" w:rsidR="00BF2178" w:rsidRPr="00BF2178" w:rsidRDefault="00BF2178" w:rsidP="00BF2178">
      <w:pPr>
        <w:pStyle w:val="SingleTxtG"/>
      </w:pPr>
      <w:r w:rsidRPr="00BF2178">
        <w:t>77.</w:t>
      </w:r>
      <w:r w:rsidRPr="00BF2178">
        <w:tab/>
        <w:t>Muchos niños utilizan avatares o seudónimos en línea que protegen su identidad, prácticas que pueden ser importantes para proteger también su privacidad. Los Estados partes deben exigir un enfoque que integre tanto la seguridad como la privacidad desde la fase del diseño en relación con el anonimato, garantizando al mismo tiempo que las prácticas anónimas no se utilicen sistemáticamente para ocultar comportamientos nocivos o ilegales, como la ciberagresión, el discurso de odio o la explotación y los abusos sexuales. Proteger la privacidad del niño en el entorno digital puede ser vital en circunstancias en que los propios padres o cuidadores representen una amenaza para la seguridad de este o estén en conflicto por su cuidado. Estos casos pueden requerir una mayor intervención, así como orientación familiar u otros servicios, a fin de salvaguardar el derecho del niño a la privacidad.</w:t>
      </w:r>
    </w:p>
    <w:p w14:paraId="00F10C65" w14:textId="77777777" w:rsidR="00BF2178" w:rsidRPr="00BF2178" w:rsidRDefault="00BF2178" w:rsidP="00BF2178">
      <w:pPr>
        <w:pStyle w:val="SingleTxtG"/>
      </w:pPr>
      <w:r w:rsidRPr="00BF2178">
        <w:lastRenderedPageBreak/>
        <w:t>78.</w:t>
      </w:r>
      <w:r w:rsidRPr="00BF2178">
        <w:tab/>
        <w:t>Los proveedores de servicios preventivos o de orientación para los niños en el entorno digital deben abstenerse de exigir que los niños necesiten el consentimiento de sus padres para acceder a ellos</w:t>
      </w:r>
      <w:r w:rsidRPr="00BF2178">
        <w:rPr>
          <w:vertAlign w:val="superscript"/>
        </w:rPr>
        <w:t xml:space="preserve"> </w:t>
      </w:r>
      <w:r w:rsidRPr="00BF2178">
        <w:rPr>
          <w:sz w:val="18"/>
          <w:szCs w:val="18"/>
          <w:vertAlign w:val="superscript"/>
        </w:rPr>
        <w:footnoteReference w:id="38"/>
      </w:r>
      <w:r w:rsidRPr="00BF2178">
        <w:t xml:space="preserve">. Esos servicios deben cumplir altos estándares en materia de privacidad y protección del niño. </w:t>
      </w:r>
    </w:p>
    <w:p w14:paraId="3A752C1A" w14:textId="77777777" w:rsidR="00BF2178" w:rsidRPr="00BF2178" w:rsidRDefault="00BF2178" w:rsidP="00BF2178">
      <w:pPr>
        <w:pStyle w:val="H1G"/>
      </w:pPr>
      <w:bookmarkStart w:id="45" w:name="_Toc27062257"/>
      <w:bookmarkStart w:id="46" w:name="_Toc42700959"/>
      <w:bookmarkStart w:id="47" w:name="_Toc47967812"/>
      <w:r w:rsidRPr="00BF2178">
        <w:tab/>
        <w:t>F.</w:t>
      </w:r>
      <w:r w:rsidRPr="00BF2178">
        <w:tab/>
        <w:t xml:space="preserve">Registro de nacimientos y derecho a la identidad </w:t>
      </w:r>
      <w:bookmarkEnd w:id="45"/>
      <w:bookmarkEnd w:id="46"/>
      <w:bookmarkEnd w:id="47"/>
    </w:p>
    <w:p w14:paraId="3C29A345" w14:textId="77777777" w:rsidR="00BF2178" w:rsidRPr="00BF2178" w:rsidRDefault="00BF2178" w:rsidP="00BF2178">
      <w:pPr>
        <w:pStyle w:val="SingleTxtG"/>
      </w:pPr>
      <w:r w:rsidRPr="00BF2178">
        <w:t>79.</w:t>
      </w:r>
      <w:r w:rsidRPr="00BF2178">
        <w:tab/>
        <w:t>Los Estados partes deben promover la utilización de sistemas de identificación digital que permitan que todos los niños recién nacidos sean inscritos y reconocidos oficialmente por las autoridades nacionales, a fin de facilitar el acceso a los servicios, incluidos los de salud, educación y bienestar. La falta de registro de los nacimientos facilita que se vulneren los derechos que asisten a los niños en virtud de la Convención y sus Protocolos Facultativos. Los Estados partes deben utilizar tecnología actualizada, como unidades móviles de registro, a fin de garantizar el acceso al registro de nacimientos, especialmente para los niños de zonas remotas, los niños refugiados y migrantes, los que están en situación de riesgo y los que se encuentran en situaciones de marginalidad, y deben incluir a los niños nacidos antes de la introducción de los sistemas de identificación digital. Para que tales sistemas beneficien a los niños, los Estados partes deben llevar a cabo campañas de concienciación, establecer mecanismos de seguimiento, promover la participación de la comunidad y garantizar una coordinación eficaz entre los diferentes agentes, incluidos los funcionarios del estado civil, los jueces, los notarios, los funcionarios de salud y el personal de los organismos de protección de la infancia. También deben asegurar la existencia de un marco sólido de privacidad y protección de datos.</w:t>
      </w:r>
    </w:p>
    <w:p w14:paraId="246953AD" w14:textId="77777777" w:rsidR="00BF2178" w:rsidRPr="00BF2178" w:rsidRDefault="00BF2178" w:rsidP="00BF2178">
      <w:pPr>
        <w:pStyle w:val="HChG"/>
      </w:pPr>
      <w:bookmarkStart w:id="48" w:name="_Toc36165156"/>
      <w:bookmarkStart w:id="49" w:name="_Toc36165157"/>
      <w:bookmarkStart w:id="50" w:name="_Toc42700960"/>
      <w:bookmarkStart w:id="51" w:name="_Toc47967813"/>
      <w:bookmarkEnd w:id="48"/>
      <w:bookmarkEnd w:id="49"/>
      <w:r>
        <w:tab/>
      </w:r>
      <w:r w:rsidRPr="00BF2178">
        <w:t>VII.</w:t>
      </w:r>
      <w:r w:rsidRPr="00BF2178">
        <w:tab/>
        <w:t>Violencia contra los niños</w:t>
      </w:r>
      <w:bookmarkEnd w:id="50"/>
      <w:bookmarkEnd w:id="51"/>
    </w:p>
    <w:p w14:paraId="77BBE3DE" w14:textId="77777777" w:rsidR="00BF2178" w:rsidRPr="00BF2178" w:rsidRDefault="00BF2178" w:rsidP="00BF2178">
      <w:pPr>
        <w:pStyle w:val="SingleTxtG"/>
      </w:pPr>
      <w:r w:rsidRPr="00BF2178">
        <w:t>80.</w:t>
      </w:r>
      <w:r w:rsidRPr="00BF2178">
        <w:tab/>
        <w:t>El entorno digital puede abrir nuevas vías para ejercer violencia contra los niños al facilitar situaciones en que estos estén expuestos a la violencia o puedan verse influidos a hacerse daño a sí mismos o a otros. Las crisis, como las pandemias, pueden dar lugar a un mayor riesgo de sufrir daños en línea, dado que en esas circunstancias los niños pasan más tiempo en las plataformas virtuales.</w:t>
      </w:r>
    </w:p>
    <w:p w14:paraId="7E21BB8C" w14:textId="77777777" w:rsidR="00BF2178" w:rsidRPr="00BF2178" w:rsidRDefault="00BF2178" w:rsidP="00BF2178">
      <w:pPr>
        <w:pStyle w:val="SingleTxtG"/>
      </w:pPr>
      <w:r w:rsidRPr="00BF2178">
        <w:t>81.</w:t>
      </w:r>
      <w:r w:rsidRPr="00BF2178">
        <w:tab/>
        <w:t>Los delincuentes sexuales pueden utilizar las tecnologías digitales para abordar a los niños con fines sexuales y para participar en abusos sexuales de niños en línea, por ejemplo mediante la emisión de vídeos en directo, la producción y distribución de material visual de abusos sexuales de niños y la extorsión sexual. Las formas de violencia y de explotación y abusos sexuales que se ven facilitadas por los medios digitales también pueden darse dentro del círculo de confianza del niño, por parte de familiares o amigos o, en el caso de los adolescentes, por parte de sus parejas íntimas, y pueden incluir ciberagresiones, lo que incluye intimidación y amenazas a la reputación, la creación o el intercambio no consensuados de textos o imágenes de carácter sexual, como contenidos autogenerados mediante proposición o coacción, y la inducción a comportamientos autolesivos, como heridas corporales, actitudes suicidas o trastornos alimentarios. Cuando los niños hayan recurrido a tales actos, los Estados partes deben aplicar, siempre que sea posible, enfoques de prevención, salvaguardia y justicia restaurativa respecto de los niños afectados</w:t>
      </w:r>
      <w:r w:rsidRPr="00BF2178">
        <w:rPr>
          <w:sz w:val="18"/>
          <w:szCs w:val="18"/>
          <w:vertAlign w:val="superscript"/>
        </w:rPr>
        <w:footnoteReference w:id="39"/>
      </w:r>
      <w:r w:rsidRPr="00BF2178">
        <w:t>.</w:t>
      </w:r>
    </w:p>
    <w:p w14:paraId="6F24EC75" w14:textId="77777777" w:rsidR="00BF2178" w:rsidRPr="00BF2178" w:rsidRDefault="00BF2178" w:rsidP="00BF2178">
      <w:pPr>
        <w:pStyle w:val="SingleTxtG"/>
      </w:pPr>
      <w:r w:rsidRPr="00BF2178">
        <w:t>82.</w:t>
      </w:r>
      <w:r w:rsidRPr="00BF2178">
        <w:tab/>
        <w:t>Los Estados partes deben adoptar medidas legislativas y administrativas para proteger a los niños contra la violencia en el entorno digital, incluidas la revisión periódica, la actualización y la aplicación de marcos legislativos, reglamentarios e institucionales sólidos que protejan a los niños frente a los riesgos reconocidos y emergentes de todas las formas de violencia en el entorno digital. Estos riesgos pueden incluir violencia, daños o abusos de carácter físico o psicológico, descuido o malos tratos, explotación y abusos, incluidos los de carácter sexual, trata de niños, violencia de género, ciberagresiones, ciberataques y guerra informática. Los Estados partes deben aplicar medidas de seguridad y de protección acordes con la evolución de las facultades del niño.</w:t>
      </w:r>
    </w:p>
    <w:p w14:paraId="7690356B" w14:textId="77777777" w:rsidR="00BF2178" w:rsidRPr="00BF2178" w:rsidRDefault="00BF2178" w:rsidP="00BF2178">
      <w:pPr>
        <w:pStyle w:val="SingleTxtG"/>
      </w:pPr>
      <w:r w:rsidRPr="00BF2178">
        <w:lastRenderedPageBreak/>
        <w:t>83.</w:t>
      </w:r>
      <w:r w:rsidRPr="00BF2178">
        <w:tab/>
        <w:t>El entorno digital puede abrir nuevas vías para que grupos no estatales, incluidos los grupos armados designados como terroristas o extremistas violentos, recluten y exploten a niños para que se impliquen o participen en actos violentos. Los Estados partes deben asegurarse de que la legislación prohíba el reclutamiento de niños por parte de grupos terroristas o extremistas violentos. Los niños acusados de delitos en ese contexto deben ser tratados principalmente como víctimas; no obstante, en caso de ser acusados, debe aplicarse el sistema de justicia juvenil.</w:t>
      </w:r>
    </w:p>
    <w:p w14:paraId="155E3FE3" w14:textId="77777777" w:rsidR="00BF2178" w:rsidRPr="00BF2178" w:rsidRDefault="00BF2178" w:rsidP="00BF2178">
      <w:pPr>
        <w:pStyle w:val="HChG"/>
      </w:pPr>
      <w:bookmarkStart w:id="52" w:name="_Toc27062259"/>
      <w:bookmarkStart w:id="53" w:name="_Toc47967814"/>
      <w:r>
        <w:tab/>
      </w:r>
      <w:r w:rsidRPr="00BF2178">
        <w:t>VIII.</w:t>
      </w:r>
      <w:r w:rsidRPr="00BF2178">
        <w:tab/>
        <w:t>Entorno familiar y modalidades alternativas de cuidado</w:t>
      </w:r>
      <w:bookmarkEnd w:id="52"/>
      <w:bookmarkEnd w:id="53"/>
    </w:p>
    <w:p w14:paraId="5BC59E3C" w14:textId="77777777" w:rsidR="00BF2178" w:rsidRPr="00BF2178" w:rsidRDefault="00BF2178" w:rsidP="00BF2178">
      <w:pPr>
        <w:pStyle w:val="SingleTxtG"/>
      </w:pPr>
      <w:bookmarkStart w:id="54" w:name="_Toc43241715"/>
      <w:bookmarkStart w:id="55" w:name="_Toc43241716"/>
      <w:bookmarkStart w:id="56" w:name="_Toc27062260"/>
      <w:bookmarkStart w:id="57" w:name="_Toc47967815"/>
      <w:bookmarkEnd w:id="54"/>
      <w:bookmarkEnd w:id="55"/>
      <w:r w:rsidRPr="00BF2178">
        <w:t>84.</w:t>
      </w:r>
      <w:r w:rsidRPr="00BF2178">
        <w:tab/>
        <w:t>Muchos padres y cuidadores necesitan apoyo para desarrollar el conocimiento, la capacidad y las aptitudes tecnológicas necesarias para ayudar a los niños en relación con el entorno digital. Los Estados partes deben lograr que los padres y cuidadores tengan oportunidades de adquirir conocimientos digitales, aprender de qué forma la tecnología puede apoyar los derechos de los niños y ayudar a reconocer a un niño que ha sido víctima de un daño en línea y a reaccionar adecuadamente. Debe prestarse especial atención a los padres y cuidadores de niños en situaciones desfavorecidas o de vulnerabilidad.</w:t>
      </w:r>
    </w:p>
    <w:p w14:paraId="47545B88" w14:textId="77777777" w:rsidR="00BF2178" w:rsidRPr="00BF2178" w:rsidRDefault="00BF2178" w:rsidP="00BF2178">
      <w:pPr>
        <w:pStyle w:val="SingleTxtG"/>
      </w:pPr>
      <w:r w:rsidRPr="00BF2178">
        <w:t>85.</w:t>
      </w:r>
      <w:r w:rsidRPr="00BF2178">
        <w:tab/>
        <w:t>Al apoyar y orientar a los padres y cuidadores en relación con el entorno digital, los Estados partes deben promover su concienciación en cuanto a respetar la creciente autonomía y necesidad de privacidad de los niños, conforme a la evolución de sus facultades. Asimismo, deben tener en cuenta que los niños suelen aprovechar las oportunidades digitales y experimentar con ellas, y pueden enfrentarse a situaciones de riesgo, incluso a una edad más temprana de lo que los padres y cuidadores pueden prever. Algunos niños manifestaron que querían más apoyo y estímulo en sus actividades digitales, especialmente cuando percibían que el enfoque de los padres y cuidadores era punitivo, excesivamente restrictivo o no se ajustaba a la evolución de sus facultades</w:t>
      </w:r>
      <w:r w:rsidRPr="00BF2178">
        <w:rPr>
          <w:sz w:val="18"/>
          <w:szCs w:val="18"/>
          <w:vertAlign w:val="superscript"/>
        </w:rPr>
        <w:footnoteReference w:id="40"/>
      </w:r>
      <w:r w:rsidRPr="00BF2178">
        <w:t>.</w:t>
      </w:r>
    </w:p>
    <w:p w14:paraId="0A48544A" w14:textId="77777777" w:rsidR="00BF2178" w:rsidRPr="00BF2178" w:rsidRDefault="00BF2178" w:rsidP="00BF2178">
      <w:pPr>
        <w:pStyle w:val="SingleTxtG"/>
      </w:pPr>
      <w:r w:rsidRPr="00BF2178">
        <w:t>86.</w:t>
      </w:r>
      <w:r w:rsidRPr="00BF2178">
        <w:tab/>
        <w:t>Los Estados partes deben tener en cuenta que el apoyo y la orientación que se presten a los padres y cuidadores deben basarse en la comprensión de la especificidad y singularidad de las relaciones entre padres e hijos. Esa orientación debe ayudar a los padres a mantener un equilibrio adecuado entre la protección del niño y su incipiente autonomía, basándose en la empatía y el respeto mutuos más que en la prohibición o el control. Para ayudar a los padres y cuidadores a mantener un equilibrio entre las responsabilidades parentales y los derechos del niño, los principios rectores deben ser el interés superior del niño, junto con la consideración de la evolución de sus facultades. En la orientación dada a los padres y cuidadores se debe recomendar el fomento de las actividades sociales, creativas y de aprendizaje de los niños en el entorno digital y hacer hincapié en que la utilización de las tecnologías digitales no debe sustituir las interacciones directas y reactivas entre los propios niños o entre estos y sus padres o cuidadores.</w:t>
      </w:r>
    </w:p>
    <w:p w14:paraId="13D6533B" w14:textId="77777777" w:rsidR="00BF2178" w:rsidRPr="00BF2178" w:rsidRDefault="00BF2178" w:rsidP="00BF2178">
      <w:pPr>
        <w:pStyle w:val="SingleTxtG"/>
      </w:pPr>
      <w:r w:rsidRPr="00BF2178">
        <w:t>87.</w:t>
      </w:r>
      <w:r w:rsidRPr="00BF2178">
        <w:tab/>
        <w:t>Es importante que los niños separados de sus familias tengan acceso a las tecnologías digitales</w:t>
      </w:r>
      <w:r w:rsidRPr="00BF2178">
        <w:rPr>
          <w:sz w:val="18"/>
          <w:szCs w:val="18"/>
          <w:vertAlign w:val="superscript"/>
        </w:rPr>
        <w:footnoteReference w:id="41"/>
      </w:r>
      <w:r w:rsidRPr="00BF2178">
        <w:t>, que han demostrado ser beneficiosas para el mantenimiento de las relaciones familiares, por ejemplo en casos de separación de los padres, cuando los niños están acogidos en modalidades alternativas de cuidado, así como para el establecimiento de relaciones entre los niños y sus futuros padres adoptivos o de acogida y para la reunificación de los niños con sus familias en situaciones de crisis humanitaria. Por tanto, en el contexto de las familias separadas, los Estados partes deben apoyar el acceso de los niños y sus padres, cuidadores u otras personas pertinentes a los servicios digitales, teniendo en cuenta la seguridad y el interés superior del niño.</w:t>
      </w:r>
    </w:p>
    <w:p w14:paraId="2043C8B1" w14:textId="77777777" w:rsidR="00BF2178" w:rsidRPr="00BF2178" w:rsidRDefault="00BF2178" w:rsidP="00BF2178">
      <w:pPr>
        <w:pStyle w:val="SingleTxtG"/>
      </w:pPr>
      <w:r w:rsidRPr="00BF2178">
        <w:t>88.</w:t>
      </w:r>
      <w:r w:rsidRPr="00BF2178">
        <w:tab/>
        <w:t xml:space="preserve">Las medidas adoptadas para incrementar la inclusión digital deben equilibrarse con la necesidad de proteger a los niños cuando los padres u otros familiares o cuidadores, tanto presentes como distantes físicamente, puedan ponerlos en peligro. Los Estados partes deben tener presente que esos riesgos pueden verse propiciados por el diseño y la utilización de tecnologías digitales, por ejemplo si estas permiten revelar la ubicación de un niño a un posible maltratador. Habida cuenta de esos riesgos, los Estados partes deben exigir la </w:t>
      </w:r>
      <w:r w:rsidRPr="00BF2178">
        <w:lastRenderedPageBreak/>
        <w:t>adopción de un enfoque que integre la seguridad y la privacidad desde la fase del diseño y asegurarse de que los padres y cuidadores sean plenamente conscientes de los riesgos y de las estrategias disponibles para apoyar y proteger a los niños.</w:t>
      </w:r>
    </w:p>
    <w:p w14:paraId="6376E200" w14:textId="77777777" w:rsidR="00BF2178" w:rsidRPr="00BF2178" w:rsidRDefault="00BF2178" w:rsidP="00BF2178">
      <w:pPr>
        <w:pStyle w:val="HChG"/>
      </w:pPr>
      <w:r>
        <w:tab/>
      </w:r>
      <w:r w:rsidRPr="00BF2178">
        <w:t>IX.</w:t>
      </w:r>
      <w:r w:rsidRPr="00BF2178">
        <w:tab/>
        <w:t>Niños con discapacidad</w:t>
      </w:r>
      <w:bookmarkEnd w:id="56"/>
      <w:bookmarkEnd w:id="57"/>
    </w:p>
    <w:p w14:paraId="62C90093" w14:textId="77777777" w:rsidR="00BF2178" w:rsidRPr="00BF2178" w:rsidRDefault="00BF2178" w:rsidP="00BF2178">
      <w:pPr>
        <w:pStyle w:val="SingleTxtG"/>
      </w:pPr>
      <w:bookmarkStart w:id="58" w:name="_Toc47967816"/>
      <w:bookmarkStart w:id="59" w:name="_Toc27062261"/>
      <w:r w:rsidRPr="00BF2178">
        <w:t>89.</w:t>
      </w:r>
      <w:r w:rsidRPr="00BF2178">
        <w:tab/>
        <w:t>El entorno digital abre nuevas vías para que los niños con discapacidad se relacionen socialmente con sus iguales, accedan a la información y participen en los procesos públicos de adopción de decisiones. Los Estados partes deben abrazar esas vías y adoptar medidas para evitar la creación de nuevas barreras y eliminar las que actualmente afrontan los niños con discapacidad en relación con el entorno digital.</w:t>
      </w:r>
    </w:p>
    <w:p w14:paraId="5427FACA" w14:textId="77777777" w:rsidR="00BF2178" w:rsidRPr="00BF2178" w:rsidRDefault="00BF2178" w:rsidP="00BF2178">
      <w:pPr>
        <w:pStyle w:val="SingleTxtG"/>
      </w:pPr>
      <w:r w:rsidRPr="00BF2178">
        <w:t>90.</w:t>
      </w:r>
      <w:r w:rsidRPr="00BF2178">
        <w:tab/>
        <w:t>Los niños con diferentes tipos de discapacidad, incluidas las físicas, intelectuales, psicosociales, auditivas y visuales, se enfrentan a diferentes obstáculos para acceder al entorno digital, como los contenidos en formatos no accesibles, el limitado acceso a tecnologías de apoyo asequibles en el hogar, la escuela y la comunidad, y la prohibición del uso de dispositivos digitales en escuelas, centros de salud y otros entornos. Los Estados partes deben cerciorarse de que los niños con discapacidad tengan acceso a contenidos en formatos accesibles y eliminar las políticas que surtan un efecto discriminatorio para esos niños. Deben garantizar el acceso a tecnologías de apoyo asequibles, cuando sea necesario, en particular para los niños con discapacidad que viven en la pobreza, y llevar a cabo campañas de concienciación y prever formación y recursos destinados a dichos niños, sus respectivas familias y el personal de los centros educativos y otros entornos pertinentes, a fin de que adquieran conocimientos y aptitudes suficientes para utilizar las tecnologías digitales de manera eficaz.</w:t>
      </w:r>
    </w:p>
    <w:p w14:paraId="1CCD0D19" w14:textId="77777777" w:rsidR="00BF2178" w:rsidRPr="00BF2178" w:rsidRDefault="00BF2178" w:rsidP="00BF2178">
      <w:pPr>
        <w:pStyle w:val="SingleTxtG"/>
      </w:pPr>
      <w:r w:rsidRPr="00BF2178">
        <w:t>91.</w:t>
      </w:r>
      <w:r w:rsidRPr="00BF2178">
        <w:tab/>
        <w:t>Los Estados partes deben promover las innovaciones tecnológicas que satisfagan las necesidades de los niños con diferentes tipos de discapacidad y garantizar que los productos y servicios digitales estén diseñados en función de la accesibilidad universal para que puedan ser utilizados por todos los niños sin excepción y sin necesidad de adaptación. Los niños con discapacidad deben participar en el diseño y la implementación de políticas, productos y servicios que contribuyan a hacer efectivos sus derechos en el entorno digital.</w:t>
      </w:r>
    </w:p>
    <w:p w14:paraId="017C3946" w14:textId="77777777" w:rsidR="00BF2178" w:rsidRPr="00BF2178" w:rsidRDefault="00BF2178" w:rsidP="00BF2178">
      <w:pPr>
        <w:pStyle w:val="SingleTxtG"/>
      </w:pPr>
      <w:r w:rsidRPr="00BF2178">
        <w:t>92.</w:t>
      </w:r>
      <w:r w:rsidRPr="00BF2178">
        <w:tab/>
        <w:t>Los niños con discapacidad pueden estar más expuestos a peligros, como ciberagresiones y explotación y abusos sexuales, en el entorno digital. Los Estados partes deben detectar y abordar los riesgos que enfrentan dichos niños mediante la adopción de medidas que les garanticen un entorno digital seguro y, al mismo tiempo, contrarresten los prejuicios a los que se enfrentan y que pueden dar lugar a su sobreprotección o exclusión. La información sobre seguridad, las estrategias de protección y la información pública, los servicios y los foros relacionados con el entorno digital deben ofrecerse en formatos accesibles.</w:t>
      </w:r>
    </w:p>
    <w:p w14:paraId="15ADE6F5" w14:textId="77777777" w:rsidR="00BF2178" w:rsidRPr="00BF2178" w:rsidRDefault="00BF2178" w:rsidP="00BF2178">
      <w:pPr>
        <w:pStyle w:val="HChG"/>
      </w:pPr>
      <w:r>
        <w:tab/>
      </w:r>
      <w:r w:rsidRPr="00BF2178">
        <w:t>X.</w:t>
      </w:r>
      <w:r w:rsidRPr="00BF2178">
        <w:tab/>
        <w:t>Salud y bienestar</w:t>
      </w:r>
      <w:bookmarkEnd w:id="58"/>
    </w:p>
    <w:p w14:paraId="4B820525" w14:textId="77777777" w:rsidR="00BF2178" w:rsidRPr="00BF2178" w:rsidRDefault="00BF2178" w:rsidP="00BF2178">
      <w:pPr>
        <w:pStyle w:val="SingleTxtG"/>
      </w:pPr>
      <w:bookmarkStart w:id="60" w:name="_Toc47967818"/>
      <w:bookmarkEnd w:id="59"/>
      <w:r w:rsidRPr="00BF2178">
        <w:t>93.</w:t>
      </w:r>
      <w:r w:rsidRPr="00BF2178">
        <w:tab/>
        <w:t>Las tecnologías digitales pueden facilitar el acceso a los servicios sanitarios e información conexa y mejorar los servicios de diagnóstico y tratamiento de la salud física y mental y de la nutrición para las madres, los recién nacidos, los niños y los adolescentes. También ofrecen importantes oportunidades para llegar a los niños que se encuentran en situaciones desfavorecidas o de vulnerabilidad o viven en comunidades remotas. En circunstancias de emergencia pública o en crisis sanitarias o humanitarias, el acceso a esos servicios e información a través de las tecnologías digitales puede constituir la única opción.</w:t>
      </w:r>
    </w:p>
    <w:p w14:paraId="560C2E00" w14:textId="77777777" w:rsidR="00BF2178" w:rsidRPr="00BF2178" w:rsidRDefault="00BF2178" w:rsidP="00BF2178">
      <w:pPr>
        <w:pStyle w:val="SingleTxtG"/>
      </w:pPr>
      <w:r w:rsidRPr="00BF2178">
        <w:t>94.</w:t>
      </w:r>
      <w:r w:rsidRPr="00BF2178">
        <w:tab/>
        <w:t>Los niños señalaron que valoraban la posibilidad de buscar en línea información y apoyo relacionados con la salud y el bienestar, incluidas la salud física, mental y sexual y reproductiva, la pubertad, la sexualidad y la concepción</w:t>
      </w:r>
      <w:r w:rsidRPr="00BF2178">
        <w:rPr>
          <w:sz w:val="18"/>
          <w:szCs w:val="18"/>
          <w:vertAlign w:val="superscript"/>
        </w:rPr>
        <w:footnoteReference w:id="42"/>
      </w:r>
      <w:r w:rsidRPr="00BF2178">
        <w:t xml:space="preserve">. Los adolescentes, especialmente, querían tener acceso a servicios de salud mental y salud sexual y reproductiva en línea que </w:t>
      </w:r>
      <w:r w:rsidRPr="00BF2178">
        <w:lastRenderedPageBreak/>
        <w:t>fueran gratuitos, confidenciales, apropiados para su edad y no discriminatorios</w:t>
      </w:r>
      <w:r w:rsidRPr="00BF2178">
        <w:rPr>
          <w:sz w:val="18"/>
          <w:szCs w:val="18"/>
          <w:vertAlign w:val="superscript"/>
        </w:rPr>
        <w:footnoteReference w:id="43"/>
      </w:r>
      <w:r w:rsidRPr="00BF2178">
        <w:t>. Los Estados partes deben garantizar que los niños tengan un acceso seguro y confidencial a información y servicios de salud dignos de confianza, incluidos servicios de asesoramiento psicológico</w:t>
      </w:r>
      <w:r w:rsidRPr="00BF2178">
        <w:rPr>
          <w:sz w:val="18"/>
          <w:szCs w:val="18"/>
          <w:vertAlign w:val="superscript"/>
        </w:rPr>
        <w:footnoteReference w:id="44"/>
      </w:r>
      <w:r w:rsidR="00FB4C8A">
        <w:t xml:space="preserve">. </w:t>
      </w:r>
      <w:r w:rsidRPr="00BF2178">
        <w:t>Esos servicios deben limitar el procesamiento de datos de los niños a lo que sea necesario para el funcionamiento del servicio y deben ser prestados por profesionales o por personas con la formación adecuada y con sujeción a mecanismos de supervisión regulados. Los Estados partes deben asegurarse de que los productos y servicios de salud digitales no creen o aumenten las desigualdades de acceso de los niños a los servicios de salud presenciales.</w:t>
      </w:r>
    </w:p>
    <w:p w14:paraId="2C4D9828" w14:textId="77777777" w:rsidR="00BF2178" w:rsidRPr="00BF2178" w:rsidRDefault="00BF2178" w:rsidP="00BF2178">
      <w:pPr>
        <w:pStyle w:val="SingleTxtG"/>
      </w:pPr>
      <w:r w:rsidRPr="00BF2178">
        <w:t>95.</w:t>
      </w:r>
      <w:r w:rsidRPr="00BF2178">
        <w:tab/>
        <w:t>Los Estados partes deben fomentar las actividades de investigación y desarrollo centradas en las necesidades sanitarias específicas de los niños y destinadas a obtener resultados sanitarios positivos para los niños mediante el adelanto tecnológico, y deben invertir en tales actividades. Los servicios digitales deben utilizarse para complementar o mejorar la prestación presencial de servicios de salud a los niños</w:t>
      </w:r>
      <w:r w:rsidRPr="00BF2178">
        <w:rPr>
          <w:sz w:val="18"/>
          <w:szCs w:val="18"/>
          <w:vertAlign w:val="superscript"/>
        </w:rPr>
        <w:footnoteReference w:id="45"/>
      </w:r>
      <w:r w:rsidR="00037925">
        <w:t>.</w:t>
      </w:r>
      <w:r w:rsidRPr="00BF2178">
        <w:t xml:space="preserve"> Los Estados partes deben establecer una normativa, o actualizar la ya existente, para exigir a los proveedores de tecnologías y servicios de salud que integren los derechos del niño en las operaciones, los contenidos y la distribución de esos productos y servicios.</w:t>
      </w:r>
    </w:p>
    <w:p w14:paraId="37D30E6C" w14:textId="77777777" w:rsidR="00BF2178" w:rsidRPr="00BF2178" w:rsidRDefault="00BF2178" w:rsidP="00BF2178">
      <w:pPr>
        <w:pStyle w:val="SingleTxtG"/>
      </w:pPr>
      <w:r w:rsidRPr="00BF2178">
        <w:t>96.</w:t>
      </w:r>
      <w:r w:rsidRPr="00BF2178">
        <w:tab/>
        <w:t>Los Estados partes deben establecer normas para evitar los daños conocidos y tener en cuenta de forma proactiva las nuevas investigaciones y pruebas en el sector de la salud pública a fin de evitar la difusión de información errónea y de materiales y servicios que puedan dañar la salud mental o física de los niños. También puede ser necesario adoptar medidas para prevenir cualquier participación perjudicial en juegos digitales o en las redes sociales, por ejemplo reglamentaciones que prohíban los programas digitales que menoscaben el desarrollo y los derechos de los niños</w:t>
      </w:r>
      <w:r w:rsidRPr="00BF2178">
        <w:rPr>
          <w:sz w:val="18"/>
          <w:szCs w:val="18"/>
          <w:vertAlign w:val="superscript"/>
        </w:rPr>
        <w:footnoteReference w:id="46"/>
      </w:r>
      <w:r w:rsidRPr="00BF2178">
        <w:t>.</w:t>
      </w:r>
    </w:p>
    <w:p w14:paraId="36DD218C" w14:textId="77777777" w:rsidR="00BF2178" w:rsidRPr="00BF2178" w:rsidRDefault="00BF2178" w:rsidP="00BF2178">
      <w:pPr>
        <w:pStyle w:val="SingleTxtG"/>
      </w:pPr>
      <w:r w:rsidRPr="00BF2178">
        <w:t>97.</w:t>
      </w:r>
      <w:r w:rsidRPr="00BF2178">
        <w:tab/>
        <w:t>Los Estados partes deben fomentar el uso de las tecnologías digitales para promover estilos de vida saludables, incluida la actividad física y social</w:t>
      </w:r>
      <w:r w:rsidRPr="00BF2178">
        <w:rPr>
          <w:sz w:val="18"/>
          <w:szCs w:val="18"/>
          <w:vertAlign w:val="superscript"/>
        </w:rPr>
        <w:footnoteReference w:id="47"/>
      </w:r>
      <w:r w:rsidRPr="00BF2178">
        <w:t>. Deben regular la publicidad, la comercialización y otros servicios digitales pertinentes que estén impropiamente dirigidos a los niños o sean inapropiados para su edad a fin de evitar la exposición de estos a la promoción de productos no saludables, como ciertos alimentos y bebidas, el alcohol, las drogas y el tabaco y otros productos con nicotina</w:t>
      </w:r>
      <w:r w:rsidRPr="00BF2178">
        <w:rPr>
          <w:sz w:val="18"/>
          <w:szCs w:val="18"/>
          <w:vertAlign w:val="superscript"/>
        </w:rPr>
        <w:footnoteReference w:id="48"/>
      </w:r>
      <w:r w:rsidRPr="00BF2178">
        <w:t>. Esas reglamentaciones relativas al entorno digital deben ser compatibles y concurrentes con las que rigen el entorno externo a Internet.</w:t>
      </w:r>
    </w:p>
    <w:p w14:paraId="5C5CC94E" w14:textId="77777777" w:rsidR="00BF2178" w:rsidRPr="00BF2178" w:rsidRDefault="00BF2178" w:rsidP="00BF2178">
      <w:pPr>
        <w:pStyle w:val="SingleTxtG"/>
      </w:pPr>
      <w:r w:rsidRPr="00BF2178">
        <w:t>98.</w:t>
      </w:r>
      <w:r w:rsidRPr="00BF2178">
        <w:tab/>
        <w:t>Las tecnologías digitales ofrecen múltiples oportunidades para mejorar la salud y el bienestar de los niños cuando están en armonía con su necesidad de descanso, ejercicio e interacción directa con sus iguales, familias y comunidades. Los Estados partes deben formular orientaciones destinadas a los niños, los padres, los cuidadores y los educadores sobre la importancia de mantener un equilibrio sano entre las actividades digitales y no digitales, así como de gozar de suficiente descanso.</w:t>
      </w:r>
    </w:p>
    <w:p w14:paraId="6EA3A02E" w14:textId="77777777" w:rsidR="00BF2178" w:rsidRPr="00BF2178" w:rsidRDefault="00BF2178" w:rsidP="00BF2178">
      <w:pPr>
        <w:pStyle w:val="HChG"/>
      </w:pPr>
      <w:r>
        <w:tab/>
      </w:r>
      <w:r w:rsidRPr="00BF2178">
        <w:t>XI.</w:t>
      </w:r>
      <w:r w:rsidRPr="00BF2178">
        <w:tab/>
        <w:t>Educación, esparcimiento y actividades culturales</w:t>
      </w:r>
      <w:bookmarkEnd w:id="60"/>
    </w:p>
    <w:p w14:paraId="164505AA" w14:textId="77777777" w:rsidR="00BF2178" w:rsidRPr="00BF2178" w:rsidRDefault="00BF2178" w:rsidP="00BF2178">
      <w:pPr>
        <w:pStyle w:val="H1G"/>
      </w:pPr>
      <w:bookmarkStart w:id="61" w:name="_Toc47967819"/>
      <w:r w:rsidRPr="00BF2178">
        <w:tab/>
        <w:t>A.</w:t>
      </w:r>
      <w:r w:rsidRPr="00BF2178">
        <w:tab/>
        <w:t>Derecho a la educación</w:t>
      </w:r>
    </w:p>
    <w:p w14:paraId="70F71575" w14:textId="77777777" w:rsidR="00BF2178" w:rsidRPr="00BF2178" w:rsidRDefault="00BF2178" w:rsidP="00BF2178">
      <w:pPr>
        <w:pStyle w:val="SingleTxtG"/>
      </w:pPr>
      <w:r w:rsidRPr="00BF2178">
        <w:t>99.</w:t>
      </w:r>
      <w:r w:rsidRPr="00BF2178">
        <w:tab/>
        <w:t xml:space="preserve">El entorno digital puede permitir y mejorar en gran medida el acceso de los niños a una educación inclusiva de gran calidad, con recursos fiables para el aprendizaje formal, no formal, informal, entre iguales y autodirigido. La utilización de las tecnologías digitales también puede reforzar la interacción entre el maestro y el alumno y entre los alumnos. Los </w:t>
      </w:r>
      <w:r w:rsidRPr="00BF2178">
        <w:lastRenderedPageBreak/>
        <w:t>niños destacaron la importancia de las tecnologías digitales para mejorar su acceso a la educación y para apoyar su aprendizaje y participación en actividades extracurriculares</w:t>
      </w:r>
      <w:r w:rsidRPr="00BF2178">
        <w:rPr>
          <w:sz w:val="18"/>
          <w:szCs w:val="18"/>
          <w:vertAlign w:val="superscript"/>
        </w:rPr>
        <w:footnoteReference w:id="49"/>
      </w:r>
      <w:r w:rsidRPr="00BF2178">
        <w:t>.</w:t>
      </w:r>
    </w:p>
    <w:p w14:paraId="51FF2D60" w14:textId="77777777" w:rsidR="00BF2178" w:rsidRPr="00BF2178" w:rsidRDefault="00BF2178" w:rsidP="00BF2178">
      <w:pPr>
        <w:pStyle w:val="SingleTxtG"/>
      </w:pPr>
      <w:r w:rsidRPr="00BF2178">
        <w:t>100.</w:t>
      </w:r>
      <w:r w:rsidRPr="00BF2178">
        <w:tab/>
        <w:t>Los Estados partes deben apoyar a las instituciones educativas y culturales, como archivos, bibliotecas y museos, para que permitan el acceso de los niños a diversos recursos de aprendizaje digitales e interactivos, incluidos los recursos autóctonos, así como a recursos en los idiomas que los niños entiendan. Estos y otros valiosos recursos pueden apoyar la implicación de los niños en sus propias prácticas creativas, cívicas y culturales y permitirles conocer las de otros</w:t>
      </w:r>
      <w:r w:rsidRPr="00BF2178">
        <w:rPr>
          <w:sz w:val="18"/>
          <w:szCs w:val="18"/>
          <w:vertAlign w:val="superscript"/>
        </w:rPr>
        <w:footnoteReference w:id="50"/>
      </w:r>
      <w:r w:rsidRPr="00BF2178">
        <w:t>. Los Estados partes deben mejorar las oportunidades de los niños para el aprendizaje en línea y a lo largo de toda la vida.</w:t>
      </w:r>
    </w:p>
    <w:p w14:paraId="457CB017" w14:textId="77777777" w:rsidR="00BF2178" w:rsidRPr="00BF2178" w:rsidRDefault="00BF2178" w:rsidP="00BF2178">
      <w:pPr>
        <w:pStyle w:val="SingleTxtG"/>
      </w:pPr>
      <w:r w:rsidRPr="00BF2178">
        <w:t>101.</w:t>
      </w:r>
      <w:r w:rsidRPr="00BF2178">
        <w:tab/>
        <w:t>Los Estados partes deben invertir de forma equitativa en la infraestructura tecnológica de las escuelas y otros entornos de aprendizaje a fin de garantizar la disponibilidad y asequibilidad de un número suficiente de ordenadores, banda ancha de alta calidad y velocidad y una fuente estable de electricidad, la capacitación de los profesores en la utilización de las tecnologías educativas digitales, la accesibilidad y el mantenimiento oportuno de las tecnologías escolares. Deben asimismo apoyar la creación y difusión de diversos recursos educativos digitales de buena calidad en los idiomas que entienden los niños y cerciorarse de que no se exacerben las desigualdades existentes, como las que afectan a las niñas. Los Estados partes deben asegurarse de que la utilización de las tecnologías digitales no menoscabe la educación presencial y que se justifique en función de los fines educativos.</w:t>
      </w:r>
    </w:p>
    <w:p w14:paraId="5B7C31A1" w14:textId="77777777" w:rsidR="00BF2178" w:rsidRPr="00BF2178" w:rsidRDefault="00BF2178" w:rsidP="00BF2178">
      <w:pPr>
        <w:pStyle w:val="SingleTxtG"/>
      </w:pPr>
      <w:r w:rsidRPr="00BF2178">
        <w:t>102.</w:t>
      </w:r>
      <w:r w:rsidRPr="00BF2178">
        <w:tab/>
        <w:t>En el caso de niños que no están físicamente presentes en la escuela o viven en zonas remotas, o que se encuentran en situaciones desfavorecidas o de vulnerabilidad, las tecnologías educativas digitales pueden permitir el aprendizaje a distancia o móvil</w:t>
      </w:r>
      <w:r w:rsidRPr="00BF2178">
        <w:rPr>
          <w:sz w:val="18"/>
          <w:szCs w:val="18"/>
          <w:vertAlign w:val="superscript"/>
        </w:rPr>
        <w:footnoteReference w:id="51"/>
      </w:r>
      <w:r w:rsidRPr="00BF2178">
        <w:t>. Los Estados partes deben garantizar que exista una infraestructura adecuada de modo que todos los niños tengan acceso a los servicios básicos necesarios para el aprendizaje a distancia, incluido el acceso a dispositivos, electricidad, conectividad, materiales educativos y apoyo profesional. Deben garantizar también que las escuelas dispongan de recursos suficientes para orientar a los padres y cuidadores sobre el aprendizaje a distancia en el hogar y que los productos y servicios educativos digitales no creen o agraven las desigualdades de acceso de los niños a los servicios educativos presenciales.</w:t>
      </w:r>
    </w:p>
    <w:p w14:paraId="4688CE12" w14:textId="77777777" w:rsidR="00BF2178" w:rsidRPr="00BF2178" w:rsidRDefault="00BF2178" w:rsidP="00BF2178">
      <w:pPr>
        <w:pStyle w:val="SingleTxtG"/>
      </w:pPr>
      <w:r w:rsidRPr="00BF2178">
        <w:t>103.</w:t>
      </w:r>
      <w:r w:rsidRPr="00BF2178">
        <w:tab/>
        <w:t>Los Estados partes deben elaborar políticas, normas y directrices basadas en pruebas para las escuelas y otras entidades pertinentes encargadas de la adquisición y utilización de tecnologías y materiales educativos a fin de mejorar la aportación de valiosos beneficios educativos. Las normas relativas a las tecnologías educativas digitales deben garantizar que la utilización de esas tecnologías sea ética y adecuada para los fines educativos y no exponga a los niños a la violencia, la discriminación, el uso indebido de sus datos personales, la explotación comercial u otras conculcaciones de sus derechos, como la utilización de tecnologías digitales para documentar sus actividades y compartir esa información con sus padres o cuidadores sin el conocimiento o consentimiento del niño.</w:t>
      </w:r>
    </w:p>
    <w:p w14:paraId="0956678D" w14:textId="77777777" w:rsidR="00BF2178" w:rsidRPr="00BF2178" w:rsidRDefault="00BF2178" w:rsidP="00BF2178">
      <w:pPr>
        <w:pStyle w:val="SingleTxtG"/>
      </w:pPr>
      <w:r w:rsidRPr="00BF2178">
        <w:t>104.</w:t>
      </w:r>
      <w:r w:rsidRPr="00BF2178">
        <w:tab/>
        <w:t>Los Estados partes deben asegurarse de que la alfabetización digital esté integrada en la educación escolar como parte de los planes de estudio de la enseñanza básica, desde el nivel preescolar y a lo largo de todos los cursos académicos, y de que dichas pedagogías se evalúen en función de sus resultados</w:t>
      </w:r>
      <w:r w:rsidRPr="00BF2178">
        <w:rPr>
          <w:sz w:val="18"/>
          <w:szCs w:val="18"/>
          <w:vertAlign w:val="superscript"/>
        </w:rPr>
        <w:footnoteReference w:id="52"/>
      </w:r>
      <w:r w:rsidRPr="00BF2178">
        <w:t xml:space="preserve">. Los planes de estudio deben incluir conocimientos y aptitudes para manejar con seguridad una amplia gama de herramientas y recursos digitales, incluidos los relacionados con el contenido, la creación, la colaboración, la participación, la socialización y la participación cívica. Los planes de estudio también deben incluir la comprensión crítica; la orientación sobre cómo encontrar fuentes de información fiables y cómo identificar la información errónea y otras formas de contenido sesgado o falso, por ejemplo sobre cuestiones de salud sexual y reproductiva; los derechos humanos, incluidos </w:t>
      </w:r>
      <w:r w:rsidRPr="00BF2178">
        <w:lastRenderedPageBreak/>
        <w:t>los derechos del niño en el entorno digital; y las formas disponibles de apoyo y reparación. Deben fomentar la concienciación de los niños sobre las posibles consecuencias adversas de la exposición a riesgos relacionados con contenidos, contactos, conductas y contratos, como ciberagresión, trata de personas, explotación y abusos sexuales y otras formas de violencia, y promover estrategias de adaptación para reducir los daños, así como estrategias destinadas a proteger sus datos personales y los de los demás, y a desarrollar las aptitudes sociales y emocionales de los niños y su capacidad de resiliencia.</w:t>
      </w:r>
    </w:p>
    <w:p w14:paraId="52CF4BFC" w14:textId="77777777" w:rsidR="00BF2178" w:rsidRPr="00BF2178" w:rsidRDefault="00BF2178" w:rsidP="00BF2178">
      <w:pPr>
        <w:pStyle w:val="SingleTxtG"/>
      </w:pPr>
      <w:r w:rsidRPr="00BF2178">
        <w:t>105.</w:t>
      </w:r>
      <w:r w:rsidRPr="00BF2178">
        <w:tab/>
        <w:t>Es cada vez más importante que los niños comprendan el entorno digital, con inclusión de su infraestructura, las prácticas comerciales, las estrategias de persuasión y la forma en que se utilizan el procesamiento automatizado y los datos personales y la vigilancia, así como los posibles efectos negativos de la digitalización para las sociedades. Los maestros, en particular los que se encargan de la alfabetización digital y de la salud sexual y reproductiva, deben recibir formación sobre las salvaguardias relacionadas con el entorno digital.</w:t>
      </w:r>
    </w:p>
    <w:p w14:paraId="75A2F27D" w14:textId="77777777" w:rsidR="00BF2178" w:rsidRPr="00BF2178" w:rsidRDefault="00BF2178" w:rsidP="00BF2178">
      <w:pPr>
        <w:pStyle w:val="H1G"/>
      </w:pPr>
      <w:bookmarkStart w:id="62" w:name="_Toc26286762"/>
      <w:bookmarkStart w:id="63" w:name="_Toc26287047"/>
      <w:bookmarkStart w:id="64" w:name="_Toc26286763"/>
      <w:bookmarkStart w:id="65" w:name="_Toc26287048"/>
      <w:bookmarkStart w:id="66" w:name="_Toc42700967"/>
      <w:bookmarkStart w:id="67" w:name="_Toc47967820"/>
      <w:bookmarkEnd w:id="61"/>
      <w:bookmarkEnd w:id="62"/>
      <w:bookmarkEnd w:id="63"/>
      <w:bookmarkEnd w:id="64"/>
      <w:bookmarkEnd w:id="65"/>
      <w:r w:rsidRPr="00BF2178">
        <w:tab/>
        <w:t>B.</w:t>
      </w:r>
      <w:r w:rsidRPr="00BF2178">
        <w:tab/>
        <w:t>Derecho a la cultura, el ocio y el juego</w:t>
      </w:r>
      <w:bookmarkEnd w:id="66"/>
      <w:bookmarkEnd w:id="67"/>
    </w:p>
    <w:p w14:paraId="073D8D7D" w14:textId="77777777" w:rsidR="00BF2178" w:rsidRPr="00BF2178" w:rsidRDefault="00BF2178" w:rsidP="00BF2178">
      <w:pPr>
        <w:pStyle w:val="SingleTxtG"/>
      </w:pPr>
      <w:bookmarkStart w:id="68" w:name="_Toc47967821"/>
      <w:r w:rsidRPr="00BF2178">
        <w:t>106.</w:t>
      </w:r>
      <w:r w:rsidRPr="00BF2178">
        <w:tab/>
        <w:t>El entorno digital promueve el derecho de los niños a la cultura, el ocio y el juego, que es esencial para su bienestar y su desarrollo</w:t>
      </w:r>
      <w:r w:rsidRPr="00BF2178">
        <w:rPr>
          <w:sz w:val="18"/>
          <w:szCs w:val="18"/>
          <w:vertAlign w:val="superscript"/>
        </w:rPr>
        <w:footnoteReference w:id="53"/>
      </w:r>
      <w:r w:rsidRPr="00BF2178">
        <w:t>. Los niños de todas las edades indicaron que experimentaban placer, interés y relajación al utilizar una amplia gama de productos y servicios digitales de su elección</w:t>
      </w:r>
      <w:r w:rsidRPr="00BF2178">
        <w:rPr>
          <w:sz w:val="18"/>
          <w:szCs w:val="18"/>
          <w:vertAlign w:val="superscript"/>
        </w:rPr>
        <w:footnoteReference w:id="54"/>
      </w:r>
      <w:r w:rsidRPr="00BF2178">
        <w:t>, pero que les preocupaba que los adultos no entendieran la importancia de los juegos digitales y el modo en que podían compartirlos con los amigos</w:t>
      </w:r>
      <w:r w:rsidRPr="00BF2178">
        <w:rPr>
          <w:sz w:val="18"/>
          <w:szCs w:val="18"/>
          <w:vertAlign w:val="superscript"/>
        </w:rPr>
        <w:footnoteReference w:id="55"/>
      </w:r>
      <w:r w:rsidRPr="00BF2178">
        <w:t>.</w:t>
      </w:r>
    </w:p>
    <w:p w14:paraId="5F69B36C" w14:textId="77777777" w:rsidR="00BF2178" w:rsidRPr="00BF2178" w:rsidRDefault="00BF2178" w:rsidP="00BF2178">
      <w:pPr>
        <w:pStyle w:val="SingleTxtG"/>
      </w:pPr>
      <w:r w:rsidRPr="00BF2178">
        <w:t>107.</w:t>
      </w:r>
      <w:r w:rsidRPr="00BF2178">
        <w:tab/>
        <w:t>Las formas digitales de cultura, esparcimiento y juego deben apoyar y beneficiar a los niños y reflejar y promover las diferentes identidades de estos, en particular sus identidades culturales, idiomas y patrimonio. Pueden facilitar las aptitudes sociales de los niños, así como el aprendizaje, la expresión, las actividades creativas, como la música y el arte, y el sentido de pertenencia y de una cultura compartida</w:t>
      </w:r>
      <w:r w:rsidRPr="00BF2178">
        <w:rPr>
          <w:sz w:val="18"/>
          <w:szCs w:val="18"/>
          <w:vertAlign w:val="superscript"/>
        </w:rPr>
        <w:footnoteReference w:id="56"/>
      </w:r>
      <w:r w:rsidRPr="00BF2178">
        <w:t>. La participación en la vida cultural en línea contribuye a la creatividad, la identidad, la cohesión social y la diversidad cultural. Los Estados partes deben lograr que los niños tengan la oportunidad de utilizar su tiempo libre para experimentar con las tecnologías de la información y las comunicaciones, para expresarse y para participar en la vida cultural en línea.</w:t>
      </w:r>
    </w:p>
    <w:p w14:paraId="75152D38" w14:textId="77777777" w:rsidR="00BF2178" w:rsidRPr="00BF2178" w:rsidRDefault="00BF2178" w:rsidP="00BF2178">
      <w:pPr>
        <w:pStyle w:val="SingleTxtG"/>
      </w:pPr>
      <w:r w:rsidRPr="00BF2178">
        <w:t>108.</w:t>
      </w:r>
      <w:r w:rsidRPr="00BF2178">
        <w:tab/>
        <w:t>Los Estados partes deben orientar a los profesionales, los padres y los cuidadores y colaborar con los proveedores de servicios digitales, según proceda, para garantizar que las tecnologías y los servicios digitales destinados o accesibles a los niños, o que repercuten en su tiempo libre, se diseñen, distribuyan y utilicen de manera que mejoren las oportunidades de los niños en materia de cultura, esparcimiento y juego. Entre otras medidas, se puede alentar la innovación en los juegos digitales y actividades conexas que fomentan la autonomía, el desarrollo personal y el disfrute de los niños.</w:t>
      </w:r>
    </w:p>
    <w:p w14:paraId="4874A844" w14:textId="77777777" w:rsidR="00BF2178" w:rsidRPr="00BF2178" w:rsidRDefault="00BF2178" w:rsidP="00BF2178">
      <w:pPr>
        <w:pStyle w:val="SingleTxtG"/>
      </w:pPr>
      <w:r w:rsidRPr="00BF2178">
        <w:t>109.</w:t>
      </w:r>
      <w:r w:rsidRPr="00BF2178">
        <w:tab/>
        <w:t xml:space="preserve">Los Estados partes deben asegurarse de que la promoción de las oportunidades de cultura, ocio y juego en el entorno digital vaya de la mano con la oferta de alternativas atractivas en los lugares físicos donde viven los niños. Especialmente en sus primeros años, los niños adquieren el lenguaje, la coordinación, las aptitudes sociales y la inteligencia emocional en gran medida a través del juego, que entraña el movimiento físico y la interacción directa cara a cara con otras personas. Para los niños mayores, el juego y el esparcimiento que incluyen actividades físicas, los deportes de equipo y otras actividades recreativas al aire libre pueden proporcionar beneficios para la salud, así como aptitudes funcionales y sociales. </w:t>
      </w:r>
    </w:p>
    <w:p w14:paraId="3E681A56" w14:textId="77777777" w:rsidR="00BF2178" w:rsidRPr="00BF2178" w:rsidRDefault="00BF2178" w:rsidP="00BF2178">
      <w:pPr>
        <w:pStyle w:val="SingleTxtG"/>
      </w:pPr>
      <w:r w:rsidRPr="00BF2178">
        <w:t>110.</w:t>
      </w:r>
      <w:r w:rsidRPr="00BF2178">
        <w:tab/>
        <w:t xml:space="preserve">El tiempo de ocio que se pasa en el entorno digital puede exponer a los niños a sufrir daños, por ejemplo mediante la publicidad opaca o engañosa o formas de diseño muy persuasivas o similares a las de los juegos de azar. Al introducir o utilizar enfoques basados en la protección de datos, la privacidad y la seguridad desde la fase del diseño, así como otras medidas reguladoras, los Estados partes deben asegurarse de que las empresas no usen a los </w:t>
      </w:r>
      <w:r w:rsidRPr="00BF2178">
        <w:lastRenderedPageBreak/>
        <w:t>niños como objetivo en su aplicación de esas u otras técnicas destinadas a anteponer los intereses comerciales a los del niño.</w:t>
      </w:r>
    </w:p>
    <w:p w14:paraId="3AC722B8" w14:textId="77777777" w:rsidR="00BF2178" w:rsidRPr="00BF2178" w:rsidRDefault="00BF2178" w:rsidP="00BF2178">
      <w:pPr>
        <w:pStyle w:val="SingleTxtG"/>
      </w:pPr>
      <w:r w:rsidRPr="00BF2178">
        <w:t>111.</w:t>
      </w:r>
      <w:r w:rsidRPr="00BF2178">
        <w:tab/>
        <w:t>Cuando los Estados partes o las empresas elaboren orientaciones, clasificaciones por edades, etiquetado o certificación en relación con determinadas formas de juego y esparcimiento digitales, deben hacerlo de manera que no restrinjan el acceso de los niños al entorno digital en su conjunto ni interfieran en sus oportunidades de ocio o en sus otros derechos.</w:t>
      </w:r>
    </w:p>
    <w:p w14:paraId="048BBFA5" w14:textId="77777777" w:rsidR="00BF2178" w:rsidRPr="00BF2178" w:rsidRDefault="00CB5D6F" w:rsidP="00CB5D6F">
      <w:pPr>
        <w:pStyle w:val="HChG"/>
      </w:pPr>
      <w:r>
        <w:tab/>
      </w:r>
      <w:r w:rsidR="00BF2178" w:rsidRPr="00BF2178">
        <w:t>XII.</w:t>
      </w:r>
      <w:r w:rsidR="00BF2178" w:rsidRPr="00BF2178">
        <w:tab/>
        <w:t>Medidas especiales de protección</w:t>
      </w:r>
      <w:bookmarkEnd w:id="68"/>
    </w:p>
    <w:p w14:paraId="0043C568" w14:textId="77777777" w:rsidR="00BF2178" w:rsidRPr="00BF2178" w:rsidRDefault="00BF2178" w:rsidP="00CB5D6F">
      <w:pPr>
        <w:pStyle w:val="H1G"/>
      </w:pPr>
      <w:bookmarkStart w:id="69" w:name="_Toc42700969"/>
      <w:bookmarkStart w:id="70" w:name="_Toc47967822"/>
      <w:r w:rsidRPr="00BF2178">
        <w:tab/>
        <w:t>A.</w:t>
      </w:r>
      <w:r w:rsidRPr="00BF2178">
        <w:tab/>
        <w:t>Protección frente a la explotación económica, sexual o de otra índole</w:t>
      </w:r>
      <w:bookmarkEnd w:id="69"/>
      <w:bookmarkEnd w:id="70"/>
    </w:p>
    <w:p w14:paraId="42F8DD8E" w14:textId="77777777" w:rsidR="00BF2178" w:rsidRPr="00BF2178" w:rsidRDefault="00BF2178" w:rsidP="00CB5D6F">
      <w:pPr>
        <w:pStyle w:val="SingleTxtG"/>
        <w:spacing w:after="130"/>
      </w:pPr>
      <w:r w:rsidRPr="00BF2178">
        <w:t>112.</w:t>
      </w:r>
      <w:r w:rsidRPr="00BF2178">
        <w:tab/>
        <w:t>Debe protegerse a los niños contra toda forma de explotación relativa al entorno digital que sea perjudicial para cualquier aspecto de su bienestar. La explotación puede producirse de muchas formas, como la explotación económica, incluido el trabajo infantil, la explotación y los abusos sexuales, la venta, la trata y el secuestro de niños, y su reclutamiento para que participen en actividades delictivas, como diversas formas de ciberdelincuencia. Al crear y compartir contenidos, los niños pueden ser agentes económicos en el entorno digital, lo que puede dar lugar a su explotación.</w:t>
      </w:r>
    </w:p>
    <w:p w14:paraId="605861F5" w14:textId="77777777" w:rsidR="00BF2178" w:rsidRPr="00BF2178" w:rsidRDefault="00BF2178" w:rsidP="00CB5D6F">
      <w:pPr>
        <w:pStyle w:val="SingleTxtG"/>
        <w:spacing w:after="130"/>
      </w:pPr>
      <w:r w:rsidRPr="00BF2178">
        <w:t>113.</w:t>
      </w:r>
      <w:r w:rsidRPr="00BF2178">
        <w:tab/>
        <w:t>Los Estados partes deben revisar las leyes y políticas pertinentes para garantizar que los niños estén protegidos contra la explotación económica, sexual o de otra índole, y para que se protejan también sus derechos con respecto al trabajo en el entorno digital y las oportunidades de remuneración correspondientes.</w:t>
      </w:r>
    </w:p>
    <w:p w14:paraId="39B2E645" w14:textId="77777777" w:rsidR="00BF2178" w:rsidRPr="00BF2178" w:rsidRDefault="00BF2178" w:rsidP="00CB5D6F">
      <w:pPr>
        <w:pStyle w:val="SingleTxtG"/>
        <w:spacing w:after="130"/>
      </w:pPr>
      <w:r w:rsidRPr="00BF2178">
        <w:t>114.</w:t>
      </w:r>
      <w:r w:rsidRPr="00BF2178">
        <w:tab/>
        <w:t>Los Estados partes deben velar por que existan mecanismos de aplicación de la ley apropiados y ayudar a los niños, padres y cuidadores a obtener acceso a las protecciones aplicables</w:t>
      </w:r>
      <w:r w:rsidRPr="00BF2178">
        <w:rPr>
          <w:sz w:val="18"/>
          <w:szCs w:val="18"/>
          <w:vertAlign w:val="superscript"/>
        </w:rPr>
        <w:footnoteReference w:id="57"/>
      </w:r>
      <w:r w:rsidRPr="00BF2178">
        <w:t>. Deben legislar para garantizar la protección de los niños frente a bienes nocivos, como las armas o las drogas, o determinados servicios, como los juegos de azar. Deben utilizarse sistemas fiables de verificación de la edad para evitar que los niños tengan acceso a productos y servicios cuya posesión o utilización sea ilegal para ellos. Esos sistemas deben ser compatibles con los requisitos de protección de datos y de salvaguardia.</w:t>
      </w:r>
    </w:p>
    <w:p w14:paraId="1F38BEFC" w14:textId="77777777" w:rsidR="00BF2178" w:rsidRPr="00BF2178" w:rsidRDefault="00BF2178" w:rsidP="00CB5D6F">
      <w:pPr>
        <w:pStyle w:val="SingleTxtG"/>
        <w:spacing w:after="130"/>
      </w:pPr>
      <w:r w:rsidRPr="00BF2178">
        <w:t>115.</w:t>
      </w:r>
      <w:r w:rsidRPr="00BF2178">
        <w:tab/>
        <w:t>Teniendo en cuenta las obligaciones de los Estados de investigar, perseguir y castigar la trata de personas, incluidos sus componentes y comportamientos conexos, los Estados partes deben ampliar y actualizar la legislación de lucha contra la trata de personas para que prohíba el reclutamiento de niños facilitado por la tecnología por parte de grupos delictivos.</w:t>
      </w:r>
    </w:p>
    <w:p w14:paraId="5F037BD2" w14:textId="77777777" w:rsidR="00BF2178" w:rsidRPr="00BF2178" w:rsidRDefault="00BF2178" w:rsidP="00CB5D6F">
      <w:pPr>
        <w:pStyle w:val="SingleTxtG"/>
        <w:spacing w:after="130"/>
      </w:pPr>
      <w:r w:rsidRPr="00BF2178">
        <w:t>116.</w:t>
      </w:r>
      <w:r w:rsidRPr="00BF2178">
        <w:tab/>
        <w:t>Los Estados partes deben garantizar que se disponga de la legislación adecuada para proteger a los niños frente a los delitos que se cometen en el entorno digital, como el fraude y el robo de identidad, y se asignen recursos suficientes para investigar y perseguir dichos delitos. Los Estados partes también deben exigir un alto nivel de ciberseguridad, privacidad y seguridad desde la fase del diseño en los servicios y productos digitales que utilizan los niños a fin de minimizar el riesgo de comisión de esos delitos.</w:t>
      </w:r>
    </w:p>
    <w:p w14:paraId="23B222EC" w14:textId="77777777" w:rsidR="00BF2178" w:rsidRPr="00BF2178" w:rsidRDefault="00BF2178" w:rsidP="00BF2178">
      <w:pPr>
        <w:pStyle w:val="H1G"/>
      </w:pPr>
      <w:r w:rsidRPr="00BF2178">
        <w:tab/>
        <w:t>B.</w:t>
      </w:r>
      <w:r w:rsidRPr="00BF2178">
        <w:tab/>
        <w:t>Administración de la justicia juvenil</w:t>
      </w:r>
    </w:p>
    <w:p w14:paraId="03F28657" w14:textId="77777777" w:rsidR="00BF2178" w:rsidRPr="00BF2178" w:rsidRDefault="00BF2178" w:rsidP="00CB5D6F">
      <w:pPr>
        <w:pStyle w:val="SingleTxtG"/>
        <w:spacing w:after="130"/>
      </w:pPr>
      <w:bookmarkStart w:id="71" w:name="_Toc42700970"/>
      <w:bookmarkStart w:id="72" w:name="_Toc47967823"/>
      <w:r w:rsidRPr="00BF2178">
        <w:t>117.</w:t>
      </w:r>
      <w:r w:rsidRPr="00BF2178">
        <w:tab/>
        <w:t>Puede darse el caso de que los niños sean considerados sospechosos o sean acusados de infringir las leyes contra la ciberdelincuencia, o sean reconocidos como infractores de estas. Los Estados partes deben cerciorarse de que los responsables de formular políticas tengan en cuenta los efectos de esas leyes en los niños, se centren en la prevención y hagan todo lo posible por establecer medidas alternativas a la justicia penal y aplicarlas en esos casos.</w:t>
      </w:r>
    </w:p>
    <w:p w14:paraId="0A18597A" w14:textId="77777777" w:rsidR="00BF2178" w:rsidRPr="00BF2178" w:rsidRDefault="00BF2178" w:rsidP="00CB5D6F">
      <w:pPr>
        <w:pStyle w:val="SingleTxtG"/>
        <w:spacing w:after="130"/>
      </w:pPr>
      <w:r w:rsidRPr="00BF2178">
        <w:t>118.</w:t>
      </w:r>
      <w:r w:rsidRPr="00BF2178">
        <w:tab/>
        <w:t xml:space="preserve">El material sexual autogenerado por niños que obre en su poder o que estos compartan con su consentimiento y esté exclusivamente destinado a su uso privado no debe ser penalizado. Deben crearse canales adaptados a los niños para que puedan recabar </w:t>
      </w:r>
      <w:r w:rsidRPr="00BF2178">
        <w:lastRenderedPageBreak/>
        <w:t>asesoramiento y ayuda de forma segura cuando se trate de contenidos sexuales explícitos generados por ellos mismos.</w:t>
      </w:r>
    </w:p>
    <w:p w14:paraId="632D54B1" w14:textId="77777777" w:rsidR="00BF2178" w:rsidRPr="00BF2178" w:rsidRDefault="00BF2178" w:rsidP="0073149E">
      <w:pPr>
        <w:pStyle w:val="SingleTxtG"/>
        <w:spacing w:after="140"/>
      </w:pPr>
      <w:r w:rsidRPr="00BF2178">
        <w:t>119.</w:t>
      </w:r>
      <w:r w:rsidRPr="00BF2178">
        <w:tab/>
        <w:t>Los Estados partes deben asegurarse de que las tecnologías digitales, los mecanismos de vigilancia, como los programas informáticos de reconocimiento facial, y la elaboración de perfiles de riesgo que se utilizan en la prevención, la investigación y el enjuiciamiento de delitos no se apliquen injustamente a los niños sospechosos o acusados de delitos y no se utilicen de manera que vulneren sus derechos, en particular su derecho a la privacidad, a la dignidad y a la libertad de asociación.</w:t>
      </w:r>
    </w:p>
    <w:p w14:paraId="5D16ED0E" w14:textId="77777777" w:rsidR="00BF2178" w:rsidRPr="00BF2178" w:rsidRDefault="00BF2178" w:rsidP="00BC0B2F">
      <w:pPr>
        <w:pStyle w:val="SingleTxtG"/>
        <w:spacing w:after="140"/>
      </w:pPr>
      <w:r w:rsidRPr="00BF2178">
        <w:t>120.</w:t>
      </w:r>
      <w:r w:rsidRPr="00BF2178">
        <w:tab/>
        <w:t>El Comité reconoce que cuando la digitalización de los procedimientos judiciales da lugar a una falta de contacto personal con los niños, ello puede repercutir negativamente en las medidas de justicia rehabilitadora y restaurativa basadas en el desarrollo de relaciones con el niño. En tales casos, y también cuando los niños estén privados de libertad, los Estados partes deben prever el contacto personal para facilitar la participación de los niños de manera provechosa en los tribunales y en su rehabilitación.</w:t>
      </w:r>
    </w:p>
    <w:p w14:paraId="53911B5C" w14:textId="77777777" w:rsidR="00BF2178" w:rsidRPr="00BF2178" w:rsidRDefault="00BF2178" w:rsidP="00BF2178">
      <w:pPr>
        <w:pStyle w:val="H1G"/>
      </w:pPr>
      <w:r w:rsidRPr="00BF2178">
        <w:tab/>
        <w:t>C.</w:t>
      </w:r>
      <w:r w:rsidRPr="00BF2178">
        <w:tab/>
        <w:t>Protección de los niños en conflictos armados, los niños migrantes y</w:t>
      </w:r>
      <w:r>
        <w:t> </w:t>
      </w:r>
      <w:r w:rsidRPr="00BF2178">
        <w:t>los</w:t>
      </w:r>
      <w:r>
        <w:t> </w:t>
      </w:r>
      <w:r w:rsidRPr="00BF2178">
        <w:t>niños en otras situaciones de vulnerabilidad</w:t>
      </w:r>
      <w:bookmarkEnd w:id="71"/>
      <w:bookmarkEnd w:id="72"/>
    </w:p>
    <w:p w14:paraId="00D37A22" w14:textId="77777777" w:rsidR="00BF2178" w:rsidRPr="00BF2178" w:rsidRDefault="00BF2178" w:rsidP="00BC0B2F">
      <w:pPr>
        <w:pStyle w:val="SingleTxtG"/>
        <w:spacing w:after="140"/>
      </w:pPr>
      <w:bookmarkStart w:id="73" w:name="_Toc47967824"/>
      <w:r w:rsidRPr="00BF2178">
        <w:t>121.</w:t>
      </w:r>
      <w:r w:rsidRPr="00BF2178">
        <w:tab/>
        <w:t>El entorno digital puede proporcionar acceso a información vital para su protección a los niños que viven en situaciones de vulnerabilidad, como los niños en conflictos armados, los niños desplazados, los migrantes, los solicitantes de asilo y refugiados, los niños no acompañados, los que están en situación de calle y los afectados por catástrofes naturales. El entorno digital también puede facilitarles el contacto con su familia, posibilitar su acceso a la educación, la salud y otros servicios básicos y ayudarles a obtener alimentos y un alojamiento seguro. Los Estados partes deben garantizar a esos niños un acceso seguro, privado y provechoso al entorno digital y protegerlos frente a todas las formas de violencia, explotación y maltrato.</w:t>
      </w:r>
    </w:p>
    <w:p w14:paraId="4C01186F" w14:textId="77777777" w:rsidR="00BF2178" w:rsidRPr="00BF2178" w:rsidRDefault="00BF2178" w:rsidP="00BC0B2F">
      <w:pPr>
        <w:pStyle w:val="SingleTxtG"/>
        <w:spacing w:after="140"/>
      </w:pPr>
      <w:r w:rsidRPr="00BF2178">
        <w:t>122.</w:t>
      </w:r>
      <w:r w:rsidRPr="00BF2178">
        <w:tab/>
        <w:t>Los Estados partes deben velar por que los niños no sean reclutados ni utilizados en conflictos, incluidos los conflictos armados, a través del entorno digital. Esto incluye prevenir, tipificar como delito y sancionar las diversas formas de incitación y captación de niños con fines sexuales facilitadas por la tecnología, por ejemplo, mediante el uso de plataformas de redes sociales o servicios de chat en los juegos en línea.</w:t>
      </w:r>
    </w:p>
    <w:p w14:paraId="61132900" w14:textId="77777777" w:rsidR="00BF2178" w:rsidRPr="00BF2178" w:rsidRDefault="00BF2178" w:rsidP="00BF2178">
      <w:pPr>
        <w:pStyle w:val="HChG"/>
      </w:pPr>
      <w:r>
        <w:tab/>
      </w:r>
      <w:r w:rsidRPr="00BF2178">
        <w:t>XIII.</w:t>
      </w:r>
      <w:r w:rsidRPr="00BF2178">
        <w:tab/>
        <w:t>Cooperación internacional y regional</w:t>
      </w:r>
      <w:bookmarkEnd w:id="73"/>
    </w:p>
    <w:p w14:paraId="3718BFAA" w14:textId="77777777" w:rsidR="00BF2178" w:rsidRPr="00BF2178" w:rsidRDefault="00BF2178" w:rsidP="00BC0B2F">
      <w:pPr>
        <w:pStyle w:val="SingleTxtG"/>
        <w:spacing w:after="140"/>
      </w:pPr>
      <w:bookmarkStart w:id="74" w:name="_Toc24745322"/>
      <w:bookmarkStart w:id="75" w:name="_Toc47967825"/>
      <w:r w:rsidRPr="00BF2178">
        <w:t>123.</w:t>
      </w:r>
      <w:r w:rsidRPr="00BF2178">
        <w:tab/>
        <w:t>El carácter transfronterizo y transnacional del entorno digital requiere una fuerte cooperación internacional y regional para garantizar que todas las partes interesadas, incluidos los Estados, las empresas y otros agentes, respeten, protejan y hagan efectivos los derechos de los niños en relación con el entorno digital. Por tanto, es fundamental que los Estados partes cooperen bilateral y multilateralmente con las organizaciones no gubernamentales nacionales e internacionales, los organismos de las Naciones Unidas, las empresas y las organizaciones especializadas en la protección y los derechos humanos de los niños en relación con el entorno digital.</w:t>
      </w:r>
    </w:p>
    <w:p w14:paraId="4B7DAE5B" w14:textId="77777777" w:rsidR="00BF2178" w:rsidRPr="00BF2178" w:rsidRDefault="00BF2178" w:rsidP="00BC0B2F">
      <w:pPr>
        <w:pStyle w:val="SingleTxtG"/>
        <w:spacing w:after="140"/>
      </w:pPr>
      <w:r w:rsidRPr="00BF2178">
        <w:t>124.</w:t>
      </w:r>
      <w:r w:rsidRPr="00BF2178">
        <w:tab/>
        <w:t>Los Estados partes deben promover y apoyar el intercambio internacional y regional de conocimientos especializados y buenas prácticas y establecer y promover la creación de capacidad, recursos, normas, reglamentos y protecciones a través de las fronteras nacionales que permitan que todos los Estados hagan efectivos los derechos del niño en el entorno digital. Deben promover la formulación de una definición común de lo que constituye un delito en dicho entorno, la asistencia judicial recíproca y la recopilación e intercambio conjuntos de pruebas.</w:t>
      </w:r>
    </w:p>
    <w:p w14:paraId="2F96AB7B" w14:textId="77777777" w:rsidR="00BF2178" w:rsidRPr="00BF2178" w:rsidRDefault="00BF2178" w:rsidP="00BC0B2F">
      <w:pPr>
        <w:pStyle w:val="HChG"/>
      </w:pPr>
      <w:r>
        <w:lastRenderedPageBreak/>
        <w:tab/>
      </w:r>
      <w:r w:rsidRPr="00BF2178">
        <w:t>XIV.</w:t>
      </w:r>
      <w:r w:rsidRPr="00BF2178">
        <w:tab/>
        <w:t>Difusión</w:t>
      </w:r>
      <w:bookmarkEnd w:id="74"/>
      <w:bookmarkEnd w:id="75"/>
    </w:p>
    <w:p w14:paraId="423D6008" w14:textId="77777777" w:rsidR="00381C24" w:rsidRDefault="00BF2178" w:rsidP="00BC0B2F">
      <w:pPr>
        <w:pStyle w:val="SingleTxtG"/>
        <w:keepNext/>
        <w:keepLines/>
      </w:pPr>
      <w:r w:rsidRPr="00BF2178">
        <w:t>125.</w:t>
      </w:r>
      <w:r w:rsidRPr="00BF2178">
        <w:tab/>
        <w:t>Los Estados partes deben cerciorarse de que la presente observación general se difunda ampliamente, también mediante la utilización de tecnologías digitales, entre todos los interesados pertinentes, en particular los parlamentos y las autoridades gubernamentales, incluidos los encargados de la transformación digital transversal y sectorial, así como los miembros del poder judicial, las empresas, los medios de comunicación, la sociedad civil y el público en general, los educadores y los niños, y de que sea accesible en múltiples formatos e idiomas, con inclusión de versiones adaptadas según la edad.</w:t>
      </w:r>
    </w:p>
    <w:p w14:paraId="4799DE49" w14:textId="77777777" w:rsidR="00BF2178" w:rsidRPr="00BF2178" w:rsidRDefault="00BF2178" w:rsidP="00BF2178">
      <w:pPr>
        <w:pStyle w:val="SingleTxtG"/>
        <w:suppressAutoHyphens/>
        <w:spacing w:before="240" w:after="0"/>
        <w:jc w:val="center"/>
        <w:rPr>
          <w:u w:val="single"/>
        </w:rPr>
      </w:pPr>
      <w:r>
        <w:rPr>
          <w:u w:val="single"/>
        </w:rPr>
        <w:tab/>
      </w:r>
      <w:r>
        <w:rPr>
          <w:u w:val="single"/>
        </w:rPr>
        <w:tab/>
      </w:r>
      <w:r>
        <w:rPr>
          <w:u w:val="single"/>
        </w:rPr>
        <w:tab/>
      </w:r>
    </w:p>
    <w:sectPr w:rsidR="00BF2178" w:rsidRPr="00BF2178" w:rsidSect="00BF217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A7C1F" w14:textId="77777777" w:rsidR="00CB5D6F" w:rsidRPr="007C2DEF" w:rsidRDefault="00CB5D6F" w:rsidP="007C2DEF">
      <w:pPr>
        <w:pStyle w:val="Piedepgina"/>
      </w:pPr>
    </w:p>
  </w:endnote>
  <w:endnote w:type="continuationSeparator" w:id="0">
    <w:p w14:paraId="0AFE7118" w14:textId="77777777" w:rsidR="00CB5D6F" w:rsidRPr="007C2DEF" w:rsidRDefault="00CB5D6F"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11D6A" w14:textId="77777777" w:rsidR="00CB5D6F" w:rsidRPr="00BF2178" w:rsidRDefault="00CB5D6F" w:rsidP="00BF2178">
    <w:pPr>
      <w:pStyle w:val="Piedepgina"/>
      <w:tabs>
        <w:tab w:val="right" w:pos="9638"/>
      </w:tabs>
    </w:pPr>
    <w:r w:rsidRPr="00BF2178">
      <w:rPr>
        <w:b/>
        <w:sz w:val="18"/>
      </w:rPr>
      <w:fldChar w:fldCharType="begin"/>
    </w:r>
    <w:r w:rsidRPr="00BF2178">
      <w:rPr>
        <w:b/>
        <w:sz w:val="18"/>
      </w:rPr>
      <w:instrText xml:space="preserve"> PAGE  \* MERGEFORMAT </w:instrText>
    </w:r>
    <w:r w:rsidRPr="00BF2178">
      <w:rPr>
        <w:b/>
        <w:sz w:val="18"/>
      </w:rPr>
      <w:fldChar w:fldCharType="separate"/>
    </w:r>
    <w:r w:rsidRPr="00BF2178">
      <w:rPr>
        <w:b/>
        <w:noProof/>
        <w:sz w:val="18"/>
      </w:rPr>
      <w:t>2</w:t>
    </w:r>
    <w:r w:rsidRPr="00BF2178">
      <w:rPr>
        <w:b/>
        <w:sz w:val="18"/>
      </w:rPr>
      <w:fldChar w:fldCharType="end"/>
    </w:r>
    <w:r>
      <w:rPr>
        <w:b/>
        <w:sz w:val="18"/>
      </w:rPr>
      <w:tab/>
    </w:r>
    <w:r>
      <w:t>GE.21-02868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AD182" w14:textId="77777777" w:rsidR="00CB5D6F" w:rsidRPr="00BF2178" w:rsidRDefault="00CB5D6F" w:rsidP="00BF2178">
    <w:pPr>
      <w:pStyle w:val="Piedepgina"/>
      <w:tabs>
        <w:tab w:val="right" w:pos="9638"/>
      </w:tabs>
      <w:rPr>
        <w:b/>
        <w:sz w:val="18"/>
      </w:rPr>
    </w:pPr>
    <w:r>
      <w:t>GE.21-02868</w:t>
    </w:r>
    <w:r>
      <w:tab/>
    </w:r>
    <w:r w:rsidRPr="00BF2178">
      <w:rPr>
        <w:b/>
        <w:sz w:val="18"/>
      </w:rPr>
      <w:fldChar w:fldCharType="begin"/>
    </w:r>
    <w:r w:rsidRPr="00BF2178">
      <w:rPr>
        <w:b/>
        <w:sz w:val="18"/>
      </w:rPr>
      <w:instrText xml:space="preserve"> PAGE  \* MERGEFORMAT </w:instrText>
    </w:r>
    <w:r w:rsidRPr="00BF2178">
      <w:rPr>
        <w:b/>
        <w:sz w:val="18"/>
      </w:rPr>
      <w:fldChar w:fldCharType="separate"/>
    </w:r>
    <w:r w:rsidRPr="00BF2178">
      <w:rPr>
        <w:b/>
        <w:noProof/>
        <w:sz w:val="18"/>
      </w:rPr>
      <w:t>3</w:t>
    </w:r>
    <w:r w:rsidRPr="00BF217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F6646" w14:textId="77777777" w:rsidR="00CB5D6F" w:rsidRPr="00BF2178" w:rsidRDefault="00CB5D6F" w:rsidP="00BF2178">
    <w:pPr>
      <w:pStyle w:val="Piedepgina"/>
      <w:spacing w:before="120" w:line="240" w:lineRule="auto"/>
      <w:rPr>
        <w:sz w:val="20"/>
      </w:rPr>
    </w:pPr>
    <w:r>
      <w:rPr>
        <w:sz w:val="20"/>
      </w:rPr>
      <w:t>GE.</w:t>
    </w:r>
    <w:r>
      <w:rPr>
        <w:noProof/>
      </w:rPr>
      <w:drawing>
        <wp:anchor distT="0" distB="0" distL="114300" distR="114300" simplePos="0" relativeHeight="251657728" behindDoc="0" locked="1" layoutInCell="1" allowOverlap="1" wp14:anchorId="4B6ACFD9" wp14:editId="5BB49B1C">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21-02868  (S)</w:t>
    </w:r>
    <w:r>
      <w:rPr>
        <w:noProof/>
        <w:sz w:val="20"/>
      </w:rPr>
      <w:drawing>
        <wp:anchor distT="0" distB="0" distL="114300" distR="114300" simplePos="0" relativeHeight="251658752" behindDoc="0" locked="0" layoutInCell="1" allowOverlap="1" wp14:anchorId="3AAF74DD" wp14:editId="78230724">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250321    </w:t>
    </w:r>
    <w:r w:rsidR="00691286">
      <w:rPr>
        <w:sz w:val="20"/>
      </w:rPr>
      <w:t>30</w:t>
    </w:r>
    <w:r>
      <w:rPr>
        <w:sz w:val="20"/>
      </w:rPr>
      <w:t>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89C33" w14:textId="77777777" w:rsidR="00CB5D6F" w:rsidRPr="001075E9" w:rsidRDefault="00CB5D6F" w:rsidP="001075E9">
      <w:pPr>
        <w:tabs>
          <w:tab w:val="right" w:pos="2155"/>
        </w:tabs>
        <w:spacing w:after="80" w:line="240" w:lineRule="auto"/>
        <w:ind w:left="680"/>
        <w:rPr>
          <w:u w:val="single"/>
        </w:rPr>
      </w:pPr>
      <w:r>
        <w:rPr>
          <w:u w:val="single"/>
        </w:rPr>
        <w:tab/>
      </w:r>
    </w:p>
  </w:footnote>
  <w:footnote w:type="continuationSeparator" w:id="0">
    <w:p w14:paraId="0474D4C3" w14:textId="77777777" w:rsidR="00CB5D6F" w:rsidRDefault="00CB5D6F" w:rsidP="007C2DEF">
      <w:pPr>
        <w:tabs>
          <w:tab w:val="right" w:pos="2155"/>
        </w:tabs>
        <w:spacing w:after="80" w:line="240" w:lineRule="auto"/>
        <w:ind w:left="680"/>
        <w:rPr>
          <w:u w:val="single"/>
        </w:rPr>
      </w:pPr>
      <w:r>
        <w:rPr>
          <w:u w:val="single"/>
        </w:rPr>
        <w:tab/>
      </w:r>
    </w:p>
  </w:footnote>
  <w:footnote w:id="1">
    <w:p w14:paraId="72D5ED81" w14:textId="77777777" w:rsidR="00CB5D6F" w:rsidRPr="00B35D4F" w:rsidRDefault="00CB5D6F" w:rsidP="00BF2178">
      <w:pPr>
        <w:pStyle w:val="Textonotapie"/>
      </w:pPr>
      <w:r w:rsidRPr="00B35D4F">
        <w:tab/>
      </w:r>
      <w:r w:rsidRPr="00B35D4F">
        <w:rPr>
          <w:rStyle w:val="Refdenotaalpie"/>
        </w:rPr>
        <w:footnoteRef/>
      </w:r>
      <w:r w:rsidRPr="00B35D4F">
        <w:tab/>
      </w:r>
      <w:r>
        <w:t>“</w:t>
      </w:r>
      <w:r w:rsidRPr="00B35D4F">
        <w:t>Our rights in a digital world</w:t>
      </w:r>
      <w:r>
        <w:t>”</w:t>
      </w:r>
      <w:r w:rsidRPr="00B35D4F">
        <w:t xml:space="preserve"> (Nuestros derechos en un mundo digital), informe resumido sobre la consulta realizada a niños para la presente observación general, págs. 14 y 22. Disponible en https://5rightsfoundation.com/uploads/Our%20Rights%20in%20a%20Digital%20World.pdf. Todas las referencias a las opiniones de niños proceden de este informe.</w:t>
      </w:r>
    </w:p>
  </w:footnote>
  <w:footnote w:id="2">
    <w:p w14:paraId="140570C4" w14:textId="77777777" w:rsidR="00CB5D6F" w:rsidRPr="00B35D4F" w:rsidRDefault="00CB5D6F" w:rsidP="00BF2178">
      <w:pPr>
        <w:pStyle w:val="Textonotapie"/>
      </w:pPr>
      <w:r w:rsidRPr="00B35D4F">
        <w:tab/>
      </w:r>
      <w:r w:rsidRPr="00B35D4F">
        <w:rPr>
          <w:rStyle w:val="Refdenotaalpie"/>
        </w:rPr>
        <w:footnoteRef/>
      </w:r>
      <w:r w:rsidRPr="00B35D4F">
        <w:tab/>
        <w:t>Un glosario terminológico está disponible en la página web del Comité https://tbinternet.ohchr.org/_layouts/15/treatybodyexternal/Download.aspx?symbolno=INT%2fCERD%2fRLE%2f9029&amp;Lang=en.</w:t>
      </w:r>
    </w:p>
  </w:footnote>
  <w:footnote w:id="3">
    <w:p w14:paraId="2FC3CF45" w14:textId="77777777" w:rsidR="00CB5D6F" w:rsidRPr="00B35D4F" w:rsidRDefault="00CB5D6F" w:rsidP="00BF2178">
      <w:pPr>
        <w:pStyle w:val="Textonotapie"/>
      </w:pPr>
      <w:r w:rsidRPr="00B35D4F">
        <w:tab/>
      </w:r>
      <w:r w:rsidRPr="00B35D4F">
        <w:rPr>
          <w:rStyle w:val="Refdenotaalpie"/>
        </w:rPr>
        <w:footnoteRef/>
      </w:r>
      <w:r w:rsidRPr="00B35D4F">
        <w:rPr>
          <w:lang w:val="en-US"/>
        </w:rPr>
        <w:tab/>
      </w:r>
      <w:r>
        <w:rPr>
          <w:lang w:val="en-US"/>
        </w:rPr>
        <w:t>“</w:t>
      </w:r>
      <w:r w:rsidRPr="00B35D4F">
        <w:rPr>
          <w:lang w:val="en-US"/>
        </w:rPr>
        <w:t>Our rights in a digital world</w:t>
      </w:r>
      <w:r>
        <w:rPr>
          <w:lang w:val="en-US"/>
        </w:rPr>
        <w:t>”</w:t>
      </w:r>
      <w:r w:rsidRPr="00B35D4F">
        <w:rPr>
          <w:lang w:val="en-US"/>
        </w:rPr>
        <w:t xml:space="preserve">, págs. </w:t>
      </w:r>
      <w:r w:rsidRPr="00B35D4F">
        <w:t>14, 16, 22 y 25.</w:t>
      </w:r>
    </w:p>
  </w:footnote>
  <w:footnote w:id="4">
    <w:p w14:paraId="05F34929" w14:textId="77777777" w:rsidR="00CB5D6F" w:rsidRPr="00B35D4F" w:rsidRDefault="00CB5D6F" w:rsidP="00BF2178">
      <w:pPr>
        <w:pStyle w:val="Textonotapie"/>
      </w:pPr>
      <w:r w:rsidRPr="00B35D4F">
        <w:tab/>
      </w:r>
      <w:r w:rsidRPr="00B35D4F">
        <w:rPr>
          <w:rStyle w:val="Refdenotaalpie"/>
        </w:rPr>
        <w:footnoteRef/>
      </w:r>
      <w:r w:rsidRPr="00B35D4F">
        <w:tab/>
        <w:t>Observación general núm. 9 (2006), párrs. 37 y 38.</w:t>
      </w:r>
    </w:p>
  </w:footnote>
  <w:footnote w:id="5">
    <w:p w14:paraId="614A5B1F" w14:textId="77777777" w:rsidR="00CB5D6F" w:rsidRPr="00B35D4F" w:rsidRDefault="00CB5D6F" w:rsidP="00BF2178">
      <w:pPr>
        <w:pStyle w:val="Textonotapie"/>
      </w:pPr>
      <w:r w:rsidRPr="00B35D4F">
        <w:tab/>
      </w:r>
      <w:r w:rsidRPr="00B35D4F">
        <w:rPr>
          <w:rStyle w:val="Refdenotaalpie"/>
        </w:rPr>
        <w:footnoteRef/>
      </w:r>
      <w:r w:rsidRPr="00B35D4F">
        <w:tab/>
        <w:t>Observación general núm. 14 (2013), párr. 1.</w:t>
      </w:r>
    </w:p>
  </w:footnote>
  <w:footnote w:id="6">
    <w:p w14:paraId="7C969B0F" w14:textId="77777777" w:rsidR="00CB5D6F" w:rsidRPr="00B35D4F" w:rsidRDefault="00CB5D6F" w:rsidP="00BF2178">
      <w:pPr>
        <w:pStyle w:val="Textonotapie"/>
        <w:rPr>
          <w:lang w:val="en-US"/>
        </w:rPr>
      </w:pPr>
      <w:r w:rsidRPr="00B35D4F">
        <w:tab/>
      </w:r>
      <w:r w:rsidRPr="00B35D4F">
        <w:rPr>
          <w:rStyle w:val="Refdenotaalpie"/>
        </w:rPr>
        <w:footnoteRef/>
      </w:r>
      <w:r w:rsidRPr="00B35D4F">
        <w:tab/>
        <w:t xml:space="preserve">Observación general núm. 24 (2019), párr. 22; y observación general núm. 20 (2016), párrs. </w:t>
      </w:r>
      <w:r w:rsidRPr="00B35D4F">
        <w:rPr>
          <w:lang w:val="en-US"/>
        </w:rPr>
        <w:t>9 a 11.</w:t>
      </w:r>
    </w:p>
  </w:footnote>
  <w:footnote w:id="7">
    <w:p w14:paraId="38C796BF" w14:textId="77777777" w:rsidR="00CB5D6F" w:rsidRPr="00B35D4F" w:rsidRDefault="00CB5D6F" w:rsidP="00BF2178">
      <w:pPr>
        <w:pStyle w:val="Textonotapie"/>
        <w:rPr>
          <w:lang w:val="en-US"/>
        </w:rPr>
      </w:pPr>
      <w:r w:rsidRPr="00B35D4F">
        <w:rPr>
          <w:lang w:val="en-US"/>
        </w:rPr>
        <w:tab/>
      </w:r>
      <w:r w:rsidRPr="00B35D4F">
        <w:rPr>
          <w:rStyle w:val="Refdenotaalpie"/>
        </w:rPr>
        <w:footnoteRef/>
      </w:r>
      <w:r w:rsidRPr="00B35D4F">
        <w:rPr>
          <w:lang w:val="en-US"/>
        </w:rPr>
        <w:tab/>
      </w:r>
      <w:r>
        <w:rPr>
          <w:lang w:val="en-US"/>
        </w:rPr>
        <w:t>“</w:t>
      </w:r>
      <w:r w:rsidRPr="00B35D4F">
        <w:rPr>
          <w:lang w:val="en-US"/>
        </w:rPr>
        <w:t>Our rights in a digital world</w:t>
      </w:r>
      <w:r>
        <w:rPr>
          <w:lang w:val="en-US"/>
        </w:rPr>
        <w:t>”</w:t>
      </w:r>
      <w:r w:rsidRPr="00B35D4F">
        <w:rPr>
          <w:lang w:val="en-US"/>
        </w:rPr>
        <w:t>, pág. 17.</w:t>
      </w:r>
    </w:p>
  </w:footnote>
  <w:footnote w:id="8">
    <w:p w14:paraId="5BEEE072" w14:textId="77777777" w:rsidR="00CB5D6F" w:rsidRPr="00B35D4F" w:rsidRDefault="00CB5D6F" w:rsidP="00BF2178">
      <w:pPr>
        <w:pStyle w:val="Textonotapie"/>
      </w:pPr>
      <w:r w:rsidRPr="00B35D4F">
        <w:rPr>
          <w:lang w:val="en-US"/>
        </w:rPr>
        <w:tab/>
      </w:r>
      <w:r w:rsidRPr="00B35D4F">
        <w:rPr>
          <w:rStyle w:val="Refdenotaalpie"/>
        </w:rPr>
        <w:footnoteRef/>
      </w:r>
      <w:r w:rsidRPr="00B35D4F">
        <w:rPr>
          <w:lang w:val="en-US"/>
        </w:rPr>
        <w:tab/>
        <w:t xml:space="preserve">Observación general núm. 14 (2013), párrs. </w:t>
      </w:r>
      <w:r w:rsidRPr="00B35D4F">
        <w:t>89 a 91.</w:t>
      </w:r>
    </w:p>
  </w:footnote>
  <w:footnote w:id="9">
    <w:p w14:paraId="7625650E" w14:textId="77777777" w:rsidR="00CB5D6F" w:rsidRPr="00B35D4F" w:rsidRDefault="00CB5D6F" w:rsidP="00BF2178">
      <w:pPr>
        <w:pStyle w:val="Textonotapie"/>
      </w:pPr>
      <w:r w:rsidRPr="00B35D4F">
        <w:tab/>
      </w:r>
      <w:r w:rsidRPr="00B35D4F">
        <w:rPr>
          <w:rStyle w:val="Refdenotaalpie"/>
        </w:rPr>
        <w:footnoteRef/>
      </w:r>
      <w:r w:rsidRPr="00B35D4F">
        <w:tab/>
        <w:t>Observación general núm.</w:t>
      </w:r>
      <w:r w:rsidR="00930A89">
        <w:t xml:space="preserve"> </w:t>
      </w:r>
      <w:r w:rsidRPr="00B35D4F">
        <w:t>7 (2005), párr. 17; y observación general núm. 20 (2016), párrs. 18 y 20.</w:t>
      </w:r>
    </w:p>
  </w:footnote>
  <w:footnote w:id="10">
    <w:p w14:paraId="13A2BCA8" w14:textId="77777777" w:rsidR="00CB5D6F" w:rsidRPr="00B35D4F" w:rsidRDefault="00CB5D6F" w:rsidP="00BF2178">
      <w:pPr>
        <w:pStyle w:val="Textonotapie"/>
      </w:pPr>
      <w:r w:rsidRPr="00B35D4F">
        <w:tab/>
      </w:r>
      <w:r w:rsidRPr="00B35D4F">
        <w:rPr>
          <w:rStyle w:val="Refdenotaalpie"/>
        </w:rPr>
        <w:footnoteRef/>
      </w:r>
      <w:r w:rsidRPr="00B35D4F">
        <w:tab/>
        <w:t>Observación general núm. 20 (2016), párr. 20.</w:t>
      </w:r>
    </w:p>
  </w:footnote>
  <w:footnote w:id="11">
    <w:p w14:paraId="652C222A" w14:textId="77777777" w:rsidR="00CB5D6F" w:rsidRPr="00B35D4F" w:rsidRDefault="00CB5D6F" w:rsidP="00BF2178">
      <w:pPr>
        <w:pStyle w:val="Textonotapie"/>
      </w:pPr>
      <w:r w:rsidRPr="00B35D4F">
        <w:tab/>
      </w:r>
      <w:r w:rsidRPr="00B35D4F">
        <w:rPr>
          <w:rStyle w:val="Refdenotaalpie"/>
        </w:rPr>
        <w:footnoteRef/>
      </w:r>
      <w:r w:rsidRPr="00B35D4F">
        <w:tab/>
        <w:t>Observación general núm. 5 (2003), párr. 45; observación general núm. 14 (2013), párr. 99; y observación general núm. 16 (2005), párrs. 78 a 81.</w:t>
      </w:r>
    </w:p>
  </w:footnote>
  <w:footnote w:id="12">
    <w:p w14:paraId="69279ABE" w14:textId="77777777" w:rsidR="00CB5D6F" w:rsidRPr="00B35D4F" w:rsidRDefault="00CB5D6F" w:rsidP="00BF2178">
      <w:pPr>
        <w:pStyle w:val="Textonotapie"/>
      </w:pPr>
      <w:r w:rsidRPr="00B35D4F">
        <w:tab/>
      </w:r>
      <w:r w:rsidRPr="00B35D4F">
        <w:rPr>
          <w:rStyle w:val="Refdenotaalpie"/>
        </w:rPr>
        <w:footnoteRef/>
      </w:r>
      <w:r w:rsidRPr="00B35D4F">
        <w:tab/>
        <w:t>Observación general núm. 5 (2003), párr. 37</w:t>
      </w:r>
      <w:r w:rsidR="00B33282">
        <w:t>.</w:t>
      </w:r>
    </w:p>
  </w:footnote>
  <w:footnote w:id="13">
    <w:p w14:paraId="2F686409" w14:textId="77777777" w:rsidR="00CB5D6F" w:rsidRPr="00B35D4F" w:rsidRDefault="00CB5D6F" w:rsidP="00BF2178">
      <w:pPr>
        <w:pStyle w:val="Textonotapie"/>
      </w:pPr>
      <w:r w:rsidRPr="00B35D4F">
        <w:tab/>
      </w:r>
      <w:r w:rsidRPr="00B35D4F">
        <w:rPr>
          <w:rStyle w:val="Refdenotaalpie"/>
        </w:rPr>
        <w:footnoteRef/>
      </w:r>
      <w:r w:rsidRPr="00B35D4F">
        <w:tab/>
      </w:r>
      <w:r w:rsidRPr="00B35D4F">
        <w:rPr>
          <w:i/>
        </w:rPr>
        <w:t>Ibid</w:t>
      </w:r>
      <w:r w:rsidRPr="00B35D4F">
        <w:t>., párrs. 27 y 39.</w:t>
      </w:r>
    </w:p>
  </w:footnote>
  <w:footnote w:id="14">
    <w:p w14:paraId="52D26E28" w14:textId="77777777" w:rsidR="00CB5D6F" w:rsidRPr="00B35D4F" w:rsidRDefault="00CB5D6F" w:rsidP="00BF2178">
      <w:pPr>
        <w:pStyle w:val="Textonotapie"/>
      </w:pPr>
      <w:r w:rsidRPr="00B35D4F">
        <w:tab/>
      </w:r>
      <w:r w:rsidRPr="00B35D4F">
        <w:rPr>
          <w:rStyle w:val="Refdenotaalpie"/>
        </w:rPr>
        <w:footnoteRef/>
      </w:r>
      <w:r w:rsidRPr="00B35D4F">
        <w:tab/>
        <w:t>Observación general núm. 19 (2016), párr. 21.</w:t>
      </w:r>
    </w:p>
  </w:footnote>
  <w:footnote w:id="15">
    <w:p w14:paraId="6DD8D9E8" w14:textId="77777777" w:rsidR="00CB5D6F" w:rsidRPr="00B35D4F" w:rsidRDefault="00CB5D6F" w:rsidP="00BF2178">
      <w:pPr>
        <w:pStyle w:val="Textonotapie"/>
      </w:pPr>
      <w:r w:rsidRPr="00B35D4F">
        <w:tab/>
      </w:r>
      <w:r w:rsidRPr="00B35D4F">
        <w:rPr>
          <w:rStyle w:val="Refdenotaalpie"/>
        </w:rPr>
        <w:footnoteRef/>
      </w:r>
      <w:r w:rsidRPr="00B35D4F">
        <w:tab/>
      </w:r>
      <w:r w:rsidRPr="00B35D4F">
        <w:rPr>
          <w:i/>
        </w:rPr>
        <w:t>Ibid</w:t>
      </w:r>
      <w:r w:rsidRPr="00B35D4F">
        <w:t>., párr. 27 b).</w:t>
      </w:r>
    </w:p>
  </w:footnote>
  <w:footnote w:id="16">
    <w:p w14:paraId="332C9045" w14:textId="77777777" w:rsidR="00CB5D6F" w:rsidRPr="00B35D4F" w:rsidRDefault="00CB5D6F" w:rsidP="00BF2178">
      <w:pPr>
        <w:pStyle w:val="Textonotapie"/>
      </w:pPr>
      <w:r w:rsidRPr="00B35D4F">
        <w:tab/>
      </w:r>
      <w:r w:rsidRPr="00B35D4F">
        <w:rPr>
          <w:rStyle w:val="Refdenotaalpie"/>
        </w:rPr>
        <w:footnoteRef/>
      </w:r>
      <w:r w:rsidRPr="00B35D4F">
        <w:tab/>
        <w:t>Observación general núm. 5 (2003), párrs. 48 y 50.</w:t>
      </w:r>
    </w:p>
  </w:footnote>
  <w:footnote w:id="17">
    <w:p w14:paraId="4FA76BA0" w14:textId="77777777" w:rsidR="00CB5D6F" w:rsidRPr="00B35D4F" w:rsidRDefault="00CB5D6F" w:rsidP="00BF2178">
      <w:pPr>
        <w:pStyle w:val="Textonotapie"/>
      </w:pPr>
      <w:r w:rsidRPr="00B35D4F">
        <w:tab/>
      </w:r>
      <w:r w:rsidRPr="00B35D4F">
        <w:rPr>
          <w:rStyle w:val="Refdenotaalpie"/>
        </w:rPr>
        <w:footnoteRef/>
      </w:r>
      <w:r w:rsidRPr="00B35D4F">
        <w:tab/>
        <w:t>Observación general núm. 2 (2002), párrs. 2 y 7.</w:t>
      </w:r>
    </w:p>
  </w:footnote>
  <w:footnote w:id="18">
    <w:p w14:paraId="64D8BAAE" w14:textId="77777777" w:rsidR="00CB5D6F" w:rsidRPr="00B35D4F" w:rsidRDefault="00CB5D6F" w:rsidP="00BF2178">
      <w:pPr>
        <w:pStyle w:val="Textonotapie"/>
      </w:pPr>
      <w:r w:rsidRPr="00B35D4F">
        <w:tab/>
      </w:r>
      <w:r w:rsidRPr="00B35D4F">
        <w:rPr>
          <w:rStyle w:val="Refdenotaalpie"/>
        </w:rPr>
        <w:footnoteRef/>
      </w:r>
      <w:r w:rsidRPr="00B35D4F">
        <w:tab/>
      </w:r>
      <w:r w:rsidRPr="00B35D4F">
        <w:rPr>
          <w:i/>
        </w:rPr>
        <w:t>Ibid</w:t>
      </w:r>
      <w:r w:rsidRPr="00B35D4F">
        <w:t>., párr. 7.</w:t>
      </w:r>
    </w:p>
  </w:footnote>
  <w:footnote w:id="19">
    <w:p w14:paraId="697E9214" w14:textId="77777777" w:rsidR="00CB5D6F" w:rsidRPr="00B35D4F" w:rsidRDefault="00CB5D6F" w:rsidP="00BF2178">
      <w:pPr>
        <w:pStyle w:val="Textonotapie"/>
      </w:pPr>
      <w:r w:rsidRPr="00B35D4F">
        <w:tab/>
      </w:r>
      <w:r w:rsidRPr="00B35D4F">
        <w:rPr>
          <w:rStyle w:val="Refdenotaalpie"/>
        </w:rPr>
        <w:footnoteRef/>
      </w:r>
      <w:r w:rsidRPr="00B35D4F">
        <w:tab/>
        <w:t xml:space="preserve">Observación general núm. 16 (2013), párrs. 28, 42 y 82. </w:t>
      </w:r>
    </w:p>
  </w:footnote>
  <w:footnote w:id="20">
    <w:p w14:paraId="37B7068C" w14:textId="77777777" w:rsidR="00CB5D6F" w:rsidRPr="00B35D4F" w:rsidRDefault="00CB5D6F" w:rsidP="00BF2178">
      <w:pPr>
        <w:pStyle w:val="Textonotapie"/>
      </w:pPr>
      <w:r w:rsidRPr="00B35D4F">
        <w:tab/>
      </w:r>
      <w:r w:rsidRPr="00B35D4F">
        <w:rPr>
          <w:rStyle w:val="Refdenotaalpie"/>
        </w:rPr>
        <w:footnoteRef/>
      </w:r>
      <w:r w:rsidRPr="00B35D4F">
        <w:tab/>
      </w:r>
      <w:r w:rsidRPr="00B35D4F">
        <w:rPr>
          <w:i/>
        </w:rPr>
        <w:t>Ibid</w:t>
      </w:r>
      <w:r w:rsidRPr="00B35D4F">
        <w:t>., párr. 60.</w:t>
      </w:r>
    </w:p>
  </w:footnote>
  <w:footnote w:id="21">
    <w:p w14:paraId="0382F750" w14:textId="77777777" w:rsidR="00CB5D6F" w:rsidRPr="00B35D4F" w:rsidRDefault="00CB5D6F" w:rsidP="00BF2178">
      <w:pPr>
        <w:pStyle w:val="Textonotapie"/>
      </w:pPr>
      <w:r w:rsidRPr="00B35D4F">
        <w:tab/>
      </w:r>
      <w:r w:rsidRPr="00B35D4F">
        <w:rPr>
          <w:rStyle w:val="Refdenotaalpie"/>
        </w:rPr>
        <w:footnoteRef/>
      </w:r>
      <w:r w:rsidRPr="00B35D4F">
        <w:tab/>
      </w:r>
      <w:r w:rsidRPr="00B35D4F">
        <w:rPr>
          <w:i/>
        </w:rPr>
        <w:t>Ibid</w:t>
      </w:r>
      <w:r w:rsidRPr="00B35D4F">
        <w:t>., párrs. 50 y 62 a 65.</w:t>
      </w:r>
    </w:p>
  </w:footnote>
  <w:footnote w:id="22">
    <w:p w14:paraId="5256725B" w14:textId="77777777" w:rsidR="00CB5D6F" w:rsidRPr="00B35D4F" w:rsidRDefault="00CB5D6F" w:rsidP="00BF2178">
      <w:pPr>
        <w:pStyle w:val="Textonotapie"/>
      </w:pPr>
      <w:r w:rsidRPr="00B35D4F">
        <w:tab/>
      </w:r>
      <w:r w:rsidRPr="00B35D4F">
        <w:rPr>
          <w:rStyle w:val="Refdenotaalpie"/>
        </w:rPr>
        <w:footnoteRef/>
      </w:r>
      <w:r w:rsidRPr="00B35D4F">
        <w:tab/>
        <w:t>Observación general núm. 21 (2017), párr. 22. Véase también la resolución 60/147 de la Asamblea General, anexo.</w:t>
      </w:r>
    </w:p>
  </w:footnote>
  <w:footnote w:id="23">
    <w:p w14:paraId="596DF309" w14:textId="77777777" w:rsidR="00CB5D6F" w:rsidRPr="00B35D4F" w:rsidRDefault="00CB5D6F" w:rsidP="00BF2178">
      <w:pPr>
        <w:pStyle w:val="Textonotapie"/>
      </w:pPr>
      <w:r w:rsidRPr="00B35D4F">
        <w:tab/>
      </w:r>
      <w:r w:rsidRPr="00B35D4F">
        <w:rPr>
          <w:rStyle w:val="Refdenotaalpie"/>
        </w:rPr>
        <w:footnoteRef/>
      </w:r>
      <w:r w:rsidRPr="00B35D4F">
        <w:tab/>
        <w:t>Observación general núm. 5 (2003), párr. 24</w:t>
      </w:r>
      <w:r w:rsidR="00B33282">
        <w:t>.</w:t>
      </w:r>
    </w:p>
  </w:footnote>
  <w:footnote w:id="24">
    <w:p w14:paraId="6A118246" w14:textId="77777777" w:rsidR="00CB5D6F" w:rsidRPr="00B35D4F" w:rsidRDefault="00CB5D6F" w:rsidP="00BF2178">
      <w:pPr>
        <w:pStyle w:val="Textonotapie"/>
      </w:pPr>
      <w:r w:rsidRPr="00B35D4F">
        <w:tab/>
      </w:r>
      <w:r w:rsidRPr="00B35D4F">
        <w:rPr>
          <w:rStyle w:val="Refdenotaalpie"/>
        </w:rPr>
        <w:footnoteRef/>
      </w:r>
      <w:r w:rsidRPr="00B35D4F">
        <w:tab/>
        <w:t>Observación general núm. 16 (2013), párrs. 66 y 67.</w:t>
      </w:r>
    </w:p>
  </w:footnote>
  <w:footnote w:id="25">
    <w:p w14:paraId="3CBFA7BF" w14:textId="77777777" w:rsidR="00CB5D6F" w:rsidRPr="00B35D4F" w:rsidRDefault="00CB5D6F" w:rsidP="00BF2178">
      <w:pPr>
        <w:pStyle w:val="Textonotapie"/>
      </w:pPr>
      <w:r w:rsidRPr="00B35D4F">
        <w:tab/>
      </w:r>
      <w:r w:rsidRPr="00B35D4F">
        <w:rPr>
          <w:rStyle w:val="Refdenotaalpie"/>
        </w:rPr>
        <w:footnoteRef/>
      </w:r>
      <w:r w:rsidRPr="00B35D4F">
        <w:tab/>
      </w:r>
      <w:r w:rsidRPr="00B35D4F">
        <w:rPr>
          <w:i/>
        </w:rPr>
        <w:t>Ibid</w:t>
      </w:r>
      <w:r w:rsidRPr="00B35D4F">
        <w:t>., párrs. 30 y 43.</w:t>
      </w:r>
    </w:p>
  </w:footnote>
  <w:footnote w:id="26">
    <w:p w14:paraId="1F932EF1" w14:textId="77777777" w:rsidR="00CB5D6F" w:rsidRPr="00B35D4F" w:rsidRDefault="00CB5D6F" w:rsidP="00BF2178">
      <w:pPr>
        <w:pStyle w:val="Textonotapie"/>
      </w:pPr>
      <w:r w:rsidRPr="00B35D4F">
        <w:tab/>
      </w:r>
      <w:r w:rsidRPr="00B35D4F">
        <w:rPr>
          <w:rStyle w:val="Refdenotaalpie"/>
        </w:rPr>
        <w:footnoteRef/>
      </w:r>
      <w:r w:rsidRPr="00B35D4F">
        <w:tab/>
        <w:t>Observación general núm.</w:t>
      </w:r>
      <w:r>
        <w:t xml:space="preserve"> </w:t>
      </w:r>
      <w:r w:rsidRPr="00B35D4F">
        <w:t>7 (2005), párr. 35; y observación general núm. 20 (2016), párr. 47.</w:t>
      </w:r>
    </w:p>
  </w:footnote>
  <w:footnote w:id="27">
    <w:p w14:paraId="6C7CA43F" w14:textId="77777777" w:rsidR="00CB5D6F" w:rsidRPr="00B35D4F" w:rsidRDefault="00CB5D6F" w:rsidP="00BF2178">
      <w:pPr>
        <w:pStyle w:val="Textonotapie"/>
      </w:pPr>
      <w:r w:rsidRPr="00B35D4F">
        <w:tab/>
      </w:r>
      <w:r w:rsidRPr="00B35D4F">
        <w:rPr>
          <w:rStyle w:val="Refdenotaalpie"/>
        </w:rPr>
        <w:footnoteRef/>
      </w:r>
      <w:r w:rsidRPr="00B35D4F">
        <w:tab/>
        <w:t>Observación general núm. 17 (2013), párr. 46; y observación general núm. 20 (2016), párrs. 47 y 48.</w:t>
      </w:r>
    </w:p>
  </w:footnote>
  <w:footnote w:id="28">
    <w:p w14:paraId="04B5F6C8" w14:textId="77777777" w:rsidR="00CB5D6F" w:rsidRPr="00B35D4F" w:rsidRDefault="00CB5D6F" w:rsidP="00BF2178">
      <w:pPr>
        <w:pStyle w:val="Textonotapie"/>
      </w:pPr>
      <w:r w:rsidRPr="00B35D4F">
        <w:tab/>
      </w:r>
      <w:r w:rsidRPr="00B35D4F">
        <w:rPr>
          <w:rStyle w:val="Refdenotaalpie"/>
        </w:rPr>
        <w:footnoteRef/>
      </w:r>
      <w:r w:rsidRPr="00B35D4F">
        <w:tab/>
        <w:t>Observación general núm. 16 (2013), párr. 58; y observación general núm. 7 (2005), párr. 35.</w:t>
      </w:r>
    </w:p>
  </w:footnote>
  <w:footnote w:id="29">
    <w:p w14:paraId="53C90DBA" w14:textId="77777777" w:rsidR="00CB5D6F" w:rsidRPr="00B35D4F" w:rsidRDefault="00CB5D6F" w:rsidP="00BF2178">
      <w:pPr>
        <w:pStyle w:val="Textonotapie"/>
      </w:pPr>
      <w:r w:rsidRPr="00B35D4F">
        <w:tab/>
      </w:r>
      <w:r w:rsidRPr="00B35D4F">
        <w:rPr>
          <w:rStyle w:val="Refdenotaalpie"/>
        </w:rPr>
        <w:footnoteRef/>
      </w:r>
      <w:r w:rsidRPr="00B35D4F">
        <w:tab/>
        <w:t>Comité de Derechos Humanos, observación general núm. 34 (2011), párr. 43.</w:t>
      </w:r>
    </w:p>
  </w:footnote>
  <w:footnote w:id="30">
    <w:p w14:paraId="632085D0" w14:textId="77777777" w:rsidR="00CB5D6F" w:rsidRPr="00B35D4F" w:rsidRDefault="00CB5D6F" w:rsidP="00BF2178">
      <w:pPr>
        <w:pStyle w:val="Textonotapie"/>
      </w:pPr>
      <w:r w:rsidRPr="00B35D4F">
        <w:tab/>
      </w:r>
      <w:r w:rsidRPr="00B35D4F">
        <w:rPr>
          <w:rStyle w:val="Refdenotaalpie"/>
        </w:rPr>
        <w:footnoteRef/>
      </w:r>
      <w:r w:rsidRPr="00B35D4F">
        <w:tab/>
        <w:t>Observación general núm. 16 (2013), párrs. 19 y 59.</w:t>
      </w:r>
    </w:p>
  </w:footnote>
  <w:footnote w:id="31">
    <w:p w14:paraId="71BA7651" w14:textId="77777777" w:rsidR="00CB5D6F" w:rsidRPr="00B35D4F" w:rsidRDefault="00CB5D6F" w:rsidP="00BF2178">
      <w:pPr>
        <w:pStyle w:val="Textonotapie"/>
        <w:rPr>
          <w:lang w:val="en-US"/>
        </w:rPr>
      </w:pPr>
      <w:r w:rsidRPr="00B35D4F">
        <w:tab/>
      </w:r>
      <w:r w:rsidRPr="00B35D4F">
        <w:rPr>
          <w:rStyle w:val="Refdenotaalpie"/>
        </w:rPr>
        <w:footnoteRef/>
      </w:r>
      <w:r w:rsidRPr="00B35D4F">
        <w:rPr>
          <w:lang w:val="en-US"/>
        </w:rPr>
        <w:tab/>
      </w:r>
      <w:r w:rsidRPr="00B35D4F">
        <w:rPr>
          <w:i/>
          <w:lang w:val="en-US"/>
        </w:rPr>
        <w:t>Ibid</w:t>
      </w:r>
      <w:r w:rsidRPr="00B35D4F">
        <w:rPr>
          <w:lang w:val="en-US"/>
        </w:rPr>
        <w:t>., párrs. 58 y 61.</w:t>
      </w:r>
    </w:p>
  </w:footnote>
  <w:footnote w:id="32">
    <w:p w14:paraId="195A0800" w14:textId="77777777" w:rsidR="00CB5D6F" w:rsidRPr="00B35D4F" w:rsidRDefault="00CB5D6F" w:rsidP="00BF2178">
      <w:pPr>
        <w:pStyle w:val="Textonotapie"/>
        <w:rPr>
          <w:lang w:val="en-US"/>
        </w:rPr>
      </w:pPr>
      <w:r w:rsidRPr="00B35D4F">
        <w:rPr>
          <w:lang w:val="en-US"/>
        </w:rPr>
        <w:tab/>
      </w:r>
      <w:r w:rsidRPr="00B35D4F">
        <w:rPr>
          <w:rStyle w:val="Refdenotaalpie"/>
        </w:rPr>
        <w:footnoteRef/>
      </w:r>
      <w:r w:rsidRPr="00B35D4F">
        <w:rPr>
          <w:lang w:val="en-US"/>
        </w:rPr>
        <w:tab/>
      </w:r>
      <w:r>
        <w:rPr>
          <w:lang w:val="en-US"/>
        </w:rPr>
        <w:t>“</w:t>
      </w:r>
      <w:r w:rsidRPr="00B35D4F">
        <w:rPr>
          <w:lang w:val="en-US"/>
        </w:rPr>
        <w:t>Our rights in a digital world</w:t>
      </w:r>
      <w:r>
        <w:rPr>
          <w:lang w:val="en-US"/>
        </w:rPr>
        <w:t>”</w:t>
      </w:r>
      <w:r w:rsidRPr="00B35D4F">
        <w:rPr>
          <w:lang w:val="en-US"/>
        </w:rPr>
        <w:t>, pág. 16.</w:t>
      </w:r>
    </w:p>
  </w:footnote>
  <w:footnote w:id="33">
    <w:p w14:paraId="2DF1A42B" w14:textId="77777777" w:rsidR="00CB5D6F" w:rsidRPr="00B35D4F" w:rsidRDefault="00CB5D6F" w:rsidP="00BF2178">
      <w:pPr>
        <w:pStyle w:val="Textonotapie"/>
      </w:pPr>
      <w:r w:rsidRPr="00B35D4F">
        <w:rPr>
          <w:lang w:val="en-US"/>
        </w:rPr>
        <w:tab/>
      </w:r>
      <w:r w:rsidRPr="00B35D4F">
        <w:rPr>
          <w:rStyle w:val="Refdenotaalpie"/>
        </w:rPr>
        <w:footnoteRef/>
      </w:r>
      <w:r w:rsidRPr="00B35D4F">
        <w:tab/>
        <w:t>Observación general núm. 17 (2013), párr. 21; y observación general núm. 20 (2016), párrs. 44 y 45.</w:t>
      </w:r>
    </w:p>
  </w:footnote>
  <w:footnote w:id="34">
    <w:p w14:paraId="2A33D9FE" w14:textId="77777777" w:rsidR="00CB5D6F" w:rsidRPr="00B35D4F" w:rsidRDefault="00CB5D6F" w:rsidP="00BF2178">
      <w:pPr>
        <w:pStyle w:val="Textonotapie"/>
        <w:rPr>
          <w:lang w:val="en-US"/>
        </w:rPr>
      </w:pPr>
      <w:r w:rsidRPr="00B35D4F">
        <w:tab/>
      </w:r>
      <w:r w:rsidRPr="00B35D4F">
        <w:rPr>
          <w:rStyle w:val="Refdenotaalpie"/>
        </w:rPr>
        <w:footnoteRef/>
      </w:r>
      <w:r w:rsidRPr="00B35D4F">
        <w:rPr>
          <w:lang w:val="en-US"/>
        </w:rPr>
        <w:tab/>
      </w:r>
      <w:r>
        <w:rPr>
          <w:lang w:val="en-US"/>
        </w:rPr>
        <w:t>“</w:t>
      </w:r>
      <w:r w:rsidRPr="00B35D4F">
        <w:rPr>
          <w:lang w:val="en-US"/>
        </w:rPr>
        <w:t>Our rights in a digital world</w:t>
      </w:r>
      <w:r>
        <w:rPr>
          <w:lang w:val="en-US"/>
        </w:rPr>
        <w:t>”</w:t>
      </w:r>
      <w:r w:rsidRPr="00B35D4F">
        <w:rPr>
          <w:lang w:val="en-US"/>
        </w:rPr>
        <w:t>, pág. 20.</w:t>
      </w:r>
    </w:p>
  </w:footnote>
  <w:footnote w:id="35">
    <w:p w14:paraId="223EACFB" w14:textId="77777777" w:rsidR="00CB5D6F" w:rsidRPr="00B35D4F" w:rsidRDefault="00CB5D6F" w:rsidP="00BF2178">
      <w:pPr>
        <w:pStyle w:val="Textonotapie"/>
      </w:pPr>
      <w:r w:rsidRPr="00B35D4F">
        <w:rPr>
          <w:lang w:val="en-US"/>
        </w:rPr>
        <w:tab/>
      </w:r>
      <w:r w:rsidRPr="00B35D4F">
        <w:rPr>
          <w:rStyle w:val="Refdenotaalpie"/>
        </w:rPr>
        <w:footnoteRef/>
      </w:r>
      <w:r w:rsidRPr="00B35D4F">
        <w:tab/>
        <w:t>Comité de Derechos Humanos, observación general núm. 37 (2020), párrs. 6 y 34.</w:t>
      </w:r>
    </w:p>
  </w:footnote>
  <w:footnote w:id="36">
    <w:p w14:paraId="597EEC81" w14:textId="77777777" w:rsidR="00CB5D6F" w:rsidRPr="00B35D4F" w:rsidRDefault="00CB5D6F" w:rsidP="00BF2178">
      <w:pPr>
        <w:pStyle w:val="Textonotapie"/>
      </w:pPr>
      <w:r w:rsidRPr="00B35D4F">
        <w:tab/>
      </w:r>
      <w:r w:rsidRPr="00B35D4F">
        <w:rPr>
          <w:rStyle w:val="Refdenotaalpie"/>
        </w:rPr>
        <w:footnoteRef/>
      </w:r>
      <w:r w:rsidRPr="00B35D4F">
        <w:tab/>
        <w:t>Comité de Derechos Humanos, observación general núm. 16 (1988), párr. 10.</w:t>
      </w:r>
    </w:p>
  </w:footnote>
  <w:footnote w:id="37">
    <w:p w14:paraId="7543EA1A" w14:textId="77777777" w:rsidR="00CB5D6F" w:rsidRPr="00B35D4F" w:rsidRDefault="00CB5D6F" w:rsidP="00BF2178">
      <w:pPr>
        <w:pStyle w:val="Textonotapie"/>
      </w:pPr>
      <w:r w:rsidRPr="00B35D4F">
        <w:tab/>
      </w:r>
      <w:r w:rsidRPr="00B35D4F">
        <w:rPr>
          <w:rStyle w:val="Refdenotaalpie"/>
        </w:rPr>
        <w:footnoteRef/>
      </w:r>
      <w:r w:rsidRPr="00B35D4F">
        <w:tab/>
      </w:r>
      <w:r w:rsidRPr="00B35D4F">
        <w:rPr>
          <w:i/>
        </w:rPr>
        <w:t>Ibid</w:t>
      </w:r>
      <w:r w:rsidRPr="00B35D4F">
        <w:t>.; y Comité de los Derechos del Niño, observación general núm. 20 (2016), párr. 46.</w:t>
      </w:r>
    </w:p>
  </w:footnote>
  <w:footnote w:id="38">
    <w:p w14:paraId="4978CE19" w14:textId="77777777" w:rsidR="00CB5D6F" w:rsidRPr="00B35D4F" w:rsidRDefault="00CB5D6F" w:rsidP="00BF2178">
      <w:pPr>
        <w:pStyle w:val="Textonotapie"/>
      </w:pPr>
      <w:r w:rsidRPr="00B35D4F">
        <w:tab/>
      </w:r>
      <w:r w:rsidRPr="00B35D4F">
        <w:rPr>
          <w:rStyle w:val="Refdenotaalpie"/>
        </w:rPr>
        <w:footnoteRef/>
      </w:r>
      <w:r w:rsidRPr="00B35D4F">
        <w:tab/>
        <w:t>Observación general núm. 20 (2016), párr. 60.</w:t>
      </w:r>
    </w:p>
  </w:footnote>
  <w:footnote w:id="39">
    <w:p w14:paraId="3A87693A" w14:textId="77777777" w:rsidR="00CB5D6F" w:rsidRPr="00B35D4F" w:rsidRDefault="00CB5D6F" w:rsidP="00BF2178">
      <w:pPr>
        <w:pStyle w:val="Textonotapie"/>
        <w:rPr>
          <w:lang w:val="en-US"/>
        </w:rPr>
      </w:pPr>
      <w:r w:rsidRPr="00B35D4F">
        <w:tab/>
      </w:r>
      <w:r w:rsidRPr="00B35D4F">
        <w:rPr>
          <w:rStyle w:val="Refdenotaalpie"/>
        </w:rPr>
        <w:footnoteRef/>
      </w:r>
      <w:r w:rsidRPr="00B35D4F">
        <w:tab/>
        <w:t xml:space="preserve">Observación general núm. 24 (2019), párr. 101; y CRC/C/156, párr. </w:t>
      </w:r>
      <w:r w:rsidRPr="00B35D4F">
        <w:rPr>
          <w:lang w:val="en-US"/>
        </w:rPr>
        <w:t>71.</w:t>
      </w:r>
    </w:p>
  </w:footnote>
  <w:footnote w:id="40">
    <w:p w14:paraId="77DCAF3B" w14:textId="77777777" w:rsidR="00CB5D6F" w:rsidRPr="00B35D4F" w:rsidRDefault="00CB5D6F" w:rsidP="00BF2178">
      <w:pPr>
        <w:pStyle w:val="Textonotapie"/>
        <w:rPr>
          <w:lang w:val="en-US"/>
        </w:rPr>
      </w:pPr>
      <w:r w:rsidRPr="00B35D4F">
        <w:rPr>
          <w:lang w:val="en-US"/>
        </w:rPr>
        <w:tab/>
      </w:r>
      <w:r w:rsidRPr="00B35D4F">
        <w:rPr>
          <w:rStyle w:val="Refdenotaalpie"/>
        </w:rPr>
        <w:footnoteRef/>
      </w:r>
      <w:r w:rsidRPr="00B35D4F">
        <w:rPr>
          <w:lang w:val="en-US"/>
        </w:rPr>
        <w:tab/>
      </w:r>
      <w:r>
        <w:rPr>
          <w:lang w:val="en-US"/>
        </w:rPr>
        <w:t>“</w:t>
      </w:r>
      <w:r w:rsidRPr="00B35D4F">
        <w:rPr>
          <w:lang w:val="en-US"/>
        </w:rPr>
        <w:t>Our rights in a digital world</w:t>
      </w:r>
      <w:r>
        <w:rPr>
          <w:lang w:val="en-US"/>
        </w:rPr>
        <w:t>”</w:t>
      </w:r>
      <w:r w:rsidRPr="00B35D4F">
        <w:rPr>
          <w:lang w:val="en-US"/>
        </w:rPr>
        <w:t>, pág. 30.</w:t>
      </w:r>
    </w:p>
  </w:footnote>
  <w:footnote w:id="41">
    <w:p w14:paraId="683B707A" w14:textId="77777777" w:rsidR="00CB5D6F" w:rsidRPr="00B35D4F" w:rsidRDefault="00CB5D6F" w:rsidP="00BF2178">
      <w:pPr>
        <w:pStyle w:val="Textonotapie"/>
        <w:rPr>
          <w:lang w:val="en-US"/>
        </w:rPr>
      </w:pPr>
      <w:r w:rsidRPr="00B35D4F">
        <w:rPr>
          <w:lang w:val="en-US"/>
        </w:rPr>
        <w:tab/>
      </w:r>
      <w:r w:rsidRPr="00B35D4F">
        <w:rPr>
          <w:rStyle w:val="Refdenotaalpie"/>
        </w:rPr>
        <w:footnoteRef/>
      </w:r>
      <w:r w:rsidRPr="00B35D4F">
        <w:rPr>
          <w:lang w:val="en-US"/>
        </w:rPr>
        <w:tab/>
        <w:t>Observación general núm. 21 (2017), párr. 35.</w:t>
      </w:r>
    </w:p>
  </w:footnote>
  <w:footnote w:id="42">
    <w:p w14:paraId="4B56F6E0" w14:textId="77777777" w:rsidR="00CB5D6F" w:rsidRPr="00B35D4F" w:rsidRDefault="00CB5D6F" w:rsidP="00BF2178">
      <w:pPr>
        <w:pStyle w:val="Textonotapie"/>
        <w:rPr>
          <w:lang w:val="en-US"/>
        </w:rPr>
      </w:pPr>
      <w:r w:rsidRPr="00B35D4F">
        <w:rPr>
          <w:lang w:val="en-US"/>
        </w:rPr>
        <w:tab/>
      </w:r>
      <w:r w:rsidRPr="00B35D4F">
        <w:rPr>
          <w:rStyle w:val="Refdenotaalpie"/>
        </w:rPr>
        <w:footnoteRef/>
      </w:r>
      <w:r w:rsidRPr="00B35D4F">
        <w:rPr>
          <w:lang w:val="en-US"/>
        </w:rPr>
        <w:tab/>
      </w:r>
      <w:r>
        <w:rPr>
          <w:lang w:val="en-US"/>
        </w:rPr>
        <w:t>“</w:t>
      </w:r>
      <w:r w:rsidRPr="00B35D4F">
        <w:rPr>
          <w:lang w:val="en-US"/>
        </w:rPr>
        <w:t>Our rights in a digital world</w:t>
      </w:r>
      <w:r>
        <w:rPr>
          <w:lang w:val="en-US"/>
        </w:rPr>
        <w:t>”</w:t>
      </w:r>
      <w:r w:rsidRPr="00B35D4F">
        <w:rPr>
          <w:lang w:val="en-US"/>
        </w:rPr>
        <w:t>, pág. 37.</w:t>
      </w:r>
    </w:p>
  </w:footnote>
  <w:footnote w:id="43">
    <w:p w14:paraId="6249C132" w14:textId="77777777" w:rsidR="00CB5D6F" w:rsidRPr="00B35D4F" w:rsidRDefault="00CB5D6F" w:rsidP="00BF2178">
      <w:pPr>
        <w:pStyle w:val="Textonotapie"/>
      </w:pPr>
      <w:r w:rsidRPr="00B35D4F">
        <w:rPr>
          <w:lang w:val="en-US"/>
        </w:rPr>
        <w:tab/>
      </w:r>
      <w:r w:rsidRPr="00B35D4F">
        <w:rPr>
          <w:rStyle w:val="Refdenotaalpie"/>
        </w:rPr>
        <w:footnoteRef/>
      </w:r>
      <w:r w:rsidRPr="00B35D4F">
        <w:tab/>
        <w:t>Observación general núm. 20 (2016), párr. 59.</w:t>
      </w:r>
    </w:p>
  </w:footnote>
  <w:footnote w:id="44">
    <w:p w14:paraId="4285827E" w14:textId="77777777" w:rsidR="00CB5D6F" w:rsidRPr="00B35D4F" w:rsidRDefault="00CB5D6F" w:rsidP="00BF2178">
      <w:pPr>
        <w:pStyle w:val="Textonotapie"/>
      </w:pPr>
      <w:r w:rsidRPr="00B35D4F">
        <w:tab/>
      </w:r>
      <w:r w:rsidRPr="00B35D4F">
        <w:rPr>
          <w:rStyle w:val="Refdenotaalpie"/>
        </w:rPr>
        <w:footnoteRef/>
      </w:r>
      <w:r w:rsidRPr="00B35D4F">
        <w:tab/>
      </w:r>
      <w:r w:rsidRPr="00B35D4F">
        <w:rPr>
          <w:i/>
        </w:rPr>
        <w:t>Ibid</w:t>
      </w:r>
      <w:r w:rsidRPr="00B35D4F">
        <w:t>., párrs. 47 y 59.</w:t>
      </w:r>
    </w:p>
  </w:footnote>
  <w:footnote w:id="45">
    <w:p w14:paraId="16EBE1C2" w14:textId="77777777" w:rsidR="00CB5D6F" w:rsidRPr="00B35D4F" w:rsidRDefault="00CB5D6F" w:rsidP="00BF2178">
      <w:pPr>
        <w:pStyle w:val="Textonotapie"/>
      </w:pPr>
      <w:r w:rsidRPr="00B35D4F">
        <w:tab/>
      </w:r>
      <w:r w:rsidRPr="00B35D4F">
        <w:rPr>
          <w:rStyle w:val="Refdenotaalpie"/>
        </w:rPr>
        <w:footnoteRef/>
      </w:r>
      <w:r w:rsidRPr="00B35D4F">
        <w:tab/>
      </w:r>
      <w:r w:rsidRPr="00B33282">
        <w:rPr>
          <w:i/>
          <w:iCs/>
        </w:rPr>
        <w:t>Ibid.</w:t>
      </w:r>
      <w:r w:rsidRPr="00B35D4F">
        <w:t>, párrs. 47 y 48.</w:t>
      </w:r>
    </w:p>
  </w:footnote>
  <w:footnote w:id="46">
    <w:p w14:paraId="72409BFA" w14:textId="77777777" w:rsidR="00CB5D6F" w:rsidRPr="00B35D4F" w:rsidRDefault="00CB5D6F" w:rsidP="00BF2178">
      <w:pPr>
        <w:pStyle w:val="Textonotapie"/>
      </w:pPr>
      <w:r w:rsidRPr="00B35D4F">
        <w:tab/>
      </w:r>
      <w:r w:rsidRPr="00B35D4F">
        <w:rPr>
          <w:rStyle w:val="Refdenotaalpie"/>
        </w:rPr>
        <w:footnoteRef/>
      </w:r>
      <w:r w:rsidRPr="00B35D4F">
        <w:tab/>
        <w:t>Observación general núm. 15 (2013), párr. 84.</w:t>
      </w:r>
    </w:p>
  </w:footnote>
  <w:footnote w:id="47">
    <w:p w14:paraId="33ACB11E" w14:textId="77777777" w:rsidR="00CB5D6F" w:rsidRPr="00B35D4F" w:rsidRDefault="00CB5D6F" w:rsidP="00BF2178">
      <w:pPr>
        <w:pStyle w:val="Textonotapie"/>
      </w:pPr>
      <w:r w:rsidRPr="00B35D4F">
        <w:tab/>
      </w:r>
      <w:r w:rsidRPr="00B35D4F">
        <w:rPr>
          <w:rStyle w:val="Refdenotaalpie"/>
        </w:rPr>
        <w:footnoteRef/>
      </w:r>
      <w:r w:rsidRPr="00B35D4F">
        <w:tab/>
        <w:t>Observación general núm. 17 (2013), párr. 13.</w:t>
      </w:r>
    </w:p>
  </w:footnote>
  <w:footnote w:id="48">
    <w:p w14:paraId="0313A9F0" w14:textId="77777777" w:rsidR="00CB5D6F" w:rsidRPr="00B35D4F" w:rsidRDefault="00CB5D6F" w:rsidP="00BF2178">
      <w:pPr>
        <w:pStyle w:val="Textonotapie"/>
      </w:pPr>
      <w:r w:rsidRPr="00B35D4F">
        <w:tab/>
      </w:r>
      <w:r w:rsidRPr="00B35D4F">
        <w:rPr>
          <w:rStyle w:val="Refdenotaalpie"/>
        </w:rPr>
        <w:footnoteRef/>
      </w:r>
      <w:r w:rsidRPr="00B35D4F">
        <w:tab/>
        <w:t>Observación general núm. 15 (2013), párr. 77.</w:t>
      </w:r>
    </w:p>
  </w:footnote>
  <w:footnote w:id="49">
    <w:p w14:paraId="246B0E17" w14:textId="77777777" w:rsidR="00CB5D6F" w:rsidRPr="00B35D4F" w:rsidRDefault="00CB5D6F" w:rsidP="00BF2178">
      <w:pPr>
        <w:pStyle w:val="Textonotapie"/>
      </w:pPr>
      <w:r w:rsidRPr="00B35D4F">
        <w:tab/>
      </w:r>
      <w:r w:rsidRPr="00B35D4F">
        <w:rPr>
          <w:rStyle w:val="Refdenotaalpie"/>
        </w:rPr>
        <w:footnoteRef/>
      </w:r>
      <w:r w:rsidRPr="00B35D4F">
        <w:tab/>
      </w:r>
      <w:r>
        <w:t>“</w:t>
      </w:r>
      <w:r w:rsidRPr="00B35D4F">
        <w:t>Our rights in a digital world</w:t>
      </w:r>
      <w:r>
        <w:t>”</w:t>
      </w:r>
      <w:r w:rsidRPr="00B35D4F">
        <w:t>, págs. 14, 16 y 30.</w:t>
      </w:r>
    </w:p>
  </w:footnote>
  <w:footnote w:id="50">
    <w:p w14:paraId="3A086126" w14:textId="77777777" w:rsidR="00CB5D6F" w:rsidRPr="00B35D4F" w:rsidRDefault="00CB5D6F" w:rsidP="00BF2178">
      <w:pPr>
        <w:pStyle w:val="Textonotapie"/>
      </w:pPr>
      <w:r w:rsidRPr="00B35D4F">
        <w:tab/>
      </w:r>
      <w:r w:rsidRPr="00B35D4F">
        <w:rPr>
          <w:rStyle w:val="Refdenotaalpie"/>
        </w:rPr>
        <w:footnoteRef/>
      </w:r>
      <w:r w:rsidRPr="00B35D4F">
        <w:tab/>
        <w:t>Observación general núm. 17 (2013), párr. 10.</w:t>
      </w:r>
    </w:p>
  </w:footnote>
  <w:footnote w:id="51">
    <w:p w14:paraId="6E83C2A6" w14:textId="77777777" w:rsidR="00CB5D6F" w:rsidRPr="00B35D4F" w:rsidRDefault="00CB5D6F" w:rsidP="00BF2178">
      <w:pPr>
        <w:pStyle w:val="Textonotapie"/>
      </w:pPr>
      <w:r w:rsidRPr="00B35D4F">
        <w:tab/>
      </w:r>
      <w:r w:rsidRPr="00B35D4F">
        <w:rPr>
          <w:rStyle w:val="Refdenotaalpie"/>
        </w:rPr>
        <w:footnoteRef/>
      </w:r>
      <w:r w:rsidRPr="00B35D4F">
        <w:tab/>
        <w:t>Recomendación general núm. 31 del Comité para la Eliminación de la Discriminación contra la Mujer y observación general núm. 18 del Comité de los Derechos del Niño (2019), adoptadas de manera conjunta, párr. 64; y Comité de los Derechos del Niño, observación general núm. 11 (2009), párr. 61, y observación general núm. 21 (2017), párr. 55.</w:t>
      </w:r>
    </w:p>
  </w:footnote>
  <w:footnote w:id="52">
    <w:p w14:paraId="4FCF3DF5" w14:textId="77777777" w:rsidR="00CB5D6F" w:rsidRPr="00B35D4F" w:rsidRDefault="00CB5D6F" w:rsidP="00BF2178">
      <w:pPr>
        <w:pStyle w:val="Textonotapie"/>
      </w:pPr>
      <w:r w:rsidRPr="00B35D4F">
        <w:tab/>
      </w:r>
      <w:r w:rsidRPr="00B35D4F">
        <w:rPr>
          <w:rStyle w:val="Refdenotaalpie"/>
        </w:rPr>
        <w:footnoteRef/>
      </w:r>
      <w:r w:rsidRPr="00B35D4F">
        <w:tab/>
        <w:t>Observación general núm. 20 (2016), párr. 47.</w:t>
      </w:r>
    </w:p>
  </w:footnote>
  <w:footnote w:id="53">
    <w:p w14:paraId="5C88D052" w14:textId="77777777" w:rsidR="00CB5D6F" w:rsidRPr="00B35D4F" w:rsidRDefault="00CB5D6F" w:rsidP="00BF2178">
      <w:pPr>
        <w:pStyle w:val="Textonotapie"/>
      </w:pPr>
      <w:r w:rsidRPr="00B35D4F">
        <w:tab/>
      </w:r>
      <w:r w:rsidRPr="00B35D4F">
        <w:rPr>
          <w:rStyle w:val="Refdenotaalpie"/>
        </w:rPr>
        <w:footnoteRef/>
      </w:r>
      <w:r w:rsidRPr="00B35D4F">
        <w:tab/>
        <w:t>Observación general núm. 17 (2013), párr. 7.</w:t>
      </w:r>
    </w:p>
  </w:footnote>
  <w:footnote w:id="54">
    <w:p w14:paraId="07ACBE59" w14:textId="77777777" w:rsidR="00CB5D6F" w:rsidRPr="00B35D4F" w:rsidRDefault="00CB5D6F" w:rsidP="00BF2178">
      <w:pPr>
        <w:pStyle w:val="Textonotapie"/>
      </w:pPr>
      <w:r w:rsidRPr="00B35D4F">
        <w:tab/>
      </w:r>
      <w:r w:rsidRPr="00B35D4F">
        <w:rPr>
          <w:rStyle w:val="Refdenotaalpie"/>
        </w:rPr>
        <w:footnoteRef/>
      </w:r>
      <w:r w:rsidRPr="00B35D4F">
        <w:tab/>
      </w:r>
      <w:r>
        <w:t>“</w:t>
      </w:r>
      <w:r w:rsidRPr="00B35D4F">
        <w:t>Nuestros derechos en un mundo digital</w:t>
      </w:r>
      <w:r>
        <w:t>”</w:t>
      </w:r>
      <w:r w:rsidRPr="00B35D4F">
        <w:t>, pág. 22.</w:t>
      </w:r>
    </w:p>
  </w:footnote>
  <w:footnote w:id="55">
    <w:p w14:paraId="090F06AC" w14:textId="77777777" w:rsidR="00CB5D6F" w:rsidRPr="00B35D4F" w:rsidRDefault="00CB5D6F" w:rsidP="00BF2178">
      <w:pPr>
        <w:pStyle w:val="Textonotapie"/>
      </w:pPr>
      <w:r w:rsidRPr="00B35D4F">
        <w:tab/>
      </w:r>
      <w:r w:rsidRPr="00B35D4F">
        <w:rPr>
          <w:rStyle w:val="Refdenotaalpie"/>
        </w:rPr>
        <w:footnoteRef/>
      </w:r>
      <w:r w:rsidRPr="00B35D4F">
        <w:tab/>
        <w:t>Observación general núm. 17 (2013), párr. 33.</w:t>
      </w:r>
    </w:p>
  </w:footnote>
  <w:footnote w:id="56">
    <w:p w14:paraId="207F99A7" w14:textId="77777777" w:rsidR="00CB5D6F" w:rsidRPr="00B35D4F" w:rsidRDefault="00CB5D6F" w:rsidP="00BF2178">
      <w:pPr>
        <w:pStyle w:val="Textonotapie"/>
      </w:pPr>
      <w:r w:rsidRPr="00B35D4F">
        <w:tab/>
      </w:r>
      <w:r w:rsidRPr="00B35D4F">
        <w:rPr>
          <w:rStyle w:val="Refdenotaalpie"/>
        </w:rPr>
        <w:footnoteRef/>
      </w:r>
      <w:r w:rsidRPr="00B35D4F">
        <w:tab/>
      </w:r>
      <w:r w:rsidRPr="00B35D4F">
        <w:rPr>
          <w:i/>
        </w:rPr>
        <w:t>Ibid</w:t>
      </w:r>
      <w:r w:rsidRPr="00B35D4F">
        <w:t>., párr. 5.</w:t>
      </w:r>
    </w:p>
  </w:footnote>
  <w:footnote w:id="57">
    <w:p w14:paraId="5A3652BD" w14:textId="77777777" w:rsidR="00CB5D6F" w:rsidRPr="00B35D4F" w:rsidRDefault="00CB5D6F" w:rsidP="00BF2178">
      <w:pPr>
        <w:pStyle w:val="Textonotapie"/>
        <w:rPr>
          <w:szCs w:val="36"/>
        </w:rPr>
      </w:pPr>
      <w:r w:rsidRPr="00B35D4F">
        <w:tab/>
      </w:r>
      <w:r w:rsidRPr="00B35D4F">
        <w:rPr>
          <w:rStyle w:val="Refdenotaalpie"/>
        </w:rPr>
        <w:footnoteRef/>
      </w:r>
      <w:r w:rsidRPr="00B35D4F">
        <w:tab/>
        <w:t>Observación general núm. 16 (2013), párr. 37</w:t>
      </w:r>
      <w:r w:rsidR="00B3328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92664" w14:textId="09CFDC80" w:rsidR="00CB5D6F" w:rsidRPr="00BF2178" w:rsidRDefault="00D71BE2">
    <w:pPr>
      <w:pStyle w:val="Encabezado"/>
    </w:pPr>
    <w:r>
      <w:fldChar w:fldCharType="begin"/>
    </w:r>
    <w:r>
      <w:instrText xml:space="preserve"> TITLE  \* MERGEFORMAT </w:instrText>
    </w:r>
    <w:r>
      <w:fldChar w:fldCharType="separate"/>
    </w:r>
    <w:r>
      <w:t>CRC/C/</w:t>
    </w:r>
    <w:proofErr w:type="spellStart"/>
    <w:r>
      <w:t>GC</w:t>
    </w:r>
    <w:proofErr w:type="spellEnd"/>
    <w:r>
      <w:t>/25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94726" w14:textId="01258678" w:rsidR="00CB5D6F" w:rsidRPr="00BF2178" w:rsidRDefault="00D71BE2" w:rsidP="00BF2178">
    <w:pPr>
      <w:pStyle w:val="Encabezado"/>
      <w:jc w:val="right"/>
    </w:pPr>
    <w:r>
      <w:fldChar w:fldCharType="begin"/>
    </w:r>
    <w:r>
      <w:instrText xml:space="preserve"> TITLE  \* MERGEFORMAT </w:instrText>
    </w:r>
    <w:r>
      <w:fldChar w:fldCharType="separate"/>
    </w:r>
    <w:r>
      <w:t>CRC/C/</w:t>
    </w:r>
    <w:proofErr w:type="spellStart"/>
    <w:r>
      <w:t>GC</w:t>
    </w:r>
    <w:proofErr w:type="spellEnd"/>
    <w:r>
      <w:t>/25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FC03B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8FD3C7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7"/>
  </w:num>
  <w:num w:numId="2">
    <w:abstractNumId w:val="19"/>
  </w:num>
  <w:num w:numId="3">
    <w:abstractNumId w:val="29"/>
  </w:num>
  <w:num w:numId="4">
    <w:abstractNumId w:val="28"/>
  </w:num>
  <w:num w:numId="5">
    <w:abstractNumId w:val="2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8"/>
  </w:num>
  <w:num w:numId="18">
    <w:abstractNumId w:val="15"/>
  </w:num>
  <w:num w:numId="19">
    <w:abstractNumId w:val="10"/>
  </w:num>
  <w:num w:numId="20">
    <w:abstractNumId w:val="23"/>
  </w:num>
  <w:num w:numId="21">
    <w:abstractNumId w:val="17"/>
  </w:num>
  <w:num w:numId="22">
    <w:abstractNumId w:val="16"/>
  </w:num>
  <w:num w:numId="23">
    <w:abstractNumId w:val="14"/>
  </w:num>
  <w:num w:numId="24">
    <w:abstractNumId w:val="22"/>
  </w:num>
  <w:num w:numId="25">
    <w:abstractNumId w:val="21"/>
  </w:num>
  <w:num w:numId="26">
    <w:abstractNumId w:val="25"/>
  </w:num>
  <w:num w:numId="27">
    <w:abstractNumId w:val="13"/>
  </w:num>
  <w:num w:numId="28">
    <w:abstractNumId w:val="26"/>
  </w:num>
  <w:num w:numId="29">
    <w:abstractNumId w:val="11"/>
  </w:num>
  <w:num w:numId="30">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945"/>
    <w:rsid w:val="00002131"/>
    <w:rsid w:val="00023B74"/>
    <w:rsid w:val="00033EE1"/>
    <w:rsid w:val="00037925"/>
    <w:rsid w:val="000B57E7"/>
    <w:rsid w:val="000B63C6"/>
    <w:rsid w:val="000D4253"/>
    <w:rsid w:val="000F09DF"/>
    <w:rsid w:val="000F61B2"/>
    <w:rsid w:val="001075E9"/>
    <w:rsid w:val="001256EA"/>
    <w:rsid w:val="00135727"/>
    <w:rsid w:val="00161852"/>
    <w:rsid w:val="00180183"/>
    <w:rsid w:val="0018649F"/>
    <w:rsid w:val="00196389"/>
    <w:rsid w:val="001A3FE5"/>
    <w:rsid w:val="001B269E"/>
    <w:rsid w:val="001B5FFA"/>
    <w:rsid w:val="001C7A89"/>
    <w:rsid w:val="001D1565"/>
    <w:rsid w:val="001F60E7"/>
    <w:rsid w:val="00216144"/>
    <w:rsid w:val="00220F72"/>
    <w:rsid w:val="002241EF"/>
    <w:rsid w:val="00240004"/>
    <w:rsid w:val="002931F6"/>
    <w:rsid w:val="002A2EFC"/>
    <w:rsid w:val="002C0E18"/>
    <w:rsid w:val="002C30A7"/>
    <w:rsid w:val="002D00EE"/>
    <w:rsid w:val="002D5AAC"/>
    <w:rsid w:val="002F424C"/>
    <w:rsid w:val="00301299"/>
    <w:rsid w:val="00322004"/>
    <w:rsid w:val="003256BD"/>
    <w:rsid w:val="003402C2"/>
    <w:rsid w:val="003460C3"/>
    <w:rsid w:val="00381C24"/>
    <w:rsid w:val="003958D0"/>
    <w:rsid w:val="003B00E5"/>
    <w:rsid w:val="004043B6"/>
    <w:rsid w:val="00414A16"/>
    <w:rsid w:val="00422B66"/>
    <w:rsid w:val="00427F10"/>
    <w:rsid w:val="00454E07"/>
    <w:rsid w:val="004A012D"/>
    <w:rsid w:val="004D45DB"/>
    <w:rsid w:val="004D7FF4"/>
    <w:rsid w:val="0050108D"/>
    <w:rsid w:val="00532052"/>
    <w:rsid w:val="00536DF4"/>
    <w:rsid w:val="00572E19"/>
    <w:rsid w:val="0058327B"/>
    <w:rsid w:val="005A182D"/>
    <w:rsid w:val="005C43E4"/>
    <w:rsid w:val="005C6766"/>
    <w:rsid w:val="005D3652"/>
    <w:rsid w:val="005D7179"/>
    <w:rsid w:val="005E24EF"/>
    <w:rsid w:val="005F0B42"/>
    <w:rsid w:val="005F2AD1"/>
    <w:rsid w:val="006144E8"/>
    <w:rsid w:val="006271D9"/>
    <w:rsid w:val="0064254D"/>
    <w:rsid w:val="006828A1"/>
    <w:rsid w:val="00691286"/>
    <w:rsid w:val="006B3A76"/>
    <w:rsid w:val="006F35EE"/>
    <w:rsid w:val="006F7B0F"/>
    <w:rsid w:val="007021FF"/>
    <w:rsid w:val="0073149E"/>
    <w:rsid w:val="007321BB"/>
    <w:rsid w:val="00757357"/>
    <w:rsid w:val="007A059A"/>
    <w:rsid w:val="007C2DEF"/>
    <w:rsid w:val="007D0A1F"/>
    <w:rsid w:val="007D431B"/>
    <w:rsid w:val="007E16A7"/>
    <w:rsid w:val="007F3812"/>
    <w:rsid w:val="007F4281"/>
    <w:rsid w:val="00804CA4"/>
    <w:rsid w:val="008136D8"/>
    <w:rsid w:val="00834B71"/>
    <w:rsid w:val="0086445C"/>
    <w:rsid w:val="00867322"/>
    <w:rsid w:val="008675EF"/>
    <w:rsid w:val="008A08D7"/>
    <w:rsid w:val="008A3EA3"/>
    <w:rsid w:val="008C2B1A"/>
    <w:rsid w:val="008E1429"/>
    <w:rsid w:val="008F472E"/>
    <w:rsid w:val="00906890"/>
    <w:rsid w:val="00912800"/>
    <w:rsid w:val="00930A89"/>
    <w:rsid w:val="00945724"/>
    <w:rsid w:val="00951972"/>
    <w:rsid w:val="009843D9"/>
    <w:rsid w:val="009C646E"/>
    <w:rsid w:val="009E1414"/>
    <w:rsid w:val="00A43957"/>
    <w:rsid w:val="00A5723C"/>
    <w:rsid w:val="00A917B3"/>
    <w:rsid w:val="00A9316D"/>
    <w:rsid w:val="00A97C80"/>
    <w:rsid w:val="00AB4B51"/>
    <w:rsid w:val="00B10CC7"/>
    <w:rsid w:val="00B33282"/>
    <w:rsid w:val="00B62458"/>
    <w:rsid w:val="00B76D28"/>
    <w:rsid w:val="00B8687E"/>
    <w:rsid w:val="00BC0B2F"/>
    <w:rsid w:val="00BD33EE"/>
    <w:rsid w:val="00BF2178"/>
    <w:rsid w:val="00C60F0C"/>
    <w:rsid w:val="00C67843"/>
    <w:rsid w:val="00C805C9"/>
    <w:rsid w:val="00C9046A"/>
    <w:rsid w:val="00C9759B"/>
    <w:rsid w:val="00CA1679"/>
    <w:rsid w:val="00CB5D6F"/>
    <w:rsid w:val="00CC3118"/>
    <w:rsid w:val="00D15EAE"/>
    <w:rsid w:val="00D30BF7"/>
    <w:rsid w:val="00D318C7"/>
    <w:rsid w:val="00D33D63"/>
    <w:rsid w:val="00D45E38"/>
    <w:rsid w:val="00D5698F"/>
    <w:rsid w:val="00D71BE2"/>
    <w:rsid w:val="00D83653"/>
    <w:rsid w:val="00D90138"/>
    <w:rsid w:val="00DD299D"/>
    <w:rsid w:val="00DF63E3"/>
    <w:rsid w:val="00E23796"/>
    <w:rsid w:val="00E5553D"/>
    <w:rsid w:val="00E73F76"/>
    <w:rsid w:val="00ED26BE"/>
    <w:rsid w:val="00EF1360"/>
    <w:rsid w:val="00EF3220"/>
    <w:rsid w:val="00F16DF5"/>
    <w:rsid w:val="00F23FB6"/>
    <w:rsid w:val="00F42199"/>
    <w:rsid w:val="00F46867"/>
    <w:rsid w:val="00F65F7A"/>
    <w:rsid w:val="00F67945"/>
    <w:rsid w:val="00F80811"/>
    <w:rsid w:val="00F91C6E"/>
    <w:rsid w:val="00F94155"/>
    <w:rsid w:val="00FA3077"/>
    <w:rsid w:val="00FB06A9"/>
    <w:rsid w:val="00FB2D3D"/>
    <w:rsid w:val="00FB4C8A"/>
    <w:rsid w:val="00FB7820"/>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DFB922"/>
  <w15:docId w15:val="{A3B88C2A-F1B0-4479-A259-86938E155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iPriority="99"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iPriority="99"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3EA3"/>
    <w:pPr>
      <w:spacing w:line="240" w:lineRule="atLeast"/>
    </w:pPr>
    <w:rPr>
      <w:lang w:val="es-ES" w:eastAsia="es-ES"/>
    </w:rPr>
  </w:style>
  <w:style w:type="paragraph" w:styleId="Ttulo1">
    <w:name w:val="heading 1"/>
    <w:aliases w:val="Table_G,Cuadro_G"/>
    <w:basedOn w:val="SingleTxtG"/>
    <w:next w:val="SingleTxtG"/>
    <w:link w:val="Ttulo1Car"/>
    <w:uiPriority w:val="9"/>
    <w:qFormat/>
    <w:rsid w:val="007F4281"/>
    <w:pPr>
      <w:keepNext/>
      <w:spacing w:after="0" w:line="240" w:lineRule="auto"/>
      <w:outlineLvl w:val="0"/>
    </w:pPr>
    <w:rPr>
      <w:rFonts w:cs="Arial"/>
      <w:bCs/>
      <w:szCs w:val="32"/>
    </w:rPr>
  </w:style>
  <w:style w:type="paragraph" w:styleId="Ttulo2">
    <w:name w:val="heading 2"/>
    <w:basedOn w:val="Normal"/>
    <w:next w:val="Normal"/>
    <w:link w:val="Ttulo2Car"/>
    <w:semiHidden/>
    <w:rsid w:val="008C2B1A"/>
    <w:pPr>
      <w:keepNext/>
      <w:outlineLvl w:val="1"/>
    </w:pPr>
    <w:rPr>
      <w:rFonts w:cs="Arial"/>
      <w:bCs/>
      <w:iCs/>
      <w:szCs w:val="28"/>
    </w:rPr>
  </w:style>
  <w:style w:type="paragraph" w:styleId="Ttulo3">
    <w:name w:val="heading 3"/>
    <w:basedOn w:val="Normal"/>
    <w:next w:val="Normal"/>
    <w:link w:val="Ttulo3Car"/>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8C2B1A"/>
    <w:pPr>
      <w:keepNext/>
      <w:spacing w:before="240" w:after="60"/>
      <w:outlineLvl w:val="3"/>
    </w:pPr>
    <w:rPr>
      <w:b/>
      <w:bCs/>
      <w:sz w:val="28"/>
      <w:szCs w:val="28"/>
    </w:rPr>
  </w:style>
  <w:style w:type="paragraph" w:styleId="Ttulo5">
    <w:name w:val="heading 5"/>
    <w:basedOn w:val="Normal"/>
    <w:next w:val="Normal"/>
    <w:link w:val="Ttulo5Car"/>
    <w:semiHidden/>
    <w:rsid w:val="008C2B1A"/>
    <w:pPr>
      <w:spacing w:before="240" w:after="60"/>
      <w:outlineLvl w:val="4"/>
    </w:pPr>
    <w:rPr>
      <w:b/>
      <w:bCs/>
      <w:i/>
      <w:iCs/>
      <w:sz w:val="26"/>
      <w:szCs w:val="26"/>
    </w:rPr>
  </w:style>
  <w:style w:type="paragraph" w:styleId="Ttulo6">
    <w:name w:val="heading 6"/>
    <w:basedOn w:val="Normal"/>
    <w:next w:val="Normal"/>
    <w:link w:val="Ttulo6Car"/>
    <w:semiHidden/>
    <w:rsid w:val="008C2B1A"/>
    <w:pPr>
      <w:spacing w:before="240" w:after="60"/>
      <w:outlineLvl w:val="5"/>
    </w:pPr>
    <w:rPr>
      <w:b/>
      <w:bCs/>
      <w:sz w:val="22"/>
      <w:szCs w:val="22"/>
    </w:rPr>
  </w:style>
  <w:style w:type="paragraph" w:styleId="Ttulo7">
    <w:name w:val="heading 7"/>
    <w:basedOn w:val="Normal"/>
    <w:next w:val="Normal"/>
    <w:link w:val="Ttulo7Car"/>
    <w:semiHidden/>
    <w:rsid w:val="008C2B1A"/>
    <w:pPr>
      <w:spacing w:before="240" w:after="60"/>
      <w:outlineLvl w:val="6"/>
    </w:pPr>
    <w:rPr>
      <w:sz w:val="24"/>
      <w:szCs w:val="24"/>
    </w:rPr>
  </w:style>
  <w:style w:type="paragraph" w:styleId="Ttulo8">
    <w:name w:val="heading 8"/>
    <w:basedOn w:val="Normal"/>
    <w:next w:val="Normal"/>
    <w:link w:val="Ttulo8Car"/>
    <w:semiHidden/>
    <w:rsid w:val="008C2B1A"/>
    <w:pPr>
      <w:spacing w:before="240" w:after="60"/>
      <w:outlineLvl w:val="7"/>
    </w:pPr>
    <w:rPr>
      <w:i/>
      <w:iCs/>
      <w:sz w:val="24"/>
      <w:szCs w:val="24"/>
    </w:rPr>
  </w:style>
  <w:style w:type="paragraph" w:styleId="Ttulo9">
    <w:name w:val="heading 9"/>
    <w:basedOn w:val="Normal"/>
    <w:next w:val="Normal"/>
    <w:link w:val="Ttulo9Car"/>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uiPriority w:val="3"/>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1B5FFA"/>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8C2B1A"/>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8C2B1A"/>
    <w:pPr>
      <w:keepNext/>
      <w:keepLines/>
      <w:spacing w:before="240" w:after="240" w:line="580" w:lineRule="exact"/>
      <w:ind w:left="1134" w:right="1134"/>
    </w:pPr>
    <w:rPr>
      <w:b/>
      <w:sz w:val="56"/>
    </w:rPr>
  </w:style>
  <w:style w:type="paragraph" w:customStyle="1" w:styleId="SSG">
    <w:name w:val="__S_S_G"/>
    <w:basedOn w:val="Normal"/>
    <w:next w:val="Normal"/>
    <w:uiPriority w:val="5"/>
    <w:rsid w:val="008C2B1A"/>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8C2B1A"/>
    <w:rPr>
      <w:sz w:val="16"/>
    </w:rPr>
  </w:style>
  <w:style w:type="paragraph" w:customStyle="1" w:styleId="XLargeG">
    <w:name w:val="__XLarge_G"/>
    <w:basedOn w:val="Normal"/>
    <w:next w:val="Normal"/>
    <w:uiPriority w:val="5"/>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8C2B1A"/>
    <w:pPr>
      <w:tabs>
        <w:tab w:val="right" w:pos="1021"/>
      </w:tabs>
      <w:spacing w:line="220" w:lineRule="exact"/>
      <w:ind w:left="1134" w:right="1134" w:hanging="1134"/>
    </w:pPr>
    <w:rPr>
      <w:sz w:val="18"/>
    </w:rPr>
  </w:style>
  <w:style w:type="table" w:styleId="Tablaconcuadrcula">
    <w:name w:val="Table Grid"/>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8C2B1A"/>
    <w:pPr>
      <w:numPr>
        <w:numId w:val="3"/>
      </w:numPr>
    </w:pPr>
  </w:style>
  <w:style w:type="numbering" w:styleId="1ai">
    <w:name w:val="Outline List 1"/>
    <w:basedOn w:val="Sinlista"/>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rsid w:val="008C2B1A"/>
    <w:pPr>
      <w:numPr>
        <w:numId w:val="5"/>
      </w:numPr>
    </w:pPr>
  </w:style>
  <w:style w:type="paragraph" w:styleId="Cierre">
    <w:name w:val="Closing"/>
    <w:basedOn w:val="Normal"/>
    <w:link w:val="CierreCar"/>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link w:val="DireccinHTMLCar"/>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link w:val="EncabezadodemensajeCar"/>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8C2B1A"/>
  </w:style>
  <w:style w:type="character" w:styleId="nfasis">
    <w:name w:val="Emphasis"/>
    <w:basedOn w:val="Fuentedeprrafopredeter"/>
    <w:rsid w:val="008C2B1A"/>
    <w:rPr>
      <w:i/>
      <w:iCs/>
    </w:rPr>
  </w:style>
  <w:style w:type="paragraph" w:styleId="Fecha">
    <w:name w:val="Date"/>
    <w:basedOn w:val="Normal"/>
    <w:next w:val="Normal"/>
    <w:link w:val="FechaCar"/>
    <w:semiHidden/>
    <w:rsid w:val="008C2B1A"/>
  </w:style>
  <w:style w:type="paragraph" w:styleId="Firma">
    <w:name w:val="Signature"/>
    <w:basedOn w:val="Normal"/>
    <w:link w:val="FirmaCar"/>
    <w:semiHidden/>
    <w:rsid w:val="008C2B1A"/>
    <w:pPr>
      <w:ind w:left="4252"/>
    </w:pPr>
  </w:style>
  <w:style w:type="paragraph" w:styleId="Firmadecorreoelectrnico">
    <w:name w:val="E-mail Signature"/>
    <w:basedOn w:val="Normal"/>
    <w:link w:val="FirmadecorreoelectrnicoCar"/>
    <w:semiHidden/>
    <w:rsid w:val="008C2B1A"/>
  </w:style>
  <w:style w:type="character" w:styleId="Hipervnculo">
    <w:name w:val="Hyperlink"/>
    <w:basedOn w:val="Fuentedeprrafopredeter"/>
    <w:uiPriority w:val="4"/>
    <w:rsid w:val="009E1414"/>
    <w:rPr>
      <w:color w:val="0000FF"/>
      <w:u w:val="none"/>
    </w:rPr>
  </w:style>
  <w:style w:type="character" w:styleId="Hipervnculovisitado">
    <w:name w:val="FollowedHyperlink"/>
    <w:basedOn w:val="Fuentedeprrafopredeter"/>
    <w:uiPriority w:val="4"/>
    <w:rsid w:val="009E1414"/>
    <w:rPr>
      <w:color w:val="0000FF"/>
      <w:u w:val="none"/>
    </w:rPr>
  </w:style>
  <w:style w:type="paragraph" w:styleId="HTMLconformatoprevio">
    <w:name w:val="HTML Preformatted"/>
    <w:basedOn w:val="Normal"/>
    <w:link w:val="HTMLconformatoprevioCar"/>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uiPriority w:val="3"/>
    <w:qFormat/>
    <w:rsid w:val="008C2B1A"/>
    <w:rPr>
      <w:b/>
      <w:sz w:val="18"/>
    </w:rPr>
  </w:style>
  <w:style w:type="character" w:styleId="Refdenotaalfinal">
    <w:name w:val="endnote reference"/>
    <w:aliases w:val="1_G"/>
    <w:basedOn w:val="Refdenotaalpie"/>
    <w:uiPriority w:val="3"/>
    <w:qFormat/>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link w:val="SaludoCar"/>
    <w:semiHidden/>
    <w:rsid w:val="008C2B1A"/>
  </w:style>
  <w:style w:type="paragraph" w:styleId="Sangra2detindependiente">
    <w:name w:val="Body Text Indent 2"/>
    <w:basedOn w:val="Normal"/>
    <w:link w:val="Sangra2detindependienteCar"/>
    <w:semiHidden/>
    <w:rsid w:val="008C2B1A"/>
    <w:pPr>
      <w:spacing w:after="120" w:line="480" w:lineRule="auto"/>
      <w:ind w:left="283"/>
    </w:pPr>
  </w:style>
  <w:style w:type="paragraph" w:styleId="Sangra3detindependiente">
    <w:name w:val="Body Text Indent 3"/>
    <w:basedOn w:val="Normal"/>
    <w:link w:val="Sangra3detindependienteCar"/>
    <w:semiHidden/>
    <w:rsid w:val="008C2B1A"/>
    <w:pPr>
      <w:spacing w:after="120"/>
      <w:ind w:left="283"/>
    </w:pPr>
    <w:rPr>
      <w:sz w:val="16"/>
      <w:szCs w:val="16"/>
    </w:rPr>
  </w:style>
  <w:style w:type="paragraph" w:styleId="Sangradetextonormal">
    <w:name w:val="Body Text Indent"/>
    <w:basedOn w:val="Normal"/>
    <w:link w:val="SangradetextonormalCar"/>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link w:val="SubttuloCar"/>
    <w:rsid w:val="008C2B1A"/>
    <w:pPr>
      <w:spacing w:after="60"/>
      <w:jc w:val="center"/>
      <w:outlineLvl w:val="1"/>
    </w:pPr>
    <w:rPr>
      <w:rFonts w:ascii="Arial" w:hAnsi="Arial" w:cs="Arial"/>
      <w:sz w:val="24"/>
      <w:szCs w:val="24"/>
    </w:rPr>
  </w:style>
  <w:style w:type="table" w:styleId="Tablabsica1">
    <w:name w:val="Table Simple 1"/>
    <w:basedOn w:val="Tablanormal"/>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rsid w:val="008C2B1A"/>
    <w:rPr>
      <w:b/>
      <w:bCs/>
    </w:rPr>
  </w:style>
  <w:style w:type="paragraph" w:styleId="Textoindependiente">
    <w:name w:val="Body Text"/>
    <w:basedOn w:val="Normal"/>
    <w:link w:val="TextoindependienteCar"/>
    <w:semiHidden/>
    <w:rsid w:val="008C2B1A"/>
    <w:pPr>
      <w:spacing w:after="120"/>
    </w:pPr>
  </w:style>
  <w:style w:type="paragraph" w:styleId="Textoindependiente2">
    <w:name w:val="Body Text 2"/>
    <w:basedOn w:val="Normal"/>
    <w:link w:val="Textoindependiente2Car"/>
    <w:semiHidden/>
    <w:rsid w:val="008C2B1A"/>
    <w:pPr>
      <w:spacing w:after="120" w:line="480" w:lineRule="auto"/>
    </w:pPr>
  </w:style>
  <w:style w:type="paragraph" w:styleId="Textoindependiente3">
    <w:name w:val="Body Text 3"/>
    <w:basedOn w:val="Normal"/>
    <w:link w:val="Textoindependiente3Car"/>
    <w:semiHidden/>
    <w:rsid w:val="008C2B1A"/>
    <w:pPr>
      <w:spacing w:after="120"/>
    </w:pPr>
    <w:rPr>
      <w:sz w:val="16"/>
      <w:szCs w:val="16"/>
    </w:rPr>
  </w:style>
  <w:style w:type="paragraph" w:styleId="Textoindependienteprimerasangra">
    <w:name w:val="Body Text First Indent"/>
    <w:basedOn w:val="Textoindependiente"/>
    <w:link w:val="TextoindependienteprimerasangraCar"/>
    <w:semiHidden/>
    <w:rsid w:val="008C2B1A"/>
    <w:pPr>
      <w:ind w:firstLine="210"/>
    </w:pPr>
  </w:style>
  <w:style w:type="paragraph" w:styleId="Textoindependienteprimerasangra2">
    <w:name w:val="Body Text First Indent 2"/>
    <w:basedOn w:val="Sangradetextonormal"/>
    <w:link w:val="Textoindependienteprimerasangra2Car"/>
    <w:semiHidden/>
    <w:rsid w:val="008C2B1A"/>
    <w:pPr>
      <w:ind w:firstLine="210"/>
    </w:pPr>
  </w:style>
  <w:style w:type="paragraph" w:styleId="Textonotaalfinal">
    <w:name w:val="endnote text"/>
    <w:aliases w:val="2_G"/>
    <w:basedOn w:val="Textonotapie"/>
    <w:link w:val="TextonotaalfinalCar"/>
    <w:uiPriority w:val="3"/>
    <w:qFormat/>
    <w:rsid w:val="008C2B1A"/>
  </w:style>
  <w:style w:type="paragraph" w:styleId="Textosinformato">
    <w:name w:val="Plain Text"/>
    <w:basedOn w:val="Normal"/>
    <w:link w:val="TextosinformatoCar"/>
    <w:semiHidden/>
    <w:rsid w:val="008C2B1A"/>
    <w:rPr>
      <w:rFonts w:ascii="Courier New" w:hAnsi="Courier New" w:cs="Courier New"/>
    </w:rPr>
  </w:style>
  <w:style w:type="paragraph" w:styleId="Ttulo">
    <w:name w:val="Title"/>
    <w:basedOn w:val="Normal"/>
    <w:link w:val="TtuloCar"/>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uiPriority w:val="1"/>
    <w:qFormat/>
    <w:rsid w:val="008C2B1A"/>
    <w:pPr>
      <w:numPr>
        <w:numId w:val="1"/>
      </w:numPr>
      <w:spacing w:after="120"/>
      <w:ind w:right="1134"/>
      <w:jc w:val="both"/>
    </w:pPr>
    <w:rPr>
      <w:lang w:eastAsia="en-US"/>
    </w:rPr>
  </w:style>
  <w:style w:type="paragraph" w:customStyle="1" w:styleId="Bullet2G">
    <w:name w:val="_Bullet 2_G"/>
    <w:basedOn w:val="Normal"/>
    <w:uiPriority w:val="1"/>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 w:type="paragraph" w:customStyle="1" w:styleId="ParNoG">
    <w:name w:val="_ParNo_G"/>
    <w:basedOn w:val="Normal"/>
    <w:uiPriority w:val="1"/>
    <w:qFormat/>
    <w:rsid w:val="00F65F7A"/>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Ttulo1Car">
    <w:name w:val="Título 1 Car"/>
    <w:aliases w:val="Table_G Car,Cuadro_G Car"/>
    <w:basedOn w:val="Fuentedeprrafopredeter"/>
    <w:link w:val="Ttulo1"/>
    <w:uiPriority w:val="9"/>
    <w:rsid w:val="00BF2178"/>
    <w:rPr>
      <w:rFonts w:cs="Arial"/>
      <w:bCs/>
      <w:szCs w:val="32"/>
      <w:lang w:val="es-ES" w:eastAsia="es-ES"/>
    </w:rPr>
  </w:style>
  <w:style w:type="character" w:customStyle="1" w:styleId="Ttulo2Car">
    <w:name w:val="Título 2 Car"/>
    <w:basedOn w:val="Fuentedeprrafopredeter"/>
    <w:link w:val="Ttulo2"/>
    <w:semiHidden/>
    <w:rsid w:val="00BF2178"/>
    <w:rPr>
      <w:rFonts w:cs="Arial"/>
      <w:bCs/>
      <w:iCs/>
      <w:szCs w:val="28"/>
      <w:lang w:val="es-ES" w:eastAsia="es-ES"/>
    </w:rPr>
  </w:style>
  <w:style w:type="character" w:customStyle="1" w:styleId="Ttulo3Car">
    <w:name w:val="Título 3 Car"/>
    <w:basedOn w:val="Fuentedeprrafopredeter"/>
    <w:link w:val="Ttulo3"/>
    <w:semiHidden/>
    <w:rsid w:val="00BF2178"/>
    <w:rPr>
      <w:rFonts w:ascii="Arial" w:hAnsi="Arial" w:cs="Arial"/>
      <w:b/>
      <w:bCs/>
      <w:sz w:val="26"/>
      <w:szCs w:val="26"/>
      <w:lang w:val="es-ES" w:eastAsia="es-ES"/>
    </w:rPr>
  </w:style>
  <w:style w:type="character" w:customStyle="1" w:styleId="Ttulo4Car">
    <w:name w:val="Título 4 Car"/>
    <w:basedOn w:val="Fuentedeprrafopredeter"/>
    <w:link w:val="Ttulo4"/>
    <w:semiHidden/>
    <w:rsid w:val="00BF2178"/>
    <w:rPr>
      <w:b/>
      <w:bCs/>
      <w:sz w:val="28"/>
      <w:szCs w:val="28"/>
      <w:lang w:val="es-ES" w:eastAsia="es-ES"/>
    </w:rPr>
  </w:style>
  <w:style w:type="character" w:customStyle="1" w:styleId="Ttulo5Car">
    <w:name w:val="Título 5 Car"/>
    <w:basedOn w:val="Fuentedeprrafopredeter"/>
    <w:link w:val="Ttulo5"/>
    <w:semiHidden/>
    <w:rsid w:val="00BF2178"/>
    <w:rPr>
      <w:b/>
      <w:bCs/>
      <w:i/>
      <w:iCs/>
      <w:sz w:val="26"/>
      <w:szCs w:val="26"/>
      <w:lang w:val="es-ES" w:eastAsia="es-ES"/>
    </w:rPr>
  </w:style>
  <w:style w:type="character" w:customStyle="1" w:styleId="Ttulo6Car">
    <w:name w:val="Título 6 Car"/>
    <w:basedOn w:val="Fuentedeprrafopredeter"/>
    <w:link w:val="Ttulo6"/>
    <w:semiHidden/>
    <w:rsid w:val="00BF2178"/>
    <w:rPr>
      <w:b/>
      <w:bCs/>
      <w:sz w:val="22"/>
      <w:szCs w:val="22"/>
      <w:lang w:val="es-ES" w:eastAsia="es-ES"/>
    </w:rPr>
  </w:style>
  <w:style w:type="character" w:customStyle="1" w:styleId="Ttulo7Car">
    <w:name w:val="Título 7 Car"/>
    <w:basedOn w:val="Fuentedeprrafopredeter"/>
    <w:link w:val="Ttulo7"/>
    <w:semiHidden/>
    <w:rsid w:val="00BF2178"/>
    <w:rPr>
      <w:sz w:val="24"/>
      <w:szCs w:val="24"/>
      <w:lang w:val="es-ES" w:eastAsia="es-ES"/>
    </w:rPr>
  </w:style>
  <w:style w:type="character" w:customStyle="1" w:styleId="Ttulo8Car">
    <w:name w:val="Título 8 Car"/>
    <w:basedOn w:val="Fuentedeprrafopredeter"/>
    <w:link w:val="Ttulo8"/>
    <w:semiHidden/>
    <w:rsid w:val="00BF2178"/>
    <w:rPr>
      <w:i/>
      <w:iCs/>
      <w:sz w:val="24"/>
      <w:szCs w:val="24"/>
      <w:lang w:val="es-ES" w:eastAsia="es-ES"/>
    </w:rPr>
  </w:style>
  <w:style w:type="character" w:customStyle="1" w:styleId="Ttulo9Car">
    <w:name w:val="Título 9 Car"/>
    <w:basedOn w:val="Fuentedeprrafopredeter"/>
    <w:link w:val="Ttulo9"/>
    <w:semiHidden/>
    <w:rsid w:val="00BF2178"/>
    <w:rPr>
      <w:rFonts w:ascii="Arial" w:hAnsi="Arial" w:cs="Arial"/>
      <w:sz w:val="22"/>
      <w:szCs w:val="22"/>
      <w:lang w:val="es-ES" w:eastAsia="es-ES"/>
    </w:rPr>
  </w:style>
  <w:style w:type="character" w:customStyle="1" w:styleId="EncabezadoCar">
    <w:name w:val="Encabezado Car"/>
    <w:aliases w:val="6_G Car"/>
    <w:basedOn w:val="Fuentedeprrafopredeter"/>
    <w:link w:val="Encabezado"/>
    <w:uiPriority w:val="3"/>
    <w:rsid w:val="00BF2178"/>
    <w:rPr>
      <w:b/>
      <w:sz w:val="18"/>
      <w:lang w:val="es-ES" w:eastAsia="es-ES"/>
    </w:rPr>
  </w:style>
  <w:style w:type="character" w:customStyle="1" w:styleId="PiedepginaCar">
    <w:name w:val="Pie de página Car"/>
    <w:aliases w:val="3_G Car"/>
    <w:basedOn w:val="Fuentedeprrafopredeter"/>
    <w:link w:val="Piedepgina"/>
    <w:uiPriority w:val="3"/>
    <w:rsid w:val="00BF2178"/>
    <w:rPr>
      <w:sz w:val="16"/>
      <w:lang w:val="es-ES" w:eastAsia="es-ES"/>
    </w:rPr>
  </w:style>
  <w:style w:type="character" w:customStyle="1" w:styleId="TextonotapieCar">
    <w:name w:val="Texto nota pie Car"/>
    <w:aliases w:val="5_G Car"/>
    <w:basedOn w:val="Fuentedeprrafopredeter"/>
    <w:link w:val="Textonotapie"/>
    <w:uiPriority w:val="3"/>
    <w:rsid w:val="00BF2178"/>
    <w:rPr>
      <w:sz w:val="18"/>
      <w:lang w:val="es-ES" w:eastAsia="es-ES"/>
    </w:rPr>
  </w:style>
  <w:style w:type="character" w:customStyle="1" w:styleId="CierreCar">
    <w:name w:val="Cierre Car"/>
    <w:basedOn w:val="Fuentedeprrafopredeter"/>
    <w:link w:val="Cierre"/>
    <w:semiHidden/>
    <w:rsid w:val="00BF2178"/>
    <w:rPr>
      <w:lang w:val="es-ES" w:eastAsia="es-ES"/>
    </w:rPr>
  </w:style>
  <w:style w:type="character" w:customStyle="1" w:styleId="DireccinHTMLCar">
    <w:name w:val="Dirección HTML Car"/>
    <w:basedOn w:val="Fuentedeprrafopredeter"/>
    <w:link w:val="DireccinHTML"/>
    <w:semiHidden/>
    <w:rsid w:val="00BF2178"/>
    <w:rPr>
      <w:i/>
      <w:iCs/>
      <w:lang w:val="es-ES" w:eastAsia="es-ES"/>
    </w:rPr>
  </w:style>
  <w:style w:type="character" w:customStyle="1" w:styleId="EncabezadodemensajeCar">
    <w:name w:val="Encabezado de mensaje Car"/>
    <w:basedOn w:val="Fuentedeprrafopredeter"/>
    <w:link w:val="Encabezadodemensaje"/>
    <w:semiHidden/>
    <w:rsid w:val="00BF2178"/>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F2178"/>
    <w:rPr>
      <w:lang w:val="es-ES" w:eastAsia="es-ES"/>
    </w:rPr>
  </w:style>
  <w:style w:type="character" w:customStyle="1" w:styleId="FechaCar">
    <w:name w:val="Fecha Car"/>
    <w:basedOn w:val="Fuentedeprrafopredeter"/>
    <w:link w:val="Fecha"/>
    <w:semiHidden/>
    <w:rsid w:val="00BF2178"/>
    <w:rPr>
      <w:lang w:val="es-ES" w:eastAsia="es-ES"/>
    </w:rPr>
  </w:style>
  <w:style w:type="character" w:customStyle="1" w:styleId="FirmaCar">
    <w:name w:val="Firma Car"/>
    <w:basedOn w:val="Fuentedeprrafopredeter"/>
    <w:link w:val="Firma"/>
    <w:semiHidden/>
    <w:rsid w:val="00BF2178"/>
    <w:rPr>
      <w:lang w:val="es-ES" w:eastAsia="es-ES"/>
    </w:rPr>
  </w:style>
  <w:style w:type="character" w:customStyle="1" w:styleId="FirmadecorreoelectrnicoCar">
    <w:name w:val="Firma de correo electrónico Car"/>
    <w:basedOn w:val="Fuentedeprrafopredeter"/>
    <w:link w:val="Firmadecorreoelectrnico"/>
    <w:semiHidden/>
    <w:rsid w:val="00BF2178"/>
    <w:rPr>
      <w:lang w:val="es-ES" w:eastAsia="es-ES"/>
    </w:rPr>
  </w:style>
  <w:style w:type="character" w:customStyle="1" w:styleId="HTMLconformatoprevioCar">
    <w:name w:val="HTML con formato previo Car"/>
    <w:basedOn w:val="Fuentedeprrafopredeter"/>
    <w:link w:val="HTMLconformatoprevio"/>
    <w:semiHidden/>
    <w:rsid w:val="00BF2178"/>
    <w:rPr>
      <w:rFonts w:ascii="Courier New" w:hAnsi="Courier New" w:cs="Courier New"/>
      <w:lang w:val="es-ES" w:eastAsia="es-ES"/>
    </w:rPr>
  </w:style>
  <w:style w:type="character" w:customStyle="1" w:styleId="SaludoCar">
    <w:name w:val="Saludo Car"/>
    <w:basedOn w:val="Fuentedeprrafopredeter"/>
    <w:link w:val="Saludo"/>
    <w:semiHidden/>
    <w:rsid w:val="00BF2178"/>
    <w:rPr>
      <w:lang w:val="es-ES" w:eastAsia="es-ES"/>
    </w:rPr>
  </w:style>
  <w:style w:type="character" w:customStyle="1" w:styleId="Sangra2detindependienteCar">
    <w:name w:val="Sangría 2 de t. independiente Car"/>
    <w:basedOn w:val="Fuentedeprrafopredeter"/>
    <w:link w:val="Sangra2detindependiente"/>
    <w:semiHidden/>
    <w:rsid w:val="00BF2178"/>
    <w:rPr>
      <w:lang w:val="es-ES" w:eastAsia="es-ES"/>
    </w:rPr>
  </w:style>
  <w:style w:type="character" w:customStyle="1" w:styleId="Sangra3detindependienteCar">
    <w:name w:val="Sangría 3 de t. independiente Car"/>
    <w:basedOn w:val="Fuentedeprrafopredeter"/>
    <w:link w:val="Sangra3detindependiente"/>
    <w:semiHidden/>
    <w:rsid w:val="00BF2178"/>
    <w:rPr>
      <w:sz w:val="16"/>
      <w:szCs w:val="16"/>
      <w:lang w:val="es-ES" w:eastAsia="es-ES"/>
    </w:rPr>
  </w:style>
  <w:style w:type="character" w:customStyle="1" w:styleId="SangradetextonormalCar">
    <w:name w:val="Sangría de texto normal Car"/>
    <w:basedOn w:val="Fuentedeprrafopredeter"/>
    <w:link w:val="Sangradetextonormal"/>
    <w:semiHidden/>
    <w:rsid w:val="00BF2178"/>
    <w:rPr>
      <w:lang w:val="es-ES" w:eastAsia="es-ES"/>
    </w:rPr>
  </w:style>
  <w:style w:type="character" w:customStyle="1" w:styleId="SubttuloCar">
    <w:name w:val="Subtítulo Car"/>
    <w:basedOn w:val="Fuentedeprrafopredeter"/>
    <w:link w:val="Subttulo"/>
    <w:rsid w:val="00BF2178"/>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BF2178"/>
    <w:rPr>
      <w:lang w:val="es-ES" w:eastAsia="es-ES"/>
    </w:rPr>
  </w:style>
  <w:style w:type="character" w:customStyle="1" w:styleId="Textoindependiente2Car">
    <w:name w:val="Texto independiente 2 Car"/>
    <w:basedOn w:val="Fuentedeprrafopredeter"/>
    <w:link w:val="Textoindependiente2"/>
    <w:semiHidden/>
    <w:rsid w:val="00BF2178"/>
    <w:rPr>
      <w:lang w:val="es-ES" w:eastAsia="es-ES"/>
    </w:rPr>
  </w:style>
  <w:style w:type="character" w:customStyle="1" w:styleId="Textoindependiente3Car">
    <w:name w:val="Texto independiente 3 Car"/>
    <w:basedOn w:val="Fuentedeprrafopredeter"/>
    <w:link w:val="Textoindependiente3"/>
    <w:semiHidden/>
    <w:rsid w:val="00BF2178"/>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F2178"/>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F2178"/>
    <w:rPr>
      <w:lang w:val="es-ES" w:eastAsia="es-ES"/>
    </w:rPr>
  </w:style>
  <w:style w:type="character" w:customStyle="1" w:styleId="TextonotaalfinalCar">
    <w:name w:val="Texto nota al final Car"/>
    <w:aliases w:val="2_G Car"/>
    <w:basedOn w:val="Fuentedeprrafopredeter"/>
    <w:link w:val="Textonotaalfinal"/>
    <w:uiPriority w:val="3"/>
    <w:rsid w:val="00BF2178"/>
    <w:rPr>
      <w:sz w:val="18"/>
      <w:lang w:val="es-ES" w:eastAsia="es-ES"/>
    </w:rPr>
  </w:style>
  <w:style w:type="character" w:customStyle="1" w:styleId="TextosinformatoCar">
    <w:name w:val="Texto sin formato Car"/>
    <w:basedOn w:val="Fuentedeprrafopredeter"/>
    <w:link w:val="Textosinformato"/>
    <w:semiHidden/>
    <w:rsid w:val="00BF2178"/>
    <w:rPr>
      <w:rFonts w:ascii="Courier New" w:hAnsi="Courier New" w:cs="Courier New"/>
      <w:lang w:val="es-ES" w:eastAsia="es-ES"/>
    </w:rPr>
  </w:style>
  <w:style w:type="character" w:customStyle="1" w:styleId="TtuloCar">
    <w:name w:val="Título Car"/>
    <w:basedOn w:val="Fuentedeprrafopredeter"/>
    <w:link w:val="Ttulo"/>
    <w:rsid w:val="00BF2178"/>
    <w:rPr>
      <w:rFonts w:ascii="Arial" w:hAnsi="Arial" w:cs="Arial"/>
      <w:b/>
      <w:bCs/>
      <w:kern w:val="28"/>
      <w:sz w:val="32"/>
      <w:szCs w:val="32"/>
      <w:lang w:val="es-ES" w:eastAsia="es-ES"/>
    </w:rPr>
  </w:style>
  <w:style w:type="character" w:styleId="nfasisintenso">
    <w:name w:val="Intense Emphasis"/>
    <w:uiPriority w:val="21"/>
    <w:rsid w:val="00BF2178"/>
    <w:rPr>
      <w:b/>
      <w:bCs/>
      <w:i/>
      <w:iCs/>
      <w:color w:val="4F81BD"/>
    </w:rPr>
  </w:style>
  <w:style w:type="paragraph" w:styleId="Citadestacada">
    <w:name w:val="Intense Quote"/>
    <w:basedOn w:val="Normal"/>
    <w:next w:val="Normal"/>
    <w:link w:val="CitadestacadaCar"/>
    <w:uiPriority w:val="30"/>
    <w:rsid w:val="00BF2178"/>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BF2178"/>
    <w:rPr>
      <w:b/>
      <w:bCs/>
      <w:i/>
      <w:iCs/>
      <w:color w:val="4F81BD"/>
      <w:lang w:val="es-ES" w:eastAsia="es-ES"/>
    </w:rPr>
  </w:style>
  <w:style w:type="character" w:styleId="Refdecomentario">
    <w:name w:val="annotation reference"/>
    <w:basedOn w:val="Fuentedeprrafopredeter"/>
    <w:uiPriority w:val="99"/>
    <w:semiHidden/>
    <w:unhideWhenUsed/>
    <w:rsid w:val="00BF2178"/>
    <w:rPr>
      <w:sz w:val="16"/>
      <w:szCs w:val="16"/>
    </w:rPr>
  </w:style>
  <w:style w:type="paragraph" w:styleId="Textocomentario">
    <w:name w:val="annotation text"/>
    <w:basedOn w:val="Normal"/>
    <w:link w:val="TextocomentarioCar"/>
    <w:uiPriority w:val="99"/>
    <w:semiHidden/>
    <w:unhideWhenUsed/>
    <w:rsid w:val="00BF2178"/>
    <w:pPr>
      <w:suppressAutoHyphens/>
      <w:spacing w:line="240" w:lineRule="auto"/>
    </w:pPr>
    <w:rPr>
      <w:lang w:val="en-GB" w:eastAsia="en-US"/>
    </w:rPr>
  </w:style>
  <w:style w:type="character" w:customStyle="1" w:styleId="TextocomentarioCar">
    <w:name w:val="Texto comentario Car"/>
    <w:basedOn w:val="Fuentedeprrafopredeter"/>
    <w:link w:val="Textocomentario"/>
    <w:uiPriority w:val="99"/>
    <w:semiHidden/>
    <w:rsid w:val="00BF2178"/>
    <w:rPr>
      <w:lang w:val="en-GB" w:eastAsia="en-US"/>
    </w:rPr>
  </w:style>
  <w:style w:type="paragraph" w:styleId="Asuntodelcomentario">
    <w:name w:val="annotation subject"/>
    <w:basedOn w:val="Textocomentario"/>
    <w:next w:val="Textocomentario"/>
    <w:link w:val="AsuntodelcomentarioCar"/>
    <w:uiPriority w:val="99"/>
    <w:semiHidden/>
    <w:unhideWhenUsed/>
    <w:rsid w:val="00BF2178"/>
    <w:rPr>
      <w:b/>
      <w:bCs/>
    </w:rPr>
  </w:style>
  <w:style w:type="character" w:customStyle="1" w:styleId="AsuntodelcomentarioCar">
    <w:name w:val="Asunto del comentario Car"/>
    <w:basedOn w:val="TextocomentarioCar"/>
    <w:link w:val="Asuntodelcomentario"/>
    <w:uiPriority w:val="99"/>
    <w:semiHidden/>
    <w:rsid w:val="00BF2178"/>
    <w:rPr>
      <w:b/>
      <w:bCs/>
      <w:lang w:val="en-GB" w:eastAsia="en-US"/>
    </w:rPr>
  </w:style>
  <w:style w:type="character" w:customStyle="1" w:styleId="SingleTxtGChar">
    <w:name w:val="_ Single Txt_G Char"/>
    <w:link w:val="SingleTxtG"/>
    <w:uiPriority w:val="1"/>
    <w:rsid w:val="00BF2178"/>
    <w:rPr>
      <w:lang w:val="es-ES" w:eastAsia="es-ES"/>
    </w:rPr>
  </w:style>
  <w:style w:type="character" w:styleId="Mencinsinresolver">
    <w:name w:val="Unresolved Mention"/>
    <w:basedOn w:val="Fuentedeprrafopredeter"/>
    <w:uiPriority w:val="99"/>
    <w:semiHidden/>
    <w:unhideWhenUsed/>
    <w:rsid w:val="00BF2178"/>
    <w:rPr>
      <w:color w:val="605E5C"/>
      <w:shd w:val="clear" w:color="auto" w:fill="E1DFDD"/>
    </w:rPr>
  </w:style>
  <w:style w:type="paragraph" w:styleId="TDC1">
    <w:name w:val="toc 1"/>
    <w:basedOn w:val="Normal"/>
    <w:next w:val="Normal"/>
    <w:uiPriority w:val="5"/>
    <w:unhideWhenUsed/>
    <w:rsid w:val="00BF2178"/>
    <w:pPr>
      <w:tabs>
        <w:tab w:val="right" w:pos="851"/>
        <w:tab w:val="left" w:leader="dot" w:pos="8789"/>
        <w:tab w:val="right" w:pos="9639"/>
      </w:tabs>
      <w:spacing w:after="120"/>
      <w:ind w:left="1134" w:hanging="1134"/>
    </w:pPr>
    <w:rPr>
      <w:rFonts w:eastAsiaTheme="minorHAnsi"/>
      <w:lang w:eastAsia="en-US"/>
    </w:rPr>
  </w:style>
  <w:style w:type="paragraph" w:styleId="TDC2">
    <w:name w:val="toc 2"/>
    <w:basedOn w:val="TDC1"/>
    <w:next w:val="Normal"/>
    <w:uiPriority w:val="5"/>
    <w:unhideWhenUsed/>
    <w:rsid w:val="00BF2178"/>
    <w:pPr>
      <w:tabs>
        <w:tab w:val="clear" w:pos="851"/>
      </w:tabs>
      <w:ind w:left="1559" w:hanging="425"/>
    </w:pPr>
  </w:style>
  <w:style w:type="paragraph" w:styleId="TDC3">
    <w:name w:val="toc 3"/>
    <w:basedOn w:val="TDC2"/>
    <w:next w:val="Normal"/>
    <w:uiPriority w:val="5"/>
    <w:unhideWhenUsed/>
    <w:rsid w:val="00BF2178"/>
    <w:pPr>
      <w:tabs>
        <w:tab w:val="left" w:pos="1985"/>
      </w:tabs>
      <w:ind w:left="1984"/>
    </w:pPr>
  </w:style>
  <w:style w:type="paragraph" w:styleId="TDC4">
    <w:name w:val="toc 4"/>
    <w:basedOn w:val="TDC1"/>
    <w:next w:val="Normal"/>
    <w:uiPriority w:val="5"/>
    <w:unhideWhenUsed/>
    <w:rsid w:val="00BF2178"/>
    <w:pPr>
      <w:tabs>
        <w:tab w:val="clear" w:pos="8789"/>
        <w:tab w:val="left" w:leader="dot" w:pos="7655"/>
        <w:tab w:val="right" w:pos="8930"/>
      </w:tabs>
    </w:pPr>
  </w:style>
  <w:style w:type="paragraph" w:styleId="TDC5">
    <w:name w:val="toc 5"/>
    <w:basedOn w:val="TDC4"/>
    <w:next w:val="Normal"/>
    <w:uiPriority w:val="5"/>
    <w:unhideWhenUsed/>
    <w:rsid w:val="00BF2178"/>
    <w:pPr>
      <w:tabs>
        <w:tab w:val="clear" w:pos="851"/>
      </w:tabs>
      <w:ind w:left="1559" w:hanging="425"/>
    </w:pPr>
  </w:style>
  <w:style w:type="paragraph" w:styleId="TDC6">
    <w:name w:val="toc 6"/>
    <w:basedOn w:val="TDC5"/>
    <w:next w:val="Normal"/>
    <w:uiPriority w:val="5"/>
    <w:unhideWhenUsed/>
    <w:rsid w:val="00BF2178"/>
    <w:pPr>
      <w:tabs>
        <w:tab w:val="left" w:pos="1985"/>
      </w:tabs>
      <w:ind w:left="1984"/>
    </w:pPr>
  </w:style>
  <w:style w:type="paragraph" w:customStyle="1" w:styleId="1ParNoG">
    <w:name w:val="1 _ParNo_G"/>
    <w:basedOn w:val="Normal"/>
    <w:uiPriority w:val="1"/>
    <w:qFormat/>
    <w:rsid w:val="00BF2178"/>
    <w:pPr>
      <w:numPr>
        <w:ilvl w:val="1"/>
        <w:numId w:val="30"/>
      </w:numPr>
      <w:spacing w:after="120"/>
      <w:jc w:val="both"/>
    </w:pPr>
    <w:rPr>
      <w:rFonts w:eastAsiaTheme="minorHAnsi"/>
      <w:lang w:eastAsia="en-US"/>
    </w:rPr>
  </w:style>
  <w:style w:type="paragraph" w:customStyle="1" w:styleId="1ParNoG0">
    <w:name w:val="1_ParNo_G"/>
    <w:basedOn w:val="Normal"/>
    <w:uiPriority w:val="1"/>
    <w:qFormat/>
    <w:rsid w:val="00BF2178"/>
    <w:pPr>
      <w:numPr>
        <w:ilvl w:val="2"/>
        <w:numId w:val="30"/>
      </w:numPr>
      <w:tabs>
        <w:tab w:val="clear" w:pos="1701"/>
      </w:tabs>
      <w:spacing w:after="120"/>
      <w:jc w:val="both"/>
    </w:pPr>
    <w:rPr>
      <w:rFonts w:eastAsiaTheme="minorHAnsi"/>
      <w:lang w:eastAsia="en-US"/>
    </w:rPr>
  </w:style>
  <w:style w:type="paragraph" w:customStyle="1" w:styleId="Table1G">
    <w:name w:val="Table_1_G"/>
    <w:basedOn w:val="Normal"/>
    <w:next w:val="Normal"/>
    <w:uiPriority w:val="2"/>
    <w:qFormat/>
    <w:rsid w:val="00BF2178"/>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F2178"/>
    <w:pPr>
      <w:spacing w:after="120"/>
    </w:pPr>
    <w:rPr>
      <w:b/>
    </w:rPr>
  </w:style>
  <w:style w:type="paragraph" w:customStyle="1" w:styleId="Table1Line3G">
    <w:name w:val="Table_1_Line3_G"/>
    <w:basedOn w:val="Table1line2G"/>
    <w:next w:val="Normal"/>
    <w:uiPriority w:val="2"/>
    <w:qFormat/>
    <w:rsid w:val="00BF2178"/>
    <w:rPr>
      <w:b w:val="0"/>
      <w:sz w:val="16"/>
    </w:rPr>
  </w:style>
  <w:style w:type="paragraph" w:customStyle="1" w:styleId="TableH23G">
    <w:name w:val="Table_H2/3_G"/>
    <w:basedOn w:val="H23G"/>
    <w:uiPriority w:val="2"/>
    <w:qFormat/>
    <w:rsid w:val="00BF2178"/>
    <w:pPr>
      <w:kinsoku w:val="0"/>
      <w:overflowPunct w:val="0"/>
      <w:autoSpaceDE w:val="0"/>
      <w:autoSpaceDN w:val="0"/>
      <w:adjustRightInd w:val="0"/>
      <w:snapToGrid w:val="0"/>
      <w:spacing w:before="0"/>
      <w:ind w:right="0" w:firstLine="0"/>
      <w:outlineLvl w:val="9"/>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23</Pages>
  <Words>12913</Words>
  <Characters>73606</Characters>
  <Application>Microsoft Office Word</Application>
  <DocSecurity>0</DocSecurity>
  <Lines>613</Lines>
  <Paragraphs>172</Paragraphs>
  <ScaleCrop>false</ScaleCrop>
  <HeadingPairs>
    <vt:vector size="2" baseType="variant">
      <vt:variant>
        <vt:lpstr>Título</vt:lpstr>
      </vt:variant>
      <vt:variant>
        <vt:i4>1</vt:i4>
      </vt:variant>
    </vt:vector>
  </HeadingPairs>
  <TitlesOfParts>
    <vt:vector size="1" baseType="lpstr">
      <vt:lpstr>CRC/C/GC/25</vt:lpstr>
    </vt:vector>
  </TitlesOfParts>
  <Company/>
  <LinksUpToDate>false</LinksUpToDate>
  <CharactersWithSpaces>86347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CRC/C/GC/25</dc:title>
  <dc:subject/>
  <dc:creator>Angel ANGEL-MORENO-TORRES</dc:creator>
  <cp:keywords/>
  <cp:lastModifiedBy>Angel ANGEL-MORENO-TORRES</cp:lastModifiedBy>
  <cp:revision>3</cp:revision>
  <cp:lastPrinted>2021-03-30T05:46:00Z</cp:lastPrinted>
  <dcterms:created xsi:type="dcterms:W3CDTF">2021-03-30T05:46:00Z</dcterms:created>
  <dcterms:modified xsi:type="dcterms:W3CDTF">2021-03-30T05:46:00Z</dcterms:modified>
</cp:coreProperties>
</file>