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02" w:rsidRDefault="002F7002" w:rsidP="002F7002">
      <w:pPr>
        <w:spacing w:line="60" w:lineRule="exact"/>
        <w:sectPr w:rsidR="002F7002" w:rsidSect="002F700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6-7Size =1Lang = C"/>
            <w10:wrap anchorx="page" anchory="page"/>
          </v:shape>
        </w:pict>
      </w:r>
      <w:commentRangeEnd w:id="0"/>
      <w:r>
        <w:rPr>
          <w:rStyle w:val="CommentReference"/>
        </w:rPr>
        <w:commentReference w:id="0"/>
      </w:r>
    </w:p>
    <w:p w:rsidR="002F7002" w:rsidRDefault="002F7002" w:rsidP="002F7002">
      <w:pPr>
        <w:spacing w:line="60" w:lineRule="exact"/>
      </w:pPr>
    </w:p>
    <w:p w:rsidR="00044DC4" w:rsidRDefault="00044DC4" w:rsidP="0004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044DC4" w:rsidRPr="00044DC4" w:rsidRDefault="00044DC4" w:rsidP="00044DC4">
      <w:pPr>
        <w:pStyle w:val="SingleTxt"/>
        <w:spacing w:after="0" w:line="120" w:lineRule="exact"/>
        <w:rPr>
          <w:rFonts w:hint="eastAsia"/>
          <w:sz w:val="10"/>
        </w:rPr>
      </w:pPr>
    </w:p>
    <w:p w:rsidR="00044DC4" w:rsidRPr="00044DC4" w:rsidRDefault="00044DC4" w:rsidP="00044DC4">
      <w:pPr>
        <w:pStyle w:val="SingleTxt"/>
        <w:spacing w:after="0" w:line="120" w:lineRule="exact"/>
        <w:rPr>
          <w:rFonts w:hint="eastAsia"/>
          <w:sz w:val="10"/>
        </w:rPr>
      </w:pPr>
    </w:p>
    <w:p w:rsidR="00044DC4" w:rsidRPr="00044DC4" w:rsidRDefault="00044DC4" w:rsidP="00044DC4">
      <w:pPr>
        <w:pStyle w:val="SingleTxt"/>
        <w:spacing w:after="0" w:line="120" w:lineRule="exact"/>
        <w:rPr>
          <w:rFonts w:hint="eastAsia"/>
          <w:sz w:val="10"/>
        </w:rPr>
      </w:pPr>
    </w:p>
    <w:p w:rsidR="00044DC4" w:rsidRPr="002149FE" w:rsidRDefault="00044DC4" w:rsidP="00044DC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pacing w:val="2"/>
        </w:rPr>
      </w:pPr>
      <w:r>
        <w:rPr>
          <w:rFonts w:hint="eastAsia"/>
        </w:rPr>
        <w:tab/>
      </w:r>
      <w:r>
        <w:rPr>
          <w:rFonts w:hint="eastAsia"/>
        </w:rPr>
        <w:tab/>
      </w:r>
      <w:r w:rsidRPr="002149FE">
        <w:rPr>
          <w:rFonts w:hint="eastAsia"/>
          <w:spacing w:val="2"/>
        </w:rPr>
        <w:t>关于多米尼加共和国第六和第七次合并定期报告的结论性意见</w:t>
      </w:r>
      <w:r w:rsidRPr="002149FE">
        <w:rPr>
          <w:rStyle w:val="FootnoteReference"/>
          <w:spacing w:val="2"/>
          <w:sz w:val="21"/>
        </w:rPr>
        <w:footnoteReference w:customMarkFollows="1" w:id="1"/>
        <w:t>*</w:t>
      </w:r>
    </w:p>
    <w:p w:rsidR="00044DC4" w:rsidRPr="00044DC4" w:rsidRDefault="00044DC4" w:rsidP="00044DC4">
      <w:pPr>
        <w:pStyle w:val="SingleTxt"/>
        <w:spacing w:after="0" w:line="120" w:lineRule="exact"/>
        <w:rPr>
          <w:rFonts w:hint="eastAsia"/>
          <w:sz w:val="10"/>
        </w:rPr>
      </w:pPr>
    </w:p>
    <w:p w:rsidR="00044DC4" w:rsidRPr="00044DC4" w:rsidRDefault="00044DC4" w:rsidP="00044DC4">
      <w:pPr>
        <w:pStyle w:val="SingleTxt"/>
        <w:spacing w:after="0" w:line="120" w:lineRule="exact"/>
        <w:rPr>
          <w:rFonts w:hint="eastAsia"/>
          <w:sz w:val="10"/>
        </w:rPr>
      </w:pPr>
    </w:p>
    <w:p w:rsidR="00044DC4" w:rsidRDefault="00044DC4" w:rsidP="00044DC4">
      <w:pPr>
        <w:pStyle w:val="SingleTxt"/>
        <w:rPr>
          <w:rFonts w:hint="eastAsia"/>
        </w:rPr>
      </w:pPr>
      <w:r>
        <w:rPr>
          <w:rFonts w:hint="eastAsia"/>
        </w:rPr>
        <w:t>1.</w:t>
      </w:r>
      <w:r>
        <w:rPr>
          <w:rFonts w:hint="eastAsia"/>
        </w:rPr>
        <w:tab/>
        <w:t>委员会2013年7月12日第1136次和第1137次会议(见</w:t>
      </w:r>
      <w:hyperlink r:id="rId14" w:history="1">
        <w:r w:rsidRPr="00B27E01">
          <w:rPr>
            <w:rStyle w:val="Hyperlink"/>
            <w:rFonts w:hint="eastAsia"/>
          </w:rPr>
          <w:t>CEDAW/C/SR.1136</w:t>
        </w:r>
      </w:hyperlink>
      <w:r>
        <w:rPr>
          <w:rFonts w:hint="eastAsia"/>
        </w:rPr>
        <w:t>和1137)审议了多明尼加共和国第六和第七次合并定期报告(</w:t>
      </w:r>
      <w:hyperlink r:id="rId15" w:history="1">
        <w:r w:rsidRPr="00B27E01">
          <w:rPr>
            <w:rStyle w:val="Hyperlink"/>
            <w:rFonts w:hint="eastAsia"/>
          </w:rPr>
          <w:t>CEDAW/C/DOM/6-7</w:t>
        </w:r>
      </w:hyperlink>
      <w:r>
        <w:rPr>
          <w:rFonts w:hint="eastAsia"/>
        </w:rPr>
        <w:t>)。委员会的议题和问题清单载于</w:t>
      </w:r>
      <w:hyperlink r:id="rId16" w:history="1">
        <w:r w:rsidRPr="00B27E01">
          <w:rPr>
            <w:rStyle w:val="Hyperlink"/>
            <w:rFonts w:hint="eastAsia"/>
          </w:rPr>
          <w:t>CEDAW/C/DOM/Q/6-7</w:t>
        </w:r>
      </w:hyperlink>
      <w:r>
        <w:rPr>
          <w:rFonts w:hint="eastAsia"/>
        </w:rPr>
        <w:t>，多米尼加共和国政府的答复载于</w:t>
      </w:r>
      <w:hyperlink r:id="rId17" w:history="1">
        <w:r w:rsidRPr="00B27E01">
          <w:rPr>
            <w:rStyle w:val="Hyperlink"/>
            <w:rFonts w:hint="eastAsia"/>
          </w:rPr>
          <w:t>CEDAW/C/DOM/Q/6-7/Add.1</w:t>
        </w:r>
      </w:hyperlink>
      <w:r>
        <w:rPr>
          <w:rFonts w:hint="eastAsia"/>
        </w:rPr>
        <w:t>。</w:t>
      </w:r>
    </w:p>
    <w:p w:rsidR="00044DC4" w:rsidRDefault="00044DC4" w:rsidP="0004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044DC4" w:rsidRPr="00044DC4" w:rsidRDefault="00044DC4" w:rsidP="00044DC4">
      <w:pPr>
        <w:pStyle w:val="SingleTxt"/>
        <w:spacing w:after="0" w:line="120" w:lineRule="exact"/>
        <w:rPr>
          <w:rFonts w:hint="eastAsia"/>
          <w:sz w:val="10"/>
        </w:rPr>
      </w:pPr>
    </w:p>
    <w:p w:rsidR="00044DC4" w:rsidRDefault="00044DC4" w:rsidP="00044DC4">
      <w:pPr>
        <w:pStyle w:val="SingleTxt"/>
        <w:rPr>
          <w:rFonts w:hint="eastAsia"/>
        </w:rPr>
      </w:pPr>
      <w:r>
        <w:rPr>
          <w:rFonts w:hint="eastAsia"/>
        </w:rPr>
        <w:t>2.</w:t>
      </w:r>
      <w:r>
        <w:rPr>
          <w:rFonts w:hint="eastAsia"/>
        </w:rPr>
        <w:tab/>
        <w:t>委员会感谢缔约国的第六和第七次合并定期报告，尽管报告没有按时提交。委员会还感谢缔约国对委员会会前工作组提出的议题和问题清单做了书面答复，并对委员会口头提出问题做了进一步澄清。</w:t>
      </w:r>
    </w:p>
    <w:p w:rsidR="00044DC4" w:rsidRDefault="00044DC4" w:rsidP="00044DC4">
      <w:pPr>
        <w:pStyle w:val="SingleTxt"/>
        <w:rPr>
          <w:rFonts w:hint="eastAsia"/>
        </w:rPr>
      </w:pPr>
      <w:r>
        <w:rPr>
          <w:rFonts w:hint="eastAsia"/>
        </w:rPr>
        <w:t>3.</w:t>
      </w:r>
      <w:r>
        <w:rPr>
          <w:rFonts w:hint="eastAsia"/>
        </w:rPr>
        <w:tab/>
        <w:t>委员会赞扬缔约国派出由妇女事务部长Alejandrina Germán率领的高级别代表团，其中包括妇女事务部、中央选举委员会、国民议会众议院以及经济、规划和发展部的代表。委员会欢迎代表团与委员会举行的建设性对话。</w:t>
      </w:r>
    </w:p>
    <w:p w:rsidR="00044DC4" w:rsidRDefault="00044DC4" w:rsidP="0004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044DC4" w:rsidRPr="00044DC4" w:rsidRDefault="00044DC4" w:rsidP="00044DC4">
      <w:pPr>
        <w:pStyle w:val="SingleTxt"/>
        <w:spacing w:after="0" w:line="120" w:lineRule="exact"/>
        <w:rPr>
          <w:rFonts w:hint="eastAsia"/>
          <w:sz w:val="10"/>
        </w:rPr>
      </w:pPr>
    </w:p>
    <w:p w:rsidR="00044DC4" w:rsidRDefault="00044DC4" w:rsidP="00044DC4">
      <w:pPr>
        <w:pStyle w:val="SingleTxt"/>
        <w:rPr>
          <w:rFonts w:hint="eastAsia"/>
        </w:rPr>
      </w:pPr>
      <w:r>
        <w:rPr>
          <w:rFonts w:hint="eastAsia"/>
        </w:rPr>
        <w:t>4.</w:t>
      </w:r>
      <w:r>
        <w:rPr>
          <w:rFonts w:hint="eastAsia"/>
        </w:rPr>
        <w:tab/>
        <w:t xml:space="preserve">委员会欣见在2010年1月26日颁布的新宪法，其中昭示不歧视原则，并规定直接适用缔约国批准的各项国际人权条约。 </w:t>
      </w:r>
    </w:p>
    <w:p w:rsidR="00044DC4" w:rsidRDefault="00044DC4" w:rsidP="00044DC4">
      <w:pPr>
        <w:pStyle w:val="SingleTxt"/>
        <w:rPr>
          <w:rFonts w:hint="eastAsia"/>
        </w:rPr>
      </w:pPr>
      <w:r>
        <w:rPr>
          <w:rFonts w:hint="eastAsia"/>
        </w:rPr>
        <w:t>5.</w:t>
      </w:r>
      <w:r>
        <w:rPr>
          <w:rFonts w:hint="eastAsia"/>
        </w:rPr>
        <w:tab/>
        <w:t>委员会赞赏地注意到缔约国为防止和打击贩卖人口，特别是妇女和女童而通过的法律框架，并为此在总检察长办公室内设立贩运活动受害者单位，以及设立打击对男孩、女孩和青少年进行商业性性剥削的特别部门</w:t>
      </w:r>
      <w:r w:rsidR="0076718A">
        <w:rPr>
          <w:rFonts w:hint="eastAsia"/>
        </w:rPr>
        <w:t>。</w:t>
      </w:r>
      <w:r>
        <w:rPr>
          <w:rFonts w:hint="eastAsia"/>
        </w:rPr>
        <w:t xml:space="preserve"> </w:t>
      </w:r>
    </w:p>
    <w:p w:rsidR="00044DC4" w:rsidRDefault="00044DC4" w:rsidP="00044DC4">
      <w:pPr>
        <w:pStyle w:val="SingleTxt"/>
        <w:rPr>
          <w:rFonts w:hint="eastAsia"/>
        </w:rPr>
      </w:pPr>
      <w:r>
        <w:rPr>
          <w:rFonts w:hint="eastAsia"/>
        </w:rPr>
        <w:t>6.</w:t>
      </w:r>
      <w:r>
        <w:rPr>
          <w:rFonts w:hint="eastAsia"/>
        </w:rPr>
        <w:tab/>
        <w:t>委员会欣见多米尼加共和国通过关于残疾问题的第5-13号法，其中承认残疾妇女为权利持有人。</w:t>
      </w:r>
    </w:p>
    <w:p w:rsidR="00044DC4" w:rsidRDefault="00044DC4" w:rsidP="00044DC4">
      <w:pPr>
        <w:pStyle w:val="SingleTxt"/>
        <w:rPr>
          <w:rFonts w:hint="eastAsia"/>
        </w:rPr>
      </w:pPr>
      <w:r>
        <w:rPr>
          <w:rFonts w:hint="eastAsia"/>
        </w:rPr>
        <w:t>7.</w:t>
      </w:r>
      <w:r>
        <w:rPr>
          <w:rFonts w:hint="eastAsia"/>
        </w:rPr>
        <w:tab/>
        <w:t>委员会注意到2007至2017年全国性别平等和公平计划获得通过。</w:t>
      </w:r>
    </w:p>
    <w:p w:rsidR="00044DC4" w:rsidRDefault="00044DC4" w:rsidP="00044DC4">
      <w:pPr>
        <w:pStyle w:val="SingleTxt"/>
        <w:rPr>
          <w:rFonts w:hint="eastAsia"/>
        </w:rPr>
      </w:pPr>
      <w:r>
        <w:rPr>
          <w:rFonts w:hint="eastAsia"/>
        </w:rPr>
        <w:t>8.</w:t>
      </w:r>
      <w:r>
        <w:rPr>
          <w:rFonts w:hint="eastAsia"/>
        </w:rPr>
        <w:tab/>
        <w:t>委员会欣见缔约国批准下列国际条约：</w:t>
      </w:r>
    </w:p>
    <w:p w:rsidR="00044DC4" w:rsidRDefault="00044DC4" w:rsidP="00044DC4">
      <w:pPr>
        <w:pStyle w:val="SingleTxt"/>
        <w:rPr>
          <w:rFonts w:hint="eastAsia"/>
        </w:rPr>
      </w:pPr>
      <w:r>
        <w:rPr>
          <w:rFonts w:hint="eastAsia"/>
        </w:rPr>
        <w:tab/>
        <w:t>(a)</w:t>
      </w:r>
      <w:r>
        <w:rPr>
          <w:rFonts w:hint="eastAsia"/>
        </w:rPr>
        <w:tab/>
        <w:t>《联合国打击跨国有组织犯罪公约》(在2006年)和补充该公约的《关于预防、禁止和惩治贩运人口特别是妇女和儿童行为的议定书》(在2008年)；</w:t>
      </w:r>
    </w:p>
    <w:p w:rsidR="00044DC4" w:rsidRDefault="00044DC4" w:rsidP="00044DC4">
      <w:pPr>
        <w:pStyle w:val="SingleTxt"/>
        <w:rPr>
          <w:rFonts w:hint="eastAsia"/>
        </w:rPr>
      </w:pPr>
      <w:r>
        <w:rPr>
          <w:rFonts w:hint="eastAsia"/>
        </w:rPr>
        <w:tab/>
        <w:t>(b)</w:t>
      </w:r>
      <w:r>
        <w:rPr>
          <w:rFonts w:hint="eastAsia"/>
        </w:rPr>
        <w:tab/>
        <w:t>儿童权利公约关于买卖儿童、儿童卖淫和儿童色情制品问题的任择议定书(在2006年)；</w:t>
      </w:r>
    </w:p>
    <w:p w:rsidR="00044DC4" w:rsidRDefault="00044DC4" w:rsidP="00044DC4">
      <w:pPr>
        <w:pStyle w:val="SingleTxt"/>
        <w:rPr>
          <w:rFonts w:hint="eastAsia"/>
        </w:rPr>
      </w:pPr>
      <w:r>
        <w:rPr>
          <w:rFonts w:hint="eastAsia"/>
        </w:rPr>
        <w:tab/>
        <w:t>(c)</w:t>
      </w:r>
      <w:r>
        <w:rPr>
          <w:rFonts w:hint="eastAsia"/>
        </w:rPr>
        <w:tab/>
        <w:t>《残疾人权利公约》及其任择议定书(在2009年)；</w:t>
      </w:r>
    </w:p>
    <w:p w:rsidR="00044DC4" w:rsidRDefault="00044DC4" w:rsidP="00044DC4">
      <w:pPr>
        <w:pStyle w:val="SingleTxt"/>
        <w:rPr>
          <w:rFonts w:hint="eastAsia"/>
        </w:rPr>
      </w:pPr>
      <w:r>
        <w:rPr>
          <w:rFonts w:hint="eastAsia"/>
        </w:rPr>
        <w:tab/>
        <w:t>(d)</w:t>
      </w:r>
      <w:r>
        <w:rPr>
          <w:rFonts w:hint="eastAsia"/>
        </w:rPr>
        <w:tab/>
        <w:t>国际劳工组织的《2011年家庭雇工公约》(第189号)(在2011年)。</w:t>
      </w:r>
    </w:p>
    <w:p w:rsidR="00044DC4" w:rsidRDefault="00044DC4" w:rsidP="0004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主要关切领域和建议</w:t>
      </w:r>
    </w:p>
    <w:p w:rsidR="00044DC4" w:rsidRPr="00044DC4" w:rsidRDefault="00044DC4" w:rsidP="00044DC4">
      <w:pPr>
        <w:pStyle w:val="SingleTxt"/>
        <w:spacing w:after="0" w:line="120" w:lineRule="exact"/>
        <w:rPr>
          <w:rFonts w:hint="eastAsia"/>
          <w:sz w:val="10"/>
        </w:rPr>
      </w:pPr>
    </w:p>
    <w:p w:rsidR="00044DC4" w:rsidRPr="00044DC4" w:rsidRDefault="00044DC4" w:rsidP="00044DC4">
      <w:pPr>
        <w:pStyle w:val="SingleTxt"/>
        <w:rPr>
          <w:rFonts w:ascii="SimHei" w:eastAsia="SimHei" w:hint="eastAsia"/>
        </w:rPr>
      </w:pPr>
      <w:r w:rsidRPr="00044DC4">
        <w:rPr>
          <w:rFonts w:ascii="SimHei" w:eastAsia="SimHei" w:hint="eastAsia"/>
        </w:rPr>
        <w:t>国民议会</w:t>
      </w:r>
    </w:p>
    <w:p w:rsidR="00044DC4" w:rsidRDefault="00044DC4" w:rsidP="00044DC4">
      <w:pPr>
        <w:pStyle w:val="SingleTxt"/>
        <w:rPr>
          <w:rFonts w:hint="eastAsia"/>
        </w:rPr>
      </w:pPr>
      <w:r>
        <w:rPr>
          <w:rFonts w:hint="eastAsia"/>
        </w:rPr>
        <w:t>9.</w:t>
      </w:r>
      <w:r>
        <w:rPr>
          <w:rFonts w:hint="eastAsia"/>
        </w:rPr>
        <w:tab/>
      </w:r>
      <w:r w:rsidRPr="00B27E01">
        <w:rPr>
          <w:rFonts w:ascii="SimHei" w:eastAsia="SimHei" w:hint="eastAsia"/>
        </w:rPr>
        <w:t>委员会重申，政府在全面实施缔约国根据《公约》承担的义务方面负有首要责任，并特别须为此接受问责 ，但强调《公约》对政府所有部门具约束力。委员会请缔约国鼓励其国民议会依照本身程序，在适当情况下采取必要步骤，从现在起至缔约国根据《公约》提出下一个报告之间实施本结论性意见</w:t>
      </w:r>
      <w:r>
        <w:rPr>
          <w:rFonts w:hint="eastAsia"/>
        </w:rPr>
        <w:t>。</w:t>
      </w:r>
    </w:p>
    <w:p w:rsidR="00044DC4" w:rsidRPr="00044DC4" w:rsidRDefault="00044DC4" w:rsidP="00044DC4">
      <w:pPr>
        <w:pStyle w:val="SingleTxt"/>
        <w:rPr>
          <w:rFonts w:ascii="SimHei" w:eastAsia="SimHei" w:hint="eastAsia"/>
        </w:rPr>
      </w:pPr>
      <w:r w:rsidRPr="00044DC4">
        <w:rPr>
          <w:rFonts w:ascii="SimHei" w:eastAsia="SimHei" w:hint="eastAsia"/>
        </w:rPr>
        <w:t>平等和不歧视的定义</w:t>
      </w:r>
    </w:p>
    <w:p w:rsidR="00044DC4" w:rsidRDefault="00044DC4" w:rsidP="00044DC4">
      <w:pPr>
        <w:pStyle w:val="SingleTxt"/>
        <w:rPr>
          <w:rFonts w:hint="eastAsia"/>
        </w:rPr>
      </w:pPr>
      <w:r>
        <w:rPr>
          <w:rFonts w:hint="eastAsia"/>
        </w:rPr>
        <w:t>10.</w:t>
      </w:r>
      <w:r>
        <w:rPr>
          <w:rFonts w:hint="eastAsia"/>
        </w:rPr>
        <w:tab/>
        <w:t>委员会注意到新宪法载有不歧视原则，包括不得有基于性别的歧视(第39条)，并规定防止和打击基于性别的歧视的措施，但它关切的是缔约国持续有多种形式对妇女的歧视，特别是对源自海地的妇女的歧视。委员会满意地注意到缔约国在建设性对话期间说，除了从受孕的那一刻起就保护生命的新宪法第37条外，还修改了《刑法》，以保护妇女的生殖权利，允许在母亲健康受威胁的情况下进行堕胎。</w:t>
      </w:r>
    </w:p>
    <w:p w:rsidR="00044DC4" w:rsidRPr="00044DC4" w:rsidRDefault="00044DC4" w:rsidP="00044DC4">
      <w:pPr>
        <w:pStyle w:val="SingleTxt"/>
        <w:rPr>
          <w:rFonts w:ascii="SimHei" w:eastAsia="SimHei" w:hint="eastAsia"/>
        </w:rPr>
      </w:pPr>
      <w:r>
        <w:rPr>
          <w:rFonts w:hint="eastAsia"/>
        </w:rPr>
        <w:t>11.</w:t>
      </w:r>
      <w:r>
        <w:rPr>
          <w:rFonts w:hint="eastAsia"/>
        </w:rPr>
        <w:tab/>
      </w:r>
      <w:r w:rsidRPr="00044DC4">
        <w:rPr>
          <w:rFonts w:ascii="SimHei" w:eastAsia="SimHei" w:hint="eastAsia"/>
        </w:rPr>
        <w:t>委员会建议缔约国: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确保有效适用宪法关于禁止基于性别的歧视的规定；</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在其立法中纳入多种歧视的概念，并确保为此种歧视受害者提供适当补救措施；</w:t>
      </w:r>
    </w:p>
    <w:p w:rsidR="00044DC4" w:rsidRDefault="00044DC4" w:rsidP="00044DC4">
      <w:pPr>
        <w:pStyle w:val="SingleTxt"/>
        <w:rPr>
          <w:rFonts w:hint="eastAsia"/>
        </w:rPr>
      </w:pPr>
      <w:r w:rsidRPr="00044DC4">
        <w:rPr>
          <w:rFonts w:ascii="SimHei" w:eastAsia="SimHei" w:hint="eastAsia"/>
        </w:rPr>
        <w:tab/>
        <w:t>(c)</w:t>
      </w:r>
      <w:r w:rsidRPr="00044DC4">
        <w:rPr>
          <w:rFonts w:ascii="SimHei" w:eastAsia="SimHei" w:hint="eastAsia"/>
        </w:rPr>
        <w:tab/>
        <w:t>确保目前修改关于生殖权的刑事立法过程将被批准，并且这个立法框架充分尊重《公约》，并在其实施时不出现倒退情况</w:t>
      </w:r>
      <w:r>
        <w:rPr>
          <w:rFonts w:hint="eastAsia"/>
        </w:rPr>
        <w:t>；</w:t>
      </w:r>
    </w:p>
    <w:p w:rsidR="00044DC4" w:rsidRDefault="00044DC4" w:rsidP="00044DC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公约、其任择议定书和委员会一般性建议的能见度</w:t>
      </w:r>
    </w:p>
    <w:p w:rsidR="00044DC4" w:rsidRPr="00044DC4" w:rsidRDefault="00044DC4" w:rsidP="00044DC4">
      <w:pPr>
        <w:pStyle w:val="SingleTxt"/>
        <w:spacing w:after="0" w:line="120" w:lineRule="exact"/>
        <w:rPr>
          <w:rFonts w:hint="eastAsia"/>
          <w:sz w:val="10"/>
        </w:rPr>
      </w:pPr>
    </w:p>
    <w:p w:rsidR="00044DC4" w:rsidRDefault="00044DC4" w:rsidP="00044DC4">
      <w:pPr>
        <w:pStyle w:val="SingleTxt"/>
        <w:rPr>
          <w:rFonts w:hint="eastAsia"/>
        </w:rPr>
      </w:pPr>
      <w:r>
        <w:rPr>
          <w:rFonts w:hint="eastAsia"/>
        </w:rPr>
        <w:t>12.</w:t>
      </w:r>
      <w:r>
        <w:rPr>
          <w:rFonts w:hint="eastAsia"/>
        </w:rPr>
        <w:tab/>
        <w:t xml:space="preserve">委员会赞赏地注意到《公约》优先于国内法(《宪法》第74条)，但它注意到没有出现过法院直接适用《公约》的情况。委员会还感到遗憾的是，没有在妇女中，特别是在那些属于弱势群体和边缘化群体的妇女中传播《公约》及其任择议定书的内容的具体措施。 </w:t>
      </w:r>
    </w:p>
    <w:p w:rsidR="00044DC4" w:rsidRPr="002149FE" w:rsidRDefault="00044DC4" w:rsidP="00044DC4">
      <w:pPr>
        <w:pStyle w:val="SingleTxt"/>
        <w:rPr>
          <w:rFonts w:ascii="SimHei" w:eastAsia="SimHei" w:hint="eastAsia"/>
        </w:rPr>
      </w:pPr>
      <w:r>
        <w:rPr>
          <w:rFonts w:hint="eastAsia"/>
        </w:rPr>
        <w:t>13.</w:t>
      </w:r>
      <w:r>
        <w:rPr>
          <w:rFonts w:hint="eastAsia"/>
        </w:rPr>
        <w:tab/>
      </w:r>
      <w:r w:rsidRPr="002149FE">
        <w:rPr>
          <w:rFonts w:ascii="SimHei" w:eastAsia="SimHei" w:hint="eastAsia"/>
        </w:rPr>
        <w:t>委员会建议缔约国:</w:t>
      </w:r>
    </w:p>
    <w:p w:rsidR="00044DC4" w:rsidRPr="002149FE" w:rsidRDefault="00044DC4" w:rsidP="00044DC4">
      <w:pPr>
        <w:pStyle w:val="SingleTxt"/>
        <w:rPr>
          <w:rFonts w:ascii="SimHei" w:eastAsia="SimHei" w:hint="eastAsia"/>
        </w:rPr>
      </w:pPr>
      <w:r w:rsidRPr="002149FE">
        <w:rPr>
          <w:rFonts w:ascii="SimHei" w:eastAsia="SimHei" w:hint="eastAsia"/>
        </w:rPr>
        <w:tab/>
        <w:t>(a)</w:t>
      </w:r>
      <w:r w:rsidRPr="002149FE">
        <w:rPr>
          <w:rFonts w:ascii="SimHei" w:eastAsia="SimHei" w:hint="eastAsia"/>
        </w:rPr>
        <w:tab/>
        <w:t>确保妇女权利，特别是《公约》的各项规定，成为法律教育的组成部分，使法官能够直接适用《公约》及其任择议定书的规定，并参照《公约》来解释国家法律规定；</w:t>
      </w:r>
    </w:p>
    <w:p w:rsidR="00044DC4" w:rsidRDefault="00044DC4" w:rsidP="00044DC4">
      <w:pPr>
        <w:pStyle w:val="SingleTxt"/>
        <w:rPr>
          <w:rFonts w:hint="eastAsia"/>
        </w:rPr>
      </w:pPr>
      <w:r w:rsidRPr="002149FE">
        <w:rPr>
          <w:rFonts w:ascii="SimHei" w:eastAsia="SimHei" w:hint="eastAsia"/>
        </w:rPr>
        <w:tab/>
        <w:t>(b)</w:t>
      </w:r>
      <w:r w:rsidRPr="002149FE">
        <w:rPr>
          <w:rFonts w:ascii="SimHei" w:eastAsia="SimHei" w:hint="eastAsia"/>
        </w:rPr>
        <w:tab/>
        <w:t>制定向所有利益攸关者传播《公约》、其任择议定书和委员会一般性建议内容的可持续战略，并提高妇女，特别是弱势群体中妇女的认识，使其知道自己的公约权利及询问和沟通程序，包括任择议定书规定的委员会的审理规程</w:t>
      </w:r>
      <w:r>
        <w:rPr>
          <w:rFonts w:hint="eastAsia"/>
        </w:rPr>
        <w:t>。</w:t>
      </w:r>
    </w:p>
    <w:p w:rsidR="00044DC4" w:rsidRPr="00044DC4" w:rsidRDefault="00044DC4" w:rsidP="00044DC4">
      <w:pPr>
        <w:pStyle w:val="SingleTxt"/>
        <w:rPr>
          <w:rFonts w:ascii="SimHei" w:eastAsia="SimHei" w:hint="eastAsia"/>
        </w:rPr>
      </w:pPr>
      <w:r w:rsidRPr="00044DC4">
        <w:rPr>
          <w:rFonts w:ascii="SimHei" w:eastAsia="SimHei" w:hint="eastAsia"/>
        </w:rPr>
        <w:t>法律投诉机制</w:t>
      </w:r>
    </w:p>
    <w:p w:rsidR="00044DC4" w:rsidRDefault="00044DC4" w:rsidP="00044DC4">
      <w:pPr>
        <w:pStyle w:val="SingleTxt"/>
        <w:rPr>
          <w:rFonts w:hint="eastAsia"/>
        </w:rPr>
      </w:pPr>
      <w:r>
        <w:rPr>
          <w:rFonts w:hint="eastAsia"/>
        </w:rPr>
        <w:t>14.</w:t>
      </w:r>
      <w:r>
        <w:rPr>
          <w:rFonts w:hint="eastAsia"/>
        </w:rPr>
        <w:tab/>
        <w:t xml:space="preserve">委员会赞赏地注意到《宪法》第72条规定了用以保护基本权利的“宪法权利保护” 补救办法，但它注意到没有关于妇女使用这一补救措施的信息。委员会关切的是，没有关于监察员办公室在妇女就歧视案件进行投诉的程序上所起作用的信息。 </w:t>
      </w:r>
    </w:p>
    <w:p w:rsidR="00044DC4" w:rsidRPr="00044DC4" w:rsidRDefault="00044DC4" w:rsidP="00044DC4">
      <w:pPr>
        <w:pStyle w:val="SingleTxt"/>
        <w:rPr>
          <w:rFonts w:ascii="SimHei" w:eastAsia="SimHei" w:hint="eastAsia"/>
        </w:rPr>
      </w:pPr>
      <w:r w:rsidRPr="00044DC4">
        <w:rPr>
          <w:rFonts w:ascii="SimHei" w:eastAsia="SimHei" w:hint="eastAsia"/>
        </w:rPr>
        <w:t>15.</w:t>
      </w:r>
      <w:r w:rsidRPr="00044DC4">
        <w:rPr>
          <w:rFonts w:ascii="SimHei" w:eastAsia="SimHei" w:hint="eastAsia"/>
        </w:rPr>
        <w:tab/>
        <w:t>委员会呼吁缔约国: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 xml:space="preserve">提高妇女和一般民众的认识，使其知道可利用“宪法权利保护” 补救办法以保护其宪法权利免受侵害； </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为监察员办公室提供足够财力、技术和人力资源来审议妇女就基于性别的歧视和其他侵犯其《公约》权利的行为作出的投诉。</w:t>
      </w:r>
    </w:p>
    <w:p w:rsidR="00044DC4" w:rsidRPr="00044DC4" w:rsidRDefault="00044DC4" w:rsidP="00044DC4">
      <w:pPr>
        <w:pStyle w:val="SingleTxt"/>
        <w:rPr>
          <w:rFonts w:ascii="SimHei" w:eastAsia="SimHei" w:hint="eastAsia"/>
        </w:rPr>
      </w:pPr>
      <w:r w:rsidRPr="00044DC4">
        <w:rPr>
          <w:rFonts w:ascii="SimHei" w:eastAsia="SimHei" w:hint="eastAsia"/>
        </w:rPr>
        <w:t>能够获得司法正义</w:t>
      </w:r>
    </w:p>
    <w:p w:rsidR="00044DC4" w:rsidRDefault="00044DC4" w:rsidP="00044DC4">
      <w:pPr>
        <w:pStyle w:val="SingleTxt"/>
        <w:rPr>
          <w:rFonts w:hint="eastAsia"/>
        </w:rPr>
      </w:pPr>
      <w:r>
        <w:rPr>
          <w:rFonts w:hint="eastAsia"/>
        </w:rPr>
        <w:t>16.</w:t>
      </w:r>
      <w:r>
        <w:rPr>
          <w:rFonts w:hint="eastAsia"/>
        </w:rPr>
        <w:tab/>
        <w:t>委员会对最高法院设立妇女和家庭办公室表示称赞，但对缺少有关该处具体活动和成绩的资料表示关切。委员会关切地注意到，妇女在寻求司法保护方面仍面临重重障碍，如法律费用高、在刑事程序方面得到的法律援助有限，以及没有保护妇女受害人和证人的方案。委员会还感到关切的是，没有有效补救措施让基于性别的歧视案件的受害人提出控诉。</w:t>
      </w:r>
    </w:p>
    <w:p w:rsidR="00044DC4" w:rsidRPr="00044DC4" w:rsidRDefault="00044DC4" w:rsidP="00044DC4">
      <w:pPr>
        <w:pStyle w:val="SingleTxt"/>
        <w:rPr>
          <w:rFonts w:ascii="SimHei" w:eastAsia="SimHei" w:hint="eastAsia"/>
        </w:rPr>
      </w:pPr>
      <w:r w:rsidRPr="00044DC4">
        <w:rPr>
          <w:rFonts w:ascii="SimHei" w:eastAsia="SimHei" w:hint="eastAsia"/>
        </w:rPr>
        <w:t>17.</w:t>
      </w:r>
      <w:r w:rsidRPr="00044DC4">
        <w:rPr>
          <w:rFonts w:ascii="SimHei" w:eastAsia="SimHei" w:hint="eastAsia"/>
        </w:rPr>
        <w:tab/>
        <w:t>委员会建议缔约国：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增加最高法院妇女和家庭办公室的经费，使其能够履行其职能；</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拨出适当资源，帮助获得法律援助，使有困难的妇女能够在法律的所有领域，包括在民事和劳工法纠纷方面要求获得其权利；</w:t>
      </w:r>
    </w:p>
    <w:p w:rsidR="00044DC4" w:rsidRPr="00044DC4" w:rsidRDefault="00044DC4" w:rsidP="00044DC4">
      <w:pPr>
        <w:pStyle w:val="SingleTxt"/>
        <w:rPr>
          <w:rFonts w:ascii="SimHei" w:eastAsia="SimHei" w:hint="eastAsia"/>
        </w:rPr>
      </w:pPr>
      <w:r w:rsidRPr="00044DC4">
        <w:rPr>
          <w:rFonts w:ascii="SimHei" w:eastAsia="SimHei" w:hint="eastAsia"/>
        </w:rPr>
        <w:tab/>
        <w:t>(c)</w:t>
      </w:r>
      <w:r w:rsidRPr="00044DC4">
        <w:rPr>
          <w:rFonts w:ascii="SimHei" w:eastAsia="SimHei" w:hint="eastAsia"/>
        </w:rPr>
        <w:tab/>
        <w:t>确保具备有效的补救措施，使妇女能够就基于性别的歧视提出控诉。</w:t>
      </w:r>
    </w:p>
    <w:p w:rsidR="00044DC4" w:rsidRDefault="00044DC4" w:rsidP="00044DC4">
      <w:pPr>
        <w:pStyle w:val="SingleTxt"/>
        <w:rPr>
          <w:rFonts w:ascii="SimHei" w:eastAsia="SimHei" w:hint="eastAsia"/>
        </w:rPr>
      </w:pPr>
    </w:p>
    <w:p w:rsidR="00044DC4" w:rsidRPr="00044DC4" w:rsidRDefault="00044DC4" w:rsidP="00044DC4">
      <w:pPr>
        <w:pStyle w:val="SingleTxt"/>
        <w:rPr>
          <w:rFonts w:ascii="SimHei" w:eastAsia="SimHei" w:hint="eastAsia"/>
        </w:rPr>
      </w:pPr>
      <w:r w:rsidRPr="00044DC4">
        <w:rPr>
          <w:rFonts w:ascii="SimHei" w:eastAsia="SimHei" w:hint="eastAsia"/>
        </w:rPr>
        <w:t>提高妇女地位的国家机构</w:t>
      </w:r>
    </w:p>
    <w:p w:rsidR="00044DC4" w:rsidRDefault="00044DC4" w:rsidP="002149FE">
      <w:pPr>
        <w:pStyle w:val="SingleTxt"/>
        <w:spacing w:line="330" w:lineRule="exact"/>
        <w:rPr>
          <w:rFonts w:hint="eastAsia"/>
        </w:rPr>
      </w:pPr>
      <w:r>
        <w:rPr>
          <w:rFonts w:hint="eastAsia"/>
        </w:rPr>
        <w:t>18.</w:t>
      </w:r>
      <w:r>
        <w:rPr>
          <w:rFonts w:hint="eastAsia"/>
        </w:rPr>
        <w:tab/>
        <w:t>委员会承认缔约国在设立一个部级国家机构方面所作出的努力，但同时注意到，缔约国为执行《2007-2017年国家性别平等和公平计划》划拨的预算比例很低。委员会还注意到，没有一套评估这项战略结果的监督制度。委员会还感到关切的是，妇女事务部有可能与其他部合并，这将影响缔约国协调和执行提高妇女地位的公共政策的能力。最后，委员会感到关切的是，缺少资源促进妇女组织参与计划的执行。</w:t>
      </w:r>
    </w:p>
    <w:p w:rsidR="00044DC4" w:rsidRPr="00044DC4" w:rsidRDefault="00044DC4" w:rsidP="00044DC4">
      <w:pPr>
        <w:pStyle w:val="SingleTxt"/>
        <w:rPr>
          <w:rFonts w:ascii="SimHei" w:eastAsia="SimHei" w:hint="eastAsia"/>
        </w:rPr>
      </w:pPr>
      <w:r w:rsidRPr="00044DC4">
        <w:rPr>
          <w:rFonts w:ascii="SimHei" w:eastAsia="SimHei" w:hint="eastAsia"/>
        </w:rPr>
        <w:t>19.</w:t>
      </w:r>
      <w:r w:rsidRPr="00044DC4">
        <w:rPr>
          <w:rFonts w:ascii="SimHei" w:eastAsia="SimHei" w:hint="eastAsia"/>
        </w:rPr>
        <w:tab/>
        <w:t>委员会回顾其关于有效的国家机制和宣传的第6号一般性建议和《北京行动纲领》中的指导原则，特别是为国家机构的有效运作创造必要条件的指导原则，建议缔约国：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加强妇女事务部的人力和技术资源，确保该部协调落实提高妇女地位公共政策的任务不会因为改组而削弱；</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确保定期、持续地增加用于落实有关两性平等的政策和法律的预算，包括用于地方性别平等委员会活动的预算；</w:t>
      </w:r>
    </w:p>
    <w:p w:rsidR="00044DC4" w:rsidRPr="00044DC4" w:rsidRDefault="00044DC4" w:rsidP="00044DC4">
      <w:pPr>
        <w:pStyle w:val="SingleTxt"/>
        <w:rPr>
          <w:rFonts w:ascii="SimHei" w:eastAsia="SimHei" w:hint="eastAsia"/>
        </w:rPr>
      </w:pPr>
      <w:r w:rsidRPr="00044DC4">
        <w:rPr>
          <w:rFonts w:ascii="SimHei" w:eastAsia="SimHei" w:hint="eastAsia"/>
        </w:rPr>
        <w:tab/>
        <w:t>(c)</w:t>
      </w:r>
      <w:r w:rsidRPr="00044DC4">
        <w:rPr>
          <w:rFonts w:ascii="SimHei" w:eastAsia="SimHei" w:hint="eastAsia"/>
        </w:rPr>
        <w:tab/>
        <w:t>加强妇女事务部协调政府机构两性问题联络小组的作用，以便制定基于成果的性别问题主流化战略；</w:t>
      </w:r>
    </w:p>
    <w:p w:rsidR="00044DC4" w:rsidRPr="00044DC4" w:rsidRDefault="00044DC4" w:rsidP="00044DC4">
      <w:pPr>
        <w:pStyle w:val="SingleTxt"/>
        <w:rPr>
          <w:rFonts w:ascii="SimHei" w:eastAsia="SimHei" w:hint="eastAsia"/>
        </w:rPr>
      </w:pPr>
      <w:r w:rsidRPr="00044DC4">
        <w:rPr>
          <w:rFonts w:ascii="SimHei" w:eastAsia="SimHei" w:hint="eastAsia"/>
        </w:rPr>
        <w:tab/>
        <w:t>(d)</w:t>
      </w:r>
      <w:r w:rsidRPr="00044DC4">
        <w:rPr>
          <w:rFonts w:ascii="SimHei" w:eastAsia="SimHei" w:hint="eastAsia"/>
        </w:rPr>
        <w:tab/>
        <w:t>采取措施，促进公共部门与妇女非政府组织在执行提高妇女地位的公共政策和监测其影响方面的合作，包括在制定两性平等的战略时，采取参与性办法，并广泛征求妇女的意见。</w:t>
      </w:r>
    </w:p>
    <w:p w:rsidR="00044DC4" w:rsidRDefault="00044DC4" w:rsidP="00044DC4">
      <w:pPr>
        <w:pStyle w:val="SingleTxt"/>
        <w:rPr>
          <w:rFonts w:hint="eastAsia"/>
        </w:rPr>
      </w:pPr>
      <w:r w:rsidRPr="00044DC4">
        <w:rPr>
          <w:rFonts w:ascii="SimHei" w:eastAsia="SimHei" w:hint="eastAsia"/>
        </w:rPr>
        <w:t>临时特别措施</w:t>
      </w:r>
    </w:p>
    <w:p w:rsidR="00044DC4" w:rsidRDefault="00044DC4" w:rsidP="002149FE">
      <w:pPr>
        <w:pStyle w:val="SingleTxt"/>
        <w:spacing w:line="330" w:lineRule="exact"/>
        <w:rPr>
          <w:rFonts w:hint="eastAsia"/>
        </w:rPr>
      </w:pPr>
      <w:r>
        <w:rPr>
          <w:rFonts w:hint="eastAsia"/>
        </w:rPr>
        <w:t>20.</w:t>
      </w:r>
      <w:r>
        <w:rPr>
          <w:rFonts w:hint="eastAsia"/>
        </w:rPr>
        <w:tab/>
        <w:t>委员会认识到缔约国在采取临时特别措施方面所做的努力，如采用并强化法定配额，以确保妇女在政治生活中有为其发言的代表。委员会同时注意到，在其他方面，如就业或家庭关系等方面，没有采取临时特别措施，使缔约国实现男女的实质性平等。具体而言，委员会注意到，在公共政策方面没有采取临时特别措施，也没有评估性别主流化战略成果的指标。</w:t>
      </w:r>
    </w:p>
    <w:p w:rsidR="00044DC4" w:rsidRPr="00044DC4" w:rsidRDefault="00044DC4" w:rsidP="00044DC4">
      <w:pPr>
        <w:pStyle w:val="SingleTxt"/>
        <w:rPr>
          <w:rFonts w:ascii="SimHei" w:eastAsia="SimHei" w:hint="eastAsia"/>
        </w:rPr>
      </w:pPr>
      <w:r w:rsidRPr="00044DC4">
        <w:rPr>
          <w:rFonts w:ascii="SimHei" w:eastAsia="SimHei" w:hint="eastAsia"/>
        </w:rPr>
        <w:t>21.</w:t>
      </w:r>
      <w:r w:rsidRPr="00044DC4">
        <w:rPr>
          <w:rFonts w:ascii="SimHei" w:eastAsia="SimHei" w:hint="eastAsia"/>
        </w:rPr>
        <w:tab/>
        <w:t>依照委员会关于临时特别措施的第25号一般性意见，委员会敦促缔约国：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制定并采取临时特别措施，确保妇女与男人在教育、就业和家庭关系等领域事实上平等，并将此种措施纳入《2010-2030年国家发展战略》和《2008-2018年十年教育规划》；</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考虑授权妇女事务部和其他有关办事处对所采取的临时特别措施的效果进行定期评估。</w:t>
      </w:r>
    </w:p>
    <w:p w:rsidR="00044DC4" w:rsidRDefault="00044DC4" w:rsidP="00044DC4">
      <w:pPr>
        <w:pStyle w:val="SingleTxt"/>
        <w:rPr>
          <w:rFonts w:ascii="SimHei" w:eastAsia="SimHei" w:hint="eastAsia"/>
        </w:rPr>
      </w:pPr>
    </w:p>
    <w:p w:rsidR="00044DC4" w:rsidRPr="00044DC4" w:rsidRDefault="00044DC4" w:rsidP="00044DC4">
      <w:pPr>
        <w:pStyle w:val="SingleTxt"/>
        <w:rPr>
          <w:rFonts w:ascii="SimHei" w:eastAsia="SimHei" w:hint="eastAsia"/>
        </w:rPr>
      </w:pPr>
      <w:r w:rsidRPr="00044DC4">
        <w:rPr>
          <w:rFonts w:ascii="SimHei" w:eastAsia="SimHei" w:hint="eastAsia"/>
        </w:rPr>
        <w:t>成见和歧视性做法</w:t>
      </w:r>
    </w:p>
    <w:p w:rsidR="00044DC4" w:rsidRDefault="00044DC4" w:rsidP="00044DC4">
      <w:pPr>
        <w:pStyle w:val="SingleTxt"/>
        <w:rPr>
          <w:rFonts w:hint="eastAsia"/>
        </w:rPr>
      </w:pPr>
      <w:r>
        <w:rPr>
          <w:rFonts w:hint="eastAsia"/>
        </w:rPr>
        <w:t>22.</w:t>
      </w:r>
      <w:r>
        <w:rPr>
          <w:rFonts w:hint="eastAsia"/>
        </w:rPr>
        <w:tab/>
        <w:t>委员会赞赏缔约国就文化行为转变所开展的研究取得了结果，但也注意到，对男女在家庭和社会中所起不同作用的成见依然存在，并注意到媒体的态度强化了一种歧视性的信息――妇女只是性欲对象，男性更为优越。委员会尤其对继续以歧视妇女和女童的方式招揽游客的做法感到关切。委员会深表关切的是，缔约国否认源自海地的妇女受到多种形式的歧视，包括种族歧视和基于性别的歧视。</w:t>
      </w:r>
    </w:p>
    <w:p w:rsidR="00044DC4" w:rsidRPr="00044DC4" w:rsidRDefault="00044DC4" w:rsidP="00044DC4">
      <w:pPr>
        <w:pStyle w:val="SingleTxt"/>
        <w:rPr>
          <w:rFonts w:ascii="SimHei" w:eastAsia="SimHei" w:hint="eastAsia"/>
        </w:rPr>
      </w:pPr>
      <w:r w:rsidRPr="00044DC4">
        <w:rPr>
          <w:rFonts w:ascii="SimHei" w:eastAsia="SimHei" w:hint="eastAsia"/>
        </w:rPr>
        <w:t>23.</w:t>
      </w:r>
      <w:r w:rsidRPr="00044DC4">
        <w:rPr>
          <w:rFonts w:ascii="SimHei" w:eastAsia="SimHei" w:hint="eastAsia"/>
        </w:rPr>
        <w:tab/>
        <w:t>委员会建议缔约国：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加大力度，在《2007-2017两性平等和公平国家计划》中纳入长期战略，以查明并打击强调妇女的作用为养儿育女、照顾家庭的传统成见；</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提高媒体和企业部门特别是旅游业的认识，让其知道必须停止使用歧视妇女的信息；和</w:t>
      </w:r>
    </w:p>
    <w:p w:rsidR="00044DC4" w:rsidRPr="00044DC4" w:rsidRDefault="00044DC4" w:rsidP="00044DC4">
      <w:pPr>
        <w:pStyle w:val="SingleTxt"/>
        <w:rPr>
          <w:rFonts w:ascii="SimHei" w:eastAsia="SimHei" w:hint="eastAsia"/>
        </w:rPr>
      </w:pPr>
      <w:r w:rsidRPr="00044DC4">
        <w:rPr>
          <w:rFonts w:ascii="SimHei" w:eastAsia="SimHei" w:hint="eastAsia"/>
        </w:rPr>
        <w:tab/>
        <w:t>(c)</w:t>
      </w:r>
      <w:r w:rsidRPr="00044DC4">
        <w:rPr>
          <w:rFonts w:ascii="SimHei" w:eastAsia="SimHei" w:hint="eastAsia"/>
        </w:rPr>
        <w:tab/>
        <w:t>促进就居住在缔约国的源自海地的妇女的境况展开公开辩论，以期鼓励充分尊重其人权，增加人们对这些人为社会所作贡献的认识。</w:t>
      </w:r>
    </w:p>
    <w:p w:rsidR="00044DC4" w:rsidRPr="00044DC4" w:rsidRDefault="00044DC4" w:rsidP="00044DC4">
      <w:pPr>
        <w:pStyle w:val="SingleTxt"/>
        <w:rPr>
          <w:rFonts w:ascii="SimHei" w:eastAsia="SimHei" w:hint="eastAsia"/>
        </w:rPr>
      </w:pPr>
      <w:r w:rsidRPr="00044DC4">
        <w:rPr>
          <w:rFonts w:ascii="SimHei" w:eastAsia="SimHei" w:hint="eastAsia"/>
        </w:rPr>
        <w:t>暴力侵害妇女问题</w:t>
      </w:r>
    </w:p>
    <w:p w:rsidR="00044DC4" w:rsidRDefault="00044DC4" w:rsidP="00044DC4">
      <w:pPr>
        <w:pStyle w:val="SingleTxt"/>
        <w:rPr>
          <w:rFonts w:hint="eastAsia"/>
        </w:rPr>
      </w:pPr>
      <w:r>
        <w:rPr>
          <w:rFonts w:hint="eastAsia"/>
        </w:rPr>
        <w:t>24.</w:t>
      </w:r>
      <w:r>
        <w:rPr>
          <w:rFonts w:hint="eastAsia"/>
        </w:rPr>
        <w:tab/>
        <w:t>委员会铭记着年轻妇女和残疾妇女特别容易受到不同形式暴力伤害，并关切地注意到，在缔约国，暴力侵害妇女包括性暴力和家庭暴力的发生率很高。委员会注意到缔约国已经做出努力，打击暴力侵害妇女行为，以及收集暴力侵害妇女的分类资料，但它关切的是，没有统一的制度和程序来记录检察长办公室收到的关于暴力侵害妇女行为的报告。委员会欣见目前对《刑法》做出修订，将“杀害女性亲密伴侣”定为刑事罪，然而，委员会仍然关切的是，其他严重的暴力侵害妇女行为尚未明确列为刑事罪。委员会还关切的是：暴力侵害妇女的施暴者很少受到起诉和定罪；受害人极易受到伤害；没有对性别敏感的程序和规定，用于帮助受到暴力侵害的妇女和女童。</w:t>
      </w:r>
    </w:p>
    <w:p w:rsidR="00044DC4" w:rsidRPr="00044DC4" w:rsidRDefault="00044DC4" w:rsidP="00044DC4">
      <w:pPr>
        <w:pStyle w:val="SingleTxt"/>
        <w:rPr>
          <w:rFonts w:ascii="SimHei" w:eastAsia="SimHei" w:hint="eastAsia"/>
        </w:rPr>
      </w:pPr>
      <w:r w:rsidRPr="00044DC4">
        <w:rPr>
          <w:rFonts w:ascii="SimHei" w:eastAsia="SimHei" w:hint="eastAsia"/>
        </w:rPr>
        <w:t>25.</w:t>
      </w:r>
      <w:r w:rsidRPr="00044DC4">
        <w:rPr>
          <w:rFonts w:ascii="SimHei" w:eastAsia="SimHei" w:hint="eastAsia"/>
        </w:rPr>
        <w:tab/>
        <w:t>根据关于暴力侵害妇女问题的第19号一般性建议和委员会以往的结论性意见中所载的建议(</w:t>
      </w:r>
      <w:hyperlink r:id="rId18" w:history="1">
        <w:r w:rsidRPr="00B27E01">
          <w:rPr>
            <w:rStyle w:val="Hyperlink"/>
            <w:rFonts w:ascii="SimHei" w:eastAsia="SimHei" w:hint="eastAsia"/>
          </w:rPr>
          <w:t>A/59/38</w:t>
        </w:r>
      </w:hyperlink>
      <w:r w:rsidRPr="00044DC4">
        <w:rPr>
          <w:rFonts w:ascii="SimHei" w:eastAsia="SimHei" w:hint="eastAsia"/>
        </w:rPr>
        <w:t>，第二部分第295段)，委员会敦促缔约国：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作为优先事项制定国家行动计划，防止并打击暴力侵害妇女现象，并通过关于暴力侵害妇女问题的综合性法律，规定对受害人进行风险评估、提供预警机制和提高对各种形式暴力侵害妇女行为的认识，同时考虑到边缘妇女群体和残疾妇女在获得信息方面的特殊需要；</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加强司法系统，依法制裁暴力侵害妇女行为，并采取保护可能受害人的措施，包括对施害者下达限制令；</w:t>
      </w:r>
    </w:p>
    <w:p w:rsidR="00044DC4" w:rsidRPr="00044DC4" w:rsidRDefault="00044DC4" w:rsidP="00044DC4">
      <w:pPr>
        <w:pStyle w:val="SingleTxt"/>
        <w:rPr>
          <w:rFonts w:ascii="SimHei" w:eastAsia="SimHei" w:hint="eastAsia"/>
        </w:rPr>
      </w:pPr>
      <w:r w:rsidRPr="00044DC4">
        <w:rPr>
          <w:rFonts w:ascii="SimHei" w:eastAsia="SimHei" w:hint="eastAsia"/>
        </w:rPr>
        <w:tab/>
        <w:t>(c)</w:t>
      </w:r>
      <w:r w:rsidRPr="00044DC4">
        <w:rPr>
          <w:rFonts w:ascii="SimHei" w:eastAsia="SimHei" w:hint="eastAsia"/>
        </w:rPr>
        <w:tab/>
        <w:t>通过具体协议，规定对暴力侵害妇女案件的统一报告程序，并建立数据库，汇集并定期更新这类暴力案件的最新数据；</w:t>
      </w:r>
    </w:p>
    <w:p w:rsidR="00044DC4" w:rsidRPr="00044DC4" w:rsidRDefault="00044DC4" w:rsidP="00044DC4">
      <w:pPr>
        <w:pStyle w:val="SingleTxt"/>
        <w:rPr>
          <w:rFonts w:ascii="SimHei" w:eastAsia="SimHei" w:hint="eastAsia"/>
        </w:rPr>
      </w:pPr>
      <w:r>
        <w:rPr>
          <w:rFonts w:ascii="SimHei" w:eastAsia="SimHei" w:hint="eastAsia"/>
        </w:rPr>
        <w:tab/>
      </w:r>
      <w:r w:rsidRPr="00044DC4">
        <w:rPr>
          <w:rFonts w:ascii="SimHei" w:eastAsia="SimHei" w:hint="eastAsia"/>
        </w:rPr>
        <w:t>(d)</w:t>
      </w:r>
      <w:r w:rsidRPr="00044DC4">
        <w:rPr>
          <w:rFonts w:ascii="SimHei" w:eastAsia="SimHei" w:hint="eastAsia"/>
        </w:rPr>
        <w:tab/>
        <w:t>修订《刑法》，将所有暴力侵害妇女行为定为刑事罪；</w:t>
      </w:r>
    </w:p>
    <w:p w:rsidR="00044DC4" w:rsidRPr="00044DC4" w:rsidRDefault="00044DC4" w:rsidP="00044DC4">
      <w:pPr>
        <w:pStyle w:val="SingleTxt"/>
        <w:rPr>
          <w:rFonts w:ascii="SimHei" w:eastAsia="SimHei" w:hint="eastAsia"/>
        </w:rPr>
      </w:pPr>
      <w:r>
        <w:rPr>
          <w:rFonts w:ascii="SimHei" w:eastAsia="SimHei" w:hint="eastAsia"/>
        </w:rPr>
        <w:tab/>
      </w:r>
      <w:r w:rsidRPr="00044DC4">
        <w:rPr>
          <w:rFonts w:ascii="SimHei" w:eastAsia="SimHei" w:hint="eastAsia"/>
        </w:rPr>
        <w:t>(e)</w:t>
      </w:r>
      <w:r w:rsidRPr="00044DC4">
        <w:rPr>
          <w:rFonts w:ascii="SimHei" w:eastAsia="SimHei" w:hint="eastAsia"/>
        </w:rPr>
        <w:tab/>
        <w:t>确保暴力受害妇女和女童，包括残疾妇女，有适当途径获得医疗、心理社会和法律援助，并可获得受害人和证人保护计划帮助。</w:t>
      </w:r>
    </w:p>
    <w:p w:rsidR="00044DC4" w:rsidRDefault="00044DC4" w:rsidP="00044DC4">
      <w:pPr>
        <w:pStyle w:val="SingleTxt"/>
        <w:rPr>
          <w:rFonts w:hint="eastAsia"/>
        </w:rPr>
      </w:pPr>
      <w:r w:rsidRPr="00044DC4">
        <w:rPr>
          <w:rFonts w:ascii="SimHei" w:eastAsia="SimHei" w:hint="eastAsia"/>
        </w:rPr>
        <w:t>人口贩运和利用妇女卖淫</w:t>
      </w:r>
    </w:p>
    <w:p w:rsidR="00044DC4" w:rsidRDefault="00044DC4" w:rsidP="00044DC4">
      <w:pPr>
        <w:pStyle w:val="SingleTxt"/>
        <w:rPr>
          <w:rFonts w:hint="eastAsia"/>
        </w:rPr>
      </w:pPr>
      <w:r>
        <w:rPr>
          <w:rFonts w:hint="eastAsia"/>
        </w:rPr>
        <w:t>26.</w:t>
      </w:r>
      <w:r>
        <w:rPr>
          <w:rFonts w:hint="eastAsia"/>
        </w:rPr>
        <w:tab/>
        <w:t>委员会赞赏地注意到打击贩运和走私人口的法律框架已经制定，然而委员会关切的是：</w:t>
      </w:r>
    </w:p>
    <w:p w:rsidR="00044DC4" w:rsidRDefault="00044DC4" w:rsidP="00044DC4">
      <w:pPr>
        <w:pStyle w:val="SingleTxt"/>
        <w:rPr>
          <w:rFonts w:hint="eastAsia"/>
        </w:rPr>
      </w:pPr>
      <w:r>
        <w:rPr>
          <w:rFonts w:hint="eastAsia"/>
        </w:rPr>
        <w:tab/>
        <w:t>(a)</w:t>
      </w:r>
      <w:r>
        <w:rPr>
          <w:rFonts w:hint="eastAsia"/>
        </w:rPr>
        <w:tab/>
        <w:t>贩运的人口，特别是贩运的妇女和女童在缔约国入境、出境和过境以及妇女和女童受性剥削的情况；</w:t>
      </w:r>
    </w:p>
    <w:p w:rsidR="00044DC4" w:rsidRDefault="00044DC4" w:rsidP="00044DC4">
      <w:pPr>
        <w:pStyle w:val="SingleTxt"/>
        <w:rPr>
          <w:rFonts w:hint="eastAsia"/>
        </w:rPr>
      </w:pPr>
      <w:r>
        <w:rPr>
          <w:rFonts w:hint="eastAsia"/>
        </w:rPr>
        <w:tab/>
        <w:t>(b)</w:t>
      </w:r>
      <w:r>
        <w:rPr>
          <w:rFonts w:hint="eastAsia"/>
        </w:rPr>
        <w:tab/>
        <w:t>源自海地的妇女成为人口贩运受害人的风险很高</w:t>
      </w:r>
      <w:r w:rsidR="004A5211">
        <w:rPr>
          <w:rFonts w:hint="eastAsia"/>
        </w:rPr>
        <w:t>；</w:t>
      </w:r>
    </w:p>
    <w:p w:rsidR="00044DC4" w:rsidRDefault="00044DC4" w:rsidP="00044DC4">
      <w:pPr>
        <w:pStyle w:val="SingleTxt"/>
        <w:rPr>
          <w:rFonts w:hint="eastAsia"/>
        </w:rPr>
      </w:pPr>
      <w:r>
        <w:rPr>
          <w:rFonts w:hint="eastAsia"/>
        </w:rPr>
        <w:tab/>
        <w:t>(c)</w:t>
      </w:r>
      <w:r>
        <w:rPr>
          <w:rFonts w:hint="eastAsia"/>
        </w:rPr>
        <w:tab/>
        <w:t>缔约国尽管已努力提高对人口贩运和走私活动的认识，但没有采取阻止贩运人口的有效措施，如在离境前为移民妇女提供有关被贩运风险的咨询、调查并起诉与人口贩运和走私者勾结的执法官员以及加强识别和保护贩运活动受害人的转介机制；</w:t>
      </w:r>
    </w:p>
    <w:p w:rsidR="00044DC4" w:rsidRDefault="00044DC4" w:rsidP="00044DC4">
      <w:pPr>
        <w:pStyle w:val="SingleTxt"/>
        <w:rPr>
          <w:rFonts w:hint="eastAsia"/>
        </w:rPr>
      </w:pPr>
      <w:r>
        <w:rPr>
          <w:rFonts w:hint="eastAsia"/>
        </w:rPr>
        <w:tab/>
        <w:t>(d)</w:t>
      </w:r>
      <w:r>
        <w:rPr>
          <w:rFonts w:hint="eastAsia"/>
        </w:rPr>
        <w:tab/>
        <w:t>缺少贩运妇女和女童的官方数据；</w:t>
      </w:r>
    </w:p>
    <w:p w:rsidR="00044DC4" w:rsidRDefault="00044DC4" w:rsidP="00044DC4">
      <w:pPr>
        <w:pStyle w:val="SingleTxt"/>
        <w:rPr>
          <w:rFonts w:hint="eastAsia"/>
        </w:rPr>
      </w:pPr>
      <w:r>
        <w:rPr>
          <w:rFonts w:hint="eastAsia"/>
        </w:rPr>
        <w:tab/>
        <w:t>(e)</w:t>
      </w:r>
      <w:r>
        <w:rPr>
          <w:rFonts w:hint="eastAsia"/>
        </w:rPr>
        <w:tab/>
        <w:t>尽管在检察长办公室设立了起诉贩运、走私、商业和性剥削及童工问题特别单位，受到起诉并被定罪的行为人很少；</w:t>
      </w:r>
    </w:p>
    <w:p w:rsidR="00044DC4" w:rsidRDefault="00044DC4" w:rsidP="00044DC4">
      <w:pPr>
        <w:pStyle w:val="SingleTxt"/>
        <w:rPr>
          <w:rFonts w:hint="eastAsia"/>
        </w:rPr>
      </w:pPr>
      <w:r>
        <w:rPr>
          <w:rFonts w:hint="eastAsia"/>
        </w:rPr>
        <w:tab/>
        <w:t>(f)</w:t>
      </w:r>
      <w:r>
        <w:rPr>
          <w:rFonts w:hint="eastAsia"/>
        </w:rPr>
        <w:tab/>
        <w:t>青少年卖淫在缔约国的普遍性。</w:t>
      </w:r>
    </w:p>
    <w:p w:rsidR="00044DC4" w:rsidRPr="00044DC4" w:rsidRDefault="00044DC4" w:rsidP="00044DC4">
      <w:pPr>
        <w:pStyle w:val="SingleTxt"/>
        <w:rPr>
          <w:rFonts w:ascii="SimHei" w:eastAsia="SimHei" w:hint="eastAsia"/>
        </w:rPr>
      </w:pPr>
      <w:r w:rsidRPr="00044DC4">
        <w:rPr>
          <w:rFonts w:ascii="SimHei" w:eastAsia="SimHei" w:hint="eastAsia"/>
        </w:rPr>
        <w:t>27.</w:t>
      </w:r>
      <w:r w:rsidRPr="00044DC4">
        <w:rPr>
          <w:rFonts w:ascii="SimHei" w:eastAsia="SimHei" w:hint="eastAsia"/>
        </w:rPr>
        <w:tab/>
        <w:t>委员会呼吁缔约国：</w:t>
      </w:r>
    </w:p>
    <w:p w:rsidR="00044DC4" w:rsidRPr="00044DC4" w:rsidRDefault="00044DC4" w:rsidP="00044DC4">
      <w:pPr>
        <w:pStyle w:val="SingleTxt"/>
        <w:rPr>
          <w:rFonts w:ascii="SimHei" w:eastAsia="SimHei" w:hint="eastAsia"/>
        </w:rPr>
      </w:pPr>
      <w:r w:rsidRPr="00044DC4">
        <w:rPr>
          <w:rFonts w:ascii="SimHei" w:eastAsia="SimHei" w:hint="eastAsia"/>
        </w:rPr>
        <w:tab/>
        <w:t>(a)</w:t>
      </w:r>
      <w:r w:rsidRPr="00044DC4">
        <w:rPr>
          <w:rFonts w:ascii="SimHei" w:eastAsia="SimHei" w:hint="eastAsia"/>
        </w:rPr>
        <w:tab/>
        <w:t>加大力度与非政府组织和国际机构合作，为贩运和性剥削行为受害妇女提供保护、补救和赔偿；</w:t>
      </w:r>
    </w:p>
    <w:p w:rsidR="00044DC4" w:rsidRPr="00044DC4" w:rsidRDefault="00044DC4" w:rsidP="00044DC4">
      <w:pPr>
        <w:pStyle w:val="SingleTxt"/>
        <w:rPr>
          <w:rFonts w:ascii="SimHei" w:eastAsia="SimHei" w:hint="eastAsia"/>
        </w:rPr>
      </w:pPr>
      <w:r w:rsidRPr="00044DC4">
        <w:rPr>
          <w:rFonts w:ascii="SimHei" w:eastAsia="SimHei" w:hint="eastAsia"/>
        </w:rPr>
        <w:tab/>
        <w:t>(b)</w:t>
      </w:r>
      <w:r w:rsidRPr="00044DC4">
        <w:rPr>
          <w:rFonts w:ascii="SimHei" w:eastAsia="SimHei" w:hint="eastAsia"/>
        </w:rPr>
        <w:tab/>
        <w:t>在打击人口贩运的战略中，纳入为妇女包括源自海地的妇女提供法律咨询以及加强对参与人口贩运案件的执法官员进行监督和制裁的措施；</w:t>
      </w:r>
    </w:p>
    <w:p w:rsidR="00044DC4" w:rsidRPr="00044DC4" w:rsidRDefault="00044DC4" w:rsidP="00044DC4">
      <w:pPr>
        <w:pStyle w:val="SingleTxt"/>
        <w:rPr>
          <w:rFonts w:ascii="SimHei" w:eastAsia="SimHei" w:hint="eastAsia"/>
        </w:rPr>
      </w:pPr>
      <w:r w:rsidRPr="00044DC4">
        <w:rPr>
          <w:rFonts w:ascii="SimHei" w:eastAsia="SimHei" w:hint="eastAsia"/>
        </w:rPr>
        <w:tab/>
        <w:t>(c)</w:t>
      </w:r>
      <w:r w:rsidRPr="00044DC4">
        <w:rPr>
          <w:rFonts w:ascii="SimHei" w:eastAsia="SimHei" w:hint="eastAsia"/>
        </w:rPr>
        <w:tab/>
        <w:t>制定一套综合系统，收集按性别分列的有关贩运和走私人口的数据；</w:t>
      </w:r>
    </w:p>
    <w:p w:rsidR="00044DC4" w:rsidRPr="00044DC4" w:rsidRDefault="00044DC4" w:rsidP="00044DC4">
      <w:pPr>
        <w:pStyle w:val="SingleTxt"/>
        <w:rPr>
          <w:rFonts w:ascii="SimHei" w:eastAsia="SimHei" w:hint="eastAsia"/>
        </w:rPr>
      </w:pPr>
      <w:r w:rsidRPr="00044DC4">
        <w:rPr>
          <w:rFonts w:ascii="SimHei" w:eastAsia="SimHei" w:hint="eastAsia"/>
        </w:rPr>
        <w:tab/>
        <w:t>(d)</w:t>
      </w:r>
      <w:r w:rsidRPr="00044DC4">
        <w:rPr>
          <w:rFonts w:ascii="SimHei" w:eastAsia="SimHei" w:hint="eastAsia"/>
        </w:rPr>
        <w:tab/>
        <w:t>为法官、检察官和其他执法官员提供有关调查和审判人口贩运和走私案件的系统培训，以确保贩运和走私人口者受到起诉和适当惩罚，并增加收容被贩运妇女的场所</w:t>
      </w:r>
      <w:r w:rsidR="00B27E01" w:rsidRPr="00044DC4">
        <w:rPr>
          <w:rFonts w:ascii="SimHei" w:eastAsia="SimHei" w:hint="eastAsia"/>
        </w:rPr>
        <w:t>；</w:t>
      </w:r>
    </w:p>
    <w:p w:rsidR="00044DC4" w:rsidRPr="00044DC4" w:rsidRDefault="00044DC4" w:rsidP="00044DC4">
      <w:pPr>
        <w:pStyle w:val="SingleTxt"/>
        <w:rPr>
          <w:rFonts w:ascii="SimHei" w:eastAsia="SimHei" w:hint="eastAsia"/>
        </w:rPr>
      </w:pPr>
      <w:r w:rsidRPr="00044DC4">
        <w:rPr>
          <w:rFonts w:ascii="SimHei" w:eastAsia="SimHei" w:hint="eastAsia"/>
        </w:rPr>
        <w:tab/>
        <w:t>(e)</w:t>
      </w:r>
      <w:r w:rsidRPr="00044DC4">
        <w:rPr>
          <w:rFonts w:ascii="SimHei" w:eastAsia="SimHei" w:hint="eastAsia"/>
        </w:rPr>
        <w:tab/>
        <w:t>与原籍国和目的地国制定双边和多边合作协定；</w:t>
      </w:r>
    </w:p>
    <w:p w:rsidR="00044DC4" w:rsidRPr="00044DC4" w:rsidRDefault="00044DC4" w:rsidP="00044DC4">
      <w:pPr>
        <w:pStyle w:val="SingleTxt"/>
        <w:rPr>
          <w:rFonts w:ascii="SimHei" w:eastAsia="SimHei" w:hint="eastAsia"/>
        </w:rPr>
      </w:pPr>
      <w:r w:rsidRPr="00044DC4">
        <w:rPr>
          <w:rFonts w:ascii="SimHei" w:eastAsia="SimHei" w:hint="eastAsia"/>
        </w:rPr>
        <w:tab/>
        <w:t>(f)</w:t>
      </w:r>
      <w:r w:rsidRPr="00044DC4">
        <w:rPr>
          <w:rFonts w:ascii="SimHei" w:eastAsia="SimHei" w:hint="eastAsia"/>
        </w:rPr>
        <w:tab/>
        <w:t>解决妇女和女童卖淫的根源问题，以免其遭到性剥削，并确保其得以康复和重返社会。</w:t>
      </w:r>
    </w:p>
    <w:p w:rsidR="00044DC4" w:rsidRDefault="00044DC4" w:rsidP="00044DC4">
      <w:pPr>
        <w:pStyle w:val="SingleTxt"/>
        <w:rPr>
          <w:rFonts w:ascii="SimHei" w:eastAsia="SimHei" w:hint="eastAsia"/>
        </w:rPr>
      </w:pPr>
    </w:p>
    <w:p w:rsidR="00044DC4" w:rsidRPr="00044DC4" w:rsidRDefault="00044DC4" w:rsidP="00044DC4">
      <w:pPr>
        <w:pStyle w:val="SingleTxt"/>
        <w:rPr>
          <w:rFonts w:ascii="SimHei" w:eastAsia="SimHei" w:hint="eastAsia"/>
        </w:rPr>
      </w:pPr>
      <w:r w:rsidRPr="00044DC4">
        <w:rPr>
          <w:rFonts w:ascii="SimHei" w:eastAsia="SimHei" w:hint="eastAsia"/>
        </w:rPr>
        <w:t>参与政治生活和公共生活</w:t>
      </w:r>
    </w:p>
    <w:p w:rsidR="00044DC4" w:rsidRDefault="00044DC4" w:rsidP="00044DC4">
      <w:pPr>
        <w:pStyle w:val="SingleTxt"/>
        <w:rPr>
          <w:rFonts w:hint="eastAsia"/>
        </w:rPr>
      </w:pPr>
      <w:r>
        <w:rPr>
          <w:rFonts w:hint="eastAsia"/>
        </w:rPr>
        <w:t>28.</w:t>
      </w:r>
      <w:r>
        <w:rPr>
          <w:rFonts w:hint="eastAsia"/>
        </w:rPr>
        <w:tab/>
        <w:t>委员会注意到，缔约国已经采取一些加强妇女参与政治生活和公共生活的法律措施，包括关于政党的法案和对选举法的修正案，以实现公职选举平等，但委员会仍关切是，妇女在国家级和市级立法机构、在内阁和文职机构决策职位以及在政党和国际事务上的代表人数不足。委员会还关切的是，各政党和执行机构没有遵守规定的配额，妇女的参与仍有重重障碍，如盛行的大男子主义，妇女缺少资源、技术帮助和专门知识，无法在与男人平等的基础上参加竞选。</w:t>
      </w:r>
    </w:p>
    <w:p w:rsidR="00044DC4" w:rsidRPr="00485A25" w:rsidRDefault="00044DC4" w:rsidP="00044DC4">
      <w:pPr>
        <w:pStyle w:val="SingleTxt"/>
        <w:rPr>
          <w:rFonts w:ascii="SimHei" w:eastAsia="SimHei" w:hint="eastAsia"/>
        </w:rPr>
      </w:pPr>
      <w:r w:rsidRPr="00485A25">
        <w:rPr>
          <w:rFonts w:ascii="SimHei" w:eastAsia="SimHei" w:hint="eastAsia"/>
        </w:rPr>
        <w:t>29.</w:t>
      </w:r>
      <w:r w:rsidR="00485A25" w:rsidRPr="00485A25">
        <w:rPr>
          <w:rFonts w:ascii="SimHei" w:eastAsia="SimHei" w:hint="eastAsia"/>
        </w:rPr>
        <w:tab/>
      </w:r>
      <w:r w:rsidRPr="00485A25">
        <w:rPr>
          <w:rFonts w:ascii="SimHei" w:eastAsia="SimHei" w:hint="eastAsia"/>
        </w:rPr>
        <w:t>委员会建议缔约国：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继续加强法律框架和公共政策以有效实施配额制，包括在人员由选举和</w:t>
      </w:r>
      <w:r w:rsidR="00044DC4" w:rsidRPr="002149FE">
        <w:rPr>
          <w:rFonts w:ascii="SimHei" w:eastAsia="SimHei" w:hint="eastAsia"/>
          <w:spacing w:val="-4"/>
        </w:rPr>
        <w:t>任命产生的机构中，以及包括在这些机构担任决策职能的职位中实现男女人数均等；</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为国家级和市级妇女候选人分配预算资源和提供技术咨询；</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t>采取措施，监督各政党适用配额的情况，对不遵守的情况给予适当处罚。</w:t>
      </w:r>
    </w:p>
    <w:p w:rsidR="00044DC4" w:rsidRPr="00485A25" w:rsidRDefault="00044DC4" w:rsidP="00044DC4">
      <w:pPr>
        <w:pStyle w:val="SingleTxt"/>
        <w:rPr>
          <w:rFonts w:ascii="SimHei" w:eastAsia="SimHei" w:hint="eastAsia"/>
        </w:rPr>
      </w:pPr>
      <w:r w:rsidRPr="00485A25">
        <w:rPr>
          <w:rFonts w:ascii="SimHei" w:eastAsia="SimHei" w:hint="eastAsia"/>
        </w:rPr>
        <w:t>国籍</w:t>
      </w:r>
    </w:p>
    <w:p w:rsidR="00044DC4" w:rsidRDefault="00044DC4" w:rsidP="00044DC4">
      <w:pPr>
        <w:pStyle w:val="SingleTxt"/>
        <w:rPr>
          <w:rFonts w:hint="eastAsia"/>
        </w:rPr>
      </w:pPr>
      <w:r>
        <w:rPr>
          <w:rFonts w:hint="eastAsia"/>
        </w:rPr>
        <w:t>30.</w:t>
      </w:r>
      <w:r w:rsidR="00485A25">
        <w:rPr>
          <w:rFonts w:hint="eastAsia"/>
        </w:rPr>
        <w:tab/>
      </w:r>
      <w:r>
        <w:rPr>
          <w:rFonts w:hint="eastAsia"/>
        </w:rPr>
        <w:t>委员会深为关切的是，源自海地的妇女及其子女在获得承认和获得多米尼加国籍方面面临很大困难，使其可能长期处于无国籍或居留身份不明状态。委员会特别注意到，根据《宪法》(第18条)和关于移民的第285-04号法关于国籍的定义，以及中央选举委员会第17号通知和/或第12号决议规定的做法，不能证明多米尼加国籍的源自海地的妇女及其子女将被排除在外。委员会关切的是，与“过境”外国人有关的出生地原则的例外情况，被过于广泛和有系统地适用于甚至是已在多米尼加共和国生活多年和一生都在该国生活的妇女，并被适用于无合法身份证明的移民妇女，致使其子女无法在出生时获得多米尼加国籍。委员会深为关切的是，中央选举委员会实施的法律拒绝给予源自海地的妇女及其出生在多米尼加共和国的子女公民身份。它还关切的是，妇女很难为其子女取得出生证，而这是行使许多权利所必需的。委员会注意到缔约国所设想的公民地位正常化计划。</w:t>
      </w:r>
    </w:p>
    <w:p w:rsidR="00044DC4" w:rsidRPr="00485A25" w:rsidRDefault="00044DC4" w:rsidP="00044DC4">
      <w:pPr>
        <w:pStyle w:val="SingleTxt"/>
        <w:rPr>
          <w:rFonts w:ascii="SimHei" w:eastAsia="SimHei" w:hint="eastAsia"/>
        </w:rPr>
      </w:pPr>
      <w:r>
        <w:rPr>
          <w:rFonts w:hint="eastAsia"/>
        </w:rPr>
        <w:t>31.</w:t>
      </w:r>
      <w:r w:rsidR="00485A25">
        <w:rPr>
          <w:rFonts w:hint="eastAsia"/>
        </w:rPr>
        <w:tab/>
      </w:r>
      <w:r w:rsidRPr="00485A25">
        <w:rPr>
          <w:rFonts w:ascii="SimHei" w:eastAsia="SimHei" w:hint="eastAsia"/>
        </w:rPr>
        <w:t>委员会建议缔约国：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审查关于源自海地的妇女及其子女的国籍的法律规定及其实施情况；</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消除所有妨碍源自海地的妇女和无明确身份的妇女为其子女取得出生证明的障碍，确保他们能够获得所有权利；</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t>考虑到源自海地的妇女及其子女在缔约国的生活时间，采取灵活程序使其身份正常化；</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(d)</w:t>
      </w:r>
      <w:r w:rsidR="00044DC4" w:rsidRPr="00485A25">
        <w:rPr>
          <w:rFonts w:ascii="SimHei" w:eastAsia="SimHei" w:hint="eastAsia"/>
        </w:rPr>
        <w:tab/>
        <w:t xml:space="preserve">确保中央选举委员会保证所有国籍和移民身份的审查程序均依循正当法律程序。 </w:t>
      </w:r>
    </w:p>
    <w:p w:rsidR="00044DC4" w:rsidRPr="00485A25" w:rsidRDefault="00044DC4" w:rsidP="00044DC4">
      <w:pPr>
        <w:pStyle w:val="SingleTxt"/>
        <w:rPr>
          <w:rFonts w:ascii="SimHei" w:eastAsia="SimHei" w:hint="eastAsia"/>
        </w:rPr>
      </w:pPr>
      <w:r w:rsidRPr="00485A25">
        <w:rPr>
          <w:rFonts w:ascii="SimHei" w:eastAsia="SimHei" w:hint="eastAsia"/>
        </w:rPr>
        <w:t>教育</w:t>
      </w:r>
    </w:p>
    <w:p w:rsidR="00044DC4" w:rsidRDefault="00044DC4" w:rsidP="00044DC4">
      <w:pPr>
        <w:pStyle w:val="SingleTxt"/>
        <w:rPr>
          <w:rFonts w:hint="eastAsia"/>
        </w:rPr>
      </w:pPr>
      <w:r>
        <w:rPr>
          <w:rFonts w:hint="eastAsia"/>
        </w:rPr>
        <w:t>32.</w:t>
      </w:r>
      <w:r w:rsidR="00485A25">
        <w:rPr>
          <w:rFonts w:hint="eastAsia"/>
        </w:rPr>
        <w:tab/>
      </w:r>
      <w:r>
        <w:rPr>
          <w:rFonts w:hint="eastAsia"/>
        </w:rPr>
        <w:t>委员会赞赏地注意到妇女进入各级教育的渠道增加，虽然认识到在教育领域依然存在歧视和性别歧视做法。委员会注意到在小学教科书中，歧视妇女和女童的传统定型形象依然存在，尽管已经作出努力重新审查教科书，使之符合不歧视原则。委员会对缺少以下方面按性别分列的数据和资料表示遗憾：女童所学的课程；难民妇女、源自海地的妇女及其子女以及残疾妇女和女童接受教育的情况。委员会注意到缺少与女童辍学率和在校青少年女生怀孕等问题有关的研究和分</w:t>
      </w:r>
      <w:r w:rsidRPr="002149FE">
        <w:rPr>
          <w:rFonts w:hint="eastAsia"/>
          <w:spacing w:val="2"/>
        </w:rPr>
        <w:t>类统计数据以及关于预防女童过早辍学的措施。委员会还关切的是，没有采取措施为残疾女童和妇女提供包容性教育，以及在妇女的职业选择上依然存在性别偏见。</w:t>
      </w:r>
    </w:p>
    <w:p w:rsidR="00044DC4" w:rsidRPr="00485A25" w:rsidRDefault="00044DC4" w:rsidP="00044DC4">
      <w:pPr>
        <w:pStyle w:val="SingleTxt"/>
        <w:rPr>
          <w:rFonts w:ascii="SimHei" w:eastAsia="SimHei" w:hint="eastAsia"/>
        </w:rPr>
      </w:pPr>
      <w:r>
        <w:rPr>
          <w:rFonts w:hint="eastAsia"/>
        </w:rPr>
        <w:t>33.</w:t>
      </w:r>
      <w:r w:rsidR="00485A25">
        <w:rPr>
          <w:rFonts w:hint="eastAsia"/>
        </w:rPr>
        <w:tab/>
      </w:r>
      <w:r w:rsidRPr="00485A25">
        <w:rPr>
          <w:rFonts w:ascii="SimHei" w:eastAsia="SimHei" w:hint="eastAsia"/>
        </w:rPr>
        <w:t>委员会建议缔约国：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继续努力，改变在教育中滋生性别歧视的文化模式；</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在教育领域开展研究，建立一套收集分类资料的系统，收集有关源自海地的妇女、难民妇女和残疾妇女和女童教育状况的资料；</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t>在学术机构层面采取措施，收集有关少女因怀孕而辍学的资料，并采取措施保护女童不因其国籍受到歧视；</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(d)</w:t>
      </w:r>
      <w:r w:rsidR="00044DC4" w:rsidRPr="00485A25">
        <w:rPr>
          <w:rFonts w:ascii="SimHei" w:eastAsia="SimHei" w:hint="eastAsia"/>
        </w:rPr>
        <w:tab/>
        <w:t>在学校课程纳入以青春期男女孩为对象的性和生殖权利教育，包括性别关系和负责任性行为等问题的教育，以防范早孕；</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(e)</w:t>
      </w:r>
      <w:r w:rsidR="00044DC4" w:rsidRPr="00485A25">
        <w:rPr>
          <w:rFonts w:ascii="SimHei" w:eastAsia="SimHei" w:hint="eastAsia"/>
        </w:rPr>
        <w:tab/>
        <w:t>采取临时特别措施，促进和便利妇女进入非传统领域的教育和职业。</w:t>
      </w:r>
    </w:p>
    <w:p w:rsidR="00044DC4" w:rsidRDefault="00044DC4" w:rsidP="00044DC4">
      <w:pPr>
        <w:pStyle w:val="SingleTxt"/>
        <w:rPr>
          <w:rFonts w:hint="eastAsia"/>
        </w:rPr>
      </w:pPr>
      <w:r w:rsidRPr="00485A25">
        <w:rPr>
          <w:rFonts w:ascii="SimHei" w:eastAsia="SimHei" w:hint="eastAsia"/>
        </w:rPr>
        <w:t>就业</w:t>
      </w:r>
    </w:p>
    <w:p w:rsidR="00044DC4" w:rsidRDefault="00044DC4" w:rsidP="00044DC4">
      <w:pPr>
        <w:pStyle w:val="SingleTxt"/>
        <w:rPr>
          <w:rFonts w:hint="eastAsia"/>
        </w:rPr>
      </w:pPr>
      <w:r>
        <w:rPr>
          <w:rFonts w:hint="eastAsia"/>
        </w:rPr>
        <w:t>34.</w:t>
      </w:r>
      <w:r w:rsidR="00485A25">
        <w:rPr>
          <w:rFonts w:hint="eastAsia"/>
        </w:rPr>
        <w:tab/>
      </w:r>
      <w:r>
        <w:rPr>
          <w:rFonts w:hint="eastAsia"/>
        </w:rPr>
        <w:t>委员会关切地注意到在就业方面对妇女的歧视，特别是：</w:t>
      </w:r>
    </w:p>
    <w:p w:rsidR="00044DC4" w:rsidRDefault="00485A25" w:rsidP="00044DC4">
      <w:pPr>
        <w:pStyle w:val="SingleTxt"/>
        <w:rPr>
          <w:rFonts w:hint="eastAsia"/>
        </w:rPr>
      </w:pPr>
      <w:r>
        <w:rPr>
          <w:rFonts w:hint="eastAsia"/>
        </w:rPr>
        <w:tab/>
      </w:r>
      <w:r w:rsidR="00044DC4">
        <w:rPr>
          <w:rFonts w:hint="eastAsia"/>
        </w:rPr>
        <w:t>(a)</w:t>
      </w:r>
      <w:r w:rsidR="00044DC4">
        <w:rPr>
          <w:rFonts w:hint="eastAsia"/>
        </w:rPr>
        <w:tab/>
        <w:t>尽管妇女接受教育的情况日益改善，但妇女失业率仍然很高，在工资上仍存在很大的性别差距；</w:t>
      </w:r>
    </w:p>
    <w:p w:rsidR="00044DC4" w:rsidRDefault="00485A25" w:rsidP="00044DC4">
      <w:pPr>
        <w:pStyle w:val="SingleTxt"/>
        <w:rPr>
          <w:rFonts w:hint="eastAsia"/>
        </w:rPr>
      </w:pPr>
      <w:r>
        <w:rPr>
          <w:rFonts w:hint="eastAsia"/>
        </w:rPr>
        <w:tab/>
      </w:r>
      <w:r w:rsidR="00044DC4">
        <w:rPr>
          <w:rFonts w:hint="eastAsia"/>
        </w:rPr>
        <w:t>(b)</w:t>
      </w:r>
      <w:r w:rsidR="00044DC4">
        <w:rPr>
          <w:rFonts w:hint="eastAsia"/>
        </w:rPr>
        <w:tab/>
        <w:t>在工作场所妇女受到性骚扰，而受害人得不到有效的补救；</w:t>
      </w:r>
    </w:p>
    <w:p w:rsidR="00044DC4" w:rsidRDefault="00485A25" w:rsidP="00044DC4">
      <w:pPr>
        <w:pStyle w:val="SingleTxt"/>
        <w:rPr>
          <w:rFonts w:hint="eastAsia"/>
        </w:rPr>
      </w:pPr>
      <w:r>
        <w:rPr>
          <w:rFonts w:hint="eastAsia"/>
        </w:rPr>
        <w:tab/>
      </w:r>
      <w:r w:rsidR="00044DC4">
        <w:rPr>
          <w:rFonts w:hint="eastAsia"/>
        </w:rPr>
        <w:t>(c)</w:t>
      </w:r>
      <w:r w:rsidR="00044DC4">
        <w:rPr>
          <w:rFonts w:hint="eastAsia"/>
        </w:rPr>
        <w:tab/>
        <w:t>对怀孕妇女和感染艾滋病毒/艾滋病的妇女的歧视做法，使她们无法找到工作；</w:t>
      </w:r>
    </w:p>
    <w:p w:rsidR="00044DC4" w:rsidRDefault="00485A25" w:rsidP="00044DC4">
      <w:pPr>
        <w:pStyle w:val="SingleTxt"/>
        <w:rPr>
          <w:rFonts w:hint="eastAsia"/>
        </w:rPr>
      </w:pPr>
      <w:r>
        <w:rPr>
          <w:rFonts w:hint="eastAsia"/>
        </w:rPr>
        <w:tab/>
      </w:r>
      <w:r w:rsidR="00044DC4">
        <w:rPr>
          <w:rFonts w:hint="eastAsia"/>
        </w:rPr>
        <w:t>(d)</w:t>
      </w:r>
      <w:r w:rsidR="00044DC4">
        <w:rPr>
          <w:rFonts w:hint="eastAsia"/>
        </w:rPr>
        <w:tab/>
        <w:t>家庭雇工在获得社会保障方面面临困难；</w:t>
      </w:r>
    </w:p>
    <w:p w:rsidR="00044DC4" w:rsidRDefault="00485A25" w:rsidP="00044DC4">
      <w:pPr>
        <w:pStyle w:val="SingleTxt"/>
        <w:rPr>
          <w:rFonts w:hint="eastAsia"/>
        </w:rPr>
      </w:pPr>
      <w:r>
        <w:rPr>
          <w:rFonts w:hint="eastAsia"/>
        </w:rPr>
        <w:tab/>
      </w:r>
      <w:r w:rsidR="00044DC4">
        <w:rPr>
          <w:rFonts w:hint="eastAsia"/>
        </w:rPr>
        <w:t>(e)</w:t>
      </w:r>
      <w:r w:rsidR="00044DC4">
        <w:rPr>
          <w:rFonts w:hint="eastAsia"/>
        </w:rPr>
        <w:tab/>
        <w:t>包括在提供儿童照料设施方面，妇女和男人缺乏机会使其能够兼顾家庭和工作；和</w:t>
      </w:r>
    </w:p>
    <w:p w:rsidR="00044DC4" w:rsidRDefault="00485A25" w:rsidP="00044DC4">
      <w:pPr>
        <w:pStyle w:val="SingleTxt"/>
        <w:rPr>
          <w:rFonts w:hint="eastAsia"/>
        </w:rPr>
      </w:pPr>
      <w:r>
        <w:rPr>
          <w:rFonts w:hint="eastAsia"/>
        </w:rPr>
        <w:tab/>
      </w:r>
      <w:r w:rsidR="00044DC4">
        <w:rPr>
          <w:rFonts w:hint="eastAsia"/>
        </w:rPr>
        <w:t>(f)</w:t>
      </w:r>
      <w:r w:rsidR="00044DC4">
        <w:rPr>
          <w:rFonts w:hint="eastAsia"/>
        </w:rPr>
        <w:tab/>
        <w:t>甘蔗种植园对源自海地的妇女的剥削，她们在那里有可能沦为当代形式的奴隶。</w:t>
      </w:r>
    </w:p>
    <w:p w:rsidR="00044DC4" w:rsidRPr="00485A25" w:rsidRDefault="00044DC4" w:rsidP="00044DC4">
      <w:pPr>
        <w:pStyle w:val="SingleTxt"/>
        <w:rPr>
          <w:rFonts w:ascii="SimHei" w:eastAsia="SimHei" w:hint="eastAsia"/>
        </w:rPr>
      </w:pPr>
      <w:r>
        <w:rPr>
          <w:rFonts w:hint="eastAsia"/>
        </w:rPr>
        <w:t>35.</w:t>
      </w:r>
      <w:r w:rsidR="00485A25">
        <w:rPr>
          <w:rFonts w:hint="eastAsia"/>
        </w:rPr>
        <w:tab/>
      </w:r>
      <w:r w:rsidRPr="00485A25">
        <w:rPr>
          <w:rFonts w:ascii="SimHei" w:eastAsia="SimHei" w:hint="eastAsia"/>
        </w:rPr>
        <w:t>委员会建议缔约国：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采取有时限目标和和指标的具体措施，在正规和非正规部门为妇女创造就业机会；</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采取措施，鼓励妇女进入非传统的职业领域，如妇女的技术专业；</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r>
      <w:r w:rsidR="00044DC4" w:rsidRPr="00485A25">
        <w:rPr>
          <w:rFonts w:ascii="SimHei" w:eastAsia="SimHei" w:hint="eastAsia"/>
          <w:spacing w:val="-4"/>
        </w:rPr>
        <w:t>为工作场所受到性骚扰的受害人提供有效的补救，包括通过必要的立法；</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(d)</w:t>
      </w:r>
      <w:r w:rsidR="00044DC4" w:rsidRPr="00485A25">
        <w:rPr>
          <w:rFonts w:ascii="SimHei" w:eastAsia="SimHei" w:hint="eastAsia"/>
        </w:rPr>
        <w:tab/>
        <w:t>禁止必须进行怀孕检查和爱滋病/病毒检查作为就业条件，并对这种做法提出起诉，并建立机制，监测感染爱滋病/病毒的妇女的工作条件；</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(e)</w:t>
      </w:r>
      <w:r w:rsidR="00044DC4" w:rsidRPr="00485A25">
        <w:rPr>
          <w:rFonts w:ascii="SimHei" w:eastAsia="SimHei" w:hint="eastAsia"/>
        </w:rPr>
        <w:tab/>
        <w:t>建立在工作场所受到歧视的怀孕妇女的投诉和补救机制；</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(f)</w:t>
      </w:r>
      <w:r w:rsidR="00044DC4" w:rsidRPr="00485A25">
        <w:rPr>
          <w:rFonts w:ascii="SimHei" w:eastAsia="SimHei" w:hint="eastAsia"/>
        </w:rPr>
        <w:tab/>
        <w:t>确保劳工法修正案中包括防止家庭佣工作受到虐待和监测家庭佣工作条件的措施；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(g)</w:t>
      </w:r>
      <w:r w:rsidR="00044DC4" w:rsidRPr="00485A25">
        <w:rPr>
          <w:rFonts w:ascii="SimHei" w:eastAsia="SimHei" w:hint="eastAsia"/>
        </w:rPr>
        <w:tab/>
        <w:t>扩大缔约国各地的儿童照料设施，为其拨出适当资源，并在公营和私营部门实行男女灵活工作时间制；</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(h)</w:t>
      </w:r>
      <w:r w:rsidR="00044DC4" w:rsidRPr="00485A25">
        <w:rPr>
          <w:rFonts w:ascii="SimHei" w:eastAsia="SimHei" w:hint="eastAsia"/>
        </w:rPr>
        <w:tab/>
        <w:t>提高男女家庭责任平等意识，鼓励男人同等参与儿童抚养和家务；</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(i)</w:t>
      </w:r>
      <w:r w:rsidR="00044DC4" w:rsidRPr="00485A25">
        <w:rPr>
          <w:rFonts w:ascii="SimHei" w:eastAsia="SimHei" w:hint="eastAsia"/>
        </w:rPr>
        <w:tab/>
        <w:t>监测农业部门的工作条件，特别是甘蔗种植园的工作条件，以防止强迫妇女在这个部门工作，并保护妇女权利。</w:t>
      </w:r>
    </w:p>
    <w:p w:rsidR="00044DC4" w:rsidRDefault="00044DC4" w:rsidP="00044DC4">
      <w:pPr>
        <w:pStyle w:val="SingleTxt"/>
        <w:rPr>
          <w:rFonts w:hint="eastAsia"/>
        </w:rPr>
      </w:pPr>
      <w:r w:rsidRPr="00485A25">
        <w:rPr>
          <w:rFonts w:ascii="SimHei" w:eastAsia="SimHei" w:hint="eastAsia"/>
        </w:rPr>
        <w:t>健康</w:t>
      </w:r>
    </w:p>
    <w:p w:rsidR="00044DC4" w:rsidRDefault="00044DC4" w:rsidP="00044DC4">
      <w:pPr>
        <w:pStyle w:val="SingleTxt"/>
        <w:rPr>
          <w:rFonts w:hint="eastAsia"/>
        </w:rPr>
      </w:pPr>
      <w:r>
        <w:rPr>
          <w:rFonts w:hint="eastAsia"/>
        </w:rPr>
        <w:t>36.</w:t>
      </w:r>
      <w:r w:rsidR="00485A25">
        <w:rPr>
          <w:rFonts w:hint="eastAsia"/>
        </w:rPr>
        <w:tab/>
      </w:r>
      <w:r>
        <w:rPr>
          <w:rFonts w:hint="eastAsia"/>
        </w:rPr>
        <w:t>委员会赞赏地注意到缔约国在卫生部门作出努力，通过2006-2015十年健康规划，然而委员会关切的是：</w:t>
      </w:r>
    </w:p>
    <w:p w:rsidR="00044DC4" w:rsidRDefault="00485A25" w:rsidP="00044DC4">
      <w:pPr>
        <w:pStyle w:val="SingleTxt"/>
        <w:rPr>
          <w:rFonts w:hint="eastAsia"/>
        </w:rPr>
      </w:pPr>
      <w:r>
        <w:rPr>
          <w:rFonts w:hint="eastAsia"/>
        </w:rPr>
        <w:tab/>
      </w:r>
      <w:r w:rsidR="00044DC4">
        <w:rPr>
          <w:rFonts w:hint="eastAsia"/>
        </w:rPr>
        <w:t>(a)</w:t>
      </w:r>
      <w:r w:rsidR="00044DC4">
        <w:rPr>
          <w:rFonts w:hint="eastAsia"/>
        </w:rPr>
        <w:tab/>
        <w:t>孕产妇死亡率高；</w:t>
      </w:r>
    </w:p>
    <w:p w:rsidR="00044DC4" w:rsidRDefault="00485A25" w:rsidP="00044DC4">
      <w:pPr>
        <w:pStyle w:val="SingleTxt"/>
        <w:rPr>
          <w:rFonts w:hint="eastAsia"/>
        </w:rPr>
      </w:pPr>
      <w:r>
        <w:rPr>
          <w:rFonts w:hint="eastAsia"/>
        </w:rPr>
        <w:tab/>
      </w:r>
      <w:r w:rsidR="00044DC4">
        <w:rPr>
          <w:rFonts w:hint="eastAsia"/>
        </w:rPr>
        <w:t>(b)</w:t>
      </w:r>
      <w:r w:rsidR="00044DC4">
        <w:rPr>
          <w:rFonts w:hint="eastAsia"/>
        </w:rPr>
        <w:tab/>
        <w:t>妨碍妇女获得避孕药具的经济问题，这类药具没有列入基本药物方案/后勤支助中心(PROMESECAL)的廉价药品清单；</w:t>
      </w:r>
    </w:p>
    <w:p w:rsidR="00044DC4" w:rsidRDefault="00485A25" w:rsidP="00044DC4">
      <w:pPr>
        <w:pStyle w:val="SingleTxt"/>
        <w:rPr>
          <w:rFonts w:hint="eastAsia"/>
        </w:rPr>
      </w:pPr>
      <w:r>
        <w:rPr>
          <w:rFonts w:hint="eastAsia"/>
        </w:rPr>
        <w:tab/>
      </w:r>
      <w:r w:rsidR="00044DC4">
        <w:rPr>
          <w:rFonts w:hint="eastAsia"/>
        </w:rPr>
        <w:t>(c)</w:t>
      </w:r>
      <w:r w:rsidR="00044DC4">
        <w:rPr>
          <w:rFonts w:hint="eastAsia"/>
        </w:rPr>
        <w:tab/>
        <w:t>采用自愿绝育作为避孕方法的人极多；</w:t>
      </w:r>
    </w:p>
    <w:p w:rsidR="00044DC4" w:rsidRDefault="00485A25" w:rsidP="00044DC4">
      <w:pPr>
        <w:pStyle w:val="SingleTxt"/>
        <w:rPr>
          <w:rFonts w:hint="eastAsia"/>
        </w:rPr>
      </w:pPr>
      <w:r>
        <w:rPr>
          <w:rFonts w:hint="eastAsia"/>
        </w:rPr>
        <w:tab/>
      </w:r>
      <w:r w:rsidR="00044DC4">
        <w:rPr>
          <w:rFonts w:hint="eastAsia"/>
        </w:rPr>
        <w:t>(d)</w:t>
      </w:r>
      <w:r w:rsidR="00044DC4">
        <w:rPr>
          <w:rFonts w:hint="eastAsia"/>
        </w:rPr>
        <w:tab/>
        <w:t xml:space="preserve">《刑法》修正案草案已不再将威胁到怀孕妇女生命情况下的人工流产视为刑事罪，但仍将其他情况下，如强奸、乱伦和胎儿严重畸形情况下的人工流产视为刑事罪； </w:t>
      </w:r>
    </w:p>
    <w:p w:rsidR="00044DC4" w:rsidRDefault="00485A25" w:rsidP="00044DC4">
      <w:pPr>
        <w:pStyle w:val="SingleTxt"/>
        <w:rPr>
          <w:rFonts w:hint="eastAsia"/>
        </w:rPr>
      </w:pPr>
      <w:r>
        <w:rPr>
          <w:rFonts w:hint="eastAsia"/>
        </w:rPr>
        <w:tab/>
      </w:r>
      <w:r w:rsidR="00044DC4">
        <w:rPr>
          <w:rFonts w:hint="eastAsia"/>
        </w:rPr>
        <w:t>(e)</w:t>
      </w:r>
      <w:r w:rsidR="00044DC4">
        <w:rPr>
          <w:rFonts w:hint="eastAsia"/>
        </w:rPr>
        <w:tab/>
        <w:t>缔约国感染爱滋病/病毒的妇女，包括年轻妇女数目很高；</w:t>
      </w:r>
    </w:p>
    <w:p w:rsidR="00044DC4" w:rsidRDefault="00485A25" w:rsidP="00044DC4">
      <w:pPr>
        <w:pStyle w:val="SingleTxt"/>
        <w:rPr>
          <w:rFonts w:hint="eastAsia"/>
        </w:rPr>
      </w:pPr>
      <w:r>
        <w:rPr>
          <w:rFonts w:hint="eastAsia"/>
        </w:rPr>
        <w:tab/>
      </w:r>
      <w:r w:rsidR="00044DC4">
        <w:rPr>
          <w:rFonts w:hint="eastAsia"/>
        </w:rPr>
        <w:t>(f)</w:t>
      </w:r>
      <w:r w:rsidR="00044DC4">
        <w:rPr>
          <w:rFonts w:hint="eastAsia"/>
        </w:rPr>
        <w:tab/>
        <w:t>卫生系统对源自海地的妇女的歧视，以及医务人员有责任将她们的移民身份向移民当局报告的做法；</w:t>
      </w:r>
    </w:p>
    <w:p w:rsidR="00044DC4" w:rsidRDefault="00485A25" w:rsidP="00044DC4">
      <w:pPr>
        <w:pStyle w:val="SingleTxt"/>
        <w:rPr>
          <w:rFonts w:hint="eastAsia"/>
        </w:rPr>
      </w:pPr>
      <w:r>
        <w:rPr>
          <w:rFonts w:hint="eastAsia"/>
        </w:rPr>
        <w:tab/>
      </w:r>
      <w:r w:rsidR="00044DC4">
        <w:rPr>
          <w:rFonts w:hint="eastAsia"/>
        </w:rPr>
        <w:t>(g)</w:t>
      </w:r>
      <w:r w:rsidR="00044DC4">
        <w:rPr>
          <w:rFonts w:hint="eastAsia"/>
        </w:rPr>
        <w:tab/>
        <w:t>委员会被告知的女同性恋者遭到歧视，这可能使她们无法得到性健康和生殖健康服务。</w:t>
      </w:r>
    </w:p>
    <w:p w:rsidR="00044DC4" w:rsidRPr="00485A25" w:rsidRDefault="00044DC4" w:rsidP="00044DC4">
      <w:pPr>
        <w:pStyle w:val="SingleTxt"/>
        <w:rPr>
          <w:rFonts w:ascii="SimHei" w:eastAsia="SimHei" w:hint="eastAsia"/>
        </w:rPr>
      </w:pPr>
      <w:r>
        <w:rPr>
          <w:rFonts w:hint="eastAsia"/>
        </w:rPr>
        <w:t>37.</w:t>
      </w:r>
      <w:r w:rsidR="00485A25">
        <w:rPr>
          <w:rFonts w:hint="eastAsia"/>
        </w:rPr>
        <w:tab/>
      </w:r>
      <w:r w:rsidRPr="00485A25">
        <w:rPr>
          <w:rFonts w:ascii="SimHei" w:eastAsia="SimHei" w:hint="eastAsia"/>
        </w:rPr>
        <w:t>委员会建议缔约国：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通过降低孕产妇死亡率的计划，将注意力特别放在年轻妇女；</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为所有妇女提供免费或廉价计划生育服务和避孕药具，以减少将自愿绝育作为避孕方法的做法；</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t xml:space="preserve">依照委员会第24号一般性建议，确保迅速通过关于在威胁到怀孕妇女生命情况下的人工流产不被视为刑事罪的《刑法》修正案草案，并将其扩大到其他情况，如强奸、乱伦和胎儿严重畸形的情况； </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(d)</w:t>
      </w:r>
      <w:r w:rsidR="00044DC4" w:rsidRPr="00485A25">
        <w:rPr>
          <w:rFonts w:ascii="SimHei" w:eastAsia="SimHei" w:hint="eastAsia"/>
        </w:rPr>
        <w:tab/>
        <w:t>采取预防妇女感染爱滋病/爱滋病毒的措施，特别是在国家和地方上开</w:t>
      </w:r>
      <w:r w:rsidR="00044DC4" w:rsidRPr="00837AC4">
        <w:rPr>
          <w:rFonts w:ascii="SimHei" w:eastAsia="SimHei" w:hint="eastAsia"/>
          <w:spacing w:val="-2"/>
        </w:rPr>
        <w:t>展公共宣传运动，包括促进有关男人在性健康和生殖健康方面的作用的宣传运动；</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(e)</w:t>
      </w:r>
      <w:r w:rsidR="00044DC4" w:rsidRPr="00485A25">
        <w:rPr>
          <w:rFonts w:ascii="SimHei" w:eastAsia="SimHei" w:hint="eastAsia"/>
        </w:rPr>
        <w:tab/>
        <w:t>确保移民妇女和女童切实能够获得医疗保健，不论其移民身份如何；和</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(f)</w:t>
      </w:r>
      <w:r w:rsidR="00044DC4" w:rsidRPr="00485A25">
        <w:rPr>
          <w:rFonts w:ascii="SimHei" w:eastAsia="SimHei" w:hint="eastAsia"/>
        </w:rPr>
        <w:tab/>
        <w:t>确保所有妇女，包括女同性恋者能够不受歧视地得到性健康和生殖健康服务，并不受到任何形式的污名化。</w:t>
      </w:r>
    </w:p>
    <w:p w:rsidR="00044DC4" w:rsidRDefault="00044DC4" w:rsidP="00044DC4">
      <w:pPr>
        <w:pStyle w:val="SingleTxt"/>
        <w:rPr>
          <w:rFonts w:hint="eastAsia"/>
        </w:rPr>
      </w:pPr>
      <w:r w:rsidRPr="00485A25">
        <w:rPr>
          <w:rFonts w:ascii="SimHei" w:eastAsia="SimHei" w:hint="eastAsia"/>
        </w:rPr>
        <w:t>农村妇女</w:t>
      </w:r>
    </w:p>
    <w:p w:rsidR="00044DC4" w:rsidRDefault="00044DC4" w:rsidP="00044DC4">
      <w:pPr>
        <w:pStyle w:val="SingleTxt"/>
        <w:rPr>
          <w:rFonts w:hint="eastAsia"/>
        </w:rPr>
      </w:pPr>
      <w:r>
        <w:rPr>
          <w:rFonts w:hint="eastAsia"/>
        </w:rPr>
        <w:t>38.</w:t>
      </w:r>
      <w:r w:rsidR="00485A25">
        <w:rPr>
          <w:rFonts w:hint="eastAsia"/>
        </w:rPr>
        <w:tab/>
      </w:r>
      <w:r>
        <w:rPr>
          <w:rFonts w:hint="eastAsia"/>
        </w:rPr>
        <w:t>委员会注意到缔约国在农村地区为妇女采取的措施，但关切的是，农村妇女获得土地所有权的途径有限。委员会还关切的是，在农业部门工作的农村妇女和女童遭受剥削，并且没有保护她们的法律框架。委员会关切地注意到，缔约国的减贫战略和鼓励创业的政策未能惠及大多数农村妇女。委员会对妨碍农村妇女获得教育和技术的各种障碍感到关切。</w:t>
      </w:r>
    </w:p>
    <w:p w:rsidR="00044DC4" w:rsidRPr="00485A25" w:rsidRDefault="00044DC4" w:rsidP="00044DC4">
      <w:pPr>
        <w:pStyle w:val="SingleTxt"/>
        <w:rPr>
          <w:rFonts w:ascii="SimHei" w:eastAsia="SimHei" w:hint="eastAsia"/>
        </w:rPr>
      </w:pPr>
      <w:r>
        <w:rPr>
          <w:rFonts w:hint="eastAsia"/>
        </w:rPr>
        <w:t>39.</w:t>
      </w:r>
      <w:r w:rsidR="00485A25">
        <w:rPr>
          <w:rFonts w:hint="eastAsia"/>
        </w:rPr>
        <w:tab/>
      </w:r>
      <w:r w:rsidRPr="00485A25">
        <w:rPr>
          <w:rFonts w:ascii="SimHei" w:eastAsia="SimHei" w:hint="eastAsia"/>
        </w:rPr>
        <w:t>委员会建议缔约国：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采取立法措施，促使农村妇女能够获得土地所有权，并确保其土地所有人的身份得到承认；</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确保减贫和创收战略包含与农村妇女有关的具体规定和目标；</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t>确保农村妇女和女童能够获得教育和享受技术进步及其应用的惠益。</w:t>
      </w:r>
    </w:p>
    <w:p w:rsidR="00044DC4" w:rsidRDefault="00044DC4" w:rsidP="00044DC4">
      <w:pPr>
        <w:pStyle w:val="SingleTxt"/>
        <w:rPr>
          <w:rFonts w:hint="eastAsia"/>
        </w:rPr>
      </w:pPr>
      <w:r w:rsidRPr="00485A25">
        <w:rPr>
          <w:rFonts w:ascii="SimHei" w:eastAsia="SimHei" w:hint="eastAsia"/>
        </w:rPr>
        <w:t>源自海地的妇女</w:t>
      </w:r>
    </w:p>
    <w:p w:rsidR="00044DC4" w:rsidRDefault="00044DC4" w:rsidP="00044DC4">
      <w:pPr>
        <w:pStyle w:val="SingleTxt"/>
        <w:rPr>
          <w:rFonts w:hint="eastAsia"/>
        </w:rPr>
      </w:pPr>
      <w:r>
        <w:rPr>
          <w:rFonts w:hint="eastAsia"/>
        </w:rPr>
        <w:t>40.</w:t>
      </w:r>
      <w:r w:rsidR="00485A25">
        <w:rPr>
          <w:rFonts w:hint="eastAsia"/>
        </w:rPr>
        <w:tab/>
      </w:r>
      <w:r>
        <w:rPr>
          <w:rFonts w:hint="eastAsia"/>
        </w:rPr>
        <w:t>委员会对缔约国境内源自海地的妇女受到多种形式的歧视深感关切，这些歧视限制其享有国籍、教育、就业和保健的权利。委员会遗憾的是，缔约国没有提供生活在该国境内的海地妇女境况的分类资料，也没有考虑采取适当措施保护其权利。</w:t>
      </w:r>
    </w:p>
    <w:p w:rsidR="00044DC4" w:rsidRPr="00485A25" w:rsidRDefault="00044DC4" w:rsidP="00044DC4">
      <w:pPr>
        <w:pStyle w:val="SingleTxt"/>
        <w:rPr>
          <w:rFonts w:ascii="SimHei" w:eastAsia="SimHei" w:hint="eastAsia"/>
        </w:rPr>
      </w:pPr>
      <w:r>
        <w:rPr>
          <w:rFonts w:hint="eastAsia"/>
        </w:rPr>
        <w:t>41.</w:t>
      </w:r>
      <w:r w:rsidR="00485A25">
        <w:rPr>
          <w:rFonts w:hint="eastAsia"/>
        </w:rPr>
        <w:tab/>
      </w:r>
      <w:r w:rsidRPr="00485A25">
        <w:rPr>
          <w:rFonts w:ascii="SimHei" w:eastAsia="SimHei" w:hint="eastAsia"/>
        </w:rPr>
        <w:t>委员会敦促缔约国：</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(a)</w:t>
      </w:r>
      <w:r w:rsidR="00044DC4" w:rsidRPr="00485A25">
        <w:rPr>
          <w:rFonts w:ascii="SimHei" w:eastAsia="SimHei" w:hint="eastAsia"/>
        </w:rPr>
        <w:tab/>
        <w:t>展开调研，确定缔约国境内源自海地的妇女享有人权的情况；</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(b)</w:t>
      </w:r>
      <w:r w:rsidR="00044DC4" w:rsidRPr="00485A25">
        <w:rPr>
          <w:rFonts w:ascii="SimHei" w:eastAsia="SimHei" w:hint="eastAsia"/>
        </w:rPr>
        <w:tab/>
        <w:t>就源自海地的妇女面临多种形式的歧视的情况，收集分类资料；</w:t>
      </w:r>
    </w:p>
    <w:p w:rsidR="00044DC4" w:rsidRPr="00485A25" w:rsidRDefault="00485A25" w:rsidP="00044DC4">
      <w:pPr>
        <w:pStyle w:val="SingleTxt"/>
        <w:rPr>
          <w:rFonts w:ascii="SimHei" w:eastAsia="SimHei" w:hint="eastAsia"/>
        </w:rPr>
      </w:pPr>
      <w:r w:rsidRPr="00485A25">
        <w:rPr>
          <w:rFonts w:ascii="SimHei" w:eastAsia="SimHei" w:hint="eastAsia"/>
        </w:rPr>
        <w:tab/>
      </w:r>
      <w:r w:rsidR="00044DC4" w:rsidRPr="00485A25">
        <w:rPr>
          <w:rFonts w:ascii="SimHei" w:eastAsia="SimHei" w:hint="eastAsia"/>
        </w:rPr>
        <w:t>(c)</w:t>
      </w:r>
      <w:r w:rsidR="00044DC4" w:rsidRPr="00485A25">
        <w:rPr>
          <w:rFonts w:ascii="SimHei" w:eastAsia="SimHei" w:hint="eastAsia"/>
        </w:rPr>
        <w:tab/>
        <w:t>在国际组织的协助下，确定良好做法，以期消除源自海地的妇女所面临的多种形式的歧视。</w:t>
      </w:r>
    </w:p>
    <w:p w:rsidR="00044DC4" w:rsidRDefault="00044DC4" w:rsidP="00044DC4">
      <w:pPr>
        <w:pStyle w:val="SingleTxt"/>
        <w:rPr>
          <w:rFonts w:hint="eastAsia"/>
        </w:rPr>
      </w:pPr>
      <w:r w:rsidRPr="00485A25">
        <w:rPr>
          <w:rFonts w:ascii="SimHei" w:eastAsia="SimHei" w:hint="eastAsia"/>
        </w:rPr>
        <w:t>婚姻和家庭关系</w:t>
      </w:r>
    </w:p>
    <w:p w:rsidR="00044DC4" w:rsidRDefault="00044DC4" w:rsidP="002149FE">
      <w:pPr>
        <w:pStyle w:val="SingleTxt"/>
        <w:spacing w:line="340" w:lineRule="exact"/>
        <w:rPr>
          <w:rFonts w:hint="eastAsia"/>
        </w:rPr>
      </w:pPr>
      <w:r>
        <w:rPr>
          <w:rFonts w:hint="eastAsia"/>
        </w:rPr>
        <w:t>42.</w:t>
      </w:r>
      <w:r>
        <w:rPr>
          <w:rFonts w:hint="eastAsia"/>
        </w:rPr>
        <w:tab/>
        <w:t>委员会注意到《民法》的修订加强了一些与解除婚姻有关的妇女权利，但关切的是，《民法》规定，离婚女性与离婚男性不同，前者在9个月内不得再婚。委员会还表示关切的是，《民法》规定，女孩最低法定结婚年龄仍是15岁，而男性是18岁。</w:t>
      </w:r>
    </w:p>
    <w:p w:rsidR="00044DC4" w:rsidRPr="00485A25" w:rsidRDefault="00044DC4" w:rsidP="002149FE">
      <w:pPr>
        <w:pStyle w:val="SingleTxt"/>
        <w:spacing w:line="340" w:lineRule="exact"/>
        <w:rPr>
          <w:rFonts w:ascii="SimHei" w:eastAsia="SimHei" w:hint="eastAsia"/>
        </w:rPr>
      </w:pPr>
      <w:r>
        <w:rPr>
          <w:rFonts w:hint="eastAsia"/>
        </w:rPr>
        <w:t>43.</w:t>
      </w:r>
      <w:r>
        <w:rPr>
          <w:rFonts w:hint="eastAsia"/>
        </w:rPr>
        <w:tab/>
      </w:r>
      <w:r w:rsidRPr="0076718A">
        <w:rPr>
          <w:rFonts w:ascii="SimHei" w:eastAsia="SimHei" w:hAnsi="SimSun" w:hint="eastAsia"/>
        </w:rPr>
        <w:t>委员会建议缔约国依照《公约》和关于婚姻关系、家庭关系及解除这些关系的经济后果的第29号一般性建议修改其《民法》，以消除目前男女再婚等待期方面的歧视。委员会还建议缔约国将女性结婚最低法定年龄提高至18岁，并采取有效措施防止早婚</w:t>
      </w:r>
      <w:r w:rsidRPr="00837AC4">
        <w:rPr>
          <w:rFonts w:hAnsi="SimSun" w:hint="eastAsia"/>
        </w:rPr>
        <w:t>。</w:t>
      </w:r>
    </w:p>
    <w:p w:rsidR="00044DC4" w:rsidRPr="00485A25" w:rsidRDefault="00044DC4" w:rsidP="00044DC4">
      <w:pPr>
        <w:pStyle w:val="SingleTxt"/>
        <w:rPr>
          <w:rFonts w:ascii="SimHei" w:eastAsia="SimHei" w:hint="eastAsia"/>
        </w:rPr>
      </w:pPr>
      <w:r w:rsidRPr="00485A25">
        <w:rPr>
          <w:rFonts w:ascii="SimHei" w:eastAsia="SimHei" w:hint="eastAsia"/>
        </w:rPr>
        <w:t>修正《公约》第20条(1)</w:t>
      </w:r>
    </w:p>
    <w:p w:rsidR="00044DC4" w:rsidRDefault="00044DC4" w:rsidP="00044DC4">
      <w:pPr>
        <w:pStyle w:val="SingleTxt"/>
        <w:rPr>
          <w:rFonts w:hint="eastAsia"/>
        </w:rPr>
      </w:pPr>
      <w:r>
        <w:rPr>
          <w:rFonts w:hint="eastAsia"/>
        </w:rPr>
        <w:t>44.</w:t>
      </w:r>
      <w:r>
        <w:rPr>
          <w:rFonts w:hint="eastAsia"/>
        </w:rPr>
        <w:tab/>
      </w:r>
      <w:r w:rsidRPr="0076718A">
        <w:rPr>
          <w:rFonts w:ascii="SimHei" w:eastAsia="SimHei" w:hAnsi="SimSun" w:hint="eastAsia"/>
        </w:rPr>
        <w:t>委员会鼓励缔约国接受关于委员会开会时间的《公约》第20条(1)修正案</w:t>
      </w:r>
      <w:r>
        <w:rPr>
          <w:rFonts w:hint="eastAsia"/>
        </w:rPr>
        <w:t>。</w:t>
      </w:r>
    </w:p>
    <w:p w:rsidR="00044DC4" w:rsidRPr="00837AC4" w:rsidRDefault="00044DC4" w:rsidP="00044DC4">
      <w:pPr>
        <w:pStyle w:val="SingleTxt"/>
        <w:rPr>
          <w:rFonts w:ascii="SimHei" w:eastAsia="SimHei" w:hint="eastAsia"/>
        </w:rPr>
      </w:pPr>
      <w:r w:rsidRPr="00837AC4">
        <w:rPr>
          <w:rFonts w:ascii="SimHei" w:eastAsia="SimHei" w:hint="eastAsia"/>
        </w:rPr>
        <w:t>《北京宣言》和《行动纲要》</w:t>
      </w:r>
    </w:p>
    <w:p w:rsidR="00044DC4" w:rsidRDefault="00044DC4" w:rsidP="00044DC4">
      <w:pPr>
        <w:pStyle w:val="SingleTxt"/>
        <w:rPr>
          <w:rFonts w:hint="eastAsia"/>
        </w:rPr>
      </w:pPr>
      <w:r>
        <w:rPr>
          <w:rFonts w:hint="eastAsia"/>
        </w:rPr>
        <w:t>45.</w:t>
      </w:r>
      <w:r>
        <w:rPr>
          <w:rFonts w:hint="eastAsia"/>
        </w:rPr>
        <w:tab/>
      </w:r>
      <w:r w:rsidRPr="0076718A">
        <w:rPr>
          <w:rFonts w:ascii="SimHei" w:eastAsia="SimHei" w:hint="eastAsia"/>
        </w:rPr>
        <w:t>委员会呼吁缔约国在实施《公约》的规定时使用《北京宣言》和《行动纲要》</w:t>
      </w:r>
      <w:r>
        <w:rPr>
          <w:rFonts w:hint="eastAsia"/>
        </w:rPr>
        <w:t>。</w:t>
      </w:r>
    </w:p>
    <w:p w:rsidR="00044DC4" w:rsidRDefault="00837AC4" w:rsidP="00837AC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044DC4">
        <w:rPr>
          <w:rFonts w:hint="eastAsia"/>
        </w:rPr>
        <w:t>千年发展目标和2015年后发展框架</w:t>
      </w:r>
    </w:p>
    <w:p w:rsidR="00837AC4" w:rsidRPr="00837AC4" w:rsidRDefault="00837AC4" w:rsidP="00837AC4">
      <w:pPr>
        <w:pStyle w:val="SingleTxt"/>
        <w:spacing w:after="0" w:line="120" w:lineRule="exact"/>
        <w:rPr>
          <w:rFonts w:hint="eastAsia"/>
          <w:sz w:val="10"/>
        </w:rPr>
      </w:pPr>
    </w:p>
    <w:p w:rsidR="00044DC4" w:rsidRDefault="00044DC4" w:rsidP="002149FE">
      <w:pPr>
        <w:pStyle w:val="SingleTxt"/>
        <w:spacing w:line="340" w:lineRule="exact"/>
        <w:rPr>
          <w:rFonts w:hint="eastAsia"/>
        </w:rPr>
      </w:pPr>
      <w:r>
        <w:rPr>
          <w:rFonts w:hint="eastAsia"/>
        </w:rPr>
        <w:t>46.</w:t>
      </w:r>
      <w:r>
        <w:rPr>
          <w:rFonts w:hint="eastAsia"/>
        </w:rPr>
        <w:tab/>
      </w:r>
      <w:r w:rsidRPr="0076718A">
        <w:rPr>
          <w:rFonts w:ascii="SimHei" w:eastAsia="SimHei" w:hint="eastAsia"/>
        </w:rPr>
        <w:t>委员会呼吁按照《公约》规定将性别观点纳入所有旨在实现千年发展目标的工作，以及纳入2015年后发展框架</w:t>
      </w:r>
      <w:r>
        <w:rPr>
          <w:rFonts w:hint="eastAsia"/>
        </w:rPr>
        <w:t>。</w:t>
      </w:r>
    </w:p>
    <w:p w:rsidR="00044DC4" w:rsidRPr="002149FE" w:rsidRDefault="00044DC4" w:rsidP="00044DC4">
      <w:pPr>
        <w:pStyle w:val="SingleTxt"/>
        <w:rPr>
          <w:rFonts w:ascii="SimHei" w:eastAsia="SimHei" w:hint="eastAsia"/>
        </w:rPr>
      </w:pPr>
      <w:r w:rsidRPr="002149FE">
        <w:rPr>
          <w:rFonts w:ascii="SimHei" w:eastAsia="SimHei" w:hint="eastAsia"/>
        </w:rPr>
        <w:t>传播和实施</w:t>
      </w:r>
    </w:p>
    <w:p w:rsidR="00044DC4" w:rsidRPr="0076718A" w:rsidRDefault="00044DC4" w:rsidP="002149FE">
      <w:pPr>
        <w:pStyle w:val="SingleTxt"/>
        <w:spacing w:line="340" w:lineRule="exact"/>
        <w:rPr>
          <w:rFonts w:ascii="SimHei" w:eastAsia="SimHei" w:hint="eastAsia"/>
          <w:spacing w:val="2"/>
        </w:rPr>
      </w:pPr>
      <w:r>
        <w:rPr>
          <w:rFonts w:hint="eastAsia"/>
        </w:rPr>
        <w:t>47.</w:t>
      </w:r>
      <w:r>
        <w:rPr>
          <w:rFonts w:hint="eastAsia"/>
        </w:rPr>
        <w:tab/>
      </w:r>
      <w:r w:rsidRPr="0076718A">
        <w:rPr>
          <w:rFonts w:ascii="SimHei" w:eastAsia="SimHei" w:hint="eastAsia"/>
        </w:rPr>
        <w:t>委员会指出缔约国有义务系统和持续地执行《公约》的规定。它敦促缔约国从现在起到提交下一次定期报告之间，将注意力优先放在实施本结论性意见和建议。因此，委员会要求以缔约国的官方语言及时向各级(国家、区域、地方)国家机构，特别是政府、各部委、国民议会和司法机关传播结论性意见，使其能够得到全面执行。委员会鼓励缔约国与所有利益攸关者，如雇主协会、工会、人权和妇女组织、大学和研究机构、媒体等进行合作。它还建议将其结论性意见以适当</w:t>
      </w:r>
      <w:r w:rsidRPr="0076718A">
        <w:rPr>
          <w:rFonts w:ascii="SimHei" w:eastAsia="SimHei" w:hint="eastAsia"/>
          <w:spacing w:val="2"/>
        </w:rPr>
        <w:t>形式在地方社区一级传播，使其能够得到执行。此外，委员会要求缔约国继续向所有利益攸关者传播《公约》及其任择议定书和审判规程以及委员会的一般性建议。</w:t>
      </w:r>
    </w:p>
    <w:p w:rsidR="00044DC4" w:rsidRPr="00837AC4" w:rsidRDefault="002149FE" w:rsidP="00044DC4">
      <w:pPr>
        <w:pStyle w:val="SingleTxt"/>
        <w:rPr>
          <w:rFonts w:ascii="SimHei" w:eastAsia="SimHei" w:hint="eastAsia"/>
        </w:rPr>
      </w:pPr>
      <w:r>
        <w:rPr>
          <w:rFonts w:ascii="SimHei" w:eastAsia="SimHei"/>
        </w:rPr>
        <w:br w:type="page"/>
      </w:r>
      <w:r w:rsidR="00044DC4" w:rsidRPr="00837AC4">
        <w:rPr>
          <w:rFonts w:ascii="SimHei" w:eastAsia="SimHei" w:hint="eastAsia"/>
        </w:rPr>
        <w:t>其他条约的批准</w:t>
      </w:r>
    </w:p>
    <w:p w:rsidR="00044DC4" w:rsidRDefault="00044DC4" w:rsidP="00044DC4">
      <w:pPr>
        <w:pStyle w:val="SingleTxt"/>
        <w:rPr>
          <w:rFonts w:hint="eastAsia"/>
        </w:rPr>
      </w:pPr>
      <w:r>
        <w:rPr>
          <w:rFonts w:hint="eastAsia"/>
        </w:rPr>
        <w:t>48.</w:t>
      </w:r>
      <w:r w:rsidRPr="0076718A">
        <w:rPr>
          <w:rFonts w:ascii="SimHei" w:eastAsia="SimHei" w:hint="eastAsia"/>
        </w:rPr>
        <w:tab/>
        <w:t>委员会注意到缔约国若加入九项主要国际人权文书，</w:t>
      </w:r>
      <w:r w:rsidR="00837AC4" w:rsidRPr="0076718A">
        <w:rPr>
          <w:rStyle w:val="FootnoteReference"/>
          <w:rFonts w:ascii="SimHei" w:eastAsia="SimHei"/>
        </w:rPr>
        <w:footnoteReference w:id="2"/>
      </w:r>
      <w:r w:rsidR="00837AC4" w:rsidRPr="0076718A">
        <w:rPr>
          <w:rFonts w:ascii="SimHei" w:eastAsia="SimHei" w:hint="eastAsia"/>
        </w:rPr>
        <w:t xml:space="preserve"> </w:t>
      </w:r>
      <w:r w:rsidRPr="0076718A">
        <w:rPr>
          <w:rFonts w:ascii="SimHei" w:eastAsia="SimHei" w:hint="eastAsia"/>
        </w:rPr>
        <w:t>将增强妇女在生活的各个方面享有的人权和基本自由。因此，委员会鼓励缔约国考虑批准其尚未成为缔约国的条约，即《保护所有移徙工人及其家庭成员权利国际公约》和《保护所有人免遭强迫失踪国际公约》</w:t>
      </w:r>
      <w:r>
        <w:rPr>
          <w:rFonts w:hint="eastAsia"/>
        </w:rPr>
        <w:t>。</w:t>
      </w:r>
    </w:p>
    <w:p w:rsidR="00044DC4" w:rsidRPr="00837AC4" w:rsidRDefault="00044DC4" w:rsidP="00044DC4">
      <w:pPr>
        <w:pStyle w:val="SingleTxt"/>
        <w:rPr>
          <w:rFonts w:ascii="SimHei" w:eastAsia="SimHei" w:hint="eastAsia"/>
        </w:rPr>
      </w:pPr>
      <w:r w:rsidRPr="00837AC4">
        <w:rPr>
          <w:rFonts w:ascii="SimHei" w:eastAsia="SimHei" w:hint="eastAsia"/>
        </w:rPr>
        <w:t>对结论性意见的后续行动</w:t>
      </w:r>
    </w:p>
    <w:p w:rsidR="00044DC4" w:rsidRDefault="00044DC4" w:rsidP="00044DC4">
      <w:pPr>
        <w:pStyle w:val="SingleTxt"/>
        <w:rPr>
          <w:rFonts w:hint="eastAsia"/>
        </w:rPr>
      </w:pPr>
      <w:r>
        <w:rPr>
          <w:rFonts w:hint="eastAsia"/>
        </w:rPr>
        <w:t>49.</w:t>
      </w:r>
      <w:r w:rsidRPr="0076718A">
        <w:rPr>
          <w:rFonts w:ascii="SimHei" w:eastAsia="SimHei" w:hint="eastAsia"/>
        </w:rPr>
        <w:tab/>
        <w:t>委员会要求缔约国在两年内提供为实施上面第25段(a)、(b)、(e)及第35段(b)、(c)、(d)、(g)和(h)所载建议而采取的步骤的书面资料</w:t>
      </w:r>
      <w:r>
        <w:rPr>
          <w:rFonts w:hint="eastAsia"/>
        </w:rPr>
        <w:t>。</w:t>
      </w:r>
    </w:p>
    <w:p w:rsidR="00044DC4" w:rsidRPr="00837AC4" w:rsidRDefault="00044DC4" w:rsidP="00044DC4">
      <w:pPr>
        <w:pStyle w:val="SingleTxt"/>
        <w:rPr>
          <w:rFonts w:ascii="SimHei" w:eastAsia="SimHei" w:hint="eastAsia"/>
        </w:rPr>
      </w:pPr>
      <w:r w:rsidRPr="00837AC4">
        <w:rPr>
          <w:rFonts w:ascii="SimHei" w:eastAsia="SimHei" w:hint="eastAsia"/>
        </w:rPr>
        <w:t>编写下一份报告</w:t>
      </w:r>
    </w:p>
    <w:p w:rsidR="00044DC4" w:rsidRDefault="00044DC4" w:rsidP="00044DC4">
      <w:pPr>
        <w:pStyle w:val="SingleTxt"/>
        <w:rPr>
          <w:rFonts w:hint="eastAsia"/>
        </w:rPr>
      </w:pPr>
      <w:r>
        <w:rPr>
          <w:rFonts w:hint="eastAsia"/>
        </w:rPr>
        <w:t>50.</w:t>
      </w:r>
      <w:r>
        <w:rPr>
          <w:rFonts w:hint="eastAsia"/>
        </w:rPr>
        <w:tab/>
      </w:r>
      <w:r w:rsidRPr="0076718A">
        <w:rPr>
          <w:rFonts w:ascii="SimHei" w:eastAsia="SimHei" w:hint="eastAsia"/>
        </w:rPr>
        <w:t>委员会请缔约国最迟在2017年7月提交其第八次定期报告</w:t>
      </w:r>
      <w:r>
        <w:rPr>
          <w:rFonts w:hint="eastAsia"/>
        </w:rPr>
        <w:t>。</w:t>
      </w:r>
    </w:p>
    <w:p w:rsidR="00EA31C3" w:rsidRDefault="00044DC4" w:rsidP="00044DC4">
      <w:pPr>
        <w:pStyle w:val="SingleTxt"/>
        <w:rPr>
          <w:rFonts w:hint="eastAsia"/>
        </w:rPr>
      </w:pPr>
      <w:r>
        <w:rPr>
          <w:rFonts w:hint="eastAsia"/>
        </w:rPr>
        <w:t>51.</w:t>
      </w:r>
      <w:r>
        <w:rPr>
          <w:rFonts w:hint="eastAsia"/>
        </w:rPr>
        <w:tab/>
      </w:r>
      <w:r w:rsidRPr="0076718A">
        <w:rPr>
          <w:rFonts w:ascii="SimHei" w:eastAsia="SimHei" w:hint="eastAsia"/>
        </w:rPr>
        <w:t>委员会要求缔约国遵循“根据国际人权条约提交报告的统一准则，包括编写核心文件、提交具体条约报告的准则”(</w:t>
      </w:r>
      <w:hyperlink r:id="rId19" w:history="1">
        <w:r w:rsidRPr="0076718A">
          <w:rPr>
            <w:rStyle w:val="Hyperlink"/>
            <w:rFonts w:ascii="SimHei" w:eastAsia="SimHei" w:hint="eastAsia"/>
          </w:rPr>
          <w:t>HRI/MC/2006/3</w:t>
        </w:r>
      </w:hyperlink>
      <w:r w:rsidRPr="0076718A">
        <w:rPr>
          <w:rFonts w:ascii="SimHei" w:eastAsia="SimHei" w:hint="eastAsia"/>
        </w:rPr>
        <w:t>和Corr.1)的指引</w:t>
      </w:r>
      <w:r>
        <w:rPr>
          <w:rFonts w:hint="eastAsia"/>
        </w:rPr>
        <w:t>。</w:t>
      </w:r>
    </w:p>
    <w:p w:rsidR="00837AC4" w:rsidRPr="00837AC4" w:rsidRDefault="00837AC4" w:rsidP="00837AC4">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837AC4" w:rsidRPr="00837AC4" w:rsidSect="002F7002">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9T10:25:00Z" w:initials="Start">
    <w:p w:rsidR="00E539CE" w:rsidRDefault="00E539C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NO&gt;&gt;N1341211C&lt;&lt;ODS JOB NO&gt;&gt;</w:t>
      </w:r>
    </w:p>
    <w:p w:rsidR="00E539CE" w:rsidRDefault="00E539CE">
      <w:pPr>
        <w:pStyle w:val="CommentText"/>
      </w:pPr>
      <w:r>
        <w:t>&lt;&lt;ODS DOC SYMBOL1&gt;&gt;CEDAW/C/DOM/CO/6-7&lt;&lt;ODS DOC SYMBOL1&gt;&gt;</w:t>
      </w:r>
    </w:p>
    <w:p w:rsidR="00E539CE" w:rsidRDefault="00E539C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BA" w:rsidRDefault="00834FBA">
      <w:r>
        <w:separator/>
      </w:r>
    </w:p>
  </w:endnote>
  <w:endnote w:type="continuationSeparator" w:id="0">
    <w:p w:rsidR="00834FBA" w:rsidRDefault="00834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539CE" w:rsidTr="002F7002">
      <w:tblPrEx>
        <w:tblCellMar>
          <w:top w:w="0" w:type="dxa"/>
          <w:bottom w:w="0" w:type="dxa"/>
        </w:tblCellMar>
      </w:tblPrEx>
      <w:tc>
        <w:tcPr>
          <w:tcW w:w="5033" w:type="dxa"/>
          <w:shd w:val="clear" w:color="auto" w:fill="auto"/>
        </w:tcPr>
        <w:p w:rsidR="00E539CE" w:rsidRPr="002F7002" w:rsidRDefault="00E539CE" w:rsidP="002F7002">
          <w:pPr>
            <w:pStyle w:val="Footer"/>
            <w:jc w:val="right"/>
            <w:rPr>
              <w:b w:val="0"/>
              <w:w w:val="103"/>
              <w:sz w:val="14"/>
            </w:rPr>
          </w:pPr>
          <w:fldSimple w:instr=" DOCVARIABLE &quot;FooterJN&quot; \* MERGEFORMAT ">
            <w:r>
              <w:rPr>
                <w:b w:val="0"/>
                <w:w w:val="103"/>
                <w:sz w:val="14"/>
              </w:rPr>
              <w:t>13-41211 (C)</w:t>
            </w:r>
          </w:fldSimple>
        </w:p>
      </w:tc>
      <w:tc>
        <w:tcPr>
          <w:tcW w:w="5033" w:type="dxa"/>
          <w:shd w:val="clear" w:color="auto" w:fill="auto"/>
        </w:tcPr>
        <w:p w:rsidR="00E539CE" w:rsidRPr="002F7002" w:rsidRDefault="00E539CE" w:rsidP="002F7002">
          <w:pPr>
            <w:pStyle w:val="Footer"/>
            <w:jc w:val="left"/>
            <w:rPr>
              <w:w w:val="103"/>
            </w:rPr>
          </w:pPr>
          <w:r>
            <w:rPr>
              <w:w w:val="103"/>
            </w:rPr>
            <w:fldChar w:fldCharType="begin"/>
          </w:r>
          <w:r>
            <w:rPr>
              <w:w w:val="103"/>
            </w:rPr>
            <w:instrText xml:space="preserve"> PAGE  \* Arabic  \* MERGEFORMAT </w:instrText>
          </w:r>
          <w:r>
            <w:rPr>
              <w:w w:val="103"/>
            </w:rPr>
            <w:fldChar w:fldCharType="separate"/>
          </w:r>
          <w:r w:rsidR="00E949D1">
            <w:rPr>
              <w:w w:val="103"/>
            </w:rPr>
            <w:t>2</w:t>
          </w:r>
          <w:r>
            <w:rPr>
              <w:w w:val="103"/>
            </w:rPr>
            <w:fldChar w:fldCharType="end"/>
          </w:r>
          <w:r>
            <w:rPr>
              <w:w w:val="103"/>
            </w:rPr>
            <w:t>/</w:t>
          </w:r>
          <w:fldSimple w:instr=" NUMPAGES  \* Arabic  \* MERGEFORMAT ">
            <w:r w:rsidR="00E949D1">
              <w:rPr>
                <w:w w:val="103"/>
              </w:rPr>
              <w:t>12</w:t>
            </w:r>
          </w:fldSimple>
        </w:p>
      </w:tc>
    </w:tr>
  </w:tbl>
  <w:p w:rsidR="00E539CE" w:rsidRPr="002F7002" w:rsidRDefault="00E539CE" w:rsidP="002F7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539CE" w:rsidTr="002F7002">
      <w:tblPrEx>
        <w:tblCellMar>
          <w:top w:w="0" w:type="dxa"/>
          <w:bottom w:w="0" w:type="dxa"/>
        </w:tblCellMar>
      </w:tblPrEx>
      <w:tc>
        <w:tcPr>
          <w:tcW w:w="5033" w:type="dxa"/>
          <w:shd w:val="clear" w:color="auto" w:fill="auto"/>
        </w:tcPr>
        <w:p w:rsidR="00E539CE" w:rsidRPr="002F7002" w:rsidRDefault="00E539CE" w:rsidP="002F7002">
          <w:pPr>
            <w:pStyle w:val="Footer"/>
            <w:jc w:val="right"/>
          </w:pPr>
          <w:fldSimple w:instr=" PAGE  \* Arabic  \* MERGEFORMAT ">
            <w:r w:rsidR="00E949D1">
              <w:t>11</w:t>
            </w:r>
          </w:fldSimple>
          <w:r>
            <w:t>/</w:t>
          </w:r>
          <w:fldSimple w:instr=" NUMPAGES  \* Arabic  \* MERGEFORMAT ">
            <w:r>
              <w:t>12</w:t>
            </w:r>
          </w:fldSimple>
        </w:p>
      </w:tc>
      <w:tc>
        <w:tcPr>
          <w:tcW w:w="5033" w:type="dxa"/>
          <w:shd w:val="clear" w:color="auto" w:fill="auto"/>
        </w:tcPr>
        <w:p w:rsidR="00E539CE" w:rsidRPr="002F7002" w:rsidRDefault="00E539CE" w:rsidP="002F7002">
          <w:pPr>
            <w:pStyle w:val="Footer"/>
            <w:jc w:val="left"/>
            <w:rPr>
              <w:b w:val="0"/>
              <w:w w:val="103"/>
              <w:sz w:val="14"/>
            </w:rPr>
          </w:pPr>
          <w:fldSimple w:instr=" DOCVARIABLE &quot;FooterJN&quot; \* MERGEFORMAT ">
            <w:r>
              <w:rPr>
                <w:b w:val="0"/>
                <w:w w:val="103"/>
                <w:sz w:val="14"/>
              </w:rPr>
              <w:t>13-41211 (C)</w:t>
            </w:r>
          </w:fldSimple>
        </w:p>
      </w:tc>
    </w:tr>
  </w:tbl>
  <w:p w:rsidR="00E539CE" w:rsidRPr="002F7002" w:rsidRDefault="00E539CE" w:rsidP="002F7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539CE" w:rsidTr="002F7002">
      <w:tblPrEx>
        <w:tblCellMar>
          <w:top w:w="0" w:type="dxa"/>
          <w:bottom w:w="0" w:type="dxa"/>
        </w:tblCellMar>
      </w:tblPrEx>
      <w:tc>
        <w:tcPr>
          <w:tcW w:w="5033" w:type="dxa"/>
        </w:tcPr>
        <w:p w:rsidR="00E539CE" w:rsidRDefault="00E539CE" w:rsidP="002F7002">
          <w:pPr>
            <w:pStyle w:val="Footer"/>
            <w:rPr>
              <w:b w:val="0"/>
              <w:sz w:val="21"/>
            </w:rPr>
          </w:pPr>
          <w:r w:rsidRPr="002E0879">
            <w:rPr>
              <w:b w:val="0"/>
              <w:sz w:val="21"/>
            </w:rPr>
            <w:t>13-41211 X (C)</w:t>
          </w:r>
          <w:r>
            <w:rPr>
              <w:b w:val="0"/>
              <w:sz w:val="21"/>
            </w:rPr>
            <w:t xml:space="preserve">    0</w:t>
          </w:r>
          <w:r>
            <w:rPr>
              <w:rFonts w:hint="eastAsia"/>
              <w:b w:val="0"/>
              <w:sz w:val="21"/>
            </w:rPr>
            <w:t>7</w:t>
          </w:r>
          <w:r>
            <w:rPr>
              <w:b w:val="0"/>
              <w:sz w:val="21"/>
            </w:rPr>
            <w:t>1013    091013</w:t>
          </w:r>
        </w:p>
        <w:p w:rsidR="00E539CE" w:rsidRPr="002F7002" w:rsidRDefault="00E539CE" w:rsidP="002F7002">
          <w:pPr>
            <w:spacing w:before="80" w:line="210" w:lineRule="exact"/>
            <w:rPr>
              <w:rFonts w:ascii="Barcode 3 of 9 by request" w:hAnsi="Barcode 3 of 9 by request"/>
              <w:sz w:val="24"/>
            </w:rPr>
          </w:pPr>
          <w:r>
            <w:rPr>
              <w:rFonts w:ascii="Barcode 3 of 9 by request" w:hAnsi="Barcode 3 of 9 by request"/>
              <w:sz w:val="24"/>
            </w:rPr>
            <w:t>*1341211C*</w:t>
          </w:r>
        </w:p>
      </w:tc>
      <w:tc>
        <w:tcPr>
          <w:tcW w:w="3686" w:type="dxa"/>
        </w:tcPr>
        <w:p w:rsidR="00E539CE" w:rsidRDefault="00E539CE" w:rsidP="002F7002">
          <w:pPr>
            <w:pStyle w:val="Footer"/>
            <w:jc w:val="right"/>
            <w:rPr>
              <w:b w:val="0"/>
              <w:sz w:val="21"/>
            </w:rPr>
          </w:pPr>
          <w:r w:rsidRPr="002F7002">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E539CE" w:rsidRPr="002F7002" w:rsidRDefault="00E539CE" w:rsidP="002F7002">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BA" w:rsidRPr="00837AC4" w:rsidRDefault="00834FBA" w:rsidP="00837AC4">
      <w:pPr>
        <w:pStyle w:val="Footer"/>
        <w:spacing w:after="80"/>
        <w:ind w:left="792"/>
        <w:rPr>
          <w:sz w:val="16"/>
        </w:rPr>
      </w:pPr>
      <w:r w:rsidRPr="00837AC4">
        <w:rPr>
          <w:sz w:val="16"/>
        </w:rPr>
        <w:t>__________________</w:t>
      </w:r>
    </w:p>
  </w:footnote>
  <w:footnote w:type="continuationSeparator" w:id="0">
    <w:p w:rsidR="00834FBA" w:rsidRPr="00837AC4" w:rsidRDefault="00834FBA" w:rsidP="00837AC4">
      <w:pPr>
        <w:pStyle w:val="Footer"/>
        <w:spacing w:after="80"/>
        <w:ind w:left="792"/>
        <w:rPr>
          <w:sz w:val="16"/>
        </w:rPr>
      </w:pPr>
      <w:r w:rsidRPr="00837AC4">
        <w:rPr>
          <w:sz w:val="16"/>
        </w:rPr>
        <w:t>__________________</w:t>
      </w:r>
    </w:p>
  </w:footnote>
  <w:footnote w:id="1">
    <w:p w:rsidR="00E539CE" w:rsidRDefault="00E539CE" w:rsidP="00837AC4">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Style w:val="FootnoteReference"/>
        </w:rPr>
        <w:t>*</w:t>
      </w:r>
      <w:r>
        <w:rPr>
          <w:rFonts w:hint="eastAsia"/>
        </w:rPr>
        <w:tab/>
        <w:t>委员会在其第五十五届会议(2013年7月8日至26日)通过</w:t>
      </w:r>
      <w:r w:rsidRPr="00B339DF">
        <w:rPr>
          <w:rFonts w:hint="eastAsia"/>
        </w:rPr>
        <w:t>。</w:t>
      </w:r>
    </w:p>
  </w:footnote>
  <w:footnote w:id="2">
    <w:p w:rsidR="00E539CE" w:rsidRDefault="00E539CE" w:rsidP="00837AC4">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CB48F1">
        <w:rPr>
          <w:rFonts w:hint="eastAsia"/>
        </w:rPr>
        <w:t>《经济、社会、文化权利国际公约》</w:t>
      </w:r>
      <w:r>
        <w:rPr>
          <w:rFonts w:hint="eastAsia"/>
        </w:rPr>
        <w:t>；</w:t>
      </w:r>
      <w:r w:rsidRPr="00CB48F1">
        <w:rPr>
          <w:rFonts w:hint="eastAsia"/>
        </w:rPr>
        <w:t>《公民及政治权利国际公约》</w:t>
      </w:r>
      <w:r>
        <w:rPr>
          <w:rFonts w:hint="eastAsia"/>
        </w:rPr>
        <w:t>；</w:t>
      </w:r>
      <w:r w:rsidRPr="00CB48F1">
        <w:rPr>
          <w:rFonts w:hint="eastAsia"/>
        </w:rPr>
        <w:t>《消除一切形式种族歧视国际公约》</w:t>
      </w:r>
      <w:r>
        <w:rPr>
          <w:rFonts w:hint="eastAsia"/>
        </w:rPr>
        <w:t>；</w:t>
      </w:r>
      <w:r w:rsidRPr="00CB48F1">
        <w:rPr>
          <w:rFonts w:hint="eastAsia"/>
        </w:rPr>
        <w:t>《消除对妇女一切形式歧视公约》</w:t>
      </w:r>
      <w:r>
        <w:rPr>
          <w:rFonts w:hint="eastAsia"/>
        </w:rPr>
        <w:t>；</w:t>
      </w:r>
      <w:r w:rsidRPr="000C13B3">
        <w:rPr>
          <w:rFonts w:hint="eastAsia"/>
        </w:rPr>
        <w:t>《禁止酷刑和其他残忍、不人道或有辱人格的待遇或处罚公约》</w:t>
      </w:r>
      <w:r>
        <w:rPr>
          <w:rFonts w:hint="eastAsia"/>
        </w:rPr>
        <w:t>；</w:t>
      </w:r>
      <w:r w:rsidRPr="000C13B3">
        <w:rPr>
          <w:rFonts w:hint="eastAsia"/>
        </w:rPr>
        <w:t>《儿童权利公约》</w:t>
      </w:r>
      <w:r>
        <w:rPr>
          <w:rFonts w:hint="eastAsia"/>
        </w:rPr>
        <w:t>；</w:t>
      </w:r>
      <w:r w:rsidRPr="000C13B3">
        <w:rPr>
          <w:rFonts w:hint="eastAsia"/>
        </w:rPr>
        <w:t>《保护所有移徙工人及其家庭成员权利国际公约》</w:t>
      </w:r>
      <w:r>
        <w:rPr>
          <w:rFonts w:hint="eastAsia"/>
        </w:rPr>
        <w:t>；</w:t>
      </w:r>
      <w:r w:rsidRPr="000C13B3">
        <w:rPr>
          <w:rFonts w:hint="eastAsia"/>
        </w:rPr>
        <w:t>《保护所有人免遭强迫失踪国际公约》</w:t>
      </w:r>
      <w:r>
        <w:rPr>
          <w:rFonts w:hint="eastAsia"/>
        </w:rPr>
        <w:t>；</w:t>
      </w:r>
      <w:r w:rsidRPr="000C13B3">
        <w:rPr>
          <w:rFonts w:hint="eastAsia"/>
        </w:rPr>
        <w:t>《残疾人权利公约》</w:t>
      </w:r>
      <w:r w:rsidRPr="006D03B6">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539CE" w:rsidTr="002F7002">
      <w:tblPrEx>
        <w:tblCellMar>
          <w:top w:w="0" w:type="dxa"/>
          <w:bottom w:w="0" w:type="dxa"/>
        </w:tblCellMar>
      </w:tblPrEx>
      <w:trPr>
        <w:trHeight w:hRule="exact" w:val="864"/>
      </w:trPr>
      <w:tc>
        <w:tcPr>
          <w:tcW w:w="4838" w:type="dxa"/>
          <w:shd w:val="clear" w:color="auto" w:fill="auto"/>
          <w:vAlign w:val="bottom"/>
        </w:tcPr>
        <w:p w:rsidR="00E539CE" w:rsidRPr="002F7002" w:rsidRDefault="00E539CE" w:rsidP="002F7002">
          <w:pPr>
            <w:pStyle w:val="Header"/>
            <w:spacing w:after="80"/>
            <w:jc w:val="left"/>
            <w:rPr>
              <w:b/>
              <w:sz w:val="17"/>
            </w:rPr>
          </w:pPr>
          <w:fldSimple w:instr=" DOCVARIABLE &quot;sss1&quot; \* MERGEFORMAT ">
            <w:r>
              <w:rPr>
                <w:b/>
                <w:sz w:val="17"/>
              </w:rPr>
              <w:t>CEDAW/C/DOM/CO/6-7</w:t>
            </w:r>
          </w:fldSimple>
        </w:p>
      </w:tc>
      <w:tc>
        <w:tcPr>
          <w:tcW w:w="5033" w:type="dxa"/>
          <w:shd w:val="clear" w:color="auto" w:fill="auto"/>
          <w:vAlign w:val="bottom"/>
        </w:tcPr>
        <w:p w:rsidR="00E539CE" w:rsidRDefault="00E539CE" w:rsidP="002F7002">
          <w:pPr>
            <w:pStyle w:val="Header"/>
          </w:pPr>
        </w:p>
      </w:tc>
    </w:tr>
  </w:tbl>
  <w:p w:rsidR="00E539CE" w:rsidRPr="002F7002" w:rsidRDefault="00E539CE" w:rsidP="002F7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539CE" w:rsidTr="002F7002">
      <w:tblPrEx>
        <w:tblCellMar>
          <w:top w:w="0" w:type="dxa"/>
          <w:bottom w:w="0" w:type="dxa"/>
        </w:tblCellMar>
      </w:tblPrEx>
      <w:trPr>
        <w:trHeight w:hRule="exact" w:val="864"/>
      </w:trPr>
      <w:tc>
        <w:tcPr>
          <w:tcW w:w="4838" w:type="dxa"/>
          <w:shd w:val="clear" w:color="auto" w:fill="auto"/>
          <w:vAlign w:val="bottom"/>
        </w:tcPr>
        <w:p w:rsidR="00E539CE" w:rsidRDefault="00E539CE" w:rsidP="002F7002">
          <w:pPr>
            <w:pStyle w:val="Header"/>
          </w:pPr>
        </w:p>
      </w:tc>
      <w:tc>
        <w:tcPr>
          <w:tcW w:w="5033" w:type="dxa"/>
          <w:shd w:val="clear" w:color="auto" w:fill="auto"/>
          <w:vAlign w:val="bottom"/>
        </w:tcPr>
        <w:p w:rsidR="00E539CE" w:rsidRPr="002F7002" w:rsidRDefault="00E539CE" w:rsidP="002F7002">
          <w:pPr>
            <w:pStyle w:val="Header"/>
            <w:spacing w:after="80"/>
            <w:jc w:val="right"/>
            <w:rPr>
              <w:b/>
              <w:sz w:val="17"/>
            </w:rPr>
          </w:pPr>
          <w:fldSimple w:instr=" DOCVARIABLE &quot;sss1&quot; \* MERGEFORMAT ">
            <w:r>
              <w:rPr>
                <w:b/>
                <w:sz w:val="17"/>
              </w:rPr>
              <w:t>CEDAW/C/DOM/CO/6-7</w:t>
            </w:r>
          </w:fldSimple>
        </w:p>
      </w:tc>
    </w:tr>
  </w:tbl>
  <w:p w:rsidR="00E539CE" w:rsidRPr="002F7002" w:rsidRDefault="00E539CE" w:rsidP="002F7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E539CE" w:rsidTr="002F700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539CE" w:rsidRDefault="00E539CE" w:rsidP="002F7002">
          <w:pPr>
            <w:pStyle w:val="Header"/>
            <w:spacing w:after="120"/>
          </w:pPr>
        </w:p>
      </w:tc>
      <w:tc>
        <w:tcPr>
          <w:tcW w:w="1872" w:type="dxa"/>
          <w:tcBorders>
            <w:bottom w:val="single" w:sz="4" w:space="0" w:color="auto"/>
          </w:tcBorders>
          <w:shd w:val="clear" w:color="auto" w:fill="auto"/>
          <w:vAlign w:val="bottom"/>
        </w:tcPr>
        <w:p w:rsidR="00E539CE" w:rsidRPr="002F7002" w:rsidRDefault="00E539CE" w:rsidP="002F700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539CE" w:rsidRDefault="00E539CE" w:rsidP="002F7002">
          <w:pPr>
            <w:pStyle w:val="Header"/>
            <w:spacing w:after="120"/>
          </w:pPr>
        </w:p>
      </w:tc>
      <w:tc>
        <w:tcPr>
          <w:tcW w:w="6523" w:type="dxa"/>
          <w:gridSpan w:val="3"/>
          <w:tcBorders>
            <w:bottom w:val="single" w:sz="4" w:space="0" w:color="auto"/>
          </w:tcBorders>
          <w:shd w:val="clear" w:color="auto" w:fill="auto"/>
          <w:vAlign w:val="bottom"/>
        </w:tcPr>
        <w:p w:rsidR="00E539CE" w:rsidRPr="002F7002" w:rsidRDefault="00E539CE" w:rsidP="002F7002">
          <w:pPr>
            <w:spacing w:after="80" w:line="240" w:lineRule="auto"/>
            <w:jc w:val="right"/>
            <w:rPr>
              <w:rFonts w:ascii="Times New Roman"/>
              <w:position w:val="-4"/>
            </w:rPr>
          </w:pPr>
          <w:r>
            <w:rPr>
              <w:rFonts w:ascii="Times New Roman"/>
              <w:position w:val="-4"/>
              <w:sz w:val="40"/>
            </w:rPr>
            <w:t>CEDAW</w:t>
          </w:r>
          <w:r>
            <w:rPr>
              <w:rFonts w:ascii="Times New Roman"/>
              <w:position w:val="-4"/>
            </w:rPr>
            <w:t>/C/DOM/CO/6-7</w:t>
          </w:r>
        </w:p>
      </w:tc>
    </w:tr>
    <w:tr w:rsidR="00E539CE" w:rsidRPr="002F7002" w:rsidTr="002F700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539CE" w:rsidRDefault="00E539CE" w:rsidP="002F700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539CE" w:rsidRPr="002F7002" w:rsidRDefault="00E539CE" w:rsidP="002F7002">
          <w:pPr>
            <w:pStyle w:val="Header"/>
            <w:spacing w:before="109"/>
            <w:ind w:left="-72"/>
          </w:pPr>
        </w:p>
      </w:tc>
      <w:tc>
        <w:tcPr>
          <w:tcW w:w="5227" w:type="dxa"/>
          <w:gridSpan w:val="3"/>
          <w:tcBorders>
            <w:top w:val="single" w:sz="4" w:space="0" w:color="auto"/>
            <w:bottom w:val="single" w:sz="12" w:space="0" w:color="auto"/>
          </w:tcBorders>
          <w:shd w:val="clear" w:color="auto" w:fill="auto"/>
        </w:tcPr>
        <w:p w:rsidR="00E539CE" w:rsidRPr="002F7002" w:rsidRDefault="00E539CE" w:rsidP="002F700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539CE" w:rsidRPr="002F7002" w:rsidRDefault="00E539CE" w:rsidP="002F7002">
          <w:pPr>
            <w:pStyle w:val="Header"/>
            <w:spacing w:before="109"/>
          </w:pPr>
        </w:p>
      </w:tc>
      <w:tc>
        <w:tcPr>
          <w:tcW w:w="3180" w:type="dxa"/>
          <w:gridSpan w:val="2"/>
          <w:tcBorders>
            <w:top w:val="single" w:sz="4" w:space="0" w:color="auto"/>
            <w:bottom w:val="single" w:sz="12" w:space="0" w:color="auto"/>
          </w:tcBorders>
          <w:shd w:val="clear" w:color="auto" w:fill="auto"/>
        </w:tcPr>
        <w:p w:rsidR="00E539CE" w:rsidRDefault="00E539CE" w:rsidP="002F7002">
          <w:pPr>
            <w:spacing w:before="240" w:line="240" w:lineRule="exact"/>
            <w:rPr>
              <w:rFonts w:ascii="Times New Roman"/>
            </w:rPr>
          </w:pPr>
          <w:r>
            <w:rPr>
              <w:rFonts w:ascii="Times New Roman"/>
            </w:rPr>
            <w:t>Distr.: General</w:t>
          </w:r>
        </w:p>
        <w:p w:rsidR="00E539CE" w:rsidRDefault="00E539CE" w:rsidP="002F7002">
          <w:pPr>
            <w:spacing w:line="240" w:lineRule="exact"/>
            <w:rPr>
              <w:rFonts w:ascii="Times New Roman"/>
            </w:rPr>
          </w:pPr>
          <w:r>
            <w:rPr>
              <w:rFonts w:ascii="Times New Roman"/>
            </w:rPr>
            <w:t>30 July 2013</w:t>
          </w:r>
        </w:p>
        <w:p w:rsidR="00E539CE" w:rsidRDefault="00E539CE" w:rsidP="002F7002">
          <w:pPr>
            <w:spacing w:line="240" w:lineRule="exact"/>
            <w:rPr>
              <w:rFonts w:ascii="Times New Roman"/>
            </w:rPr>
          </w:pPr>
          <w:r>
            <w:rPr>
              <w:rFonts w:ascii="Times New Roman"/>
            </w:rPr>
            <w:t>Chinese</w:t>
          </w:r>
        </w:p>
        <w:p w:rsidR="00E539CE" w:rsidRPr="002F7002" w:rsidRDefault="00E539CE" w:rsidP="002F7002">
          <w:pPr>
            <w:spacing w:line="240" w:lineRule="exact"/>
            <w:rPr>
              <w:rFonts w:ascii="Times New Roman"/>
            </w:rPr>
          </w:pPr>
          <w:r>
            <w:rPr>
              <w:rFonts w:ascii="Times New Roman"/>
            </w:rPr>
            <w:t>Original: English</w:t>
          </w:r>
        </w:p>
      </w:tc>
    </w:tr>
  </w:tbl>
  <w:p w:rsidR="00E539CE" w:rsidRPr="002F7002" w:rsidRDefault="00E539CE" w:rsidP="002F700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11*"/>
    <w:docVar w:name="CreationDt" w:val="09/10/2013 09:39:30"/>
    <w:docVar w:name="DocCategory" w:val="Doc"/>
    <w:docVar w:name="DocType" w:val="Final"/>
    <w:docVar w:name="FooterJN" w:val="13-41211 (C)"/>
    <w:docVar w:name="jobn" w:val="13-41211 (C)"/>
    <w:docVar w:name="jobnDT" w:val="13-41211 (C)   091013"/>
    <w:docVar w:name="jobnDTDT" w:val="13-41211 (C)   091013   091013"/>
    <w:docVar w:name="JobNo" w:val="1341211C"/>
    <w:docVar w:name="OandT" w:val="flp"/>
    <w:docVar w:name="sss1" w:val="CEDAW/C/DOM/CO/6-7"/>
    <w:docVar w:name="sss2" w:val="-"/>
    <w:docVar w:name="Symbol1" w:val="CEDAW/C/DOM/CO/6-7"/>
    <w:docVar w:name="Symbol2" w:val="-"/>
  </w:docVars>
  <w:rsids>
    <w:rsidRoot w:val="00F9084F"/>
    <w:rsid w:val="0000347C"/>
    <w:rsid w:val="000125BC"/>
    <w:rsid w:val="0001645E"/>
    <w:rsid w:val="00021A2B"/>
    <w:rsid w:val="00034465"/>
    <w:rsid w:val="00036AA2"/>
    <w:rsid w:val="00036F1B"/>
    <w:rsid w:val="00037444"/>
    <w:rsid w:val="00037B39"/>
    <w:rsid w:val="00044CA4"/>
    <w:rsid w:val="00044DC4"/>
    <w:rsid w:val="00044EE9"/>
    <w:rsid w:val="00045EFE"/>
    <w:rsid w:val="0007337D"/>
    <w:rsid w:val="000758DF"/>
    <w:rsid w:val="00076EB8"/>
    <w:rsid w:val="000777FC"/>
    <w:rsid w:val="00077AEE"/>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46A8"/>
    <w:rsid w:val="0017506F"/>
    <w:rsid w:val="001B2814"/>
    <w:rsid w:val="001B4F95"/>
    <w:rsid w:val="001C3329"/>
    <w:rsid w:val="001C3F7F"/>
    <w:rsid w:val="001C5166"/>
    <w:rsid w:val="001D0354"/>
    <w:rsid w:val="001D3F72"/>
    <w:rsid w:val="001E20EC"/>
    <w:rsid w:val="001E4442"/>
    <w:rsid w:val="001E5A51"/>
    <w:rsid w:val="001F03A7"/>
    <w:rsid w:val="001F2F76"/>
    <w:rsid w:val="00203760"/>
    <w:rsid w:val="00207135"/>
    <w:rsid w:val="002145EA"/>
    <w:rsid w:val="002149FE"/>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D6D43"/>
    <w:rsid w:val="002E0879"/>
    <w:rsid w:val="002E66D5"/>
    <w:rsid w:val="002F41E2"/>
    <w:rsid w:val="002F7002"/>
    <w:rsid w:val="003063F6"/>
    <w:rsid w:val="00320C99"/>
    <w:rsid w:val="003274A9"/>
    <w:rsid w:val="00331221"/>
    <w:rsid w:val="00344601"/>
    <w:rsid w:val="00346223"/>
    <w:rsid w:val="00363610"/>
    <w:rsid w:val="003649EE"/>
    <w:rsid w:val="00371BC6"/>
    <w:rsid w:val="00373A15"/>
    <w:rsid w:val="00376C04"/>
    <w:rsid w:val="00383ACA"/>
    <w:rsid w:val="00384CB1"/>
    <w:rsid w:val="00394A02"/>
    <w:rsid w:val="003966E8"/>
    <w:rsid w:val="003C7B20"/>
    <w:rsid w:val="003D075F"/>
    <w:rsid w:val="003E4565"/>
    <w:rsid w:val="003E748F"/>
    <w:rsid w:val="003E7612"/>
    <w:rsid w:val="00414423"/>
    <w:rsid w:val="004268D9"/>
    <w:rsid w:val="00433853"/>
    <w:rsid w:val="00440B0D"/>
    <w:rsid w:val="004411AD"/>
    <w:rsid w:val="004424EF"/>
    <w:rsid w:val="004475E7"/>
    <w:rsid w:val="00453BB0"/>
    <w:rsid w:val="00460162"/>
    <w:rsid w:val="004620A8"/>
    <w:rsid w:val="00466BB5"/>
    <w:rsid w:val="004700CF"/>
    <w:rsid w:val="00485A25"/>
    <w:rsid w:val="00487444"/>
    <w:rsid w:val="00493C9C"/>
    <w:rsid w:val="004A06D1"/>
    <w:rsid w:val="004A11FC"/>
    <w:rsid w:val="004A5211"/>
    <w:rsid w:val="004B2C67"/>
    <w:rsid w:val="004C0224"/>
    <w:rsid w:val="004C053E"/>
    <w:rsid w:val="004C3255"/>
    <w:rsid w:val="004D07E1"/>
    <w:rsid w:val="004D1C19"/>
    <w:rsid w:val="004E739A"/>
    <w:rsid w:val="004F29B8"/>
    <w:rsid w:val="004F5E26"/>
    <w:rsid w:val="0050413E"/>
    <w:rsid w:val="00515657"/>
    <w:rsid w:val="00515C01"/>
    <w:rsid w:val="00521275"/>
    <w:rsid w:val="0052216F"/>
    <w:rsid w:val="005232CA"/>
    <w:rsid w:val="00523636"/>
    <w:rsid w:val="0053111B"/>
    <w:rsid w:val="005335B9"/>
    <w:rsid w:val="00536CCE"/>
    <w:rsid w:val="00552CE5"/>
    <w:rsid w:val="005541E4"/>
    <w:rsid w:val="00554F60"/>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071E"/>
    <w:rsid w:val="00761190"/>
    <w:rsid w:val="0076718A"/>
    <w:rsid w:val="00776537"/>
    <w:rsid w:val="00783A25"/>
    <w:rsid w:val="007843DB"/>
    <w:rsid w:val="007877F4"/>
    <w:rsid w:val="007B6BAE"/>
    <w:rsid w:val="007C74B9"/>
    <w:rsid w:val="007E1B5E"/>
    <w:rsid w:val="007E6253"/>
    <w:rsid w:val="007F2278"/>
    <w:rsid w:val="00803014"/>
    <w:rsid w:val="00805783"/>
    <w:rsid w:val="00806F57"/>
    <w:rsid w:val="00806F90"/>
    <w:rsid w:val="008246FC"/>
    <w:rsid w:val="00824C19"/>
    <w:rsid w:val="00826250"/>
    <w:rsid w:val="0083056F"/>
    <w:rsid w:val="00834FBA"/>
    <w:rsid w:val="008378D1"/>
    <w:rsid w:val="00837AC4"/>
    <w:rsid w:val="00846462"/>
    <w:rsid w:val="00860742"/>
    <w:rsid w:val="0086691F"/>
    <w:rsid w:val="00875B8C"/>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252DF"/>
    <w:rsid w:val="00A26C97"/>
    <w:rsid w:val="00A27E35"/>
    <w:rsid w:val="00A33D6D"/>
    <w:rsid w:val="00A37345"/>
    <w:rsid w:val="00A40AAE"/>
    <w:rsid w:val="00A40EA9"/>
    <w:rsid w:val="00A4532A"/>
    <w:rsid w:val="00A5206D"/>
    <w:rsid w:val="00A72E47"/>
    <w:rsid w:val="00A778F1"/>
    <w:rsid w:val="00A90956"/>
    <w:rsid w:val="00A95404"/>
    <w:rsid w:val="00A968C5"/>
    <w:rsid w:val="00AA3C28"/>
    <w:rsid w:val="00AA759D"/>
    <w:rsid w:val="00AB2786"/>
    <w:rsid w:val="00AC550F"/>
    <w:rsid w:val="00AD4308"/>
    <w:rsid w:val="00AF2A33"/>
    <w:rsid w:val="00B03EFA"/>
    <w:rsid w:val="00B27E01"/>
    <w:rsid w:val="00B309DD"/>
    <w:rsid w:val="00B36621"/>
    <w:rsid w:val="00B36D64"/>
    <w:rsid w:val="00B41B48"/>
    <w:rsid w:val="00B55E1D"/>
    <w:rsid w:val="00B56194"/>
    <w:rsid w:val="00B60F41"/>
    <w:rsid w:val="00B61A34"/>
    <w:rsid w:val="00B64E8E"/>
    <w:rsid w:val="00B65E8B"/>
    <w:rsid w:val="00B8025A"/>
    <w:rsid w:val="00B827B1"/>
    <w:rsid w:val="00B9116F"/>
    <w:rsid w:val="00B9194F"/>
    <w:rsid w:val="00BB23A4"/>
    <w:rsid w:val="00BC2276"/>
    <w:rsid w:val="00BD1BFF"/>
    <w:rsid w:val="00BD2150"/>
    <w:rsid w:val="00BE1CC3"/>
    <w:rsid w:val="00BE365A"/>
    <w:rsid w:val="00BE47C4"/>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B2B1E"/>
    <w:rsid w:val="00CC053E"/>
    <w:rsid w:val="00CC1E2C"/>
    <w:rsid w:val="00CC3E8B"/>
    <w:rsid w:val="00CC4E84"/>
    <w:rsid w:val="00CD5641"/>
    <w:rsid w:val="00CE474E"/>
    <w:rsid w:val="00CE64AC"/>
    <w:rsid w:val="00CE7DF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5B72"/>
    <w:rsid w:val="00E37EEB"/>
    <w:rsid w:val="00E5153D"/>
    <w:rsid w:val="00E539CE"/>
    <w:rsid w:val="00E6687B"/>
    <w:rsid w:val="00E710FB"/>
    <w:rsid w:val="00E806D9"/>
    <w:rsid w:val="00E82CA2"/>
    <w:rsid w:val="00E949D1"/>
    <w:rsid w:val="00E94E5A"/>
    <w:rsid w:val="00E95594"/>
    <w:rsid w:val="00EA31C3"/>
    <w:rsid w:val="00EB33AC"/>
    <w:rsid w:val="00EC669D"/>
    <w:rsid w:val="00EC6F21"/>
    <w:rsid w:val="00EE0913"/>
    <w:rsid w:val="00F01440"/>
    <w:rsid w:val="00F020E7"/>
    <w:rsid w:val="00F03676"/>
    <w:rsid w:val="00F04C64"/>
    <w:rsid w:val="00F13305"/>
    <w:rsid w:val="00F40463"/>
    <w:rsid w:val="00F44CC4"/>
    <w:rsid w:val="00F50336"/>
    <w:rsid w:val="00F55E5B"/>
    <w:rsid w:val="00F569BC"/>
    <w:rsid w:val="00F62E3F"/>
    <w:rsid w:val="00F67F90"/>
    <w:rsid w:val="00F77B3E"/>
    <w:rsid w:val="00F833CB"/>
    <w:rsid w:val="00F87754"/>
    <w:rsid w:val="00F9084F"/>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A/59/3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DOM/Q/6-7/Add.1" TargetMode="External"/><Relationship Id="rId2" Type="http://schemas.openxmlformats.org/officeDocument/2006/relationships/settings" Target="settings.xml"/><Relationship Id="rId16" Type="http://schemas.openxmlformats.org/officeDocument/2006/relationships/hyperlink" Target="http://undocs.org/ch/CEDAW/C/DOM/Q/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CEDAW/C/DOM/6" TargetMode="External"/><Relationship Id="rId10" Type="http://schemas.openxmlformats.org/officeDocument/2006/relationships/header" Target="header3.xml"/><Relationship Id="rId19" Type="http://schemas.openxmlformats.org/officeDocument/2006/relationships/hyperlink" Target="http://undocs.org/ch/HRI/MC/2006/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SR.113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Pages>
  <Words>1451</Words>
  <Characters>8277</Characters>
  <Application>Microsoft Office Outlook</Application>
  <DocSecurity>4</DocSecurity>
  <Lines>68</Lines>
  <Paragraphs>19</Paragraphs>
  <ScaleCrop>false</ScaleCrop>
  <Company>United Nations</Company>
  <LinksUpToDate>false</LinksUpToDate>
  <CharactersWithSpaces>9709</CharactersWithSpaces>
  <SharedDoc>false</SharedDoc>
  <HLinks>
    <vt:vector size="36" baseType="variant">
      <vt:variant>
        <vt:i4>3407916</vt:i4>
      </vt:variant>
      <vt:variant>
        <vt:i4>15</vt:i4>
      </vt:variant>
      <vt:variant>
        <vt:i4>0</vt:i4>
      </vt:variant>
      <vt:variant>
        <vt:i4>5</vt:i4>
      </vt:variant>
      <vt:variant>
        <vt:lpwstr>http://undocs.org/ch/HRI/MC/2006/3</vt:lpwstr>
      </vt:variant>
      <vt:variant>
        <vt:lpwstr/>
      </vt:variant>
      <vt:variant>
        <vt:i4>65562</vt:i4>
      </vt:variant>
      <vt:variant>
        <vt:i4>12</vt:i4>
      </vt:variant>
      <vt:variant>
        <vt:i4>0</vt:i4>
      </vt:variant>
      <vt:variant>
        <vt:i4>5</vt:i4>
      </vt:variant>
      <vt:variant>
        <vt:lpwstr>http://undocs.org/ch/A/59/38</vt:lpwstr>
      </vt:variant>
      <vt:variant>
        <vt:lpwstr/>
      </vt:variant>
      <vt:variant>
        <vt:i4>1835036</vt:i4>
      </vt:variant>
      <vt:variant>
        <vt:i4>9</vt:i4>
      </vt:variant>
      <vt:variant>
        <vt:i4>0</vt:i4>
      </vt:variant>
      <vt:variant>
        <vt:i4>5</vt:i4>
      </vt:variant>
      <vt:variant>
        <vt:lpwstr>http://undocs.org/ch/CEDAW/C/DOM/Q/6-7/Add.1</vt:lpwstr>
      </vt:variant>
      <vt:variant>
        <vt:lpwstr/>
      </vt:variant>
      <vt:variant>
        <vt:i4>2031700</vt:i4>
      </vt:variant>
      <vt:variant>
        <vt:i4>6</vt:i4>
      </vt:variant>
      <vt:variant>
        <vt:i4>0</vt:i4>
      </vt:variant>
      <vt:variant>
        <vt:i4>5</vt:i4>
      </vt:variant>
      <vt:variant>
        <vt:lpwstr>http://undocs.org/ch/CEDAW/C/DOM/Q/6</vt:lpwstr>
      </vt:variant>
      <vt:variant>
        <vt:lpwstr/>
      </vt:variant>
      <vt:variant>
        <vt:i4>7209083</vt:i4>
      </vt:variant>
      <vt:variant>
        <vt:i4>3</vt:i4>
      </vt:variant>
      <vt:variant>
        <vt:i4>0</vt:i4>
      </vt:variant>
      <vt:variant>
        <vt:i4>5</vt:i4>
      </vt:variant>
      <vt:variant>
        <vt:lpwstr>http://undocs.org/ch/CEDAW/C/DOM/6</vt:lpwstr>
      </vt:variant>
      <vt:variant>
        <vt:lpwstr/>
      </vt:variant>
      <vt:variant>
        <vt:i4>720971</vt:i4>
      </vt:variant>
      <vt:variant>
        <vt:i4>0</vt:i4>
      </vt:variant>
      <vt:variant>
        <vt:i4>0</vt:i4>
      </vt:variant>
      <vt:variant>
        <vt:i4>5</vt:i4>
      </vt:variant>
      <vt:variant>
        <vt:lpwstr>http://undocs.org/ch/CEDAW/C/SR.1136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LXD</cp:lastModifiedBy>
  <cp:revision>14</cp:revision>
  <cp:lastPrinted>2013-10-09T08:31:00Z</cp:lastPrinted>
  <dcterms:created xsi:type="dcterms:W3CDTF">2013-10-09T07:36:00Z</dcterms:created>
  <dcterms:modified xsi:type="dcterms:W3CDTF">2013-10-09T09:27:00Z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1341211</vt:lpwstr>
  </property>
  <property fmtid="{D5CDD505-2E9C-101B-9397-08002B2CF9AE}" pid="3" name="Symbol1">
    <vt:lpwstr>CEDAW/C/DOM/CO/6-7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flp</vt:lpwstr>
  </property>
</Properties>
</file>