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1E" w:rsidRDefault="00BE521E" w:rsidP="00BE521E">
      <w:pPr>
        <w:spacing w:line="60" w:lineRule="exact"/>
        <w:sectPr w:rsidR="00BE521E" w:rsidSect="00BE521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4pt;margin-top:682.55pt;width:57.35pt;height:57.35pt;z-index:1;mso-position-horizontal-relative:page;mso-position-vertical-relative:page" o:preferrelative="f" filled="t">
            <v:imagedata r:id="rId13" o:title="6-7Size =1Lang = C"/>
            <w10:wrap anchorx="page" anchory="page"/>
          </v:shape>
        </w:pict>
      </w:r>
      <w:commentRangeEnd w:id="0"/>
      <w:r>
        <w:rPr>
          <w:rStyle w:val="CommentReference"/>
        </w:rPr>
        <w:commentReference w:id="0"/>
      </w:r>
    </w:p>
    <w:p w:rsidR="00BE521E" w:rsidRDefault="00BE521E" w:rsidP="00BE521E">
      <w:pPr>
        <w:spacing w:line="60" w:lineRule="exact"/>
      </w:pPr>
    </w:p>
    <w:p w:rsidR="00D03498" w:rsidRDefault="00D03498" w:rsidP="00D034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 xml:space="preserve">消除对妇女歧视委员会 </w:t>
      </w:r>
    </w:p>
    <w:p w:rsidR="00D03498" w:rsidRDefault="00D03498" w:rsidP="00D03498">
      <w:pPr>
        <w:pStyle w:val="SingleTxt"/>
      </w:pPr>
    </w:p>
    <w:p w:rsidR="00D03498" w:rsidRDefault="00D03498" w:rsidP="00D0349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审议缔约国根据《消除对妇女一切形式歧视公约》第18条提交的报告</w:t>
      </w:r>
    </w:p>
    <w:p w:rsidR="00D03498" w:rsidRPr="00A56827" w:rsidRDefault="00D03498" w:rsidP="00D03498">
      <w:pPr>
        <w:pStyle w:val="SingleTxt"/>
        <w:spacing w:after="0" w:line="120" w:lineRule="exact"/>
        <w:rPr>
          <w:sz w:val="10"/>
        </w:rPr>
      </w:pPr>
    </w:p>
    <w:p w:rsidR="00D03498" w:rsidRPr="00A56827" w:rsidRDefault="00D03498" w:rsidP="00D03498">
      <w:pPr>
        <w:pStyle w:val="SingleTxt"/>
        <w:spacing w:after="0" w:line="120" w:lineRule="exact"/>
        <w:rPr>
          <w:rFonts w:hint="eastAsia"/>
          <w:sz w:val="10"/>
        </w:rPr>
      </w:pPr>
    </w:p>
    <w:p w:rsidR="00D03498" w:rsidRDefault="00D03498" w:rsidP="00D034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缔约国的第六次和第七次合并定期报告</w:t>
      </w:r>
    </w:p>
    <w:p w:rsidR="00D03498" w:rsidRPr="00A56827" w:rsidRDefault="00D03498" w:rsidP="00D03498">
      <w:pPr>
        <w:pStyle w:val="SingleTxt"/>
        <w:spacing w:after="0" w:line="120" w:lineRule="exact"/>
        <w:rPr>
          <w:sz w:val="10"/>
        </w:rPr>
      </w:pPr>
    </w:p>
    <w:p w:rsidR="00D03498" w:rsidRPr="00A56827" w:rsidRDefault="00D03498" w:rsidP="00D0349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F13CF2" w:rsidRPr="00F13CF2" w:rsidRDefault="00F13CF2" w:rsidP="00F13CF2">
      <w:pPr>
        <w:framePr w:w="9792" w:h="432" w:hSpace="180" w:wrap="around" w:hAnchor="page" w:x="1210" w:yAlign="bottom"/>
        <w:spacing w:line="100" w:lineRule="exact"/>
        <w:rPr>
          <w:sz w:val="10"/>
        </w:rPr>
      </w:pPr>
    </w:p>
    <w:p w:rsidR="00F13CF2" w:rsidRPr="00F13CF2" w:rsidRDefault="00F13CF2" w:rsidP="00F13CF2">
      <w:pPr>
        <w:framePr w:w="9792" w:h="432" w:hSpace="180" w:wrap="around" w:hAnchor="page" w:x="1210" w:yAlign="bottom"/>
        <w:spacing w:line="60" w:lineRule="exact"/>
        <w:rPr>
          <w:sz w:val="6"/>
        </w:rPr>
      </w:pPr>
      <w:r w:rsidRPr="00F13CF2">
        <w:rPr>
          <w:noProof/>
          <w:sz w:val="6"/>
        </w:rPr>
        <w:pict>
          <v:line id="_x0000_s1028" style="position:absolute;left:0;text-align:left;z-index:3;mso-position-horizontal-relative:page" from="108pt,-1pt" to="180pt,-1pt" strokeweight=".25pt">
            <w10:wrap anchorx="page"/>
          </v:line>
        </w:pict>
      </w:r>
    </w:p>
    <w:p w:rsidR="00F13CF2" w:rsidRPr="00F13CF2" w:rsidRDefault="00F13CF2" w:rsidP="00F13CF2">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F13CF2">
        <w:rPr>
          <w:sz w:val="18"/>
          <w:vertAlign w:val="superscript"/>
        </w:rPr>
        <w:t>*</w:t>
      </w:r>
      <w:r>
        <w:rPr>
          <w:sz w:val="18"/>
        </w:rPr>
        <w:tab/>
      </w:r>
      <w:r w:rsidRPr="00D133A1">
        <w:rPr>
          <w:rFonts w:hAnsi="SimSun" w:cs="SimSun" w:hint="eastAsia"/>
          <w:sz w:val="18"/>
          <w:szCs w:val="18"/>
        </w:rPr>
        <w:t>按照已通知各缔约国的报告处理办法，本文件在送交联合国翻译部门前未经正式编辑。</w:t>
      </w:r>
    </w:p>
    <w:p w:rsidR="00D03498" w:rsidRPr="00F13CF2" w:rsidRDefault="00D03498" w:rsidP="00D0349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多米尼加共和国</w:t>
      </w:r>
      <w:r w:rsidRPr="00A56827">
        <w:rPr>
          <w:rFonts w:hint="eastAsia"/>
          <w:vertAlign w:val="superscript"/>
        </w:rPr>
        <w:t>*</w:t>
      </w:r>
    </w:p>
    <w:p w:rsidR="00D03498" w:rsidRPr="00A56827" w:rsidRDefault="00D03498" w:rsidP="00D03498">
      <w:pPr>
        <w:pStyle w:val="SingleTxt"/>
        <w:spacing w:after="0" w:line="120" w:lineRule="exact"/>
        <w:rPr>
          <w:rFonts w:hint="eastAsia"/>
          <w:sz w:val="10"/>
        </w:rPr>
      </w:pPr>
    </w:p>
    <w:p w:rsidR="00D03498" w:rsidRPr="00A56827" w:rsidRDefault="00D03498" w:rsidP="00D03498">
      <w:pPr>
        <w:pStyle w:val="SingleTxt"/>
        <w:spacing w:after="0" w:line="120" w:lineRule="exact"/>
        <w:rPr>
          <w:rFonts w:hint="eastAsia"/>
          <w:sz w:val="10"/>
        </w:rPr>
      </w:pPr>
    </w:p>
    <w:p w:rsidR="00A62BEE" w:rsidRDefault="00A62BEE" w:rsidP="00A62BEE">
      <w:pPr>
        <w:pStyle w:val="HCh6"/>
      </w:pPr>
      <w:r>
        <w:rPr>
          <w:rFonts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62BEE" w:rsidRPr="00E53517">
        <w:tblPrEx>
          <w:tblCellMar>
            <w:top w:w="0" w:type="dxa"/>
            <w:bottom w:w="0" w:type="dxa"/>
          </w:tblCellMar>
        </w:tblPrEx>
        <w:tc>
          <w:tcPr>
            <w:tcW w:w="1060" w:type="dxa"/>
          </w:tcPr>
          <w:p w:rsidR="00A62BEE" w:rsidRPr="00E53517" w:rsidRDefault="00A62BEE" w:rsidP="00A62BEE">
            <w:pPr>
              <w:pStyle w:val="GB23126"/>
            </w:pPr>
          </w:p>
        </w:tc>
        <w:tc>
          <w:tcPr>
            <w:tcW w:w="7315" w:type="dxa"/>
          </w:tcPr>
          <w:p w:rsidR="00A62BEE" w:rsidRPr="00E53517" w:rsidRDefault="00A62BEE">
            <w:pPr>
              <w:spacing w:after="120" w:line="240" w:lineRule="auto"/>
              <w:rPr>
                <w:rFonts w:eastAsia="KaiTi_GB2312"/>
                <w:color w:val="0000FF"/>
                <w:sz w:val="15"/>
                <w:szCs w:val="15"/>
              </w:rPr>
            </w:pPr>
          </w:p>
        </w:tc>
        <w:tc>
          <w:tcPr>
            <w:tcW w:w="994" w:type="dxa"/>
          </w:tcPr>
          <w:p w:rsidR="00A62BEE" w:rsidRPr="00E53517" w:rsidRDefault="00A62BEE" w:rsidP="00A62BEE">
            <w:pPr>
              <w:pStyle w:val="GB23126"/>
            </w:pPr>
            <w:r w:rsidRPr="00E53517">
              <w:rPr>
                <w:rFonts w:hint="eastAsia"/>
              </w:rPr>
              <w:t>段次</w:t>
            </w:r>
          </w:p>
        </w:tc>
        <w:tc>
          <w:tcPr>
            <w:tcW w:w="533" w:type="dxa"/>
          </w:tcPr>
          <w:p w:rsidR="00A62BEE" w:rsidRPr="00E53517" w:rsidRDefault="00A62BEE" w:rsidP="00A62BEE">
            <w:pPr>
              <w:pStyle w:val="GB23126"/>
            </w:pPr>
            <w:r w:rsidRPr="00E53517">
              <w:rPr>
                <w:rFonts w:hint="eastAsia"/>
              </w:rPr>
              <w:t>页次</w:t>
            </w:r>
          </w:p>
        </w:tc>
      </w:tr>
      <w:tr w:rsidR="00A62BEE">
        <w:tblPrEx>
          <w:tblCellMar>
            <w:top w:w="0" w:type="dxa"/>
            <w:bottom w:w="0" w:type="dxa"/>
          </w:tblCellMar>
        </w:tblPrEx>
        <w:trPr>
          <w:cantSplit/>
        </w:trPr>
        <w:tc>
          <w:tcPr>
            <w:tcW w:w="8375" w:type="dxa"/>
            <w:gridSpan w:val="2"/>
          </w:tcPr>
          <w:p w:rsidR="00A62BEE" w:rsidRDefault="00A62BEE" w:rsidP="00724DCE">
            <w:pPr>
              <w:numPr>
                <w:ilvl w:val="0"/>
                <w:numId w:val="1"/>
              </w:numPr>
              <w:tabs>
                <w:tab w:val="right" w:pos="1080"/>
                <w:tab w:val="right" w:leader="dot" w:pos="8381"/>
              </w:tabs>
              <w:spacing w:after="120"/>
            </w:pPr>
            <w:r>
              <w:tab/>
            </w:r>
            <w:r w:rsidR="002B7E06">
              <w:rPr>
                <w:rFonts w:hint="eastAsia"/>
              </w:rPr>
              <w:t>前言</w:t>
            </w:r>
            <w:r>
              <w:tab/>
            </w:r>
          </w:p>
        </w:tc>
        <w:tc>
          <w:tcPr>
            <w:tcW w:w="994" w:type="dxa"/>
            <w:vAlign w:val="bottom"/>
          </w:tcPr>
          <w:p w:rsidR="00A62BEE" w:rsidRDefault="00A007D7" w:rsidP="00724DCE">
            <w:pPr>
              <w:spacing w:after="120"/>
              <w:ind w:right="28"/>
              <w:jc w:val="right"/>
            </w:pPr>
            <w:r>
              <w:t>1-7</w:t>
            </w:r>
          </w:p>
        </w:tc>
        <w:tc>
          <w:tcPr>
            <w:tcW w:w="533" w:type="dxa"/>
            <w:vAlign w:val="bottom"/>
          </w:tcPr>
          <w:p w:rsidR="00A62BEE" w:rsidRDefault="005C0E92" w:rsidP="00724DCE">
            <w:pPr>
              <w:spacing w:after="120"/>
              <w:ind w:right="28"/>
              <w:jc w:val="right"/>
            </w:pPr>
            <w:r>
              <w:t>3</w:t>
            </w:r>
          </w:p>
        </w:tc>
      </w:tr>
      <w:tr w:rsidR="002B7E06">
        <w:tblPrEx>
          <w:tblCellMar>
            <w:top w:w="0" w:type="dxa"/>
            <w:bottom w:w="0" w:type="dxa"/>
          </w:tblCellMar>
        </w:tblPrEx>
        <w:trPr>
          <w:cantSplit/>
        </w:trPr>
        <w:tc>
          <w:tcPr>
            <w:tcW w:w="8375" w:type="dxa"/>
            <w:gridSpan w:val="2"/>
          </w:tcPr>
          <w:p w:rsidR="002B7E06" w:rsidRDefault="002B7E06" w:rsidP="00724DCE">
            <w:pPr>
              <w:numPr>
                <w:ilvl w:val="0"/>
                <w:numId w:val="1"/>
              </w:numPr>
              <w:tabs>
                <w:tab w:val="right" w:pos="1080"/>
                <w:tab w:val="left" w:pos="1296"/>
                <w:tab w:val="right" w:leader="dot" w:pos="8381"/>
              </w:tabs>
              <w:spacing w:after="120"/>
            </w:pPr>
            <w:r>
              <w:tab/>
            </w:r>
            <w:r>
              <w:rPr>
                <w:rFonts w:hint="eastAsia"/>
              </w:rPr>
              <w:t>导言</w:t>
            </w:r>
            <w:r>
              <w:tab/>
            </w:r>
          </w:p>
        </w:tc>
        <w:tc>
          <w:tcPr>
            <w:tcW w:w="994" w:type="dxa"/>
            <w:vAlign w:val="bottom"/>
          </w:tcPr>
          <w:p w:rsidR="002B7E06" w:rsidRDefault="00A007D7" w:rsidP="00724DCE">
            <w:pPr>
              <w:spacing w:after="120"/>
              <w:ind w:right="28"/>
              <w:jc w:val="right"/>
            </w:pPr>
            <w:r>
              <w:t>8-51</w:t>
            </w:r>
          </w:p>
        </w:tc>
        <w:tc>
          <w:tcPr>
            <w:tcW w:w="533" w:type="dxa"/>
            <w:vAlign w:val="bottom"/>
          </w:tcPr>
          <w:p w:rsidR="002B7E06" w:rsidRDefault="005C0E92" w:rsidP="00724DCE">
            <w:pPr>
              <w:spacing w:after="120"/>
              <w:ind w:right="28"/>
              <w:jc w:val="right"/>
            </w:pPr>
            <w:r>
              <w:t>3</w:t>
            </w:r>
          </w:p>
        </w:tc>
      </w:tr>
      <w:tr w:rsidR="002B7E06">
        <w:tblPrEx>
          <w:tblCellMar>
            <w:top w:w="0" w:type="dxa"/>
            <w:bottom w:w="0" w:type="dxa"/>
          </w:tblCellMar>
        </w:tblPrEx>
        <w:trPr>
          <w:cantSplit/>
        </w:trPr>
        <w:tc>
          <w:tcPr>
            <w:tcW w:w="8375" w:type="dxa"/>
            <w:gridSpan w:val="2"/>
          </w:tcPr>
          <w:p w:rsidR="002B7E06" w:rsidRDefault="002B7E06" w:rsidP="00724DCE">
            <w:pPr>
              <w:numPr>
                <w:ilvl w:val="0"/>
                <w:numId w:val="1"/>
              </w:numPr>
              <w:tabs>
                <w:tab w:val="right" w:pos="1080"/>
                <w:tab w:val="left" w:pos="1296"/>
                <w:tab w:val="left" w:pos="1728"/>
                <w:tab w:val="left" w:pos="2160"/>
                <w:tab w:val="left" w:pos="2592"/>
                <w:tab w:val="left" w:pos="3024"/>
                <w:tab w:val="left" w:pos="3456"/>
                <w:tab w:val="right" w:leader="dot" w:pos="8381"/>
              </w:tabs>
              <w:spacing w:after="120"/>
            </w:pPr>
            <w:r>
              <w:tab/>
            </w:r>
            <w:r>
              <w:rPr>
                <w:rFonts w:hint="eastAsia"/>
              </w:rPr>
              <w:t>《公约》条款的执行情况</w:t>
            </w:r>
            <w:r>
              <w:tab/>
            </w:r>
          </w:p>
        </w:tc>
        <w:tc>
          <w:tcPr>
            <w:tcW w:w="994" w:type="dxa"/>
            <w:vAlign w:val="bottom"/>
          </w:tcPr>
          <w:p w:rsidR="002B7E06" w:rsidRDefault="00A007D7" w:rsidP="00724DCE">
            <w:pPr>
              <w:spacing w:after="120"/>
              <w:ind w:right="28"/>
              <w:jc w:val="right"/>
            </w:pPr>
            <w:r>
              <w:t>52-246</w:t>
            </w:r>
          </w:p>
        </w:tc>
        <w:tc>
          <w:tcPr>
            <w:tcW w:w="533" w:type="dxa"/>
            <w:vAlign w:val="bottom"/>
          </w:tcPr>
          <w:p w:rsidR="002B7E06" w:rsidRDefault="005C0E92" w:rsidP="00724DCE">
            <w:pPr>
              <w:spacing w:after="120"/>
              <w:ind w:right="28"/>
              <w:jc w:val="right"/>
            </w:pPr>
            <w:r>
              <w:t>10</w:t>
            </w:r>
          </w:p>
        </w:tc>
      </w:tr>
      <w:tr w:rsidR="00A62BEE">
        <w:tblPrEx>
          <w:tblCellMar>
            <w:top w:w="0" w:type="dxa"/>
            <w:bottom w:w="0" w:type="dxa"/>
          </w:tblCellMar>
        </w:tblPrEx>
        <w:trPr>
          <w:cantSplit/>
        </w:trPr>
        <w:tc>
          <w:tcPr>
            <w:tcW w:w="8375" w:type="dxa"/>
            <w:gridSpan w:val="2"/>
          </w:tcPr>
          <w:p w:rsidR="00A62BEE" w:rsidRDefault="002B7E06" w:rsidP="00724DCE">
            <w:pPr>
              <w:numPr>
                <w:ilvl w:val="1"/>
                <w:numId w:val="1"/>
              </w:numPr>
              <w:tabs>
                <w:tab w:val="right" w:pos="1080"/>
                <w:tab w:val="right" w:leader="dot" w:pos="8381"/>
              </w:tabs>
              <w:spacing w:after="120"/>
            </w:pPr>
            <w:r>
              <w:rPr>
                <w:rFonts w:hint="eastAsia"/>
              </w:rPr>
              <w:t>第1条.</w:t>
            </w:r>
            <w:r w:rsidR="00B11EB5">
              <w:rPr>
                <w:rFonts w:hint="eastAsia"/>
              </w:rPr>
              <w:t xml:space="preserve"> </w:t>
            </w:r>
            <w:r>
              <w:rPr>
                <w:rFonts w:hint="eastAsia"/>
              </w:rPr>
              <w:t>国家为支持消除歧视和促进平等而签署和批准的公约、</w:t>
            </w:r>
            <w:r>
              <w:br/>
            </w:r>
            <w:r>
              <w:rPr>
                <w:rFonts w:hint="eastAsia"/>
              </w:rPr>
              <w:t>条约和协定</w:t>
            </w:r>
            <w:r w:rsidR="00A62BEE">
              <w:tab/>
            </w:r>
          </w:p>
        </w:tc>
        <w:tc>
          <w:tcPr>
            <w:tcW w:w="994" w:type="dxa"/>
            <w:vAlign w:val="bottom"/>
          </w:tcPr>
          <w:p w:rsidR="00A62BEE" w:rsidRDefault="00A007D7" w:rsidP="00724DCE">
            <w:pPr>
              <w:spacing w:after="120"/>
              <w:ind w:right="28"/>
              <w:jc w:val="right"/>
            </w:pPr>
            <w:r>
              <w:t>52-57</w:t>
            </w:r>
          </w:p>
        </w:tc>
        <w:tc>
          <w:tcPr>
            <w:tcW w:w="533" w:type="dxa"/>
            <w:vAlign w:val="bottom"/>
          </w:tcPr>
          <w:p w:rsidR="00A62BEE" w:rsidRDefault="005C0E92" w:rsidP="00724DCE">
            <w:pPr>
              <w:spacing w:after="120"/>
              <w:ind w:right="28"/>
              <w:jc w:val="right"/>
            </w:pPr>
            <w:r>
              <w:t>10</w:t>
            </w:r>
          </w:p>
        </w:tc>
      </w:tr>
      <w:tr w:rsidR="00A62BEE">
        <w:tblPrEx>
          <w:tblCellMar>
            <w:top w:w="0" w:type="dxa"/>
            <w:bottom w:w="0" w:type="dxa"/>
          </w:tblCellMar>
        </w:tblPrEx>
        <w:trPr>
          <w:cantSplit/>
        </w:trPr>
        <w:tc>
          <w:tcPr>
            <w:tcW w:w="8375" w:type="dxa"/>
            <w:gridSpan w:val="2"/>
          </w:tcPr>
          <w:p w:rsidR="00A62BEE" w:rsidRDefault="002B7E06" w:rsidP="00724DCE">
            <w:pPr>
              <w:numPr>
                <w:ilvl w:val="1"/>
                <w:numId w:val="1"/>
              </w:numPr>
              <w:tabs>
                <w:tab w:val="right" w:pos="1080"/>
                <w:tab w:val="right" w:leader="dot" w:pos="8381"/>
              </w:tabs>
              <w:spacing w:after="120"/>
            </w:pPr>
            <w:r>
              <w:rPr>
                <w:rFonts w:hint="eastAsia"/>
              </w:rPr>
              <w:t>第2条.</w:t>
            </w:r>
            <w:r w:rsidR="00B11EB5">
              <w:rPr>
                <w:rFonts w:hint="eastAsia"/>
              </w:rPr>
              <w:t xml:space="preserve"> </w:t>
            </w:r>
            <w:r>
              <w:rPr>
                <w:rFonts w:hint="eastAsia"/>
              </w:rPr>
              <w:t>消除歧视妇女的政策措施</w:t>
            </w:r>
            <w:r w:rsidR="00A62BEE">
              <w:tab/>
            </w:r>
          </w:p>
        </w:tc>
        <w:tc>
          <w:tcPr>
            <w:tcW w:w="994" w:type="dxa"/>
            <w:vAlign w:val="bottom"/>
          </w:tcPr>
          <w:p w:rsidR="00A62BEE" w:rsidRDefault="00A007D7" w:rsidP="00724DCE">
            <w:pPr>
              <w:spacing w:after="120"/>
              <w:ind w:right="28"/>
              <w:jc w:val="right"/>
            </w:pPr>
            <w:r>
              <w:t>58-80</w:t>
            </w:r>
          </w:p>
        </w:tc>
        <w:tc>
          <w:tcPr>
            <w:tcW w:w="533" w:type="dxa"/>
            <w:vAlign w:val="bottom"/>
          </w:tcPr>
          <w:p w:rsidR="00A62BEE" w:rsidRDefault="005C0E92" w:rsidP="00724DCE">
            <w:pPr>
              <w:spacing w:after="120"/>
              <w:ind w:right="28"/>
              <w:jc w:val="right"/>
            </w:pPr>
            <w:r>
              <w:t>10</w:t>
            </w:r>
          </w:p>
        </w:tc>
      </w:tr>
      <w:tr w:rsidR="002B7E06">
        <w:tblPrEx>
          <w:tblCellMar>
            <w:top w:w="0" w:type="dxa"/>
            <w:bottom w:w="0" w:type="dxa"/>
          </w:tblCellMar>
        </w:tblPrEx>
        <w:trPr>
          <w:cantSplit/>
        </w:trPr>
        <w:tc>
          <w:tcPr>
            <w:tcW w:w="8375" w:type="dxa"/>
            <w:gridSpan w:val="2"/>
          </w:tcPr>
          <w:p w:rsidR="002B7E06" w:rsidRDefault="002B7E06" w:rsidP="00724DCE">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rPr>
                <w:rFonts w:hint="eastAsia"/>
              </w:rPr>
            </w:pPr>
            <w:r>
              <w:rPr>
                <w:rFonts w:hint="eastAsia"/>
              </w:rPr>
              <w:t>第3条</w:t>
            </w:r>
            <w:r>
              <w:t>.</w:t>
            </w:r>
            <w:r w:rsidR="00B11EB5">
              <w:rPr>
                <w:rFonts w:hint="eastAsia"/>
              </w:rPr>
              <w:t xml:space="preserve"> </w:t>
            </w:r>
            <w:r>
              <w:rPr>
                <w:rFonts w:hint="eastAsia"/>
              </w:rPr>
              <w:t>保证人权与基本自由</w:t>
            </w:r>
            <w:r>
              <w:tab/>
            </w:r>
          </w:p>
        </w:tc>
        <w:tc>
          <w:tcPr>
            <w:tcW w:w="994" w:type="dxa"/>
            <w:vAlign w:val="bottom"/>
          </w:tcPr>
          <w:p w:rsidR="002B7E06" w:rsidRDefault="00A007D7" w:rsidP="00724DCE">
            <w:pPr>
              <w:spacing w:after="120"/>
              <w:ind w:right="28"/>
              <w:jc w:val="right"/>
            </w:pPr>
            <w:r>
              <w:t>81-99</w:t>
            </w:r>
          </w:p>
        </w:tc>
        <w:tc>
          <w:tcPr>
            <w:tcW w:w="533" w:type="dxa"/>
            <w:vAlign w:val="bottom"/>
          </w:tcPr>
          <w:p w:rsidR="002B7E06" w:rsidRDefault="005C0E92" w:rsidP="00724DCE">
            <w:pPr>
              <w:spacing w:after="120"/>
              <w:ind w:right="28"/>
              <w:jc w:val="right"/>
            </w:pPr>
            <w:r>
              <w:t>14</w:t>
            </w:r>
          </w:p>
        </w:tc>
      </w:tr>
      <w:tr w:rsidR="002B7E06">
        <w:tblPrEx>
          <w:tblCellMar>
            <w:top w:w="0" w:type="dxa"/>
            <w:bottom w:w="0" w:type="dxa"/>
          </w:tblCellMar>
        </w:tblPrEx>
        <w:trPr>
          <w:cantSplit/>
        </w:trPr>
        <w:tc>
          <w:tcPr>
            <w:tcW w:w="8375" w:type="dxa"/>
            <w:gridSpan w:val="2"/>
          </w:tcPr>
          <w:p w:rsidR="002B7E06" w:rsidRDefault="002B7E06" w:rsidP="00724DCE">
            <w:pPr>
              <w:numPr>
                <w:ilvl w:val="1"/>
                <w:numId w:val="1"/>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第4条</w:t>
            </w:r>
            <w:r>
              <w:t>.</w:t>
            </w:r>
            <w:r w:rsidR="00B11EB5">
              <w:rPr>
                <w:rFonts w:hint="eastAsia"/>
              </w:rPr>
              <w:t xml:space="preserve"> </w:t>
            </w:r>
            <w:r>
              <w:rPr>
                <w:rFonts w:hint="eastAsia"/>
              </w:rPr>
              <w:t>特别措施</w:t>
            </w:r>
            <w:r>
              <w:tab/>
            </w:r>
          </w:p>
        </w:tc>
        <w:tc>
          <w:tcPr>
            <w:tcW w:w="994" w:type="dxa"/>
            <w:vAlign w:val="bottom"/>
          </w:tcPr>
          <w:p w:rsidR="002B7E06" w:rsidRDefault="00A007D7" w:rsidP="00724DCE">
            <w:pPr>
              <w:spacing w:after="120"/>
              <w:ind w:right="28"/>
              <w:jc w:val="right"/>
            </w:pPr>
            <w:r>
              <w:t>100-105</w:t>
            </w:r>
          </w:p>
        </w:tc>
        <w:tc>
          <w:tcPr>
            <w:tcW w:w="533" w:type="dxa"/>
            <w:vAlign w:val="bottom"/>
          </w:tcPr>
          <w:p w:rsidR="002B7E06" w:rsidRDefault="005C0E92" w:rsidP="00724DCE">
            <w:pPr>
              <w:spacing w:after="120"/>
              <w:ind w:right="28"/>
              <w:jc w:val="right"/>
            </w:pPr>
            <w:r>
              <w:t>16</w:t>
            </w:r>
          </w:p>
        </w:tc>
      </w:tr>
      <w:tr w:rsidR="002B7E06">
        <w:tblPrEx>
          <w:tblCellMar>
            <w:top w:w="0" w:type="dxa"/>
            <w:bottom w:w="0" w:type="dxa"/>
          </w:tblCellMar>
        </w:tblPrEx>
        <w:trPr>
          <w:cantSplit/>
        </w:trPr>
        <w:tc>
          <w:tcPr>
            <w:tcW w:w="8375" w:type="dxa"/>
            <w:gridSpan w:val="2"/>
          </w:tcPr>
          <w:p w:rsidR="002B7E06" w:rsidRDefault="002B7E06" w:rsidP="00724DCE">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rPr>
                <w:rFonts w:hint="eastAsia"/>
              </w:rPr>
            </w:pPr>
            <w:r>
              <w:rPr>
                <w:rFonts w:hint="eastAsia"/>
              </w:rPr>
              <w:t>第5条</w:t>
            </w:r>
            <w:r>
              <w:t>.</w:t>
            </w:r>
            <w:r w:rsidR="00CE7237">
              <w:t xml:space="preserve"> </w:t>
            </w:r>
            <w:r>
              <w:rPr>
                <w:rFonts w:hint="eastAsia"/>
              </w:rPr>
              <w:t>社会和文化模式的变化</w:t>
            </w:r>
            <w:r>
              <w:tab/>
            </w:r>
          </w:p>
        </w:tc>
        <w:tc>
          <w:tcPr>
            <w:tcW w:w="994" w:type="dxa"/>
            <w:vAlign w:val="bottom"/>
          </w:tcPr>
          <w:p w:rsidR="002B7E06" w:rsidRDefault="00A007D7" w:rsidP="00724DCE">
            <w:pPr>
              <w:spacing w:after="120"/>
              <w:ind w:right="28"/>
              <w:jc w:val="right"/>
            </w:pPr>
            <w:r>
              <w:t>106-112</w:t>
            </w:r>
          </w:p>
        </w:tc>
        <w:tc>
          <w:tcPr>
            <w:tcW w:w="533" w:type="dxa"/>
            <w:vAlign w:val="bottom"/>
          </w:tcPr>
          <w:p w:rsidR="002B7E06" w:rsidRDefault="005C0E92" w:rsidP="00724DCE">
            <w:pPr>
              <w:spacing w:after="120"/>
              <w:ind w:right="28"/>
              <w:jc w:val="right"/>
            </w:pPr>
            <w:r>
              <w:t>18</w:t>
            </w:r>
          </w:p>
        </w:tc>
      </w:tr>
      <w:tr w:rsidR="002B7E06">
        <w:tblPrEx>
          <w:tblCellMar>
            <w:top w:w="0" w:type="dxa"/>
            <w:bottom w:w="0" w:type="dxa"/>
          </w:tblCellMar>
        </w:tblPrEx>
        <w:trPr>
          <w:cantSplit/>
        </w:trPr>
        <w:tc>
          <w:tcPr>
            <w:tcW w:w="8375" w:type="dxa"/>
            <w:gridSpan w:val="2"/>
          </w:tcPr>
          <w:p w:rsidR="002B7E06" w:rsidRDefault="002B7E06" w:rsidP="00724DCE">
            <w:pPr>
              <w:numPr>
                <w:ilvl w:val="1"/>
                <w:numId w:val="1"/>
              </w:numPr>
              <w:tabs>
                <w:tab w:val="right" w:pos="1080"/>
                <w:tab w:val="left" w:pos="1296"/>
                <w:tab w:val="left" w:pos="1728"/>
                <w:tab w:val="left" w:pos="2160"/>
                <w:tab w:val="left" w:pos="2592"/>
                <w:tab w:val="left" w:pos="3024"/>
                <w:tab w:val="right" w:leader="dot" w:pos="8381"/>
              </w:tabs>
              <w:spacing w:after="120"/>
              <w:rPr>
                <w:rFonts w:hint="eastAsia"/>
              </w:rPr>
            </w:pPr>
            <w:r>
              <w:rPr>
                <w:rFonts w:hint="eastAsia"/>
              </w:rPr>
              <w:t>第6条</w:t>
            </w:r>
            <w:r>
              <w:t>.</w:t>
            </w:r>
            <w:r w:rsidR="00B11EB5">
              <w:rPr>
                <w:rFonts w:hint="eastAsia"/>
              </w:rPr>
              <w:t xml:space="preserve"> </w:t>
            </w:r>
            <w:r>
              <w:rPr>
                <w:rFonts w:hint="eastAsia"/>
              </w:rPr>
              <w:t>缔约国为禁止一切形式贩卖妇女和利用妇女卖淫营利</w:t>
            </w:r>
            <w:r>
              <w:br/>
            </w:r>
            <w:r>
              <w:rPr>
                <w:rFonts w:hint="eastAsia"/>
              </w:rPr>
              <w:t>行为采取的措施</w:t>
            </w:r>
            <w:r>
              <w:tab/>
            </w:r>
          </w:p>
        </w:tc>
        <w:tc>
          <w:tcPr>
            <w:tcW w:w="994" w:type="dxa"/>
            <w:vAlign w:val="bottom"/>
          </w:tcPr>
          <w:p w:rsidR="002B7E06" w:rsidRDefault="00A007D7" w:rsidP="00724DCE">
            <w:pPr>
              <w:spacing w:after="120"/>
              <w:ind w:right="28"/>
              <w:jc w:val="right"/>
            </w:pPr>
            <w:r>
              <w:t>113-125</w:t>
            </w:r>
          </w:p>
        </w:tc>
        <w:tc>
          <w:tcPr>
            <w:tcW w:w="533" w:type="dxa"/>
            <w:vAlign w:val="bottom"/>
          </w:tcPr>
          <w:p w:rsidR="002B7E06" w:rsidRDefault="005C0E92" w:rsidP="00724DCE">
            <w:pPr>
              <w:spacing w:after="120"/>
              <w:ind w:right="28"/>
              <w:jc w:val="right"/>
            </w:pPr>
            <w:r>
              <w:t>20</w:t>
            </w:r>
          </w:p>
        </w:tc>
      </w:tr>
      <w:tr w:rsidR="00A62BEE">
        <w:tblPrEx>
          <w:tblCellMar>
            <w:top w:w="0" w:type="dxa"/>
            <w:bottom w:w="0" w:type="dxa"/>
          </w:tblCellMar>
        </w:tblPrEx>
        <w:trPr>
          <w:cantSplit/>
        </w:trPr>
        <w:tc>
          <w:tcPr>
            <w:tcW w:w="8375" w:type="dxa"/>
            <w:gridSpan w:val="2"/>
          </w:tcPr>
          <w:p w:rsidR="00A62BEE" w:rsidRDefault="002B7E06" w:rsidP="00724DCE">
            <w:pPr>
              <w:numPr>
                <w:ilvl w:val="1"/>
                <w:numId w:val="1"/>
              </w:numPr>
              <w:tabs>
                <w:tab w:val="right" w:pos="1080"/>
                <w:tab w:val="right" w:leader="dot" w:pos="8381"/>
              </w:tabs>
              <w:spacing w:after="120"/>
            </w:pPr>
            <w:r>
              <w:rPr>
                <w:rFonts w:hint="eastAsia"/>
              </w:rPr>
              <w:t>第7条</w:t>
            </w:r>
            <w:r>
              <w:t>.</w:t>
            </w:r>
            <w:r w:rsidR="00B11EB5">
              <w:rPr>
                <w:rFonts w:hint="eastAsia"/>
              </w:rPr>
              <w:t xml:space="preserve"> </w:t>
            </w:r>
            <w:r>
              <w:rPr>
                <w:rFonts w:hint="eastAsia"/>
              </w:rPr>
              <w:t>公平的政治和公共生活</w:t>
            </w:r>
            <w:r w:rsidR="00A62BEE">
              <w:tab/>
            </w:r>
            <w:r w:rsidR="00A62BEE">
              <w:tab/>
            </w:r>
          </w:p>
        </w:tc>
        <w:tc>
          <w:tcPr>
            <w:tcW w:w="994" w:type="dxa"/>
            <w:vAlign w:val="bottom"/>
          </w:tcPr>
          <w:p w:rsidR="00A62BEE" w:rsidRDefault="00A007D7" w:rsidP="00724DCE">
            <w:pPr>
              <w:spacing w:after="120"/>
              <w:ind w:right="28"/>
              <w:jc w:val="right"/>
            </w:pPr>
            <w:r>
              <w:t>126-135</w:t>
            </w:r>
          </w:p>
        </w:tc>
        <w:tc>
          <w:tcPr>
            <w:tcW w:w="533" w:type="dxa"/>
            <w:vAlign w:val="bottom"/>
          </w:tcPr>
          <w:p w:rsidR="00A62BEE" w:rsidRDefault="005C0E92" w:rsidP="00724DCE">
            <w:pPr>
              <w:spacing w:after="120"/>
              <w:ind w:right="28"/>
              <w:jc w:val="right"/>
            </w:pPr>
            <w:r>
              <w:t>22</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40"/>
              <w:rPr>
                <w:rFonts w:hint="eastAsia"/>
              </w:rPr>
            </w:pPr>
            <w:r>
              <w:rPr>
                <w:rFonts w:hint="eastAsia"/>
              </w:rPr>
              <w:t>第8条</w:t>
            </w:r>
            <w:r>
              <w:t>.</w:t>
            </w:r>
            <w:r w:rsidR="00B11EB5">
              <w:rPr>
                <w:rFonts w:hint="eastAsia"/>
              </w:rPr>
              <w:t xml:space="preserve"> </w:t>
            </w:r>
            <w:r>
              <w:rPr>
                <w:rFonts w:hint="eastAsia"/>
              </w:rPr>
              <w:t>国际层面的政治和公共生活平等</w:t>
            </w:r>
            <w:r>
              <w:tab/>
            </w:r>
          </w:p>
        </w:tc>
        <w:tc>
          <w:tcPr>
            <w:tcW w:w="994" w:type="dxa"/>
            <w:vAlign w:val="bottom"/>
          </w:tcPr>
          <w:p w:rsidR="002B7E06" w:rsidRDefault="00A007D7">
            <w:pPr>
              <w:spacing w:after="140"/>
              <w:ind w:right="28"/>
              <w:jc w:val="right"/>
            </w:pPr>
            <w:r>
              <w:t>136-139</w:t>
            </w:r>
          </w:p>
        </w:tc>
        <w:tc>
          <w:tcPr>
            <w:tcW w:w="533" w:type="dxa"/>
            <w:vAlign w:val="bottom"/>
          </w:tcPr>
          <w:p w:rsidR="002B7E06" w:rsidRDefault="005C0E92">
            <w:pPr>
              <w:spacing w:after="140"/>
              <w:ind w:right="28"/>
              <w:jc w:val="right"/>
            </w:pPr>
            <w:r>
              <w:t>23</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left" w:pos="3456"/>
                <w:tab w:val="left" w:pos="3888"/>
                <w:tab w:val="right" w:leader="dot" w:pos="8381"/>
              </w:tabs>
              <w:spacing w:after="140"/>
              <w:rPr>
                <w:rFonts w:hint="eastAsia"/>
              </w:rPr>
            </w:pPr>
            <w:r>
              <w:rPr>
                <w:rFonts w:hint="eastAsia"/>
              </w:rPr>
              <w:t>第9条</w:t>
            </w:r>
            <w:r>
              <w:t>.</w:t>
            </w:r>
            <w:r w:rsidR="00B11EB5">
              <w:rPr>
                <w:rFonts w:hint="eastAsia"/>
              </w:rPr>
              <w:t xml:space="preserve"> </w:t>
            </w:r>
            <w:r>
              <w:rPr>
                <w:rFonts w:hint="eastAsia"/>
              </w:rPr>
              <w:t>国籍方面的平等权利</w:t>
            </w:r>
            <w:r>
              <w:tab/>
            </w:r>
          </w:p>
        </w:tc>
        <w:tc>
          <w:tcPr>
            <w:tcW w:w="994" w:type="dxa"/>
            <w:vAlign w:val="bottom"/>
          </w:tcPr>
          <w:p w:rsidR="002B7E06" w:rsidRDefault="00A007D7">
            <w:pPr>
              <w:spacing w:after="140"/>
              <w:ind w:right="28"/>
              <w:jc w:val="right"/>
            </w:pPr>
            <w:r>
              <w:t>140</w:t>
            </w:r>
          </w:p>
        </w:tc>
        <w:tc>
          <w:tcPr>
            <w:tcW w:w="533" w:type="dxa"/>
            <w:vAlign w:val="bottom"/>
          </w:tcPr>
          <w:p w:rsidR="002B7E06" w:rsidRDefault="005C0E92">
            <w:pPr>
              <w:spacing w:after="140"/>
              <w:ind w:right="28"/>
              <w:jc w:val="right"/>
            </w:pPr>
            <w:r>
              <w:t>23</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left" w:pos="3456"/>
                <w:tab w:val="left" w:pos="3888"/>
                <w:tab w:val="right" w:leader="dot" w:pos="8381"/>
              </w:tabs>
              <w:spacing w:after="140"/>
              <w:rPr>
                <w:rFonts w:hint="eastAsia"/>
              </w:rPr>
            </w:pPr>
            <w:r>
              <w:rPr>
                <w:rFonts w:hint="eastAsia"/>
              </w:rPr>
              <w:t>第10条</w:t>
            </w:r>
            <w:r>
              <w:t>.</w:t>
            </w:r>
            <w:r w:rsidR="00B11EB5">
              <w:rPr>
                <w:rFonts w:hint="eastAsia"/>
              </w:rPr>
              <w:t xml:space="preserve"> </w:t>
            </w:r>
            <w:r>
              <w:rPr>
                <w:rFonts w:hint="eastAsia"/>
              </w:rPr>
              <w:t>平等受教育权</w:t>
            </w:r>
            <w:r>
              <w:tab/>
            </w:r>
          </w:p>
        </w:tc>
        <w:tc>
          <w:tcPr>
            <w:tcW w:w="994" w:type="dxa"/>
            <w:vAlign w:val="bottom"/>
          </w:tcPr>
          <w:p w:rsidR="002B7E06" w:rsidRDefault="00A007D7">
            <w:pPr>
              <w:spacing w:after="140"/>
              <w:ind w:right="28"/>
              <w:jc w:val="right"/>
            </w:pPr>
            <w:r>
              <w:t>141-159</w:t>
            </w:r>
          </w:p>
        </w:tc>
        <w:tc>
          <w:tcPr>
            <w:tcW w:w="533" w:type="dxa"/>
            <w:vAlign w:val="bottom"/>
          </w:tcPr>
          <w:p w:rsidR="002B7E06" w:rsidRDefault="005C0E92">
            <w:pPr>
              <w:spacing w:after="140"/>
              <w:ind w:right="28"/>
              <w:jc w:val="right"/>
            </w:pPr>
            <w:r>
              <w:t>24</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381"/>
              </w:tabs>
              <w:spacing w:after="140"/>
              <w:rPr>
                <w:rFonts w:hint="eastAsia"/>
              </w:rPr>
            </w:pPr>
            <w:r>
              <w:rPr>
                <w:rFonts w:hint="eastAsia"/>
              </w:rPr>
              <w:t>第</w:t>
            </w:r>
            <w:r w:rsidR="00B11EB5">
              <w:rPr>
                <w:rFonts w:hint="eastAsia"/>
              </w:rPr>
              <w:t>11</w:t>
            </w:r>
            <w:r>
              <w:rPr>
                <w:rFonts w:hint="eastAsia"/>
              </w:rPr>
              <w:t>条.</w:t>
            </w:r>
            <w:r w:rsidR="00B11EB5">
              <w:rPr>
                <w:rFonts w:hint="eastAsia"/>
              </w:rPr>
              <w:t xml:space="preserve"> </w:t>
            </w:r>
            <w:r>
              <w:rPr>
                <w:rFonts w:hint="eastAsia"/>
              </w:rPr>
              <w:t>就业和工作的平等</w:t>
            </w:r>
            <w:r>
              <w:tab/>
            </w:r>
          </w:p>
        </w:tc>
        <w:tc>
          <w:tcPr>
            <w:tcW w:w="994" w:type="dxa"/>
            <w:vAlign w:val="bottom"/>
          </w:tcPr>
          <w:p w:rsidR="002B7E06" w:rsidRDefault="00A007D7">
            <w:pPr>
              <w:spacing w:after="140"/>
              <w:ind w:right="28"/>
              <w:jc w:val="right"/>
            </w:pPr>
            <w:r>
              <w:t>160-176</w:t>
            </w:r>
          </w:p>
        </w:tc>
        <w:tc>
          <w:tcPr>
            <w:tcW w:w="533" w:type="dxa"/>
            <w:vAlign w:val="bottom"/>
          </w:tcPr>
          <w:p w:rsidR="002B7E06" w:rsidRDefault="005C0E92">
            <w:pPr>
              <w:spacing w:after="140"/>
              <w:ind w:right="28"/>
              <w:jc w:val="right"/>
            </w:pPr>
            <w:r>
              <w:t>27</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381"/>
              </w:tabs>
              <w:spacing w:after="140"/>
              <w:rPr>
                <w:rFonts w:hint="eastAsia"/>
              </w:rPr>
            </w:pPr>
            <w:r>
              <w:rPr>
                <w:rFonts w:hint="eastAsia"/>
              </w:rPr>
              <w:t>第</w:t>
            </w:r>
            <w:r w:rsidR="00B11EB5">
              <w:rPr>
                <w:rFonts w:hint="eastAsia"/>
              </w:rPr>
              <w:t>12</w:t>
            </w:r>
            <w:r>
              <w:rPr>
                <w:rFonts w:hint="eastAsia"/>
              </w:rPr>
              <w:t>条.</w:t>
            </w:r>
            <w:r w:rsidR="00B11EB5">
              <w:rPr>
                <w:rFonts w:hint="eastAsia"/>
              </w:rPr>
              <w:t xml:space="preserve"> </w:t>
            </w:r>
            <w:r>
              <w:rPr>
                <w:rFonts w:hint="eastAsia"/>
              </w:rPr>
              <w:t>平等获得保健服务</w:t>
            </w:r>
            <w:r>
              <w:tab/>
            </w:r>
          </w:p>
        </w:tc>
        <w:tc>
          <w:tcPr>
            <w:tcW w:w="994" w:type="dxa"/>
            <w:vAlign w:val="bottom"/>
          </w:tcPr>
          <w:p w:rsidR="002B7E06" w:rsidRDefault="00A007D7">
            <w:pPr>
              <w:spacing w:after="140"/>
              <w:ind w:right="28"/>
              <w:jc w:val="right"/>
            </w:pPr>
            <w:r>
              <w:t>177-199</w:t>
            </w:r>
          </w:p>
        </w:tc>
        <w:tc>
          <w:tcPr>
            <w:tcW w:w="533" w:type="dxa"/>
            <w:vAlign w:val="bottom"/>
          </w:tcPr>
          <w:p w:rsidR="002B7E06" w:rsidRDefault="005C0E92">
            <w:pPr>
              <w:spacing w:after="140"/>
              <w:ind w:right="28"/>
              <w:jc w:val="right"/>
            </w:pPr>
            <w:r>
              <w:t>29</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40"/>
              <w:rPr>
                <w:rFonts w:hint="eastAsia"/>
              </w:rPr>
            </w:pPr>
            <w:r>
              <w:rPr>
                <w:rFonts w:hint="eastAsia"/>
              </w:rPr>
              <w:t>第13条</w:t>
            </w:r>
            <w:r>
              <w:t>.</w:t>
            </w:r>
            <w:r w:rsidR="00B11EB5">
              <w:rPr>
                <w:rFonts w:hint="eastAsia"/>
              </w:rPr>
              <w:t xml:space="preserve"> </w:t>
            </w:r>
            <w:r>
              <w:rPr>
                <w:rFonts w:hint="eastAsia"/>
              </w:rPr>
              <w:t>经济和社会安全方面的平等权利</w:t>
            </w:r>
            <w:r>
              <w:tab/>
            </w:r>
          </w:p>
        </w:tc>
        <w:tc>
          <w:tcPr>
            <w:tcW w:w="994" w:type="dxa"/>
            <w:vAlign w:val="bottom"/>
          </w:tcPr>
          <w:p w:rsidR="002B7E06" w:rsidRDefault="00A007D7">
            <w:pPr>
              <w:spacing w:after="140"/>
              <w:ind w:right="28"/>
              <w:jc w:val="right"/>
            </w:pPr>
            <w:r>
              <w:t>200-217</w:t>
            </w:r>
          </w:p>
        </w:tc>
        <w:tc>
          <w:tcPr>
            <w:tcW w:w="533" w:type="dxa"/>
            <w:vAlign w:val="bottom"/>
          </w:tcPr>
          <w:p w:rsidR="002B7E06" w:rsidRDefault="005C0E92">
            <w:pPr>
              <w:spacing w:after="140"/>
              <w:ind w:right="28"/>
              <w:jc w:val="right"/>
            </w:pPr>
            <w:r>
              <w:t>32</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right" w:leader="dot" w:pos="8381"/>
              </w:tabs>
              <w:spacing w:after="140"/>
              <w:rPr>
                <w:rFonts w:hint="eastAsia"/>
              </w:rPr>
            </w:pPr>
            <w:r>
              <w:rPr>
                <w:rFonts w:hint="eastAsia"/>
              </w:rPr>
              <w:t>第14条.</w:t>
            </w:r>
            <w:r w:rsidR="00B11EB5">
              <w:rPr>
                <w:rFonts w:hint="eastAsia"/>
              </w:rPr>
              <w:t xml:space="preserve"> </w:t>
            </w:r>
            <w:r>
              <w:rPr>
                <w:rFonts w:hint="eastAsia"/>
              </w:rPr>
              <w:t>农村妇女</w:t>
            </w:r>
            <w:r>
              <w:tab/>
            </w:r>
          </w:p>
        </w:tc>
        <w:tc>
          <w:tcPr>
            <w:tcW w:w="994" w:type="dxa"/>
            <w:vAlign w:val="bottom"/>
          </w:tcPr>
          <w:p w:rsidR="002B7E06" w:rsidRDefault="00A007D7">
            <w:pPr>
              <w:spacing w:after="140"/>
              <w:ind w:right="28"/>
              <w:jc w:val="right"/>
            </w:pPr>
            <w:r>
              <w:t>218-230</w:t>
            </w:r>
          </w:p>
        </w:tc>
        <w:tc>
          <w:tcPr>
            <w:tcW w:w="533" w:type="dxa"/>
            <w:vAlign w:val="bottom"/>
          </w:tcPr>
          <w:p w:rsidR="002B7E06" w:rsidRDefault="005C0E92">
            <w:pPr>
              <w:spacing w:after="140"/>
              <w:ind w:right="28"/>
              <w:jc w:val="right"/>
            </w:pPr>
            <w:r>
              <w:t>35</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381"/>
              </w:tabs>
              <w:spacing w:after="140"/>
              <w:rPr>
                <w:rFonts w:hint="eastAsia"/>
              </w:rPr>
            </w:pPr>
            <w:r>
              <w:rPr>
                <w:rFonts w:hint="eastAsia"/>
              </w:rPr>
              <w:t>第15条.</w:t>
            </w:r>
            <w:r w:rsidR="00B11EB5">
              <w:rPr>
                <w:rFonts w:hint="eastAsia"/>
              </w:rPr>
              <w:t xml:space="preserve"> </w:t>
            </w:r>
            <w:r>
              <w:rPr>
                <w:rFonts w:hint="eastAsia"/>
              </w:rPr>
              <w:t>法律平等和公民平等</w:t>
            </w:r>
            <w:r>
              <w:tab/>
            </w:r>
          </w:p>
        </w:tc>
        <w:tc>
          <w:tcPr>
            <w:tcW w:w="994" w:type="dxa"/>
            <w:vAlign w:val="bottom"/>
          </w:tcPr>
          <w:p w:rsidR="002B7E06" w:rsidRDefault="00A007D7">
            <w:pPr>
              <w:spacing w:after="140"/>
              <w:ind w:right="28"/>
              <w:jc w:val="right"/>
            </w:pPr>
            <w:r>
              <w:t>231</w:t>
            </w:r>
          </w:p>
        </w:tc>
        <w:tc>
          <w:tcPr>
            <w:tcW w:w="533" w:type="dxa"/>
            <w:vAlign w:val="bottom"/>
          </w:tcPr>
          <w:p w:rsidR="002B7E06" w:rsidRDefault="005C0E92">
            <w:pPr>
              <w:spacing w:after="140"/>
              <w:ind w:right="28"/>
              <w:jc w:val="right"/>
            </w:pPr>
            <w:r>
              <w:t>36</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left" w:pos="3456"/>
                <w:tab w:val="left" w:pos="3888"/>
                <w:tab w:val="left" w:pos="4320"/>
                <w:tab w:val="right" w:leader="dot" w:pos="8381"/>
              </w:tabs>
              <w:spacing w:after="140"/>
              <w:rPr>
                <w:rFonts w:hint="eastAsia"/>
              </w:rPr>
            </w:pPr>
            <w:r>
              <w:rPr>
                <w:rFonts w:hint="eastAsia"/>
              </w:rPr>
              <w:t>第16条.</w:t>
            </w:r>
            <w:r w:rsidR="00B11EB5">
              <w:rPr>
                <w:rFonts w:hint="eastAsia"/>
              </w:rPr>
              <w:t xml:space="preserve"> </w:t>
            </w:r>
            <w:r>
              <w:rPr>
                <w:rFonts w:hint="eastAsia"/>
              </w:rPr>
              <w:t>婚姻和家庭中的平等</w:t>
            </w:r>
            <w:r>
              <w:tab/>
            </w:r>
          </w:p>
        </w:tc>
        <w:tc>
          <w:tcPr>
            <w:tcW w:w="994" w:type="dxa"/>
            <w:vAlign w:val="bottom"/>
          </w:tcPr>
          <w:p w:rsidR="002B7E06" w:rsidRDefault="00A007D7">
            <w:pPr>
              <w:spacing w:after="140"/>
              <w:ind w:right="28"/>
              <w:jc w:val="right"/>
            </w:pPr>
            <w:r>
              <w:t>232-234</w:t>
            </w:r>
          </w:p>
        </w:tc>
        <w:tc>
          <w:tcPr>
            <w:tcW w:w="533" w:type="dxa"/>
            <w:vAlign w:val="bottom"/>
          </w:tcPr>
          <w:p w:rsidR="002B7E06" w:rsidRDefault="005C0E92">
            <w:pPr>
              <w:spacing w:after="140"/>
              <w:ind w:right="28"/>
              <w:jc w:val="right"/>
            </w:pPr>
            <w:r>
              <w:t>36</w:t>
            </w:r>
          </w:p>
        </w:tc>
      </w:tr>
      <w:tr w:rsidR="002B7E06">
        <w:tblPrEx>
          <w:tblCellMar>
            <w:top w:w="0" w:type="dxa"/>
            <w:bottom w:w="0" w:type="dxa"/>
          </w:tblCellMar>
        </w:tblPrEx>
        <w:trPr>
          <w:cantSplit/>
        </w:trPr>
        <w:tc>
          <w:tcPr>
            <w:tcW w:w="8375" w:type="dxa"/>
            <w:gridSpan w:val="2"/>
          </w:tcPr>
          <w:p w:rsidR="002B7E06" w:rsidRDefault="002B7E06" w:rsidP="002B7E06">
            <w:pPr>
              <w:numPr>
                <w:ilvl w:val="1"/>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40"/>
              <w:rPr>
                <w:rFonts w:hint="eastAsia"/>
              </w:rPr>
            </w:pPr>
            <w:r>
              <w:rPr>
                <w:rFonts w:hint="eastAsia"/>
              </w:rPr>
              <w:t>第17条.</w:t>
            </w:r>
            <w:r w:rsidR="00B11EB5">
              <w:rPr>
                <w:rFonts w:hint="eastAsia"/>
              </w:rPr>
              <w:t xml:space="preserve"> </w:t>
            </w:r>
            <w:r>
              <w:rPr>
                <w:rFonts w:hint="eastAsia"/>
              </w:rPr>
              <w:t>暴力侵害妇女行为(委员会第19号一般性建议)</w:t>
            </w:r>
            <w:r>
              <w:tab/>
            </w:r>
          </w:p>
        </w:tc>
        <w:tc>
          <w:tcPr>
            <w:tcW w:w="994" w:type="dxa"/>
            <w:vAlign w:val="bottom"/>
          </w:tcPr>
          <w:p w:rsidR="002B7E06" w:rsidRDefault="00A007D7">
            <w:pPr>
              <w:spacing w:after="140"/>
              <w:ind w:right="28"/>
              <w:jc w:val="right"/>
            </w:pPr>
            <w:r>
              <w:t>235-246</w:t>
            </w:r>
          </w:p>
        </w:tc>
        <w:tc>
          <w:tcPr>
            <w:tcW w:w="533" w:type="dxa"/>
            <w:vAlign w:val="bottom"/>
          </w:tcPr>
          <w:p w:rsidR="002B7E06" w:rsidRDefault="005C0E92">
            <w:pPr>
              <w:spacing w:after="140"/>
              <w:ind w:right="28"/>
              <w:jc w:val="right"/>
            </w:pPr>
            <w:r>
              <w:t>37</w:t>
            </w:r>
          </w:p>
        </w:tc>
      </w:tr>
    </w:tbl>
    <w:p w:rsidR="00A62BEE" w:rsidRDefault="00A62BEE"/>
    <w:p w:rsidR="00A62BEE" w:rsidRDefault="00A62BEE" w:rsidP="00A62BEE">
      <w:pPr>
        <w:pStyle w:val="SingleTxt"/>
        <w:rPr>
          <w:rFonts w:ascii="Times New Roman"/>
        </w:rPr>
      </w:pPr>
    </w:p>
    <w:p w:rsidR="00A62BEE" w:rsidRDefault="00A62BEE" w:rsidP="00A62BEE">
      <w:pPr>
        <w:pStyle w:val="SingleTxt"/>
        <w:rPr>
          <w:rFonts w:ascii="Times New Roman"/>
        </w:rPr>
      </w:pPr>
    </w:p>
    <w:p w:rsidR="00D03498" w:rsidRDefault="00A62BEE" w:rsidP="00D0349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br w:type="page"/>
      </w:r>
      <w:r w:rsidR="00D03498">
        <w:rPr>
          <w:rFonts w:ascii="Times New Roman"/>
        </w:rPr>
        <w:tab/>
      </w:r>
      <w:r w:rsidR="00D03498">
        <w:rPr>
          <w:rFonts w:hint="eastAsia"/>
        </w:rPr>
        <w:t>一．</w:t>
      </w:r>
      <w:r w:rsidR="00D03498">
        <w:tab/>
      </w:r>
      <w:r w:rsidR="00D03498">
        <w:rPr>
          <w:rFonts w:hint="eastAsia"/>
        </w:rPr>
        <w:t>前言</w:t>
      </w:r>
    </w:p>
    <w:p w:rsidR="00D03498" w:rsidRPr="00A56827" w:rsidRDefault="00D03498" w:rsidP="00D03498">
      <w:pPr>
        <w:pStyle w:val="SingleTxt"/>
        <w:spacing w:after="0" w:line="120" w:lineRule="exact"/>
        <w:rPr>
          <w:rFonts w:hint="eastAsia"/>
          <w:sz w:val="10"/>
        </w:rPr>
      </w:pPr>
    </w:p>
    <w:p w:rsidR="00D03498" w:rsidRPr="00A56827" w:rsidRDefault="00D03498" w:rsidP="00D03498">
      <w:pPr>
        <w:pStyle w:val="SingleTxt"/>
        <w:spacing w:after="0" w:line="120" w:lineRule="exact"/>
        <w:rPr>
          <w:rFonts w:hint="eastAsia"/>
          <w:sz w:val="10"/>
        </w:rPr>
      </w:pPr>
    </w:p>
    <w:p w:rsidR="00D03498" w:rsidRDefault="00D03498" w:rsidP="00D03498">
      <w:pPr>
        <w:pStyle w:val="SingleTxt"/>
        <w:rPr>
          <w:rFonts w:hint="eastAsia"/>
        </w:rPr>
      </w:pPr>
      <w:r>
        <w:rPr>
          <w:rFonts w:hint="eastAsia"/>
        </w:rPr>
        <w:t>1.</w:t>
      </w:r>
      <w:r>
        <w:rPr>
          <w:rFonts w:hint="eastAsia"/>
        </w:rPr>
        <w:tab/>
        <w:t xml:space="preserve">多米尼加于1982年签署和批准了《消除对妇女一切形式歧视公约》，并批准了于2002年6月生效的任择议定书。迄今为止，多米尼加已提交了五份报告。本报告为第六和第七次合并报告，所涉期间为2003-2007年和2007-2011年。 </w:t>
      </w:r>
    </w:p>
    <w:p w:rsidR="00D03498" w:rsidRDefault="00D03498" w:rsidP="00D03498">
      <w:pPr>
        <w:pStyle w:val="SingleTxt"/>
        <w:rPr>
          <w:rFonts w:hint="eastAsia"/>
        </w:rPr>
      </w:pPr>
      <w:r>
        <w:rPr>
          <w:rFonts w:hint="eastAsia"/>
        </w:rPr>
        <w:t>2.</w:t>
      </w:r>
      <w:r>
        <w:rPr>
          <w:rFonts w:hint="eastAsia"/>
        </w:rPr>
        <w:tab/>
        <w:t>妇女部负责监控多米尼加在尊重妇女权利方面的国际承诺合规情况，因此，本次定期报告由该部负责拟订。</w:t>
      </w:r>
    </w:p>
    <w:p w:rsidR="00D03498" w:rsidRDefault="00D03498" w:rsidP="00D03498">
      <w:pPr>
        <w:pStyle w:val="SingleTxt"/>
        <w:rPr>
          <w:rFonts w:hint="eastAsia"/>
        </w:rPr>
      </w:pPr>
      <w:r>
        <w:rPr>
          <w:rFonts w:hint="eastAsia"/>
        </w:rPr>
        <w:t>3.</w:t>
      </w:r>
      <w:r>
        <w:rPr>
          <w:rFonts w:hint="eastAsia"/>
        </w:rPr>
        <w:tab/>
        <w:t>本报告介绍多米尼加共和国业已取得的进展及其在国家、省、市各级政府的行政、立法和司法部门的相关利益攸关方为促进男女平等、消除基于性别的歧视而开展和实施的行动、方案和政策。</w:t>
      </w:r>
    </w:p>
    <w:p w:rsidR="00D03498" w:rsidRDefault="00D03498" w:rsidP="00D03498">
      <w:pPr>
        <w:pStyle w:val="SingleTxt"/>
        <w:rPr>
          <w:rFonts w:hint="eastAsia"/>
        </w:rPr>
      </w:pPr>
      <w:r>
        <w:rPr>
          <w:rFonts w:hint="eastAsia"/>
        </w:rPr>
        <w:t>4.</w:t>
      </w:r>
      <w:r>
        <w:rPr>
          <w:rFonts w:hint="eastAsia"/>
        </w:rPr>
        <w:tab/>
        <w:t>本报告提及先前提交给消除对妇女歧视委员会的报告、区域和次区域承诺的后续行动以及委员会的准则。</w:t>
      </w:r>
    </w:p>
    <w:p w:rsidR="00D03498" w:rsidRDefault="00D03498" w:rsidP="00D03498">
      <w:pPr>
        <w:pStyle w:val="SingleTxt"/>
        <w:rPr>
          <w:rFonts w:hint="eastAsia"/>
        </w:rPr>
      </w:pPr>
      <w:r>
        <w:rPr>
          <w:rFonts w:hint="eastAsia"/>
        </w:rPr>
        <w:t>5.</w:t>
      </w:r>
      <w:r>
        <w:rPr>
          <w:rFonts w:hint="eastAsia"/>
        </w:rPr>
        <w:tab/>
        <w:t>本报告还回顾了国家和地方旨在提高妇女地位的法律和监管框架的相关文件、关于政策和计划进展情况的报告以及与《公约》确定的主题有关的方案、调查、研究、官方数据和评价。</w:t>
      </w:r>
    </w:p>
    <w:p w:rsidR="00D03498" w:rsidRDefault="00D03498" w:rsidP="00D03498">
      <w:pPr>
        <w:pStyle w:val="SingleTxt"/>
        <w:rPr>
          <w:rFonts w:hint="eastAsia"/>
        </w:rPr>
      </w:pPr>
      <w:r>
        <w:rPr>
          <w:rFonts w:hint="eastAsia"/>
        </w:rPr>
        <w:t>6.</w:t>
      </w:r>
      <w:r>
        <w:rPr>
          <w:rFonts w:hint="eastAsia"/>
        </w:rPr>
        <w:tab/>
        <w:t>我们咨询了许多官方和民间社会信息来源，他们从定性和定量的角度为报告资料的客观性和价值作出了重大贡献。</w:t>
      </w:r>
    </w:p>
    <w:p w:rsidR="00D03498" w:rsidRDefault="00D03498" w:rsidP="00D03498">
      <w:pPr>
        <w:pStyle w:val="SingleTxt"/>
      </w:pPr>
      <w:r>
        <w:rPr>
          <w:rFonts w:hint="eastAsia"/>
        </w:rPr>
        <w:t>7.</w:t>
      </w:r>
      <w:r>
        <w:tab/>
      </w:r>
      <w:r>
        <w:rPr>
          <w:rFonts w:hint="eastAsia"/>
        </w:rPr>
        <w:t>本报告涉及的其他利益攸关方包括：负责国家统计系统的国家统计局；对就业情况和经济运行状况进行定期调查的中央银行；中央政府的部门办事处；市一级政府；司法机关和国会。</w:t>
      </w:r>
    </w:p>
    <w:p w:rsidR="00D03498" w:rsidRDefault="00D03498" w:rsidP="00D0349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hint="eastAsia"/>
        </w:rPr>
        <w:t>二.</w:t>
      </w:r>
      <w:r>
        <w:tab/>
      </w:r>
      <w:r>
        <w:rPr>
          <w:rFonts w:hint="eastAsia"/>
        </w:rPr>
        <w:t>导言</w:t>
      </w:r>
    </w:p>
    <w:p w:rsidR="00D03498" w:rsidRPr="00A56827" w:rsidRDefault="00D03498" w:rsidP="00D03498">
      <w:pPr>
        <w:pStyle w:val="SingleTxt"/>
        <w:spacing w:after="0" w:line="120" w:lineRule="exact"/>
        <w:rPr>
          <w:sz w:val="10"/>
        </w:rPr>
      </w:pPr>
    </w:p>
    <w:p w:rsidR="00D03498" w:rsidRPr="00A56827" w:rsidRDefault="00D03498" w:rsidP="00D03498">
      <w:pPr>
        <w:pStyle w:val="SingleTxt"/>
        <w:spacing w:after="0" w:line="120" w:lineRule="exact"/>
        <w:rPr>
          <w:rFonts w:hint="eastAsia"/>
          <w:sz w:val="10"/>
        </w:rPr>
      </w:pPr>
    </w:p>
    <w:p w:rsidR="00D03498" w:rsidRDefault="00D03498" w:rsidP="00D03498">
      <w:pPr>
        <w:pStyle w:val="SingleTxt"/>
        <w:rPr>
          <w:rFonts w:hint="eastAsia"/>
        </w:rPr>
      </w:pPr>
      <w:r>
        <w:rPr>
          <w:rFonts w:hint="eastAsia"/>
        </w:rPr>
        <w:t>8.</w:t>
      </w:r>
      <w:r>
        <w:rPr>
          <w:rFonts w:hint="eastAsia"/>
        </w:rPr>
        <w:tab/>
        <w:t>多米尼加共和国和海地共和国共同组成大安的列斯群岛的第二大岛屿伊斯帕尼奥拉岛。该岛总面积为77 914平方公里，其中多米尼加共和国占地48 000平方公里，海地占地29 244平方公里。沙翁纳岛和贝亚他岛也属于多米尼加领土。多米尼加的海岸线长1 500公里。其地理坐标为西经68</w:t>
      </w:r>
      <w:r>
        <w:rPr>
          <w:rFonts w:hAnsi="SimSun" w:hint="eastAsia"/>
        </w:rPr>
        <w:t>°</w:t>
      </w:r>
      <w:r>
        <w:rPr>
          <w:rFonts w:hint="eastAsia"/>
        </w:rPr>
        <w:t>30'北纬18°20'。多米尼加拥有自然分界线：大西洋位于其北部；加勒比海位于其南部；莫纳海峡位于其东部；海地共和国位于其西部。</w:t>
      </w:r>
    </w:p>
    <w:p w:rsidR="00D03498" w:rsidRDefault="00D03498" w:rsidP="00D03498">
      <w:pPr>
        <w:pStyle w:val="SingleTxt"/>
        <w:rPr>
          <w:rFonts w:hint="eastAsia"/>
        </w:rPr>
      </w:pPr>
      <w:r>
        <w:rPr>
          <w:rFonts w:hint="eastAsia"/>
        </w:rPr>
        <w:t>9.</w:t>
      </w:r>
      <w:r>
        <w:rPr>
          <w:rFonts w:hint="eastAsia"/>
        </w:rPr>
        <w:tab/>
        <w:t>多米尼加共和国政府本质上是一个实行民主和代议制的共和制公民政府，分为立法机关、行政机关和司法机关三个分支。多米尼加共和国是一个法治的社会民主国家，作为一个统一的共和国存在，建立在尊重人的尊严、基本权利、工作权、人民主权、政府权力相互分离和独立的基础之上。</w:t>
      </w:r>
    </w:p>
    <w:p w:rsidR="00D03498" w:rsidRDefault="00D03498" w:rsidP="00D03498">
      <w:pPr>
        <w:pStyle w:val="SingleTxt"/>
        <w:rPr>
          <w:rFonts w:hint="eastAsia"/>
        </w:rPr>
      </w:pPr>
      <w:r>
        <w:rPr>
          <w:rFonts w:hint="eastAsia"/>
        </w:rPr>
        <w:t>10.</w:t>
      </w:r>
      <w:r>
        <w:rPr>
          <w:rFonts w:hint="eastAsia"/>
        </w:rPr>
        <w:tab/>
        <w:t>共和国总统以国家元首和政府首脑的身份依照宪法的规定代表人民行使行政权力。总统由直接投票选举产生，每届任期四年。</w:t>
      </w:r>
    </w:p>
    <w:p w:rsidR="00D03498" w:rsidRDefault="00D03498" w:rsidP="00D03498">
      <w:pPr>
        <w:pStyle w:val="SingleTxt"/>
        <w:rPr>
          <w:rFonts w:hint="eastAsia"/>
        </w:rPr>
      </w:pPr>
      <w:r>
        <w:rPr>
          <w:rFonts w:hint="eastAsia"/>
        </w:rPr>
        <w:t>11.</w:t>
      </w:r>
      <w:r>
        <w:rPr>
          <w:rFonts w:hint="eastAsia"/>
        </w:rPr>
        <w:tab/>
        <w:t>由参议院和众议院组成的多米尼加共和国国会行使立法权力。国会成员通过每四年一次的普选直接选出，但2010</w:t>
      </w:r>
      <w:r>
        <w:t>-</w:t>
      </w:r>
      <w:r>
        <w:rPr>
          <w:rFonts w:hint="eastAsia"/>
        </w:rPr>
        <w:t>2016年期间除外，当时延迟选举的原因是为了让总统、国会和市政选举三选合一，得以在同一年举行。</w:t>
      </w:r>
    </w:p>
    <w:p w:rsidR="00D03498" w:rsidRDefault="00D03498" w:rsidP="00D03498">
      <w:pPr>
        <w:pStyle w:val="SingleTxt"/>
        <w:rPr>
          <w:rFonts w:hint="eastAsia"/>
        </w:rPr>
      </w:pPr>
      <w:r>
        <w:rPr>
          <w:rFonts w:hint="eastAsia"/>
        </w:rPr>
        <w:t>12.</w:t>
      </w:r>
      <w:r>
        <w:rPr>
          <w:rFonts w:hint="eastAsia"/>
        </w:rPr>
        <w:tab/>
        <w:t>参议院由32名参议员组成，每个省和国家特区均有一个名额。众议院人数按每5万居民或2万5千居民推举一名代表确定。目前共有178名众议员(对应不同的省份和选区)与5名全国代表。</w:t>
      </w:r>
    </w:p>
    <w:p w:rsidR="00D03498" w:rsidRDefault="00D03498" w:rsidP="00D03498">
      <w:pPr>
        <w:pStyle w:val="SingleTxt"/>
        <w:rPr>
          <w:rFonts w:hint="eastAsia"/>
        </w:rPr>
      </w:pPr>
      <w:r>
        <w:rPr>
          <w:rFonts w:hint="eastAsia"/>
        </w:rPr>
        <w:t>13.</w:t>
      </w:r>
      <w:r>
        <w:rPr>
          <w:rFonts w:hint="eastAsia"/>
        </w:rPr>
        <w:tab/>
        <w:t>司法权属于最高司法机构——最高法院以及根据共和国宪法和法律设立的其他法院。最高法院由至少16名法官组成。司法系统包括上诉法院、初审法院、治安法庭、行政法庭、专门法庭和检察院。检察院是负责制定和执行调查、起诉和惩罚犯罪行为的政策的司法机构。</w:t>
      </w:r>
    </w:p>
    <w:p w:rsidR="00D03498" w:rsidRDefault="00D03498" w:rsidP="00D03498">
      <w:pPr>
        <w:pStyle w:val="SingleTxt"/>
        <w:rPr>
          <w:rFonts w:hint="eastAsia"/>
        </w:rPr>
      </w:pPr>
      <w:r>
        <w:rPr>
          <w:rFonts w:hint="eastAsia"/>
        </w:rPr>
        <w:t>14.</w:t>
      </w:r>
      <w:r>
        <w:rPr>
          <w:rFonts w:hint="eastAsia"/>
        </w:rPr>
        <w:tab/>
        <w:t>在过去50年中，多米尼加共和国的人口趋势发生了重大改变。2010年的总人口估计约980万人，预计2015年将达到1 040万，到2030年增长至约1 200万。</w:t>
      </w:r>
      <w:r w:rsidRPr="00D03498">
        <w:rPr>
          <w:rStyle w:val="FootnoteReference"/>
        </w:rPr>
        <w:footnoteReference w:id="1"/>
      </w:r>
      <w:r>
        <w:t xml:space="preserve"> </w:t>
      </w:r>
      <w:r>
        <w:rPr>
          <w:rFonts w:hint="eastAsia"/>
        </w:rPr>
        <w:t>人口增长率趋向逐步降低，因此，尽管在过去的几十年中的年均人口增长率达3%，但今后一段时期的年均增长率估计只有1.6%左右。</w:t>
      </w:r>
    </w:p>
    <w:p w:rsidR="00D03498" w:rsidRDefault="00D03498" w:rsidP="00D03498">
      <w:pPr>
        <w:pStyle w:val="SingleTxt"/>
        <w:rPr>
          <w:rFonts w:hint="eastAsia"/>
        </w:rPr>
      </w:pPr>
      <w:r>
        <w:rPr>
          <w:rFonts w:hint="eastAsia"/>
        </w:rPr>
        <w:t>15.</w:t>
      </w:r>
      <w:r>
        <w:rPr>
          <w:rFonts w:hint="eastAsia"/>
        </w:rPr>
        <w:tab/>
        <w:t>多米尼加共和国正处于人口过渡时期，在年龄、地区和性别等方面的人口分布状况正在逐步改变。据估计，多米尼加目前约有38%的人口未满18岁，但预计到2030年这一比例将下降到30%。与此同时，64岁以上人口占总人口的比例目前为6%，这一比例将上升到10%左右。换言之，在未来二十年中，在经济上的受扶养人比例将下降，而劳动适龄人口的比例将上升。</w:t>
      </w:r>
    </w:p>
    <w:p w:rsidR="00D03498" w:rsidRDefault="00D03498" w:rsidP="00D03498">
      <w:pPr>
        <w:pStyle w:val="SingleTxt"/>
        <w:rPr>
          <w:rFonts w:hint="eastAsia"/>
        </w:rPr>
      </w:pPr>
      <w:r>
        <w:rPr>
          <w:rFonts w:hint="eastAsia"/>
        </w:rPr>
        <w:t>16.</w:t>
      </w:r>
      <w:r>
        <w:rPr>
          <w:rFonts w:hint="eastAsia"/>
        </w:rPr>
        <w:tab/>
        <w:t>根据这些预测，2010年多米尼加人口估计由49.9%的男性和51.1%的妇女组成。这意味着人口的性别分布逐渐趋于均衡：男性略胜一筹的情况已经不复存在，到2010年时女性已占微弱多数。其他数据表明，现有65%的女性和66%的男性生活在城市地区。</w:t>
      </w:r>
    </w:p>
    <w:p w:rsidR="00D03498" w:rsidRDefault="00D03498" w:rsidP="00D03498">
      <w:pPr>
        <w:pStyle w:val="SingleTxt"/>
        <w:rPr>
          <w:rFonts w:hint="eastAsia"/>
        </w:rPr>
      </w:pPr>
      <w:r>
        <w:rPr>
          <w:rFonts w:hint="eastAsia"/>
        </w:rPr>
        <w:t>17.</w:t>
      </w:r>
      <w:r>
        <w:rPr>
          <w:rFonts w:hint="eastAsia"/>
        </w:rPr>
        <w:tab/>
        <w:t>多米尼加人口的过渡进程正受到总生育率逐步下降的影响，这一比例从1991年的3.3%下降到2007年的2.4%。婴儿死亡率也从1980-1985年期间的每 1 000个婴儿夭折75.2人下降到2005-2010年期间的每1 000个婴儿夭折29.6人。根据人口统计和健康调查，2007年男性总死亡率为千分之三，妇女为千分之二。</w:t>
      </w:r>
    </w:p>
    <w:p w:rsidR="00D03498" w:rsidRDefault="00D03498" w:rsidP="00D03498">
      <w:pPr>
        <w:pStyle w:val="SingleTxt"/>
        <w:rPr>
          <w:rFonts w:hint="eastAsia"/>
        </w:rPr>
      </w:pPr>
      <w:r>
        <w:rPr>
          <w:rFonts w:hint="eastAsia"/>
        </w:rPr>
        <w:t>18.</w:t>
      </w:r>
      <w:r>
        <w:rPr>
          <w:rFonts w:hint="eastAsia"/>
        </w:rPr>
        <w:tab/>
        <w:t>值得一提的是其他社会人口变量的演变，例如在过去，户主基本上都由男性担任，但现在女性比例显著增加。根据2007年全国住户统计调查，有60%的家庭由男性担任户主，40%由妇女担任户主。</w:t>
      </w:r>
    </w:p>
    <w:p w:rsidR="00D03498" w:rsidRDefault="00D03498" w:rsidP="00D03498">
      <w:pPr>
        <w:pStyle w:val="SingleTxt"/>
        <w:rPr>
          <w:rFonts w:hint="eastAsia"/>
        </w:rPr>
      </w:pPr>
      <w:r>
        <w:rPr>
          <w:rFonts w:hint="eastAsia"/>
        </w:rPr>
        <w:t>19.</w:t>
      </w:r>
      <w:r>
        <w:rPr>
          <w:rFonts w:hint="eastAsia"/>
        </w:rPr>
        <w:tab/>
        <w:t>生活在城市的女户主(74%)比生活在农村地区的(26%)比例更高。大多数家庭的男户主已婚或与未婚伙伴生活在一起(79%)。</w:t>
      </w:r>
    </w:p>
    <w:p w:rsidR="00D03498" w:rsidRDefault="00D03498" w:rsidP="00D03498">
      <w:pPr>
        <w:pStyle w:val="SingleTxt"/>
        <w:rPr>
          <w:rFonts w:hint="eastAsia"/>
        </w:rPr>
      </w:pPr>
      <w:r>
        <w:rPr>
          <w:rFonts w:hint="eastAsia"/>
        </w:rPr>
        <w:t>20.</w:t>
      </w:r>
      <w:r>
        <w:rPr>
          <w:rFonts w:hint="eastAsia"/>
        </w:rPr>
        <w:tab/>
        <w:t>在经济方面，众所周知，在过去四十年中，多米尼加共和国与整个拉丁美洲相比保持了较高的增长率。具体而言，1961-2007年期间，多米尼加年均经济增长率达5.3%，而拉丁美洲和加勒比地区整体的平均增长率仅为3.8%。因此，多米尼加2007年的人均收入比1970年高出10倍左右。就人均收入而言，多米尼加共和国不再位居最贫困的拉美国家第三名，而是上升到了中间位置。</w:t>
      </w:r>
      <w:r w:rsidRPr="00D03498">
        <w:rPr>
          <w:rStyle w:val="FootnoteReference"/>
        </w:rPr>
        <w:footnoteReference w:id="2"/>
      </w:r>
      <w:r>
        <w:t xml:space="preserve"> </w:t>
      </w:r>
      <w:r>
        <w:rPr>
          <w:rFonts w:hint="eastAsia"/>
        </w:rPr>
        <w:t>多米尼加经济保持了这一增长速度，2010年国内生产总值的增幅达到7.8%。</w:t>
      </w:r>
    </w:p>
    <w:p w:rsidR="00D03498" w:rsidRDefault="00D03498" w:rsidP="00D03498">
      <w:pPr>
        <w:pStyle w:val="SingleTxt"/>
        <w:rPr>
          <w:rFonts w:hint="eastAsia"/>
        </w:rPr>
      </w:pPr>
      <w:r>
        <w:rPr>
          <w:rFonts w:hint="eastAsia"/>
        </w:rPr>
        <w:t>21.</w:t>
      </w:r>
      <w:r>
        <w:rPr>
          <w:rFonts w:hint="eastAsia"/>
        </w:rPr>
        <w:tab/>
        <w:t>然而，多米尼加经济增长并没有达到其他地区常见的同等水平，这些地区经历了长时间的持续经济增长，中间仅穿插着较短时期的波动，在经济扩张和收缩之间徘徊。经济增长期对于减贫有着显著的影响。例如， 2005-2008年期间的持续增长帮助150万多名多米尼加男女脱离了贫困。</w:t>
      </w:r>
      <w:r w:rsidRPr="00D03498">
        <w:rPr>
          <w:rStyle w:val="FootnoteReference"/>
        </w:rPr>
        <w:footnoteReference w:id="3"/>
      </w:r>
      <w:r>
        <w:t xml:space="preserve"> </w:t>
      </w:r>
      <w:r>
        <w:rPr>
          <w:rFonts w:hint="eastAsia"/>
        </w:rPr>
        <w:t>但是，应当指出的是，贫困对于经济增长的敏感度较低，而对经济衰退的敏感度却相当高。</w:t>
      </w:r>
    </w:p>
    <w:p w:rsidR="00D03498" w:rsidRDefault="00D03498" w:rsidP="00D03498">
      <w:pPr>
        <w:pStyle w:val="SingleTxt"/>
        <w:rPr>
          <w:rFonts w:hint="eastAsia"/>
        </w:rPr>
      </w:pPr>
      <w:r>
        <w:rPr>
          <w:rFonts w:hint="eastAsia"/>
        </w:rPr>
        <w:t>22.</w:t>
      </w:r>
      <w:r>
        <w:rPr>
          <w:rFonts w:hint="eastAsia"/>
        </w:rPr>
        <w:tab/>
        <w:t>因此，多米尼加共和国一方面面临着长期经济增长的可持续性挑战，另一方面又面临着用财富的再分配取代金字塔状的收入分配现状的挑战，以有助于按照《2010-2030年国家发展战略》弥合社会差距和消除贫困。</w:t>
      </w:r>
    </w:p>
    <w:p w:rsidR="00D03498" w:rsidRDefault="00D03498" w:rsidP="00D03498">
      <w:pPr>
        <w:pStyle w:val="SingleTxt"/>
        <w:rPr>
          <w:rFonts w:hint="eastAsia"/>
        </w:rPr>
      </w:pPr>
      <w:r>
        <w:rPr>
          <w:rFonts w:hint="eastAsia"/>
        </w:rPr>
        <w:t>23.</w:t>
      </w:r>
      <w:r>
        <w:rPr>
          <w:rFonts w:hint="eastAsia"/>
        </w:rPr>
        <w:tab/>
        <w:t>在环境状况方面，多米尼加共和国在一些领域已经取得了相当大的进展，而在其他领域则遇到了巨大的困难和挑战。多米尼加已设法减缓森林砍伐的速度。多米尼加现有的制度和法律框架更有利于通过环境保护政策。到2003年，全国森林覆盖率已上升至领土面积的33%，比1967年的12%提高了近三倍。保护区的面积显著扩大，为保护生物多样性做出了贡献。</w:t>
      </w:r>
    </w:p>
    <w:p w:rsidR="00D03498" w:rsidRDefault="00D03498" w:rsidP="00D03498">
      <w:pPr>
        <w:pStyle w:val="SingleTxt"/>
        <w:rPr>
          <w:rFonts w:hint="eastAsia"/>
        </w:rPr>
      </w:pPr>
      <w:r>
        <w:rPr>
          <w:rFonts w:hint="eastAsia"/>
        </w:rPr>
        <w:t>24.</w:t>
      </w:r>
      <w:r>
        <w:rPr>
          <w:rFonts w:hint="eastAsia"/>
        </w:rPr>
        <w:tab/>
        <w:t>多米尼加共和国温室气体的排放率一直较低。这些气体的主要排放来源是为提供能源而燃烧的化石燃料以及电力生产、运输和农业活动。由于在植树造林和加紧控制主要毁林原因方面取得了进步，多米尼加森林的碳捕获功能部分抵消了温室气体排放。</w:t>
      </w:r>
    </w:p>
    <w:p w:rsidR="00D03498" w:rsidRDefault="00D03498" w:rsidP="00D03498">
      <w:pPr>
        <w:pStyle w:val="SingleTxt"/>
        <w:rPr>
          <w:rFonts w:hint="eastAsia"/>
        </w:rPr>
      </w:pPr>
      <w:r>
        <w:rPr>
          <w:rFonts w:hint="eastAsia"/>
        </w:rPr>
        <w:t>25.</w:t>
      </w:r>
      <w:r>
        <w:rPr>
          <w:rFonts w:hint="eastAsia"/>
        </w:rPr>
        <w:tab/>
        <w:t>由于多米尼加共和国是一个岛国，其植物区系中相当高的比例是本地特有的，大部分的爬行动物和两栖动物也是如此。尽管业已取得了一些进展，但据估计，全国超过10%的植物和33%的脊椎动物处境危险或濒临灭绝。</w:t>
      </w:r>
    </w:p>
    <w:p w:rsidR="00D03498" w:rsidRDefault="00D03498" w:rsidP="00D03498">
      <w:pPr>
        <w:pStyle w:val="SingleTxt"/>
        <w:rPr>
          <w:rFonts w:hint="eastAsia"/>
        </w:rPr>
      </w:pPr>
      <w:r>
        <w:rPr>
          <w:rFonts w:hint="eastAsia"/>
        </w:rPr>
        <w:t>26.</w:t>
      </w:r>
      <w:r>
        <w:rPr>
          <w:rFonts w:hint="eastAsia"/>
        </w:rPr>
        <w:tab/>
        <w:t>多米尼加面临的最严重的环境挑战，是与使用水资源和沿海海洋资源相关的问题，以及空气污染和固体废物处置所产生的问题。数据表明，水资源的消耗率高于水资源的再生速度，这表明我们必须发展替代水源，执行各种政策鼓励提高水资源利用效率、促进可持续发展、为水生生态系统保证充足的水流量。</w:t>
      </w:r>
    </w:p>
    <w:p w:rsidR="00D03498" w:rsidRDefault="00D03498" w:rsidP="00D03498">
      <w:pPr>
        <w:pStyle w:val="SingleTxt"/>
        <w:rPr>
          <w:rFonts w:hint="eastAsia"/>
        </w:rPr>
      </w:pPr>
      <w:r>
        <w:rPr>
          <w:rFonts w:hint="eastAsia"/>
        </w:rPr>
        <w:t>27.</w:t>
      </w:r>
      <w:r>
        <w:tab/>
      </w:r>
      <w:r>
        <w:rPr>
          <w:rFonts w:hint="eastAsia"/>
        </w:rPr>
        <w:t>环境挑战是《2010</w:t>
      </w:r>
      <w:r>
        <w:t>-</w:t>
      </w:r>
      <w:r>
        <w:rPr>
          <w:rFonts w:hint="eastAsia"/>
        </w:rPr>
        <w:t>2030年国家发展战略》的四大战略支柱之一(“对自然资源的可持续管理和对气候变化的适当管控”)。该战略采取一项统筹方法，将环境方面的考虑与经济和社会进程结合在一起。</w:t>
      </w:r>
    </w:p>
    <w:p w:rsidR="00D03498" w:rsidRDefault="00D03498" w:rsidP="00D03498">
      <w:pPr>
        <w:pStyle w:val="SingleTxt"/>
        <w:rPr>
          <w:rFonts w:hint="eastAsia"/>
        </w:rPr>
      </w:pPr>
      <w:r>
        <w:rPr>
          <w:rFonts w:hint="eastAsia"/>
        </w:rPr>
        <w:t>28.</w:t>
      </w:r>
      <w:r>
        <w:rPr>
          <w:rFonts w:hint="eastAsia"/>
        </w:rPr>
        <w:tab/>
        <w:t>在教育方面，多米尼加在各级教育层次上的覆盖率都在稳定上升，虽然在某些层次上仍然水平较低。具体而言，多米尼加在小学层次的净覆盖率约为92%，相对较高；在中学层次的净覆盖率为49%，与拉美国家和加勒比地区的平均水平相比较低。</w:t>
      </w:r>
    </w:p>
    <w:p w:rsidR="00D03498" w:rsidRDefault="00D03498" w:rsidP="00D03498">
      <w:pPr>
        <w:pStyle w:val="SingleTxt"/>
        <w:rPr>
          <w:rFonts w:hint="eastAsia"/>
        </w:rPr>
      </w:pPr>
      <w:r>
        <w:rPr>
          <w:rFonts w:hint="eastAsia"/>
        </w:rPr>
        <w:t>29.</w:t>
      </w:r>
      <w:r>
        <w:rPr>
          <w:rFonts w:hint="eastAsia"/>
        </w:rPr>
        <w:tab/>
        <w:t>在入学率方面，2009年年龄在15岁以上的多米尼加人平均受教育年限约为</w:t>
      </w:r>
      <w:r w:rsidRPr="00315350">
        <w:rPr>
          <w:rFonts w:hint="eastAsia"/>
          <w:spacing w:val="-2"/>
        </w:rPr>
        <w:t>8.2年，其中城市人口的平均水平(约9年)比农村地区(略低于7年)更高。各个教育层次的入学率都与拉美平均水平较为相似。值得注意的是，多米尼加的受教育年限在过去十年中翻了近一番。女性的平均受教育年限(8.5年)略高于男性(8年)。</w:t>
      </w:r>
    </w:p>
    <w:p w:rsidR="00D03498" w:rsidRDefault="00D03498" w:rsidP="00D03498">
      <w:pPr>
        <w:pStyle w:val="SingleTxt"/>
        <w:rPr>
          <w:rFonts w:hint="eastAsia"/>
        </w:rPr>
      </w:pPr>
      <w:r>
        <w:rPr>
          <w:rFonts w:hint="eastAsia"/>
        </w:rPr>
        <w:t>30.</w:t>
      </w:r>
      <w:r>
        <w:rPr>
          <w:rFonts w:hint="eastAsia"/>
        </w:rPr>
        <w:tab/>
        <w:t>到年满18岁时，多米尼加男青年的受教育年限平均为11.8年，在拉丁美洲仅次于智利和阿根廷(12.1年)。</w:t>
      </w:r>
    </w:p>
    <w:p w:rsidR="00D03498" w:rsidRDefault="00D03498" w:rsidP="00D03498">
      <w:pPr>
        <w:pStyle w:val="SingleTxt"/>
        <w:rPr>
          <w:rFonts w:hint="eastAsia"/>
        </w:rPr>
      </w:pPr>
      <w:r>
        <w:rPr>
          <w:rFonts w:hint="eastAsia"/>
        </w:rPr>
        <w:t>31.</w:t>
      </w:r>
      <w:r>
        <w:rPr>
          <w:rFonts w:hint="eastAsia"/>
        </w:rPr>
        <w:tab/>
        <w:t>此外，在过去四十年中，多米尼加15岁以上人口的文盲率也显著下降，从1960年的35%下降到1981年的27%，2008年又进一步下降到10%左右。</w:t>
      </w:r>
    </w:p>
    <w:p w:rsidR="00D03498" w:rsidRDefault="00D03498" w:rsidP="00D03498">
      <w:pPr>
        <w:pStyle w:val="SingleTxt"/>
        <w:rPr>
          <w:rFonts w:hint="eastAsia"/>
        </w:rPr>
      </w:pPr>
      <w:r>
        <w:rPr>
          <w:rFonts w:hint="eastAsia"/>
        </w:rPr>
        <w:t>32.</w:t>
      </w:r>
      <w:r>
        <w:rPr>
          <w:rFonts w:hint="eastAsia"/>
        </w:rPr>
        <w:tab/>
        <w:t>教育部门所面临的最大挑战在效率和质量方面。在效率方面，多米尼加教育系统正在《2008</w:t>
      </w:r>
      <w:r>
        <w:t>-</w:t>
      </w:r>
      <w:r>
        <w:rPr>
          <w:rFonts w:hint="eastAsia"/>
        </w:rPr>
        <w:t>2018年十年教育规划》的框架内努力减少小学和中学教育中的留级率和辍学率。这方面的状况正在改善。2007年，中学教育最后一年的辍学率为2.8%，小学第一年的辍学率为10%。在教育质量方面，《十年规划》力图克服在西班牙语和数学课程方面存在的不足。</w:t>
      </w:r>
    </w:p>
    <w:p w:rsidR="00D03498" w:rsidRDefault="00D03498" w:rsidP="00D03498">
      <w:pPr>
        <w:pStyle w:val="SingleTxt"/>
        <w:rPr>
          <w:rFonts w:hint="eastAsia"/>
        </w:rPr>
      </w:pPr>
      <w:r>
        <w:rPr>
          <w:rFonts w:hint="eastAsia"/>
        </w:rPr>
        <w:t>33.</w:t>
      </w:r>
      <w:r>
        <w:rPr>
          <w:rFonts w:hint="eastAsia"/>
        </w:rPr>
        <w:tab/>
        <w:t>在性别平等方面，多米尼加在过去二十年中缩小了男性和女性之间以及城市和农村居民之间在接受教育方面的差距。同样，来自贫困家庭和非贫困家庭的学生之间在接受教育方面的差距也缩小了。这是一个好消息。然而，在某些指标上，例如文盲率、入学率和促进中学教育方面，仍然持续存在着因居住地区和性别而异的差别。</w:t>
      </w:r>
    </w:p>
    <w:p w:rsidR="00D03498" w:rsidRDefault="00D03498" w:rsidP="00D03498">
      <w:pPr>
        <w:pStyle w:val="SingleTxt"/>
        <w:rPr>
          <w:rFonts w:hint="eastAsia"/>
        </w:rPr>
      </w:pPr>
      <w:r>
        <w:rPr>
          <w:rFonts w:hint="eastAsia"/>
        </w:rPr>
        <w:t>34.</w:t>
      </w:r>
      <w:r>
        <w:rPr>
          <w:rFonts w:hint="eastAsia"/>
        </w:rPr>
        <w:tab/>
        <w:t>当前和未来的大学前教育政策旨在扩大覆盖范围(特别是在小学和初中层次)，推动教学大纲的深层次变化以提高其质量和相关性，改善教师的生活条件及其能力和成就水平，并加强官方决策机构设定标准的能力。据《2010-2030年国家发展战略》规划，多米尼加将可持续和系统性加大教育投资占国内生产总值的比例，2020年这一比例将达到5%，2030年将增至7%。</w:t>
      </w:r>
    </w:p>
    <w:p w:rsidR="00D03498" w:rsidRDefault="00D03498" w:rsidP="00D03498">
      <w:pPr>
        <w:pStyle w:val="SingleTxt"/>
        <w:rPr>
          <w:rFonts w:hint="eastAsia"/>
        </w:rPr>
      </w:pPr>
      <w:r>
        <w:rPr>
          <w:rFonts w:hint="eastAsia"/>
        </w:rPr>
        <w:t>35.</w:t>
      </w:r>
      <w:r>
        <w:rPr>
          <w:rFonts w:hint="eastAsia"/>
        </w:rPr>
        <w:tab/>
        <w:t>在高等教育方面，在过去二十年中，大学的入学率出现了大幅度增长。尽管这是整个拉丁美洲的一个共同趋势，但多米尼加共和国高等教育的增长速度超过了该区域的平均值。在这种情况下，主要的制约因素是在实施教学大纲的变革方面缺乏灵活性，未能与现代科技的发展保持同步，且未能培养出适当的人力资源，以实现教育平等和消除基于性别的排斥现象。</w:t>
      </w:r>
    </w:p>
    <w:p w:rsidR="00D03498" w:rsidRDefault="00D03498" w:rsidP="00D03498">
      <w:pPr>
        <w:pStyle w:val="SingleTxt"/>
        <w:rPr>
          <w:rFonts w:hint="eastAsia"/>
        </w:rPr>
      </w:pPr>
      <w:r>
        <w:rPr>
          <w:rFonts w:hint="eastAsia"/>
        </w:rPr>
        <w:t>36.</w:t>
      </w:r>
      <w:r>
        <w:rPr>
          <w:rFonts w:hint="eastAsia"/>
        </w:rPr>
        <w:tab/>
        <w:t>在另一条战线上，多米尼加在过去几十年中提高了出生时的预期寿命，降低婴儿死亡率和提供保健服务。从2005年开始，随着管理新社会保障制度的42-01号法令和87-01号法令在国家一级进入实施阶段，通过执行个人缴费和国家补贴的社会保障计划，医疗保险的覆盖面拓宽了。与此同时，多米尼加还在发展以初级保健为基础的新公共医疗保健模式方面取得了进步。某类医疗保险计划的会员比例从2002年的21.1%上升至2009年的39.8%。</w:t>
      </w:r>
    </w:p>
    <w:p w:rsidR="00D03498" w:rsidRDefault="00D03498" w:rsidP="00D03498">
      <w:pPr>
        <w:pStyle w:val="SingleTxt"/>
        <w:rPr>
          <w:rFonts w:hint="eastAsia"/>
        </w:rPr>
      </w:pPr>
      <w:r>
        <w:rPr>
          <w:rFonts w:hint="eastAsia"/>
        </w:rPr>
        <w:t>37.</w:t>
      </w:r>
      <w:r>
        <w:rPr>
          <w:rFonts w:hint="eastAsia"/>
        </w:rPr>
        <w:tab/>
        <w:t>不过，在卫生领域仍有许多挑战需要克服。一个主要的挑战是如何改善提供服务的质量。另一个挑战是要克服卫生系统的倒退式金融机制，因为这会给家庭带来沉重的财务负担。</w:t>
      </w:r>
    </w:p>
    <w:p w:rsidR="00D03498" w:rsidRDefault="00D03498" w:rsidP="00D03498">
      <w:pPr>
        <w:pStyle w:val="SingleTxt"/>
        <w:rPr>
          <w:rFonts w:hint="eastAsia"/>
        </w:rPr>
      </w:pPr>
      <w:r>
        <w:rPr>
          <w:rFonts w:hint="eastAsia"/>
        </w:rPr>
        <w:t>38.</w:t>
      </w:r>
      <w:r>
        <w:rPr>
          <w:rFonts w:hint="eastAsia"/>
        </w:rPr>
        <w:tab/>
        <w:t>多米尼加正在重点开展努力增加政府资源的分配，为最贫困人口的医疗服务提供资助。与此同时，多米尼加政府力图确保提供医疗服务的质量和资源的有效利用。政府还在努力保证为最低收入人口提供有意义和可持续的一揽子卫生服务，加强监测成果的机制，并进一步推动公共卫生网络的分权发展。此外，政府正在努力扩大医疗保险和其他类型保险的覆盖面，制定根据成果分配政府资源的标准，改进信息系统，确保发展惯例和社会参与领域，通过进一步发展第一层次的初级保健改进卫生保健模式和增加预防能力。《2010-2030年国家发展战略》重申和规划了《2007-2017年十年卫生计划》中的这些目标。</w:t>
      </w:r>
    </w:p>
    <w:p w:rsidR="00D03498" w:rsidRDefault="00D03498" w:rsidP="00D03498">
      <w:pPr>
        <w:pStyle w:val="SingleTxt"/>
        <w:rPr>
          <w:rFonts w:hint="eastAsia"/>
        </w:rPr>
      </w:pPr>
      <w:r>
        <w:rPr>
          <w:rFonts w:hint="eastAsia"/>
        </w:rPr>
        <w:t>39.</w:t>
      </w:r>
      <w:r>
        <w:rPr>
          <w:rFonts w:hint="eastAsia"/>
        </w:rPr>
        <w:tab/>
        <w:t>在体面工作方面，多米尼加的劳动参与率(即已就业的工作适龄人口的百分比)呈现出上升的趋势，妇女尤其如此。妇女不断融入劳动力市场的这一趋势是由多种因素促成的，包括经济增长、人口结构的变化(生育率的显著下降)以及女性入学率的增加。</w:t>
      </w:r>
    </w:p>
    <w:p w:rsidR="00D03498" w:rsidRDefault="00D03498" w:rsidP="00D03498">
      <w:pPr>
        <w:pStyle w:val="SingleTxt"/>
        <w:rPr>
          <w:rFonts w:hint="eastAsia"/>
        </w:rPr>
      </w:pPr>
      <w:r>
        <w:rPr>
          <w:rFonts w:hint="eastAsia"/>
        </w:rPr>
        <w:t>40.</w:t>
      </w:r>
      <w:r>
        <w:rPr>
          <w:rFonts w:hint="eastAsia"/>
        </w:rPr>
        <w:tab/>
        <w:t>之所以多米尼加的经济增长未能同等反映在进入劳动力市场的经济活动人口的增长上，原因之一是来自海地的移民很多。这在很大程度上源自两国之间的工资差距。许多进入多米尼加共和国劳动力市场就业的海地人对多米尼加男女的就业机会产生了负面影响。</w:t>
      </w:r>
    </w:p>
    <w:p w:rsidR="00D03498" w:rsidRDefault="00D03498" w:rsidP="00D03498">
      <w:pPr>
        <w:pStyle w:val="SingleTxt"/>
        <w:rPr>
          <w:rFonts w:hint="eastAsia"/>
        </w:rPr>
      </w:pPr>
      <w:r>
        <w:rPr>
          <w:rFonts w:hint="eastAsia"/>
        </w:rPr>
        <w:t>41.</w:t>
      </w:r>
      <w:r>
        <w:rPr>
          <w:rFonts w:hint="eastAsia"/>
        </w:rPr>
        <w:tab/>
        <w:t>此外，经济产业结构的变化也影响到创造就业机会的能力。目前，旅游、交通和金融部门占据了主导地位。总体而言，与几十年前的生产结构相比，最近的经济增长表明一定程度的偏差已削弱了创造就业机会的能力，因为主导行业按生产单位平均对劳动力的需求更低，再加上劳动参与率的上升(特别是妇女和年轻人的参与)增加了劳动力供给。因此，劳动参与率的上升与较高的失业率并存，对积极参与经济活动的妇女和年轻人影响较大。</w:t>
      </w:r>
    </w:p>
    <w:p w:rsidR="00D03498" w:rsidRDefault="00D03498" w:rsidP="00D03498">
      <w:pPr>
        <w:pStyle w:val="SingleTxt"/>
        <w:rPr>
          <w:rFonts w:hint="eastAsia"/>
        </w:rPr>
      </w:pPr>
      <w:r>
        <w:rPr>
          <w:rFonts w:hint="eastAsia"/>
        </w:rPr>
        <w:t>42.</w:t>
      </w:r>
      <w:r>
        <w:rPr>
          <w:rFonts w:hint="eastAsia"/>
        </w:rPr>
        <w:tab/>
        <w:t>因此，《2010</w:t>
      </w:r>
      <w:r>
        <w:t>-</w:t>
      </w:r>
      <w:r>
        <w:rPr>
          <w:rFonts w:hint="eastAsia"/>
        </w:rPr>
        <w:t>2030年国家发展战略》指出：“总体经济政策(特别是生产力发展政策)应面向促进各生产部门之间的联系，以避免在生产组织上的重叠，其首要目标是创造出体面的工作——其定义是在自由、平等、安全和人类尊严[……]的条件下开展能产性工作，并得到适当的报酬”。</w:t>
      </w:r>
    </w:p>
    <w:p w:rsidR="00D03498" w:rsidRDefault="00D03498" w:rsidP="00D03498">
      <w:pPr>
        <w:pStyle w:val="SingleTxt"/>
        <w:rPr>
          <w:rFonts w:hint="eastAsia"/>
        </w:rPr>
      </w:pPr>
      <w:r>
        <w:rPr>
          <w:rFonts w:hint="eastAsia"/>
        </w:rPr>
        <w:t>43.</w:t>
      </w:r>
      <w:r>
        <w:rPr>
          <w:rFonts w:hint="eastAsia"/>
        </w:rPr>
        <w:tab/>
        <w:t>为刺激经济增长，创造更多的就业机会，《战略》确立了以下目标：在产生高附加值和创造体面工作的活动领域，鼓励更高水平的本国和外国投资；加强在职培训和继续教育，在提升价值的过程中让工作人员的技能与生产设备保持同步，帮助他们找到工作、发展的创业技能；提高中小型企业的效率、投资能力和生产力。</w:t>
      </w:r>
    </w:p>
    <w:p w:rsidR="00D03498" w:rsidRDefault="00D03498" w:rsidP="00D03498">
      <w:pPr>
        <w:pStyle w:val="SingleTxt"/>
        <w:rPr>
          <w:rFonts w:hint="eastAsia"/>
        </w:rPr>
      </w:pPr>
      <w:r>
        <w:rPr>
          <w:rFonts w:hint="eastAsia"/>
        </w:rPr>
        <w:t>44.</w:t>
      </w:r>
      <w:r>
        <w:rPr>
          <w:rFonts w:hint="eastAsia"/>
        </w:rPr>
        <w:tab/>
        <w:t>在机构方面，多米尼加共和国近几十年来制定了一项改革议程，根据在本国和拉丁美洲发生的民主变革实现国家机构的现代化。与此相应，多米尼加设立了以下机构：国家机构改革和现代化委员会(目前为国家机构改革全国理事会)；支持司法机构改革和现代化卫生改革专员办公室；卫生部门改革执行委员会；公共企业改革委员会；以及其他类似性质的机构。</w:t>
      </w:r>
    </w:p>
    <w:p w:rsidR="00D03498" w:rsidRDefault="00D03498" w:rsidP="00D03498">
      <w:pPr>
        <w:pStyle w:val="SingleTxt"/>
        <w:rPr>
          <w:rFonts w:hint="eastAsia"/>
        </w:rPr>
      </w:pPr>
      <w:r>
        <w:rPr>
          <w:rFonts w:hint="eastAsia"/>
        </w:rPr>
        <w:t>45.</w:t>
      </w:r>
      <w:r>
        <w:rPr>
          <w:rFonts w:hint="eastAsia"/>
        </w:rPr>
        <w:tab/>
        <w:t>同样，这一进程包括通过范围广泛的一系列法律，如《规划和公共投资法》、《预算组织法》、《采购和合同法》、《自由获取公共信息法》、《国家会计法》、《关于总审计长办公室的法令》、《国库法》和《公共信贷法》等。其他值得一提的体制进展包括设立国家公共行政国务秘书办公室的《公务员法》、设立主管经济、规划与发展国务秘书办公室和主管金融国务秘书办公室的相关法律以及设立妇女问题秘书处的法令。此外还设立了青年问题、自然资源和环境问题秘书处。新宪法将国务秘书处称为部委。</w:t>
      </w:r>
    </w:p>
    <w:p w:rsidR="00D03498" w:rsidRDefault="00D03498" w:rsidP="00D03498">
      <w:pPr>
        <w:pStyle w:val="SingleTxt"/>
        <w:rPr>
          <w:rFonts w:hint="eastAsia"/>
        </w:rPr>
      </w:pPr>
      <w:r>
        <w:rPr>
          <w:rFonts w:hint="eastAsia"/>
        </w:rPr>
        <w:t>46</w:t>
      </w:r>
      <w:r>
        <w:t>.</w:t>
      </w:r>
      <w:r>
        <w:rPr>
          <w:rFonts w:hint="eastAsia"/>
        </w:rPr>
        <w:tab/>
        <w:t>这些改革是为提高公共资源管理的透明度和问责制、加强机构制衡、改善支出的分配和管理而做出的一种尝试。所有这些法律都提供了宽广的法律框架。为加强实施这一框架，克服国家机构系统仍然存在的困难和不足，《2010-2030年国家发展战略》试图建成“一个拥有高效透明的机构的国家，为负责任和积极参与的公民提供服务，能够为国家提供安全、促进发展和和平共处”。为此，《战略》确立了以下目标：</w:t>
      </w:r>
    </w:p>
    <w:p w:rsidR="00D03498" w:rsidRDefault="00D03498" w:rsidP="00D03498">
      <w:pPr>
        <w:pStyle w:val="SingleTxt"/>
        <w:rPr>
          <w:rFonts w:hint="eastAsia"/>
        </w:rPr>
      </w:pPr>
      <w:r>
        <w:rPr>
          <w:rFonts w:hint="eastAsia"/>
        </w:rPr>
        <w:tab/>
        <w:t>(a)</w:t>
      </w:r>
      <w:r>
        <w:rPr>
          <w:rFonts w:hint="eastAsia"/>
        </w:rPr>
        <w:tab/>
        <w:t>建立一套高效的公共管理体系，在为公民和国家发展服务的同时，以符合道德操守和具有透明度的原则行事，并注重取得成果；</w:t>
      </w:r>
    </w:p>
    <w:p w:rsidR="00D03498" w:rsidRDefault="00D03498" w:rsidP="00D03498">
      <w:pPr>
        <w:pStyle w:val="SingleTxt"/>
        <w:rPr>
          <w:rFonts w:hint="eastAsia"/>
        </w:rPr>
      </w:pPr>
      <w:r>
        <w:rPr>
          <w:rFonts w:hint="eastAsia"/>
        </w:rPr>
        <w:tab/>
        <w:t>(b)</w:t>
      </w:r>
      <w:r>
        <w:rPr>
          <w:rFonts w:hint="eastAsia"/>
        </w:rPr>
        <w:tab/>
        <w:t>通过一套灵活、开放、高效的司法体制，确保执行法律和惩处有罪不罚现象；</w:t>
      </w:r>
    </w:p>
    <w:p w:rsidR="00D03498" w:rsidRDefault="00D03498" w:rsidP="00D03498">
      <w:pPr>
        <w:pStyle w:val="SingleTxt"/>
        <w:rPr>
          <w:rFonts w:hint="eastAsia"/>
        </w:rPr>
      </w:pPr>
      <w:r>
        <w:rPr>
          <w:rFonts w:hint="eastAsia"/>
        </w:rPr>
        <w:tab/>
        <w:t>(c)</w:t>
      </w:r>
      <w:r>
        <w:rPr>
          <w:rFonts w:hint="eastAsia"/>
        </w:rPr>
        <w:tab/>
        <w:t>在打击犯罪和冲突的根源、确保建立一支为公民服务的专业、高效和有效的全国警察队伍的基础上，促成公众安全的大气候；</w:t>
      </w:r>
    </w:p>
    <w:p w:rsidR="00D03498" w:rsidRDefault="00D03498" w:rsidP="00D03498">
      <w:pPr>
        <w:pStyle w:val="SingleTxt"/>
        <w:rPr>
          <w:rFonts w:hint="eastAsia"/>
        </w:rPr>
      </w:pPr>
      <w:r>
        <w:rPr>
          <w:rFonts w:hint="eastAsia"/>
        </w:rPr>
        <w:tab/>
        <w:t>(d)</w:t>
      </w:r>
      <w:r>
        <w:rPr>
          <w:rFonts w:hint="eastAsia"/>
        </w:rPr>
        <w:tab/>
        <w:t>巩固参与式民主、行使公民权利和责任；</w:t>
      </w:r>
    </w:p>
    <w:p w:rsidR="00D03498" w:rsidRDefault="00D03498" w:rsidP="00D03498">
      <w:pPr>
        <w:pStyle w:val="SingleTxt"/>
        <w:rPr>
          <w:rFonts w:hint="eastAsia"/>
        </w:rPr>
      </w:pPr>
      <w:r>
        <w:rPr>
          <w:rFonts w:hint="eastAsia"/>
        </w:rPr>
        <w:tab/>
        <w:t>(e)</w:t>
      </w:r>
      <w:r>
        <w:rPr>
          <w:rFonts w:hint="eastAsia"/>
        </w:rPr>
        <w:tab/>
        <w:t>加强选举制度；</w:t>
      </w:r>
    </w:p>
    <w:p w:rsidR="00D03498" w:rsidRDefault="00D03498" w:rsidP="00D03498">
      <w:pPr>
        <w:pStyle w:val="SingleTxt"/>
        <w:rPr>
          <w:rFonts w:hint="eastAsia"/>
        </w:rPr>
      </w:pPr>
      <w:r>
        <w:rPr>
          <w:rFonts w:hint="eastAsia"/>
        </w:rPr>
        <w:tab/>
        <w:t>(f)</w:t>
      </w:r>
      <w:r>
        <w:rPr>
          <w:rFonts w:hint="eastAsia"/>
        </w:rPr>
        <w:tab/>
        <w:t>通过加强国家安全系统，确保捍卫国家利益；</w:t>
      </w:r>
    </w:p>
    <w:p w:rsidR="00D03498" w:rsidRDefault="00D03498" w:rsidP="00D03498">
      <w:pPr>
        <w:pStyle w:val="SingleTxt"/>
        <w:rPr>
          <w:rFonts w:hint="eastAsia"/>
        </w:rPr>
      </w:pPr>
      <w:r>
        <w:rPr>
          <w:rFonts w:hint="eastAsia"/>
        </w:rPr>
        <w:tab/>
        <w:t>(g)</w:t>
      </w:r>
      <w:r>
        <w:rPr>
          <w:rFonts w:hint="eastAsia"/>
        </w:rPr>
        <w:tab/>
        <w:t>巩固国际关系，作为促进国家发展、全球可持续发展、与民主原则相一致的公正国际秩序的工具。</w:t>
      </w:r>
    </w:p>
    <w:p w:rsidR="00D03498" w:rsidRDefault="00D03498" w:rsidP="00D03498">
      <w:pPr>
        <w:pStyle w:val="SingleTxt"/>
        <w:rPr>
          <w:rFonts w:hint="eastAsia"/>
        </w:rPr>
      </w:pPr>
      <w:r>
        <w:rPr>
          <w:rFonts w:hint="eastAsia"/>
        </w:rPr>
        <w:t>47.</w:t>
      </w:r>
      <w:r>
        <w:rPr>
          <w:rFonts w:hint="eastAsia"/>
        </w:rPr>
        <w:tab/>
        <w:t>作为一项规划工具，《战略》将已经到位的机构改革议程作为参照点，例如2010年1月26日颁布的多米尼加共和国新宪法、建立国家规划和公共投资系统的法律和新的《机构预算法》。其他基准包括各个行业的国家计划，如2007-2017年系统性竞争力国家计划、2008-2018年国家教育规划、2006-2016年的国家卫生计划、2008-2018年科技战略计划、2007-2017年国家性别平等和性别公平计划以及具有同等重要性的其他计划。</w:t>
      </w:r>
    </w:p>
    <w:p w:rsidR="00D03498" w:rsidRDefault="00D03498" w:rsidP="00D03498">
      <w:pPr>
        <w:pStyle w:val="SingleTxt"/>
        <w:rPr>
          <w:rFonts w:hint="eastAsia"/>
        </w:rPr>
      </w:pPr>
      <w:r>
        <w:rPr>
          <w:rFonts w:hint="eastAsia"/>
        </w:rPr>
        <w:t>48.</w:t>
      </w:r>
      <w:r>
        <w:rPr>
          <w:rFonts w:hint="eastAsia"/>
        </w:rPr>
        <w:tab/>
        <w:t>《战略》建立在以下四个战略支柱和四个跨领域优先事项的基础之上：</w:t>
      </w:r>
    </w:p>
    <w:p w:rsidR="00D03498" w:rsidRDefault="00D03498" w:rsidP="00D03498">
      <w:pPr>
        <w:pStyle w:val="SingleTxt"/>
        <w:rPr>
          <w:rFonts w:hint="eastAsia"/>
        </w:rPr>
      </w:pPr>
      <w:r>
        <w:rPr>
          <w:rFonts w:hint="eastAsia"/>
        </w:rPr>
        <w:tab/>
        <w:t>(a)</w:t>
      </w:r>
      <w:r>
        <w:rPr>
          <w:rFonts w:hint="eastAsia"/>
        </w:rPr>
        <w:tab/>
        <w:t>第一支柱：建设一个拥有高效透明的机构的国家，为负责任和积极参与的公民提供服务，能够为国家提供安全、促进发展和和平共处；</w:t>
      </w:r>
    </w:p>
    <w:p w:rsidR="00D03498" w:rsidRDefault="00D03498" w:rsidP="00D03498">
      <w:pPr>
        <w:pStyle w:val="SingleTxt"/>
        <w:rPr>
          <w:rFonts w:hint="eastAsia"/>
        </w:rPr>
      </w:pPr>
      <w:r>
        <w:rPr>
          <w:rFonts w:hint="eastAsia"/>
        </w:rPr>
        <w:tab/>
        <w:t>(b)</w:t>
      </w:r>
      <w:r>
        <w:rPr>
          <w:rFonts w:hint="eastAsia"/>
        </w:rPr>
        <w:tab/>
        <w:t>第</w:t>
      </w:r>
      <w:r w:rsidRPr="00315350">
        <w:rPr>
          <w:rFonts w:hint="eastAsia"/>
          <w:spacing w:val="-4"/>
        </w:rPr>
        <w:t>二支柱：一个有凝聚力、机会平等、贫困率低和不平等状况较少的社会；</w:t>
      </w:r>
    </w:p>
    <w:p w:rsidR="00D03498" w:rsidRDefault="00D03498" w:rsidP="00D03498">
      <w:pPr>
        <w:pStyle w:val="SingleTxt"/>
        <w:rPr>
          <w:rFonts w:hint="eastAsia"/>
        </w:rPr>
      </w:pPr>
      <w:r>
        <w:rPr>
          <w:rFonts w:hint="eastAsia"/>
        </w:rPr>
        <w:tab/>
        <w:t>(c)</w:t>
      </w:r>
      <w:r>
        <w:rPr>
          <w:rFonts w:hint="eastAsia"/>
        </w:rPr>
        <w:tab/>
        <w:t>第三支柱：具备生产型结构的有组织、有创新和可持续的经济，能够保证高增长率、持续增长和体面的工作，并在融入全球经济的过程中保持自身的竞争力；</w:t>
      </w:r>
    </w:p>
    <w:p w:rsidR="00D03498" w:rsidRDefault="00D03498" w:rsidP="00D03498">
      <w:pPr>
        <w:pStyle w:val="SingleTxt"/>
        <w:rPr>
          <w:rFonts w:hint="eastAsia"/>
        </w:rPr>
      </w:pPr>
      <w:r>
        <w:rPr>
          <w:rFonts w:hint="eastAsia"/>
        </w:rPr>
        <w:tab/>
        <w:t>(d)</w:t>
      </w:r>
      <w:r>
        <w:rPr>
          <w:rFonts w:hint="eastAsia"/>
        </w:rPr>
        <w:tab/>
        <w:t>第四支柱：环境的可持续管理和对气候变化的适当管控。</w:t>
      </w:r>
    </w:p>
    <w:p w:rsidR="00D03498" w:rsidRDefault="00D03498" w:rsidP="00D03498">
      <w:pPr>
        <w:pStyle w:val="SingleTxt"/>
        <w:rPr>
          <w:rFonts w:hint="eastAsia"/>
        </w:rPr>
      </w:pPr>
      <w:r>
        <w:rPr>
          <w:rFonts w:hint="eastAsia"/>
        </w:rPr>
        <w:t>49.</w:t>
      </w:r>
      <w:r>
        <w:rPr>
          <w:rFonts w:hint="eastAsia"/>
        </w:rPr>
        <w:tab/>
        <w:t>从战略角度看，它包含四个跨领域的基本优先事项：</w:t>
      </w:r>
    </w:p>
    <w:p w:rsidR="00D03498" w:rsidRDefault="00D03498" w:rsidP="00D03498">
      <w:pPr>
        <w:pStyle w:val="SingleTxt"/>
        <w:rPr>
          <w:rFonts w:hint="eastAsia"/>
        </w:rPr>
      </w:pPr>
      <w:r>
        <w:rPr>
          <w:rFonts w:hint="eastAsia"/>
        </w:rPr>
        <w:tab/>
        <w:t>(a)</w:t>
      </w:r>
      <w:r>
        <w:rPr>
          <w:rFonts w:hint="eastAsia"/>
        </w:rPr>
        <w:tab/>
        <w:t>性别平等；</w:t>
      </w:r>
    </w:p>
    <w:p w:rsidR="00D03498" w:rsidRDefault="00D03498" w:rsidP="00D03498">
      <w:pPr>
        <w:pStyle w:val="SingleTxt"/>
        <w:rPr>
          <w:rFonts w:hint="eastAsia"/>
        </w:rPr>
      </w:pPr>
      <w:r>
        <w:rPr>
          <w:rFonts w:hint="eastAsia"/>
        </w:rPr>
        <w:tab/>
        <w:t>(b)</w:t>
      </w:r>
      <w:r>
        <w:rPr>
          <w:rFonts w:hint="eastAsia"/>
        </w:rPr>
        <w:tab/>
        <w:t>环境的可持续性和适应气候变化；</w:t>
      </w:r>
    </w:p>
    <w:p w:rsidR="00D03498" w:rsidRDefault="00D03498" w:rsidP="00D03498">
      <w:pPr>
        <w:pStyle w:val="SingleTxt"/>
        <w:rPr>
          <w:rFonts w:hint="eastAsia"/>
        </w:rPr>
      </w:pPr>
      <w:r>
        <w:rPr>
          <w:rFonts w:hint="eastAsia"/>
        </w:rPr>
        <w:tab/>
        <w:t>(c)</w:t>
      </w:r>
      <w:r>
        <w:rPr>
          <w:rFonts w:hint="eastAsia"/>
        </w:rPr>
        <w:tab/>
        <w:t>民主治理；</w:t>
      </w:r>
    </w:p>
    <w:p w:rsidR="00D03498" w:rsidRDefault="00D03498" w:rsidP="00D03498">
      <w:pPr>
        <w:pStyle w:val="SingleTxt"/>
        <w:rPr>
          <w:rFonts w:hint="eastAsia"/>
        </w:rPr>
      </w:pPr>
      <w:r>
        <w:rPr>
          <w:rFonts w:hint="eastAsia"/>
        </w:rPr>
        <w:tab/>
        <w:t>(d)</w:t>
      </w:r>
      <w:r>
        <w:rPr>
          <w:rFonts w:hint="eastAsia"/>
        </w:rPr>
        <w:tab/>
        <w:t>信息社会。</w:t>
      </w:r>
    </w:p>
    <w:p w:rsidR="00D03498" w:rsidRDefault="00D03498" w:rsidP="00D03498">
      <w:pPr>
        <w:pStyle w:val="SingleTxt"/>
        <w:rPr>
          <w:rFonts w:hint="eastAsia"/>
        </w:rPr>
      </w:pPr>
      <w:r>
        <w:rPr>
          <w:rFonts w:hint="eastAsia"/>
        </w:rPr>
        <w:t>50.</w:t>
      </w:r>
      <w:r>
        <w:rPr>
          <w:rFonts w:hint="eastAsia"/>
        </w:rPr>
        <w:tab/>
        <w:t>多米尼加共和国在《国家发展战略》中规定，性别平等和性别公平文化建设是到2030年实现人类发展目标的高优先级战略目标之一。</w:t>
      </w:r>
    </w:p>
    <w:p w:rsidR="00D03498" w:rsidRDefault="00D03498" w:rsidP="00D03498">
      <w:pPr>
        <w:pStyle w:val="SingleTxt"/>
        <w:rPr>
          <w:rFonts w:hint="eastAsia"/>
        </w:rPr>
      </w:pPr>
      <w:r>
        <w:rPr>
          <w:rFonts w:hint="eastAsia"/>
        </w:rPr>
        <w:t>51.</w:t>
      </w:r>
      <w:r>
        <w:rPr>
          <w:rFonts w:hint="eastAsia"/>
        </w:rPr>
        <w:tab/>
        <w:t>对于妇女事务部、全体妇女和多米尼加人民而言，有一项行动具有特别重要的意义：随着《战略》的设计工作开始启动，工作的重点已不仅仅是把基于性别平等的方法设置为一项跨领域的优先事项，而且还在努力把妇女的视角、权利和需求纳入诊断性评估和工作的各个领域。《战略》还着重树立妇女参与建设一个基于性别平等和性别公平的社会的客观形象。</w:t>
      </w:r>
    </w:p>
    <w:p w:rsidR="009616F2" w:rsidRDefault="009616F2" w:rsidP="009616F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三.</w:t>
      </w:r>
      <w:r>
        <w:rPr>
          <w:rFonts w:hint="eastAsia"/>
        </w:rPr>
        <w:tab/>
        <w:t>《公约》条款的执行情况</w:t>
      </w:r>
    </w:p>
    <w:p w:rsidR="009616F2" w:rsidRPr="009616F2" w:rsidRDefault="009616F2" w:rsidP="009616F2">
      <w:pPr>
        <w:pStyle w:val="SingleTxt"/>
        <w:spacing w:after="0" w:line="120" w:lineRule="exact"/>
        <w:ind w:right="0"/>
        <w:rPr>
          <w:sz w:val="10"/>
        </w:rPr>
      </w:pPr>
    </w:p>
    <w:p w:rsidR="009616F2" w:rsidRPr="009616F2" w:rsidRDefault="009616F2" w:rsidP="009616F2">
      <w:pPr>
        <w:pStyle w:val="SingleTxt"/>
        <w:spacing w:after="0" w:line="120" w:lineRule="exact"/>
        <w:ind w:right="0"/>
        <w:rPr>
          <w:sz w:val="10"/>
        </w:rPr>
      </w:pPr>
    </w:p>
    <w:p w:rsidR="009616F2" w:rsidRDefault="009616F2" w:rsidP="009616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A.</w:t>
      </w:r>
      <w:r>
        <w:tab/>
      </w:r>
      <w:r>
        <w:rPr>
          <w:rFonts w:hint="eastAsia"/>
        </w:rPr>
        <w:t>第1条. 国家为支持消除歧视和促进平等而签署和批准的公约、条约和协定</w:t>
      </w:r>
    </w:p>
    <w:p w:rsidR="009616F2" w:rsidRPr="009616F2" w:rsidRDefault="009616F2" w:rsidP="009616F2">
      <w:pPr>
        <w:pStyle w:val="SingleTxt"/>
        <w:spacing w:after="0" w:line="120" w:lineRule="exact"/>
        <w:ind w:right="0"/>
        <w:rPr>
          <w:rFonts w:hint="eastAsia"/>
          <w:sz w:val="10"/>
        </w:rPr>
      </w:pPr>
    </w:p>
    <w:p w:rsidR="009616F2" w:rsidRPr="009616F2" w:rsidRDefault="009616F2" w:rsidP="009616F2">
      <w:pPr>
        <w:pStyle w:val="SingleTxt"/>
        <w:spacing w:after="0" w:line="120" w:lineRule="exact"/>
        <w:ind w:right="0"/>
        <w:rPr>
          <w:rFonts w:hint="eastAsia"/>
          <w:sz w:val="10"/>
        </w:rPr>
      </w:pPr>
    </w:p>
    <w:p w:rsidR="009616F2" w:rsidRDefault="009616F2" w:rsidP="009616F2">
      <w:pPr>
        <w:pStyle w:val="SingleTxt"/>
        <w:rPr>
          <w:rFonts w:hint="eastAsia"/>
        </w:rPr>
      </w:pPr>
      <w:r>
        <w:rPr>
          <w:rFonts w:hint="eastAsia"/>
        </w:rPr>
        <w:t>52.</w:t>
      </w:r>
      <w:r>
        <w:rPr>
          <w:rFonts w:hint="eastAsia"/>
        </w:rPr>
        <w:tab/>
        <w:t xml:space="preserve">多米尼加国支持《消除对妇女一切形式歧视公约》中关于歧视妇女的定义。因此，《共和国宪法》第39条规定了不歧视原则。 </w:t>
      </w:r>
    </w:p>
    <w:p w:rsidR="009616F2" w:rsidRDefault="009616F2" w:rsidP="009616F2">
      <w:pPr>
        <w:pStyle w:val="SingleTxt"/>
        <w:rPr>
          <w:rFonts w:hint="eastAsia"/>
        </w:rPr>
      </w:pPr>
      <w:r>
        <w:rPr>
          <w:rFonts w:hint="eastAsia"/>
        </w:rPr>
        <w:t>53.</w:t>
      </w:r>
      <w:r>
        <w:rPr>
          <w:rFonts w:hint="eastAsia"/>
        </w:rPr>
        <w:tab/>
        <w:t xml:space="preserve">《宪法》将这一原则表述为人人有权生而自由并在法律面前平等，得到机构、当局机关和其他人相同的保护和待遇，并享有相同的权利、自由和机会，不因性别、肤色、年龄、残疾、国籍、家庭关系、语言、宗教、政治或哲学观点、社会或个人地位为由受到任何歧视。 </w:t>
      </w:r>
    </w:p>
    <w:p w:rsidR="009616F2" w:rsidRDefault="009616F2" w:rsidP="009616F2">
      <w:pPr>
        <w:pStyle w:val="SingleTxt"/>
        <w:rPr>
          <w:rFonts w:hint="eastAsia"/>
        </w:rPr>
      </w:pPr>
      <w:r>
        <w:rPr>
          <w:rFonts w:hint="eastAsia"/>
        </w:rPr>
        <w:t>54.</w:t>
      </w:r>
      <w:r>
        <w:rPr>
          <w:rFonts w:hint="eastAsia"/>
        </w:rPr>
        <w:tab/>
        <w:t xml:space="preserve">同样，《多米尼加宪法》谴责任何可能破坏多米尼加男女平等的特权或地位分配，只允许在才华或道德操守基础上的差别化。此外，《宪法》规定，应创造法律和行政条件和采取措施，防止和打击基于性别的歧视、剥夺、伤害和排斥。 </w:t>
      </w:r>
    </w:p>
    <w:p w:rsidR="009616F2" w:rsidRDefault="009616F2" w:rsidP="009616F2">
      <w:pPr>
        <w:pStyle w:val="SingleTxt"/>
        <w:rPr>
          <w:rFonts w:hint="eastAsia"/>
        </w:rPr>
      </w:pPr>
      <w:r>
        <w:rPr>
          <w:rFonts w:hint="eastAsia"/>
        </w:rPr>
        <w:t>55.</w:t>
      </w:r>
      <w:r>
        <w:rPr>
          <w:rFonts w:hint="eastAsia"/>
        </w:rPr>
        <w:tab/>
        <w:t xml:space="preserve">男女在法律上平等，法律禁止任何其影响或其目的均足以妨碍或否认男女在平等的基础上认识、享有或行使人权和基本自由的行为。必须采取一切必要步骤，确保消除基于性别的不平等和歧视。 </w:t>
      </w:r>
    </w:p>
    <w:p w:rsidR="009616F2" w:rsidRDefault="009616F2" w:rsidP="009616F2">
      <w:pPr>
        <w:pStyle w:val="SingleTxt"/>
        <w:rPr>
          <w:rFonts w:hint="eastAsia"/>
        </w:rPr>
      </w:pPr>
      <w:r>
        <w:rPr>
          <w:rFonts w:hint="eastAsia"/>
        </w:rPr>
        <w:t>56.</w:t>
      </w:r>
      <w:r>
        <w:rPr>
          <w:rFonts w:hint="eastAsia"/>
        </w:rPr>
        <w:tab/>
        <w:t xml:space="preserve">宪法的另一项规定是促进和确保男女候选人均衡参与公共领域、司法机关和国家监督机构管理和决策一级的职务选举。 </w:t>
      </w:r>
    </w:p>
    <w:p w:rsidR="009616F2" w:rsidRDefault="009616F2" w:rsidP="009616F2">
      <w:pPr>
        <w:pStyle w:val="SingleTxt"/>
        <w:rPr>
          <w:rFonts w:hint="eastAsia"/>
        </w:rPr>
      </w:pPr>
      <w:r>
        <w:rPr>
          <w:rFonts w:hint="eastAsia"/>
        </w:rPr>
        <w:t>57.</w:t>
      </w:r>
      <w:r>
        <w:rPr>
          <w:rFonts w:hint="eastAsia"/>
        </w:rPr>
        <w:tab/>
        <w:t xml:space="preserve">这方面的重要进展，尤其是新《宪法》取得的进展，是以下第74条第3款所载的规定：“由多米尼加国签署和批准的人权条约、协定和公约具有宪法地位，应由法院和其他国家机关直接和立即地加以适用”。 </w:t>
      </w:r>
    </w:p>
    <w:p w:rsidR="009616F2" w:rsidRDefault="009616F2" w:rsidP="009616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第2条.</w:t>
      </w:r>
      <w:r w:rsidR="0045173D">
        <w:rPr>
          <w:rFonts w:hint="eastAsia"/>
        </w:rPr>
        <w:t xml:space="preserve"> </w:t>
      </w:r>
      <w:r>
        <w:rPr>
          <w:rFonts w:hint="eastAsia"/>
        </w:rPr>
        <w:t>消除歧视妇女的政策措施</w:t>
      </w:r>
    </w:p>
    <w:p w:rsidR="009616F2" w:rsidRPr="009616F2" w:rsidRDefault="009616F2" w:rsidP="009616F2">
      <w:pPr>
        <w:pStyle w:val="SingleTxt"/>
        <w:spacing w:after="0" w:line="120" w:lineRule="exact"/>
        <w:ind w:right="0"/>
        <w:rPr>
          <w:rFonts w:hint="eastAsia"/>
          <w:sz w:val="10"/>
        </w:rPr>
      </w:pPr>
    </w:p>
    <w:p w:rsidR="009616F2" w:rsidRDefault="009616F2" w:rsidP="009616F2">
      <w:pPr>
        <w:pStyle w:val="SingleTxt"/>
        <w:rPr>
          <w:rFonts w:hint="eastAsia"/>
        </w:rPr>
      </w:pPr>
      <w:r>
        <w:rPr>
          <w:rFonts w:hint="eastAsia"/>
        </w:rPr>
        <w:t>58.</w:t>
      </w:r>
      <w:r>
        <w:rPr>
          <w:rFonts w:hint="eastAsia"/>
        </w:rPr>
        <w:tab/>
        <w:t xml:space="preserve">在本报告所涉期间(2003-2011年)采取了重要的政策和措施，促进妇女地位的提高和消除对妇女的歧视。 </w:t>
      </w:r>
    </w:p>
    <w:p w:rsidR="009616F2" w:rsidRDefault="009616F2" w:rsidP="009616F2">
      <w:pPr>
        <w:pStyle w:val="SingleTxt"/>
        <w:rPr>
          <w:rFonts w:hint="eastAsia"/>
        </w:rPr>
      </w:pPr>
      <w:r>
        <w:rPr>
          <w:rFonts w:hint="eastAsia"/>
        </w:rPr>
        <w:t>59.</w:t>
      </w:r>
      <w:r>
        <w:rPr>
          <w:rFonts w:hint="eastAsia"/>
        </w:rPr>
        <w:tab/>
        <w:t xml:space="preserve">所采取的步骤包括通过了2010年1月生效的新《共和国政治宪法》、《国家县市法》(第176-07号法案)、《2007-2017年国家性别平等和公平计划》、《2010-2030年国家发展战略》以及国内目前正在进行的改革。 </w:t>
      </w:r>
    </w:p>
    <w:p w:rsidR="009616F2" w:rsidRDefault="009616F2" w:rsidP="009616F2">
      <w:pPr>
        <w:pStyle w:val="SingleTxt"/>
        <w:rPr>
          <w:rFonts w:hint="eastAsia"/>
        </w:rPr>
      </w:pPr>
      <w:r>
        <w:rPr>
          <w:rFonts w:hint="eastAsia"/>
        </w:rPr>
        <w:t>60.</w:t>
      </w:r>
      <w:r>
        <w:rPr>
          <w:rFonts w:hint="eastAsia"/>
        </w:rPr>
        <w:tab/>
        <w:t xml:space="preserve">无论是明确规定还是隐含的妇女权利和利益方面，新《多米尼加共和国宪法》代表了国家整个历史上最具包容性的宪法。 </w:t>
      </w:r>
    </w:p>
    <w:p w:rsidR="009616F2" w:rsidRDefault="009616F2" w:rsidP="009616F2">
      <w:pPr>
        <w:pStyle w:val="SingleTxt"/>
        <w:rPr>
          <w:rFonts w:hint="eastAsia"/>
        </w:rPr>
      </w:pPr>
      <w:r>
        <w:rPr>
          <w:rFonts w:hint="eastAsia"/>
        </w:rPr>
        <w:t xml:space="preserve">61. </w:t>
      </w:r>
      <w:r>
        <w:rPr>
          <w:rFonts w:hint="eastAsia"/>
        </w:rPr>
        <w:tab/>
        <w:t xml:space="preserve">新《宪法》中值得注意的进展包括： </w:t>
      </w:r>
    </w:p>
    <w:p w:rsidR="009616F2" w:rsidRDefault="009616F2" w:rsidP="009616F2">
      <w:pPr>
        <w:pStyle w:val="SingleTxt"/>
        <w:rPr>
          <w:rFonts w:hint="eastAsia"/>
        </w:rPr>
      </w:pPr>
      <w:r>
        <w:rPr>
          <w:rFonts w:hint="eastAsia"/>
        </w:rPr>
        <w:tab/>
        <w:t>(a)</w:t>
      </w:r>
      <w:r>
        <w:rPr>
          <w:rFonts w:hint="eastAsia"/>
        </w:rPr>
        <w:tab/>
        <w:t xml:space="preserve">男女平等原则和对一切形式歧视的谴责(第39条，平等权利)； </w:t>
      </w:r>
    </w:p>
    <w:p w:rsidR="009616F2" w:rsidRDefault="009616F2" w:rsidP="009616F2">
      <w:pPr>
        <w:pStyle w:val="SingleTxt"/>
        <w:rPr>
          <w:rFonts w:hint="eastAsia"/>
        </w:rPr>
      </w:pPr>
      <w:r>
        <w:rPr>
          <w:rFonts w:hint="eastAsia"/>
        </w:rPr>
        <w:tab/>
        <w:t>(b)</w:t>
      </w:r>
      <w:r>
        <w:rPr>
          <w:rFonts w:hint="eastAsia"/>
        </w:rPr>
        <w:tab/>
        <w:t xml:space="preserve">妇女无暴力生活的权利(第42条第2款)：“禁止一切形式的家庭暴力和性别暴力。国家应采取一切适当的立法措施，防止、惩罚和消除暴力侵害妇女行为”； </w:t>
      </w:r>
    </w:p>
    <w:p w:rsidR="009616F2" w:rsidRDefault="009616F2" w:rsidP="009616F2">
      <w:pPr>
        <w:pStyle w:val="SingleTxt"/>
        <w:rPr>
          <w:rFonts w:hint="eastAsia"/>
        </w:rPr>
      </w:pPr>
      <w:r>
        <w:rPr>
          <w:rFonts w:hint="eastAsia"/>
        </w:rPr>
        <w:tab/>
        <w:t>(c)</w:t>
      </w:r>
      <w:r>
        <w:tab/>
      </w:r>
      <w:r>
        <w:rPr>
          <w:rFonts w:hint="eastAsia"/>
        </w:rPr>
        <w:t xml:space="preserve">国家有责任促进和确保男女候选人均衡参与公共领域、司法机关和国家监督机构管理和决策一级的职务选举(第39条第5款)； </w:t>
      </w:r>
    </w:p>
    <w:p w:rsidR="009616F2" w:rsidRDefault="009616F2" w:rsidP="009616F2">
      <w:pPr>
        <w:pStyle w:val="SingleTxt"/>
        <w:rPr>
          <w:rFonts w:hint="eastAsia"/>
        </w:rPr>
      </w:pPr>
      <w:r>
        <w:rPr>
          <w:rFonts w:hint="eastAsia"/>
        </w:rPr>
        <w:tab/>
        <w:t>(d)</w:t>
      </w:r>
      <w:r>
        <w:tab/>
      </w:r>
      <w:r>
        <w:rPr>
          <w:rFonts w:hint="eastAsia"/>
        </w:rPr>
        <w:t xml:space="preserve">在整部《宪法》中承认家务的经济价值，承认事实婚姻，提倡同工同酬、民众立法倡议和对性别问题有敏感认识的语言。 </w:t>
      </w:r>
    </w:p>
    <w:p w:rsidR="009616F2" w:rsidRDefault="009616F2" w:rsidP="009616F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1.</w:t>
      </w:r>
      <w:r>
        <w:tab/>
      </w:r>
      <w:r>
        <w:rPr>
          <w:rFonts w:hint="eastAsia"/>
        </w:rPr>
        <w:t>局限和障碍</w:t>
      </w:r>
    </w:p>
    <w:p w:rsidR="009616F2" w:rsidRPr="009616F2" w:rsidRDefault="009616F2" w:rsidP="009616F2">
      <w:pPr>
        <w:pStyle w:val="SingleTxt"/>
        <w:spacing w:after="0" w:line="120" w:lineRule="exact"/>
        <w:ind w:right="0"/>
        <w:rPr>
          <w:rFonts w:hint="eastAsia"/>
          <w:sz w:val="10"/>
        </w:rPr>
      </w:pPr>
    </w:p>
    <w:p w:rsidR="009616F2" w:rsidRDefault="009616F2" w:rsidP="009616F2">
      <w:pPr>
        <w:pStyle w:val="SingleTxt"/>
        <w:rPr>
          <w:rFonts w:hint="eastAsia"/>
        </w:rPr>
      </w:pPr>
      <w:r>
        <w:rPr>
          <w:rFonts w:hint="eastAsia"/>
        </w:rPr>
        <w:t>62.</w:t>
      </w:r>
      <w:r>
        <w:rPr>
          <w:rFonts w:hint="eastAsia"/>
        </w:rPr>
        <w:tab/>
        <w:t xml:space="preserve">虽然新《宪法》是多米尼加共和国在性别平等和公平方面迄今所通过的最具先进性的文件，改革计划的起草和信息分享也具有广泛的参与性，还吸取了全国所有部门的意见以及妇女宪法改革论坛和妇女事务部的大量投入，但是，第37条做出的规定是一个局限，可能妨碍妇女充分行使性健康权利和生殖权利。第37条规定，从妊娠至死亡的生命权不可侵犯，在任何情况下不得设立、颁布或适用死刑。 </w:t>
      </w:r>
    </w:p>
    <w:p w:rsidR="009616F2" w:rsidRDefault="009616F2" w:rsidP="009616F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2.</w:t>
      </w:r>
      <w:r>
        <w:rPr>
          <w:rFonts w:hint="eastAsia"/>
        </w:rPr>
        <w:tab/>
        <w:t xml:space="preserve">《国家县市法》 </w:t>
      </w:r>
    </w:p>
    <w:p w:rsidR="009616F2" w:rsidRPr="009616F2" w:rsidRDefault="009616F2" w:rsidP="009616F2">
      <w:pPr>
        <w:pStyle w:val="SingleTxt"/>
        <w:spacing w:after="0" w:line="120" w:lineRule="exact"/>
        <w:ind w:right="0"/>
        <w:rPr>
          <w:rFonts w:hint="eastAsia"/>
          <w:sz w:val="10"/>
        </w:rPr>
      </w:pPr>
    </w:p>
    <w:p w:rsidR="009616F2" w:rsidRDefault="009616F2" w:rsidP="009616F2">
      <w:pPr>
        <w:pStyle w:val="SingleTxt"/>
        <w:rPr>
          <w:rFonts w:hint="eastAsia"/>
        </w:rPr>
      </w:pPr>
      <w:r>
        <w:rPr>
          <w:rFonts w:hint="eastAsia"/>
        </w:rPr>
        <w:t>63.</w:t>
      </w:r>
      <w:r>
        <w:rPr>
          <w:rFonts w:hint="eastAsia"/>
        </w:rPr>
        <w:tab/>
        <w:t xml:space="preserve">由于2007年7月12日新的《国家县市法》(第176-07号法案)，地方一级也发生了重大的变化。这部法律的重要特征是支持推进地方政府管理中的性别平等和公平。这是第一次明确地将性别平等观点和妇女状况纳入规范市级和地方管理的专门法律。该法包括下列这些举措： </w:t>
      </w:r>
    </w:p>
    <w:p w:rsidR="009616F2" w:rsidRDefault="009616F2" w:rsidP="009616F2">
      <w:pPr>
        <w:pStyle w:val="SingleTxt"/>
        <w:rPr>
          <w:rFonts w:hint="eastAsia"/>
        </w:rPr>
      </w:pPr>
      <w:r>
        <w:rPr>
          <w:rFonts w:hint="eastAsia"/>
        </w:rPr>
        <w:tab/>
        <w:t>(a)</w:t>
      </w:r>
      <w:r>
        <w:rPr>
          <w:rFonts w:hint="eastAsia"/>
        </w:rPr>
        <w:tab/>
        <w:t>性别公平作为一项原则：将公平作为正义的代表并给予每个人应得的公平，以克服不平等，同时认识到每一个人或群体(在性别、阶层、宗教或年龄方面)的具体条件和特点，并承认差异；</w:t>
      </w:r>
    </w:p>
    <w:p w:rsidR="009616F2" w:rsidRDefault="009616F2" w:rsidP="009616F2">
      <w:pPr>
        <w:pStyle w:val="SingleTxt"/>
        <w:rPr>
          <w:rFonts w:hint="eastAsia"/>
        </w:rPr>
      </w:pPr>
      <w:r>
        <w:tab/>
      </w:r>
      <w:r>
        <w:rPr>
          <w:rFonts w:hint="eastAsia"/>
        </w:rPr>
        <w:t>(b)</w:t>
      </w:r>
      <w:r>
        <w:rPr>
          <w:rFonts w:hint="eastAsia"/>
        </w:rPr>
        <w:tab/>
        <w:t xml:space="preserve">参与性预算，它不但是人民参与和控制市政管理的一个领域，而且提供了一个机会将妇女的需要纳入地方政府预算的规划和分配； </w:t>
      </w:r>
    </w:p>
    <w:p w:rsidR="009616F2" w:rsidRDefault="009616F2" w:rsidP="009616F2">
      <w:pPr>
        <w:pStyle w:val="SingleTxt"/>
        <w:rPr>
          <w:rFonts w:hint="eastAsia"/>
        </w:rPr>
      </w:pPr>
      <w:r>
        <w:tab/>
      </w:r>
      <w:r>
        <w:rPr>
          <w:rFonts w:hint="eastAsia"/>
        </w:rPr>
        <w:t>(c)</w:t>
      </w:r>
      <w:r>
        <w:rPr>
          <w:rFonts w:hint="eastAsia"/>
        </w:rPr>
        <w:tab/>
        <w:t xml:space="preserve">在实施有利于妇女的行动和政策、加强有关妇女在地方政府中的比例的选举法律、向现有机制分配与性别相关的职能方面，与国家和国际决策者进行协调的愿意； </w:t>
      </w:r>
    </w:p>
    <w:p w:rsidR="009616F2" w:rsidRDefault="009616F2" w:rsidP="009616F2">
      <w:pPr>
        <w:pStyle w:val="SingleTxt"/>
        <w:rPr>
          <w:rFonts w:hint="eastAsia"/>
        </w:rPr>
      </w:pPr>
      <w:r>
        <w:rPr>
          <w:rFonts w:hint="eastAsia"/>
        </w:rPr>
        <w:tab/>
        <w:t>(d)</w:t>
      </w:r>
      <w:r>
        <w:rPr>
          <w:rFonts w:hint="eastAsia"/>
        </w:rPr>
        <w:tab/>
        <w:t xml:space="preserve">性别平等工作专项资金的分配(占预算的4%)； </w:t>
      </w:r>
    </w:p>
    <w:p w:rsidR="009616F2" w:rsidRDefault="009616F2" w:rsidP="009616F2">
      <w:pPr>
        <w:pStyle w:val="SingleTxt"/>
        <w:rPr>
          <w:rFonts w:hint="eastAsia"/>
        </w:rPr>
      </w:pPr>
      <w:r>
        <w:rPr>
          <w:rFonts w:hint="eastAsia"/>
        </w:rPr>
        <w:tab/>
        <w:t>(e)</w:t>
      </w:r>
      <w:r>
        <w:rPr>
          <w:rFonts w:hint="eastAsia"/>
        </w:rPr>
        <w:tab/>
        <w:t xml:space="preserve">妇女加入当地市民的参与活动，同时在参与性预算投资方面考虑到妇女的需要。 </w:t>
      </w:r>
    </w:p>
    <w:p w:rsidR="009616F2" w:rsidRDefault="009616F2" w:rsidP="009616F2">
      <w:pPr>
        <w:pStyle w:val="SingleTxt"/>
        <w:rPr>
          <w:rFonts w:hint="eastAsia"/>
        </w:rPr>
      </w:pPr>
      <w:r>
        <w:rPr>
          <w:rFonts w:hint="eastAsia"/>
        </w:rPr>
        <w:t>64.</w:t>
      </w:r>
      <w:r>
        <w:tab/>
      </w:r>
      <w:r>
        <w:rPr>
          <w:rFonts w:hint="eastAsia"/>
        </w:rPr>
        <w:t xml:space="preserve">至于这部法律的局限和弱点，应该指出的是，它采用的是公平原则而不是平等原则。此外，有关妇女的规定更多地是与儿童、老年人和残疾人等其他行为者联系在一起，使得强调的重点更集中于对弱势阶层的服务，而不是弱势阶层的权利。这部法律很少或没有关于加强当选市政职务妇女作用的规定；很少强调妇女的贡献对当地发展的重要性，这一缺陷的根源在于缺乏能够纳入妇女的经济和社会政策。此外，性别主流化的机制没有得到明确界定。 </w:t>
      </w:r>
    </w:p>
    <w:p w:rsidR="009616F2" w:rsidRDefault="009616F2" w:rsidP="009616F2">
      <w:pPr>
        <w:pStyle w:val="SingleTxt"/>
        <w:rPr>
          <w:rFonts w:hint="eastAsia"/>
        </w:rPr>
      </w:pPr>
      <w:r>
        <w:rPr>
          <w:rFonts w:hint="eastAsia"/>
        </w:rPr>
        <w:t>65.</w:t>
      </w:r>
      <w:r>
        <w:rPr>
          <w:rFonts w:hint="eastAsia"/>
        </w:rPr>
        <w:tab/>
        <w:t xml:space="preserve">在实施第176-07号法案关于性别平等内容的宣传过程中，妇女事务部就适用这部法律中的性别平等条款拟订了一份条例草案，并发起了一项宣传和培训活动，其中包括由国家改革全国委员会和多米尼加市政联合会正在开展的更广泛的进程框架中的宣传活动，目的在于制定一部适用这部法律的一般条例。 </w:t>
      </w:r>
    </w:p>
    <w:p w:rsidR="009616F2" w:rsidRDefault="009616F2" w:rsidP="009616F2">
      <w:pPr>
        <w:pStyle w:val="SingleTxt"/>
        <w:rPr>
          <w:rFonts w:hint="eastAsia"/>
        </w:rPr>
      </w:pPr>
      <w:r>
        <w:rPr>
          <w:rFonts w:hint="eastAsia"/>
        </w:rPr>
        <w:t>66.</w:t>
      </w:r>
      <w:r>
        <w:rPr>
          <w:rFonts w:hint="eastAsia"/>
        </w:rPr>
        <w:tab/>
        <w:t xml:space="preserve">妇女事务部与22个市签署了工作协议，并正在11个市政府落实性别平等问题审计方案。所取得的进展包括普拉塔港、阿尔塔米拉、蒙特普拉塔、达哈翁、阿苏阿、维拉冈萨雷斯各个市根据其议会的决定设立市性别平等与发展办公室，各市议会通过了在市政管理中实施有关性别平等内容的条例。 </w:t>
      </w:r>
    </w:p>
    <w:p w:rsidR="009616F2" w:rsidRDefault="009616F2" w:rsidP="009616F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3.</w:t>
      </w:r>
      <w:r>
        <w:tab/>
      </w:r>
      <w:r>
        <w:rPr>
          <w:rFonts w:hint="eastAsia"/>
        </w:rPr>
        <w:t xml:space="preserve">《2007-2017年性别平等和公平国家计划》(《性别平等计划 II》) </w:t>
      </w:r>
    </w:p>
    <w:p w:rsidR="009616F2" w:rsidRPr="009616F2" w:rsidRDefault="009616F2" w:rsidP="009616F2">
      <w:pPr>
        <w:pStyle w:val="SingleTxt"/>
        <w:spacing w:after="0" w:line="120" w:lineRule="exact"/>
        <w:ind w:right="0"/>
        <w:rPr>
          <w:rFonts w:hint="eastAsia"/>
          <w:sz w:val="10"/>
        </w:rPr>
      </w:pPr>
    </w:p>
    <w:p w:rsidR="009616F2" w:rsidRDefault="009616F2" w:rsidP="009616F2">
      <w:pPr>
        <w:pStyle w:val="SingleTxt"/>
        <w:rPr>
          <w:rFonts w:hint="eastAsia"/>
        </w:rPr>
      </w:pPr>
      <w:r>
        <w:rPr>
          <w:rFonts w:hint="eastAsia"/>
        </w:rPr>
        <w:t>67.</w:t>
      </w:r>
      <w:r>
        <w:rPr>
          <w:rFonts w:hint="eastAsia"/>
        </w:rPr>
        <w:tab/>
        <w:t>这项《国家计划》的制定和实施涉及整个多米尼加社会。《性别平等计划》建立在四个战略支柱之上：(a)</w:t>
      </w:r>
      <w:r>
        <w:t xml:space="preserve"> </w:t>
      </w:r>
      <w:r>
        <w:rPr>
          <w:rFonts w:hint="eastAsia"/>
        </w:rPr>
        <w:t>从人权视角出发的性别平等；(b)</w:t>
      </w:r>
      <w:r>
        <w:t xml:space="preserve"> </w:t>
      </w:r>
      <w:r>
        <w:rPr>
          <w:rFonts w:hint="eastAsia"/>
        </w:rPr>
        <w:t>主流化、针对性和高效能干预；(c)</w:t>
      </w:r>
      <w:r>
        <w:t xml:space="preserve"> </w:t>
      </w:r>
      <w:r>
        <w:rPr>
          <w:rFonts w:hint="eastAsia"/>
        </w:rPr>
        <w:t>确保执行过程中的协调和联系的制度安排；(d)</w:t>
      </w:r>
      <w:r>
        <w:t xml:space="preserve"> </w:t>
      </w:r>
      <w:r>
        <w:rPr>
          <w:rFonts w:hint="eastAsia"/>
        </w:rPr>
        <w:t xml:space="preserve">加强妇女事务部的监督作用。另一个战略性举措是建立一个落实和监督《性别平等计划 II》的实施的体系。 </w:t>
      </w:r>
    </w:p>
    <w:p w:rsidR="009616F2" w:rsidRDefault="009616F2" w:rsidP="009616F2">
      <w:pPr>
        <w:pStyle w:val="SingleTxt"/>
        <w:rPr>
          <w:rFonts w:hint="eastAsia"/>
        </w:rPr>
      </w:pPr>
      <w:r>
        <w:rPr>
          <w:rFonts w:hint="eastAsia"/>
        </w:rPr>
        <w:t>68.</w:t>
      </w:r>
      <w:r>
        <w:rPr>
          <w:rFonts w:hint="eastAsia"/>
        </w:rPr>
        <w:tab/>
        <w:t xml:space="preserve">《性别平等计划II》将7项主要国家目标列为优先事项，处理多米尼加社会中的妇女所面临的主要问题，并促进建立性别平等的公共政策。这些目标是： </w:t>
      </w:r>
    </w:p>
    <w:p w:rsidR="009616F2" w:rsidRDefault="009616F2" w:rsidP="009616F2">
      <w:pPr>
        <w:pStyle w:val="SingleTxt"/>
        <w:rPr>
          <w:rFonts w:hint="eastAsia"/>
        </w:rPr>
      </w:pPr>
      <w:r>
        <w:rPr>
          <w:rFonts w:hint="eastAsia"/>
        </w:rPr>
        <w:tab/>
        <w:t>(a)</w:t>
      </w:r>
      <w:r>
        <w:rPr>
          <w:rFonts w:hint="eastAsia"/>
        </w:rPr>
        <w:tab/>
        <w:t xml:space="preserve">促进性别平等和公平文化； </w:t>
      </w:r>
    </w:p>
    <w:p w:rsidR="009616F2" w:rsidRDefault="009616F2" w:rsidP="009616F2">
      <w:pPr>
        <w:pStyle w:val="SingleTxt"/>
        <w:rPr>
          <w:rFonts w:hint="eastAsia"/>
        </w:rPr>
      </w:pPr>
      <w:r>
        <w:rPr>
          <w:rFonts w:hint="eastAsia"/>
        </w:rPr>
        <w:tab/>
        <w:t>(b)</w:t>
      </w:r>
      <w:r>
        <w:rPr>
          <w:rFonts w:hint="eastAsia"/>
        </w:rPr>
        <w:tab/>
        <w:t xml:space="preserve">保证妇女的权利和充分行使其公民权利； </w:t>
      </w:r>
    </w:p>
    <w:p w:rsidR="009616F2" w:rsidRDefault="009616F2" w:rsidP="009616F2">
      <w:pPr>
        <w:pStyle w:val="SingleTxt"/>
        <w:rPr>
          <w:rFonts w:hint="eastAsia"/>
        </w:rPr>
      </w:pPr>
      <w:r>
        <w:rPr>
          <w:rFonts w:hint="eastAsia"/>
        </w:rPr>
        <w:tab/>
        <w:t>(c)</w:t>
      </w:r>
      <w:r>
        <w:rPr>
          <w:rFonts w:hint="eastAsia"/>
        </w:rPr>
        <w:tab/>
        <w:t xml:space="preserve">在妇女中加强经济权能，减少贫困； </w:t>
      </w:r>
    </w:p>
    <w:p w:rsidR="009616F2" w:rsidRDefault="009616F2" w:rsidP="009616F2">
      <w:pPr>
        <w:pStyle w:val="SingleTxt"/>
        <w:rPr>
          <w:rFonts w:hint="eastAsia"/>
        </w:rPr>
      </w:pPr>
      <w:r>
        <w:rPr>
          <w:rFonts w:hint="eastAsia"/>
        </w:rPr>
        <w:tab/>
        <w:t>(d)</w:t>
      </w:r>
      <w:r>
        <w:rPr>
          <w:rFonts w:hint="eastAsia"/>
        </w:rPr>
        <w:tab/>
        <w:t xml:space="preserve">促进妇女走上领导岗位，提高妇女在政治事务中的参与度和代表性； </w:t>
      </w:r>
    </w:p>
    <w:p w:rsidR="009616F2" w:rsidRDefault="009616F2" w:rsidP="009616F2">
      <w:pPr>
        <w:pStyle w:val="SingleTxt"/>
        <w:rPr>
          <w:rFonts w:hint="eastAsia"/>
        </w:rPr>
      </w:pPr>
      <w:r>
        <w:rPr>
          <w:rFonts w:hint="eastAsia"/>
        </w:rPr>
        <w:tab/>
        <w:t>(e)</w:t>
      </w:r>
      <w:r>
        <w:rPr>
          <w:rFonts w:hint="eastAsia"/>
        </w:rPr>
        <w:tab/>
        <w:t xml:space="preserve">促进妇女获得和控制高质量产品和服务； </w:t>
      </w:r>
    </w:p>
    <w:p w:rsidR="009616F2" w:rsidRDefault="009616F2" w:rsidP="009616F2">
      <w:pPr>
        <w:pStyle w:val="SingleTxt"/>
        <w:rPr>
          <w:rFonts w:hint="eastAsia"/>
        </w:rPr>
      </w:pPr>
      <w:r>
        <w:rPr>
          <w:rFonts w:hint="eastAsia"/>
        </w:rPr>
        <w:tab/>
        <w:t>(f)</w:t>
      </w:r>
      <w:r>
        <w:rPr>
          <w:rFonts w:hint="eastAsia"/>
        </w:rPr>
        <w:tab/>
        <w:t xml:space="preserve">在妇女的一生中消除对妇女一切形式的歧视； </w:t>
      </w:r>
    </w:p>
    <w:p w:rsidR="009616F2" w:rsidRDefault="009616F2" w:rsidP="009616F2">
      <w:pPr>
        <w:pStyle w:val="SingleTxt"/>
        <w:rPr>
          <w:rFonts w:hint="eastAsia"/>
        </w:rPr>
      </w:pPr>
      <w:r>
        <w:rPr>
          <w:rFonts w:hint="eastAsia"/>
        </w:rPr>
        <w:tab/>
        <w:t>(g)</w:t>
      </w:r>
      <w:r>
        <w:rPr>
          <w:rFonts w:hint="eastAsia"/>
        </w:rPr>
        <w:tab/>
        <w:t xml:space="preserve">推动妇女充分参与信息和知识社会。 </w:t>
      </w:r>
    </w:p>
    <w:p w:rsidR="009616F2" w:rsidRDefault="009616F2" w:rsidP="009616F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4.</w:t>
      </w:r>
      <w:r>
        <w:rPr>
          <w:rFonts w:hint="eastAsia"/>
        </w:rPr>
        <w:tab/>
        <w:t xml:space="preserve">国内正在开展的改革进程 </w:t>
      </w:r>
    </w:p>
    <w:p w:rsidR="009616F2" w:rsidRPr="009616F2" w:rsidRDefault="009616F2" w:rsidP="009616F2">
      <w:pPr>
        <w:pStyle w:val="SingleTxt"/>
        <w:spacing w:after="0" w:line="120" w:lineRule="exact"/>
        <w:ind w:right="0"/>
        <w:rPr>
          <w:rFonts w:hint="eastAsia"/>
          <w:sz w:val="10"/>
        </w:rPr>
      </w:pPr>
    </w:p>
    <w:p w:rsidR="009616F2" w:rsidRDefault="009616F2" w:rsidP="009616F2">
      <w:pPr>
        <w:pStyle w:val="SingleTxt"/>
        <w:rPr>
          <w:rFonts w:hint="eastAsia"/>
        </w:rPr>
      </w:pPr>
      <w:r>
        <w:rPr>
          <w:rFonts w:hint="eastAsia"/>
        </w:rPr>
        <w:t>69.</w:t>
      </w:r>
      <w:r>
        <w:rPr>
          <w:rFonts w:hint="eastAsia"/>
        </w:rPr>
        <w:tab/>
        <w:t xml:space="preserve">全国上下正在投入到一项广泛的改革进程中去，其目标在于修订现行法律以适应新《宪法》，并对在新《共和国宪法》颁布时就已经提交国会的改革草案提出反馈意见。维护妇女权益方面最重要的举措有以下几点： </w:t>
      </w:r>
    </w:p>
    <w:p w:rsidR="002B7E06" w:rsidRDefault="002B7E06" w:rsidP="009616F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p>
    <w:p w:rsidR="009616F2" w:rsidRDefault="009616F2" w:rsidP="009616F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 xml:space="preserve">关于政党和政治团体的法律草案 </w:t>
      </w:r>
    </w:p>
    <w:p w:rsidR="0045173D" w:rsidRPr="0045173D" w:rsidRDefault="0045173D" w:rsidP="0045173D">
      <w:pPr>
        <w:pStyle w:val="SingleTxt"/>
        <w:spacing w:after="0" w:line="120" w:lineRule="exact"/>
        <w:rPr>
          <w:rFonts w:hint="eastAsia"/>
          <w:sz w:val="10"/>
        </w:rPr>
      </w:pPr>
    </w:p>
    <w:p w:rsidR="009616F2" w:rsidRDefault="009616F2" w:rsidP="009616F2">
      <w:pPr>
        <w:pStyle w:val="SingleTxt"/>
        <w:rPr>
          <w:rFonts w:hint="eastAsia"/>
        </w:rPr>
      </w:pPr>
      <w:r>
        <w:rPr>
          <w:rFonts w:hint="eastAsia"/>
        </w:rPr>
        <w:t>70.</w:t>
      </w:r>
      <w:r>
        <w:rPr>
          <w:rFonts w:hint="eastAsia"/>
        </w:rPr>
        <w:tab/>
        <w:t xml:space="preserve">制定关于政党的法律是一个过程，借助这一过程提出政党组织、法规、文化和实践方面的变革，以促进政党内各级组织妇女的加入、参与和比例，保证妇女行使正义和公平的基本权利。 </w:t>
      </w:r>
    </w:p>
    <w:p w:rsidR="009616F2" w:rsidRDefault="009616F2" w:rsidP="009616F2">
      <w:pPr>
        <w:pStyle w:val="SingleTxt"/>
        <w:rPr>
          <w:rFonts w:hint="eastAsia"/>
        </w:rPr>
      </w:pPr>
      <w:r>
        <w:rPr>
          <w:rFonts w:hint="eastAsia"/>
        </w:rPr>
        <w:t>71.</w:t>
      </w:r>
      <w:r>
        <w:rPr>
          <w:rFonts w:hint="eastAsia"/>
        </w:rPr>
        <w:tab/>
        <w:t xml:space="preserve">目标在于确保新的《政党和政治团体法》在以下各个领域纳入性别平等观点： </w:t>
      </w:r>
    </w:p>
    <w:p w:rsidR="009616F2" w:rsidRDefault="009616F2" w:rsidP="009616F2">
      <w:pPr>
        <w:pStyle w:val="SingleTxt"/>
        <w:rPr>
          <w:rFonts w:hint="eastAsia"/>
        </w:rPr>
      </w:pPr>
      <w:r>
        <w:rPr>
          <w:rFonts w:hint="eastAsia"/>
        </w:rPr>
        <w:tab/>
        <w:t>(a)</w:t>
      </w:r>
      <w:r>
        <w:rPr>
          <w:rFonts w:hint="eastAsia"/>
        </w:rPr>
        <w:tab/>
        <w:t xml:space="preserve">妇女与男子平等地参与政治的权利； </w:t>
      </w:r>
    </w:p>
    <w:p w:rsidR="009616F2" w:rsidRDefault="009616F2" w:rsidP="009616F2">
      <w:pPr>
        <w:pStyle w:val="SingleTxt"/>
        <w:rPr>
          <w:rFonts w:hint="eastAsia"/>
        </w:rPr>
      </w:pPr>
      <w:r>
        <w:rPr>
          <w:rFonts w:hint="eastAsia"/>
        </w:rPr>
        <w:tab/>
        <w:t>(b)</w:t>
      </w:r>
      <w:r>
        <w:rPr>
          <w:rFonts w:hint="eastAsia"/>
        </w:rPr>
        <w:tab/>
        <w:t xml:space="preserve">确保在全国性政党领导机构的组成中妇女至少占33%； </w:t>
      </w:r>
    </w:p>
    <w:p w:rsidR="009616F2" w:rsidRDefault="009616F2" w:rsidP="009616F2">
      <w:pPr>
        <w:pStyle w:val="SingleTxt"/>
        <w:rPr>
          <w:rFonts w:hint="eastAsia"/>
        </w:rPr>
      </w:pPr>
      <w:r>
        <w:rPr>
          <w:rFonts w:hint="eastAsia"/>
        </w:rPr>
        <w:tab/>
        <w:t>(c)</w:t>
      </w:r>
      <w:r>
        <w:rPr>
          <w:rFonts w:hint="eastAsia"/>
        </w:rPr>
        <w:tab/>
        <w:t xml:space="preserve">通过确保各级党组织的性别平等和公平，加强国内民主； </w:t>
      </w:r>
    </w:p>
    <w:p w:rsidR="009616F2" w:rsidRDefault="009616F2" w:rsidP="009616F2">
      <w:pPr>
        <w:pStyle w:val="SingleTxt"/>
        <w:rPr>
          <w:rFonts w:hint="eastAsia"/>
        </w:rPr>
      </w:pPr>
      <w:r>
        <w:rPr>
          <w:rFonts w:hint="eastAsia"/>
        </w:rPr>
        <w:tab/>
        <w:t>(d)</w:t>
      </w:r>
      <w:r>
        <w:rPr>
          <w:rFonts w:hint="eastAsia"/>
        </w:rPr>
        <w:tab/>
        <w:t xml:space="preserve">建立选择与妇女合法对应的33%提名的明确程序。 </w:t>
      </w:r>
    </w:p>
    <w:p w:rsidR="009616F2" w:rsidRDefault="009616F2" w:rsidP="009616F2">
      <w:pPr>
        <w:pStyle w:val="SingleTxt"/>
        <w:rPr>
          <w:rFonts w:hint="eastAsia"/>
        </w:rPr>
      </w:pPr>
      <w:r>
        <w:rPr>
          <w:rFonts w:hint="eastAsia"/>
        </w:rPr>
        <w:t>72.</w:t>
      </w:r>
      <w:r>
        <w:rPr>
          <w:rFonts w:hint="eastAsia"/>
        </w:rPr>
        <w:tab/>
        <w:t xml:space="preserve">在编写本报告时，《多米尼加共和国政党和政治团体法》草案已送交众议院委员会审议。 </w:t>
      </w:r>
    </w:p>
    <w:p w:rsidR="009616F2" w:rsidRDefault="009616F2" w:rsidP="009616F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 xml:space="preserve">《民法》改革法案 </w:t>
      </w:r>
    </w:p>
    <w:p w:rsidR="009616F2" w:rsidRPr="009616F2" w:rsidRDefault="009616F2" w:rsidP="009616F2">
      <w:pPr>
        <w:pStyle w:val="SingleTxt"/>
        <w:spacing w:after="0" w:line="120" w:lineRule="exact"/>
        <w:ind w:right="0"/>
        <w:rPr>
          <w:rFonts w:hint="eastAsia"/>
          <w:sz w:val="10"/>
        </w:rPr>
      </w:pPr>
    </w:p>
    <w:p w:rsidR="009616F2" w:rsidRDefault="009616F2" w:rsidP="009616F2">
      <w:pPr>
        <w:pStyle w:val="SingleTxt"/>
        <w:rPr>
          <w:rFonts w:hint="eastAsia"/>
        </w:rPr>
      </w:pPr>
      <w:r>
        <w:rPr>
          <w:rFonts w:hint="eastAsia"/>
        </w:rPr>
        <w:t>73.</w:t>
      </w:r>
      <w:r>
        <w:rPr>
          <w:rFonts w:hint="eastAsia"/>
        </w:rPr>
        <w:tab/>
        <w:t xml:space="preserve">已经做出了很大努力，将性别平等观点的宣传纳入《民法》改革的过程中，以强调妇女作为公民所享有的平等权利，促进男女之间在法律上的充分平等。 </w:t>
      </w:r>
    </w:p>
    <w:p w:rsidR="009616F2" w:rsidRDefault="009616F2" w:rsidP="009616F2">
      <w:pPr>
        <w:pStyle w:val="SingleTxt"/>
        <w:rPr>
          <w:rFonts w:hint="eastAsia"/>
        </w:rPr>
      </w:pPr>
      <w:r>
        <w:rPr>
          <w:rFonts w:hint="eastAsia"/>
        </w:rPr>
        <w:t>74.</w:t>
      </w:r>
      <w:r>
        <w:rPr>
          <w:rFonts w:hint="eastAsia"/>
        </w:rPr>
        <w:tab/>
        <w:t xml:space="preserve">一项以共识为基础的改革草案已由妇女事务部和妇女宪法改革论坛拟订并推动。目前正在准备按照新《共和国宪法》分析和审查这一提议，因为后者的文本增强并扩大了人们在若干最重要方面的期待，如父母为子女提供教育、使他们为将来打好基础的责任；它还规定配偶一方以性别为由对另一方所施行的身体、心理、性或经济暴力行为是解除婚姻的原因，因此解除的婚姻不得上诉，并构成离婚的特定理由。此外，新法律规定，只要提交一份没有因前夫而怀孕的口头声明，妇女离婚后可立即再婚。 </w:t>
      </w:r>
    </w:p>
    <w:p w:rsidR="009616F2" w:rsidRDefault="009616F2" w:rsidP="009616F2">
      <w:pPr>
        <w:pStyle w:val="SingleTxt"/>
        <w:rPr>
          <w:rFonts w:hint="eastAsia"/>
        </w:rPr>
      </w:pPr>
      <w:r>
        <w:rPr>
          <w:rFonts w:hint="eastAsia"/>
        </w:rPr>
        <w:t>75.</w:t>
      </w:r>
      <w:r>
        <w:rPr>
          <w:rFonts w:hint="eastAsia"/>
        </w:rPr>
        <w:tab/>
        <w:t xml:space="preserve">该法还承认两个符合结婚条件的人士以承诺、稳定和公开承认的关系共同生活至少两年所形成的事实婚姻是婚姻关系的一种类型(这种婚姻类型已经在新《宪法》中得到确认)。新《民法》将就这一法律对已存在的婚姻的追溯效力做出规定。 </w:t>
      </w:r>
    </w:p>
    <w:p w:rsidR="009616F2" w:rsidRDefault="009616F2" w:rsidP="009616F2">
      <w:pPr>
        <w:pStyle w:val="SingleTxt"/>
        <w:rPr>
          <w:rFonts w:hint="eastAsia"/>
        </w:rPr>
      </w:pPr>
      <w:r>
        <w:rPr>
          <w:rFonts w:hint="eastAsia"/>
        </w:rPr>
        <w:t>76.</w:t>
      </w:r>
      <w:r>
        <w:rPr>
          <w:rFonts w:hint="eastAsia"/>
        </w:rPr>
        <w:tab/>
        <w:t xml:space="preserve">共同财产由婚姻双方共同管理，适用《民法》中规定的共有财产制度条例。 </w:t>
      </w:r>
    </w:p>
    <w:p w:rsidR="009616F2" w:rsidRDefault="009616F2" w:rsidP="009616F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tab/>
      </w:r>
      <w:r>
        <w:rPr>
          <w:rFonts w:hint="eastAsia"/>
        </w:rPr>
        <w:t>《刑法》改革法案</w:t>
      </w:r>
    </w:p>
    <w:p w:rsidR="009616F2" w:rsidRPr="009616F2" w:rsidRDefault="009616F2" w:rsidP="009616F2">
      <w:pPr>
        <w:pStyle w:val="SingleTxt"/>
        <w:spacing w:after="0" w:line="120" w:lineRule="exact"/>
        <w:ind w:right="0"/>
        <w:rPr>
          <w:rFonts w:hint="eastAsia"/>
          <w:sz w:val="10"/>
        </w:rPr>
      </w:pPr>
    </w:p>
    <w:p w:rsidR="009616F2" w:rsidRDefault="009616F2" w:rsidP="009616F2">
      <w:pPr>
        <w:pStyle w:val="SingleTxt"/>
        <w:rPr>
          <w:rFonts w:hint="eastAsia"/>
        </w:rPr>
      </w:pPr>
      <w:r>
        <w:rPr>
          <w:rFonts w:hint="eastAsia"/>
        </w:rPr>
        <w:t>77.</w:t>
      </w:r>
      <w:r>
        <w:rPr>
          <w:rFonts w:hint="eastAsia"/>
        </w:rPr>
        <w:tab/>
        <w:t xml:space="preserve">《刑法》改革的进程尚未完成，目前正在修订的法案将根据新《多米尼加宪法》进行调整，其中有关人格完整权利的第42条第2款规定：“禁止一切形式的家庭暴力和性别暴力。国家应以法律保证采取必要的步骤，防止、惩罚和消除暴力侵害妇女行为。” </w:t>
      </w:r>
    </w:p>
    <w:p w:rsidR="009616F2" w:rsidRDefault="009616F2" w:rsidP="009616F2">
      <w:pPr>
        <w:pStyle w:val="SingleTxt"/>
        <w:rPr>
          <w:rFonts w:hint="eastAsia"/>
        </w:rPr>
      </w:pPr>
      <w:r>
        <w:rPr>
          <w:rFonts w:hint="eastAsia"/>
        </w:rPr>
        <w:t>78.</w:t>
      </w:r>
      <w:r>
        <w:rPr>
          <w:rFonts w:hint="eastAsia"/>
        </w:rPr>
        <w:tab/>
        <w:t>宪法的这项规定加强了《刑法》法案以下方面：</w:t>
      </w:r>
    </w:p>
    <w:p w:rsidR="009616F2" w:rsidRDefault="009616F2" w:rsidP="009616F2">
      <w:pPr>
        <w:pStyle w:val="SingleTxt"/>
        <w:rPr>
          <w:rFonts w:hint="eastAsia"/>
        </w:rPr>
      </w:pPr>
      <w:r>
        <w:rPr>
          <w:rFonts w:hint="eastAsia"/>
        </w:rPr>
        <w:tab/>
        <w:t>(a)</w:t>
      </w:r>
      <w:r>
        <w:rPr>
          <w:rFonts w:hint="eastAsia"/>
        </w:rPr>
        <w:tab/>
        <w:t xml:space="preserve">第24/97号法案中，与妇女无暴力生活的权利和禁止奴役的概念一起，已将暴力侵害妇女的罪行界定并称为刑事犯罪； </w:t>
      </w:r>
    </w:p>
    <w:p w:rsidR="009616F2" w:rsidRDefault="009616F2" w:rsidP="009616F2">
      <w:pPr>
        <w:pStyle w:val="SingleTxt"/>
        <w:rPr>
          <w:rFonts w:hint="eastAsia"/>
        </w:rPr>
      </w:pPr>
      <w:r>
        <w:rPr>
          <w:rFonts w:hint="eastAsia"/>
        </w:rPr>
        <w:tab/>
        <w:t>(b)</w:t>
      </w:r>
      <w:r>
        <w:rPr>
          <w:rFonts w:hint="eastAsia"/>
        </w:rPr>
        <w:tab/>
        <w:t xml:space="preserve">多米尼加法律关于贩运人口的第137-03号法案中已将奴役和贩运人口等应受到惩处的罪行，连同与这种跨国犯罪活动有关的有组织犯罪，定为刑事犯罪并规定处罚。 </w:t>
      </w:r>
    </w:p>
    <w:p w:rsidR="009616F2" w:rsidRDefault="009616F2" w:rsidP="009616F2">
      <w:pPr>
        <w:pStyle w:val="SingleTxt"/>
        <w:rPr>
          <w:rFonts w:hint="eastAsia"/>
        </w:rPr>
      </w:pPr>
      <w:r>
        <w:rPr>
          <w:rFonts w:hint="eastAsia"/>
        </w:rPr>
        <w:t>79.</w:t>
      </w:r>
      <w:r>
        <w:rPr>
          <w:rFonts w:hint="eastAsia"/>
        </w:rPr>
        <w:tab/>
        <w:t xml:space="preserve">因此，新《刑法》必须考虑到新《多米尼加宪法》，明确地确立该文件第39条规定所确定的平等和不歧视原则，并就乱伦的定义做出与第24/97号法案相同的规定。《刑法》第332-2条案文如下：“上一条所界定的违法行为应判处最高的监狱刑期，且不得以任何减轻处罚情节为由上诉”。新《刑法》将刑期从5年增加至20年。 </w:t>
      </w:r>
    </w:p>
    <w:p w:rsidR="009616F2" w:rsidRDefault="009616F2" w:rsidP="009616F2">
      <w:pPr>
        <w:pStyle w:val="SingleTxt"/>
        <w:rPr>
          <w:rFonts w:hint="eastAsia"/>
        </w:rPr>
      </w:pPr>
      <w:r>
        <w:rPr>
          <w:rFonts w:hint="eastAsia"/>
        </w:rPr>
        <w:t>80.</w:t>
      </w:r>
      <w:r>
        <w:rPr>
          <w:rFonts w:hint="eastAsia"/>
        </w:rPr>
        <w:tab/>
        <w:t xml:space="preserve">此外，新《刑法》将列入两项国际公认的罪行，这将有助于加强刑事司法制度和政策，以打击犯罪和防止犯罪对社会的破坏性影响。这两项罪行是：杀害妇女罪，即男子主动和故意地以极端暴力的方式杀害妇女的行为；以及受虐妇女综合征，即“作为配偶或前配偶习惯性暴力行为的受害者且一直未能采取任何行动逃脱恐吓或暴力的妇女被推定为自卫的行动，因此不负刑事责任”。 </w:t>
      </w:r>
    </w:p>
    <w:p w:rsidR="009616F2" w:rsidRDefault="009616F2" w:rsidP="009616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第3条</w:t>
      </w:r>
      <w:r w:rsidR="0045173D">
        <w:rPr>
          <w:rFonts w:hint="eastAsia"/>
        </w:rPr>
        <w:t xml:space="preserve">. </w:t>
      </w:r>
      <w:r>
        <w:rPr>
          <w:rFonts w:hint="eastAsia"/>
        </w:rPr>
        <w:t xml:space="preserve">保证人权与基本自由 </w:t>
      </w:r>
    </w:p>
    <w:p w:rsidR="009616F2" w:rsidRPr="009616F2" w:rsidRDefault="009616F2" w:rsidP="009616F2">
      <w:pPr>
        <w:pStyle w:val="SingleTxt"/>
        <w:spacing w:after="0" w:line="120" w:lineRule="exact"/>
        <w:ind w:right="0"/>
        <w:rPr>
          <w:rFonts w:hint="eastAsia"/>
          <w:sz w:val="10"/>
        </w:rPr>
      </w:pPr>
    </w:p>
    <w:p w:rsidR="009616F2" w:rsidRDefault="009616F2" w:rsidP="009616F2">
      <w:pPr>
        <w:pStyle w:val="SingleTxt"/>
        <w:rPr>
          <w:rFonts w:hint="eastAsia"/>
        </w:rPr>
      </w:pPr>
      <w:r>
        <w:rPr>
          <w:rFonts w:hint="eastAsia"/>
        </w:rPr>
        <w:t>81.</w:t>
      </w:r>
      <w:r>
        <w:rPr>
          <w:rFonts w:hint="eastAsia"/>
        </w:rPr>
        <w:tab/>
        <w:t xml:space="preserve">从2003至2011年采取了各项重要步骤，促进妇女在国家生活各个领域的全面发展和地位的提高；这里将这些措施在本条项下加以详述，以避免重复。在公共政策方面，国家各部门采取了以下举措。 </w:t>
      </w:r>
    </w:p>
    <w:p w:rsidR="009616F2" w:rsidRDefault="009616F2" w:rsidP="009616F2">
      <w:pPr>
        <w:pStyle w:val="SingleTxt"/>
        <w:rPr>
          <w:rFonts w:hint="eastAsia"/>
        </w:rPr>
      </w:pPr>
      <w:r>
        <w:rPr>
          <w:rFonts w:hint="eastAsia"/>
        </w:rPr>
        <w:t>82.</w:t>
      </w:r>
      <w:r>
        <w:rPr>
          <w:rFonts w:hint="eastAsia"/>
        </w:rPr>
        <w:tab/>
        <w:t xml:space="preserve">《2010-2030年国家发展战略》。将性别平等作为一个跨领域主题，确定《2010-2030年国家发展战略》四个战略支柱具体的政策指导方针。 </w:t>
      </w:r>
    </w:p>
    <w:p w:rsidR="009616F2" w:rsidRDefault="009616F2" w:rsidP="009616F2">
      <w:pPr>
        <w:pStyle w:val="SingleTxt"/>
        <w:rPr>
          <w:rFonts w:hint="eastAsia"/>
        </w:rPr>
      </w:pPr>
      <w:r>
        <w:rPr>
          <w:rFonts w:hint="eastAsia"/>
        </w:rPr>
        <w:t>83.</w:t>
      </w:r>
      <w:r>
        <w:rPr>
          <w:rFonts w:hint="eastAsia"/>
        </w:rPr>
        <w:tab/>
        <w:t xml:space="preserve">最高法院设立妇女和家庭办公室。这是一个重要的机构，它通过旨在传播人权和妇女权利、防止家庭暴力的项目，在法律框架内为妇女和家庭提供指导和支持，以保护人权和妇女权利。它时刻保持准备状态，保证为市民提供的服务高效率又有成效。 </w:t>
      </w:r>
    </w:p>
    <w:p w:rsidR="009616F2" w:rsidRDefault="009616F2" w:rsidP="009616F2">
      <w:pPr>
        <w:pStyle w:val="SingleTxt"/>
        <w:rPr>
          <w:rFonts w:hint="eastAsia"/>
        </w:rPr>
      </w:pPr>
      <w:r>
        <w:rPr>
          <w:rFonts w:hint="eastAsia"/>
        </w:rPr>
        <w:t>84.</w:t>
      </w:r>
      <w:r>
        <w:rPr>
          <w:rFonts w:hint="eastAsia"/>
        </w:rPr>
        <w:tab/>
        <w:t xml:space="preserve">多米尼加司法机构性别平等政策。这是规范该机构旨在保护妇女公民权利活动的文书。其目的是保证在司法判决、司法执行和由司法机关提供的公共服务中，在性别平等的基础上实现男女机会平等和不歧视。 </w:t>
      </w:r>
    </w:p>
    <w:p w:rsidR="009616F2" w:rsidRDefault="009616F2" w:rsidP="009616F2">
      <w:pPr>
        <w:pStyle w:val="SingleTxt"/>
        <w:rPr>
          <w:rFonts w:hint="eastAsia"/>
        </w:rPr>
      </w:pPr>
      <w:r>
        <w:rPr>
          <w:rFonts w:hint="eastAsia"/>
        </w:rPr>
        <w:t>85.</w:t>
      </w:r>
      <w:r>
        <w:rPr>
          <w:rFonts w:hint="eastAsia"/>
        </w:rPr>
        <w:tab/>
        <w:t xml:space="preserve">司法和性别平等观察所。目前正在努力落实一个预防家庭暴力和性别暴力的司法观察所，并对这方面做出的判刑和其他司法判决采取后续行动，以提供司法准则，同时对认为必要的法律修订提出建议，以加强司法行动的有效性和可行性。 </w:t>
      </w:r>
    </w:p>
    <w:p w:rsidR="009616F2" w:rsidRDefault="009616F2" w:rsidP="009616F2">
      <w:pPr>
        <w:pStyle w:val="SingleTxt"/>
        <w:rPr>
          <w:rFonts w:hint="eastAsia"/>
        </w:rPr>
      </w:pPr>
      <w:r>
        <w:rPr>
          <w:rFonts w:hint="eastAsia"/>
        </w:rPr>
        <w:t>86.</w:t>
      </w:r>
      <w:r>
        <w:rPr>
          <w:rFonts w:hint="eastAsia"/>
        </w:rPr>
        <w:tab/>
        <w:t xml:space="preserve">《2006-2015年十年保健计划》。这是指导全国保健系统发展的基本文件。该计划负责协调全国的保健管理及其所涉及的许多不同机构和组织，以保证明确方向，实现该部门两方面的战略目标：各个子系统和系统各个组成部分的发展，如在社会参与的基础上提供保健服务，以及改造人民的保健制度，强调公平和社会正义。该《计划》采用了性别平等观点，有助于防止一般情况下的不平等和社会排斥。 </w:t>
      </w:r>
    </w:p>
    <w:p w:rsidR="009616F2" w:rsidRDefault="009616F2" w:rsidP="009616F2">
      <w:pPr>
        <w:pStyle w:val="SingleTxt"/>
        <w:rPr>
          <w:rFonts w:hint="eastAsia"/>
        </w:rPr>
      </w:pPr>
      <w:r>
        <w:rPr>
          <w:rFonts w:hint="eastAsia"/>
        </w:rPr>
        <w:t>87.</w:t>
      </w:r>
      <w:r>
        <w:rPr>
          <w:rFonts w:hint="eastAsia"/>
        </w:rPr>
        <w:tab/>
        <w:t xml:space="preserve">《2009-2013年劳工部性别平等战略计划》。拟订该计划的目的是通过在该部的组织和职能结构中推进有助于性别平等和公平的行动，将顾及性别平等的方式纳入劳工部的目标和职能。 </w:t>
      </w:r>
    </w:p>
    <w:p w:rsidR="009616F2" w:rsidRDefault="009616F2" w:rsidP="009616F2">
      <w:pPr>
        <w:pStyle w:val="SingleTxt"/>
        <w:rPr>
          <w:rFonts w:hint="eastAsia"/>
        </w:rPr>
      </w:pPr>
      <w:r>
        <w:rPr>
          <w:rFonts w:hint="eastAsia"/>
        </w:rPr>
        <w:t>88.</w:t>
      </w:r>
      <w:r>
        <w:rPr>
          <w:rFonts w:hint="eastAsia"/>
        </w:rPr>
        <w:tab/>
        <w:t xml:space="preserve">《2008-2018年十年教育计划》。在尊重多样性原则和加强文化认同的基础上，构想了一个所有多米尼加男女都能获得适当的高质量教育的未来；该计划促进培训，以使人们能够享受既富有活力又充满民主的生活，同时倡导新的态度和社会变化，寻求保证高质量的教育，以确保可持续发展和和平文化。 </w:t>
      </w:r>
    </w:p>
    <w:p w:rsidR="009616F2" w:rsidRDefault="009616F2" w:rsidP="009616F2">
      <w:pPr>
        <w:pStyle w:val="SingleTxt"/>
        <w:rPr>
          <w:rFonts w:hint="eastAsia"/>
        </w:rPr>
      </w:pPr>
      <w:r>
        <w:rPr>
          <w:rFonts w:hint="eastAsia"/>
        </w:rPr>
        <w:t>89.</w:t>
      </w:r>
      <w:r>
        <w:rPr>
          <w:rFonts w:hint="eastAsia"/>
        </w:rPr>
        <w:tab/>
        <w:t xml:space="preserve">《2008-2018年高等教育、科学和技术十年计划》。该计划代表了国家规划方面的努力，确定了多米尼加教育现在和未来的方向。它规定了主要政策、目标、具体目标、战略方案及其他有关方案和项目，使多米尼加高等教育能够在国家和国际各级纳入知识社会和全球经济。计划的整体内容包括了性别平等观点。 </w:t>
      </w:r>
    </w:p>
    <w:p w:rsidR="009616F2" w:rsidRDefault="009616F2" w:rsidP="009616F2">
      <w:pPr>
        <w:pStyle w:val="SingleTxt"/>
        <w:rPr>
          <w:rFonts w:hint="eastAsia"/>
        </w:rPr>
      </w:pPr>
      <w:r>
        <w:rPr>
          <w:rFonts w:hint="eastAsia"/>
        </w:rPr>
        <w:t>90.</w:t>
      </w:r>
      <w:r>
        <w:rPr>
          <w:rFonts w:hint="eastAsia"/>
        </w:rPr>
        <w:tab/>
        <w:t xml:space="preserve">社会保障。保护所有多米尼加男女和该国居民，不存在以健康、性别或社会、政治或经济状况为由的歧视。它确立了一项社会保障政策，旨在确保人口的整体保护和一般福祉，特别是增进公平、团结和参与；减少贫穷；提高妇女地位；保护儿童和老年人；以及环境保护。 </w:t>
      </w:r>
    </w:p>
    <w:p w:rsidR="009616F2" w:rsidRDefault="009616F2" w:rsidP="009616F2">
      <w:pPr>
        <w:pStyle w:val="SingleTxt"/>
        <w:rPr>
          <w:rFonts w:hint="eastAsia"/>
        </w:rPr>
      </w:pPr>
      <w:r>
        <w:rPr>
          <w:rFonts w:hint="eastAsia"/>
        </w:rPr>
        <w:t>91.</w:t>
      </w:r>
      <w:r>
        <w:rPr>
          <w:rFonts w:hint="eastAsia"/>
        </w:rPr>
        <w:tab/>
        <w:t>家庭健康保险。这是社会团结和公平方面的一项重要成就。它确保公民能获得一系列的健康服务。妇女占国家保健服务补贴制度所涵盖人数的56.4%。</w:t>
      </w:r>
      <w:r>
        <w:rPr>
          <w:rStyle w:val="FootnoteReference"/>
        </w:rPr>
        <w:footnoteReference w:id="4"/>
      </w:r>
    </w:p>
    <w:p w:rsidR="009616F2" w:rsidRDefault="009616F2" w:rsidP="009616F2">
      <w:pPr>
        <w:pStyle w:val="SingleTxt"/>
        <w:rPr>
          <w:rFonts w:hint="eastAsia"/>
        </w:rPr>
      </w:pPr>
      <w:r>
        <w:rPr>
          <w:rFonts w:hint="eastAsia"/>
        </w:rPr>
        <w:t>92.</w:t>
      </w:r>
      <w:r>
        <w:rPr>
          <w:rFonts w:hint="eastAsia"/>
        </w:rPr>
        <w:tab/>
        <w:t xml:space="preserve">团结方案。该方案代表了消除贫困战略方法之一的一部分，为改善家庭收入提供支持，以让家庭在子女教育上投资。该方案由第536-2005号法令设立。方案有以下组成部分：“吃饭第一”，其目的是补充生活极端贫困的家庭的基本饮食；“鼓励上学”，有助于减少初等教育阶段(6至16岁之间儿童)的离校率；以及“多米尼加/姓名”，一项旨在推动和促进出生登记并取得证件的方案。 </w:t>
      </w:r>
    </w:p>
    <w:p w:rsidR="009616F2" w:rsidRDefault="009616F2" w:rsidP="009616F2">
      <w:pPr>
        <w:pStyle w:val="SingleTxt"/>
        <w:rPr>
          <w:rFonts w:hint="eastAsia"/>
        </w:rPr>
      </w:pPr>
      <w:r>
        <w:rPr>
          <w:rFonts w:hint="eastAsia"/>
        </w:rPr>
        <w:t>93.</w:t>
      </w:r>
      <w:r>
        <w:rPr>
          <w:rFonts w:hint="eastAsia"/>
        </w:rPr>
        <w:tab/>
        <w:t xml:space="preserve">必须指出，这一方案受益的家庭有64%户主为妇女。单一受益人系统对有资格从这些方案中受益的家庭进行了确定、分类和登记。 </w:t>
      </w:r>
    </w:p>
    <w:p w:rsidR="009616F2" w:rsidRDefault="009616F2" w:rsidP="009616F2">
      <w:pPr>
        <w:pStyle w:val="SingleTxt"/>
        <w:rPr>
          <w:rFonts w:hint="eastAsia"/>
        </w:rPr>
      </w:pPr>
      <w:r>
        <w:rPr>
          <w:rFonts w:hint="eastAsia"/>
        </w:rPr>
        <w:t>94.</w:t>
      </w:r>
      <w:r>
        <w:rPr>
          <w:rFonts w:hint="eastAsia"/>
        </w:rPr>
        <w:tab/>
        <w:t xml:space="preserve">儿童保育设施。国家儿童保育设施委员会是多米尼加国为落实第87-01号法案所载任务而设立的监督儿童保育设施的机制，它确立了多米尼加社会保障制度以及年龄在45天至5岁之间的儿童进入儿童保育设施的权利，补充了家庭健康保险计划的福利。这一规定至关重要，因为它使妇女能够兼顾家庭责任和外出就业。目前全国已有这类中心25个。 </w:t>
      </w:r>
    </w:p>
    <w:p w:rsidR="009616F2" w:rsidRDefault="009616F2" w:rsidP="009616F2">
      <w:pPr>
        <w:pStyle w:val="SingleTxt"/>
        <w:rPr>
          <w:rFonts w:hint="eastAsia"/>
        </w:rPr>
      </w:pPr>
      <w:r>
        <w:rPr>
          <w:rFonts w:hint="eastAsia"/>
        </w:rPr>
        <w:t>95.</w:t>
      </w:r>
      <w:r>
        <w:rPr>
          <w:rFonts w:hint="eastAsia"/>
        </w:rPr>
        <w:tab/>
        <w:t xml:space="preserve">根据第238-97号法令设立的促进和支持微型、小型和中型企业国家委员会是一项公共政策，旨在通过提供贷款以及技术和管理咨询援助，促进男子和妇女的创业举措。妇女事务部与该实体签署了一项工作协议，通过确保妇女有机会与男子平等地获得信贷方案，以鼓励对妇女举措的积极支持和减少贫穷。 </w:t>
      </w:r>
    </w:p>
    <w:p w:rsidR="009616F2" w:rsidRDefault="009616F2" w:rsidP="009616F2">
      <w:pPr>
        <w:pStyle w:val="SingleTxt"/>
        <w:rPr>
          <w:rFonts w:hint="eastAsia"/>
        </w:rPr>
      </w:pPr>
      <w:r>
        <w:rPr>
          <w:rFonts w:hint="eastAsia"/>
        </w:rPr>
        <w:t>96.</w:t>
      </w:r>
      <w:r>
        <w:rPr>
          <w:rFonts w:hint="eastAsia"/>
        </w:rPr>
        <w:tab/>
        <w:t xml:space="preserve">国家技术和职业培训系统。该系统旨在发展劳动力供给的技能。它在职业培训中发挥主导作用，提供技术课程和职业路径，以满足各界的需求。妇女事务部致力于增进妇女的经济权能，为此与传统和非传统学习领域的妇女培训活动保持经常接触和协调，以使她们能够成为劳动力市场的一部分。它目前正在落实《2008-2018年十年职业教育计划》。 </w:t>
      </w:r>
    </w:p>
    <w:p w:rsidR="009616F2" w:rsidRDefault="009616F2" w:rsidP="009616F2">
      <w:pPr>
        <w:pStyle w:val="SingleTxt"/>
        <w:rPr>
          <w:rFonts w:hint="eastAsia"/>
        </w:rPr>
      </w:pPr>
      <w:r>
        <w:rPr>
          <w:rFonts w:hint="eastAsia"/>
        </w:rPr>
        <w:t>97.</w:t>
      </w:r>
      <w:r>
        <w:rPr>
          <w:rFonts w:hint="eastAsia"/>
        </w:rPr>
        <w:tab/>
        <w:t xml:space="preserve">公平竞争项目。妇女事务部与国家竞争力委员会一起，并在联合国开发计划署的支持下，正在开展一个性别公平模范促进竞争力项目，该项目力求挖掘企业内部可能存在的性别差距，这些差距一般不被视为不平等，但对这些企业的盈利能力和生产力造成严重的后果。它还为采取步骤促进公平和克服企业工作场所中的性别不平等创造了条件。 </w:t>
      </w:r>
    </w:p>
    <w:p w:rsidR="009616F2" w:rsidRDefault="009616F2" w:rsidP="009616F2">
      <w:pPr>
        <w:pStyle w:val="SingleTxt"/>
        <w:rPr>
          <w:rFonts w:hint="eastAsia"/>
        </w:rPr>
      </w:pPr>
      <w:r>
        <w:rPr>
          <w:rFonts w:hint="eastAsia"/>
        </w:rPr>
        <w:t>98.</w:t>
      </w:r>
      <w:r>
        <w:rPr>
          <w:rFonts w:hint="eastAsia"/>
        </w:rPr>
        <w:tab/>
        <w:t xml:space="preserve">2007年设立了负责妇女事务的副总检察长办公室。其任务是指导和监督涉及暴力侵害妇女以及任何其他影响妇女权利和自由诉诸法律机会的行为的刑事调查和起诉的过程。 </w:t>
      </w:r>
    </w:p>
    <w:p w:rsidR="009616F2" w:rsidRDefault="009616F2" w:rsidP="009616F2">
      <w:pPr>
        <w:pStyle w:val="SingleTxt"/>
        <w:rPr>
          <w:rFonts w:hint="eastAsia"/>
        </w:rPr>
      </w:pPr>
      <w:r>
        <w:rPr>
          <w:rFonts w:hint="eastAsia"/>
        </w:rPr>
        <w:t>99.</w:t>
      </w:r>
      <w:r>
        <w:rPr>
          <w:rFonts w:hint="eastAsia"/>
        </w:rPr>
        <w:tab/>
        <w:t xml:space="preserve">立法改革。在过去8年中，多米尼加国已经加强了为促进妇女全面发展和提高妇女地位的法律、法规和政策框架。迄今所取得的进展主要反映在2010年新《共和国宪法》；2007年关于国家县市的第176-07号法案；关于公务员制度的第41-08号法案；第531号法案公共部门组织预算法；2004年关于新《刑事诉讼法》的第76-02号法案；2003年为家庭暴力和其他侵害妇女暴力行为受害者设立安全住所和庇护所的第88-03号法案；以及2003年建立男童、女童和青少年权利保护系统的第137-03号法案。 </w:t>
      </w:r>
    </w:p>
    <w:p w:rsidR="0090618F" w:rsidRDefault="0090618F" w:rsidP="0090618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D.</w:t>
      </w:r>
      <w:r>
        <w:rPr>
          <w:rFonts w:hint="eastAsia"/>
        </w:rPr>
        <w:tab/>
        <w:t>第4条</w:t>
      </w:r>
      <w:r w:rsidR="0045173D">
        <w:rPr>
          <w:rFonts w:hint="eastAsia"/>
        </w:rPr>
        <w:t xml:space="preserve">. </w:t>
      </w:r>
      <w:r>
        <w:rPr>
          <w:rFonts w:hint="eastAsia"/>
        </w:rPr>
        <w:t>特别措施</w:t>
      </w:r>
    </w:p>
    <w:p w:rsidR="0090618F" w:rsidRPr="0090618F" w:rsidRDefault="0090618F" w:rsidP="0090618F">
      <w:pPr>
        <w:pStyle w:val="SingleTxt"/>
        <w:spacing w:after="0" w:line="120" w:lineRule="exact"/>
        <w:ind w:right="0"/>
        <w:rPr>
          <w:rFonts w:hint="eastAsia"/>
          <w:sz w:val="10"/>
        </w:rPr>
      </w:pPr>
    </w:p>
    <w:p w:rsidR="0090618F" w:rsidRDefault="0090618F" w:rsidP="0090618F">
      <w:pPr>
        <w:pStyle w:val="SingleTxt"/>
        <w:rPr>
          <w:rFonts w:hint="eastAsia"/>
        </w:rPr>
      </w:pPr>
      <w:r>
        <w:rPr>
          <w:rFonts w:hint="eastAsia"/>
        </w:rPr>
        <w:t>100.　在多米尼加共和国，规定妇女参政最低限额的法律继续有效：第12-2000号法规定，省议会和市议会候选人中至少有33%应为妇女；第13-2000号法规定，如某政党在市级选举中提名的市长或理事候选人为男性，则副市长或副理事候选人应为女性，反之亦然。</w:t>
      </w:r>
    </w:p>
    <w:p w:rsidR="0090618F" w:rsidRDefault="0090618F" w:rsidP="0090618F">
      <w:pPr>
        <w:pStyle w:val="SingleTxt"/>
        <w:rPr>
          <w:rFonts w:hint="eastAsia"/>
        </w:rPr>
      </w:pPr>
      <w:r>
        <w:rPr>
          <w:rFonts w:hint="eastAsia"/>
        </w:rPr>
        <w:t>101.　为促进落实妇女参与限额制度，中央选举委员会通过了第06-2006和04-2010号决议，这是2003至2010年间采取的最为重要的措施。两项决议均要求各政党遵守妇女法定限额制度。</w:t>
      </w:r>
    </w:p>
    <w:p w:rsidR="0090618F" w:rsidRDefault="0090618F" w:rsidP="0090618F">
      <w:pPr>
        <w:pStyle w:val="SingleTxt"/>
        <w:rPr>
          <w:rFonts w:hint="eastAsia"/>
        </w:rPr>
      </w:pPr>
      <w:r>
        <w:rPr>
          <w:rFonts w:hint="eastAsia"/>
        </w:rPr>
        <w:t>102.　第04-2010号决议。多米尼加共和国中央选举委员会是选举政策的主管机构。委员会根据宪法规定的指导原则通过了第04-2010号决议，确定了第12-2000号法所规定选举限额的执行程序。</w:t>
      </w:r>
    </w:p>
    <w:p w:rsidR="0090618F" w:rsidRDefault="0090618F" w:rsidP="0090618F">
      <w:pPr>
        <w:pStyle w:val="SingleTxt"/>
        <w:rPr>
          <w:rFonts w:hint="eastAsia"/>
        </w:rPr>
      </w:pPr>
      <w:r>
        <w:rPr>
          <w:rFonts w:hint="eastAsia"/>
        </w:rPr>
        <w:t>103.　在该决议中，中央选举委员会注意到以下要求：在所有级别的选举中，各政党、政党联盟和政治团体在提交副职、市议会成员和候补人员或市区成员交替分配的候选人名单时，至少候选人总数的33%须为妇女，同时考虑到全国范围内待选举岗位的总数目和各选区的岗位数目。</w:t>
      </w:r>
    </w:p>
    <w:p w:rsidR="0090618F" w:rsidRDefault="0090618F" w:rsidP="0090618F">
      <w:pPr>
        <w:pStyle w:val="SingleTxt"/>
        <w:rPr>
          <w:rFonts w:hint="eastAsia"/>
        </w:rPr>
      </w:pPr>
      <w:r>
        <w:rPr>
          <w:rFonts w:hint="eastAsia"/>
        </w:rPr>
        <w:t>104.　限额制度使多米尼加政治文化中的角色和领导岗位发生了变化。下列表格体现了自限额法律颁布以来，妇女当选议会和市政岗位的演变情况：</w:t>
      </w:r>
    </w:p>
    <w:p w:rsidR="0090618F" w:rsidRPr="00075551" w:rsidRDefault="0090618F" w:rsidP="0090618F">
      <w:pPr>
        <w:pStyle w:val="SingleTxt"/>
        <w:rPr>
          <w:rFonts w:ascii="SimHei" w:eastAsia="SimHei" w:hint="eastAsia"/>
        </w:rPr>
      </w:pPr>
      <w:r>
        <w:rPr>
          <w:rFonts w:hint="eastAsia"/>
        </w:rPr>
        <w:t>表1</w:t>
      </w:r>
      <w:r>
        <w:rPr>
          <w:rFonts w:hint="eastAsia"/>
        </w:rPr>
        <w:br/>
      </w:r>
      <w:r w:rsidRPr="00075551">
        <w:rPr>
          <w:rFonts w:ascii="SimHei" w:eastAsia="SimHei" w:hint="eastAsia"/>
        </w:rPr>
        <w:t>1962至2010年间国民议会中妇女的任职情况</w:t>
      </w:r>
    </w:p>
    <w:p w:rsidR="0090618F" w:rsidRPr="0090618F" w:rsidRDefault="0090618F" w:rsidP="0090618F">
      <w:pPr>
        <w:pStyle w:val="SingleTxt"/>
        <w:spacing w:after="0" w:line="120" w:lineRule="exact"/>
        <w:ind w:right="0"/>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046"/>
        <w:gridCol w:w="1046"/>
        <w:gridCol w:w="64"/>
        <w:gridCol w:w="982"/>
        <w:gridCol w:w="1046"/>
        <w:gridCol w:w="1046"/>
      </w:tblGrid>
      <w:tr w:rsidR="0090618F" w:rsidRPr="00075551" w:rsidTr="0090618F">
        <w:tblPrEx>
          <w:tblCellMar>
            <w:top w:w="0" w:type="dxa"/>
            <w:bottom w:w="0" w:type="dxa"/>
          </w:tblCellMar>
        </w:tblPrEx>
        <w:trPr>
          <w:tblHeader/>
        </w:trPr>
        <w:tc>
          <w:tcPr>
            <w:tcW w:w="1046" w:type="dxa"/>
            <w:tcBorders>
              <w:top w:val="single" w:sz="4"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60" w:after="60" w:line="200" w:lineRule="exact"/>
              <w:ind w:right="57"/>
              <w:rPr>
                <w:rFonts w:ascii="KaiTi_GB2312" w:eastAsia="KaiTi_GB2312"/>
                <w:sz w:val="15"/>
              </w:rPr>
            </w:pPr>
          </w:p>
        </w:tc>
        <w:tc>
          <w:tcPr>
            <w:tcW w:w="3138" w:type="dxa"/>
            <w:gridSpan w:val="3"/>
            <w:tcBorders>
              <w:top w:val="single" w:sz="4" w:space="0" w:color="auto"/>
              <w:bottom w:val="single" w:sz="4"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60" w:after="60" w:line="200" w:lineRule="exact"/>
              <w:ind w:right="57"/>
              <w:jc w:val="center"/>
              <w:rPr>
                <w:rFonts w:ascii="KaiTi_GB2312" w:eastAsia="KaiTi_GB2312"/>
                <w:sz w:val="15"/>
              </w:rPr>
            </w:pPr>
            <w:r w:rsidRPr="00075551">
              <w:rPr>
                <w:rFonts w:ascii="KaiTi_GB2312" w:eastAsia="KaiTi_GB2312"/>
                <w:sz w:val="15"/>
                <w:lang w:val="zh-CN"/>
              </w:rPr>
              <w:t>众议院</w:t>
            </w:r>
          </w:p>
        </w:tc>
        <w:tc>
          <w:tcPr>
            <w:tcW w:w="64" w:type="dxa"/>
            <w:tcBorders>
              <w:top w:val="single" w:sz="4"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60" w:after="60" w:line="200" w:lineRule="exact"/>
              <w:ind w:right="57"/>
              <w:jc w:val="right"/>
              <w:rPr>
                <w:rFonts w:ascii="KaiTi_GB2312" w:eastAsia="KaiTi_GB2312"/>
                <w:sz w:val="15"/>
              </w:rPr>
            </w:pPr>
          </w:p>
        </w:tc>
        <w:tc>
          <w:tcPr>
            <w:tcW w:w="3074" w:type="dxa"/>
            <w:gridSpan w:val="3"/>
            <w:tcBorders>
              <w:top w:val="single" w:sz="4" w:space="0" w:color="auto"/>
              <w:bottom w:val="single" w:sz="4"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60" w:after="60" w:line="200" w:lineRule="exact"/>
              <w:ind w:right="57"/>
              <w:jc w:val="center"/>
              <w:rPr>
                <w:rFonts w:ascii="KaiTi_GB2312" w:eastAsia="KaiTi_GB2312"/>
                <w:sz w:val="15"/>
              </w:rPr>
            </w:pPr>
            <w:r w:rsidRPr="00075551">
              <w:rPr>
                <w:rFonts w:ascii="KaiTi_GB2312" w:eastAsia="KaiTi_GB2312"/>
                <w:sz w:val="15"/>
                <w:lang w:val="zh-CN"/>
              </w:rPr>
              <w:t>参议院</w:t>
            </w:r>
          </w:p>
        </w:tc>
      </w:tr>
      <w:tr w:rsidR="0090618F" w:rsidRPr="00075551" w:rsidTr="0090618F">
        <w:tblPrEx>
          <w:tblCellMar>
            <w:top w:w="0" w:type="dxa"/>
            <w:bottom w:w="0" w:type="dxa"/>
          </w:tblCellMar>
        </w:tblPrEx>
        <w:trPr>
          <w:tblHeader/>
        </w:trPr>
        <w:tc>
          <w:tcPr>
            <w:tcW w:w="1046" w:type="dxa"/>
            <w:tcBorders>
              <w:bottom w:val="single" w:sz="12"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80" w:after="60" w:line="200" w:lineRule="exact"/>
              <w:ind w:right="40"/>
              <w:rPr>
                <w:rFonts w:ascii="KaiTi_GB2312" w:eastAsia="KaiTi_GB2312"/>
                <w:sz w:val="15"/>
              </w:rPr>
            </w:pPr>
            <w:r w:rsidRPr="00075551">
              <w:rPr>
                <w:rFonts w:ascii="KaiTi_GB2312" w:eastAsia="KaiTi_GB2312"/>
                <w:sz w:val="15"/>
                <w:lang w:val="zh-CN"/>
              </w:rPr>
              <w:t>年度</w:t>
            </w:r>
          </w:p>
        </w:tc>
        <w:tc>
          <w:tcPr>
            <w:tcW w:w="1046" w:type="dxa"/>
            <w:tcBorders>
              <w:top w:val="single" w:sz="4" w:space="0" w:color="auto"/>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两性</w:t>
            </w:r>
          </w:p>
        </w:tc>
        <w:tc>
          <w:tcPr>
            <w:tcW w:w="1046" w:type="dxa"/>
            <w:tcBorders>
              <w:top w:val="single" w:sz="4" w:space="0" w:color="auto"/>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妇女</w:t>
            </w:r>
          </w:p>
        </w:tc>
        <w:tc>
          <w:tcPr>
            <w:tcW w:w="1046" w:type="dxa"/>
            <w:tcBorders>
              <w:top w:val="single" w:sz="4" w:space="0" w:color="auto"/>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占比</w:t>
            </w:r>
          </w:p>
        </w:tc>
        <w:tc>
          <w:tcPr>
            <w:tcW w:w="1046" w:type="dxa"/>
            <w:gridSpan w:val="2"/>
            <w:tcBorders>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两性</w:t>
            </w:r>
          </w:p>
        </w:tc>
        <w:tc>
          <w:tcPr>
            <w:tcW w:w="1046" w:type="dxa"/>
            <w:tcBorders>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妇女</w:t>
            </w:r>
          </w:p>
        </w:tc>
        <w:tc>
          <w:tcPr>
            <w:tcW w:w="1046" w:type="dxa"/>
            <w:tcBorders>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占比</w:t>
            </w:r>
          </w:p>
        </w:tc>
      </w:tr>
      <w:tr w:rsidR="0090618F" w:rsidRPr="00075551" w:rsidTr="0090618F">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gridSpan w:val="2"/>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1962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71</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2.8</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26</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3.8</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1966</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74</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4.1</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27</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3.7</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1970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74</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4.1</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27</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14.8</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1974</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91</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13</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14.3</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27</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11.1</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1978</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91</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13.2</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27</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7.4</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1982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120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8</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6.7</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27</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3.7</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1986</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120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9</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7.5</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3.3</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1990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120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14</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11.7</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0.0</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1994</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120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15</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12.5</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3.3</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1998</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149</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24</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16.1</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6.7</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2002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150</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24</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16</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6.3</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2006</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178</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35</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19.7</w:t>
            </w:r>
          </w:p>
        </w:tc>
        <w:tc>
          <w:tcPr>
            <w:tcW w:w="1046" w:type="dxa"/>
            <w:gridSpan w:val="2"/>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w:t>
            </w:r>
          </w:p>
        </w:tc>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6.3</w:t>
            </w:r>
          </w:p>
        </w:tc>
      </w:tr>
      <w:tr w:rsidR="0090618F" w:rsidRPr="00075551" w:rsidTr="0090618F">
        <w:tblPrEx>
          <w:tblCellMar>
            <w:top w:w="0" w:type="dxa"/>
            <w:bottom w:w="0" w:type="dxa"/>
          </w:tblCellMar>
        </w:tblPrEx>
        <w:tc>
          <w:tcPr>
            <w:tcW w:w="1046" w:type="dxa"/>
            <w:tcBorders>
              <w:bottom w:val="single" w:sz="12" w:space="0" w:color="auto"/>
            </w:tcBorders>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2010</w:t>
            </w:r>
          </w:p>
        </w:tc>
        <w:tc>
          <w:tcPr>
            <w:tcW w:w="1046" w:type="dxa"/>
            <w:tcBorders>
              <w:bottom w:val="single" w:sz="12" w:space="0" w:color="auto"/>
            </w:tcBorders>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183</w:t>
            </w:r>
          </w:p>
        </w:tc>
        <w:tc>
          <w:tcPr>
            <w:tcW w:w="1046" w:type="dxa"/>
            <w:tcBorders>
              <w:bottom w:val="single" w:sz="12" w:space="0" w:color="auto"/>
            </w:tcBorders>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38</w:t>
            </w:r>
          </w:p>
        </w:tc>
        <w:tc>
          <w:tcPr>
            <w:tcW w:w="1046" w:type="dxa"/>
            <w:tcBorders>
              <w:bottom w:val="single" w:sz="12" w:space="0" w:color="auto"/>
            </w:tcBorders>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20.8</w:t>
            </w:r>
          </w:p>
        </w:tc>
        <w:tc>
          <w:tcPr>
            <w:tcW w:w="1046" w:type="dxa"/>
            <w:gridSpan w:val="2"/>
            <w:tcBorders>
              <w:bottom w:val="single" w:sz="12" w:space="0" w:color="auto"/>
            </w:tcBorders>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32</w:t>
            </w:r>
          </w:p>
        </w:tc>
        <w:tc>
          <w:tcPr>
            <w:tcW w:w="1046" w:type="dxa"/>
            <w:tcBorders>
              <w:bottom w:val="single" w:sz="12" w:space="0" w:color="auto"/>
            </w:tcBorders>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w:t>
            </w:r>
          </w:p>
        </w:tc>
        <w:tc>
          <w:tcPr>
            <w:tcW w:w="1046" w:type="dxa"/>
            <w:tcBorders>
              <w:bottom w:val="single" w:sz="12" w:space="0" w:color="auto"/>
            </w:tcBorders>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9.4</w:t>
            </w:r>
          </w:p>
        </w:tc>
      </w:tr>
    </w:tbl>
    <w:p w:rsidR="0090618F" w:rsidRPr="00075551" w:rsidRDefault="0090618F" w:rsidP="0090618F">
      <w:pPr>
        <w:pStyle w:val="SingleTxt"/>
        <w:spacing w:after="0" w:line="120" w:lineRule="exact"/>
        <w:rPr>
          <w:sz w:val="10"/>
        </w:rPr>
      </w:pPr>
    </w:p>
    <w:p w:rsidR="0090618F" w:rsidRDefault="0090618F" w:rsidP="0090618F">
      <w:pPr>
        <w:pStyle w:val="FootnoteText"/>
        <w:tabs>
          <w:tab w:val="clear" w:pos="418"/>
          <w:tab w:val="right" w:pos="1476"/>
          <w:tab w:val="left" w:pos="1548"/>
          <w:tab w:val="right" w:pos="1836"/>
          <w:tab w:val="left" w:pos="1908"/>
        </w:tabs>
        <w:ind w:left="1548" w:right="1267" w:hanging="288"/>
        <w:rPr>
          <w:rFonts w:hint="eastAsia"/>
        </w:rPr>
      </w:pPr>
      <w:r w:rsidRPr="00075551">
        <w:rPr>
          <w:rFonts w:ascii="KaiTi_GB2312" w:eastAsia="KaiTi_GB2312" w:hint="eastAsia"/>
        </w:rPr>
        <w:t>来源</w:t>
      </w:r>
      <w:r>
        <w:rPr>
          <w:rFonts w:hint="eastAsia"/>
        </w:rPr>
        <w:t>：Clara Báez, Estadísticas para la planificación social con perspectives de género.SEM-UNDP-UNFPA.圣多明各,2000年；中央选举委员会,选举结果,2002-2010年。</w:t>
      </w:r>
    </w:p>
    <w:p w:rsidR="0090618F" w:rsidRPr="00075551" w:rsidRDefault="0090618F" w:rsidP="0090618F">
      <w:pPr>
        <w:pStyle w:val="SingleTxt"/>
        <w:spacing w:after="0" w:line="120" w:lineRule="exact"/>
        <w:rPr>
          <w:sz w:val="10"/>
        </w:rPr>
      </w:pPr>
    </w:p>
    <w:p w:rsidR="00B96A27" w:rsidRDefault="00B96A27" w:rsidP="0090618F">
      <w:pPr>
        <w:pStyle w:val="SingleTxt"/>
      </w:pPr>
    </w:p>
    <w:p w:rsidR="0090618F" w:rsidRPr="00075551" w:rsidRDefault="00B96A27" w:rsidP="0090618F">
      <w:pPr>
        <w:pStyle w:val="SingleTxt"/>
        <w:rPr>
          <w:rFonts w:ascii="SimHei" w:eastAsia="SimHei" w:hint="eastAsia"/>
        </w:rPr>
      </w:pPr>
      <w:r>
        <w:br w:type="page"/>
      </w:r>
      <w:r w:rsidR="0090618F">
        <w:rPr>
          <w:rFonts w:hint="eastAsia"/>
        </w:rPr>
        <w:t>表2</w:t>
      </w:r>
      <w:r w:rsidR="0090618F">
        <w:rPr>
          <w:rFonts w:hint="eastAsia"/>
        </w:rPr>
        <w:br/>
      </w:r>
      <w:r w:rsidR="0090618F" w:rsidRPr="00075551">
        <w:rPr>
          <w:rFonts w:ascii="SimHei" w:eastAsia="SimHei" w:hint="eastAsia"/>
        </w:rPr>
        <w:t>1970至2010年间市议会中的妇女任职情况</w:t>
      </w: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046"/>
        <w:gridCol w:w="1046"/>
        <w:gridCol w:w="64"/>
        <w:gridCol w:w="982"/>
        <w:gridCol w:w="1046"/>
        <w:gridCol w:w="1046"/>
      </w:tblGrid>
      <w:tr w:rsidR="0090618F" w:rsidRPr="00075551" w:rsidTr="0090618F">
        <w:tblPrEx>
          <w:tblCellMar>
            <w:top w:w="0" w:type="dxa"/>
            <w:bottom w:w="0" w:type="dxa"/>
          </w:tblCellMar>
        </w:tblPrEx>
        <w:trPr>
          <w:tblHeader/>
        </w:trPr>
        <w:tc>
          <w:tcPr>
            <w:tcW w:w="1046" w:type="dxa"/>
            <w:tcBorders>
              <w:top w:val="single" w:sz="4"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60" w:after="60" w:line="200" w:lineRule="exact"/>
              <w:ind w:right="57"/>
              <w:rPr>
                <w:rFonts w:ascii="KaiTi_GB2312" w:eastAsia="KaiTi_GB2312"/>
                <w:sz w:val="15"/>
              </w:rPr>
            </w:pPr>
          </w:p>
        </w:tc>
        <w:tc>
          <w:tcPr>
            <w:tcW w:w="3138" w:type="dxa"/>
            <w:gridSpan w:val="3"/>
            <w:tcBorders>
              <w:top w:val="single" w:sz="4" w:space="0" w:color="auto"/>
              <w:bottom w:val="single" w:sz="4"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60" w:after="60" w:line="200" w:lineRule="exact"/>
              <w:ind w:right="57"/>
              <w:jc w:val="center"/>
              <w:rPr>
                <w:rFonts w:ascii="KaiTi_GB2312" w:eastAsia="KaiTi_GB2312"/>
                <w:sz w:val="15"/>
              </w:rPr>
            </w:pPr>
            <w:r w:rsidRPr="00075551">
              <w:rPr>
                <w:rFonts w:ascii="KaiTi_GB2312" w:eastAsia="KaiTi_GB2312"/>
                <w:sz w:val="15"/>
                <w:lang w:val="zh-CN"/>
              </w:rPr>
              <w:t>省</w:t>
            </w:r>
          </w:p>
        </w:tc>
        <w:tc>
          <w:tcPr>
            <w:tcW w:w="64" w:type="dxa"/>
            <w:tcBorders>
              <w:top w:val="single" w:sz="4"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60" w:after="60" w:line="200" w:lineRule="exact"/>
              <w:ind w:right="57"/>
              <w:jc w:val="right"/>
              <w:rPr>
                <w:rFonts w:ascii="KaiTi_GB2312" w:eastAsia="KaiTi_GB2312"/>
                <w:sz w:val="15"/>
              </w:rPr>
            </w:pPr>
          </w:p>
        </w:tc>
        <w:tc>
          <w:tcPr>
            <w:tcW w:w="3074" w:type="dxa"/>
            <w:gridSpan w:val="3"/>
            <w:tcBorders>
              <w:top w:val="single" w:sz="4" w:space="0" w:color="auto"/>
              <w:bottom w:val="single" w:sz="4"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60" w:after="60" w:line="200" w:lineRule="exact"/>
              <w:ind w:right="57"/>
              <w:jc w:val="center"/>
              <w:rPr>
                <w:rFonts w:ascii="KaiTi_GB2312" w:eastAsia="KaiTi_GB2312"/>
                <w:sz w:val="15"/>
              </w:rPr>
            </w:pPr>
            <w:r w:rsidRPr="00075551">
              <w:rPr>
                <w:rFonts w:ascii="KaiTi_GB2312" w:eastAsia="KaiTi_GB2312"/>
                <w:sz w:val="15"/>
                <w:lang w:val="zh-CN"/>
              </w:rPr>
              <w:t>市</w:t>
            </w:r>
          </w:p>
        </w:tc>
      </w:tr>
      <w:tr w:rsidR="0090618F" w:rsidRPr="00075551" w:rsidTr="0090618F">
        <w:tblPrEx>
          <w:tblCellMar>
            <w:top w:w="0" w:type="dxa"/>
            <w:bottom w:w="0" w:type="dxa"/>
          </w:tblCellMar>
        </w:tblPrEx>
        <w:trPr>
          <w:tblHeader/>
        </w:trPr>
        <w:tc>
          <w:tcPr>
            <w:tcW w:w="1046" w:type="dxa"/>
            <w:tcBorders>
              <w:bottom w:val="single" w:sz="12" w:space="0" w:color="auto"/>
            </w:tcBorders>
            <w:shd w:val="clear" w:color="auto" w:fill="auto"/>
            <w:vAlign w:val="bottom"/>
          </w:tcPr>
          <w:p w:rsidR="0090618F" w:rsidRPr="00075551" w:rsidRDefault="0090618F" w:rsidP="0090618F">
            <w:pPr>
              <w:tabs>
                <w:tab w:val="left" w:pos="288"/>
                <w:tab w:val="left" w:pos="576"/>
                <w:tab w:val="left" w:pos="864"/>
                <w:tab w:val="left" w:pos="1152"/>
              </w:tabs>
              <w:spacing w:before="80" w:after="60" w:line="200" w:lineRule="exact"/>
              <w:ind w:right="40"/>
              <w:rPr>
                <w:rFonts w:ascii="KaiTi_GB2312" w:eastAsia="KaiTi_GB2312"/>
                <w:sz w:val="15"/>
              </w:rPr>
            </w:pPr>
            <w:r w:rsidRPr="00075551">
              <w:rPr>
                <w:rFonts w:ascii="KaiTi_GB2312" w:eastAsia="KaiTi_GB2312"/>
                <w:sz w:val="15"/>
                <w:lang w:val="zh-CN"/>
              </w:rPr>
              <w:t>年度</w:t>
            </w:r>
          </w:p>
        </w:tc>
        <w:tc>
          <w:tcPr>
            <w:tcW w:w="1046" w:type="dxa"/>
            <w:tcBorders>
              <w:top w:val="single" w:sz="4" w:space="0" w:color="auto"/>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两性</w:t>
            </w:r>
          </w:p>
        </w:tc>
        <w:tc>
          <w:tcPr>
            <w:tcW w:w="1046" w:type="dxa"/>
            <w:tcBorders>
              <w:top w:val="single" w:sz="4" w:space="0" w:color="auto"/>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妇女</w:t>
            </w:r>
          </w:p>
        </w:tc>
        <w:tc>
          <w:tcPr>
            <w:tcW w:w="1046" w:type="dxa"/>
            <w:tcBorders>
              <w:top w:val="single" w:sz="4" w:space="0" w:color="auto"/>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占比</w:t>
            </w:r>
          </w:p>
        </w:tc>
        <w:tc>
          <w:tcPr>
            <w:tcW w:w="1046" w:type="dxa"/>
            <w:gridSpan w:val="2"/>
            <w:tcBorders>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两性</w:t>
            </w:r>
          </w:p>
        </w:tc>
        <w:tc>
          <w:tcPr>
            <w:tcW w:w="1046" w:type="dxa"/>
            <w:tcBorders>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妇女</w:t>
            </w:r>
          </w:p>
        </w:tc>
        <w:tc>
          <w:tcPr>
            <w:tcW w:w="1046" w:type="dxa"/>
            <w:tcBorders>
              <w:bottom w:val="single" w:sz="12" w:space="0" w:color="auto"/>
            </w:tcBorders>
            <w:shd w:val="clear" w:color="auto" w:fill="auto"/>
            <w:vAlign w:val="bottom"/>
          </w:tcPr>
          <w:p w:rsidR="0090618F" w:rsidRPr="00075551" w:rsidRDefault="0090618F" w:rsidP="0090618F">
            <w:pPr>
              <w:spacing w:before="80" w:after="60" w:line="200" w:lineRule="exact"/>
              <w:ind w:right="43"/>
              <w:jc w:val="right"/>
              <w:rPr>
                <w:rFonts w:ascii="KaiTi_GB2312" w:eastAsia="KaiTi_GB2312"/>
                <w:sz w:val="15"/>
              </w:rPr>
            </w:pPr>
            <w:r w:rsidRPr="00075551">
              <w:rPr>
                <w:rFonts w:ascii="KaiTi_GB2312" w:eastAsia="KaiTi_GB2312"/>
                <w:sz w:val="15"/>
                <w:lang w:val="zh-CN"/>
              </w:rPr>
              <w:t>占比</w:t>
            </w:r>
          </w:p>
        </w:tc>
      </w:tr>
      <w:tr w:rsidR="0090618F" w:rsidRPr="00075551" w:rsidTr="0090618F">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gridSpan w:val="2"/>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c>
          <w:tcPr>
            <w:tcW w:w="1046" w:type="dxa"/>
            <w:tcBorders>
              <w:top w:val="single" w:sz="12" w:space="0" w:color="auto"/>
            </w:tcBorders>
            <w:shd w:val="clear" w:color="auto" w:fill="auto"/>
            <w:vAlign w:val="bottom"/>
          </w:tcPr>
          <w:p w:rsidR="0090618F" w:rsidRPr="00075551" w:rsidRDefault="0090618F" w:rsidP="0090618F">
            <w:pPr>
              <w:spacing w:after="60" w:line="280" w:lineRule="exact"/>
              <w:ind w:right="57"/>
              <w:jc w:val="right"/>
              <w:rPr>
                <w:sz w:val="17"/>
              </w:rPr>
            </w:pPr>
          </w:p>
        </w:tc>
      </w:tr>
      <w:tr w:rsidR="0090618F" w:rsidRPr="00075551" w:rsidTr="0090618F">
        <w:tblPrEx>
          <w:tblCellMar>
            <w:top w:w="0" w:type="dxa"/>
            <w:bottom w:w="0" w:type="dxa"/>
          </w:tblCellMar>
        </w:tblPrEx>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1970</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423</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33</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7.8</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78</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1.3</w:t>
            </w:r>
          </w:p>
        </w:tc>
      </w:tr>
      <w:tr w:rsidR="0090618F" w:rsidRPr="00075551" w:rsidTr="0090618F">
        <w:tblPrEx>
          <w:tblCellMar>
            <w:top w:w="0" w:type="dxa"/>
            <w:bottom w:w="0" w:type="dxa"/>
          </w:tblCellMar>
        </w:tblPrEx>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1974</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453</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48</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10.6</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78</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1.3</w:t>
            </w:r>
          </w:p>
        </w:tc>
      </w:tr>
      <w:tr w:rsidR="0090618F" w:rsidRPr="00075551" w:rsidTr="0090618F">
        <w:tblPrEx>
          <w:tblCellMar>
            <w:top w:w="0" w:type="dxa"/>
            <w:bottom w:w="0" w:type="dxa"/>
          </w:tblCellMar>
        </w:tblPrEx>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1978</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484</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61</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12.6</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84</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0</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0.0</w:t>
            </w:r>
          </w:p>
        </w:tc>
      </w:tr>
      <w:tr w:rsidR="0090618F" w:rsidRPr="00075551" w:rsidTr="0090618F">
        <w:tblPrEx>
          <w:tblCellMar>
            <w:top w:w="0" w:type="dxa"/>
            <w:bottom w:w="0" w:type="dxa"/>
          </w:tblCellMar>
        </w:tblPrEx>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1982</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584</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23</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3.9</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94</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2.1</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1986</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637</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39</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6.1</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99</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4.0</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1990</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625</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64</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10.2</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103</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5</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4.9</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1994</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648</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93</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14.4</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107</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5</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4.7</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1998</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756</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185</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24.4</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115</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1.7</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2002</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789</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236</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29.9</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125</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9</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7.8</w:t>
            </w:r>
          </w:p>
        </w:tc>
      </w:tr>
      <w:tr w:rsidR="0090618F" w:rsidRPr="00075551" w:rsidTr="0090618F">
        <w:tblPrEx>
          <w:tblCellMar>
            <w:top w:w="0" w:type="dxa"/>
            <w:bottom w:w="0" w:type="dxa"/>
          </w:tblCellMar>
        </w:tblPrEx>
        <w:tc>
          <w:tcPr>
            <w:tcW w:w="1046" w:type="dxa"/>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2006</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963</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259</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26.9</w:t>
            </w:r>
          </w:p>
        </w:tc>
        <w:tc>
          <w:tcPr>
            <w:tcW w:w="1046" w:type="dxa"/>
            <w:gridSpan w:val="2"/>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151</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17</w:t>
            </w:r>
          </w:p>
        </w:tc>
        <w:tc>
          <w:tcPr>
            <w:tcW w:w="1046" w:type="dxa"/>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11.3</w:t>
            </w:r>
          </w:p>
        </w:tc>
      </w:tr>
      <w:tr w:rsidR="0090618F" w:rsidRPr="00075551" w:rsidTr="0090618F">
        <w:tblPrEx>
          <w:tblCellMar>
            <w:top w:w="0" w:type="dxa"/>
            <w:bottom w:w="0" w:type="dxa"/>
          </w:tblCellMar>
        </w:tblPrEx>
        <w:tc>
          <w:tcPr>
            <w:tcW w:w="1046" w:type="dxa"/>
            <w:tcBorders>
              <w:bottom w:val="single" w:sz="12" w:space="0" w:color="auto"/>
            </w:tcBorders>
            <w:shd w:val="clear" w:color="auto" w:fill="auto"/>
            <w:vAlign w:val="bottom"/>
          </w:tcPr>
          <w:p w:rsidR="0090618F" w:rsidRPr="00075551" w:rsidRDefault="0090618F" w:rsidP="0090618F">
            <w:pPr>
              <w:tabs>
                <w:tab w:val="left" w:pos="334"/>
                <w:tab w:val="left" w:pos="669"/>
                <w:tab w:val="left" w:pos="1003"/>
                <w:tab w:val="left" w:pos="1338"/>
              </w:tabs>
              <w:suppressAutoHyphens/>
              <w:spacing w:after="60" w:line="280" w:lineRule="exact"/>
              <w:ind w:right="57"/>
              <w:rPr>
                <w:sz w:val="17"/>
              </w:rPr>
            </w:pPr>
            <w:r w:rsidRPr="00075551">
              <w:rPr>
                <w:sz w:val="17"/>
              </w:rPr>
              <w:t>2010</w:t>
            </w:r>
          </w:p>
        </w:tc>
        <w:tc>
          <w:tcPr>
            <w:tcW w:w="1046" w:type="dxa"/>
            <w:tcBorders>
              <w:bottom w:val="single" w:sz="12" w:space="0" w:color="auto"/>
            </w:tcBorders>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1 149</w:t>
            </w:r>
          </w:p>
        </w:tc>
        <w:tc>
          <w:tcPr>
            <w:tcW w:w="1046" w:type="dxa"/>
            <w:tcBorders>
              <w:bottom w:val="single" w:sz="12" w:space="0" w:color="auto"/>
            </w:tcBorders>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383</w:t>
            </w:r>
          </w:p>
        </w:tc>
        <w:tc>
          <w:tcPr>
            <w:tcW w:w="1046" w:type="dxa"/>
            <w:tcBorders>
              <w:bottom w:val="single" w:sz="12" w:space="0" w:color="auto"/>
            </w:tcBorders>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33.3</w:t>
            </w:r>
          </w:p>
        </w:tc>
        <w:tc>
          <w:tcPr>
            <w:tcW w:w="1046" w:type="dxa"/>
            <w:gridSpan w:val="2"/>
            <w:tcBorders>
              <w:bottom w:val="single" w:sz="12" w:space="0" w:color="auto"/>
            </w:tcBorders>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155</w:t>
            </w:r>
          </w:p>
        </w:tc>
        <w:tc>
          <w:tcPr>
            <w:tcW w:w="1046" w:type="dxa"/>
            <w:tcBorders>
              <w:bottom w:val="single" w:sz="12" w:space="0" w:color="auto"/>
            </w:tcBorders>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12</w:t>
            </w:r>
          </w:p>
        </w:tc>
        <w:tc>
          <w:tcPr>
            <w:tcW w:w="1046" w:type="dxa"/>
            <w:tcBorders>
              <w:bottom w:val="single" w:sz="12" w:space="0" w:color="auto"/>
            </w:tcBorders>
            <w:shd w:val="clear" w:color="auto" w:fill="auto"/>
          </w:tcPr>
          <w:p w:rsidR="0090618F" w:rsidRPr="00075551" w:rsidRDefault="0090618F" w:rsidP="0090618F">
            <w:pPr>
              <w:tabs>
                <w:tab w:val="left" w:pos="334"/>
                <w:tab w:val="left" w:pos="669"/>
                <w:tab w:val="left" w:pos="1003"/>
                <w:tab w:val="left" w:pos="1338"/>
              </w:tabs>
              <w:suppressAutoHyphens/>
              <w:spacing w:after="60" w:line="280" w:lineRule="exact"/>
              <w:ind w:right="57"/>
              <w:jc w:val="right"/>
              <w:rPr>
                <w:sz w:val="17"/>
              </w:rPr>
            </w:pPr>
            <w:r w:rsidRPr="00075551">
              <w:rPr>
                <w:sz w:val="17"/>
              </w:rPr>
              <w:t>7.7</w:t>
            </w:r>
          </w:p>
        </w:tc>
      </w:tr>
    </w:tbl>
    <w:p w:rsidR="0090618F" w:rsidRPr="00075551" w:rsidRDefault="0090618F" w:rsidP="0090618F">
      <w:pPr>
        <w:pStyle w:val="SingleTxt"/>
        <w:spacing w:after="0" w:line="120" w:lineRule="exact"/>
        <w:rPr>
          <w:sz w:val="10"/>
        </w:rPr>
      </w:pPr>
    </w:p>
    <w:p w:rsidR="0090618F" w:rsidRDefault="0090618F" w:rsidP="0090618F">
      <w:pPr>
        <w:pStyle w:val="FootnoteText"/>
        <w:tabs>
          <w:tab w:val="clear" w:pos="418"/>
          <w:tab w:val="right" w:pos="1476"/>
          <w:tab w:val="left" w:pos="1548"/>
          <w:tab w:val="right" w:pos="1836"/>
          <w:tab w:val="left" w:pos="1908"/>
        </w:tabs>
        <w:ind w:left="1548" w:right="1267" w:hanging="288"/>
        <w:rPr>
          <w:rFonts w:hint="eastAsia"/>
        </w:rPr>
      </w:pPr>
      <w:r w:rsidRPr="00075551">
        <w:rPr>
          <w:rFonts w:ascii="KaiTi_GB2312" w:eastAsia="KaiTi_GB2312" w:hint="eastAsia"/>
        </w:rPr>
        <w:t>来源</w:t>
      </w:r>
      <w:r>
        <w:rPr>
          <w:rFonts w:hint="eastAsia"/>
        </w:rPr>
        <w:t>：Clara Báez, Estadísticas para la planificación social con perspectives de género.SEM-UNDP-UNFPA.圣多明各,2000年；中央选举委员会,选举结果,2002-2010年。</w:t>
      </w:r>
    </w:p>
    <w:p w:rsidR="0090618F" w:rsidRDefault="0090618F" w:rsidP="0090618F">
      <w:pPr>
        <w:pStyle w:val="SingleTxt"/>
        <w:rPr>
          <w:rFonts w:hint="eastAsia"/>
        </w:rPr>
      </w:pPr>
      <w:r>
        <w:rPr>
          <w:rFonts w:hint="eastAsia"/>
        </w:rPr>
        <w:t>105.　国际选举观察将平等和非歧视纳入2010至2016年期间议会和市政普通选举，这是一项极为重要的空前举措，旨在支持平等权利行动和整体加强妇女参政。该举措成立了一个国际专家组，由人权专家和国际选举观察妇女参政方面的专家组成。</w:t>
      </w:r>
    </w:p>
    <w:p w:rsidR="0090618F" w:rsidRPr="00075551" w:rsidRDefault="0090618F" w:rsidP="0090618F">
      <w:pPr>
        <w:pStyle w:val="SingleTxt"/>
        <w:spacing w:after="0" w:line="120" w:lineRule="exact"/>
        <w:rPr>
          <w:sz w:val="10"/>
        </w:rPr>
      </w:pPr>
    </w:p>
    <w:p w:rsidR="0090618F" w:rsidRDefault="0090618F" w:rsidP="0090618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E．</w:t>
      </w:r>
      <w:r>
        <w:rPr>
          <w:rFonts w:hint="eastAsia"/>
        </w:rPr>
        <w:tab/>
        <w:t>第5条</w:t>
      </w:r>
      <w:r w:rsidR="0045173D">
        <w:rPr>
          <w:rFonts w:hint="eastAsia"/>
        </w:rPr>
        <w:t xml:space="preserve">. </w:t>
      </w:r>
      <w:r>
        <w:rPr>
          <w:rFonts w:hint="eastAsia"/>
        </w:rPr>
        <w:t>社会和文化模式的变化</w:t>
      </w:r>
    </w:p>
    <w:p w:rsidR="0090618F" w:rsidRPr="00075551" w:rsidRDefault="0090618F" w:rsidP="0090618F">
      <w:pPr>
        <w:pStyle w:val="SingleTxt"/>
        <w:spacing w:after="0" w:line="120" w:lineRule="exact"/>
        <w:rPr>
          <w:sz w:val="10"/>
        </w:rPr>
      </w:pPr>
    </w:p>
    <w:p w:rsidR="0090618F" w:rsidRDefault="0090618F" w:rsidP="0090618F">
      <w:pPr>
        <w:pStyle w:val="SingleTxt"/>
        <w:rPr>
          <w:rFonts w:hint="eastAsia"/>
        </w:rPr>
      </w:pPr>
      <w:r>
        <w:rPr>
          <w:rFonts w:hint="eastAsia"/>
        </w:rPr>
        <w:t>106.　《2007至2017年间性别平等和公平计划》的首个优先工作主题是“促进性别平等和公平的文化”。该领域的目标和措施指向多米尼加产生性别不平等的根源，即文化。这明显体现在媒体中男女角色的形象和盛行的教育模式中。</w:t>
      </w:r>
    </w:p>
    <w:p w:rsidR="0090618F" w:rsidRDefault="0090618F" w:rsidP="0090618F">
      <w:pPr>
        <w:pStyle w:val="SingleTxt"/>
        <w:rPr>
          <w:rFonts w:hint="eastAsia"/>
        </w:rPr>
      </w:pPr>
      <w:r>
        <w:rPr>
          <w:rFonts w:hint="eastAsia"/>
        </w:rPr>
        <w:t>107.　促进性别平等和公平的文化包括三个主要目标。第一个目标是消除具有歧视性的文化定型观念与角色，重塑妇女形象；第二个目标是强调妇女为多米尼加历史和社会所作的贡献，这些贡献常被遗忘或最小化，并在最易观察的领域指出妇女目前所处的不利地位。第三个目标是提升一般公众对妇女权利的认识，特别是在企业家和媒体工作者中。</w:t>
      </w:r>
    </w:p>
    <w:p w:rsidR="0090618F" w:rsidRDefault="0090618F" w:rsidP="0090618F">
      <w:pPr>
        <w:pStyle w:val="SingleTxt"/>
        <w:rPr>
          <w:rFonts w:hint="eastAsia"/>
        </w:rPr>
      </w:pPr>
      <w:r>
        <w:rPr>
          <w:rFonts w:hint="eastAsia"/>
        </w:rPr>
        <w:t>108.　此外，多米尼加共和国宪法第55条第10段规定：“国家应促进负责任的生育。父母即使在分居或离婚后，仍不可推卸地共同负有喂养、抚育、训练、教育、供养、保护和协助其子女的责任。法律应制定必要、适当的措施，确保这些义务的有效性。”新宪法重新表述了这一个人责任，将其定义为男女、全社会和国家的共同责任。</w:t>
      </w:r>
    </w:p>
    <w:p w:rsidR="0090618F" w:rsidRDefault="0090618F" w:rsidP="0090618F">
      <w:pPr>
        <w:pStyle w:val="SingleTxt"/>
        <w:rPr>
          <w:rFonts w:hint="eastAsia"/>
        </w:rPr>
      </w:pPr>
      <w:r>
        <w:rPr>
          <w:rFonts w:hint="eastAsia"/>
        </w:rPr>
        <w:t>109.　宪法第55条第11段引入了另一个相关方面，与谋求改革、影响塑造多米尼加社会的文化相一致。具体为：“国家承认家务劳动是一项创造价值的经济活动，可创造财富和社会福祉；因此，在制定与执行公共和社会政策时，应将家务劳动考虑在内。”</w:t>
      </w:r>
    </w:p>
    <w:p w:rsidR="0090618F" w:rsidRDefault="0090618F" w:rsidP="0090618F">
      <w:pPr>
        <w:pStyle w:val="SingleTxt"/>
        <w:rPr>
          <w:rFonts w:hint="eastAsia"/>
        </w:rPr>
      </w:pPr>
      <w:r>
        <w:rPr>
          <w:rFonts w:hint="eastAsia"/>
        </w:rPr>
        <w:t>110.　尽管性别歧视的教育做法在正式教育制度和家庭内仍然存在，但由于政府的政治意愿，以及大量妇女和男性在文化教育界大力倡导性别平等，情况已有所改善。近年采取的最重要的系统性行动如下：</w:t>
      </w:r>
    </w:p>
    <w:p w:rsidR="0090618F" w:rsidRDefault="0090618F" w:rsidP="0090618F">
      <w:pPr>
        <w:pStyle w:val="SingleTxt"/>
        <w:rPr>
          <w:rFonts w:hint="eastAsia"/>
        </w:rPr>
      </w:pPr>
      <w:r>
        <w:rPr>
          <w:rFonts w:hint="eastAsia"/>
        </w:rPr>
        <w:tab/>
        <w:t>(a)</w:t>
      </w:r>
      <w:r>
        <w:rPr>
          <w:rFonts w:hint="eastAsia"/>
        </w:rPr>
        <w:tab/>
        <w:t>签署《防止辱骂妇女准则》，作家和歌曲创作者作出承诺，创作提升妇女尊严的作品；</w:t>
      </w:r>
    </w:p>
    <w:p w:rsidR="0090618F" w:rsidRDefault="0090618F" w:rsidP="0090618F">
      <w:pPr>
        <w:pStyle w:val="SingleTxt"/>
        <w:rPr>
          <w:rFonts w:hint="eastAsia"/>
        </w:rPr>
      </w:pPr>
      <w:r>
        <w:rPr>
          <w:rFonts w:hint="eastAsia"/>
        </w:rPr>
        <w:tab/>
        <w:t>(b)</w:t>
      </w:r>
      <w:r>
        <w:rPr>
          <w:rFonts w:hint="eastAsia"/>
        </w:rPr>
        <w:tab/>
        <w:t>将性别平等纳入第41-00号法第2条，成立国家文化秘书处(现文化部)，体现文化的根本价值。承认性别平等具有指示性价值，必须成为秘书处工作不可或缺的一部分；</w:t>
      </w:r>
    </w:p>
    <w:p w:rsidR="0090618F" w:rsidRDefault="0090618F" w:rsidP="0090618F">
      <w:pPr>
        <w:pStyle w:val="SingleTxt"/>
        <w:rPr>
          <w:rFonts w:hint="eastAsia"/>
        </w:rPr>
      </w:pPr>
      <w:r>
        <w:rPr>
          <w:rFonts w:hint="eastAsia"/>
        </w:rPr>
        <w:tab/>
        <w:t>(c)</w:t>
      </w:r>
      <w:r>
        <w:rPr>
          <w:rFonts w:hint="eastAsia"/>
        </w:rPr>
        <w:tab/>
        <w:t>文化部成立性别平等与发展办公室，负责确保将性别平等和公平纳入本机构的计划、行动及方案中；</w:t>
      </w:r>
    </w:p>
    <w:p w:rsidR="0090618F" w:rsidRDefault="0090618F" w:rsidP="0090618F">
      <w:pPr>
        <w:pStyle w:val="SingleTxt"/>
        <w:rPr>
          <w:rFonts w:hint="eastAsia"/>
        </w:rPr>
      </w:pPr>
      <w:r>
        <w:rPr>
          <w:rFonts w:hint="eastAsia"/>
        </w:rPr>
        <w:tab/>
        <w:t>(d)</w:t>
      </w:r>
      <w:r>
        <w:rPr>
          <w:rFonts w:hint="eastAsia"/>
        </w:rPr>
        <w:tab/>
        <w:t>播放并推广与性别平等和公平话题有关的广播节目；</w:t>
      </w:r>
    </w:p>
    <w:p w:rsidR="0090618F" w:rsidRDefault="0090618F" w:rsidP="0090618F">
      <w:pPr>
        <w:pStyle w:val="SingleTxt"/>
        <w:rPr>
          <w:rFonts w:hint="eastAsia"/>
        </w:rPr>
      </w:pPr>
      <w:r>
        <w:rPr>
          <w:rFonts w:hint="eastAsia"/>
        </w:rPr>
        <w:tab/>
        <w:t>(e)</w:t>
      </w:r>
      <w:r>
        <w:rPr>
          <w:rFonts w:hint="eastAsia"/>
        </w:rPr>
        <w:tab/>
        <w:t>签署机构间协议，鼓励在有利于性别平等和公平的文化环境中联合开展举措；</w:t>
      </w:r>
    </w:p>
    <w:p w:rsidR="0090618F" w:rsidRDefault="0090618F" w:rsidP="0090618F">
      <w:pPr>
        <w:pStyle w:val="SingleTxt"/>
        <w:rPr>
          <w:rFonts w:hint="eastAsia"/>
        </w:rPr>
      </w:pPr>
      <w:r>
        <w:rPr>
          <w:rFonts w:hint="eastAsia"/>
        </w:rPr>
        <w:tab/>
        <w:t>(f)</w:t>
      </w:r>
      <w:r>
        <w:rPr>
          <w:rFonts w:hint="eastAsia"/>
        </w:rPr>
        <w:tab/>
        <w:t>从性别平等角度修订小学教科书，涉及教学大纲的8个部分，包括西班牙语、外语、数学、体育、人文主义和宗教教育、艺术、社会科学、自然科学；</w:t>
      </w:r>
    </w:p>
    <w:p w:rsidR="0090618F" w:rsidRDefault="0090618F" w:rsidP="0090618F">
      <w:pPr>
        <w:pStyle w:val="SingleTxt"/>
        <w:rPr>
          <w:rFonts w:hint="eastAsia"/>
        </w:rPr>
      </w:pPr>
      <w:r>
        <w:rPr>
          <w:rFonts w:hint="eastAsia"/>
        </w:rPr>
        <w:tab/>
        <w:t>(g)</w:t>
      </w:r>
      <w:r>
        <w:rPr>
          <w:rFonts w:hint="eastAsia"/>
        </w:rPr>
        <w:tab/>
        <w:t>编制性别平等能力指导手册、模块和索引，针对教师、学生、父母和学校支持者，在学校推行性别平等观点；</w:t>
      </w:r>
    </w:p>
    <w:p w:rsidR="0090618F" w:rsidRDefault="0090618F" w:rsidP="0090618F">
      <w:pPr>
        <w:pStyle w:val="SingleTxt"/>
        <w:rPr>
          <w:rFonts w:hint="eastAsia"/>
        </w:rPr>
      </w:pPr>
      <w:r>
        <w:rPr>
          <w:rFonts w:hint="eastAsia"/>
        </w:rPr>
        <w:tab/>
        <w:t>(h)</w:t>
      </w:r>
      <w:r>
        <w:rPr>
          <w:rFonts w:hint="eastAsia"/>
        </w:rPr>
        <w:tab/>
        <w:t>针对教育中心的教师和行政人员，制定性别平等培训和提高认识的计划；</w:t>
      </w:r>
    </w:p>
    <w:p w:rsidR="0090618F" w:rsidRDefault="0090618F" w:rsidP="0090618F">
      <w:pPr>
        <w:pStyle w:val="SingleTxt"/>
        <w:rPr>
          <w:rFonts w:hint="eastAsia"/>
        </w:rPr>
      </w:pPr>
      <w:r>
        <w:rPr>
          <w:rFonts w:hint="eastAsia"/>
        </w:rPr>
        <w:tab/>
        <w:t>(i)</w:t>
      </w:r>
      <w:r>
        <w:rPr>
          <w:rFonts w:hint="eastAsia"/>
        </w:rPr>
        <w:tab/>
        <w:t>促进在教科书和其他教材中使用非性别歧视语言；</w:t>
      </w:r>
    </w:p>
    <w:p w:rsidR="0090618F" w:rsidRDefault="0090618F" w:rsidP="0090618F">
      <w:pPr>
        <w:pStyle w:val="SingleTxt"/>
        <w:rPr>
          <w:rFonts w:hint="eastAsia"/>
        </w:rPr>
      </w:pPr>
      <w:r>
        <w:rPr>
          <w:rFonts w:hint="eastAsia"/>
        </w:rPr>
        <w:tab/>
        <w:t>(j)</w:t>
      </w:r>
      <w:r>
        <w:rPr>
          <w:rFonts w:hint="eastAsia"/>
        </w:rPr>
        <w:tab/>
        <w:t>与圣多明各自治大学签订协议，为学生提供性别平等和性别暴力问题培训，使学生对这些问题更为敏感；</w:t>
      </w:r>
    </w:p>
    <w:p w:rsidR="0090618F" w:rsidRDefault="0090618F" w:rsidP="0090618F">
      <w:pPr>
        <w:pStyle w:val="SingleTxt"/>
        <w:rPr>
          <w:rFonts w:hint="eastAsia"/>
        </w:rPr>
      </w:pPr>
      <w:r>
        <w:rPr>
          <w:rFonts w:hint="eastAsia"/>
        </w:rPr>
        <w:tab/>
        <w:t>(k)</w:t>
      </w:r>
      <w:r>
        <w:rPr>
          <w:rFonts w:hint="eastAsia"/>
        </w:rPr>
        <w:tab/>
        <w:t>通过保护青少年的决议，特别是防止将怀孕青少年开除学籍；</w:t>
      </w:r>
    </w:p>
    <w:p w:rsidR="0090618F" w:rsidRDefault="0090618F" w:rsidP="0090618F">
      <w:pPr>
        <w:pStyle w:val="SingleTxt"/>
        <w:rPr>
          <w:rFonts w:hint="eastAsia"/>
        </w:rPr>
      </w:pPr>
      <w:r>
        <w:rPr>
          <w:rFonts w:hint="eastAsia"/>
        </w:rPr>
        <w:tab/>
        <w:t>(l)</w:t>
      </w:r>
      <w:r>
        <w:rPr>
          <w:rFonts w:hint="eastAsia"/>
        </w:rPr>
        <w:tab/>
        <w:t>多米尼加共和国还认识到教育为推动文化变革、建立性别平等社会所发挥的根本作用，并推行多种举措，促进建立对男女一视同仁的国家教育制度；</w:t>
      </w:r>
    </w:p>
    <w:p w:rsidR="0090618F" w:rsidRDefault="0090618F" w:rsidP="0090618F">
      <w:pPr>
        <w:pStyle w:val="SingleTxt"/>
        <w:rPr>
          <w:rFonts w:hint="eastAsia"/>
        </w:rPr>
      </w:pPr>
      <w:r>
        <w:rPr>
          <w:rFonts w:hint="eastAsia"/>
        </w:rPr>
        <w:tab/>
        <w:t>(m)</w:t>
      </w:r>
      <w:r>
        <w:rPr>
          <w:rFonts w:hint="eastAsia"/>
        </w:rPr>
        <w:tab/>
        <w:t xml:space="preserve">引入并发展技术和社区中心，这使妇女和男性的文化行为发生了一系列变化，有利于在获得信息和通信技术(信通技术)方面实现平等。将信通技术纳入幼儿园、小学和中学等教育阶段的培训方案使校园文化发生了代际变化； </w:t>
      </w:r>
    </w:p>
    <w:p w:rsidR="0090618F" w:rsidRDefault="0090618F" w:rsidP="0090618F">
      <w:pPr>
        <w:pStyle w:val="SingleTxt"/>
        <w:rPr>
          <w:rFonts w:hint="eastAsia"/>
        </w:rPr>
      </w:pPr>
      <w:r>
        <w:rPr>
          <w:rFonts w:hint="eastAsia"/>
        </w:rPr>
        <w:tab/>
        <w:t>(n)</w:t>
      </w:r>
      <w:r>
        <w:rPr>
          <w:rFonts w:hint="eastAsia"/>
        </w:rPr>
        <w:tab/>
        <w:t xml:space="preserve">妇女在技术培训中心和高等教育机构中日益增多，这反映了多米尼加人的价值观和习俗发生变化。 </w:t>
      </w:r>
    </w:p>
    <w:p w:rsidR="0090618F" w:rsidRDefault="0090618F" w:rsidP="0090618F">
      <w:pPr>
        <w:pStyle w:val="SingleTxt"/>
        <w:rPr>
          <w:rFonts w:hint="eastAsia"/>
        </w:rPr>
      </w:pPr>
      <w:r>
        <w:rPr>
          <w:rFonts w:hint="eastAsia"/>
        </w:rPr>
        <w:t>111.　在保护未成年人方面，宪法第56条指出“家庭、社会和国家应优先考虑儿童和青少年的最佳利益；应帮助并保护儿童和青少年，确保其实现均衡、全面的发展，并充分行使本宪法和其他法律为其规定的基本权利”。</w:t>
      </w:r>
    </w:p>
    <w:p w:rsidR="0090618F" w:rsidRDefault="0090618F" w:rsidP="0090618F">
      <w:pPr>
        <w:pStyle w:val="SingleTxt"/>
        <w:rPr>
          <w:rFonts w:hint="eastAsia"/>
        </w:rPr>
      </w:pPr>
      <w:r>
        <w:rPr>
          <w:rFonts w:hint="eastAsia"/>
        </w:rPr>
        <w:t>112.　尽管取得了上述进展，仍应鼓励多米尼加新闻媒体和教育系统就该问题加强参与，以利用其力量，使其协助传播有关女孩和妇女权利的信息，促进建立全人类平等和公平的文化。</w:t>
      </w:r>
    </w:p>
    <w:p w:rsidR="0090618F" w:rsidRDefault="0090618F" w:rsidP="0090618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F．</w:t>
      </w:r>
      <w:r>
        <w:rPr>
          <w:rFonts w:hint="eastAsia"/>
        </w:rPr>
        <w:tab/>
        <w:t>第6条</w:t>
      </w:r>
      <w:r w:rsidR="0045173D">
        <w:rPr>
          <w:rFonts w:hint="eastAsia"/>
        </w:rPr>
        <w:t xml:space="preserve">. </w:t>
      </w:r>
      <w:r>
        <w:rPr>
          <w:rFonts w:hint="eastAsia"/>
        </w:rPr>
        <w:t>缔约国为禁止一切形式贩卖妇女和利用妇女卖淫营利行为采取的措施</w:t>
      </w:r>
    </w:p>
    <w:p w:rsidR="0090618F" w:rsidRPr="00075551" w:rsidRDefault="0090618F" w:rsidP="0090618F">
      <w:pPr>
        <w:pStyle w:val="SingleTxt"/>
        <w:spacing w:after="0" w:line="120" w:lineRule="exact"/>
        <w:rPr>
          <w:sz w:val="10"/>
        </w:rPr>
      </w:pPr>
    </w:p>
    <w:p w:rsidR="0090618F" w:rsidRDefault="0090618F" w:rsidP="0090618F">
      <w:pPr>
        <w:pStyle w:val="SingleTxt"/>
        <w:rPr>
          <w:rFonts w:hint="eastAsia"/>
        </w:rPr>
      </w:pPr>
      <w:r>
        <w:rPr>
          <w:rFonts w:hint="eastAsia"/>
        </w:rPr>
        <w:t xml:space="preserve">113.　2003年，多米尼加共和国被列入贩卖人口二级观察清单。政府自此开始就贩卖危险大力教育普通民众，特别是妇女。2003年，政府颁布了有关偷渡移徙者和贩卖人口的第137-03号法。政府还提高了为受害者提供援助的服务水平，并将参与犯罪者绳之以法。 </w:t>
      </w:r>
    </w:p>
    <w:p w:rsidR="0090618F" w:rsidRDefault="0090618F" w:rsidP="0090618F">
      <w:pPr>
        <w:pStyle w:val="SingleTxt"/>
        <w:rPr>
          <w:rFonts w:hint="eastAsia"/>
        </w:rPr>
      </w:pPr>
      <w:r>
        <w:rPr>
          <w:rFonts w:hint="eastAsia"/>
        </w:rPr>
        <w:t>114.　近年来，在保护移徙者和贩卖受害者的法律领域取得了进展，特别是实施了《控制和防止偷渡移徙者和人口贩卖法》，并批准了《联合国打击跨国有组织犯罪公约关于预防、禁止和惩治贩运人口特别是妇女和儿童行为的补充议定书》。</w:t>
      </w:r>
    </w:p>
    <w:p w:rsidR="0090618F" w:rsidRDefault="0090618F" w:rsidP="0090618F">
      <w:pPr>
        <w:pStyle w:val="SingleTxt"/>
        <w:rPr>
          <w:rFonts w:hint="eastAsia"/>
        </w:rPr>
      </w:pPr>
      <w:r>
        <w:rPr>
          <w:rFonts w:hint="eastAsia"/>
        </w:rPr>
        <w:t>115.　多米尼加共和国为消除人口贩卖和利用卖淫营利行为采取了下列措施：</w:t>
      </w:r>
    </w:p>
    <w:p w:rsidR="0090618F" w:rsidRDefault="0090618F" w:rsidP="0090618F">
      <w:pPr>
        <w:pStyle w:val="SingleTxt"/>
        <w:rPr>
          <w:rFonts w:hint="eastAsia"/>
        </w:rPr>
      </w:pPr>
      <w:r>
        <w:rPr>
          <w:rFonts w:hint="eastAsia"/>
        </w:rPr>
        <w:tab/>
        <w:t>(a)</w:t>
      </w:r>
      <w:r>
        <w:rPr>
          <w:rFonts w:hint="eastAsia"/>
        </w:rPr>
        <w:tab/>
        <w:t>新宪法禁止任何形式的奴隶制、非自愿奴役或人口贩卖。这建立在对该罪行的复杂性、对妇女、男孩和女孩生活的负面影响及其严重违反人权性质的理解之上；</w:t>
      </w:r>
    </w:p>
    <w:p w:rsidR="0090618F" w:rsidRDefault="0090618F" w:rsidP="0090618F">
      <w:pPr>
        <w:pStyle w:val="SingleTxt"/>
        <w:rPr>
          <w:rFonts w:hint="eastAsia"/>
        </w:rPr>
      </w:pPr>
      <w:r>
        <w:rPr>
          <w:rFonts w:hint="eastAsia"/>
        </w:rPr>
        <w:tab/>
        <w:t>(b)</w:t>
      </w:r>
      <w:r>
        <w:rPr>
          <w:rFonts w:hint="eastAsia"/>
        </w:rPr>
        <w:tab/>
        <w:t>2004年8月15日颁布《普通移徙法》(第295-04号法)，管理和控制出入多米尼加共和国的人口移动；</w:t>
      </w:r>
    </w:p>
    <w:p w:rsidR="0090618F" w:rsidRDefault="0090618F" w:rsidP="0090618F">
      <w:pPr>
        <w:pStyle w:val="SingleTxt"/>
        <w:rPr>
          <w:rFonts w:hint="eastAsia"/>
        </w:rPr>
      </w:pPr>
      <w:r>
        <w:rPr>
          <w:rFonts w:hint="eastAsia"/>
        </w:rPr>
        <w:tab/>
        <w:t>(c)</w:t>
      </w:r>
      <w:r>
        <w:rPr>
          <w:rFonts w:hint="eastAsia"/>
        </w:rPr>
        <w:tab/>
        <w:t>2003年8月7日颁布有关偷渡移徙者和贩卖人口的第137-03号法；</w:t>
      </w:r>
    </w:p>
    <w:p w:rsidR="0090618F" w:rsidRDefault="0090618F" w:rsidP="0090618F">
      <w:pPr>
        <w:pStyle w:val="SingleTxt"/>
        <w:rPr>
          <w:rFonts w:hint="eastAsia"/>
        </w:rPr>
      </w:pPr>
      <w:r>
        <w:rPr>
          <w:rFonts w:hint="eastAsia"/>
        </w:rPr>
        <w:tab/>
        <w:t>(d)</w:t>
      </w:r>
      <w:r>
        <w:rPr>
          <w:rFonts w:hint="eastAsia"/>
        </w:rPr>
        <w:tab/>
        <w:t>2003年8月7日颁布第136-03号法，即《多米尼加共和国男孩、女孩和青少年基本权利保护法》；</w:t>
      </w:r>
    </w:p>
    <w:p w:rsidR="0090618F" w:rsidRDefault="0090618F" w:rsidP="0090618F">
      <w:pPr>
        <w:pStyle w:val="SingleTxt"/>
        <w:rPr>
          <w:rFonts w:hint="eastAsia"/>
        </w:rPr>
      </w:pPr>
      <w:r>
        <w:rPr>
          <w:rFonts w:hint="eastAsia"/>
        </w:rPr>
        <w:tab/>
        <w:t>(e)</w:t>
      </w:r>
      <w:r>
        <w:rPr>
          <w:rFonts w:hint="eastAsia"/>
        </w:rPr>
        <w:tab/>
        <w:t>通过《联合国打击跨国有组织犯罪公约》及《公约》关于偷渡移徙者和贩卖人口的议定书；</w:t>
      </w:r>
    </w:p>
    <w:p w:rsidR="0090618F" w:rsidRDefault="0090618F" w:rsidP="0090618F">
      <w:pPr>
        <w:pStyle w:val="SingleTxt"/>
        <w:rPr>
          <w:rFonts w:hint="eastAsia"/>
        </w:rPr>
      </w:pPr>
      <w:r>
        <w:rPr>
          <w:rFonts w:hint="eastAsia"/>
        </w:rPr>
        <w:tab/>
        <w:t>(f)</w:t>
      </w:r>
      <w:r>
        <w:rPr>
          <w:rFonts w:hint="eastAsia"/>
        </w:rPr>
        <w:tab/>
        <w:t xml:space="preserve">在共和国检察长办公室设立贩卖受害者科，并按照2003年4月14日通过的第4510号决议成立专门部门，打击对男孩、女孩和青少男的商业性剥削行为。 </w:t>
      </w:r>
    </w:p>
    <w:p w:rsidR="0090618F" w:rsidRDefault="0090618F" w:rsidP="0090618F">
      <w:pPr>
        <w:pStyle w:val="SingleTxt"/>
        <w:rPr>
          <w:rFonts w:hint="eastAsia"/>
        </w:rPr>
      </w:pPr>
      <w:r>
        <w:rPr>
          <w:rFonts w:hint="eastAsia"/>
        </w:rPr>
        <w:t xml:space="preserve">116.　自2002年以来，政府大力打击人口贩卖。推出了提高认识的方案，就此类犯罪的复杂性和贩卖危险对公众进行教育；政府还加强了援助受害者的服务，并将贩卖者和贩卖奴隶者绳之以法。在该领域采取的部分行动如下： </w:t>
      </w:r>
    </w:p>
    <w:p w:rsidR="0090618F" w:rsidRDefault="0090618F" w:rsidP="0090618F">
      <w:pPr>
        <w:pStyle w:val="SingleTxt"/>
        <w:rPr>
          <w:rFonts w:hint="eastAsia"/>
        </w:rPr>
      </w:pPr>
      <w:r>
        <w:rPr>
          <w:rFonts w:hint="eastAsia"/>
        </w:rPr>
        <w:tab/>
        <w:t>(a)</w:t>
      </w:r>
      <w:r>
        <w:rPr>
          <w:rFonts w:hint="eastAsia"/>
        </w:rPr>
        <w:tab/>
        <w:t>成立并加强保护移民妇女机构间委员会；</w:t>
      </w:r>
    </w:p>
    <w:p w:rsidR="0090618F" w:rsidRDefault="0090618F" w:rsidP="0090618F">
      <w:pPr>
        <w:pStyle w:val="SingleTxt"/>
        <w:rPr>
          <w:rFonts w:hint="eastAsia"/>
        </w:rPr>
      </w:pPr>
      <w:r>
        <w:rPr>
          <w:rFonts w:hint="eastAsia"/>
        </w:rPr>
        <w:tab/>
        <w:t>(b)</w:t>
      </w:r>
      <w:r>
        <w:rPr>
          <w:rFonts w:hint="eastAsia"/>
        </w:rPr>
        <w:tab/>
        <w:t>提升多米尼加学校教师和学生对偷渡移徙者、商业性剥削和人口贩卖危险的认识。</w:t>
      </w:r>
    </w:p>
    <w:p w:rsidR="0090618F" w:rsidRDefault="0090618F" w:rsidP="0090618F">
      <w:pPr>
        <w:pStyle w:val="SingleTxt"/>
        <w:rPr>
          <w:rFonts w:hint="eastAsia"/>
        </w:rPr>
      </w:pPr>
      <w:r>
        <w:rPr>
          <w:rFonts w:hint="eastAsia"/>
        </w:rPr>
        <w:t xml:space="preserve">117.　2002至2010年间，妇女部和保护移民妇女机构间委员会在与国际移徙组织和民间社会组织的协调下，就该主题设置了6个认证课程，为管理人员提供国内和国际法律规范培训。这些培训方案中注意到性别平等和人权问题。 </w:t>
      </w:r>
    </w:p>
    <w:p w:rsidR="0090618F" w:rsidRDefault="0090618F" w:rsidP="0090618F">
      <w:pPr>
        <w:pStyle w:val="SingleTxt"/>
        <w:rPr>
          <w:rFonts w:hint="eastAsia"/>
        </w:rPr>
      </w:pPr>
      <w:r>
        <w:rPr>
          <w:rFonts w:hint="eastAsia"/>
        </w:rPr>
        <w:t>118.　2006年中期以来，共和国检察长办公室反偷渡移徙者和贩卖人口部门的教育与预防科建立了讲习班，为国家区和圣多明各省的小学和中学提供有关人口贩卖、偷渡移徙者和商业性剥夺的知识，提升认识并防止此类犯罪行为。另与教育和劳动部协调举行了讲习班，提升人们对偷渡移徙者、商业性剥夺和人口贩卖危险的认识。</w:t>
      </w:r>
    </w:p>
    <w:p w:rsidR="0090618F" w:rsidRDefault="0090618F" w:rsidP="0090618F">
      <w:pPr>
        <w:pStyle w:val="SingleTxt"/>
        <w:rPr>
          <w:rFonts w:hint="eastAsia"/>
        </w:rPr>
      </w:pPr>
      <w:r>
        <w:rPr>
          <w:rFonts w:hint="eastAsia"/>
        </w:rPr>
        <w:t>119.　2007年底开展了名为“法律风暴”的反人口贩卖运动。该举措由美洲开发银行发起，同时受国际移徙组织和里基·马丁基金会的赞助。</w:t>
      </w:r>
    </w:p>
    <w:p w:rsidR="0090618F" w:rsidRDefault="0090618F" w:rsidP="0090618F">
      <w:pPr>
        <w:pStyle w:val="SingleTxt"/>
        <w:rPr>
          <w:rFonts w:hint="eastAsia"/>
        </w:rPr>
      </w:pPr>
      <w:r>
        <w:rPr>
          <w:rFonts w:hint="eastAsia"/>
        </w:rPr>
        <w:t>120.　2010年，妇女部在国际移徙组织的支持下，建立了52个情况介绍和信息中心，以降低为性剥夺目的进行移徙和人口贩卖的风险。在这些中心的基础上，正在开展全国范围的预防工作。这些中心通过52个省级和市级办事处为全国各地的妇女提供服务。中心发挥初步援助机制的作用，同时将案例有效转交给其他地方、国家和/或国际机构，这些机构进而形成同一网络协调下的中心联盟，防止非正常移徙和人口贩卖。</w:t>
      </w:r>
    </w:p>
    <w:p w:rsidR="0090618F" w:rsidRDefault="0090618F" w:rsidP="0090618F">
      <w:pPr>
        <w:pStyle w:val="SingleTxt"/>
        <w:rPr>
          <w:rFonts w:hint="eastAsia"/>
        </w:rPr>
      </w:pPr>
      <w:r>
        <w:rPr>
          <w:rFonts w:hint="eastAsia"/>
        </w:rPr>
        <w:t>121.　研究和著作。为评估和分析人口贩卖国家法律、打击人口贩卖的机制及女性受害者经验，开展了全国研究工作。例如，中美洲妇女问题部长理事会与多米尼加共和国就该主题开展了一项值得注意的研究。</w:t>
      </w:r>
    </w:p>
    <w:p w:rsidR="0090618F" w:rsidRDefault="0090618F" w:rsidP="0090618F">
      <w:pPr>
        <w:pStyle w:val="SingleTxt"/>
        <w:rPr>
          <w:rFonts w:hint="eastAsia"/>
        </w:rPr>
      </w:pPr>
      <w:r>
        <w:rPr>
          <w:rFonts w:hint="eastAsia"/>
        </w:rPr>
        <w:t>122.　为与全国任何地区贩卖和性剥夺的可能受害者快速、有效地交换信息而设置了热线。</w:t>
      </w:r>
    </w:p>
    <w:p w:rsidR="0090618F" w:rsidRDefault="0090618F" w:rsidP="0090618F">
      <w:pPr>
        <w:pStyle w:val="SingleTxt"/>
        <w:rPr>
          <w:rFonts w:hint="eastAsia"/>
        </w:rPr>
      </w:pPr>
      <w:r>
        <w:rPr>
          <w:rFonts w:hint="eastAsia"/>
        </w:rPr>
        <w:t>123.　政府和非政府组织协作的部分案例包括：妇女部、非营利非政府组织“情况介绍与调查综合中心”和国际移徙组织为被贩卖、受性剥夺的妇女及女性回归者提供法律和心理支持。</w:t>
      </w:r>
    </w:p>
    <w:p w:rsidR="0090618F" w:rsidRDefault="0090618F" w:rsidP="0090618F">
      <w:pPr>
        <w:pStyle w:val="SingleTxt"/>
        <w:rPr>
          <w:rFonts w:hint="eastAsia"/>
        </w:rPr>
      </w:pPr>
      <w:r>
        <w:rPr>
          <w:rFonts w:hint="eastAsia"/>
        </w:rPr>
        <w:t>124.　在商业性剥夺方面，在共和国检察长办公室下设立了一个科室，以防止和追查因特网性剥夺行为；该科开展的工作有助于降低在网络空间非法展示、传播及公开儿童和青少年照片的发生率。该科的工作人员还接受了相关培训，以提升预防、调查和惩处性贩卖行为的专门技能。通过监控因特网，该科发现并关闭了助长商业性剥夺的一些网站。</w:t>
      </w:r>
    </w:p>
    <w:p w:rsidR="0090618F" w:rsidRDefault="0090618F" w:rsidP="0090618F">
      <w:pPr>
        <w:pStyle w:val="SingleTxt"/>
        <w:rPr>
          <w:rFonts w:hint="eastAsia"/>
        </w:rPr>
      </w:pPr>
      <w:r>
        <w:rPr>
          <w:rFonts w:hint="eastAsia"/>
        </w:rPr>
        <w:t xml:space="preserve">125.　多米尼加共和国还同伊比利亚-美国国际法律合作网络建立了关系，该网络为支持欧洲司法协调机构，组织了打击因特网儿童色情制品的国际行动。 </w:t>
      </w:r>
    </w:p>
    <w:p w:rsidR="0090618F" w:rsidRDefault="0090618F" w:rsidP="0090618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G．</w:t>
      </w:r>
      <w:r>
        <w:rPr>
          <w:rFonts w:hint="eastAsia"/>
        </w:rPr>
        <w:tab/>
        <w:t>第7条</w:t>
      </w:r>
      <w:r w:rsidR="0045173D">
        <w:rPr>
          <w:rFonts w:hint="eastAsia"/>
        </w:rPr>
        <w:t xml:space="preserve">. </w:t>
      </w:r>
      <w:r>
        <w:rPr>
          <w:rFonts w:hint="eastAsia"/>
        </w:rPr>
        <w:t>公平的政治和公共生活</w:t>
      </w:r>
    </w:p>
    <w:p w:rsidR="0090618F" w:rsidRPr="00EC2CC5" w:rsidRDefault="0090618F" w:rsidP="0090618F">
      <w:pPr>
        <w:pStyle w:val="SingleTxt"/>
        <w:spacing w:after="0" w:line="120" w:lineRule="exact"/>
        <w:rPr>
          <w:rFonts w:hint="eastAsia"/>
          <w:sz w:val="10"/>
        </w:rPr>
      </w:pPr>
    </w:p>
    <w:p w:rsidR="0090618F" w:rsidRDefault="0090618F" w:rsidP="0090618F">
      <w:pPr>
        <w:pStyle w:val="SingleTxt"/>
        <w:rPr>
          <w:rFonts w:hint="eastAsia"/>
        </w:rPr>
      </w:pPr>
      <w:r>
        <w:rPr>
          <w:rFonts w:hint="eastAsia"/>
        </w:rPr>
        <w:t>126.　根据多米尼加政治文化调查提供的实验性证据，人口总体上，特别是在妇女中出现明显趋势，即对多米尼加共和国妇女与男性平等参政持有积极的评估。88%的公民认为妇女应与男性平等参政；这一数字可细分为有89.2%的妇女、86.4%的男性持这一观点(妇女部，妇女与政治问题调查，2008年)。</w:t>
      </w:r>
    </w:p>
    <w:p w:rsidR="0090618F" w:rsidRDefault="0090618F" w:rsidP="0090618F">
      <w:pPr>
        <w:pStyle w:val="SingleTxt"/>
        <w:rPr>
          <w:rFonts w:hint="eastAsia"/>
        </w:rPr>
      </w:pPr>
      <w:r>
        <w:rPr>
          <w:rFonts w:hint="eastAsia"/>
        </w:rPr>
        <w:t>127.　推动了多项举措，包括立法改革、提高认识运动和培训，以帮助妇女在更公平的基础上获得决策职务。</w:t>
      </w:r>
    </w:p>
    <w:p w:rsidR="0090618F" w:rsidRDefault="0090618F" w:rsidP="0090618F">
      <w:pPr>
        <w:pStyle w:val="SingleTxt"/>
        <w:rPr>
          <w:rFonts w:hint="eastAsia"/>
        </w:rPr>
      </w:pPr>
      <w:r>
        <w:rPr>
          <w:rFonts w:hint="eastAsia"/>
        </w:rPr>
        <w:t>128.　妇女部采取的这些举措及其他行动、妇女运动、民间社会和政党中的妇女毫无疑问对妇女在国家中的政治和社会参与产生了积极影响。在政府各部门和社会各界工作的妇女人数缓慢但稳健增长，正体现了这一点。</w:t>
      </w:r>
    </w:p>
    <w:p w:rsidR="0090618F" w:rsidRDefault="0090618F" w:rsidP="0090618F">
      <w:pPr>
        <w:pStyle w:val="SingleTxt"/>
        <w:rPr>
          <w:rFonts w:hint="eastAsia"/>
        </w:rPr>
      </w:pPr>
      <w:r>
        <w:rPr>
          <w:rFonts w:hint="eastAsia"/>
        </w:rPr>
        <w:t>129.　在执行《2007至2017年间性别平等和公平计划》加强妇女政治权能部分的过程中，妇女部与各政党和组织合作，包括民间社会、妇女运动、政党中的妇女论坛、全国难民事务委员会、多米尼加市联盟和中央选举委员会。这些组织都表示乐于促进并保护妇女的平等参政权和代表权，通过采取措施和程序加强落实有关女性候选人限额的法律。</w:t>
      </w:r>
    </w:p>
    <w:p w:rsidR="0090618F" w:rsidRDefault="0090618F" w:rsidP="0090618F">
      <w:pPr>
        <w:pStyle w:val="SingleTxt"/>
        <w:rPr>
          <w:rFonts w:hint="eastAsia"/>
        </w:rPr>
      </w:pPr>
      <w:r>
        <w:rPr>
          <w:rFonts w:hint="eastAsia"/>
        </w:rPr>
        <w:t>130.　如本报告第2条所述，妇女部与众议院性别平等委员会和全国难民事务委员会一道，将性别平等观点纳入关于政党和政治团体的法律草案中，在其中体现了性别平等和非歧视的原则；承认男女平权；平等、有效地抵制任何形式的歧视并提供保护。法律草案在以下方面做了相关调整：竞选过程中政党的资产和资金筹措；政治教育、选战、政党和政治团体的选前阶段；培训程序；权利、责任和禁止事项；保证妇女与男性平等参政的法律规定。</w:t>
      </w:r>
    </w:p>
    <w:p w:rsidR="0090618F" w:rsidRDefault="0090618F" w:rsidP="0090618F">
      <w:pPr>
        <w:pStyle w:val="SingleTxt"/>
        <w:rPr>
          <w:rFonts w:hint="eastAsia"/>
        </w:rPr>
      </w:pPr>
      <w:r>
        <w:rPr>
          <w:rFonts w:hint="eastAsia"/>
        </w:rPr>
        <w:t>131.　在2004年选举中，妇女投票占50.4%；2006年，妇女投票占50.6%。2008年选举中，600多万人参与了投票，其中妇女占50.6%，男性占49.4%。2010年选举维持了这一比例。</w:t>
      </w:r>
    </w:p>
    <w:p w:rsidR="0090618F" w:rsidRDefault="0090618F" w:rsidP="0090618F">
      <w:pPr>
        <w:pStyle w:val="SingleTxt"/>
        <w:rPr>
          <w:rFonts w:hint="eastAsia"/>
        </w:rPr>
      </w:pPr>
      <w:r>
        <w:rPr>
          <w:rFonts w:hint="eastAsia"/>
        </w:rPr>
        <w:t>132.　从性别角度出发的选举观察报告探讨了计划在2010至2016年间举行的选举。根据该报告，妇女在选举团(投票站)中的代表性很强，很多妇女担任主席职位。</w:t>
      </w:r>
      <w:r w:rsidRPr="009254FA">
        <w:rPr>
          <w:rStyle w:val="FootnoteReference"/>
        </w:rPr>
        <w:footnoteReference w:id="5"/>
      </w:r>
    </w:p>
    <w:p w:rsidR="0090618F" w:rsidRDefault="0090618F" w:rsidP="0090618F">
      <w:pPr>
        <w:pStyle w:val="SingleTxt"/>
        <w:rPr>
          <w:rFonts w:hint="eastAsia"/>
        </w:rPr>
      </w:pPr>
      <w:r>
        <w:rPr>
          <w:rFonts w:hint="eastAsia"/>
        </w:rPr>
        <w:t>133.　妇女参与司法机构的情况取得了重大进展。女法官占比从1999年的36.8%提高到2010年的50%。目前，女法官在最高法院中占31.3%，在民事诉讼法院中占33.3%，在刑事诉讼法院中占38.5，在男孩、女孩和青少年诉讼法院中占67%。在治安法庭中，妇女占比达74%。同样，妇女占公设辩护人的60%，占国家指定律师的42%。</w:t>
      </w:r>
    </w:p>
    <w:p w:rsidR="0090618F" w:rsidRDefault="0090618F" w:rsidP="0090618F">
      <w:pPr>
        <w:pStyle w:val="SingleTxt"/>
        <w:rPr>
          <w:rFonts w:hint="eastAsia"/>
        </w:rPr>
      </w:pPr>
      <w:r>
        <w:rPr>
          <w:rFonts w:hint="eastAsia"/>
        </w:rPr>
        <w:t>134.　在共和国检察长办公室，妇女在调查和诉讼官员中占42%，在检察长中占35%，在检察官中占41%，在检察员中占48%。</w:t>
      </w:r>
    </w:p>
    <w:p w:rsidR="0090618F" w:rsidRDefault="0090618F" w:rsidP="0090618F">
      <w:pPr>
        <w:pStyle w:val="SingleTxt"/>
        <w:rPr>
          <w:rFonts w:hint="eastAsia"/>
        </w:rPr>
      </w:pPr>
      <w:r>
        <w:rPr>
          <w:rFonts w:hint="eastAsia"/>
        </w:rPr>
        <w:t>135.　根据公共管理部的记录，截至2010年，妇女在公务员中占48%，但仅有15%担任决策岗位。职位的等级越高，妇女的参与程度越低。</w:t>
      </w:r>
    </w:p>
    <w:p w:rsidR="0090618F" w:rsidRPr="00EC2CC5" w:rsidRDefault="0090618F" w:rsidP="0090618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H．</w:t>
      </w:r>
      <w:r>
        <w:rPr>
          <w:rFonts w:hint="eastAsia"/>
        </w:rPr>
        <w:tab/>
        <w:t>第8条</w:t>
      </w:r>
      <w:r w:rsidR="0045173D">
        <w:rPr>
          <w:rFonts w:hint="eastAsia"/>
        </w:rPr>
        <w:t xml:space="preserve">. </w:t>
      </w:r>
      <w:r>
        <w:rPr>
          <w:rFonts w:hint="eastAsia"/>
        </w:rPr>
        <w:t>国际层面的政治和公共生活平等</w:t>
      </w:r>
    </w:p>
    <w:p w:rsidR="0090618F" w:rsidRPr="00EC2CC5" w:rsidRDefault="0090618F" w:rsidP="0090618F">
      <w:pPr>
        <w:pStyle w:val="SingleTxt"/>
        <w:spacing w:after="0" w:line="120" w:lineRule="exact"/>
        <w:rPr>
          <w:rFonts w:hint="eastAsia"/>
          <w:sz w:val="10"/>
        </w:rPr>
      </w:pPr>
    </w:p>
    <w:p w:rsidR="0090618F" w:rsidRDefault="0090618F" w:rsidP="0090618F">
      <w:pPr>
        <w:pStyle w:val="SingleTxt"/>
        <w:rPr>
          <w:rFonts w:hint="eastAsia"/>
        </w:rPr>
      </w:pPr>
      <w:r>
        <w:rPr>
          <w:rFonts w:hint="eastAsia"/>
        </w:rPr>
        <w:t>136.　多米尼加共和国加入了多个要求并保证妇女在经济、环境、健康、政治及其他领域中参与的国际公约、条约和协定。</w:t>
      </w:r>
    </w:p>
    <w:p w:rsidR="0090618F" w:rsidRDefault="0090618F" w:rsidP="0090618F">
      <w:pPr>
        <w:pStyle w:val="SingleTxt"/>
        <w:rPr>
          <w:rFonts w:hint="eastAsia"/>
        </w:rPr>
      </w:pPr>
      <w:r>
        <w:rPr>
          <w:rFonts w:hint="eastAsia"/>
        </w:rPr>
        <w:t>137.　近年来，妇女在外交和领事团中的任职情况有所改善。根据外交部的数据，至2010年，妇女在外交团中占37%，在领事部门中占41%。在外交部中，妇女在外交和行政职务中占47%。</w:t>
      </w:r>
    </w:p>
    <w:p w:rsidR="0090618F" w:rsidRDefault="0090618F" w:rsidP="0090618F">
      <w:pPr>
        <w:pStyle w:val="SingleTxt"/>
        <w:rPr>
          <w:rFonts w:hint="eastAsia"/>
        </w:rPr>
      </w:pPr>
      <w:r>
        <w:rPr>
          <w:rFonts w:hint="eastAsia"/>
        </w:rPr>
        <w:t>138.　国际参与情况。多米尼加共和国通过妇女部参与了多个不同国际机构，如美洲妇女委员会(美洲妇委会)；拉加经委会拉丁美洲和加勒比妇女区域会议指导委员会；中非和多米尼加共和国妇女问题部长理事会。在这些平台取得的进展使达成最低限度的性别平等区域共同议程成为可能。议程包括3个重要优先主题，即没有暴力的生活；经济平等；平等参与政治和公共生活。</w:t>
      </w:r>
    </w:p>
    <w:p w:rsidR="0090618F" w:rsidRDefault="0090618F" w:rsidP="0090618F">
      <w:pPr>
        <w:pStyle w:val="SingleTxt"/>
        <w:rPr>
          <w:rFonts w:hint="eastAsia"/>
        </w:rPr>
      </w:pPr>
      <w:r>
        <w:rPr>
          <w:rFonts w:hint="eastAsia"/>
        </w:rPr>
        <w:t>139.　2010年7至12月期间，妇女部担任中非和多米尼加共和国妇女问题部长理事会临时主席。这是多米尼加共和国首次在中美洲一体化体系部长理事会框架中担任此类职位。</w:t>
      </w:r>
    </w:p>
    <w:p w:rsidR="0090618F" w:rsidRPr="00EC2CC5" w:rsidRDefault="0090618F" w:rsidP="0090618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smartTag w:uri="urn:schemas-microsoft-com:office:smarttags" w:element="place">
        <w:r>
          <w:rPr>
            <w:rFonts w:hint="eastAsia"/>
          </w:rPr>
          <w:t>I.</w:t>
        </w:r>
      </w:smartTag>
      <w:r>
        <w:rPr>
          <w:rFonts w:hint="eastAsia"/>
        </w:rPr>
        <w:tab/>
        <w:t>第9条</w:t>
      </w:r>
      <w:r w:rsidR="0045173D">
        <w:rPr>
          <w:rFonts w:hint="eastAsia"/>
        </w:rPr>
        <w:t xml:space="preserve">. </w:t>
      </w:r>
      <w:r>
        <w:rPr>
          <w:rFonts w:hint="eastAsia"/>
        </w:rPr>
        <w:t>国籍方面的平等权利</w:t>
      </w:r>
    </w:p>
    <w:p w:rsidR="0090618F" w:rsidRPr="00EC2CC5" w:rsidRDefault="0090618F" w:rsidP="0090618F">
      <w:pPr>
        <w:pStyle w:val="SingleTxt"/>
        <w:spacing w:after="0" w:line="120" w:lineRule="exact"/>
        <w:rPr>
          <w:rFonts w:hint="eastAsia"/>
          <w:sz w:val="10"/>
        </w:rPr>
      </w:pPr>
    </w:p>
    <w:p w:rsidR="0090618F" w:rsidRDefault="0090618F" w:rsidP="0090618F">
      <w:pPr>
        <w:pStyle w:val="SingleTxt"/>
        <w:rPr>
          <w:rFonts w:hint="eastAsia"/>
        </w:rPr>
      </w:pPr>
      <w:r>
        <w:rPr>
          <w:rFonts w:hint="eastAsia"/>
        </w:rPr>
        <w:t>140.　宪法就妇女国籍问题做出如下规定：</w:t>
      </w:r>
    </w:p>
    <w:p w:rsidR="0090618F" w:rsidRDefault="0090618F" w:rsidP="0090618F">
      <w:pPr>
        <w:pStyle w:val="SingleTxt"/>
        <w:ind w:left="2126"/>
        <w:rPr>
          <w:rFonts w:hint="eastAsia"/>
        </w:rPr>
      </w:pPr>
      <w:r>
        <w:rPr>
          <w:rFonts w:hint="eastAsia"/>
        </w:rPr>
        <w:t>“第18条：国籍。下列人员为多米尼加国民：</w:t>
      </w:r>
    </w:p>
    <w:p w:rsidR="0090618F" w:rsidRDefault="0090618F" w:rsidP="0090618F">
      <w:pPr>
        <w:pStyle w:val="SingleTxt"/>
        <w:rPr>
          <w:rFonts w:hint="eastAsia"/>
        </w:rPr>
      </w:pPr>
      <w:r>
        <w:rPr>
          <w:rFonts w:hint="eastAsia"/>
        </w:rPr>
        <w:tab/>
      </w:r>
      <w:r>
        <w:rPr>
          <w:rFonts w:hint="eastAsia"/>
        </w:rPr>
        <w:tab/>
        <w:t>(1)</w:t>
      </w:r>
      <w:r>
        <w:rPr>
          <w:rFonts w:hint="eastAsia"/>
        </w:rPr>
        <w:tab/>
        <w:t>多米尼加人(母亲或父亲)的儿子和女儿；</w:t>
      </w:r>
    </w:p>
    <w:p w:rsidR="0090618F" w:rsidRDefault="0090618F" w:rsidP="0090618F">
      <w:pPr>
        <w:pStyle w:val="SingleTxt"/>
        <w:rPr>
          <w:rFonts w:hint="eastAsia"/>
        </w:rPr>
      </w:pPr>
      <w:r>
        <w:rPr>
          <w:rFonts w:hint="eastAsia"/>
        </w:rPr>
        <w:tab/>
      </w:r>
      <w:r>
        <w:rPr>
          <w:rFonts w:hint="eastAsia"/>
        </w:rPr>
        <w:tab/>
        <w:t>(2)</w:t>
      </w:r>
      <w:r>
        <w:rPr>
          <w:rFonts w:hint="eastAsia"/>
        </w:rPr>
        <w:tab/>
        <w:t>本宪法生效日期前已拥有多米尼加国籍的人员；</w:t>
      </w:r>
    </w:p>
    <w:p w:rsidR="0090618F" w:rsidRDefault="0090618F" w:rsidP="0090618F">
      <w:pPr>
        <w:pStyle w:val="SingleTxt"/>
        <w:ind w:left="1695"/>
        <w:rPr>
          <w:rFonts w:hint="eastAsia"/>
        </w:rPr>
      </w:pPr>
      <w:r>
        <w:rPr>
          <w:rFonts w:hint="eastAsia"/>
        </w:rPr>
        <w:tab/>
        <w:t>(3)</w:t>
      </w:r>
      <w:r>
        <w:rPr>
          <w:rFonts w:hint="eastAsia"/>
        </w:rPr>
        <w:tab/>
        <w:t>任何在多米尼加共和国领土内出生的人员，父母为外交官或领事使团成员、“过境”的外国人或在多米尼加领土内非法居住的外国人除外。“过境”的外国人指多米尼加共和国法律规定为“过境”外国人的任何人员；</w:t>
      </w:r>
    </w:p>
    <w:p w:rsidR="0090618F" w:rsidRDefault="0090618F" w:rsidP="0090618F">
      <w:pPr>
        <w:pStyle w:val="SingleTxt"/>
        <w:ind w:left="1695"/>
        <w:rPr>
          <w:rFonts w:hint="eastAsia"/>
        </w:rPr>
      </w:pPr>
      <w:r>
        <w:rPr>
          <w:rFonts w:hint="eastAsia"/>
        </w:rPr>
        <w:tab/>
        <w:t>(4)</w:t>
      </w:r>
      <w:r>
        <w:rPr>
          <w:rFonts w:hint="eastAsia"/>
        </w:rPr>
        <w:tab/>
        <w:t>任何在外国出生、父亲或母亲为多米尼加人、虽因出生地获得与父母不同国籍的人员。此类人员在满18岁时，可前往主管当局选择双重国籍或放弃一个国籍；</w:t>
      </w:r>
    </w:p>
    <w:p w:rsidR="0090618F" w:rsidRDefault="0090618F" w:rsidP="0090618F">
      <w:pPr>
        <w:pStyle w:val="SingleTxt"/>
        <w:ind w:left="1695"/>
        <w:rPr>
          <w:rFonts w:hint="eastAsia"/>
        </w:rPr>
      </w:pPr>
      <w:r>
        <w:rPr>
          <w:rFonts w:hint="eastAsia"/>
        </w:rPr>
        <w:tab/>
        <w:t>(5)</w:t>
      </w:r>
      <w:r>
        <w:rPr>
          <w:rFonts w:hint="eastAsia"/>
        </w:rPr>
        <w:tab/>
        <w:t>任何与多米尼加男子或妇女结婚的人员，只要此类人员选择获得其配偶的国籍并满足法律规定的要求；</w:t>
      </w:r>
    </w:p>
    <w:p w:rsidR="0090618F" w:rsidRDefault="0090618F" w:rsidP="0090618F">
      <w:pPr>
        <w:pStyle w:val="SingleTxt"/>
        <w:rPr>
          <w:rFonts w:hint="eastAsia"/>
        </w:rPr>
      </w:pPr>
      <w:r>
        <w:rPr>
          <w:rFonts w:hint="eastAsia"/>
        </w:rPr>
        <w:tab/>
      </w:r>
      <w:r>
        <w:rPr>
          <w:rFonts w:hint="eastAsia"/>
        </w:rPr>
        <w:tab/>
        <w:t>(6)</w:t>
      </w:r>
      <w:r>
        <w:rPr>
          <w:rFonts w:hint="eastAsia"/>
        </w:rPr>
        <w:tab/>
        <w:t>居住在外国的多米尼加人的直系后代；</w:t>
      </w:r>
    </w:p>
    <w:p w:rsidR="0090618F" w:rsidRDefault="0090618F" w:rsidP="0090618F">
      <w:pPr>
        <w:pStyle w:val="SingleTxt"/>
        <w:rPr>
          <w:rFonts w:hint="eastAsia"/>
        </w:rPr>
      </w:pPr>
      <w:r>
        <w:rPr>
          <w:rFonts w:hint="eastAsia"/>
        </w:rPr>
        <w:tab/>
      </w:r>
      <w:r>
        <w:rPr>
          <w:rFonts w:hint="eastAsia"/>
        </w:rPr>
        <w:tab/>
        <w:t>(7)</w:t>
      </w:r>
      <w:r>
        <w:rPr>
          <w:rFonts w:hint="eastAsia"/>
        </w:rPr>
        <w:tab/>
        <w:t>按法律要求的条件和手续归化的人员。</w:t>
      </w:r>
    </w:p>
    <w:p w:rsidR="0090618F" w:rsidRDefault="0090618F" w:rsidP="0090618F">
      <w:pPr>
        <w:pStyle w:val="SingleTxt"/>
      </w:pPr>
      <w:r>
        <w:tab/>
      </w:r>
      <w:r>
        <w:tab/>
        <w:t>[</w:t>
      </w:r>
      <w:r>
        <w:rPr>
          <w:rFonts w:hAnsi="SimSun"/>
        </w:rPr>
        <w:t>……</w:t>
      </w:r>
      <w:r>
        <w:t>]</w:t>
      </w:r>
    </w:p>
    <w:p w:rsidR="0090618F" w:rsidRDefault="0090618F" w:rsidP="0090618F">
      <w:pPr>
        <w:pStyle w:val="SingleTxt"/>
        <w:rPr>
          <w:rFonts w:hint="eastAsia"/>
        </w:rPr>
      </w:pPr>
      <w:r>
        <w:rPr>
          <w:rFonts w:hint="eastAsia"/>
        </w:rPr>
        <w:tab/>
      </w:r>
      <w:r>
        <w:rPr>
          <w:rFonts w:hint="eastAsia"/>
        </w:rPr>
        <w:tab/>
        <w:t>第19条 归化。按法律成为归化公民的外国人。</w:t>
      </w:r>
    </w:p>
    <w:p w:rsidR="0090618F" w:rsidRDefault="0090618F" w:rsidP="0090618F">
      <w:pPr>
        <w:pStyle w:val="SingleTxt"/>
        <w:ind w:left="1695"/>
        <w:rPr>
          <w:rFonts w:hint="eastAsia"/>
        </w:rPr>
      </w:pPr>
      <w:r>
        <w:rPr>
          <w:rFonts w:hint="eastAsia"/>
        </w:rPr>
        <w:tab/>
        <w:t>第20条</w:t>
      </w:r>
      <w:r>
        <w:t xml:space="preserve"> </w:t>
      </w:r>
      <w:r>
        <w:rPr>
          <w:rFonts w:hint="eastAsia"/>
        </w:rPr>
        <w:t>双重国籍。多米尼加人可获得外国国籍。获得其他国籍不意味着失去多米尼加国籍。”</w:t>
      </w:r>
    </w:p>
    <w:p w:rsidR="0085435B" w:rsidRDefault="0085435B" w:rsidP="008543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J.</w:t>
      </w:r>
      <w:r>
        <w:rPr>
          <w:rFonts w:hint="eastAsia"/>
        </w:rPr>
        <w:tab/>
        <w:t>第10条</w:t>
      </w:r>
      <w:r w:rsidR="0045173D">
        <w:rPr>
          <w:rFonts w:hint="eastAsia"/>
        </w:rPr>
        <w:t xml:space="preserve">. </w:t>
      </w:r>
      <w:r>
        <w:rPr>
          <w:rFonts w:hint="eastAsia"/>
        </w:rPr>
        <w:t xml:space="preserve">平等受教育权 </w:t>
      </w:r>
    </w:p>
    <w:p w:rsidR="0085435B" w:rsidRPr="0085435B" w:rsidRDefault="0085435B" w:rsidP="0085435B">
      <w:pPr>
        <w:pStyle w:val="SingleTxt"/>
        <w:spacing w:after="0" w:line="120" w:lineRule="exact"/>
        <w:ind w:right="0"/>
        <w:rPr>
          <w:rFonts w:hint="eastAsia"/>
          <w:sz w:val="10"/>
        </w:rPr>
      </w:pPr>
    </w:p>
    <w:p w:rsidR="0085435B" w:rsidRDefault="0085435B" w:rsidP="0085435B">
      <w:pPr>
        <w:pStyle w:val="SingleTxt"/>
        <w:rPr>
          <w:rFonts w:hint="eastAsia"/>
        </w:rPr>
      </w:pPr>
      <w:r>
        <w:rPr>
          <w:rFonts w:hint="eastAsia"/>
        </w:rPr>
        <w:t>141.  在多米尼加共和国，教育是《宪法》规定的基本权利之一。《宪法》第63条规定，“老年人有权在平等条件和机会下接受全面、高质量的继续教育，不受任何限制，除非其能力、地点和愿望受到限制”。</w:t>
      </w:r>
    </w:p>
    <w:p w:rsidR="0085435B" w:rsidRDefault="0085435B" w:rsidP="0085435B">
      <w:pPr>
        <w:pStyle w:val="SingleTxt"/>
        <w:rPr>
          <w:rFonts w:hint="eastAsia"/>
        </w:rPr>
      </w:pPr>
      <w:r>
        <w:rPr>
          <w:rFonts w:hint="eastAsia"/>
        </w:rPr>
        <w:t>142.  《第66-97号普通教育法》规定：“教育是永久不可剥夺的人权。为切实落实这项权利，所有人均有权接受全面的教育，使其能够发展自己的个性，开展对社会有益的活动，适应其职业，不超越国家或地方利益的要求，也不会因为种族、性别、信仰、经济或社会地位或其他理由而受到任何形式的歧视”。学前、小学和中学教育免费提供；小学是义务教育。</w:t>
      </w:r>
    </w:p>
    <w:p w:rsidR="0085435B" w:rsidRDefault="0085435B" w:rsidP="0085435B">
      <w:pPr>
        <w:pStyle w:val="SingleTxt"/>
        <w:rPr>
          <w:rFonts w:hint="eastAsia"/>
        </w:rPr>
      </w:pPr>
      <w:r>
        <w:rPr>
          <w:rFonts w:hint="eastAsia"/>
        </w:rPr>
        <w:t>143.  多米尼加政府作出巨大努力来将性别平等原则纳入其教育系统。</w:t>
      </w:r>
    </w:p>
    <w:p w:rsidR="0085435B" w:rsidRDefault="0085435B" w:rsidP="0085435B">
      <w:pPr>
        <w:pStyle w:val="SingleTxt"/>
        <w:rPr>
          <w:rFonts w:hint="eastAsia"/>
        </w:rPr>
      </w:pPr>
      <w:r>
        <w:rPr>
          <w:rFonts w:hint="eastAsia"/>
        </w:rPr>
        <w:t>144.  多米尼加的教育课程包括性别教育作为多米尼加教育系统各级教育、模式和领域的共有主题，这是2004年第3599-2004号决议正式推出的措施。</w:t>
      </w:r>
    </w:p>
    <w:p w:rsidR="0085435B" w:rsidRDefault="0085435B" w:rsidP="0085435B">
      <w:pPr>
        <w:pStyle w:val="SingleTxt"/>
        <w:rPr>
          <w:rFonts w:hint="eastAsia"/>
        </w:rPr>
      </w:pPr>
      <w:r>
        <w:rPr>
          <w:rFonts w:hint="eastAsia"/>
        </w:rPr>
        <w:t>145.  《2008</w:t>
      </w:r>
      <w:r>
        <w:t>-</w:t>
      </w:r>
      <w:r>
        <w:rPr>
          <w:rFonts w:hint="eastAsia"/>
        </w:rPr>
        <w:t>2018十年的教育计划》提出的性别平等和公平办法中充分表达国家以及该国协调起来的社会各力量在政治和技术上承诺进行中期和长期教育改革，以进一步发展多米尼加教育系统，克服其余下的不足。</w:t>
      </w:r>
    </w:p>
    <w:p w:rsidR="0085435B" w:rsidRDefault="0085435B" w:rsidP="0085435B">
      <w:pPr>
        <w:pStyle w:val="SingleTxt"/>
        <w:rPr>
          <w:rFonts w:hint="eastAsia"/>
        </w:rPr>
      </w:pPr>
      <w:r>
        <w:rPr>
          <w:rFonts w:hint="eastAsia"/>
        </w:rPr>
        <w:t>146.  为此，已推出和开展若干举措和行动的，其中包括以下方面：</w:t>
      </w:r>
    </w:p>
    <w:p w:rsidR="0085435B" w:rsidRDefault="0085435B" w:rsidP="0085435B">
      <w:pPr>
        <w:pStyle w:val="SingleTxt"/>
        <w:rPr>
          <w:rFonts w:hint="eastAsia"/>
        </w:rPr>
      </w:pPr>
      <w:r>
        <w:rPr>
          <w:rFonts w:hint="eastAsia"/>
        </w:rPr>
        <w:tab/>
        <w:t>(a)</w:t>
      </w:r>
      <w:r>
        <w:rPr>
          <w:rFonts w:hint="eastAsia"/>
        </w:rPr>
        <w:tab/>
        <w:t>《第133-03号法》是保护青少年的，特别是防止其怀孕时遭学校开除；</w:t>
      </w:r>
    </w:p>
    <w:p w:rsidR="0085435B" w:rsidRDefault="0085435B" w:rsidP="0085435B">
      <w:pPr>
        <w:pStyle w:val="SingleTxt"/>
        <w:rPr>
          <w:rFonts w:hint="eastAsia"/>
        </w:rPr>
      </w:pPr>
      <w:r>
        <w:rPr>
          <w:rFonts w:hint="eastAsia"/>
        </w:rPr>
        <w:tab/>
        <w:t>(b)</w:t>
      </w:r>
      <w:r>
        <w:rPr>
          <w:rFonts w:hint="eastAsia"/>
        </w:rPr>
        <w:tab/>
        <w:t>从性别角度修订小学8个学科领域的课程和教科书：西班牙语文、外语、数学、体育、人道主义和宗教培训、美术教育、社会科学和自然科学；</w:t>
      </w:r>
    </w:p>
    <w:p w:rsidR="0085435B" w:rsidRDefault="0085435B" w:rsidP="0085435B">
      <w:pPr>
        <w:pStyle w:val="SingleTxt"/>
        <w:rPr>
          <w:rFonts w:hint="eastAsia"/>
        </w:rPr>
      </w:pPr>
      <w:r>
        <w:rPr>
          <w:rFonts w:hint="eastAsia"/>
        </w:rPr>
        <w:tab/>
        <w:t>(c)</w:t>
      </w:r>
      <w:r>
        <w:rPr>
          <w:rFonts w:hint="eastAsia"/>
        </w:rPr>
        <w:tab/>
        <w:t>拟订处理性别问题能力的指南、模块和指数，以便针对教师、学生、母亲、父亲和学校支持者在学校落实性别平等观点；</w:t>
      </w:r>
    </w:p>
    <w:p w:rsidR="0085435B" w:rsidRDefault="0085435B" w:rsidP="0085435B">
      <w:pPr>
        <w:pStyle w:val="SingleTxt"/>
        <w:rPr>
          <w:rFonts w:hint="eastAsia"/>
        </w:rPr>
      </w:pPr>
      <w:r>
        <w:rPr>
          <w:rFonts w:hint="eastAsia"/>
        </w:rPr>
        <w:tab/>
        <w:t>(d)</w:t>
      </w:r>
      <w:r>
        <w:rPr>
          <w:rFonts w:hint="eastAsia"/>
        </w:rPr>
        <w:tab/>
        <w:t>妇女部正在与第一夫人办公室、国家儿童青少年理事会、卫生部、教育部和其他政府机构协调执行在“妇女、青年和卫生项目：实现综合社会发展政策”框架内制订的预防少女怀孕方案；其目的是宣传和执行《第136-03号法》；</w:t>
      </w:r>
    </w:p>
    <w:p w:rsidR="0085435B" w:rsidRDefault="0085435B" w:rsidP="0085435B">
      <w:pPr>
        <w:pStyle w:val="SingleTxt"/>
        <w:rPr>
          <w:rFonts w:hint="eastAsia"/>
        </w:rPr>
      </w:pPr>
      <w:r>
        <w:rPr>
          <w:rFonts w:hint="eastAsia"/>
        </w:rPr>
        <w:tab/>
        <w:t>(e)</w:t>
      </w:r>
      <w:r>
        <w:rPr>
          <w:rFonts w:hint="eastAsia"/>
        </w:rPr>
        <w:tab/>
        <w:t>针对小学和中学教师和行政人员的性别平等培训和提高认识运动的发展；</w:t>
      </w:r>
    </w:p>
    <w:p w:rsidR="0085435B" w:rsidRDefault="0085435B" w:rsidP="0085435B">
      <w:pPr>
        <w:pStyle w:val="SingleTxt"/>
        <w:rPr>
          <w:rFonts w:hint="eastAsia"/>
        </w:rPr>
      </w:pPr>
      <w:r>
        <w:rPr>
          <w:rFonts w:hint="eastAsia"/>
        </w:rPr>
        <w:tab/>
        <w:t>(f)</w:t>
      </w:r>
      <w:r>
        <w:rPr>
          <w:rFonts w:hint="eastAsia"/>
        </w:rPr>
        <w:tab/>
        <w:t>推广使用不带性别色彩文字的教科书和其他教育材料；</w:t>
      </w:r>
    </w:p>
    <w:p w:rsidR="0085435B" w:rsidRDefault="0085435B" w:rsidP="0085435B">
      <w:pPr>
        <w:pStyle w:val="SingleTxt"/>
        <w:rPr>
          <w:rFonts w:hint="eastAsia"/>
        </w:rPr>
      </w:pPr>
      <w:r>
        <w:rPr>
          <w:rFonts w:hint="eastAsia"/>
        </w:rPr>
        <w:tab/>
        <w:t>(g)</w:t>
      </w:r>
      <w:r>
        <w:rPr>
          <w:rFonts w:hint="eastAsia"/>
        </w:rPr>
        <w:tab/>
        <w:t>圣多明各自治大学与妇女部协调努力在其人文学院实施性别平等主流化。这家国立大学占高等教育招生总数的49%。</w:t>
      </w:r>
    </w:p>
    <w:p w:rsidR="0085435B" w:rsidRDefault="0085435B" w:rsidP="0085435B">
      <w:pPr>
        <w:pStyle w:val="SingleTxt"/>
        <w:rPr>
          <w:rFonts w:hint="eastAsia"/>
        </w:rPr>
      </w:pPr>
      <w:r>
        <w:rPr>
          <w:rFonts w:hint="eastAsia"/>
        </w:rPr>
        <w:t>147.  获得中学和小学教育的机会。多米尼加共和国5岁至13岁的男女儿童小学教育入学率是94.8%(男童为95.2%，女童为94.3%)。中学(13至17岁的男女生)的总入学率是92.5%，其中平均82.5%为男生，102.9%为女生。</w:t>
      </w:r>
      <w:r w:rsidRPr="006B3078">
        <w:rPr>
          <w:rStyle w:val="FootnoteReference"/>
        </w:rPr>
        <w:footnoteReference w:id="6"/>
      </w:r>
      <w:r>
        <w:rPr>
          <w:rFonts w:hint="eastAsia"/>
        </w:rPr>
        <w:t xml:space="preserve"> 这些数据表明，多米尼加的男、女童在获得有教育方面性别公平，随着受教育程度(包括高等教育)的提高，女性参与也增加。</w:t>
      </w:r>
    </w:p>
    <w:p w:rsidR="0085435B" w:rsidRDefault="0085435B" w:rsidP="0085435B">
      <w:pPr>
        <w:pStyle w:val="SingleTxt"/>
        <w:rPr>
          <w:rFonts w:hint="eastAsia"/>
        </w:rPr>
      </w:pPr>
      <w:r>
        <w:rPr>
          <w:rFonts w:hint="eastAsia"/>
        </w:rPr>
        <w:t>148.  小学升学情况。在多米尼加共和国，从小学一年级升到下一年级的概率约为97%。在城市地区，上到五年级的学生比例占87%，而在农村地区是91%。在最贫困阶层中，升学率为84.2%，而对收入最高家庭来说，升学率为98.3%。小学升学情况在性别方面无显着差异。</w:t>
      </w:r>
    </w:p>
    <w:p w:rsidR="0085435B" w:rsidRDefault="0085435B" w:rsidP="0085435B">
      <w:pPr>
        <w:pStyle w:val="SingleTxt"/>
        <w:rPr>
          <w:rFonts w:hint="eastAsia"/>
        </w:rPr>
      </w:pPr>
      <w:r>
        <w:rPr>
          <w:rFonts w:hint="eastAsia"/>
        </w:rPr>
        <w:t xml:space="preserve">149. </w:t>
      </w:r>
      <w:r>
        <w:t xml:space="preserve"> </w:t>
      </w:r>
      <w:r>
        <w:rPr>
          <w:rFonts w:hint="eastAsia"/>
        </w:rPr>
        <w:t>上学年数。2009年，15岁以上的多米尼加人上学的总年数为8.2年，即男子平均为8.0年，妇女平均为8.5年。在完成小学教育年龄介于15和19岁之间的年轻人中，妇女所占比例较高，即占79.1%，而男子则占67%。从中学毕业的百分比中也可看到相同的趋势。2009年，在完成中学教育年龄20-24岁的年轻人中，妇女占58.2%，男子占42%。</w:t>
      </w:r>
    </w:p>
    <w:p w:rsidR="0085435B" w:rsidRDefault="0085435B" w:rsidP="0085435B">
      <w:pPr>
        <w:pStyle w:val="SingleTxt"/>
        <w:rPr>
          <w:rFonts w:hint="eastAsia"/>
        </w:rPr>
      </w:pPr>
      <w:r>
        <w:rPr>
          <w:rFonts w:hint="eastAsia"/>
        </w:rPr>
        <w:t>150.  高等教育。在多米尼加共和国，妇女在高等教育的人数大大多于男子。妇女的高校入学率约占62%，其中66%以优异成绩毕业。多米尼加共和国高等教育方面妇女人数日增的现象已成现实。</w:t>
      </w:r>
    </w:p>
    <w:p w:rsidR="0085435B" w:rsidRDefault="0085435B" w:rsidP="0085435B">
      <w:pPr>
        <w:pStyle w:val="SingleTxt"/>
        <w:rPr>
          <w:rFonts w:hint="eastAsia"/>
        </w:rPr>
      </w:pPr>
      <w:r>
        <w:rPr>
          <w:rFonts w:hint="eastAsia"/>
        </w:rPr>
        <w:t>151.  科学技术创新战略计划中包括一项奖学金方案。因此，高等教育、科学和技术部在2007-2009年期间向学生个人提供1 147份国家奖学金。从2005年到2006年，共提供200份国际奖学金。首选职业发展方向是市场营销、计算机工程、公共行政管理、教育和技术，其学制为两年至五年。受助人中38.5%为女性。</w:t>
      </w:r>
    </w:p>
    <w:p w:rsidR="0085435B" w:rsidRDefault="0085435B" w:rsidP="0085435B">
      <w:pPr>
        <w:pStyle w:val="SingleTxt"/>
        <w:rPr>
          <w:rFonts w:hint="eastAsia"/>
        </w:rPr>
      </w:pPr>
      <w:r>
        <w:rPr>
          <w:rFonts w:hint="eastAsia"/>
        </w:rPr>
        <w:t>152.  同样，针对贫困学生推出团结卡等高等教育补助金方案和奖励。2009年，24 232名大学生从团结卡方案得到福利，并领取用于购买课本和其他教育材料以及在国立大学缴交学费的补助金。在领取这种补助金的所有人中，67.3%为女性，32.3%为男性。</w:t>
      </w:r>
    </w:p>
    <w:p w:rsidR="0085435B" w:rsidRDefault="0085435B" w:rsidP="0085435B">
      <w:pPr>
        <w:pStyle w:val="SingleTxt"/>
        <w:rPr>
          <w:rFonts w:hint="eastAsia"/>
        </w:rPr>
      </w:pPr>
      <w:r>
        <w:rPr>
          <w:rFonts w:hint="eastAsia"/>
        </w:rPr>
        <w:t>153.  文盲情况。多米尼加共和国10岁以上的人的文盲率为9.7%。男性的文盲率为9.9%，女性为9.5%。区区0.4%的差距再次表明妇女的教育指标稳步推进。文盲率在过去十年中缓慢下降，从2000年的11.4%下降到2009年的9.7%，即9年来只下降1.7个百分点，而妇女文盲率同期下降了1.8百分点。</w:t>
      </w:r>
      <w:r>
        <w:rPr>
          <w:rStyle w:val="FootnoteReference"/>
        </w:rPr>
        <w:footnoteReference w:id="7"/>
      </w:r>
    </w:p>
    <w:p w:rsidR="0085435B" w:rsidRDefault="0085435B" w:rsidP="0085435B">
      <w:pPr>
        <w:pStyle w:val="SingleTxt"/>
        <w:rPr>
          <w:rFonts w:hint="eastAsia"/>
        </w:rPr>
      </w:pPr>
      <w:r>
        <w:rPr>
          <w:rFonts w:hint="eastAsia"/>
        </w:rPr>
        <w:t>154.  获得技术和职业教育的机会。在多米尼加共和国，国家技术职业培训学院运作全国的技术培训系统，其目的是提供专门的培训，提高包括工业、商业、农业、信息技术和旅游业在内的各领域的工人的能力，并对其进行认证。</w:t>
      </w:r>
    </w:p>
    <w:p w:rsidR="0085435B" w:rsidRDefault="0085435B" w:rsidP="0085435B">
      <w:pPr>
        <w:pStyle w:val="SingleTxt"/>
        <w:rPr>
          <w:rFonts w:hint="eastAsia"/>
        </w:rPr>
      </w:pPr>
      <w:r>
        <w:rPr>
          <w:rFonts w:hint="eastAsia"/>
        </w:rPr>
        <w:t>155.  早在2007年，女性毕业指数为94.1，即非常接近与男子同等。2010年，男女实现数量同等：虽然75%以上的妇女接受传统女性工作和职业的培训，如美容师和发型师职位、护理、治疗、接待服务和技艺，但妇女毕业生占国家技术职业培训学院的49.7%。</w:t>
      </w:r>
    </w:p>
    <w:p w:rsidR="0085435B" w:rsidRDefault="0085435B" w:rsidP="0085435B">
      <w:pPr>
        <w:pStyle w:val="SingleTxt"/>
        <w:rPr>
          <w:rFonts w:hint="eastAsia"/>
        </w:rPr>
      </w:pPr>
      <w:r>
        <w:rPr>
          <w:rFonts w:hint="eastAsia"/>
        </w:rPr>
        <w:t>156.  创新项目和方案。已制订许多教育计划来促进女童、青年妇女和广大妇女的基本权利，并鼓励提供面向平等与和平的教育类型，其中最显着的有以下几种：</w:t>
      </w:r>
    </w:p>
    <w:p w:rsidR="0085435B" w:rsidRDefault="0085435B" w:rsidP="0085435B">
      <w:pPr>
        <w:pStyle w:val="SingleTxt"/>
        <w:rPr>
          <w:rFonts w:hint="eastAsia"/>
        </w:rPr>
      </w:pPr>
      <w:r>
        <w:tab/>
      </w:r>
      <w:r>
        <w:rPr>
          <w:rFonts w:hint="eastAsia"/>
        </w:rPr>
        <w:t>(a)</w:t>
      </w:r>
      <w:r>
        <w:tab/>
      </w:r>
      <w:r>
        <w:rPr>
          <w:rFonts w:hint="eastAsia"/>
        </w:rPr>
        <w:t>圣多明各技术学院为私立大学，其性别中心提供性别与发展硕士学位以及该领域的专业课程；</w:t>
      </w:r>
    </w:p>
    <w:p w:rsidR="0085435B" w:rsidRDefault="0085435B" w:rsidP="0085435B">
      <w:pPr>
        <w:pStyle w:val="SingleTxt"/>
        <w:rPr>
          <w:rFonts w:hint="eastAsia"/>
        </w:rPr>
      </w:pPr>
      <w:r>
        <w:tab/>
      </w:r>
      <w:r>
        <w:rPr>
          <w:rFonts w:hint="eastAsia"/>
        </w:rPr>
        <w:t>(b)</w:t>
      </w:r>
      <w:r>
        <w:tab/>
      </w:r>
      <w:r>
        <w:rPr>
          <w:rFonts w:hint="eastAsia"/>
        </w:rPr>
        <w:t>包容性多元文化教育观察站是教育部与援助行动协调制订的项目；</w:t>
      </w:r>
    </w:p>
    <w:p w:rsidR="0085435B" w:rsidRDefault="0085435B" w:rsidP="0085435B">
      <w:pPr>
        <w:pStyle w:val="SingleTxt"/>
        <w:rPr>
          <w:rFonts w:hint="eastAsia"/>
        </w:rPr>
      </w:pPr>
      <w:r>
        <w:tab/>
      </w:r>
      <w:r>
        <w:rPr>
          <w:rFonts w:hint="eastAsia"/>
        </w:rPr>
        <w:t>(c)</w:t>
      </w:r>
      <w:r>
        <w:tab/>
      </w:r>
      <w:r w:rsidRPr="006B3078">
        <w:rPr>
          <w:rFonts w:hint="eastAsia"/>
          <w:spacing w:val="2"/>
        </w:rPr>
        <w:t>圣多明各自治大学在妇女部支持下设立了西蒙·玻利瓦尔哲学和性别</w:t>
      </w:r>
      <w:r>
        <w:rPr>
          <w:rFonts w:hint="eastAsia"/>
        </w:rPr>
        <w:t>专业教习；</w:t>
      </w:r>
    </w:p>
    <w:p w:rsidR="0085435B" w:rsidRDefault="0085435B" w:rsidP="0085435B">
      <w:pPr>
        <w:pStyle w:val="SingleTxt"/>
        <w:rPr>
          <w:rFonts w:hint="eastAsia"/>
        </w:rPr>
      </w:pPr>
      <w:r>
        <w:rPr>
          <w:rFonts w:hint="eastAsia"/>
        </w:rPr>
        <w:tab/>
        <w:t>(d)</w:t>
      </w:r>
      <w:r>
        <w:rPr>
          <w:rFonts w:hint="eastAsia"/>
        </w:rPr>
        <w:tab/>
        <w:t>妇女部与第一夫人办公室协调执行的性别、教育和青少年怀孕项目；</w:t>
      </w:r>
    </w:p>
    <w:p w:rsidR="0085435B" w:rsidRDefault="0085435B" w:rsidP="0085435B">
      <w:pPr>
        <w:pStyle w:val="SingleTxt"/>
        <w:rPr>
          <w:rFonts w:hint="eastAsia"/>
        </w:rPr>
      </w:pPr>
      <w:r>
        <w:rPr>
          <w:rFonts w:hint="eastAsia"/>
        </w:rPr>
        <w:tab/>
        <w:t>(e)</w:t>
      </w:r>
      <w:r>
        <w:rPr>
          <w:rFonts w:hint="eastAsia"/>
        </w:rPr>
        <w:tab/>
        <w:t>研究：小学教育推广性别公平观察站由美洲开发银行赞助。</w:t>
      </w:r>
    </w:p>
    <w:p w:rsidR="0085435B" w:rsidRDefault="0085435B" w:rsidP="0085435B">
      <w:pPr>
        <w:pStyle w:val="SingleTxt"/>
        <w:rPr>
          <w:rFonts w:hint="eastAsia"/>
        </w:rPr>
      </w:pPr>
      <w:r>
        <w:rPr>
          <w:rFonts w:hint="eastAsia"/>
        </w:rPr>
        <w:t>157.  妇女获得信息和通信技术(信通技术)的机会。多米尼加共和国与其他拉美国家一样，性别方面存在数字鸿沟，体现在以下方面：科学和技术方面的培训不平等，需要发展专业技能，以平等获得有优厚工资的体面工作的机会。</w:t>
      </w:r>
    </w:p>
    <w:p w:rsidR="0085435B" w:rsidRDefault="0085435B" w:rsidP="0085435B">
      <w:pPr>
        <w:pStyle w:val="SingleTxt"/>
        <w:rPr>
          <w:rFonts w:hint="eastAsia"/>
        </w:rPr>
      </w:pPr>
      <w:r>
        <w:rPr>
          <w:rFonts w:hint="eastAsia"/>
        </w:rPr>
        <w:t>158.  2007年全国住户统计调查记录有关获得信通技术的指数显示男女之间并不存在显着不同。男性使用互联网比女性多(男性为58.4%，女性为50.9%)。至于移动电话的拥有和使用情况，男性为70%，女性为63.4%。 妇女中有65.8%的人学习时使用电脑，而男性只有58%的人使用在这方面使用电脑。在工作中使用电脑方面，男户主家庭的使用率为64%，而女户主家庭的使用率为47.5%。</w:t>
      </w:r>
    </w:p>
    <w:p w:rsidR="0085435B" w:rsidRDefault="0085435B" w:rsidP="0085435B">
      <w:pPr>
        <w:pStyle w:val="SingleTxt"/>
        <w:rPr>
          <w:rFonts w:hint="eastAsia"/>
        </w:rPr>
      </w:pPr>
      <w:r>
        <w:rPr>
          <w:rFonts w:hint="eastAsia"/>
        </w:rPr>
        <w:t>159.  多米尼加政府正通过各机构努力缩小技术鸿沟。因此，该国已开设68个社区技术中心，覆盖全国领土的75%，为519</w:t>
      </w:r>
      <w:r>
        <w:t xml:space="preserve"> </w:t>
      </w:r>
      <w:r>
        <w:rPr>
          <w:rFonts w:hint="eastAsia"/>
        </w:rPr>
        <w:t>000人提供服务。这些技术中心培训了29 650人；其中18 579人即占63%的人为妇女。</w:t>
      </w:r>
    </w:p>
    <w:p w:rsidR="0085435B" w:rsidRDefault="0085435B" w:rsidP="008543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K.</w:t>
      </w:r>
      <w:r>
        <w:tab/>
      </w:r>
      <w:r>
        <w:rPr>
          <w:rFonts w:hint="eastAsia"/>
        </w:rPr>
        <w:t>第</w:t>
      </w:r>
      <w:r w:rsidR="0045173D">
        <w:rPr>
          <w:rFonts w:hint="eastAsia"/>
        </w:rPr>
        <w:t>11</w:t>
      </w:r>
      <w:r>
        <w:rPr>
          <w:rFonts w:hint="eastAsia"/>
        </w:rPr>
        <w:t>条.</w:t>
      </w:r>
      <w:r w:rsidR="0045173D">
        <w:rPr>
          <w:rFonts w:hint="eastAsia"/>
        </w:rPr>
        <w:t xml:space="preserve"> </w:t>
      </w:r>
      <w:r>
        <w:rPr>
          <w:rFonts w:hint="eastAsia"/>
        </w:rPr>
        <w:t xml:space="preserve">就业和工作的平等 </w:t>
      </w:r>
    </w:p>
    <w:p w:rsidR="0085435B" w:rsidRPr="0085435B" w:rsidRDefault="0085435B" w:rsidP="0085435B">
      <w:pPr>
        <w:pStyle w:val="SingleTxt"/>
        <w:spacing w:after="0" w:line="120" w:lineRule="exact"/>
        <w:ind w:right="0"/>
        <w:rPr>
          <w:rFonts w:hint="eastAsia"/>
          <w:sz w:val="10"/>
        </w:rPr>
      </w:pPr>
    </w:p>
    <w:p w:rsidR="0085435B" w:rsidRDefault="0085435B" w:rsidP="0085435B">
      <w:pPr>
        <w:pStyle w:val="SingleTxt"/>
        <w:rPr>
          <w:rFonts w:hint="eastAsia"/>
        </w:rPr>
      </w:pPr>
      <w:r>
        <w:rPr>
          <w:rFonts w:hint="eastAsia"/>
        </w:rPr>
        <w:t>160.  多米尼加共和国《宪法》、《劳动法》以及多明尼加国家批准的国际劳工组织(劳工组织)的各项公约均保护妇女的就业权利。</w:t>
      </w:r>
    </w:p>
    <w:p w:rsidR="0085435B" w:rsidRDefault="0085435B" w:rsidP="0085435B">
      <w:pPr>
        <w:pStyle w:val="SingleTxt"/>
        <w:rPr>
          <w:rFonts w:hint="eastAsia"/>
        </w:rPr>
      </w:pPr>
      <w:r>
        <w:rPr>
          <w:rFonts w:hint="eastAsia"/>
        </w:rPr>
        <w:t>161.  《宪法》第62条规定如下：</w:t>
      </w:r>
    </w:p>
    <w:p w:rsidR="0085435B" w:rsidRDefault="0085435B" w:rsidP="0085435B">
      <w:pPr>
        <w:pStyle w:val="SingleTxt"/>
        <w:rPr>
          <w:rFonts w:hint="eastAsia"/>
        </w:rPr>
      </w:pPr>
      <w:r>
        <w:tab/>
      </w:r>
      <w:r>
        <w:rPr>
          <w:rFonts w:hint="eastAsia"/>
        </w:rPr>
        <w:t>“就业是在国家保护和协助下行使的一项权利、义务和社会职能。国家的基本目标是促进获得体面、高薪的工作。公共管理当局应促进劳工、企业和国家之间的对话和理解。因此：</w:t>
      </w:r>
    </w:p>
    <w:p w:rsidR="0085435B" w:rsidRDefault="0085435B" w:rsidP="0085435B">
      <w:pPr>
        <w:pStyle w:val="SingleTxt"/>
        <w:rPr>
          <w:rFonts w:hint="eastAsia"/>
        </w:rPr>
      </w:pPr>
      <w:r>
        <w:tab/>
      </w:r>
      <w:r>
        <w:rPr>
          <w:rFonts w:hint="eastAsia"/>
        </w:rPr>
        <w:t>⑴</w:t>
      </w:r>
      <w:r>
        <w:tab/>
      </w:r>
      <w:r>
        <w:rPr>
          <w:rFonts w:hint="eastAsia"/>
        </w:rPr>
        <w:t>国家保障妇女和男子在行使工作权利方面得到平等和公正的对待；</w:t>
      </w:r>
    </w:p>
    <w:p w:rsidR="0085435B" w:rsidRDefault="0085435B" w:rsidP="0085435B">
      <w:pPr>
        <w:pStyle w:val="SingleTxt"/>
        <w:rPr>
          <w:rFonts w:hint="eastAsia"/>
        </w:rPr>
      </w:pPr>
      <w:r>
        <w:tab/>
        <w:t>[</w:t>
      </w:r>
      <w:r w:rsidRPr="006B3078">
        <w:rPr>
          <w:rFonts w:hAnsi="SimSun"/>
        </w:rPr>
        <w:t>……</w:t>
      </w:r>
      <w:r>
        <w:t>]</w:t>
      </w:r>
    </w:p>
    <w:p w:rsidR="0085435B" w:rsidRDefault="0085435B" w:rsidP="0085435B">
      <w:pPr>
        <w:pStyle w:val="SingleTxt"/>
        <w:rPr>
          <w:rFonts w:hint="eastAsia"/>
        </w:rPr>
      </w:pPr>
      <w:r>
        <w:rPr>
          <w:rFonts w:hint="eastAsia"/>
        </w:rPr>
        <w:tab/>
        <w:t>⑸</w:t>
      </w:r>
      <w:r>
        <w:rPr>
          <w:rFonts w:hint="eastAsia"/>
        </w:rPr>
        <w:tab/>
        <w:t>受雇期间和之后禁止在工作场所实行歧视，但为保护工人而实施的法律规定除外[……]”。</w:t>
      </w:r>
    </w:p>
    <w:p w:rsidR="0085435B" w:rsidRDefault="0085435B" w:rsidP="0085435B">
      <w:pPr>
        <w:pStyle w:val="SingleTxt"/>
        <w:rPr>
          <w:rFonts w:hint="eastAsia"/>
        </w:rPr>
      </w:pPr>
      <w:r>
        <w:rPr>
          <w:rFonts w:hint="eastAsia"/>
        </w:rPr>
        <w:t>162.  多米尼加国家已批准劳工组织1951年的《第100号公约》(《同酬公约》)和1958年《第111号公约》(《(就业和职业)歧视公约》)。</w:t>
      </w:r>
    </w:p>
    <w:p w:rsidR="0085435B" w:rsidRDefault="0085435B" w:rsidP="0085435B">
      <w:pPr>
        <w:pStyle w:val="SingleTxt"/>
        <w:rPr>
          <w:rFonts w:hint="eastAsia"/>
        </w:rPr>
      </w:pPr>
      <w:r>
        <w:rPr>
          <w:rFonts w:hint="eastAsia"/>
        </w:rPr>
        <w:t xml:space="preserve">163.  </w:t>
      </w:r>
      <w:r w:rsidRPr="00516B52">
        <w:rPr>
          <w:rFonts w:hint="eastAsia"/>
          <w:spacing w:val="2"/>
        </w:rPr>
        <w:t>劳动力市场中的性别平等主流化：在过去十年中，虽然速度适中，但越来越多的女性加入了劳动队伍。从2000年到2009年，妇女所承担工作数从100万份增加到120万份，即在就业人口总数中的所占比例从33.3%增加到34%。尽管如此，有酬就业的妇女在工作年龄妇女总数中的所占比例几乎仍是男性的一半。</w:t>
      </w:r>
      <w:r>
        <w:rPr>
          <w:rStyle w:val="FootnoteReference"/>
        </w:rPr>
        <w:footnoteReference w:id="8"/>
      </w:r>
    </w:p>
    <w:p w:rsidR="0085435B" w:rsidRDefault="0085435B" w:rsidP="0085435B">
      <w:pPr>
        <w:pStyle w:val="SingleTxt"/>
        <w:rPr>
          <w:rFonts w:hint="eastAsia"/>
        </w:rPr>
      </w:pPr>
      <w:r>
        <w:rPr>
          <w:rFonts w:hint="eastAsia"/>
        </w:rPr>
        <w:t>164.  女性就业率从2000年的31.1%上升到2008年的33.5%，但次年又几乎下降到期初的同一水平。男性的情况正好相反，2000年的所占比例(64.8%)高于2008年(62.1%)。一般来说，男女的就业率差距或差异缩小2.5个百分点。</w:t>
      </w:r>
      <w:r>
        <w:rPr>
          <w:rStyle w:val="FootnoteReference"/>
        </w:rPr>
        <w:footnoteReference w:id="9"/>
      </w:r>
    </w:p>
    <w:p w:rsidR="0085435B" w:rsidRDefault="0085435B" w:rsidP="0085435B">
      <w:pPr>
        <w:pStyle w:val="SingleTxt"/>
        <w:rPr>
          <w:rFonts w:hint="eastAsia"/>
        </w:rPr>
      </w:pPr>
      <w:r>
        <w:rPr>
          <w:rFonts w:hint="eastAsia"/>
        </w:rPr>
        <w:t xml:space="preserve">165.  </w:t>
      </w:r>
      <w:r w:rsidRPr="00516B52">
        <w:rPr>
          <w:rFonts w:hint="eastAsia"/>
          <w:spacing w:val="2"/>
        </w:rPr>
        <w:t>对妇女来说，找到有酬工作的机会随其教育水平提高而有很大的增加，这与男子以及与已就业的女性整体情况相比都是如此。2000年，找到有酬工作的女大学毕业生占66.1%，其所占比例比有中学教育程度的女性(占38.1%)和只有小学教育程度的女性(23.2%)高得多；2009年虽较不明显，但这一比例仍大致相同。</w:t>
      </w:r>
      <w:r>
        <w:rPr>
          <w:rStyle w:val="FootnoteReference"/>
        </w:rPr>
        <w:footnoteReference w:id="10"/>
      </w:r>
    </w:p>
    <w:p w:rsidR="0085435B" w:rsidRDefault="0085435B" w:rsidP="0085435B">
      <w:pPr>
        <w:pStyle w:val="SingleTxt"/>
        <w:rPr>
          <w:rFonts w:hint="eastAsia"/>
        </w:rPr>
      </w:pPr>
      <w:r>
        <w:rPr>
          <w:rFonts w:hint="eastAsia"/>
        </w:rPr>
        <w:t>166.   女性就业主要集中在非正规部门和低生产力的领域。2009年，49.9%的女性的就业集中从事非正规经济活动；男性就业虽然所占比例较高，但也存在类似的情况，从2000年的55.8%上升到2009年的60%。</w:t>
      </w:r>
    </w:p>
    <w:p w:rsidR="0085435B" w:rsidRDefault="0085435B" w:rsidP="0085435B">
      <w:pPr>
        <w:pStyle w:val="SingleTxt"/>
        <w:rPr>
          <w:rFonts w:hint="eastAsia"/>
        </w:rPr>
      </w:pPr>
      <w:r>
        <w:rPr>
          <w:rFonts w:hint="eastAsia"/>
        </w:rPr>
        <w:t>167.  2000年，在制造业部门工作的妇女占19.2%，男性占16%。然而，到2009年，在该部门就业的女性只占8.3%，男性则占11.7%。</w:t>
      </w:r>
      <w:r>
        <w:rPr>
          <w:rStyle w:val="FootnoteReference"/>
        </w:rPr>
        <w:footnoteReference w:id="11"/>
      </w:r>
    </w:p>
    <w:p w:rsidR="0085435B" w:rsidRDefault="0085435B" w:rsidP="0085435B">
      <w:pPr>
        <w:pStyle w:val="SingleTxt"/>
        <w:rPr>
          <w:rFonts w:hint="eastAsia"/>
        </w:rPr>
      </w:pPr>
      <w:r>
        <w:rPr>
          <w:rFonts w:hint="eastAsia"/>
        </w:rPr>
        <w:t>168.  有酬家政服务工作：妇女是家政服务部门工作的主要承担者，其所占比例很大，且不断增加。妇女从事这一类型的就业在2000年和2009年分别占其就业总数的11.4%和14.6%，而男性的所占比例则从0.5%上升到8%。</w:t>
      </w:r>
      <w:r>
        <w:rPr>
          <w:rStyle w:val="FootnoteReference"/>
        </w:rPr>
        <w:footnoteReference w:id="12"/>
      </w:r>
    </w:p>
    <w:p w:rsidR="0085435B" w:rsidRDefault="0085435B" w:rsidP="0085435B">
      <w:pPr>
        <w:pStyle w:val="SingleTxt"/>
        <w:rPr>
          <w:rFonts w:hint="eastAsia"/>
        </w:rPr>
      </w:pPr>
      <w:r>
        <w:rPr>
          <w:rFonts w:hint="eastAsia"/>
        </w:rPr>
        <w:t xml:space="preserve">169.  无偿家务工作：在从事这一类型工作的人中，非从事经济活动的妇女占59.7%，从事经济活动的妇女占40.3%。相反，男子在从事经济活动人中占主导地位(67.4%)。 </w:t>
      </w:r>
    </w:p>
    <w:p w:rsidR="0085435B" w:rsidRDefault="0085435B" w:rsidP="0085435B">
      <w:pPr>
        <w:pStyle w:val="SingleTxt"/>
        <w:rPr>
          <w:rFonts w:hint="eastAsia"/>
        </w:rPr>
      </w:pPr>
      <w:r>
        <w:rPr>
          <w:rFonts w:hint="eastAsia"/>
        </w:rPr>
        <w:t>170.  在男女两性非从事经济活动的人所做的工作中，妇女主要从事家政服务活动，到2009年底，其所占比例为24.8%，男子只占0.2%。</w:t>
      </w:r>
    </w:p>
    <w:p w:rsidR="0085435B" w:rsidRDefault="0085435B" w:rsidP="0085435B">
      <w:pPr>
        <w:pStyle w:val="SingleTxt"/>
        <w:rPr>
          <w:rFonts w:hint="eastAsia"/>
        </w:rPr>
      </w:pPr>
      <w:r>
        <w:rPr>
          <w:rFonts w:hint="eastAsia"/>
        </w:rPr>
        <w:t>171.  妇女专门从事家政服务活动，其中包括抚养孩子和照顾家庭以及照顾不能独立的老年人，这种情况在所有年龄组中都存在，在50和64岁之间以及25至49岁(育龄妇女)之间的所占比例最高；此外，虽然程度较轻，但15至24岁的妇女所占比例也高。</w:t>
      </w:r>
    </w:p>
    <w:p w:rsidR="0085435B" w:rsidRDefault="0085435B" w:rsidP="0085435B">
      <w:pPr>
        <w:pStyle w:val="SingleTxt"/>
        <w:rPr>
          <w:rFonts w:hint="eastAsia"/>
        </w:rPr>
      </w:pPr>
      <w:r>
        <w:rPr>
          <w:rFonts w:hint="eastAsia"/>
        </w:rPr>
        <w:t>172.  多米尼加《宪法》承认家务给妇女带来极大的好处。根据《宪法》第55条第11款，“国家承认家务是有增值并产生财富和社会福利的经济活动；因此，家务应纳入公共和社会政策制订和实施中”。</w:t>
      </w:r>
    </w:p>
    <w:p w:rsidR="0085435B" w:rsidRDefault="0085435B" w:rsidP="0085435B">
      <w:pPr>
        <w:pStyle w:val="SingleTxt"/>
        <w:rPr>
          <w:rFonts w:hint="eastAsia"/>
        </w:rPr>
      </w:pPr>
      <w:r>
        <w:rPr>
          <w:rFonts w:hint="eastAsia"/>
        </w:rPr>
        <w:t>173.  失业：2009年，女性失业率为23.2%，而男性失业率为9.8%。按性别区分的这一失业率表现是多米尼加劳动力市场普遍存在性别不平等的主要指标。尽管失业对14和24岁之间的妇女的影响更大，但它也影响在所有经济部门从事经济活动的所有妇女。</w:t>
      </w:r>
    </w:p>
    <w:p w:rsidR="0085435B" w:rsidRDefault="0085435B" w:rsidP="0085435B">
      <w:pPr>
        <w:pStyle w:val="SingleTxt"/>
        <w:rPr>
          <w:rFonts w:hint="eastAsia"/>
        </w:rPr>
      </w:pPr>
      <w:r>
        <w:rPr>
          <w:rFonts w:hint="eastAsia"/>
        </w:rPr>
        <w:t>174.  多米尼加共和国制造业部门在过去十年失去的工作尤其伤害到妇女。该部门促使就业率从2000年的17.1%下降到2009年的10.6%。</w:t>
      </w:r>
    </w:p>
    <w:p w:rsidR="0085435B" w:rsidRDefault="0085435B" w:rsidP="0085435B">
      <w:pPr>
        <w:pStyle w:val="SingleTxt"/>
        <w:rPr>
          <w:rFonts w:hint="eastAsia"/>
        </w:rPr>
      </w:pPr>
      <w:r>
        <w:rPr>
          <w:rFonts w:hint="eastAsia"/>
        </w:rPr>
        <w:t>175.  工资差距。虽然正趋于缩小，但工资差距仍不利于妇女。2009年，妇女的实际平均月收入比男子低27.5%，而2000年的差距是33%。时薪较低和每周工作时间较短是造成差异的原因。按每小时的实际月收入来计算，这一差距减小到11.8%。另一方面，对于大学和中学女毕业生来说，这一差距仍较大(分别为28.9%和28.6%)。</w:t>
      </w:r>
    </w:p>
    <w:p w:rsidR="0085435B" w:rsidRDefault="0085435B" w:rsidP="0085435B">
      <w:pPr>
        <w:pStyle w:val="SingleTxt"/>
        <w:rPr>
          <w:rFonts w:hint="eastAsia"/>
        </w:rPr>
      </w:pPr>
      <w:r>
        <w:rPr>
          <w:rFonts w:hint="eastAsia"/>
        </w:rPr>
        <w:t>176.  以下的计划、方案和行动值得一提：</w:t>
      </w:r>
    </w:p>
    <w:p w:rsidR="0085435B" w:rsidRDefault="0085435B" w:rsidP="0085435B">
      <w:pPr>
        <w:pStyle w:val="SingleTxt"/>
        <w:rPr>
          <w:rFonts w:hint="eastAsia"/>
        </w:rPr>
      </w:pPr>
      <w:r>
        <w:rPr>
          <w:rFonts w:hint="eastAsia"/>
        </w:rPr>
        <w:tab/>
        <w:t>(a)</w:t>
      </w:r>
      <w:r>
        <w:rPr>
          <w:rFonts w:hint="eastAsia"/>
        </w:rPr>
        <w:tab/>
        <w:t>《2007-2017年国家性别平等和公平计划》优先考虑将提高妇女经济地位和减少妇女贫困列为国家主题；</w:t>
      </w:r>
    </w:p>
    <w:p w:rsidR="0085435B" w:rsidRDefault="0085435B" w:rsidP="0085435B">
      <w:pPr>
        <w:pStyle w:val="SingleTxt"/>
        <w:rPr>
          <w:rFonts w:hint="eastAsia"/>
        </w:rPr>
      </w:pPr>
      <w:r>
        <w:rPr>
          <w:rFonts w:hint="eastAsia"/>
        </w:rPr>
        <w:tab/>
        <w:t>(b)</w:t>
      </w:r>
      <w:r>
        <w:rPr>
          <w:rFonts w:hint="eastAsia"/>
        </w:rPr>
        <w:tab/>
        <w:t>《2006-2016年多米尼加共和国消除最恶劣形式的童工国家战略计划》和《2010-2012年多米尼加共和国消除最恶劣形式的童工路线图》；</w:t>
      </w:r>
    </w:p>
    <w:p w:rsidR="0085435B" w:rsidRDefault="0085435B" w:rsidP="0085435B">
      <w:pPr>
        <w:pStyle w:val="SingleTxt"/>
        <w:rPr>
          <w:rFonts w:hint="eastAsia"/>
        </w:rPr>
      </w:pPr>
      <w:r>
        <w:rPr>
          <w:rFonts w:hint="eastAsia"/>
        </w:rPr>
        <w:tab/>
        <w:t>(c)</w:t>
      </w:r>
      <w:r>
        <w:rPr>
          <w:rFonts w:hint="eastAsia"/>
        </w:rPr>
        <w:tab/>
        <w:t>《多米尼加消除对男童、女童和青少年进行虐待和商业性剥削的行动计划》；</w:t>
      </w:r>
    </w:p>
    <w:p w:rsidR="0085435B" w:rsidRDefault="0085435B" w:rsidP="0085435B">
      <w:pPr>
        <w:pStyle w:val="SingleTxt"/>
        <w:rPr>
          <w:rFonts w:hint="eastAsia"/>
        </w:rPr>
      </w:pPr>
      <w:r>
        <w:rPr>
          <w:rFonts w:hint="eastAsia"/>
        </w:rPr>
        <w:tab/>
        <w:t>(d)</w:t>
      </w:r>
      <w:r>
        <w:rPr>
          <w:rFonts w:hint="eastAsia"/>
        </w:rPr>
        <w:tab/>
        <w:t>劳工部与劳工组织协调发起的“给女童一个机会：取缔童工”的运动；</w:t>
      </w:r>
    </w:p>
    <w:p w:rsidR="0085435B" w:rsidRDefault="0085435B" w:rsidP="0085435B">
      <w:pPr>
        <w:pStyle w:val="SingleTxt"/>
        <w:rPr>
          <w:rFonts w:hint="eastAsia"/>
        </w:rPr>
      </w:pPr>
      <w:r>
        <w:rPr>
          <w:rFonts w:hint="eastAsia"/>
        </w:rPr>
        <w:tab/>
        <w:t>(e)</w:t>
      </w:r>
      <w:r>
        <w:rPr>
          <w:rFonts w:hint="eastAsia"/>
        </w:rPr>
        <w:tab/>
        <w:t>《青年与就业方案》：旨在培养年轻人从事生产部门所需的工作，以增加找到工作的机会。年轻人在机会均等的基础上参加该方案。到2009年，约有37</w:t>
      </w:r>
      <w:r>
        <w:t xml:space="preserve"> </w:t>
      </w:r>
      <w:r>
        <w:rPr>
          <w:rFonts w:hint="eastAsia"/>
        </w:rPr>
        <w:t>500名青年接受该方案的培训；</w:t>
      </w:r>
    </w:p>
    <w:p w:rsidR="0085435B" w:rsidRDefault="0085435B" w:rsidP="0085435B">
      <w:pPr>
        <w:pStyle w:val="SingleTxt"/>
        <w:rPr>
          <w:rFonts w:hint="eastAsia"/>
        </w:rPr>
      </w:pPr>
      <w:r>
        <w:tab/>
      </w:r>
      <w:r>
        <w:rPr>
          <w:rFonts w:hint="eastAsia"/>
        </w:rPr>
        <w:t>(f)</w:t>
      </w:r>
      <w:r>
        <w:tab/>
      </w:r>
      <w:r>
        <w:rPr>
          <w:rFonts w:hint="eastAsia"/>
        </w:rPr>
        <w:t>《圣地亚哥省创造就业机会两性平等行动计划》：劳工部开办这一计划应对自由贸易部门失业对妇女失业的影响。</w:t>
      </w:r>
    </w:p>
    <w:p w:rsidR="0085435B" w:rsidRDefault="0085435B" w:rsidP="008543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L.</w:t>
      </w:r>
      <w:r>
        <w:tab/>
      </w:r>
      <w:r>
        <w:rPr>
          <w:rFonts w:hint="eastAsia"/>
        </w:rPr>
        <w:t>第</w:t>
      </w:r>
      <w:r w:rsidR="0045173D">
        <w:rPr>
          <w:rFonts w:hint="eastAsia"/>
        </w:rPr>
        <w:t>12</w:t>
      </w:r>
      <w:r>
        <w:rPr>
          <w:rFonts w:hint="eastAsia"/>
        </w:rPr>
        <w:t>条.</w:t>
      </w:r>
      <w:r w:rsidR="0045173D">
        <w:rPr>
          <w:rFonts w:hint="eastAsia"/>
        </w:rPr>
        <w:t xml:space="preserve"> </w:t>
      </w:r>
      <w:r>
        <w:rPr>
          <w:rFonts w:hint="eastAsia"/>
        </w:rPr>
        <w:t xml:space="preserve">平等获得保健服务 </w:t>
      </w:r>
    </w:p>
    <w:p w:rsidR="0085435B" w:rsidRPr="006B3078" w:rsidRDefault="0085435B" w:rsidP="0085435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r>
        <w:tab/>
      </w:r>
    </w:p>
    <w:p w:rsidR="0085435B" w:rsidRDefault="0085435B" w:rsidP="0085435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1.</w:t>
      </w:r>
      <w:r>
        <w:tab/>
      </w:r>
      <w:r>
        <w:rPr>
          <w:rFonts w:hint="eastAsia"/>
        </w:rPr>
        <w:t>实施的计划和方案</w:t>
      </w:r>
    </w:p>
    <w:p w:rsidR="0085435B" w:rsidRPr="0085435B" w:rsidRDefault="0085435B" w:rsidP="0085435B">
      <w:pPr>
        <w:pStyle w:val="SingleTxt"/>
        <w:spacing w:after="0" w:line="120" w:lineRule="exact"/>
        <w:ind w:right="0"/>
        <w:rPr>
          <w:rFonts w:hint="eastAsia"/>
          <w:sz w:val="10"/>
        </w:rPr>
      </w:pPr>
    </w:p>
    <w:p w:rsidR="0085435B" w:rsidRDefault="0085435B" w:rsidP="0085435B">
      <w:pPr>
        <w:pStyle w:val="SingleTxt"/>
        <w:rPr>
          <w:rFonts w:hint="eastAsia"/>
        </w:rPr>
      </w:pPr>
      <w:r>
        <w:rPr>
          <w:rFonts w:hint="eastAsia"/>
        </w:rPr>
        <w:t>177.  《2006-2016年十年卫生计划》综合卫生部门的中期国家政策，并包括性别观点作为跨部门的主题。</w:t>
      </w:r>
    </w:p>
    <w:p w:rsidR="0085435B" w:rsidRDefault="0085435B" w:rsidP="0085435B">
      <w:pPr>
        <w:pStyle w:val="SingleTxt"/>
        <w:rPr>
          <w:rFonts w:hint="eastAsia"/>
        </w:rPr>
      </w:pPr>
      <w:r>
        <w:rPr>
          <w:rFonts w:hint="eastAsia"/>
        </w:rPr>
        <w:t>178.  《2006-2016年十年卫生计划》的其中一个优先事项是降低孕产妇和儿童死亡率。</w:t>
      </w:r>
    </w:p>
    <w:p w:rsidR="0085435B" w:rsidRDefault="0085435B" w:rsidP="0085435B">
      <w:pPr>
        <w:pStyle w:val="SingleTxt"/>
        <w:rPr>
          <w:rFonts w:hint="eastAsia"/>
        </w:rPr>
      </w:pPr>
      <w:r>
        <w:rPr>
          <w:rFonts w:hint="eastAsia"/>
        </w:rPr>
        <w:t>179.  为降低孕产妇和儿童死亡率，已加强全国孕产妇/儿童/青少年卫生局，作为干预措施的主要合作伙伴，以便促进执行《国家降低孕产妇和儿童死亡率计划》。</w:t>
      </w:r>
    </w:p>
    <w:p w:rsidR="0085435B" w:rsidRDefault="0085435B" w:rsidP="0085435B">
      <w:pPr>
        <w:pStyle w:val="SingleTxt"/>
        <w:rPr>
          <w:rFonts w:hint="eastAsia"/>
        </w:rPr>
      </w:pPr>
      <w:r>
        <w:rPr>
          <w:rFonts w:hint="eastAsia"/>
        </w:rPr>
        <w:t>180.  继续推行妇女卫生保健政策，其中包括以下各段所列的方案。</w:t>
      </w:r>
    </w:p>
    <w:p w:rsidR="0085435B" w:rsidRDefault="0085435B" w:rsidP="0085435B">
      <w:pPr>
        <w:pStyle w:val="SingleTxt"/>
        <w:rPr>
          <w:rFonts w:hint="eastAsia"/>
        </w:rPr>
      </w:pPr>
      <w:r>
        <w:rPr>
          <w:rFonts w:hint="eastAsia"/>
        </w:rPr>
        <w:t>181.  监测孕产妇死亡率。2004年推出《国家降低孕产妇和儿童死亡率战略计划》。这涉及政府和民间社会组织与当地社区团体一起作出社会动员努力。2005年9月，公共卫生部呼吁多米尼加人民及其组织联手立即开展“零容忍”的全民运动，以解决以下优先考虑的卫生保健问题，如：</w:t>
      </w:r>
    </w:p>
    <w:p w:rsidR="0085435B" w:rsidRDefault="0085435B" w:rsidP="0085435B">
      <w:pPr>
        <w:pStyle w:val="SingleTxt"/>
        <w:rPr>
          <w:rFonts w:hint="eastAsia"/>
        </w:rPr>
      </w:pPr>
      <w:r>
        <w:tab/>
      </w:r>
      <w:r>
        <w:rPr>
          <w:rFonts w:hint="eastAsia"/>
        </w:rPr>
        <w:t>(a)</w:t>
      </w:r>
      <w:r>
        <w:tab/>
      </w:r>
      <w:r>
        <w:rPr>
          <w:rFonts w:hint="eastAsia"/>
        </w:rPr>
        <w:t>可预防的孕产妇死亡率和五岁以下儿童死亡率；</w:t>
      </w:r>
    </w:p>
    <w:p w:rsidR="0085435B" w:rsidRDefault="0085435B" w:rsidP="0085435B">
      <w:pPr>
        <w:pStyle w:val="SingleTxt"/>
        <w:rPr>
          <w:rFonts w:hint="eastAsia"/>
        </w:rPr>
      </w:pPr>
      <w:r>
        <w:tab/>
      </w:r>
      <w:r>
        <w:rPr>
          <w:rFonts w:hint="eastAsia"/>
        </w:rPr>
        <w:t>(b)</w:t>
      </w:r>
      <w:r>
        <w:tab/>
      </w:r>
      <w:r>
        <w:rPr>
          <w:rFonts w:hint="eastAsia"/>
        </w:rPr>
        <w:t>通过国家疫苗接种计划可以预防疾病和死亡；</w:t>
      </w:r>
    </w:p>
    <w:p w:rsidR="0085435B" w:rsidRDefault="0085435B" w:rsidP="0085435B">
      <w:pPr>
        <w:pStyle w:val="SingleTxt"/>
        <w:rPr>
          <w:rFonts w:hint="eastAsia"/>
        </w:rPr>
      </w:pPr>
      <w:r>
        <w:tab/>
      </w:r>
      <w:r>
        <w:rPr>
          <w:rFonts w:hint="eastAsia"/>
        </w:rPr>
        <w:t>(c)</w:t>
      </w:r>
      <w:r>
        <w:tab/>
      </w:r>
      <w:r>
        <w:rPr>
          <w:rFonts w:hint="eastAsia"/>
        </w:rPr>
        <w:t>预防母婴垂直传播艾滋病毒/艾滋病；</w:t>
      </w:r>
    </w:p>
    <w:p w:rsidR="0085435B" w:rsidRDefault="0085435B" w:rsidP="0085435B">
      <w:pPr>
        <w:pStyle w:val="SingleTxt"/>
        <w:rPr>
          <w:rFonts w:hint="eastAsia"/>
        </w:rPr>
      </w:pPr>
      <w:r>
        <w:tab/>
      </w:r>
      <w:r>
        <w:rPr>
          <w:rFonts w:hint="eastAsia"/>
        </w:rPr>
        <w:t>(d)</w:t>
      </w:r>
      <w:r>
        <w:tab/>
      </w:r>
      <w:r>
        <w:rPr>
          <w:rFonts w:hint="eastAsia"/>
        </w:rPr>
        <w:t>死于登革热和疟疾造成的死亡。</w:t>
      </w:r>
    </w:p>
    <w:p w:rsidR="0085435B" w:rsidRDefault="0085435B" w:rsidP="0085435B">
      <w:pPr>
        <w:pStyle w:val="SingleTxt"/>
        <w:rPr>
          <w:rFonts w:hint="eastAsia"/>
        </w:rPr>
      </w:pPr>
      <w:r>
        <w:rPr>
          <w:rFonts w:hint="eastAsia"/>
        </w:rPr>
        <w:t>182.  多米尼加共和国现有32个住院孕产妇死亡监测委员会，每个省一个，设在每个省级医院内。</w:t>
      </w:r>
    </w:p>
    <w:p w:rsidR="0085435B" w:rsidRDefault="0085435B" w:rsidP="0085435B">
      <w:pPr>
        <w:pStyle w:val="SingleTxt"/>
        <w:rPr>
          <w:rFonts w:hint="eastAsia"/>
        </w:rPr>
      </w:pPr>
      <w:r>
        <w:rPr>
          <w:rFonts w:hint="eastAsia"/>
        </w:rPr>
        <w:t>183.  鉴于男童和女童的营养状况与其发病率和死亡率密切相关，2006年的计划包括一个人体测量模块，以便按照国际标准，使用精密仪器监测儿童的体重。然而，多米尼加共和国3岁以下儿童的发育迟缓率(低于年龄标准身高)只占6%，是该区域发育迟缓率最低的国家之一，因为该国在系统地降低营养不良率。</w:t>
      </w:r>
    </w:p>
    <w:p w:rsidR="0085435B" w:rsidRDefault="0085435B" w:rsidP="0085435B">
      <w:pPr>
        <w:pStyle w:val="SingleTxt"/>
        <w:rPr>
          <w:rFonts w:hint="eastAsia"/>
        </w:rPr>
      </w:pPr>
      <w:r>
        <w:rPr>
          <w:rFonts w:hint="eastAsia"/>
        </w:rPr>
        <w:t>184.  此外，正与全国母乳喂养委员会合作，积极努力促进通过关于鼓励和宣传母乳喂养的《第8-95号法》。在这方面，妇女事务部成为母亲母乳喂养婴儿权利的提倡者。</w:t>
      </w:r>
    </w:p>
    <w:p w:rsidR="0085435B" w:rsidRDefault="0085435B" w:rsidP="0085435B">
      <w:pPr>
        <w:pStyle w:val="SingleTxt"/>
        <w:rPr>
          <w:rFonts w:hint="eastAsia"/>
        </w:rPr>
      </w:pPr>
      <w:r>
        <w:rPr>
          <w:rFonts w:hint="eastAsia"/>
        </w:rPr>
        <w:t>185.  早期发现子宫颈癌、子宫癌和乳腺癌。这是一个全国性的方案，主要是使用子宫颈抹片对分娩和绝经年龄妇女进行检查，该国100%的公共卫生保健设施都可进行这种检查。</w:t>
      </w:r>
    </w:p>
    <w:p w:rsidR="0085435B" w:rsidRDefault="0085435B" w:rsidP="0085435B">
      <w:pPr>
        <w:pStyle w:val="SingleTxt"/>
        <w:rPr>
          <w:rFonts w:hint="eastAsia"/>
        </w:rPr>
      </w:pPr>
      <w:r>
        <w:rPr>
          <w:rFonts w:hint="eastAsia"/>
        </w:rPr>
        <w:t>186.  自2004年以来，通过广泛开展有关早期护理和发现的宣传和传播活动，包括乳房自我检查、乳房X光检查和定期体检，推广预防乳腺癌；这些活动通过第一夫人办公室赞助的节目“现在是最好时机”播出，产生了广泛的影响。</w:t>
      </w:r>
    </w:p>
    <w:p w:rsidR="0085435B" w:rsidRDefault="0085435B" w:rsidP="0085435B">
      <w:pPr>
        <w:pStyle w:val="SingleTxt"/>
        <w:rPr>
          <w:rFonts w:hint="eastAsia"/>
        </w:rPr>
      </w:pPr>
      <w:r>
        <w:rPr>
          <w:rFonts w:hint="eastAsia"/>
        </w:rPr>
        <w:t>187.  青少年全面卫生保健。《国家青少年卫生保健方案》是最有效的高质量方案之一。青少年专门卫生保健服务机构的数目从2004年仅有的30个增加到目前共有104个。97%的省级公共卫生办公室设有这种机构。这些服务机构主要开展预防工作(包括提供避孕药具)和为青少年拟订培训内容，青少年是社区宣传预防工作的积极分子。</w:t>
      </w:r>
    </w:p>
    <w:p w:rsidR="0085435B" w:rsidRDefault="0085435B" w:rsidP="0085435B">
      <w:pPr>
        <w:pStyle w:val="SingleTxt"/>
        <w:rPr>
          <w:rFonts w:hint="eastAsia"/>
        </w:rPr>
      </w:pPr>
      <w:r>
        <w:rPr>
          <w:rFonts w:hint="eastAsia"/>
        </w:rPr>
        <w:t>188.  低收入青少年怀孕的预防和护理方案。2005年，这已成为一个常设的跨部门和跨机构方案，被称为“妇女、青年与健康”，旨在协助所有100%的青少年男女。该方案由妇女事务部与第一夫人办公室和卫生部合作协调。目前的少女怀孕率为20%。</w:t>
      </w:r>
    </w:p>
    <w:p w:rsidR="0085435B" w:rsidRDefault="0085435B" w:rsidP="0085435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2.</w:t>
      </w:r>
      <w:r>
        <w:rPr>
          <w:rFonts w:hint="eastAsia"/>
        </w:rPr>
        <w:tab/>
        <w:t>基本健康指标</w:t>
      </w:r>
    </w:p>
    <w:p w:rsidR="0085435B" w:rsidRPr="0085435B" w:rsidRDefault="0085435B" w:rsidP="0085435B">
      <w:pPr>
        <w:pStyle w:val="SingleTxt"/>
        <w:spacing w:after="0" w:line="120" w:lineRule="exact"/>
        <w:ind w:right="0"/>
        <w:rPr>
          <w:rFonts w:hint="eastAsia"/>
          <w:sz w:val="10"/>
        </w:rPr>
      </w:pPr>
    </w:p>
    <w:p w:rsidR="0085435B" w:rsidRDefault="0085435B" w:rsidP="0085435B">
      <w:pPr>
        <w:pStyle w:val="SingleTxt"/>
        <w:rPr>
          <w:rFonts w:hint="eastAsia"/>
        </w:rPr>
      </w:pPr>
      <w:r>
        <w:rPr>
          <w:rFonts w:hint="eastAsia"/>
        </w:rPr>
        <w:t>189.</w:t>
      </w:r>
      <w:r>
        <w:t xml:space="preserve">  </w:t>
      </w:r>
      <w:r>
        <w:rPr>
          <w:rFonts w:hint="eastAsia"/>
        </w:rPr>
        <w:t>生育率。2007年生育率统计数据显示，过去五年每名妇女生育率下降超过0.5，目前总和生育率为2.4。城乡地区都有类似下降趋势，2005年至2008年的生育率分别为2.3和2.8。</w:t>
      </w:r>
    </w:p>
    <w:p w:rsidR="0085435B" w:rsidRDefault="0085435B" w:rsidP="0085435B">
      <w:pPr>
        <w:pStyle w:val="SingleTxt"/>
        <w:rPr>
          <w:rFonts w:hint="eastAsia"/>
        </w:rPr>
      </w:pPr>
      <w:r>
        <w:rPr>
          <w:rFonts w:hint="eastAsia"/>
        </w:rPr>
        <w:t>190.</w:t>
      </w:r>
      <w:r>
        <w:t xml:space="preserve">  </w:t>
      </w:r>
      <w:r>
        <w:rPr>
          <w:rFonts w:hint="eastAsia"/>
        </w:rPr>
        <w:t>出生时预期寿命。2005-2010年期间，妇女出生时预期寿命超过男性，平均达到75.5年，男性为69.2年。预测还显示，在各五年期间，男女平均寿命都有增长。</w:t>
      </w:r>
      <w:r w:rsidRPr="00F16FB0">
        <w:rPr>
          <w:rStyle w:val="FootnoteReference"/>
        </w:rPr>
        <w:footnoteReference w:id="13"/>
      </w:r>
    </w:p>
    <w:p w:rsidR="0085435B" w:rsidRDefault="0085435B" w:rsidP="0085435B">
      <w:pPr>
        <w:pStyle w:val="SingleTxt"/>
        <w:rPr>
          <w:rFonts w:hint="eastAsia"/>
        </w:rPr>
      </w:pPr>
      <w:r>
        <w:rPr>
          <w:rFonts w:hint="eastAsia"/>
        </w:rPr>
        <w:t>191.</w:t>
      </w:r>
      <w:r>
        <w:t xml:space="preserve">  </w:t>
      </w:r>
      <w:r>
        <w:rPr>
          <w:rFonts w:hint="eastAsia"/>
        </w:rPr>
        <w:t>儿童死亡率。未满一岁儿童死亡率已逐渐下降，2005-2010年期间，降至每1 000名活产婴儿死亡29.6名，性别差异显著：每1 000名活产女婴死亡25.3名，每1 000名活产男婴死亡33.7名。</w:t>
      </w:r>
      <w:r w:rsidRPr="00F16FB0">
        <w:rPr>
          <w:rStyle w:val="FootnoteReference"/>
        </w:rPr>
        <w:footnoteReference w:id="14"/>
      </w:r>
      <w:r>
        <w:rPr>
          <w:rFonts w:hint="eastAsia"/>
        </w:rPr>
        <w:t xml:space="preserve"> 2007年人口与健康调查(人口与健康调查 2007)得出的儿童死亡率为每1 000名活产婴儿死亡约32名，高于拉丁美洲和加勒比人口中心(拉美人口中心)的预计。新生儿部分受影响最大，占约65%的婴儿死亡。</w:t>
      </w:r>
    </w:p>
    <w:p w:rsidR="0085435B" w:rsidRDefault="0085435B" w:rsidP="0085435B">
      <w:pPr>
        <w:pStyle w:val="SingleTxt"/>
        <w:rPr>
          <w:rFonts w:hint="eastAsia"/>
        </w:rPr>
      </w:pPr>
      <w:r>
        <w:rPr>
          <w:rFonts w:hint="eastAsia"/>
        </w:rPr>
        <w:t>192.</w:t>
      </w:r>
      <w:r>
        <w:t xml:space="preserve">  </w:t>
      </w:r>
      <w:r>
        <w:rPr>
          <w:rFonts w:hint="eastAsia"/>
        </w:rPr>
        <w:t>孕产妇死亡率：估计2007年，每10万活产婴儿中159人死亡。</w:t>
      </w:r>
      <w:r w:rsidRPr="00F16FB0">
        <w:rPr>
          <w:rStyle w:val="FootnoteReference"/>
        </w:rPr>
        <w:footnoteReference w:id="15"/>
      </w:r>
      <w:r>
        <w:rPr>
          <w:rFonts w:hint="eastAsia"/>
        </w:rPr>
        <w:t xml:space="preserve"> 流行病学署(DIGEPI)的报告指出，2008年，孕产妇死亡率为每10万活产少于100人死亡。孕产妇死亡的主要原因是产科疾病(毒血症、出血、流产和产后并发症)。</w:t>
      </w:r>
    </w:p>
    <w:p w:rsidR="0085435B" w:rsidRDefault="0085435B" w:rsidP="0085435B">
      <w:pPr>
        <w:pStyle w:val="SingleTxt"/>
        <w:rPr>
          <w:rFonts w:hint="eastAsia"/>
        </w:rPr>
      </w:pPr>
      <w:r>
        <w:rPr>
          <w:rFonts w:hint="eastAsia"/>
        </w:rPr>
        <w:t>193.　怀孕、分娩和产后期间的护理。2002至2007年之间，怀孕和分娩期间的专业护理有所改善，接近100%；这一指标令人鼓舞，因为这将减少由于缺乏熟练护理而造成的孕产妇死亡事件。受过专业训练的人员参加了98%的分娩，各居住区域略有差异(市区为99%，农村为97%)。产前检查呈相同趋势，市区近100%，农村近99%的分娩得到了专业人士提供的护理。</w:t>
      </w:r>
    </w:p>
    <w:p w:rsidR="0085435B" w:rsidRDefault="0085435B" w:rsidP="0085435B">
      <w:pPr>
        <w:pStyle w:val="SingleTxt"/>
        <w:rPr>
          <w:rFonts w:hint="eastAsia"/>
        </w:rPr>
      </w:pPr>
      <w:r>
        <w:rPr>
          <w:rFonts w:hint="eastAsia"/>
        </w:rPr>
        <w:t>194.　成人死亡率。2007年人口与健康调查指出，15-49岁人口的死亡率为男性3</w:t>
      </w:r>
      <w:r>
        <w:t>:</w:t>
      </w:r>
      <w:r>
        <w:rPr>
          <w:rFonts w:hint="eastAsia"/>
        </w:rPr>
        <w:t>1 000，妇女为2</w:t>
      </w:r>
      <w:r>
        <w:t>:</w:t>
      </w:r>
      <w:r>
        <w:rPr>
          <w:rFonts w:hint="eastAsia"/>
        </w:rPr>
        <w:t>1 000。主要死因按性别和患病率列举如下：(a)</w:t>
      </w:r>
      <w:r>
        <w:t xml:space="preserve"> </w:t>
      </w:r>
      <w:r>
        <w:rPr>
          <w:rFonts w:hint="eastAsia"/>
        </w:rPr>
        <w:t>女性死因：循环系统疾病(34%)、其他疾病(23%)、恶性肿瘤(16%)、传染病(12%)、围产期(8%)和外部起因(7%)；</w:t>
      </w:r>
      <w:r>
        <w:rPr>
          <w:rFonts w:hAnsi="SimSun" w:hint="eastAsia"/>
        </w:rPr>
        <w:t>㈡</w:t>
      </w:r>
      <w:r>
        <w:rPr>
          <w:rFonts w:hAnsi="SimSun"/>
        </w:rPr>
        <w:t xml:space="preserve"> </w:t>
      </w:r>
      <w:r>
        <w:rPr>
          <w:rFonts w:hint="eastAsia"/>
        </w:rPr>
        <w:t>男性死因：循环系统疾病(27%)、其他疾病(25%)、外因(17%)、传染病(16%)、恶性肿瘤(9%)和围产期起因(5%)。</w:t>
      </w:r>
    </w:p>
    <w:p w:rsidR="0085435B" w:rsidRDefault="0085435B" w:rsidP="0085435B">
      <w:pPr>
        <w:pStyle w:val="SingleTxt"/>
        <w:rPr>
          <w:rFonts w:hint="eastAsia"/>
        </w:rPr>
      </w:pPr>
      <w:r>
        <w:rPr>
          <w:rFonts w:hint="eastAsia"/>
        </w:rPr>
        <w:t>195.</w:t>
      </w:r>
      <w:r>
        <w:t xml:space="preserve">  </w:t>
      </w:r>
      <w:r>
        <w:rPr>
          <w:rFonts w:hint="eastAsia"/>
        </w:rPr>
        <w:t>避孕药具使用。自2002年以来，获得避孕信息和方法的渠道已大大增加。100%的人口至少知道一种现代避孕方法，而在2007年，仅82%至少知道一种传统方法。至于避孕方法获得渠道，多米尼加共和国11%的避孕需求未得到满足。公共部门提供80%的注射、67%的植入及8%的手术绝育。私营部门提供58%的避孕药和56%的避孕套。</w:t>
      </w:r>
      <w:r w:rsidRPr="00F16FB0">
        <w:rPr>
          <w:rStyle w:val="FootnoteReference"/>
        </w:rPr>
        <w:footnoteReference w:id="16"/>
      </w:r>
    </w:p>
    <w:p w:rsidR="0085435B" w:rsidRDefault="0085435B" w:rsidP="0085435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3.</w:t>
      </w:r>
      <w:r>
        <w:rPr>
          <w:rFonts w:hint="eastAsia"/>
        </w:rPr>
        <w:tab/>
        <w:t>妇女的其他重要健康指标</w:t>
      </w:r>
    </w:p>
    <w:p w:rsidR="0085435B" w:rsidRPr="0085435B" w:rsidRDefault="0085435B" w:rsidP="0085435B">
      <w:pPr>
        <w:pStyle w:val="SingleTxt"/>
        <w:spacing w:after="0" w:line="120" w:lineRule="exact"/>
        <w:ind w:right="0"/>
        <w:rPr>
          <w:rFonts w:hint="eastAsia"/>
          <w:sz w:val="10"/>
        </w:rPr>
      </w:pPr>
    </w:p>
    <w:p w:rsidR="0085435B" w:rsidRDefault="0085435B" w:rsidP="0085435B">
      <w:pPr>
        <w:pStyle w:val="SingleTxt"/>
        <w:rPr>
          <w:rFonts w:hint="eastAsia"/>
        </w:rPr>
      </w:pPr>
      <w:r>
        <w:rPr>
          <w:rFonts w:hint="eastAsia"/>
        </w:rPr>
        <w:t>196.</w:t>
      </w:r>
      <w:r>
        <w:t xml:space="preserve">  </w:t>
      </w:r>
      <w:r>
        <w:rPr>
          <w:rFonts w:hint="eastAsia"/>
        </w:rPr>
        <w:t>艾滋病毒和艾滋病。2007年人口与健康调查显示，0.8%的人口感染了艾滋病毒，而2008年联合国人口基金进行的一项研究指出，患病率为1.25%。</w:t>
      </w:r>
    </w:p>
    <w:p w:rsidR="0085435B" w:rsidRDefault="0085435B" w:rsidP="0085435B">
      <w:pPr>
        <w:pStyle w:val="SingleTxt"/>
        <w:rPr>
          <w:rFonts w:hint="eastAsia"/>
        </w:rPr>
      </w:pPr>
      <w:r>
        <w:rPr>
          <w:rFonts w:hint="eastAsia"/>
        </w:rPr>
        <w:t>197.</w:t>
      </w:r>
      <w:r>
        <w:t xml:space="preserve">  </w:t>
      </w:r>
      <w:r>
        <w:rPr>
          <w:rFonts w:hint="eastAsia"/>
        </w:rPr>
        <w:t>总统艾滋病局(COPRESIDA)以及性病和艾滋病规划署(DIGETCISS)负责在政府层面制定艾滋病毒/艾滋病方案。减少艾滋病毒/艾滋病垂直传播全国方案(PNRTV)和艾滋病毒/艾滋病综合性医疗单位向艾滋病病毒感染者免费提供抗逆转录病毒药物。</w:t>
      </w:r>
    </w:p>
    <w:p w:rsidR="0085435B" w:rsidRDefault="0085435B" w:rsidP="0085435B">
      <w:pPr>
        <w:pStyle w:val="SingleTxt"/>
        <w:rPr>
          <w:rFonts w:hint="eastAsia"/>
        </w:rPr>
      </w:pPr>
      <w:r>
        <w:rPr>
          <w:rFonts w:hint="eastAsia"/>
        </w:rPr>
        <w:t>198.</w:t>
      </w:r>
      <w:r>
        <w:t xml:space="preserve">  </w:t>
      </w:r>
      <w:r>
        <w:rPr>
          <w:rFonts w:hint="eastAsia"/>
        </w:rPr>
        <w:t>非政府组织开展重要项目作为民间社会倡议，找到与公共政策的共同点，以补充上述努力。</w:t>
      </w:r>
    </w:p>
    <w:p w:rsidR="0085435B" w:rsidRDefault="0085435B" w:rsidP="0085435B">
      <w:pPr>
        <w:pStyle w:val="SingleTxt"/>
        <w:rPr>
          <w:rFonts w:hint="eastAsia"/>
        </w:rPr>
      </w:pPr>
      <w:r>
        <w:rPr>
          <w:rFonts w:hint="eastAsia"/>
        </w:rPr>
        <w:t>199.</w:t>
      </w:r>
      <w:r>
        <w:t xml:space="preserve">  </w:t>
      </w:r>
      <w:r>
        <w:rPr>
          <w:rFonts w:hint="eastAsia"/>
        </w:rPr>
        <w:t>第一次绝育、初婚和第一次性交的年龄中位数：人口与健康调查指出，2002至2007年，绝育妇女的年龄中位数几乎不变——2002年为27.7岁，2007年为27.6岁。在接受绝育手术的妇女中，65%的妇女不足30岁。25-59岁男子第一次性交的平均年龄几乎保持不变(2007年为16.6岁)，妇女这一数字仍为18岁。</w:t>
      </w:r>
    </w:p>
    <w:p w:rsidR="0085435B" w:rsidRDefault="0085435B" w:rsidP="0085435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M.</w:t>
      </w:r>
      <w:r>
        <w:rPr>
          <w:rFonts w:hint="eastAsia"/>
        </w:rPr>
        <w:tab/>
        <w:t>第13条</w:t>
      </w:r>
      <w:r w:rsidR="0045173D">
        <w:rPr>
          <w:rFonts w:hint="eastAsia"/>
        </w:rPr>
        <w:t xml:space="preserve">. </w:t>
      </w:r>
      <w:r>
        <w:rPr>
          <w:rFonts w:hint="eastAsia"/>
        </w:rPr>
        <w:t>经济和社会安全方面的平等权利</w:t>
      </w:r>
    </w:p>
    <w:p w:rsidR="0085435B" w:rsidRPr="0085435B" w:rsidRDefault="0085435B" w:rsidP="0085435B">
      <w:pPr>
        <w:pStyle w:val="SingleTxt"/>
        <w:spacing w:after="0" w:line="120" w:lineRule="exact"/>
        <w:ind w:right="0"/>
        <w:rPr>
          <w:rFonts w:hint="eastAsia"/>
          <w:sz w:val="10"/>
        </w:rPr>
      </w:pPr>
    </w:p>
    <w:p w:rsidR="0085435B" w:rsidRDefault="0085435B" w:rsidP="0085435B">
      <w:pPr>
        <w:pStyle w:val="SingleTxt"/>
        <w:rPr>
          <w:rFonts w:hint="eastAsia"/>
        </w:rPr>
      </w:pPr>
      <w:r>
        <w:rPr>
          <w:rFonts w:hint="eastAsia"/>
        </w:rPr>
        <w:t>200.　多米尼加国《宪法》以及通过的国际协定、公约和条约规定，妇女与男子平等享有经济权利。第62条规定了工作权利，具体如下：</w:t>
      </w:r>
    </w:p>
    <w:p w:rsidR="0085435B" w:rsidRDefault="0085435B" w:rsidP="0085435B">
      <w:pPr>
        <w:pStyle w:val="SingleTxt"/>
        <w:rPr>
          <w:rFonts w:hint="eastAsia"/>
        </w:rPr>
      </w:pPr>
      <w:r>
        <w:rPr>
          <w:rFonts w:hint="eastAsia"/>
        </w:rPr>
        <w:tab/>
        <w:t>“(1)</w:t>
      </w:r>
      <w:r>
        <w:rPr>
          <w:rFonts w:hint="eastAsia"/>
        </w:rPr>
        <w:tab/>
        <w:t>国家保障妇女和男子在行使工作权时受到平等、公正对待；</w:t>
      </w:r>
    </w:p>
    <w:p w:rsidR="0085435B" w:rsidRDefault="0085435B" w:rsidP="0085435B">
      <w:pPr>
        <w:pStyle w:val="SingleTxt"/>
        <w:rPr>
          <w:rFonts w:hint="eastAsia"/>
        </w:rPr>
      </w:pPr>
      <w:r>
        <w:tab/>
      </w:r>
      <w:r>
        <w:rPr>
          <w:rFonts w:hint="eastAsia"/>
        </w:rPr>
        <w:t>[……]</w:t>
      </w:r>
    </w:p>
    <w:p w:rsidR="0085435B" w:rsidRDefault="0085435B" w:rsidP="0085435B">
      <w:pPr>
        <w:pStyle w:val="SingleTxt"/>
        <w:rPr>
          <w:rFonts w:hint="eastAsia"/>
        </w:rPr>
      </w:pPr>
      <w:r>
        <w:rPr>
          <w:rFonts w:hint="eastAsia"/>
        </w:rPr>
        <w:tab/>
        <w:t>(3)</w:t>
      </w:r>
      <w:r>
        <w:rPr>
          <w:rFonts w:hint="eastAsia"/>
        </w:rPr>
        <w:tab/>
        <w:t xml:space="preserve">所有工人应享有下列基本权利，其中包括：有权加入工会、有权获得社会保障、进行集体谈判、职业培训、有权受到对其身体和智力能力的尊重，以及有权享有隐私和人类尊严； </w:t>
      </w:r>
    </w:p>
    <w:p w:rsidR="0085435B" w:rsidRDefault="0085435B" w:rsidP="0085435B">
      <w:pPr>
        <w:pStyle w:val="SingleTxt"/>
        <w:rPr>
          <w:rFonts w:hint="eastAsia"/>
        </w:rPr>
      </w:pPr>
      <w:r>
        <w:tab/>
      </w:r>
      <w:r>
        <w:rPr>
          <w:rFonts w:hint="eastAsia"/>
        </w:rPr>
        <w:t>[……]</w:t>
      </w:r>
    </w:p>
    <w:p w:rsidR="0085435B" w:rsidRDefault="0085435B" w:rsidP="0085435B">
      <w:pPr>
        <w:pStyle w:val="SingleTxt"/>
        <w:rPr>
          <w:rFonts w:hint="eastAsia"/>
        </w:rPr>
      </w:pPr>
      <w:r>
        <w:rPr>
          <w:rFonts w:hint="eastAsia"/>
        </w:rPr>
        <w:tab/>
        <w:t>(5)</w:t>
      </w:r>
      <w:r>
        <w:rPr>
          <w:rFonts w:hint="eastAsia"/>
        </w:rPr>
        <w:tab/>
      </w:r>
      <w:r w:rsidRPr="003D51CC">
        <w:rPr>
          <w:rFonts w:hint="eastAsia"/>
          <w:spacing w:val="-4"/>
        </w:rPr>
        <w:t>禁止聘用期间和之后在工作场所的歧视，为保护工人而依法规定的例外</w:t>
      </w:r>
      <w:r>
        <w:rPr>
          <w:rFonts w:hint="eastAsia"/>
        </w:rPr>
        <w:t>；</w:t>
      </w:r>
    </w:p>
    <w:p w:rsidR="0085435B" w:rsidRDefault="0085435B" w:rsidP="0085435B">
      <w:pPr>
        <w:pStyle w:val="SingleTxt"/>
        <w:rPr>
          <w:rFonts w:hint="eastAsia"/>
        </w:rPr>
      </w:pPr>
      <w:r>
        <w:tab/>
      </w:r>
      <w:r>
        <w:rPr>
          <w:rFonts w:hint="eastAsia"/>
        </w:rPr>
        <w:t>[……]</w:t>
      </w:r>
    </w:p>
    <w:p w:rsidR="0085435B" w:rsidRDefault="0085435B" w:rsidP="0085435B">
      <w:pPr>
        <w:pStyle w:val="SingleTxt"/>
        <w:rPr>
          <w:rFonts w:hint="eastAsia"/>
        </w:rPr>
      </w:pPr>
      <w:r>
        <w:rPr>
          <w:rFonts w:hint="eastAsia"/>
        </w:rPr>
        <w:tab/>
        <w:t>(9)</w:t>
      </w:r>
      <w:r>
        <w:rPr>
          <w:rFonts w:hint="eastAsia"/>
        </w:rPr>
        <w:tab/>
        <w:t>所有工人都有权获得公平、适当的工资，以便能够有尊严地生活，满足自己和家人的基本物质、社会和智力需求。每个工人都应当有同工同酬的权利，在能力、效率和资历平等的情况下，不因性别或任何其他原因而受到歧视[……]。</w:t>
      </w:r>
    </w:p>
    <w:p w:rsidR="0085435B" w:rsidRDefault="0085435B" w:rsidP="0085435B">
      <w:pPr>
        <w:pStyle w:val="SingleTxt"/>
        <w:rPr>
          <w:rFonts w:hint="eastAsia"/>
        </w:rPr>
      </w:pPr>
      <w:r>
        <w:rPr>
          <w:rFonts w:hint="eastAsia"/>
        </w:rPr>
        <w:t>201.　此外，第55条就家庭权利规定如下：“国家承认，家务是一种增加价值并产生财富和社会福利的经济活动，因此，公共和社会政策的编制和实施应考虑到家务因素”。</w:t>
      </w:r>
    </w:p>
    <w:p w:rsidR="0085435B" w:rsidRDefault="0085435B" w:rsidP="0085435B">
      <w:pPr>
        <w:pStyle w:val="SingleTxt"/>
        <w:rPr>
          <w:rFonts w:hint="eastAsia"/>
        </w:rPr>
      </w:pPr>
      <w:r>
        <w:rPr>
          <w:rFonts w:hint="eastAsia"/>
        </w:rPr>
        <w:t>202.　《宪法》还规定并保证所有人拥有财产的权利；《宪法》规定，将土地用于实用目的并逐渐淘汰大庄园符合公共利益；并将粮食安全定义为国家优先事项，将土地改革定义为国家社会政策的主要目标。《宪法》还声明知识产权，并确认消费者权利、家庭权利、保护未成年人、老年人和残疾人、住房权和社会保障权。</w:t>
      </w:r>
    </w:p>
    <w:p w:rsidR="0085435B" w:rsidRDefault="0085435B" w:rsidP="0085435B">
      <w:pPr>
        <w:pStyle w:val="SingleTxt"/>
        <w:rPr>
          <w:rFonts w:hint="eastAsia"/>
        </w:rPr>
      </w:pPr>
      <w:r>
        <w:rPr>
          <w:rFonts w:hint="eastAsia"/>
        </w:rPr>
        <w:t>203.　因此，2007-2017年全国性别平等和公平计划侧重于推动妇女行使所有公民、政治、社会、经济和文化权利，以下三个目标直接关系到这些权利：(a)</w:t>
      </w:r>
      <w:r>
        <w:t xml:space="preserve"> </w:t>
      </w:r>
      <w:r>
        <w:rPr>
          <w:rFonts w:hint="eastAsia"/>
        </w:rPr>
        <w:t>国家目标1，“要保证妇女权利和充分行使其公民权利”；(b)</w:t>
      </w:r>
      <w:r>
        <w:t xml:space="preserve"> </w:t>
      </w:r>
      <w:r>
        <w:rPr>
          <w:rFonts w:hint="eastAsia"/>
        </w:rPr>
        <w:t>国家目标3，“要加强妇女经济能力和减少妇女贫困”；和(c)</w:t>
      </w:r>
      <w:r>
        <w:t xml:space="preserve"> </w:t>
      </w:r>
      <w:r>
        <w:rPr>
          <w:rFonts w:hint="eastAsia"/>
        </w:rPr>
        <w:t>国家目标5，“要增加妇女获得和掌握优质产品和服务的渠道”。</w:t>
      </w:r>
    </w:p>
    <w:p w:rsidR="0085435B" w:rsidRDefault="0085435B" w:rsidP="0085435B">
      <w:pPr>
        <w:pStyle w:val="SingleTxt"/>
        <w:rPr>
          <w:rFonts w:hint="eastAsia"/>
        </w:rPr>
      </w:pPr>
      <w:r>
        <w:rPr>
          <w:rFonts w:hint="eastAsia"/>
        </w:rPr>
        <w:t>204.</w:t>
      </w:r>
      <w:r>
        <w:t xml:space="preserve">  </w:t>
      </w:r>
      <w:r>
        <w:rPr>
          <w:rFonts w:hint="eastAsia"/>
        </w:rPr>
        <w:t>管理经济和社会福利的机制是2001年第87-01号法创建的多米尼加社会保障制度以及社会内阁，后者是一个政府跨部门机制，负责执行那些旨在促进赤贫者社会流动的政策。</w:t>
      </w:r>
    </w:p>
    <w:p w:rsidR="0085435B" w:rsidRDefault="0085435B" w:rsidP="0085435B">
      <w:pPr>
        <w:pStyle w:val="SingleTxt"/>
        <w:rPr>
          <w:rFonts w:hint="eastAsia"/>
        </w:rPr>
      </w:pPr>
      <w:r>
        <w:rPr>
          <w:rFonts w:hint="eastAsia"/>
        </w:rPr>
        <w:t>205.</w:t>
      </w:r>
      <w:r>
        <w:t xml:space="preserve">  </w:t>
      </w:r>
      <w:r>
        <w:rPr>
          <w:rFonts w:hint="eastAsia"/>
        </w:rPr>
        <w:t>多米尼加社会保障系统。该系统由三个保护子系统或制度组成：(a)</w:t>
      </w:r>
      <w:r>
        <w:t xml:space="preserve"> </w:t>
      </w:r>
      <w:r>
        <w:rPr>
          <w:rFonts w:hint="eastAsia"/>
        </w:rPr>
        <w:t>缴费制度，涵盖向系统缴款的工资劳动者；(b)</w:t>
      </w:r>
      <w:r>
        <w:t xml:space="preserve"> </w:t>
      </w:r>
      <w:r>
        <w:rPr>
          <w:rFonts w:hint="eastAsia"/>
        </w:rPr>
        <w:t>补贴制度，通过政府的直接补贴，涵盖低收入不在职人口；(c)</w:t>
      </w:r>
      <w:r>
        <w:t xml:space="preserve"> </w:t>
      </w:r>
      <w:r>
        <w:rPr>
          <w:rFonts w:hint="eastAsia"/>
        </w:rPr>
        <w:t>补贴缴费制度，涵盖非正规经济部门的没钱参加这一系统而需要政府支持的劳动者。</w:t>
      </w:r>
    </w:p>
    <w:p w:rsidR="0085435B" w:rsidRDefault="0085435B" w:rsidP="0085435B">
      <w:pPr>
        <w:pStyle w:val="SingleTxt"/>
        <w:rPr>
          <w:rFonts w:hint="eastAsia"/>
        </w:rPr>
      </w:pPr>
      <w:r>
        <w:rPr>
          <w:rFonts w:hint="eastAsia"/>
        </w:rPr>
        <w:t>206.</w:t>
      </w:r>
      <w:r>
        <w:t xml:space="preserve">  </w:t>
      </w:r>
      <w:r>
        <w:rPr>
          <w:rFonts w:hint="eastAsia"/>
        </w:rPr>
        <w:t>多米尼加社会保障系统于2002年推出，先试点推行了补贴子系统；2004年，这一子系统的覆盖面开始逐步扩大，2007年，成立了缴费制度。参加社会保障的多米尼加人口从2002年的21%增至2009年的39.8%。这一上升趋势主要惠益了妇女，2002年妇女参保百分比低于男性(20%对22%)；2009年，妇女参保百分比升至39.8%，而男子升至38.5%。</w:t>
      </w:r>
      <w:r w:rsidRPr="00F16FB0">
        <w:rPr>
          <w:rStyle w:val="FootnoteReference"/>
        </w:rPr>
        <w:footnoteReference w:id="17"/>
      </w:r>
    </w:p>
    <w:p w:rsidR="0085435B" w:rsidRDefault="0085435B" w:rsidP="0085435B">
      <w:pPr>
        <w:pStyle w:val="SingleTxt"/>
        <w:rPr>
          <w:rFonts w:hint="eastAsia"/>
        </w:rPr>
      </w:pPr>
      <w:r>
        <w:rPr>
          <w:rFonts w:hint="eastAsia"/>
        </w:rPr>
        <w:t>207.</w:t>
      </w:r>
      <w:r>
        <w:t xml:space="preserve">  </w:t>
      </w:r>
      <w:r>
        <w:rPr>
          <w:rFonts w:hint="eastAsia"/>
        </w:rPr>
        <w:t>医疗保险制度。根据2009年社会保障局的报告，男性和女性参保人数呈稳步上升趋势。2006年底，家属占总参保人数的份额为54.1%，2009年6月，为61.2%，2008年家属率为1.5(每名参保者带1.5名家属)。这一趋势造福了妇女，其参与缴费和补贴制度的份额已经慢慢增加；按性别区分，前者从2007年的49.5%升至2009年的51.5%，而后者于2009年升至56.7%。</w:t>
      </w:r>
      <w:r w:rsidRPr="00F16FB0">
        <w:rPr>
          <w:rStyle w:val="FootnoteReference"/>
        </w:rPr>
        <w:footnoteReference w:id="18"/>
      </w:r>
      <w:r>
        <w:rPr>
          <w:rFonts w:hint="eastAsia"/>
        </w:rPr>
        <w:t xml:space="preserve"> 从绝对数量来看，2009年共覆盖3 499 451人(1 800 508名妇女和1 698 943名男子)。</w:t>
      </w:r>
    </w:p>
    <w:p w:rsidR="0085435B" w:rsidRDefault="0085435B" w:rsidP="0085435B">
      <w:pPr>
        <w:pStyle w:val="SingleTxt"/>
      </w:pPr>
      <w:r>
        <w:rPr>
          <w:rFonts w:hint="eastAsia"/>
        </w:rPr>
        <w:t>208.</w:t>
      </w:r>
      <w:r>
        <w:t xml:space="preserve">  </w:t>
      </w:r>
      <w:r>
        <w:rPr>
          <w:rFonts w:hint="eastAsia"/>
        </w:rPr>
        <w:t>在缴费制度中，女性工资劳动者的比例从2003年的39.2%升至2009年的43.3%，而同一时期男性显示下降趋势，从60.8%降至56.7%，这反映了性别差距的缩小，按百分点计算，从35.6%降至了23.6%。</w:t>
      </w:r>
      <w:r w:rsidRPr="00F16FB0">
        <w:rPr>
          <w:rStyle w:val="FootnoteReference"/>
        </w:rPr>
        <w:footnoteReference w:id="19"/>
      </w:r>
    </w:p>
    <w:p w:rsidR="0085435B" w:rsidRDefault="0085435B" w:rsidP="0085435B">
      <w:pPr>
        <w:pStyle w:val="SingleTxt"/>
      </w:pPr>
      <w:r>
        <w:rPr>
          <w:rFonts w:hint="eastAsia"/>
        </w:rPr>
        <w:t>209.</w:t>
      </w:r>
      <w:r>
        <w:t xml:space="preserve">  </w:t>
      </w:r>
      <w:r>
        <w:rPr>
          <w:rFonts w:hint="eastAsia"/>
        </w:rPr>
        <w:t>缴费制度中的年老、残疾和遗属保险计划于2003年年中开始运作，年增长显著；2008年参保者数量比2007年增加了6.8%。2003年积极参保者比例为58.47%，2009年年中为49%，下降了9.47%。缴费参保者中，70%收入低于10 000比索，其中42%是妇女。</w:t>
      </w:r>
    </w:p>
    <w:p w:rsidR="0085435B" w:rsidRDefault="0085435B" w:rsidP="0085435B">
      <w:pPr>
        <w:pStyle w:val="SingleTxt"/>
        <w:rPr>
          <w:rFonts w:hint="eastAsia"/>
        </w:rPr>
      </w:pPr>
      <w:r>
        <w:rPr>
          <w:rFonts w:hint="eastAsia"/>
        </w:rPr>
        <w:t>210.</w:t>
      </w:r>
      <w:r>
        <w:t xml:space="preserve">  </w:t>
      </w:r>
      <w:r>
        <w:rPr>
          <w:rFonts w:hint="eastAsia"/>
        </w:rPr>
        <w:t>社会内阁。由共和国副总统担任主席，负责协调政府的社会安全网。社会内阁开展团结方案，该方案由第536-2005号法令创建，其作为一种政治战略，旨在帮助初步估计为1 600 000人的低收入人口消除贫困。该方案包括“食为天”、就学奖励、“让所有多米尼加人有名有姓”次级方案以及补贴家庭健康保险。</w:t>
      </w:r>
    </w:p>
    <w:p w:rsidR="0085435B" w:rsidRDefault="0085435B" w:rsidP="0085435B">
      <w:pPr>
        <w:pStyle w:val="SingleTxt"/>
        <w:rPr>
          <w:rFonts w:hint="eastAsia"/>
        </w:rPr>
      </w:pPr>
      <w:r>
        <w:rPr>
          <w:rFonts w:hint="eastAsia"/>
        </w:rPr>
        <w:t>211.</w:t>
      </w:r>
      <w:r>
        <w:t xml:space="preserve">  </w:t>
      </w:r>
      <w:r>
        <w:rPr>
          <w:rFonts w:hint="eastAsia"/>
        </w:rPr>
        <w:t>2009年，团结方案涵盖651 905名成员；根据SIUBEN记录，从每个次级方案中受益妇女的比例分别如下：“食为天”，64%；就学奖励，69%的女户主；燃气补贴，66%的女户主；培训和共同责任，92%。</w:t>
      </w:r>
    </w:p>
    <w:p w:rsidR="0085435B" w:rsidRDefault="0085435B" w:rsidP="0085435B">
      <w:pPr>
        <w:pStyle w:val="SingleTxt"/>
        <w:rPr>
          <w:rFonts w:hint="eastAsia"/>
        </w:rPr>
      </w:pPr>
      <w:r>
        <w:rPr>
          <w:rFonts w:hint="eastAsia"/>
        </w:rPr>
        <w:t>212.</w:t>
      </w:r>
      <w:r>
        <w:t xml:space="preserve">  </w:t>
      </w:r>
      <w:r>
        <w:rPr>
          <w:rFonts w:hint="eastAsia"/>
        </w:rPr>
        <w:t xml:space="preserve">多米尼加共和国的团结方案的实施切实提高了男童和女童的入学率和营养水平。该方案对6至16岁儿童上学率的影响一直是积极显著的。方案审查表明，母亲往往花费更多资源用于改善家庭福祉。 </w:t>
      </w:r>
    </w:p>
    <w:p w:rsidR="0085435B" w:rsidRDefault="0085435B" w:rsidP="0085435B">
      <w:pPr>
        <w:pStyle w:val="SingleTxt"/>
        <w:rPr>
          <w:rFonts w:hint="eastAsia"/>
        </w:rPr>
      </w:pPr>
      <w:r>
        <w:rPr>
          <w:rFonts w:hint="eastAsia"/>
        </w:rPr>
        <w:t>213.</w:t>
      </w:r>
      <w:r>
        <w:t xml:space="preserve">  </w:t>
      </w:r>
      <w:r>
        <w:rPr>
          <w:rFonts w:hint="eastAsia"/>
        </w:rPr>
        <w:t>这一发现表明，在儿童入学方面，父母不一定显示重男轻女，但男孩入学的机会成本大于女孩，因为男孩收入较高，因此家庭送男孩上学的成本更高。出于这个原因，该方案对14至16岁男孩的影响大14%。</w:t>
      </w:r>
    </w:p>
    <w:p w:rsidR="0085435B" w:rsidRDefault="0085435B" w:rsidP="0085435B">
      <w:pPr>
        <w:pStyle w:val="SingleTxt"/>
        <w:rPr>
          <w:rFonts w:hint="eastAsia"/>
        </w:rPr>
      </w:pPr>
      <w:r>
        <w:rPr>
          <w:rFonts w:hint="eastAsia"/>
        </w:rPr>
        <w:t>214.</w:t>
      </w:r>
      <w:r>
        <w:t xml:space="preserve">  </w:t>
      </w:r>
      <w:r>
        <w:rPr>
          <w:rFonts w:hint="eastAsia"/>
        </w:rPr>
        <w:t>第一夫人办公室开展的社会教育方案“Progresando”(“向前迈进”)直接访问低收入家庭，以增强其在整体发展过程中的权能。</w:t>
      </w:r>
    </w:p>
    <w:p w:rsidR="0085435B" w:rsidRDefault="0085435B" w:rsidP="0085435B">
      <w:pPr>
        <w:pStyle w:val="SingleTxt"/>
      </w:pPr>
      <w:r>
        <w:rPr>
          <w:rFonts w:hint="eastAsia"/>
        </w:rPr>
        <w:t>215.</w:t>
      </w:r>
      <w:r>
        <w:t xml:space="preserve">  </w:t>
      </w:r>
      <w:r>
        <w:rPr>
          <w:rFonts w:hint="eastAsia"/>
        </w:rPr>
        <w:t>汇款是支持家庭的重要收入来源。来自国外的汇款有助于减少贫困。贫困家庭收到汇款的百分比以及汇款金额都比较低。最富有的家庭收到汇款总额的40%，而最穷的20%的家庭只收到14%。约78%的汇款流向市区。然而，如果贫困家庭确实收到汇款，就是收入的重要来源：汇款占贫困家庭收入的66%，占最富有家庭的30%。据报，22%的女户主家庭和14%的男户主家庭收到汇款。</w:t>
      </w:r>
      <w:r w:rsidRPr="00F16FB0">
        <w:rPr>
          <w:rStyle w:val="FootnoteReference"/>
        </w:rPr>
        <w:footnoteReference w:id="20"/>
      </w:r>
    </w:p>
    <w:p w:rsidR="0085435B" w:rsidRDefault="0085435B" w:rsidP="0085435B">
      <w:pPr>
        <w:pStyle w:val="SingleTxt"/>
      </w:pPr>
      <w:r>
        <w:rPr>
          <w:rFonts w:hint="eastAsia"/>
        </w:rPr>
        <w:t>216.</w:t>
      </w:r>
      <w:r>
        <w:t xml:space="preserve">  </w:t>
      </w:r>
      <w:r>
        <w:rPr>
          <w:rFonts w:hint="eastAsia"/>
        </w:rPr>
        <w:t>如其他许多发展中国家一样，流入多米尼加共和国的侨汇量在过去10年翻了两番，目前占国内生产总值的13%，相当于在该国的外国直接投资总额的四倍。</w:t>
      </w:r>
      <w:r w:rsidRPr="00F16FB0">
        <w:rPr>
          <w:rStyle w:val="FootnoteReference"/>
        </w:rPr>
        <w:footnoteReference w:id="21"/>
      </w:r>
    </w:p>
    <w:p w:rsidR="0085435B" w:rsidRDefault="0085435B" w:rsidP="0085435B">
      <w:pPr>
        <w:pStyle w:val="SingleTxt"/>
      </w:pPr>
      <w:r>
        <w:rPr>
          <w:rFonts w:hint="eastAsia"/>
        </w:rPr>
        <w:t>217.</w:t>
      </w:r>
      <w:r>
        <w:t xml:space="preserve">  </w:t>
      </w:r>
      <w:r>
        <w:rPr>
          <w:rFonts w:hint="eastAsia"/>
        </w:rPr>
        <w:t>微型、小型和中型企业(微小中型企业)。43%的工作由微小中型企业创造。但是，企业越大，女性所有者的比例越低。妇女在本部门所占份额是33%。促进和支持微小中型企业国家委员会发布的关于2010年1至6月的进度报告指出，在信贷资产组合的9.72亿比索中，5.443亿比索发放给了妇女经营的企业。</w:t>
      </w:r>
    </w:p>
    <w:p w:rsidR="00326565" w:rsidRDefault="00326565" w:rsidP="0032656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N.</w:t>
      </w:r>
      <w:r>
        <w:rPr>
          <w:rFonts w:hint="eastAsia"/>
        </w:rPr>
        <w:tab/>
        <w:t>第14条.</w:t>
      </w:r>
      <w:r w:rsidR="0045173D">
        <w:rPr>
          <w:rFonts w:hint="eastAsia"/>
        </w:rPr>
        <w:t xml:space="preserve"> </w:t>
      </w:r>
      <w:r>
        <w:rPr>
          <w:rFonts w:hint="eastAsia"/>
        </w:rPr>
        <w:t>农村妇女</w:t>
      </w:r>
    </w:p>
    <w:p w:rsidR="00326565" w:rsidRPr="00326565" w:rsidRDefault="00326565" w:rsidP="00326565">
      <w:pPr>
        <w:pStyle w:val="SingleTxt"/>
        <w:spacing w:after="0" w:line="120" w:lineRule="exact"/>
        <w:ind w:right="0"/>
        <w:rPr>
          <w:rFonts w:hint="eastAsia"/>
          <w:sz w:val="10"/>
        </w:rPr>
      </w:pPr>
    </w:p>
    <w:p w:rsidR="00326565" w:rsidRDefault="00326565" w:rsidP="00326565">
      <w:pPr>
        <w:pStyle w:val="SingleTxt"/>
        <w:rPr>
          <w:rFonts w:hint="eastAsia"/>
        </w:rPr>
      </w:pPr>
      <w:r>
        <w:rPr>
          <w:rFonts w:hint="eastAsia"/>
        </w:rPr>
        <w:t>218.　粮食安全委员会。按照第243-08号法令，多米尼加设立了粮食安全委员会，其职能是拟订并执行公共政策，以便使多米尼加生产高质量、负担得起的充足粮食。此外，还努力获得粮食盈余，用作应急储备以及供出口。</w:t>
      </w:r>
    </w:p>
    <w:p w:rsidR="00326565" w:rsidRDefault="00326565" w:rsidP="00326565">
      <w:pPr>
        <w:pStyle w:val="SingleTxt"/>
        <w:rPr>
          <w:rFonts w:hint="eastAsia"/>
        </w:rPr>
      </w:pPr>
      <w:r>
        <w:rPr>
          <w:rFonts w:hint="eastAsia"/>
        </w:rPr>
        <w:t>219.　粮食安全委员会的另一个目标是巩固并加强多米尼加的社会安全网，以保证所有人的食物权和营养权，尤其是最贫穷、最脆弱以及生活在农村地区的人，同时优先关注儿童、孕妇或哺乳母亲和老年人。</w:t>
      </w:r>
    </w:p>
    <w:p w:rsidR="00326565" w:rsidRDefault="00326565" w:rsidP="00326565">
      <w:pPr>
        <w:pStyle w:val="SingleTxt"/>
        <w:rPr>
          <w:rFonts w:hint="eastAsia"/>
        </w:rPr>
      </w:pPr>
      <w:r>
        <w:rPr>
          <w:rFonts w:hint="eastAsia"/>
        </w:rPr>
        <w:t>220.　《国家2007-2017性别平等和公平计划》促进增强农村妇女的经济权能，按照平等条件将农村妇女与农业部门的投资和发展方案联系在一起，使妇女更好地利用并管理保健、教育、饮用水，住房和电力等高质量基本服务。该计划还支持土地所有权，提供储蓄和投资方面的培训方案，建议设立循环基金，以便为在森林遭砍伐地区生活的妇女提供复合农林业项目的融资。</w:t>
      </w:r>
    </w:p>
    <w:p w:rsidR="00326565" w:rsidRDefault="00326565" w:rsidP="00326565">
      <w:pPr>
        <w:pStyle w:val="SingleTxt"/>
        <w:rPr>
          <w:rFonts w:hint="eastAsia"/>
        </w:rPr>
      </w:pPr>
      <w:r>
        <w:rPr>
          <w:rFonts w:hint="eastAsia"/>
        </w:rPr>
        <w:t>221.　支持农村妇女方案(PADEMUR)。该方案由第一夫人办公室协调，妇女部以及农村部门所有机构进行参与。该方案持续为农村妇女和农业部门技术人员提供性别平等意识和管理方面的全面培训活动，还帮助农村妇女生产者联合会建立合作社，以提高其销售产品的能力。</w:t>
      </w:r>
    </w:p>
    <w:p w:rsidR="00326565" w:rsidRDefault="00326565" w:rsidP="00326565">
      <w:pPr>
        <w:pStyle w:val="SingleTxt"/>
        <w:rPr>
          <w:rFonts w:hint="eastAsia"/>
        </w:rPr>
      </w:pPr>
      <w:r>
        <w:rPr>
          <w:rFonts w:hint="eastAsia"/>
        </w:rPr>
        <w:t>222.　社区技术中心。这些中心由第一夫人办公室管理，为农村居民提供信息和通信技术(信通技术)。</w:t>
      </w:r>
    </w:p>
    <w:p w:rsidR="00326565" w:rsidRDefault="00326565" w:rsidP="00326565">
      <w:pPr>
        <w:pStyle w:val="SingleTxt"/>
        <w:rPr>
          <w:rFonts w:hint="eastAsia"/>
        </w:rPr>
      </w:pPr>
      <w:r>
        <w:rPr>
          <w:rFonts w:hint="eastAsia"/>
        </w:rPr>
        <w:t>223.　获得充分的保健服务，包括信息、咨询援助和计划生育服务。多米尼加共和国有初级保健单位、市级医院和农村诊所组成的广泛系统，以及卫生监督员和宣传员网络。初级保健单位是提供保健服务的实用基础，是国家卫生系统的门户，帮助完善初级保健的基本健康计划，并为该系统其他级别提供转诊服务，以便通过在特定地理或人口区域进行干预来监测并保障所有多米尼加家庭的保健。</w:t>
      </w:r>
    </w:p>
    <w:p w:rsidR="00326565" w:rsidRDefault="00326565" w:rsidP="00326565">
      <w:pPr>
        <w:pStyle w:val="SingleTxt"/>
        <w:rPr>
          <w:rFonts w:hint="eastAsia"/>
        </w:rPr>
      </w:pPr>
      <w:r>
        <w:rPr>
          <w:rFonts w:hint="eastAsia"/>
        </w:rPr>
        <w:t>224.　在农村地区，45.1%的家庭仅可通过户外设施用水；89.1%的家庭有电力供应；17.3%的家庭没有适当的固体废物处置设施；7.5%的住宅是泥地面；24%的家庭使用木柴或木炭作为烹饪的主要燃料。</w:t>
      </w:r>
    </w:p>
    <w:p w:rsidR="00326565" w:rsidRDefault="00326565" w:rsidP="00326565">
      <w:pPr>
        <w:pStyle w:val="SingleTxt"/>
        <w:rPr>
          <w:rFonts w:hint="eastAsia"/>
        </w:rPr>
      </w:pPr>
      <w:r>
        <w:rPr>
          <w:rFonts w:hint="eastAsia"/>
        </w:rPr>
        <w:t>225.　农村妇女的健康指标与城市妇女的健康指标有显著差异，生育率更高(每名农村地区妇女为2.8，每名城市地区妇女为2.4)。农村青少年怀孕和生育率(26%)高于城市青少年(18.3%)；避孕药具的使用在农村妇女(74%)中更为普遍，高于城市妇女的使用率(72%)。</w:t>
      </w:r>
    </w:p>
    <w:p w:rsidR="00326565" w:rsidRDefault="00326565" w:rsidP="00326565">
      <w:pPr>
        <w:pStyle w:val="SingleTxt"/>
        <w:rPr>
          <w:rFonts w:hint="eastAsia"/>
        </w:rPr>
      </w:pPr>
      <w:r>
        <w:rPr>
          <w:rFonts w:hint="eastAsia"/>
        </w:rPr>
        <w:t>226.　据估计，农村妇女遭受身体暴力的比例为21%，其中7.2%是在怀孕期间遭受人身伤害。30.3%的已婚妇女经历过某种形式的感情、身体或性虐待。</w:t>
      </w:r>
    </w:p>
    <w:p w:rsidR="00326565" w:rsidRDefault="00326565" w:rsidP="00326565">
      <w:pPr>
        <w:pStyle w:val="SingleTxt"/>
        <w:rPr>
          <w:rFonts w:hint="eastAsia"/>
        </w:rPr>
      </w:pPr>
      <w:r>
        <w:rPr>
          <w:rFonts w:hint="eastAsia"/>
        </w:rPr>
        <w:t>227.　未受过教育的农村妇女的比例是13.8%，是未受过教育的城市妇女(4.2%)的三倍多。</w:t>
      </w:r>
      <w:r w:rsidRPr="008F5389">
        <w:rPr>
          <w:rStyle w:val="FootnoteReference"/>
        </w:rPr>
        <w:footnoteReference w:id="22"/>
      </w:r>
      <w:r>
        <w:rPr>
          <w:rFonts w:hint="eastAsia"/>
        </w:rPr>
        <w:t xml:space="preserve"> </w:t>
      </w:r>
    </w:p>
    <w:p w:rsidR="00326565" w:rsidRDefault="00326565" w:rsidP="00326565">
      <w:pPr>
        <w:pStyle w:val="SingleTxt"/>
        <w:rPr>
          <w:rFonts w:hint="eastAsia"/>
        </w:rPr>
      </w:pPr>
      <w:r>
        <w:rPr>
          <w:rFonts w:hint="eastAsia"/>
        </w:rPr>
        <w:t>228.　此外，根据 2007年人口和家庭健康调查，35.2%的农村妇女就业，而8%的农村妇女从事的是无薪工作。</w:t>
      </w:r>
    </w:p>
    <w:p w:rsidR="00326565" w:rsidRDefault="00326565" w:rsidP="00326565">
      <w:pPr>
        <w:pStyle w:val="SingleTxt"/>
        <w:rPr>
          <w:rFonts w:hint="eastAsia"/>
        </w:rPr>
      </w:pPr>
      <w:r>
        <w:rPr>
          <w:rFonts w:hint="eastAsia"/>
        </w:rPr>
        <w:t>229.　农村家庭中，女户主家庭占29.7%。根据国家规划办公室(ONAPLAN)提供的估计数，41.5%以女性为户主的家庭生活贫困，相比之下，36.7%以男性为户主的家庭生活贫困。以女性为户主的家庭的贫穷概率是13.4%，而对于女性为户主的农村家庭而言，该数字提高至15.8%，比全国概率高2.4%。</w:t>
      </w:r>
      <w:r>
        <w:rPr>
          <w:rStyle w:val="FootnoteReference"/>
        </w:rPr>
        <w:footnoteReference w:id="23"/>
      </w:r>
      <w:r>
        <w:rPr>
          <w:rFonts w:hint="eastAsia"/>
        </w:rPr>
        <w:t xml:space="preserve"> </w:t>
      </w:r>
    </w:p>
    <w:p w:rsidR="00326565" w:rsidRDefault="00326565" w:rsidP="00326565">
      <w:pPr>
        <w:pStyle w:val="SingleTxt"/>
        <w:rPr>
          <w:rFonts w:hint="eastAsia"/>
        </w:rPr>
      </w:pPr>
      <w:r>
        <w:rPr>
          <w:rFonts w:hint="eastAsia"/>
        </w:rPr>
        <w:t>230.　土地改革对农村妇女的影响：此项方案的目标是公平分配土地，改善农村男女的生活和工作条件，以及扩大生产满足家庭需求。第55-97号法律规定，妇女和男子在平等基础上获得土地。土地改革的受益者中，妇女占26%。多米尼加农业研究所(IAD)称，2001-2004年期间，共计1 813名妇女获得了土地；2005-2007年期间，土地改革为3 417名妇女提供了土地。</w:t>
      </w:r>
    </w:p>
    <w:p w:rsidR="00326565" w:rsidRDefault="00326565" w:rsidP="0032656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O.</w:t>
      </w:r>
      <w:r>
        <w:tab/>
      </w:r>
      <w:r>
        <w:rPr>
          <w:rFonts w:hint="eastAsia"/>
        </w:rPr>
        <w:t>第15条.</w:t>
      </w:r>
      <w:r w:rsidR="0045173D">
        <w:rPr>
          <w:rFonts w:hint="eastAsia"/>
        </w:rPr>
        <w:t xml:space="preserve"> </w:t>
      </w:r>
      <w:r>
        <w:rPr>
          <w:rFonts w:hint="eastAsia"/>
        </w:rPr>
        <w:t>法律平等和公民平等</w:t>
      </w:r>
    </w:p>
    <w:p w:rsidR="00326565" w:rsidRPr="00326565" w:rsidRDefault="00326565" w:rsidP="00326565">
      <w:pPr>
        <w:pStyle w:val="SingleTxt"/>
        <w:spacing w:after="0" w:line="120" w:lineRule="exact"/>
        <w:ind w:right="0"/>
        <w:rPr>
          <w:rFonts w:hint="eastAsia"/>
          <w:sz w:val="10"/>
        </w:rPr>
      </w:pPr>
    </w:p>
    <w:p w:rsidR="00326565" w:rsidRDefault="00326565" w:rsidP="00326565">
      <w:pPr>
        <w:pStyle w:val="SingleTxt"/>
        <w:rPr>
          <w:rFonts w:hint="eastAsia"/>
        </w:rPr>
      </w:pPr>
      <w:r>
        <w:rPr>
          <w:rFonts w:hint="eastAsia"/>
        </w:rPr>
        <w:t>231.　《宪法》规定，多米尼加妇女享有与男子相同的权利。我们的创始文件规定，人人生而在法律面前自由、平等，多米尼加妇女和男子有权在生活各方面平等地自由、充分享有作为公民的权利。</w:t>
      </w:r>
    </w:p>
    <w:p w:rsidR="00326565" w:rsidRDefault="00326565" w:rsidP="0032656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P.</w:t>
      </w:r>
      <w:r>
        <w:tab/>
      </w:r>
      <w:r>
        <w:rPr>
          <w:rFonts w:hint="eastAsia"/>
        </w:rPr>
        <w:t>第16条.</w:t>
      </w:r>
      <w:r w:rsidR="0045173D">
        <w:rPr>
          <w:rFonts w:hint="eastAsia"/>
        </w:rPr>
        <w:t xml:space="preserve"> </w:t>
      </w:r>
      <w:r>
        <w:rPr>
          <w:rFonts w:hint="eastAsia"/>
        </w:rPr>
        <w:t>婚姻和家庭中的平等</w:t>
      </w:r>
    </w:p>
    <w:p w:rsidR="00326565" w:rsidRPr="00326565" w:rsidRDefault="00326565" w:rsidP="00326565">
      <w:pPr>
        <w:pStyle w:val="SingleTxt"/>
        <w:spacing w:after="0" w:line="120" w:lineRule="exact"/>
        <w:ind w:right="0"/>
        <w:rPr>
          <w:rFonts w:hint="eastAsia"/>
          <w:sz w:val="10"/>
        </w:rPr>
      </w:pPr>
    </w:p>
    <w:p w:rsidR="00326565" w:rsidRDefault="00326565" w:rsidP="00326565">
      <w:pPr>
        <w:pStyle w:val="SingleTxt"/>
        <w:rPr>
          <w:rFonts w:hint="eastAsia"/>
        </w:rPr>
      </w:pPr>
      <w:r>
        <w:rPr>
          <w:rFonts w:hint="eastAsia"/>
        </w:rPr>
        <w:t>232.　多米尼加共和国新《宪法》在婚姻和家庭中的平等这一领域也取得了很大进展，该法是男女之间完全平等的基础。</w:t>
      </w:r>
    </w:p>
    <w:p w:rsidR="00326565" w:rsidRDefault="00326565" w:rsidP="00326565">
      <w:pPr>
        <w:pStyle w:val="SingleTxt"/>
        <w:rPr>
          <w:rFonts w:hint="eastAsia"/>
        </w:rPr>
      </w:pPr>
      <w:r>
        <w:rPr>
          <w:rFonts w:hint="eastAsia"/>
        </w:rPr>
        <w:t>233.　新《宪法》确认养家不仅是妇女的责任，也是男性的责任，取得了重大进步，新宪法第55条规定：</w:t>
      </w:r>
    </w:p>
    <w:p w:rsidR="00326565" w:rsidRDefault="00326565" w:rsidP="00326565">
      <w:pPr>
        <w:pStyle w:val="SingleTxt"/>
        <w:ind w:left="1695"/>
        <w:rPr>
          <w:rFonts w:hint="eastAsia"/>
        </w:rPr>
      </w:pPr>
      <w:r>
        <w:tab/>
      </w:r>
      <w:r>
        <w:rPr>
          <w:rFonts w:hint="eastAsia"/>
        </w:rPr>
        <w:t>“家庭是社会的基础，是所有人全面发展的根本环境。家庭由自然或法律关系构成，……男子和妇女自由选择结婚或负责任地承诺组建家庭。</w:t>
      </w:r>
    </w:p>
    <w:p w:rsidR="00326565" w:rsidRDefault="00326565" w:rsidP="00326565">
      <w:pPr>
        <w:pStyle w:val="SingleTxt"/>
        <w:ind w:left="1695"/>
        <w:rPr>
          <w:rFonts w:hint="eastAsia"/>
        </w:rPr>
      </w:pPr>
      <w:r>
        <w:tab/>
      </w:r>
      <w:r>
        <w:rPr>
          <w:rFonts w:hint="eastAsia"/>
        </w:rPr>
        <w:t>⑴</w:t>
      </w:r>
      <w:r>
        <w:tab/>
      </w:r>
      <w:r>
        <w:rPr>
          <w:rFonts w:hint="eastAsia"/>
        </w:rPr>
        <w:t>人人有权组建家庭，在家庭的组建和发展过程中，妇女和男子享有平等权利和义务，应相互理解和彼此尊重；</w:t>
      </w:r>
    </w:p>
    <w:p w:rsidR="00326565" w:rsidRDefault="00326565" w:rsidP="00326565">
      <w:pPr>
        <w:pStyle w:val="SingleTxt"/>
        <w:ind w:left="1695"/>
        <w:rPr>
          <w:rFonts w:hint="eastAsia"/>
        </w:rPr>
      </w:pPr>
      <w:r>
        <w:tab/>
        <w:t>[</w:t>
      </w:r>
      <w:r>
        <w:rPr>
          <w:rFonts w:hint="eastAsia"/>
        </w:rPr>
        <w:t>……</w:t>
      </w:r>
      <w:r>
        <w:t>]</w:t>
      </w:r>
    </w:p>
    <w:p w:rsidR="00326565" w:rsidRDefault="00326565" w:rsidP="00326565">
      <w:pPr>
        <w:pStyle w:val="SingleTxt"/>
        <w:ind w:left="1695"/>
        <w:rPr>
          <w:rFonts w:hint="eastAsia"/>
        </w:rPr>
      </w:pPr>
      <w:r>
        <w:tab/>
      </w:r>
      <w:r>
        <w:rPr>
          <w:rFonts w:hint="eastAsia"/>
        </w:rPr>
        <w:t>(5)</w:t>
      </w:r>
      <w:r>
        <w:tab/>
      </w:r>
      <w:r>
        <w:rPr>
          <w:rFonts w:hint="eastAsia"/>
        </w:rPr>
        <w:t>依照法律规定，无任何婚姻障碍的男女以及组成了事实上的家庭的男女之间独特而稳定的结合产生了有关其个人关系和财产方面的权利和义务；</w:t>
      </w:r>
    </w:p>
    <w:p w:rsidR="00326565" w:rsidRDefault="00326565" w:rsidP="00326565">
      <w:pPr>
        <w:pStyle w:val="SingleTxt"/>
        <w:ind w:left="1695"/>
        <w:rPr>
          <w:rFonts w:hint="eastAsia"/>
        </w:rPr>
      </w:pPr>
      <w:r>
        <w:tab/>
      </w:r>
      <w:r>
        <w:rPr>
          <w:rFonts w:hint="eastAsia"/>
        </w:rPr>
        <w:t>(6)</w:t>
      </w:r>
      <w:r>
        <w:tab/>
      </w:r>
      <w:r>
        <w:rPr>
          <w:rFonts w:hint="eastAsia"/>
        </w:rPr>
        <w:t>不论母亲的社会或婚姻状况为何，孕产妇应享有公共机关的保护，并应有权在必要时获得公共援助；</w:t>
      </w:r>
    </w:p>
    <w:p w:rsidR="00326565" w:rsidRDefault="00326565" w:rsidP="00326565">
      <w:pPr>
        <w:pStyle w:val="SingleTxt"/>
        <w:ind w:left="1695"/>
        <w:rPr>
          <w:rFonts w:hint="eastAsia"/>
        </w:rPr>
      </w:pPr>
      <w:r>
        <w:tab/>
      </w:r>
      <w:r>
        <w:rPr>
          <w:rFonts w:hint="eastAsia"/>
        </w:rPr>
        <w:t>(7)</w:t>
      </w:r>
      <w:r>
        <w:tab/>
      </w:r>
      <w:r>
        <w:rPr>
          <w:rFonts w:hint="eastAsia"/>
        </w:rPr>
        <w:t>人人有权依照父母亲的姓及自己的名被确认为个体，并有权了解其父母的身份；</w:t>
      </w:r>
    </w:p>
    <w:p w:rsidR="00326565" w:rsidRDefault="00326565" w:rsidP="00326565">
      <w:pPr>
        <w:pStyle w:val="SingleTxt"/>
        <w:ind w:left="1695"/>
      </w:pPr>
      <w:r>
        <w:tab/>
        <w:t>[</w:t>
      </w:r>
      <w:r>
        <w:rPr>
          <w:rFonts w:hint="eastAsia"/>
        </w:rPr>
        <w:t>……</w:t>
      </w:r>
      <w:r>
        <w:t>]</w:t>
      </w:r>
    </w:p>
    <w:p w:rsidR="00326565" w:rsidRDefault="00326565" w:rsidP="00326565">
      <w:pPr>
        <w:pStyle w:val="SingleTxt"/>
        <w:ind w:left="1695"/>
        <w:rPr>
          <w:rFonts w:hint="eastAsia"/>
        </w:rPr>
      </w:pPr>
      <w:r>
        <w:tab/>
      </w:r>
      <w:r>
        <w:rPr>
          <w:rFonts w:hint="eastAsia"/>
        </w:rPr>
        <w:t>(9)</w:t>
      </w:r>
      <w:r>
        <w:tab/>
      </w:r>
      <w:r>
        <w:rPr>
          <w:rFonts w:hint="eastAsia"/>
        </w:rPr>
        <w:t>所有儿童在法律面前平等，有平等的权利和义务，并享有社会、精神和身体发展的同等机会。在民事登记或任何身份证明文件中不得提及父母的婚姻情况；</w:t>
      </w:r>
    </w:p>
    <w:p w:rsidR="00326565" w:rsidRDefault="00326565" w:rsidP="00326565">
      <w:pPr>
        <w:pStyle w:val="SingleTxt"/>
        <w:ind w:left="1695"/>
        <w:rPr>
          <w:rFonts w:hint="eastAsia"/>
        </w:rPr>
      </w:pPr>
      <w:r>
        <w:tab/>
      </w:r>
      <w:r>
        <w:rPr>
          <w:rFonts w:hint="eastAsia"/>
        </w:rPr>
        <w:t>(10)</w:t>
      </w:r>
      <w:r>
        <w:tab/>
      </w:r>
      <w:r>
        <w:rPr>
          <w:rFonts w:hint="eastAsia"/>
        </w:rPr>
        <w:t xml:space="preserve">　国家应促进父母责任。即使在分居和离婚后，父亲和母亲不可避免地共同承担喂养、抚养、训练、教育、支持、保护和协助其子女的责任。法律应建立必要和适当措施，以确保上述义务予以履行[……]。”</w:t>
      </w:r>
    </w:p>
    <w:p w:rsidR="00326565" w:rsidRDefault="00326565" w:rsidP="00326565">
      <w:pPr>
        <w:pStyle w:val="SingleTxt"/>
        <w:rPr>
          <w:rFonts w:hint="eastAsia"/>
        </w:rPr>
      </w:pPr>
      <w:r>
        <w:rPr>
          <w:rFonts w:hint="eastAsia"/>
        </w:rPr>
        <w:t>234.　关于未成年人保护，《宪法》第56条规定：“家庭、社会和国家应优先考虑儿童和青少年的最高利益；应协助并保护他们，以确保其均衡全面发展，充分行使本法和其他法律规定的基本权利”。</w:t>
      </w:r>
    </w:p>
    <w:p w:rsidR="00326565" w:rsidRDefault="00326565" w:rsidP="0032656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Q</w:t>
      </w:r>
      <w:r>
        <w:t>.</w:t>
      </w:r>
      <w:r>
        <w:tab/>
      </w:r>
      <w:r>
        <w:rPr>
          <w:rFonts w:hint="eastAsia"/>
        </w:rPr>
        <w:t>第17条.</w:t>
      </w:r>
      <w:r w:rsidR="0045173D">
        <w:rPr>
          <w:rFonts w:hint="eastAsia"/>
        </w:rPr>
        <w:t xml:space="preserve"> </w:t>
      </w:r>
      <w:r>
        <w:rPr>
          <w:rFonts w:hint="eastAsia"/>
        </w:rPr>
        <w:t>暴力侵害妇女行为(委员会第19号一般性建议)</w:t>
      </w:r>
    </w:p>
    <w:p w:rsidR="00326565" w:rsidRPr="00326565" w:rsidRDefault="00326565" w:rsidP="00326565">
      <w:pPr>
        <w:pStyle w:val="SingleTxt"/>
        <w:spacing w:after="0" w:line="120" w:lineRule="exact"/>
        <w:ind w:right="0"/>
        <w:rPr>
          <w:rFonts w:hint="eastAsia"/>
          <w:sz w:val="10"/>
        </w:rPr>
      </w:pPr>
    </w:p>
    <w:p w:rsidR="00326565" w:rsidRDefault="00326565" w:rsidP="00326565">
      <w:pPr>
        <w:pStyle w:val="SingleTxt"/>
        <w:rPr>
          <w:rFonts w:hint="eastAsia"/>
        </w:rPr>
      </w:pPr>
      <w:r>
        <w:rPr>
          <w:rFonts w:hint="eastAsia"/>
        </w:rPr>
        <w:t>235.　通过遵守国际公约、协定和《多米尼加宪法》，以及此方面的专门程序法，例如《消除对妇女一切形式歧视公约》、《美洲防止、惩罚和根除暴力侵害妇女行为公约》(《贝伦杜帕拉公约》)及其《任择议定书》，多米尼加承诺防止、打击和根除暴力侵害妇女行为；其他有关法律是关于暴力侵害妇女行为和家庭暴力的第24-97号法律以及就藏身处和庇护所做出规定的第88</w:t>
      </w:r>
      <w:r>
        <w:t>-</w:t>
      </w:r>
      <w:r>
        <w:rPr>
          <w:rFonts w:hint="eastAsia"/>
        </w:rPr>
        <w:t>03号法律。</w:t>
      </w:r>
    </w:p>
    <w:p w:rsidR="00326565" w:rsidRDefault="00326565" w:rsidP="00326565">
      <w:pPr>
        <w:pStyle w:val="SingleTxt"/>
        <w:rPr>
          <w:rFonts w:hint="eastAsia"/>
        </w:rPr>
      </w:pPr>
      <w:r>
        <w:rPr>
          <w:rFonts w:hint="eastAsia"/>
        </w:rPr>
        <w:t>236.　尽管如此，多米尼加共和国依然存在严重的暴力侵害妇女行为，打击和根除此种行为依然是多米尼加政府的优先事项。</w:t>
      </w:r>
    </w:p>
    <w:p w:rsidR="00326565" w:rsidRDefault="00326565" w:rsidP="00326565">
      <w:pPr>
        <w:pStyle w:val="SingleTxt"/>
        <w:rPr>
          <w:rFonts w:hint="eastAsia"/>
        </w:rPr>
      </w:pPr>
      <w:r>
        <w:rPr>
          <w:rFonts w:hint="eastAsia"/>
        </w:rPr>
        <w:t>237.　除了《宪法》和上述法律，《2007-2017年国家性别平等和公平计划》(PLANEG II)规定：“根除妇女生活各阶段的一切暴力侵害妇女行为”是优先事项，认为暴力侵害妇女行为侵犯妇女人权，是公共健康问题；此种行为降低并损害妇女和大众的生活质量，特别是其子女的生活质量。</w:t>
      </w:r>
    </w:p>
    <w:p w:rsidR="00326565" w:rsidRDefault="00326565" w:rsidP="00326565">
      <w:pPr>
        <w:pStyle w:val="SingleTxt"/>
        <w:rPr>
          <w:rFonts w:hint="eastAsia"/>
        </w:rPr>
      </w:pPr>
      <w:r>
        <w:rPr>
          <w:rFonts w:hint="eastAsia"/>
        </w:rPr>
        <w:t>238.　因此，妇女部以及防止和打击家庭暴力国家委员会(CONAPLUVI)启动工作，评价并改革防止和缓解暴力侵害妇女行为和家庭暴力全国模式，以评估将其用于现行模式的结果；目的是进行全面、多学科和贯穿各领域的共同努力，以提高迄今为止拟订的方案的实效。</w:t>
      </w:r>
    </w:p>
    <w:p w:rsidR="00326565" w:rsidRDefault="00326565" w:rsidP="00326565">
      <w:pPr>
        <w:pStyle w:val="SingleTxt"/>
        <w:rPr>
          <w:rFonts w:hint="eastAsia"/>
        </w:rPr>
      </w:pPr>
      <w:r>
        <w:rPr>
          <w:rFonts w:hint="eastAsia"/>
        </w:rPr>
        <w:t>239.　这项工作取得如下结果：</w:t>
      </w:r>
    </w:p>
    <w:p w:rsidR="00326565" w:rsidRDefault="00326565" w:rsidP="00326565">
      <w:pPr>
        <w:pStyle w:val="SingleTxt"/>
        <w:rPr>
          <w:rFonts w:hint="eastAsia"/>
        </w:rPr>
      </w:pPr>
      <w:r>
        <w:rPr>
          <w:rFonts w:hint="eastAsia"/>
        </w:rPr>
        <w:tab/>
        <w:t>(a)</w:t>
      </w:r>
      <w:r>
        <w:rPr>
          <w:rFonts w:hint="eastAsia"/>
        </w:rPr>
        <w:tab/>
        <w:t>加强妇女部在以下方面的指导作用：界定、拟订和验证用于执行、跟踪和监测该模式的程序和协议，努力培训暴力侵害妇女行为和人权领域的专门人力资源；</w:t>
      </w:r>
    </w:p>
    <w:p w:rsidR="00326565" w:rsidRDefault="00326565" w:rsidP="00326565">
      <w:pPr>
        <w:pStyle w:val="SingleTxt"/>
        <w:rPr>
          <w:rFonts w:hint="eastAsia"/>
        </w:rPr>
      </w:pPr>
      <w:r>
        <w:rPr>
          <w:rFonts w:hint="eastAsia"/>
        </w:rPr>
        <w:tab/>
        <w:t>(b)</w:t>
      </w:r>
      <w:r>
        <w:rPr>
          <w:rFonts w:hint="eastAsia"/>
        </w:rPr>
        <w:tab/>
        <w:t>加强共和国总检察长办公室在调查及起诉方面的作用，建立防止暴力行为和为暴力行为受害者提供全面护理的单位。目前，这些单位有14个；</w:t>
      </w:r>
    </w:p>
    <w:p w:rsidR="00326565" w:rsidRDefault="00326565" w:rsidP="00326565">
      <w:pPr>
        <w:pStyle w:val="SingleTxt"/>
        <w:rPr>
          <w:rFonts w:hint="eastAsia"/>
        </w:rPr>
      </w:pPr>
      <w:r>
        <w:rPr>
          <w:rFonts w:hint="eastAsia"/>
        </w:rPr>
        <w:tab/>
        <w:t>(c)</w:t>
      </w:r>
      <w:r>
        <w:rPr>
          <w:rFonts w:hint="eastAsia"/>
        </w:rPr>
        <w:tab/>
        <w:t>妇女部和最高法院协作，开办法官培训方案；</w:t>
      </w:r>
    </w:p>
    <w:p w:rsidR="00326565" w:rsidRDefault="00326565" w:rsidP="00326565">
      <w:pPr>
        <w:pStyle w:val="SingleTxt"/>
        <w:rPr>
          <w:rFonts w:hint="eastAsia"/>
        </w:rPr>
      </w:pPr>
      <w:r>
        <w:rPr>
          <w:rFonts w:hint="eastAsia"/>
        </w:rPr>
        <w:tab/>
        <w:t>(d)</w:t>
      </w:r>
      <w:r>
        <w:rPr>
          <w:rFonts w:hint="eastAsia"/>
        </w:rPr>
        <w:tab/>
        <w:t>执行《藏身处和庇护所法》，在全国建立妇女庇护所；</w:t>
      </w:r>
    </w:p>
    <w:p w:rsidR="00326565" w:rsidRDefault="00326565" w:rsidP="00326565">
      <w:pPr>
        <w:pStyle w:val="SingleTxt"/>
        <w:rPr>
          <w:rFonts w:hint="eastAsia"/>
        </w:rPr>
      </w:pPr>
      <w:r>
        <w:rPr>
          <w:rFonts w:hint="eastAsia"/>
        </w:rPr>
        <w:tab/>
        <w:t>(e)</w:t>
      </w:r>
      <w:r>
        <w:rPr>
          <w:rFonts w:hint="eastAsia"/>
        </w:rPr>
        <w:tab/>
        <w:t>设立首个施暴者改造治疗中心；</w:t>
      </w:r>
    </w:p>
    <w:p w:rsidR="00326565" w:rsidRDefault="00326565" w:rsidP="00326565">
      <w:pPr>
        <w:pStyle w:val="SingleTxt"/>
        <w:rPr>
          <w:rFonts w:hint="eastAsia"/>
        </w:rPr>
      </w:pPr>
      <w:r>
        <w:rPr>
          <w:rFonts w:hint="eastAsia"/>
        </w:rPr>
        <w:tab/>
        <w:t>(f)</w:t>
      </w:r>
      <w:r>
        <w:rPr>
          <w:rFonts w:hint="eastAsia"/>
        </w:rPr>
        <w:tab/>
        <w:t>建立由公共机关的相关利益攸关方以及在此领域有责任和承诺的民间社会组成的无暴力生活网络(REDAVI)；</w:t>
      </w:r>
    </w:p>
    <w:p w:rsidR="00326565" w:rsidRDefault="00326565" w:rsidP="00326565">
      <w:pPr>
        <w:pStyle w:val="SingleTxt"/>
        <w:rPr>
          <w:rFonts w:hint="eastAsia"/>
        </w:rPr>
      </w:pPr>
      <w:r>
        <w:rPr>
          <w:rFonts w:hint="eastAsia"/>
        </w:rPr>
        <w:tab/>
        <w:t>(g)</w:t>
      </w:r>
      <w:r>
        <w:rPr>
          <w:rFonts w:hint="eastAsia"/>
        </w:rPr>
        <w:tab/>
        <w:t>在共和国总检察长办公室设立统计股，负责在全国维护该系统查明的杀害妇女和暴力侵害妇女行为现有数据库；</w:t>
      </w:r>
    </w:p>
    <w:p w:rsidR="00326565" w:rsidRDefault="00326565" w:rsidP="00326565">
      <w:pPr>
        <w:pStyle w:val="SingleTxt"/>
        <w:rPr>
          <w:rFonts w:hint="eastAsia"/>
        </w:rPr>
      </w:pPr>
      <w:r>
        <w:rPr>
          <w:rFonts w:hint="eastAsia"/>
        </w:rPr>
        <w:tab/>
        <w:t>(h)</w:t>
      </w:r>
      <w:r>
        <w:rPr>
          <w:rFonts w:hint="eastAsia"/>
        </w:rPr>
        <w:tab/>
        <w:t>最高法院通过多项决定，旨在改善对暴力侵害妇女行为和家庭暴力的处理方式，这些决定包括：(a)</w:t>
      </w:r>
      <w:r>
        <w:t xml:space="preserve"> </w:t>
      </w:r>
      <w:r>
        <w:rPr>
          <w:rFonts w:hint="eastAsia"/>
        </w:rPr>
        <w:t>关于受虐妇女综合症的第3860-2006号决议；(b)</w:t>
      </w:r>
      <w:r>
        <w:t xml:space="preserve"> </w:t>
      </w:r>
      <w:r>
        <w:rPr>
          <w:rFonts w:hint="eastAsia"/>
        </w:rPr>
        <w:t>2008年6月19日第1924-2008号决议，设立一个委员会来协调、监督和报告多米尼加司法机构性别平等政策框架内通过的行动的遵守情况；(c)</w:t>
      </w:r>
      <w:r>
        <w:t xml:space="preserve"> </w:t>
      </w:r>
      <w:r>
        <w:rPr>
          <w:rFonts w:hint="eastAsia"/>
        </w:rPr>
        <w:t>2010年2月28日第116-2010号决议，就在访谈中心从包括受害者和证人等弱势人员那里获得陈述时的程序进行指导；</w:t>
      </w:r>
    </w:p>
    <w:p w:rsidR="00326565" w:rsidRDefault="00326565" w:rsidP="00326565">
      <w:pPr>
        <w:pStyle w:val="SingleTxt"/>
        <w:rPr>
          <w:rFonts w:hint="eastAsia"/>
        </w:rPr>
      </w:pPr>
      <w:r>
        <w:rPr>
          <w:rFonts w:hint="eastAsia"/>
        </w:rPr>
        <w:tab/>
        <w:t>(i)</w:t>
      </w:r>
      <w:r>
        <w:rPr>
          <w:rFonts w:hint="eastAsia"/>
        </w:rPr>
        <w:tab/>
        <w:t>暴力侵害妇女行为不断增加：根据国家统计局(ONE)提供的数据，尽管目前正在加强规范和制度网络，多米尼加共和国的暴力行为再次增加，该区域其他国家也是如此。</w:t>
      </w:r>
    </w:p>
    <w:p w:rsidR="00326565" w:rsidRDefault="00326565" w:rsidP="00326565">
      <w:pPr>
        <w:pStyle w:val="SingleTxt"/>
        <w:rPr>
          <w:rFonts w:hint="eastAsia"/>
        </w:rPr>
      </w:pPr>
      <w:r>
        <w:rPr>
          <w:rFonts w:hint="eastAsia"/>
        </w:rPr>
        <w:t>240.　2006-2009年期间，所报告的人身伤害数目达到40 555起：其中34 600起是针对妇女，5 955起针对男子。多米尼加共和国最常见的暴力侵害妇女行为是心理和言语攻击，其次是肉体暴力行为。同期，根据检察机关的记录，所报告案件中有95%进行了起诉，5%未进行起诉。其中，83%的被告被定罪，而17%的案件起诉被驳回。</w:t>
      </w:r>
    </w:p>
    <w:p w:rsidR="00326565" w:rsidRDefault="00326565" w:rsidP="00326565">
      <w:pPr>
        <w:pStyle w:val="SingleTxt"/>
        <w:rPr>
          <w:rFonts w:hint="eastAsia"/>
        </w:rPr>
      </w:pPr>
      <w:r>
        <w:rPr>
          <w:rFonts w:hint="eastAsia"/>
        </w:rPr>
        <w:t>241.　在心理咨询和社会康复方面，更强有力的趋势是个人治疗(87%)，而非集体治疗(12%)。</w:t>
      </w:r>
    </w:p>
    <w:p w:rsidR="00326565" w:rsidRDefault="00326565" w:rsidP="00326565">
      <w:pPr>
        <w:pStyle w:val="SingleTxt"/>
        <w:rPr>
          <w:rFonts w:hint="eastAsia"/>
        </w:rPr>
      </w:pPr>
      <w:r>
        <w:rPr>
          <w:rFonts w:hint="eastAsia"/>
        </w:rPr>
        <w:t>242.　国家统计局性别平等科称，过去五年，配偶暴力行为从27.6%增至29.8%。15至49岁的妇女占女性暴力行为受害者的比例最高，为受害者总数的66.2%。</w:t>
      </w:r>
    </w:p>
    <w:p w:rsidR="00326565" w:rsidRDefault="00326565" w:rsidP="00326565">
      <w:pPr>
        <w:pStyle w:val="SingleTxt"/>
        <w:rPr>
          <w:rFonts w:hint="eastAsia"/>
        </w:rPr>
      </w:pPr>
      <w:r>
        <w:rPr>
          <w:rFonts w:hint="eastAsia"/>
        </w:rPr>
        <w:t>243.　每年，杀害妇女指数一直保持在170至200之间；这些行为集中在大城市中心。似乎，多米尼加的杀害妇女发生率和国家一般犯罪率之间有直接关系。</w:t>
      </w:r>
    </w:p>
    <w:p w:rsidR="00326565" w:rsidRDefault="00326565" w:rsidP="00326565">
      <w:pPr>
        <w:pStyle w:val="SingleTxt"/>
        <w:rPr>
          <w:rFonts w:hint="eastAsia"/>
        </w:rPr>
      </w:pPr>
      <w:r>
        <w:rPr>
          <w:rFonts w:hint="eastAsia"/>
        </w:rPr>
        <w:t>244.　为降低这一数字，国家、民间社会组织和私营部门利用一个全面模式推出了联合项目，该模式包括治疗以及保护和保障妇女权利。律师、心理学家和护士等该专题的专门专业人员组成了一个团体。</w:t>
      </w:r>
    </w:p>
    <w:p w:rsidR="00326565" w:rsidRDefault="00326565" w:rsidP="00326565">
      <w:pPr>
        <w:pStyle w:val="SingleTxt"/>
        <w:rPr>
          <w:rFonts w:hint="eastAsia"/>
        </w:rPr>
      </w:pPr>
      <w:r>
        <w:rPr>
          <w:rFonts w:hint="eastAsia"/>
        </w:rPr>
        <w:t>245.　妇女部、共和国总检察长办公室和国会启动了提高认识运动，以便让所有公民集体承诺应对该问题。</w:t>
      </w:r>
    </w:p>
    <w:p w:rsidR="00326565" w:rsidRDefault="00326565" w:rsidP="00326565">
      <w:pPr>
        <w:pStyle w:val="SingleTxt"/>
        <w:rPr>
          <w:rFonts w:hint="eastAsia"/>
        </w:rPr>
      </w:pPr>
      <w:r>
        <w:rPr>
          <w:rFonts w:hint="eastAsia"/>
        </w:rPr>
        <w:t>246.　根本上，仍存在的挑战包括，界定并拟定有效战略，推动树立价值观、态度和信念，以确保妇女和男子和平地平等生活；这意味着在教育、家庭和整个社会层面的深刻变化。</w:t>
      </w:r>
    </w:p>
    <w:p w:rsidR="00EA31C3" w:rsidRPr="00326565" w:rsidRDefault="00326565" w:rsidP="00326565">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sectPr w:rsidR="00EA31C3" w:rsidRPr="00326565" w:rsidSect="00BE521E">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7-12T11:03:00Z" w:initials="Start">
    <w:p w:rsidR="00724DCE" w:rsidRDefault="00724DC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NO&gt;&gt;N1164743C&lt;&lt;ODS JOB NO&gt;&gt;</w:t>
      </w:r>
    </w:p>
    <w:p w:rsidR="00724DCE" w:rsidRDefault="00724DCE">
      <w:pPr>
        <w:pStyle w:val="CommentText"/>
      </w:pPr>
      <w:r>
        <w:t>&lt;&lt;ODS DOC SYMBOL1&gt;&gt;CEDAW/C/DOM/6-7&lt;&lt;ODS DOC SYMBOL1&gt;&gt;</w:t>
      </w:r>
    </w:p>
    <w:p w:rsidR="00724DCE" w:rsidRDefault="00724DC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34" w:rsidRDefault="00602C34">
      <w:r>
        <w:separator/>
      </w:r>
    </w:p>
  </w:endnote>
  <w:endnote w:type="continuationSeparator" w:id="0">
    <w:p w:rsidR="00602C34" w:rsidRDefault="0060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4DCE" w:rsidTr="00BE521E">
      <w:tblPrEx>
        <w:tblCellMar>
          <w:top w:w="0" w:type="dxa"/>
          <w:bottom w:w="0" w:type="dxa"/>
        </w:tblCellMar>
      </w:tblPrEx>
      <w:tc>
        <w:tcPr>
          <w:tcW w:w="5033" w:type="dxa"/>
          <w:shd w:val="clear" w:color="auto" w:fill="auto"/>
        </w:tcPr>
        <w:p w:rsidR="00724DCE" w:rsidRPr="00BE521E" w:rsidRDefault="00724DCE" w:rsidP="00BE521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11-64743 (C)</w:t>
          </w:r>
          <w:r>
            <w:rPr>
              <w:b w:val="0"/>
              <w:w w:val="103"/>
              <w:sz w:val="14"/>
            </w:rPr>
            <w:fldChar w:fldCharType="end"/>
          </w:r>
        </w:p>
      </w:tc>
      <w:tc>
        <w:tcPr>
          <w:tcW w:w="5033" w:type="dxa"/>
          <w:shd w:val="clear" w:color="auto" w:fill="auto"/>
        </w:tcPr>
        <w:p w:rsidR="00724DCE" w:rsidRPr="00BE521E" w:rsidRDefault="00724DCE" w:rsidP="00BE521E">
          <w:pPr>
            <w:pStyle w:val="Footer"/>
            <w:jc w:val="left"/>
            <w:rPr>
              <w:w w:val="103"/>
            </w:rPr>
          </w:pPr>
          <w:r>
            <w:rPr>
              <w:w w:val="103"/>
            </w:rPr>
            <w:fldChar w:fldCharType="begin"/>
          </w:r>
          <w:r>
            <w:rPr>
              <w:w w:val="103"/>
            </w:rPr>
            <w:instrText xml:space="preserve"> PAGE  \* MERGEFORMAT </w:instrText>
          </w:r>
          <w:r>
            <w:rPr>
              <w:w w:val="103"/>
            </w:rPr>
            <w:fldChar w:fldCharType="separate"/>
          </w:r>
          <w:r w:rsidR="00934C40">
            <w:rPr>
              <w:w w:val="103"/>
            </w:rPr>
            <w:t>2</w:t>
          </w:r>
          <w:r>
            <w:rPr>
              <w:w w:val="103"/>
            </w:rPr>
            <w:fldChar w:fldCharType="end"/>
          </w:r>
        </w:p>
      </w:tc>
    </w:tr>
  </w:tbl>
  <w:p w:rsidR="00724DCE" w:rsidRPr="00BE521E" w:rsidRDefault="00724DCE" w:rsidP="00BE5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4DCE" w:rsidTr="00BE521E">
      <w:tblPrEx>
        <w:tblCellMar>
          <w:top w:w="0" w:type="dxa"/>
          <w:bottom w:w="0" w:type="dxa"/>
        </w:tblCellMar>
      </w:tblPrEx>
      <w:tc>
        <w:tcPr>
          <w:tcW w:w="5033" w:type="dxa"/>
          <w:shd w:val="clear" w:color="auto" w:fill="auto"/>
        </w:tcPr>
        <w:p w:rsidR="00724DCE" w:rsidRPr="00BE521E" w:rsidRDefault="00724DCE" w:rsidP="00BE521E">
          <w:pPr>
            <w:pStyle w:val="Footer"/>
            <w:jc w:val="right"/>
          </w:pPr>
          <w:r>
            <w:fldChar w:fldCharType="begin"/>
          </w:r>
          <w:r>
            <w:instrText xml:space="preserve"> PAGE  \* MERGEFORMAT </w:instrText>
          </w:r>
          <w:r>
            <w:fldChar w:fldCharType="separate"/>
          </w:r>
          <w:r w:rsidR="00934C40">
            <w:t>39</w:t>
          </w:r>
          <w:r>
            <w:fldChar w:fldCharType="end"/>
          </w:r>
        </w:p>
      </w:tc>
      <w:tc>
        <w:tcPr>
          <w:tcW w:w="5033" w:type="dxa"/>
          <w:shd w:val="clear" w:color="auto" w:fill="auto"/>
        </w:tcPr>
        <w:p w:rsidR="00724DCE" w:rsidRPr="00BE521E" w:rsidRDefault="00724DCE" w:rsidP="00BE521E">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11-64743 (C)</w:t>
          </w:r>
          <w:r>
            <w:rPr>
              <w:b w:val="0"/>
              <w:w w:val="103"/>
              <w:sz w:val="14"/>
            </w:rPr>
            <w:fldChar w:fldCharType="end"/>
          </w:r>
        </w:p>
      </w:tc>
    </w:tr>
  </w:tbl>
  <w:p w:rsidR="00724DCE" w:rsidRPr="00BE521E" w:rsidRDefault="00724DCE" w:rsidP="00BE5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724DCE" w:rsidTr="00BE521E">
      <w:tblPrEx>
        <w:tblCellMar>
          <w:top w:w="0" w:type="dxa"/>
          <w:bottom w:w="0" w:type="dxa"/>
        </w:tblCellMar>
      </w:tblPrEx>
      <w:tc>
        <w:tcPr>
          <w:tcW w:w="5033" w:type="dxa"/>
        </w:tcPr>
        <w:p w:rsidR="00724DCE" w:rsidRDefault="00724DCE" w:rsidP="00BE521E">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11-64743 (C)</w:t>
          </w:r>
          <w:r>
            <w:rPr>
              <w:b w:val="0"/>
              <w:sz w:val="21"/>
            </w:rPr>
            <w:fldChar w:fldCharType="end"/>
          </w:r>
          <w:r>
            <w:rPr>
              <w:b w:val="0"/>
              <w:sz w:val="21"/>
            </w:rPr>
            <w:t xml:space="preserve">    1</w:t>
          </w:r>
          <w:r>
            <w:rPr>
              <w:rFonts w:hint="eastAsia"/>
              <w:b w:val="0"/>
              <w:sz w:val="21"/>
            </w:rPr>
            <w:t>0</w:t>
          </w:r>
          <w:r>
            <w:rPr>
              <w:b w:val="0"/>
              <w:sz w:val="21"/>
            </w:rPr>
            <w:t>0712    1</w:t>
          </w:r>
          <w:r>
            <w:rPr>
              <w:rFonts w:hint="eastAsia"/>
              <w:b w:val="0"/>
              <w:sz w:val="21"/>
            </w:rPr>
            <w:t>6</w:t>
          </w:r>
          <w:r>
            <w:rPr>
              <w:b w:val="0"/>
              <w:sz w:val="21"/>
            </w:rPr>
            <w:t>0712</w:t>
          </w:r>
        </w:p>
        <w:p w:rsidR="00724DCE" w:rsidRPr="00BE521E" w:rsidRDefault="00724DCE" w:rsidP="00BE521E">
          <w:pPr>
            <w:spacing w:before="80" w:line="210" w:lineRule="exact"/>
            <w:rPr>
              <w:rFonts w:ascii="Barcode 3 of 9 by request" w:hAnsi="Barcode 3 of 9 by request"/>
              <w:sz w:val="24"/>
            </w:rPr>
          </w:pPr>
          <w:r>
            <w:rPr>
              <w:rFonts w:ascii="Barcode 3 of 9 by request" w:hAnsi="Barcode 3 of 9 by request" w:hint="eastAsia"/>
              <w:sz w:val="24"/>
            </w:rPr>
            <w:t>*1264743S*</w:t>
          </w:r>
        </w:p>
      </w:tc>
      <w:tc>
        <w:tcPr>
          <w:tcW w:w="3686" w:type="dxa"/>
        </w:tcPr>
        <w:p w:rsidR="00724DCE" w:rsidRDefault="00724DCE" w:rsidP="00BE521E">
          <w:pPr>
            <w:pStyle w:val="Footer"/>
            <w:jc w:val="right"/>
            <w:rPr>
              <w:b w:val="0"/>
              <w:sz w:val="21"/>
            </w:rPr>
          </w:pPr>
          <w:r w:rsidRPr="00BE521E">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724DCE" w:rsidRPr="00BE521E" w:rsidRDefault="00724DCE" w:rsidP="00BE521E">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34" w:rsidRPr="00D03498" w:rsidRDefault="00602C34" w:rsidP="00D03498">
      <w:pPr>
        <w:pStyle w:val="Footer"/>
        <w:spacing w:after="80"/>
        <w:ind w:left="792"/>
        <w:rPr>
          <w:sz w:val="16"/>
        </w:rPr>
      </w:pPr>
      <w:r w:rsidRPr="00D03498">
        <w:rPr>
          <w:sz w:val="16"/>
        </w:rPr>
        <w:t>__________________</w:t>
      </w:r>
    </w:p>
  </w:footnote>
  <w:footnote w:type="continuationSeparator" w:id="0">
    <w:p w:rsidR="00602C34" w:rsidRPr="00D03498" w:rsidRDefault="00602C34" w:rsidP="00D03498">
      <w:pPr>
        <w:pStyle w:val="Footer"/>
        <w:spacing w:after="80"/>
        <w:ind w:left="792"/>
        <w:rPr>
          <w:sz w:val="16"/>
        </w:rPr>
      </w:pPr>
      <w:r w:rsidRPr="00D03498">
        <w:rPr>
          <w:sz w:val="16"/>
        </w:rPr>
        <w:t>__________________</w:t>
      </w:r>
    </w:p>
  </w:footnote>
  <w:footnote w:id="1">
    <w:p w:rsidR="00724DCE" w:rsidRDefault="00724DCE" w:rsidP="00D03498">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315350">
        <w:rPr>
          <w:rFonts w:ascii="KaiTi_GB2312" w:eastAsia="KaiTi_GB2312" w:hint="eastAsia"/>
        </w:rPr>
        <w:t>资料来源</w:t>
      </w:r>
      <w:r w:rsidRPr="00315350">
        <w:rPr>
          <w:rFonts w:hint="eastAsia"/>
        </w:rPr>
        <w:t>：国家统计局：《多米尼加共和国和拉丁美洲和加勒比经济委员会</w:t>
      </w:r>
      <w:r w:rsidRPr="00315350">
        <w:t>(</w:t>
      </w:r>
      <w:r w:rsidRPr="00315350">
        <w:rPr>
          <w:rFonts w:hint="eastAsia"/>
        </w:rPr>
        <w:t>拉加经委会</w:t>
      </w:r>
      <w:r w:rsidRPr="00315350">
        <w:t>)</w:t>
      </w:r>
      <w:r w:rsidRPr="00315350">
        <w:rPr>
          <w:rFonts w:hint="eastAsia"/>
        </w:rPr>
        <w:t>》，</w:t>
      </w:r>
      <w:r w:rsidRPr="00315350">
        <w:t>200</w:t>
      </w:r>
      <w:r w:rsidRPr="00315350">
        <w:rPr>
          <w:rFonts w:hint="eastAsia"/>
        </w:rPr>
        <w:t>8年。</w:t>
      </w:r>
    </w:p>
  </w:footnote>
  <w:footnote w:id="2">
    <w:p w:rsidR="00724DCE" w:rsidRDefault="00724DCE" w:rsidP="00D03498">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CC735F">
        <w:rPr>
          <w:rFonts w:hAnsi="SimSun" w:cs="SimSun" w:hint="eastAsia"/>
        </w:rPr>
        <w:t>韩国开发研究院</w:t>
      </w:r>
      <w:r>
        <w:rPr>
          <w:rFonts w:hAnsi="SimSun" w:cs="SimSun" w:hint="eastAsia"/>
        </w:rPr>
        <w:t>，</w:t>
      </w:r>
      <w:r>
        <w:t>2009</w:t>
      </w:r>
      <w:r>
        <w:rPr>
          <w:rFonts w:hint="eastAsia"/>
        </w:rPr>
        <w:t>年；世界银行发展</w:t>
      </w:r>
      <w:r>
        <w:rPr>
          <w:rFonts w:hAnsi="SimSun" w:cs="SimSun" w:hint="eastAsia"/>
        </w:rPr>
        <w:t>政策简报。</w:t>
      </w:r>
    </w:p>
  </w:footnote>
  <w:footnote w:id="3">
    <w:p w:rsidR="00724DCE" w:rsidRDefault="00724DCE" w:rsidP="00D03498">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D133A1">
        <w:rPr>
          <w:rFonts w:ascii="KaiTi_GB2312" w:eastAsia="KaiTi_GB2312" w:hint="eastAsia"/>
        </w:rPr>
        <w:t>资料来源</w:t>
      </w:r>
      <w:r>
        <w:rPr>
          <w:rFonts w:hint="eastAsia"/>
        </w:rPr>
        <w:t>：多米尼加共和国中央银行。</w:t>
      </w:r>
    </w:p>
  </w:footnote>
  <w:footnote w:id="4">
    <w:p w:rsidR="00724DCE" w:rsidRPr="002460D7" w:rsidRDefault="00724DCE" w:rsidP="009616F2">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460D7">
        <w:rPr>
          <w:rFonts w:hint="eastAsia"/>
        </w:rPr>
        <w:t>资料来源</w:t>
      </w:r>
      <w:r>
        <w:rPr>
          <w:rFonts w:hint="eastAsia"/>
        </w:rPr>
        <w:t>：</w:t>
      </w:r>
      <w:r w:rsidRPr="002460D7">
        <w:rPr>
          <w:rFonts w:hint="eastAsia"/>
        </w:rPr>
        <w:t>《国家保健服务》，2009年。</w:t>
      </w:r>
    </w:p>
  </w:footnote>
  <w:footnote w:id="5">
    <w:p w:rsidR="00724DCE" w:rsidRDefault="00724DCE" w:rsidP="0090618F">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Style w:val="FootnoteReference"/>
        </w:rPr>
        <w:footnoteRef/>
      </w:r>
      <w:r>
        <w:rPr>
          <w:rFonts w:hint="eastAsia"/>
        </w:rPr>
        <w:tab/>
        <w:t>中央选举委员会官方数据。</w:t>
      </w:r>
    </w:p>
  </w:footnote>
  <w:footnote w:id="6">
    <w:p w:rsidR="00724DCE" w:rsidRDefault="00724DCE" w:rsidP="0085435B">
      <w:pPr>
        <w:pStyle w:val="FootnoteText"/>
        <w:tabs>
          <w:tab w:val="clear" w:pos="418"/>
          <w:tab w:val="right" w:pos="1195"/>
          <w:tab w:val="left" w:pos="1264"/>
          <w:tab w:val="left" w:pos="1695"/>
          <w:tab w:val="left" w:pos="2126"/>
          <w:tab w:val="left" w:pos="2557"/>
        </w:tabs>
        <w:ind w:left="1264" w:right="1264" w:hanging="432"/>
      </w:pPr>
      <w:r>
        <w:tab/>
      </w:r>
      <w:r w:rsidRPr="00B96A27">
        <w:rPr>
          <w:rStyle w:val="FootnoteReference"/>
        </w:rPr>
        <w:footnoteRef/>
      </w:r>
      <w:r>
        <w:tab/>
      </w:r>
      <w:r w:rsidRPr="006B3078">
        <w:rPr>
          <w:rFonts w:hint="eastAsia"/>
        </w:rPr>
        <w:t>多米尼加共和国的社会指标体系，2010年7月。</w:t>
      </w:r>
    </w:p>
  </w:footnote>
  <w:footnote w:id="7">
    <w:p w:rsidR="00724DCE" w:rsidRPr="00516B52" w:rsidRDefault="00724DCE" w:rsidP="0085435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16B52">
        <w:rPr>
          <w:rFonts w:hint="eastAsia"/>
        </w:rPr>
        <w:t>多米尼加共和国的社会指标体系，2010年7月。</w:t>
      </w:r>
    </w:p>
  </w:footnote>
  <w:footnote w:id="8">
    <w:p w:rsidR="00724DCE" w:rsidRPr="00516B52" w:rsidRDefault="00724DCE" w:rsidP="0085435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16B52">
        <w:rPr>
          <w:rFonts w:hint="eastAsia"/>
        </w:rPr>
        <w:t>《多明尼加女统计概况》，妇女事务部，2010年，多米尼加共和国的社会指标体系和全国就业调查，2000-2009年。</w:t>
      </w:r>
    </w:p>
  </w:footnote>
  <w:footnote w:id="9">
    <w:p w:rsidR="00724DCE" w:rsidRDefault="00724DCE" w:rsidP="0085435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rFonts w:hint="eastAsia"/>
        </w:rPr>
        <w:t>同上。</w:t>
      </w:r>
    </w:p>
  </w:footnote>
  <w:footnote w:id="10">
    <w:p w:rsidR="00724DCE" w:rsidRDefault="00724DCE" w:rsidP="0085435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rFonts w:hint="eastAsia"/>
        </w:rPr>
        <w:t>同上。</w:t>
      </w:r>
    </w:p>
  </w:footnote>
  <w:footnote w:id="11">
    <w:p w:rsidR="00724DCE" w:rsidRDefault="00724DCE" w:rsidP="0085435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rFonts w:hint="eastAsia"/>
        </w:rPr>
        <w:t>同上。</w:t>
      </w:r>
    </w:p>
  </w:footnote>
  <w:footnote w:id="12">
    <w:p w:rsidR="00724DCE" w:rsidRDefault="00724DCE" w:rsidP="0085435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16B52">
        <w:rPr>
          <w:rFonts w:hint="eastAsia"/>
        </w:rPr>
        <w:t>《</w:t>
      </w:r>
      <w:r w:rsidRPr="00516B52">
        <w:t>多米尼加共和国妇女状况和地位研究</w:t>
      </w:r>
      <w:r w:rsidRPr="00516B52">
        <w:rPr>
          <w:rFonts w:hint="eastAsia"/>
        </w:rPr>
        <w:t>》</w:t>
      </w:r>
      <w:r w:rsidRPr="00516B52">
        <w:t>，</w:t>
      </w:r>
      <w:r>
        <w:rPr>
          <w:rFonts w:hint="eastAsia"/>
        </w:rPr>
        <w:t>《</w:t>
      </w:r>
      <w:r w:rsidRPr="00516B52">
        <w:t>多明尼加女统计</w:t>
      </w:r>
      <w:r w:rsidRPr="00516B52">
        <w:rPr>
          <w:rFonts w:hint="eastAsia"/>
        </w:rPr>
        <w:t>概况》</w:t>
      </w:r>
      <w:r w:rsidRPr="00516B52">
        <w:t>，妇女</w:t>
      </w:r>
      <w:r w:rsidRPr="00516B52">
        <w:rPr>
          <w:rFonts w:hint="eastAsia"/>
        </w:rPr>
        <w:t>事务</w:t>
      </w:r>
      <w:r w:rsidRPr="00516B52">
        <w:t>部，2010</w:t>
      </w:r>
      <w:r w:rsidRPr="00516B52">
        <w:rPr>
          <w:rFonts w:hint="eastAsia"/>
        </w:rPr>
        <w:t>年。</w:t>
      </w:r>
    </w:p>
  </w:footnote>
  <w:footnote w:id="13">
    <w:p w:rsidR="00724DCE" w:rsidRPr="00436FB1" w:rsidRDefault="00724DCE" w:rsidP="0085435B">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436FB1">
        <w:rPr>
          <w:rFonts w:hint="eastAsia"/>
        </w:rPr>
        <w:t>拉丁美洲人口中心，2008年，经修订的预测。</w:t>
      </w:r>
    </w:p>
  </w:footnote>
  <w:footnote w:id="14">
    <w:p w:rsidR="00724DCE" w:rsidRPr="00436FB1" w:rsidRDefault="00724DCE" w:rsidP="0085435B">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436FB1">
        <w:rPr>
          <w:rFonts w:hint="eastAsia"/>
        </w:rPr>
        <w:t>同上。</w:t>
      </w:r>
    </w:p>
  </w:footnote>
  <w:footnote w:id="15">
    <w:p w:rsidR="00724DCE" w:rsidRPr="00436FB1" w:rsidRDefault="00724DCE" w:rsidP="0085435B">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436FB1">
        <w:rPr>
          <w:rFonts w:hint="eastAsia"/>
        </w:rPr>
        <w:t>2007年人口与健康调查。</w:t>
      </w:r>
    </w:p>
  </w:footnote>
  <w:footnote w:id="16">
    <w:p w:rsidR="00724DCE" w:rsidRDefault="00724DCE" w:rsidP="0085435B">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lang w:val="zh-CN"/>
        </w:rPr>
        <w:t>同上。</w:t>
      </w:r>
    </w:p>
  </w:footnote>
  <w:footnote w:id="17">
    <w:p w:rsidR="00724DCE" w:rsidRPr="00436FB1" w:rsidRDefault="00724DCE" w:rsidP="0085435B">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436FB1">
        <w:rPr>
          <w:rFonts w:hint="eastAsia"/>
        </w:rPr>
        <w:t>妇女部，Mujer Dominicana en Cifras，2010年，劳动保健与风险总监办公室的数据库。</w:t>
      </w:r>
    </w:p>
  </w:footnote>
  <w:footnote w:id="18">
    <w:p w:rsidR="00724DCE" w:rsidRPr="00436FB1" w:rsidRDefault="00724DCE" w:rsidP="0085435B">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436FB1">
        <w:rPr>
          <w:rFonts w:hint="eastAsia"/>
        </w:rPr>
        <w:t>同上。</w:t>
      </w:r>
    </w:p>
  </w:footnote>
  <w:footnote w:id="19">
    <w:p w:rsidR="00724DCE" w:rsidRDefault="00724DCE" w:rsidP="0085435B">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lang w:val="zh-CN"/>
        </w:rPr>
        <w:t>同上。</w:t>
      </w:r>
    </w:p>
  </w:footnote>
  <w:footnote w:id="20">
    <w:p w:rsidR="00724DCE" w:rsidRPr="001A3C00" w:rsidRDefault="00724DCE" w:rsidP="0085435B">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1A3C00">
        <w:rPr>
          <w:rFonts w:hint="eastAsia"/>
        </w:rPr>
        <w:t>ONE，国民多目的调查，2007年。</w:t>
      </w:r>
    </w:p>
  </w:footnote>
  <w:footnote w:id="21">
    <w:p w:rsidR="00724DCE" w:rsidRDefault="00724DCE" w:rsidP="0085435B">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同上。</w:t>
      </w:r>
    </w:p>
  </w:footnote>
  <w:footnote w:id="22">
    <w:p w:rsidR="00724DCE" w:rsidRDefault="00724DCE" w:rsidP="00326565">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F5389">
        <w:rPr>
          <w:rFonts w:hint="eastAsia"/>
        </w:rPr>
        <w:t>DSPMRD，妇女部，2010年。</w:t>
      </w:r>
    </w:p>
  </w:footnote>
  <w:footnote w:id="23">
    <w:p w:rsidR="00724DCE" w:rsidRPr="008F5389" w:rsidRDefault="00724DCE" w:rsidP="0032656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F5389">
        <w:rPr>
          <w:rFonts w:hint="eastAsia"/>
        </w:rPr>
        <w:t>国家规划办公室，2003年。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24DCE" w:rsidTr="00BE521E">
      <w:tblPrEx>
        <w:tblCellMar>
          <w:top w:w="0" w:type="dxa"/>
          <w:bottom w:w="0" w:type="dxa"/>
        </w:tblCellMar>
      </w:tblPrEx>
      <w:trPr>
        <w:trHeight w:hRule="exact" w:val="864"/>
      </w:trPr>
      <w:tc>
        <w:tcPr>
          <w:tcW w:w="4838" w:type="dxa"/>
          <w:shd w:val="clear" w:color="auto" w:fill="auto"/>
          <w:vAlign w:val="bottom"/>
        </w:tcPr>
        <w:p w:rsidR="00724DCE" w:rsidRPr="00BE521E" w:rsidRDefault="00724DCE" w:rsidP="00BE521E">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CEDAW/C/DOM/6-7</w:t>
          </w:r>
          <w:r>
            <w:rPr>
              <w:b/>
              <w:sz w:val="17"/>
            </w:rPr>
            <w:fldChar w:fldCharType="end"/>
          </w:r>
        </w:p>
      </w:tc>
      <w:tc>
        <w:tcPr>
          <w:tcW w:w="5033" w:type="dxa"/>
          <w:shd w:val="clear" w:color="auto" w:fill="auto"/>
          <w:vAlign w:val="bottom"/>
        </w:tcPr>
        <w:p w:rsidR="00724DCE" w:rsidRDefault="00724DCE" w:rsidP="00BE521E">
          <w:pPr>
            <w:pStyle w:val="Header"/>
          </w:pPr>
        </w:p>
      </w:tc>
    </w:tr>
  </w:tbl>
  <w:p w:rsidR="00724DCE" w:rsidRPr="00BE521E" w:rsidRDefault="00724DCE" w:rsidP="00BE5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24DCE" w:rsidTr="00BE521E">
      <w:tblPrEx>
        <w:tblCellMar>
          <w:top w:w="0" w:type="dxa"/>
          <w:bottom w:w="0" w:type="dxa"/>
        </w:tblCellMar>
      </w:tblPrEx>
      <w:trPr>
        <w:trHeight w:hRule="exact" w:val="864"/>
      </w:trPr>
      <w:tc>
        <w:tcPr>
          <w:tcW w:w="4838" w:type="dxa"/>
          <w:shd w:val="clear" w:color="auto" w:fill="auto"/>
          <w:vAlign w:val="bottom"/>
        </w:tcPr>
        <w:p w:rsidR="00724DCE" w:rsidRDefault="00724DCE" w:rsidP="00BE521E">
          <w:pPr>
            <w:pStyle w:val="Header"/>
          </w:pPr>
        </w:p>
      </w:tc>
      <w:tc>
        <w:tcPr>
          <w:tcW w:w="5033" w:type="dxa"/>
          <w:shd w:val="clear" w:color="auto" w:fill="auto"/>
          <w:vAlign w:val="bottom"/>
        </w:tcPr>
        <w:p w:rsidR="00724DCE" w:rsidRPr="00BE521E" w:rsidRDefault="00724DCE" w:rsidP="00BE521E">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CEDAW/C/DOM/6-7</w:t>
          </w:r>
          <w:r>
            <w:rPr>
              <w:b/>
              <w:sz w:val="17"/>
            </w:rPr>
            <w:fldChar w:fldCharType="end"/>
          </w:r>
        </w:p>
      </w:tc>
    </w:tr>
  </w:tbl>
  <w:p w:rsidR="00724DCE" w:rsidRPr="00BE521E" w:rsidRDefault="00724DCE" w:rsidP="00BE5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24DCE" w:rsidTr="00BE521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24DCE" w:rsidRDefault="00724DCE" w:rsidP="00BE521E">
          <w:pPr>
            <w:pStyle w:val="Header"/>
            <w:spacing w:after="120"/>
          </w:pPr>
        </w:p>
      </w:tc>
      <w:tc>
        <w:tcPr>
          <w:tcW w:w="1872" w:type="dxa"/>
          <w:tcBorders>
            <w:bottom w:val="single" w:sz="4" w:space="0" w:color="auto"/>
          </w:tcBorders>
          <w:shd w:val="clear" w:color="auto" w:fill="auto"/>
          <w:vAlign w:val="bottom"/>
        </w:tcPr>
        <w:p w:rsidR="00724DCE" w:rsidRPr="00BE521E" w:rsidRDefault="00724DCE" w:rsidP="00BE521E">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724DCE" w:rsidRDefault="00724DCE" w:rsidP="00BE521E">
          <w:pPr>
            <w:pStyle w:val="Header"/>
            <w:spacing w:after="120"/>
          </w:pPr>
        </w:p>
      </w:tc>
      <w:tc>
        <w:tcPr>
          <w:tcW w:w="6523" w:type="dxa"/>
          <w:gridSpan w:val="3"/>
          <w:tcBorders>
            <w:bottom w:val="single" w:sz="4" w:space="0" w:color="auto"/>
          </w:tcBorders>
          <w:shd w:val="clear" w:color="auto" w:fill="auto"/>
          <w:vAlign w:val="bottom"/>
        </w:tcPr>
        <w:p w:rsidR="00724DCE" w:rsidRPr="00BE521E" w:rsidRDefault="00724DCE" w:rsidP="00BE521E">
          <w:pPr>
            <w:spacing w:after="80" w:line="240" w:lineRule="auto"/>
            <w:jc w:val="right"/>
            <w:rPr>
              <w:rFonts w:ascii="Times New Roman"/>
              <w:position w:val="-4"/>
            </w:rPr>
          </w:pPr>
          <w:r>
            <w:rPr>
              <w:rFonts w:ascii="Times New Roman"/>
              <w:position w:val="-4"/>
              <w:sz w:val="40"/>
            </w:rPr>
            <w:t>CEDAW</w:t>
          </w:r>
          <w:r>
            <w:rPr>
              <w:rFonts w:ascii="Times New Roman"/>
              <w:position w:val="-4"/>
            </w:rPr>
            <w:t>/C/DOM/6-7</w:t>
          </w:r>
        </w:p>
      </w:tc>
    </w:tr>
    <w:tr w:rsidR="00724DCE" w:rsidRPr="00BE521E" w:rsidTr="00BE521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24DCE" w:rsidRDefault="00724DCE" w:rsidP="00BE521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24DCE" w:rsidRPr="00BE521E" w:rsidRDefault="00724DCE" w:rsidP="00BE521E">
          <w:pPr>
            <w:pStyle w:val="Header"/>
            <w:spacing w:before="109"/>
            <w:ind w:left="-72"/>
          </w:pPr>
        </w:p>
      </w:tc>
      <w:tc>
        <w:tcPr>
          <w:tcW w:w="5227" w:type="dxa"/>
          <w:gridSpan w:val="3"/>
          <w:tcBorders>
            <w:top w:val="single" w:sz="4" w:space="0" w:color="auto"/>
            <w:bottom w:val="single" w:sz="12" w:space="0" w:color="auto"/>
          </w:tcBorders>
          <w:shd w:val="clear" w:color="auto" w:fill="auto"/>
        </w:tcPr>
        <w:p w:rsidR="00724DCE" w:rsidRPr="00BE521E" w:rsidRDefault="00724DCE" w:rsidP="00BE521E">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724DCE" w:rsidRPr="00BE521E" w:rsidRDefault="00724DCE" w:rsidP="00BE521E">
          <w:pPr>
            <w:pStyle w:val="Header"/>
            <w:spacing w:before="109"/>
          </w:pPr>
        </w:p>
      </w:tc>
      <w:tc>
        <w:tcPr>
          <w:tcW w:w="3180" w:type="dxa"/>
          <w:gridSpan w:val="2"/>
          <w:tcBorders>
            <w:top w:val="single" w:sz="4" w:space="0" w:color="auto"/>
            <w:bottom w:val="single" w:sz="12" w:space="0" w:color="auto"/>
          </w:tcBorders>
          <w:shd w:val="clear" w:color="auto" w:fill="auto"/>
        </w:tcPr>
        <w:p w:rsidR="00724DCE" w:rsidRDefault="00724DCE" w:rsidP="00BE521E">
          <w:pPr>
            <w:spacing w:before="240" w:line="240" w:lineRule="exact"/>
            <w:rPr>
              <w:rFonts w:ascii="Times New Roman"/>
            </w:rPr>
          </w:pPr>
          <w:r>
            <w:rPr>
              <w:rFonts w:ascii="Times New Roman"/>
            </w:rPr>
            <w:t>Distr.: General</w:t>
          </w:r>
        </w:p>
        <w:p w:rsidR="00724DCE" w:rsidRDefault="00724DCE" w:rsidP="00BE521E">
          <w:pPr>
            <w:spacing w:line="240" w:lineRule="exact"/>
            <w:rPr>
              <w:rFonts w:ascii="Times New Roman"/>
            </w:rPr>
          </w:pPr>
          <w:r>
            <w:rPr>
              <w:rFonts w:ascii="Times New Roman"/>
            </w:rPr>
            <w:t>21 December 2011</w:t>
          </w:r>
        </w:p>
        <w:p w:rsidR="00724DCE" w:rsidRDefault="00724DCE" w:rsidP="00BE521E">
          <w:pPr>
            <w:spacing w:line="240" w:lineRule="exact"/>
            <w:rPr>
              <w:rFonts w:ascii="Times New Roman"/>
            </w:rPr>
          </w:pPr>
          <w:r>
            <w:rPr>
              <w:rFonts w:ascii="Times New Roman"/>
            </w:rPr>
            <w:t>Chinese</w:t>
          </w:r>
        </w:p>
        <w:p w:rsidR="00724DCE" w:rsidRPr="00BE521E" w:rsidRDefault="00724DCE" w:rsidP="00BE521E">
          <w:pPr>
            <w:spacing w:line="240" w:lineRule="exact"/>
            <w:rPr>
              <w:rFonts w:ascii="Times New Roman"/>
            </w:rPr>
          </w:pPr>
          <w:r>
            <w:rPr>
              <w:rFonts w:ascii="Times New Roman"/>
            </w:rPr>
            <w:t>Original: Spanish</w:t>
          </w:r>
        </w:p>
      </w:tc>
    </w:tr>
  </w:tbl>
  <w:p w:rsidR="00724DCE" w:rsidRPr="00BE521E" w:rsidRDefault="00724DCE" w:rsidP="00BE521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743*"/>
    <w:docVar w:name="CreationDt" w:val="12/07/2012 09:12:03"/>
    <w:docVar w:name="DocCategory" w:val="Doc"/>
    <w:docVar w:name="DocType" w:val="Final"/>
    <w:docVar w:name="FooterJN" w:val="11-64743 (C)"/>
    <w:docVar w:name="Jobn" w:val="11-64743 (C)"/>
    <w:docVar w:name="jobnDT" w:val="12-64743 (C)   120712"/>
    <w:docVar w:name="jobnDTDT" w:val="12-64743 (C)   120712   120712"/>
    <w:docVar w:name="JobNo" w:val="1164743C"/>
    <w:docVar w:name="OandT" w:val="xu"/>
    <w:docVar w:name="sss1" w:val="CEDAW/C/DOM/6-7"/>
    <w:docVar w:name="sss2" w:val="-"/>
    <w:docVar w:name="Symbol1" w:val="CEDAW/C/DOM/6-7"/>
    <w:docVar w:name="Symbol2" w:val="-"/>
  </w:docVars>
  <w:rsids>
    <w:rsidRoot w:val="009D4848"/>
    <w:rsid w:val="0000347C"/>
    <w:rsid w:val="000125BC"/>
    <w:rsid w:val="0001645E"/>
    <w:rsid w:val="00021A2B"/>
    <w:rsid w:val="00036AA2"/>
    <w:rsid w:val="00037B39"/>
    <w:rsid w:val="00044CA4"/>
    <w:rsid w:val="00044EE9"/>
    <w:rsid w:val="00045EFE"/>
    <w:rsid w:val="0007337D"/>
    <w:rsid w:val="000758DF"/>
    <w:rsid w:val="00076EB8"/>
    <w:rsid w:val="00077AEE"/>
    <w:rsid w:val="00082CCB"/>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506F"/>
    <w:rsid w:val="001B2814"/>
    <w:rsid w:val="001B4F95"/>
    <w:rsid w:val="001C3F7F"/>
    <w:rsid w:val="001C5166"/>
    <w:rsid w:val="001D0354"/>
    <w:rsid w:val="001D3F72"/>
    <w:rsid w:val="001E20EC"/>
    <w:rsid w:val="001E4442"/>
    <w:rsid w:val="001E5A51"/>
    <w:rsid w:val="001F03A7"/>
    <w:rsid w:val="001F2F76"/>
    <w:rsid w:val="00203760"/>
    <w:rsid w:val="00207135"/>
    <w:rsid w:val="002145EA"/>
    <w:rsid w:val="00231575"/>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B7E06"/>
    <w:rsid w:val="002C2254"/>
    <w:rsid w:val="002C3BC9"/>
    <w:rsid w:val="002C54DB"/>
    <w:rsid w:val="002D039F"/>
    <w:rsid w:val="002D0694"/>
    <w:rsid w:val="002D0B62"/>
    <w:rsid w:val="002D4ACE"/>
    <w:rsid w:val="002D5503"/>
    <w:rsid w:val="002E66D5"/>
    <w:rsid w:val="002F41E2"/>
    <w:rsid w:val="00320C99"/>
    <w:rsid w:val="00326565"/>
    <w:rsid w:val="003274A9"/>
    <w:rsid w:val="00331221"/>
    <w:rsid w:val="00346223"/>
    <w:rsid w:val="00351324"/>
    <w:rsid w:val="00363610"/>
    <w:rsid w:val="003649EE"/>
    <w:rsid w:val="00371BC6"/>
    <w:rsid w:val="00373A15"/>
    <w:rsid w:val="00383ACA"/>
    <w:rsid w:val="00384CB1"/>
    <w:rsid w:val="00387F33"/>
    <w:rsid w:val="00394A02"/>
    <w:rsid w:val="003C7B20"/>
    <w:rsid w:val="003D075F"/>
    <w:rsid w:val="003E4565"/>
    <w:rsid w:val="003E748F"/>
    <w:rsid w:val="003E7612"/>
    <w:rsid w:val="003F3269"/>
    <w:rsid w:val="00414423"/>
    <w:rsid w:val="004411AD"/>
    <w:rsid w:val="004424EF"/>
    <w:rsid w:val="00444417"/>
    <w:rsid w:val="0045173D"/>
    <w:rsid w:val="00453BB0"/>
    <w:rsid w:val="00460162"/>
    <w:rsid w:val="004620A8"/>
    <w:rsid w:val="00466BB5"/>
    <w:rsid w:val="004700CF"/>
    <w:rsid w:val="00487444"/>
    <w:rsid w:val="00493C9C"/>
    <w:rsid w:val="004A06D1"/>
    <w:rsid w:val="004A11FC"/>
    <w:rsid w:val="004B2C67"/>
    <w:rsid w:val="004B7036"/>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35B9"/>
    <w:rsid w:val="00536CCE"/>
    <w:rsid w:val="00552CE5"/>
    <w:rsid w:val="005541E4"/>
    <w:rsid w:val="00562FE7"/>
    <w:rsid w:val="0057094A"/>
    <w:rsid w:val="00570BD4"/>
    <w:rsid w:val="0057450D"/>
    <w:rsid w:val="0058302A"/>
    <w:rsid w:val="005A175A"/>
    <w:rsid w:val="005B7338"/>
    <w:rsid w:val="005C02AB"/>
    <w:rsid w:val="005C0E92"/>
    <w:rsid w:val="005C5FC3"/>
    <w:rsid w:val="005D0F04"/>
    <w:rsid w:val="005F12F0"/>
    <w:rsid w:val="005F3273"/>
    <w:rsid w:val="005F34A3"/>
    <w:rsid w:val="006005F7"/>
    <w:rsid w:val="00602C34"/>
    <w:rsid w:val="00610CF2"/>
    <w:rsid w:val="006328DE"/>
    <w:rsid w:val="006353DE"/>
    <w:rsid w:val="006479F1"/>
    <w:rsid w:val="00650BEE"/>
    <w:rsid w:val="006520FA"/>
    <w:rsid w:val="0065377D"/>
    <w:rsid w:val="00666F57"/>
    <w:rsid w:val="006740A7"/>
    <w:rsid w:val="006767D5"/>
    <w:rsid w:val="00691524"/>
    <w:rsid w:val="006A654B"/>
    <w:rsid w:val="006C4BB3"/>
    <w:rsid w:val="006E2924"/>
    <w:rsid w:val="006E4CFD"/>
    <w:rsid w:val="006E7A26"/>
    <w:rsid w:val="006F2B3D"/>
    <w:rsid w:val="007052CC"/>
    <w:rsid w:val="00724DCE"/>
    <w:rsid w:val="007319E0"/>
    <w:rsid w:val="007345AA"/>
    <w:rsid w:val="00737B00"/>
    <w:rsid w:val="0075155C"/>
    <w:rsid w:val="00753A05"/>
    <w:rsid w:val="00757193"/>
    <w:rsid w:val="00761190"/>
    <w:rsid w:val="007717B0"/>
    <w:rsid w:val="00776537"/>
    <w:rsid w:val="00783A25"/>
    <w:rsid w:val="007877F4"/>
    <w:rsid w:val="007A74BB"/>
    <w:rsid w:val="007C74B9"/>
    <w:rsid w:val="007E1B5E"/>
    <w:rsid w:val="007E6253"/>
    <w:rsid w:val="007F2278"/>
    <w:rsid w:val="00803014"/>
    <w:rsid w:val="00805783"/>
    <w:rsid w:val="00806F57"/>
    <w:rsid w:val="00806F90"/>
    <w:rsid w:val="008246FC"/>
    <w:rsid w:val="00824C19"/>
    <w:rsid w:val="00826250"/>
    <w:rsid w:val="008349F9"/>
    <w:rsid w:val="008378D1"/>
    <w:rsid w:val="00846462"/>
    <w:rsid w:val="0085435B"/>
    <w:rsid w:val="008574F1"/>
    <w:rsid w:val="0086691F"/>
    <w:rsid w:val="00883DB0"/>
    <w:rsid w:val="00884C8F"/>
    <w:rsid w:val="00896D38"/>
    <w:rsid w:val="008A0216"/>
    <w:rsid w:val="008C3296"/>
    <w:rsid w:val="008C3413"/>
    <w:rsid w:val="008E2D03"/>
    <w:rsid w:val="008F2BB5"/>
    <w:rsid w:val="008F425D"/>
    <w:rsid w:val="008F5472"/>
    <w:rsid w:val="008F5D0F"/>
    <w:rsid w:val="0090618F"/>
    <w:rsid w:val="009122E0"/>
    <w:rsid w:val="00913351"/>
    <w:rsid w:val="00934C40"/>
    <w:rsid w:val="009616F2"/>
    <w:rsid w:val="0096193C"/>
    <w:rsid w:val="009769E1"/>
    <w:rsid w:val="00977E0D"/>
    <w:rsid w:val="00982D5C"/>
    <w:rsid w:val="00986132"/>
    <w:rsid w:val="00986C04"/>
    <w:rsid w:val="009A11E3"/>
    <w:rsid w:val="009A2F76"/>
    <w:rsid w:val="009D2AC2"/>
    <w:rsid w:val="009D4848"/>
    <w:rsid w:val="009E1774"/>
    <w:rsid w:val="009E2668"/>
    <w:rsid w:val="009E40A3"/>
    <w:rsid w:val="009E5C8C"/>
    <w:rsid w:val="009F10B1"/>
    <w:rsid w:val="009F47E3"/>
    <w:rsid w:val="009F6938"/>
    <w:rsid w:val="00A007D7"/>
    <w:rsid w:val="00A0537D"/>
    <w:rsid w:val="00A069AD"/>
    <w:rsid w:val="00A17A85"/>
    <w:rsid w:val="00A20856"/>
    <w:rsid w:val="00A24399"/>
    <w:rsid w:val="00A24CA5"/>
    <w:rsid w:val="00A33D6D"/>
    <w:rsid w:val="00A37345"/>
    <w:rsid w:val="00A40EA9"/>
    <w:rsid w:val="00A4532A"/>
    <w:rsid w:val="00A5206D"/>
    <w:rsid w:val="00A62BEE"/>
    <w:rsid w:val="00A72E47"/>
    <w:rsid w:val="00A90956"/>
    <w:rsid w:val="00A95404"/>
    <w:rsid w:val="00A968C5"/>
    <w:rsid w:val="00AA3C28"/>
    <w:rsid w:val="00AA759D"/>
    <w:rsid w:val="00AB2786"/>
    <w:rsid w:val="00AD4308"/>
    <w:rsid w:val="00AD53DB"/>
    <w:rsid w:val="00AF2A33"/>
    <w:rsid w:val="00B03EFA"/>
    <w:rsid w:val="00B11EB5"/>
    <w:rsid w:val="00B309DD"/>
    <w:rsid w:val="00B36621"/>
    <w:rsid w:val="00B36D64"/>
    <w:rsid w:val="00B41B48"/>
    <w:rsid w:val="00B56194"/>
    <w:rsid w:val="00B60F41"/>
    <w:rsid w:val="00B61A34"/>
    <w:rsid w:val="00B64E8E"/>
    <w:rsid w:val="00B65E8B"/>
    <w:rsid w:val="00B8025A"/>
    <w:rsid w:val="00B827B1"/>
    <w:rsid w:val="00B96A27"/>
    <w:rsid w:val="00BB23A4"/>
    <w:rsid w:val="00BC2276"/>
    <w:rsid w:val="00BD1BFF"/>
    <w:rsid w:val="00BD2150"/>
    <w:rsid w:val="00BE1CC3"/>
    <w:rsid w:val="00BE365A"/>
    <w:rsid w:val="00BE47C4"/>
    <w:rsid w:val="00BE521E"/>
    <w:rsid w:val="00C052A2"/>
    <w:rsid w:val="00C06A4A"/>
    <w:rsid w:val="00C1391A"/>
    <w:rsid w:val="00C14CE6"/>
    <w:rsid w:val="00C15218"/>
    <w:rsid w:val="00C2725D"/>
    <w:rsid w:val="00C31E79"/>
    <w:rsid w:val="00C403C9"/>
    <w:rsid w:val="00C42033"/>
    <w:rsid w:val="00C464DD"/>
    <w:rsid w:val="00C52423"/>
    <w:rsid w:val="00C62EF9"/>
    <w:rsid w:val="00C76854"/>
    <w:rsid w:val="00C900C5"/>
    <w:rsid w:val="00C92AE0"/>
    <w:rsid w:val="00C943B4"/>
    <w:rsid w:val="00CA450F"/>
    <w:rsid w:val="00CB2B1E"/>
    <w:rsid w:val="00CC3E8B"/>
    <w:rsid w:val="00CC4E84"/>
    <w:rsid w:val="00CD5641"/>
    <w:rsid w:val="00CE64AC"/>
    <w:rsid w:val="00CE7237"/>
    <w:rsid w:val="00CF49BA"/>
    <w:rsid w:val="00CF7718"/>
    <w:rsid w:val="00D03498"/>
    <w:rsid w:val="00D177F1"/>
    <w:rsid w:val="00D323B5"/>
    <w:rsid w:val="00D42ACC"/>
    <w:rsid w:val="00D50D33"/>
    <w:rsid w:val="00D51DC5"/>
    <w:rsid w:val="00D676D7"/>
    <w:rsid w:val="00D71517"/>
    <w:rsid w:val="00D7168D"/>
    <w:rsid w:val="00D874E1"/>
    <w:rsid w:val="00D9586D"/>
    <w:rsid w:val="00D9749C"/>
    <w:rsid w:val="00DA51B2"/>
    <w:rsid w:val="00DA5C6B"/>
    <w:rsid w:val="00DA6965"/>
    <w:rsid w:val="00DB0932"/>
    <w:rsid w:val="00DC2506"/>
    <w:rsid w:val="00DC49FA"/>
    <w:rsid w:val="00DD3D6B"/>
    <w:rsid w:val="00DD4467"/>
    <w:rsid w:val="00DD61C8"/>
    <w:rsid w:val="00DD772B"/>
    <w:rsid w:val="00DF742A"/>
    <w:rsid w:val="00E041F4"/>
    <w:rsid w:val="00E050BA"/>
    <w:rsid w:val="00E141E7"/>
    <w:rsid w:val="00E25442"/>
    <w:rsid w:val="00E25A1F"/>
    <w:rsid w:val="00E37EEB"/>
    <w:rsid w:val="00E710FB"/>
    <w:rsid w:val="00E806D9"/>
    <w:rsid w:val="00E82CA2"/>
    <w:rsid w:val="00E94E5A"/>
    <w:rsid w:val="00E95594"/>
    <w:rsid w:val="00EA31C3"/>
    <w:rsid w:val="00EB33AC"/>
    <w:rsid w:val="00EC669D"/>
    <w:rsid w:val="00EC6F21"/>
    <w:rsid w:val="00EE0913"/>
    <w:rsid w:val="00F01440"/>
    <w:rsid w:val="00F04C64"/>
    <w:rsid w:val="00F13305"/>
    <w:rsid w:val="00F13CF2"/>
    <w:rsid w:val="00F40463"/>
    <w:rsid w:val="00F50336"/>
    <w:rsid w:val="00F55E5B"/>
    <w:rsid w:val="00F569BC"/>
    <w:rsid w:val="00F62E3F"/>
    <w:rsid w:val="00F67F90"/>
    <w:rsid w:val="00F77B3E"/>
    <w:rsid w:val="00F833CB"/>
    <w:rsid w:val="00F87754"/>
    <w:rsid w:val="00F90A4B"/>
    <w:rsid w:val="00F90C56"/>
    <w:rsid w:val="00F93799"/>
    <w:rsid w:val="00FC1CE4"/>
    <w:rsid w:val="00FD594E"/>
    <w:rsid w:val="00FD75B9"/>
    <w:rsid w:val="00FE5FE8"/>
    <w:rsid w:val="00FF67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paragraph" w:customStyle="1" w:styleId="GB23126">
    <w:name w:val="样式 (中文) 楷体_GB2312 六号 蓝色 右 段后: 6 磅 行距: 单倍行距"/>
    <w:basedOn w:val="Normal"/>
    <w:rsid w:val="00A62BEE"/>
    <w:pPr>
      <w:spacing w:after="120" w:line="240" w:lineRule="auto"/>
      <w:jc w:val="right"/>
    </w:pPr>
    <w:rPr>
      <w:rFonts w:eastAsia="KaiTi_GB2312" w:cs="SimSun"/>
      <w:sz w:val="15"/>
    </w:rPr>
  </w:style>
  <w:style w:type="paragraph" w:customStyle="1" w:styleId="HCh6">
    <w:name w:val="样式 _ H _Ch + (中文) 宋体 段后: 6 磅"/>
    <w:basedOn w:val="HCh"/>
    <w:rsid w:val="00A62BEE"/>
    <w:pPr>
      <w:spacing w:after="120"/>
      <w:jc w:val="left"/>
    </w:pPr>
    <w:rPr>
      <w:rFonts w:eastAsia="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1</Pages>
  <Words>5398</Words>
  <Characters>30773</Characters>
  <Application>Microsoft Office Word</Application>
  <DocSecurity>4</DocSecurity>
  <Lines>256</Lines>
  <Paragraphs>72</Paragraphs>
  <ScaleCrop>false</ScaleCrop>
  <Company>United Nations</Company>
  <LinksUpToDate>false</LinksUpToDate>
  <CharactersWithSpaces>36099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XXJ</dc:creator>
  <cp:keywords/>
  <dc:description/>
  <cp:lastModifiedBy>FrontDesk2</cp:lastModifiedBy>
  <cp:revision>38</cp:revision>
  <cp:lastPrinted>2012-07-16T09:11:00Z</cp:lastPrinted>
  <dcterms:created xsi:type="dcterms:W3CDTF">2012-07-12T08:19:00Z</dcterms:created>
  <dcterms:modified xsi:type="dcterms:W3CDTF">2012-07-16T09:24:00Z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CEDAW/C/DOM/6-7</vt:lpwstr>
  </property>
  <property fmtid="{D5CDD505-2E9C-101B-9397-08002B2CF9AE}" pid="3" name="Symbol2">
    <vt:lpwstr/>
  </property>
  <property fmtid="{D5CDD505-2E9C-101B-9397-08002B2CF9AE}" pid="4" name="Translator">
    <vt:lpwstr/>
  </property>
  <property fmtid="{D5CDD505-2E9C-101B-9397-08002B2CF9AE}" pid="5" name="JobNo">
    <vt:lpwstr>1164743C</vt:lpwstr>
  </property>
  <property fmtid="{D5CDD505-2E9C-101B-9397-08002B2CF9AE}" pid="6" name="Comment">
    <vt:lpwstr/>
  </property>
  <property fmtid="{D5CDD505-2E9C-101B-9397-08002B2CF9AE}" pid="7" name="DraftPages">
    <vt:lpwstr> </vt:lpwstr>
  </property>
  <property fmtid="{D5CDD505-2E9C-101B-9397-08002B2CF9AE}" pid="8" name="Operator">
    <vt:lpwstr>xu</vt:lpwstr>
  </property>
</Properties>
</file>