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60" w:lineRule="exact"/>
        <w:rPr>
          <w:sz w:val="6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2" w:h="15842" w:code="1"/>
          <w:pgMar w:top="1742" w:right="1195" w:bottom="1898" w:left="1195" w:header="576" w:footer="1030" w:gutter="0"/>
          <w:pgNumType w:start="1"/>
          <w:cols w:space="425"/>
          <w:titlePg/>
          <w:docGrid w:type="lines" w:linePitch="312"/>
        </w:sectPr>
      </w:pPr>
      <w:r>
        <w:rPr>
          <w:rStyle w:val="CommentReference"/>
          <w:rFonts w:hint="eastAsia"/>
          <w:vanish/>
        </w:rPr>
        <w:commentReference w:id="0"/>
      </w:r>
    </w:p>
    <w:p w:rsidR="00000000" w:rsidRDefault="00000000">
      <w:pPr>
        <w:spacing w:line="60" w:lineRule="exact"/>
        <w:rPr>
          <w:sz w:val="6"/>
        </w:rPr>
      </w:pPr>
    </w:p>
    <w:p w:rsidR="00000000" w:rsidRDefault="00000000">
      <w:pPr>
        <w:pStyle w:val="H1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ind w:left="1264" w:right="1264" w:hanging="1264"/>
        <w:jc w:val="both"/>
        <w:rPr>
          <w:rFonts w:hint="eastAsia"/>
        </w:rPr>
      </w:pPr>
      <w:r>
        <w:rPr>
          <w:rFonts w:hint="eastAsia"/>
        </w:rPr>
        <w:t>消除对妇女歧视委员会</w:t>
      </w:r>
    </w:p>
    <w:p w:rsidR="00000000" w:rsidRDefault="00000000">
      <w:pPr>
        <w:pStyle w:val="HCh"/>
        <w:tabs>
          <w:tab w:val="clear" w:pos="57"/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line="120" w:lineRule="exact"/>
        <w:ind w:left="1264" w:right="1264" w:hanging="1264"/>
        <w:jc w:val="both"/>
        <w:rPr>
          <w:rFonts w:hint="eastAsia"/>
          <w:sz w:val="10"/>
        </w:rPr>
      </w:pPr>
    </w:p>
    <w:p w:rsidR="00000000" w:rsidRDefault="00000000">
      <w:pPr>
        <w:pStyle w:val="HCh"/>
        <w:tabs>
          <w:tab w:val="clear" w:pos="57"/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ind w:left="1264" w:right="1264" w:hanging="126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审议缔约国依照《消除对妇女一切形式歧视公约》第18条</w:t>
      </w:r>
      <w:r>
        <w:br/>
      </w:r>
      <w:r>
        <w:rPr>
          <w:rFonts w:hint="eastAsia"/>
        </w:rPr>
        <w:t>提交的报告</w:t>
      </w:r>
    </w:p>
    <w:p w:rsidR="00000000" w:rsidRDefault="00000000">
      <w:pPr>
        <w:pStyle w:val="H1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line="120" w:lineRule="exact"/>
        <w:ind w:left="1264" w:right="1264" w:hanging="1264"/>
        <w:jc w:val="both"/>
        <w:rPr>
          <w:rFonts w:hint="eastAsia"/>
          <w:sz w:val="10"/>
        </w:rPr>
      </w:pPr>
    </w:p>
    <w:p w:rsidR="00000000" w:rsidRDefault="00000000">
      <w:pPr>
        <w:pStyle w:val="H1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ind w:left="1264" w:right="1264" w:hanging="126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缔约国的第五次定期报告</w:t>
      </w:r>
    </w:p>
    <w:p w:rsidR="00000000" w:rsidRDefault="00000000">
      <w:pPr>
        <w:pStyle w:val="H23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line="120" w:lineRule="exact"/>
        <w:ind w:left="1264" w:right="1264" w:hanging="1264"/>
        <w:jc w:val="both"/>
        <w:rPr>
          <w:rFonts w:hint="eastAsia"/>
          <w:sz w:val="10"/>
        </w:rPr>
      </w:pPr>
    </w:p>
    <w:p w:rsidR="00000000" w:rsidRDefault="00000000">
      <w:pPr>
        <w:pStyle w:val="H23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ind w:left="1264" w:right="1264" w:hanging="126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丹麦</w:t>
      </w:r>
    </w:p>
    <w:p w:rsidR="00000000" w:rsidRDefault="00000000">
      <w:pPr>
        <w:pStyle w:val="H23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line="120" w:lineRule="exact"/>
        <w:ind w:left="1264" w:right="1264" w:hanging="1264"/>
        <w:jc w:val="both"/>
        <w:rPr>
          <w:rFonts w:hint="eastAsia"/>
          <w:sz w:val="10"/>
        </w:rPr>
      </w:pPr>
    </w:p>
    <w:p w:rsidR="00000000" w:rsidRDefault="00000000">
      <w:pPr>
        <w:pStyle w:val="H23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ind w:left="1264" w:right="1264" w:hanging="126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更正</w:t>
      </w:r>
    </w:p>
    <w:p w:rsidR="00000000" w:rsidRDefault="00000000">
      <w:pPr>
        <w:pStyle w:val="SingleTxt"/>
        <w:spacing w:after="0" w:line="120" w:lineRule="exact"/>
        <w:rPr>
          <w:rFonts w:hint="eastAsia"/>
          <w:sz w:val="10"/>
        </w:rPr>
      </w:pPr>
    </w:p>
    <w:p w:rsidR="00000000" w:rsidRDefault="00000000">
      <w:pPr>
        <w:pStyle w:val="SingleTxt"/>
        <w:rPr>
          <w:rFonts w:hint="eastAsia"/>
        </w:rPr>
      </w:pPr>
      <w:r>
        <w:rPr>
          <w:rFonts w:hint="eastAsia"/>
        </w:rPr>
        <w:tab/>
        <w:t>在导言后插入下列内容：</w:t>
      </w:r>
    </w:p>
    <w:p w:rsidR="00000000" w:rsidRDefault="00000000">
      <w:pPr>
        <w:pStyle w:val="H1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spacing w:line="120" w:lineRule="exact"/>
        <w:ind w:left="1264" w:right="1264" w:hanging="1264"/>
        <w:jc w:val="both"/>
        <w:rPr>
          <w:sz w:val="10"/>
        </w:rPr>
      </w:pPr>
      <w:r>
        <w:br w:type="page"/>
      </w:r>
    </w:p>
    <w:p w:rsidR="00000000" w:rsidRDefault="00000000">
      <w:pPr>
        <w:pStyle w:val="H1"/>
        <w:tabs>
          <w:tab w:val="right" w:pos="1022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  <w:tab w:val="left" w:pos="6435"/>
        </w:tabs>
        <w:ind w:left="1264" w:right="1264" w:hanging="126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结论和主动行动摘要</w:t>
      </w:r>
    </w:p>
    <w:p w:rsidR="00000000" w:rsidRDefault="00000000">
      <w:pPr>
        <w:pStyle w:val="SingleTxt"/>
        <w:spacing w:after="0" w:line="120" w:lineRule="exact"/>
        <w:rPr>
          <w:rFonts w:hint="eastAsia"/>
          <w:sz w:val="10"/>
        </w:rPr>
      </w:pPr>
    </w:p>
    <w:p w:rsidR="00000000" w:rsidRDefault="00000000">
      <w:pPr>
        <w:pStyle w:val="SingleTxt"/>
        <w:rPr>
          <w:rFonts w:hint="eastAsia"/>
        </w:rPr>
      </w:pPr>
      <w:r>
        <w:rPr>
          <w:rFonts w:hint="eastAsia"/>
        </w:rPr>
        <w:tab/>
        <w:t>在丹麦，两性平等的总体目标仍然不变。妇女和男子在生活的所有领域均应有同样的权利、义务和机会。妇女和男子之间的平等继续作为政府政策的一个重要领域加以对待，各主要政党之间在这一领域的政策目标上仍然保持着协商一致意见。</w:t>
      </w:r>
    </w:p>
    <w:p w:rsidR="00000000" w:rsidRDefault="00000000">
      <w:pPr>
        <w:pStyle w:val="SingleTxt"/>
        <w:rPr>
          <w:rFonts w:hint="eastAsia"/>
        </w:rPr>
      </w:pPr>
      <w:r>
        <w:rPr>
          <w:rFonts w:hint="eastAsia"/>
        </w:rPr>
        <w:tab/>
        <w:t>促进两性平等的方法已经有所发展，从单纯制定足够法律的问题，发展成为通过宣传和信息来改变性别方面的陈旧观念和态度的问题。重点已经从消除对妇女的一切形式歧视，转变为承认妇女是经济和社会发展中必不可少的合作伙伴；还从单纯的妇女问题，转变为要创造一个妇女和男子之间进行合作的积极气氛，以便建立一个公正、公平的社会，使女童和男童、妇女和男子都有平等的机会。公共辩论关心实现两性平等的努力所取得的成果和“好处”等问题。</w:t>
      </w:r>
    </w:p>
    <w:p w:rsidR="00000000" w:rsidRDefault="00000000">
      <w:pPr>
        <w:pStyle w:val="SingleTxt"/>
        <w:rPr>
          <w:rFonts w:hint="eastAsia"/>
        </w:rPr>
      </w:pPr>
      <w:r>
        <w:rPr>
          <w:rFonts w:hint="eastAsia"/>
        </w:rPr>
        <w:tab/>
        <w:t>丹麦年轻妇女日益认为，她们在选择教育、工作和职业时没有遇到很大的性别限制。过去几十年里两性关系的发展趋势正在受到质疑，公共辩论的焦点是现代男子正在变化的角色，以及妇女在争取地位平等和机会平等过程中的得失。传统的性别观点正在发生变化。这表现在年轻男子希望参与家庭生活和养儿育女上。</w:t>
      </w:r>
    </w:p>
    <w:p w:rsidR="00000000" w:rsidRDefault="00000000">
      <w:pPr>
        <w:pStyle w:val="SingleTxt"/>
        <w:rPr>
          <w:rFonts w:hint="eastAsia"/>
        </w:rPr>
      </w:pPr>
      <w:r>
        <w:rPr>
          <w:rFonts w:hint="eastAsia"/>
        </w:rPr>
        <w:tab/>
        <w:t>尽管取得了许多进展，但重要领域内仍然有性别差异。报酬平等还没有成为现实，劳务市场仍然按性别划分，仍然缺乏灵活性。妇女担任决策职务的人较少仍然是一个事实。</w:t>
      </w:r>
    </w:p>
    <w:p w:rsidR="00000000" w:rsidRDefault="00000000">
      <w:pPr>
        <w:pStyle w:val="SingleTxt"/>
        <w:rPr>
          <w:rFonts w:hint="eastAsia"/>
        </w:rPr>
      </w:pPr>
      <w:r>
        <w:rPr>
          <w:rFonts w:hint="eastAsia"/>
        </w:rPr>
        <w:tab/>
        <w:t>目前已经花了许多精力，使丹麦促进性别平等的方法和工具现代化。作为《行动纲要》后续行动的一部分，并根据公众对性别问题的态度变化，丹麦政府于1996年设立了一个委员会，评价是否可能对未来的机构设置进行重组。议会则根据该委员会的建议，就新的体制结构通过了一个新法案，促进今后的两性平等。新结构包括三个机构：平等事务部长领导下的一个部门、一个知识中心和辩论论坛以及一个投诉委员会。</w:t>
      </w:r>
    </w:p>
    <w:p w:rsidR="00000000" w:rsidRDefault="00000000">
      <w:pPr>
        <w:pStyle w:val="SingleTxt"/>
        <w:rPr>
          <w:rFonts w:hint="eastAsia"/>
        </w:rPr>
      </w:pPr>
      <w:r>
        <w:rPr>
          <w:rFonts w:hint="eastAsia"/>
        </w:rPr>
        <w:tab/>
        <w:t>在过去3至4年里，已经采取了一些主动行动，促进政府各部领域内的两性平等。例如：</w:t>
      </w:r>
    </w:p>
    <w:p w:rsidR="00000000" w:rsidRDefault="00000000">
      <w:pPr>
        <w:pStyle w:val="SingleTxt"/>
        <w:ind w:left="2058" w:hanging="794"/>
        <w:rPr>
          <w:rFonts w:hint="eastAsia"/>
        </w:rPr>
      </w:pPr>
      <w:r>
        <w:rPr>
          <w:rFonts w:hint="eastAsia"/>
        </w:rPr>
        <w:tab/>
        <w:t>·</w:t>
      </w:r>
      <w:r>
        <w:rPr>
          <w:rFonts w:hint="eastAsia"/>
        </w:rPr>
        <w:tab/>
        <w:t>在教育方面，已经努力提高儿童和年轻人对技术项目、自然科学和创业的兴趣，促进男女在信息技术方面的机会平等。政策目标特别把终身教育和提高人们的素质作为重点。</w:t>
      </w:r>
    </w:p>
    <w:p w:rsidR="00000000" w:rsidRDefault="00000000">
      <w:pPr>
        <w:pStyle w:val="SingleTxt"/>
        <w:ind w:left="2058" w:hanging="794"/>
        <w:rPr>
          <w:rFonts w:hint="eastAsia"/>
        </w:rPr>
      </w:pPr>
      <w:r>
        <w:rPr>
          <w:rFonts w:hint="eastAsia"/>
        </w:rPr>
        <w:tab/>
        <w:t>·</w:t>
      </w:r>
      <w:r>
        <w:rPr>
          <w:rFonts w:hint="eastAsia"/>
        </w:rPr>
        <w:tab/>
        <w:t>在研究方面，已经开始对男女担任教授和研究员的比例不均衡的问题展开辩论。目前已经制定了一个行动计划，并已采取具体行动，改变男性研究员占绝大多数的研究圈内的态度和行为做法。</w:t>
      </w:r>
    </w:p>
    <w:p w:rsidR="00000000" w:rsidRDefault="00000000">
      <w:pPr>
        <w:pStyle w:val="SingleTxt"/>
        <w:ind w:left="2058" w:hanging="794"/>
        <w:rPr>
          <w:rFonts w:hint="eastAsia"/>
        </w:rPr>
      </w:pPr>
      <w:r>
        <w:rPr>
          <w:rFonts w:hint="eastAsia"/>
        </w:rPr>
        <w:tab/>
        <w:t>·</w:t>
      </w:r>
      <w:r>
        <w:rPr>
          <w:rFonts w:hint="eastAsia"/>
        </w:rPr>
        <w:tab/>
        <w:t>关于劳务市场，已经采取新的方法和手段来促进两性平等，其中包括使教育背景有限的妇女获得更好的机会。各区域正在越来越多地使用将性别观点纳入主流的战略，使更多的无业人员找到工作。工作的焦点是性别方面，将妇女以及男子介绍到劳务市场各领域，因为他们所占的比例迄今为止还比较低。</w:t>
      </w:r>
    </w:p>
    <w:p w:rsidR="00000000" w:rsidRDefault="00000000">
      <w:pPr>
        <w:pStyle w:val="SingleTxt"/>
        <w:ind w:left="2058" w:hanging="794"/>
        <w:rPr>
          <w:rFonts w:hint="eastAsia"/>
        </w:rPr>
      </w:pPr>
      <w:r>
        <w:rPr>
          <w:rFonts w:hint="eastAsia"/>
        </w:rPr>
        <w:tab/>
        <w:t>·</w:t>
      </w:r>
      <w:r>
        <w:rPr>
          <w:rFonts w:hint="eastAsia"/>
        </w:rPr>
        <w:tab/>
        <w:t>父亲的育儿假有所延长，在促使男子有机会参与照料子女方面又向前迈出了一步。</w:t>
      </w:r>
    </w:p>
    <w:p w:rsidR="00000000" w:rsidRDefault="00000000">
      <w:pPr>
        <w:pStyle w:val="SingleTxt"/>
        <w:ind w:left="2058" w:hanging="794"/>
        <w:rPr>
          <w:rFonts w:hint="eastAsia"/>
        </w:rPr>
      </w:pPr>
      <w:r>
        <w:rPr>
          <w:rFonts w:hint="eastAsia"/>
        </w:rPr>
        <w:tab/>
        <w:t>·</w:t>
      </w:r>
      <w:r>
        <w:rPr>
          <w:rFonts w:hint="eastAsia"/>
        </w:rPr>
        <w:tab/>
        <w:t>关于养恤金，政府在“职业养恤金计划中的两性平等法案”上已经获得议会的批准。</w:t>
      </w:r>
    </w:p>
    <w:p w:rsidR="00000000" w:rsidRDefault="00000000">
      <w:pPr>
        <w:pStyle w:val="SingleTxt"/>
        <w:ind w:left="2058" w:hanging="794"/>
        <w:rPr>
          <w:rFonts w:hint="eastAsia"/>
        </w:rPr>
      </w:pPr>
      <w:r>
        <w:rPr>
          <w:rFonts w:hint="eastAsia"/>
        </w:rPr>
        <w:tab/>
        <w:t>·</w:t>
      </w:r>
      <w:r>
        <w:rPr>
          <w:rFonts w:hint="eastAsia"/>
        </w:rPr>
        <w:tab/>
        <w:t>至于针对妇女的暴力，丹麦议会在1997年修正了法律，以便加强对受害者的支持。</w:t>
      </w:r>
    </w:p>
    <w:p w:rsidR="00000000" w:rsidRDefault="00000000">
      <w:pPr>
        <w:pStyle w:val="SingleTxt"/>
        <w:spacing w:after="0" w:line="240" w:lineRule="auto"/>
        <w:rPr>
          <w:sz w:val="20"/>
        </w:rPr>
      </w:pPr>
      <w:r>
        <w:rPr>
          <w:noProof/>
          <w:sz w:val="20"/>
        </w:rPr>
        <w:pict>
          <v:line id="_x0000_s2050" style="position:absolute;left:0;text-align:left;z-index:1;mso-position-horizontal:center" from="0,30pt" to="1in,30pt" strokeweight=".25pt"/>
        </w:pict>
      </w:r>
    </w:p>
    <w:sectPr w:rsidR="00000000">
      <w:endnotePr>
        <w:numFmt w:val="decimal"/>
      </w:endnotePr>
      <w:type w:val="continuous"/>
      <w:pgSz w:w="12242" w:h="15842" w:code="1"/>
      <w:pgMar w:top="1742" w:right="1195" w:bottom="1898" w:left="1195" w:header="576" w:footer="1030" w:gutter="0"/>
      <w:pgNumType w:start="1"/>
      <w:cols w:space="425"/>
      <w:noEndnote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initials="Start">
    <w:p w:rsidR="00000000" w:rsidRDefault="00000000">
      <w:pPr>
        <w:pStyle w:val="CommentText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"'页：'#'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separate"/>
      </w:r>
      <w:r>
        <w:rPr>
          <w:rFonts w:hint="eastAsia"/>
          <w:noProof/>
        </w:rPr>
        <w:t>页：</w:t>
      </w:r>
      <w:r>
        <w:rPr>
          <w:noProof/>
        </w:rPr>
        <w:t>1</w:t>
      </w:r>
      <w:r>
        <w:rPr>
          <w:rFonts w:hint="eastAsia"/>
          <w:noProof/>
        </w:rPr>
        <w:br/>
      </w:r>
      <w:r>
        <w:fldChar w:fldCharType="end"/>
      </w:r>
      <w:r>
        <w:rPr>
          <w:rStyle w:val="CommentReference"/>
          <w:rFonts w:hint="eastAsia"/>
        </w:rPr>
        <w:annotationRef/>
      </w:r>
      <w:r>
        <w:t>&lt;&lt;ODS JOB NO&gt;&gt;N0224889C&lt;&lt;ODS JOB NO&gt;&gt;</w:t>
      </w:r>
    </w:p>
    <w:p w:rsidR="00000000" w:rsidRDefault="00000000">
      <w:pPr>
        <w:pStyle w:val="CommentText"/>
      </w:pPr>
      <w:r>
        <w:t>&lt;&lt;ODS DOC SYMBOL1&gt;&gt;CEDAW/C/DEN/5/Corr.1&lt;&lt;ODS DOC SYMBOL1&gt;&gt;</w:t>
      </w:r>
    </w:p>
    <w:p w:rsidR="00000000" w:rsidRDefault="0000000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4"/>
      <w:gridCol w:w="5034"/>
    </w:tblGrid>
    <w:tr w:rsidR="00000000">
      <w:tblPrEx>
        <w:tblCellMar>
          <w:top w:w="0" w:type="dxa"/>
          <w:bottom w:w="0" w:type="dxa"/>
        </w:tblCellMar>
      </w:tblPrEx>
      <w:tc>
        <w:tcPr>
          <w:tcW w:w="5034" w:type="dxa"/>
          <w:vAlign w:val="bottom"/>
        </w:tcPr>
        <w:p w:rsidR="00000000" w:rsidRDefault="00000000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5034" w:type="dxa"/>
          <w:vAlign w:val="bottom"/>
        </w:tcPr>
        <w:p w:rsidR="00000000" w:rsidRDefault="00000000">
          <w:pPr>
            <w:pStyle w:val="Footer"/>
            <w:jc w:val="right"/>
          </w:pPr>
        </w:p>
      </w:tc>
    </w:tr>
  </w:tbl>
  <w:p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4"/>
      <w:gridCol w:w="5034"/>
    </w:tblGrid>
    <w:tr w:rsidR="00000000">
      <w:tblPrEx>
        <w:tblCellMar>
          <w:top w:w="0" w:type="dxa"/>
          <w:bottom w:w="0" w:type="dxa"/>
        </w:tblCellMar>
      </w:tblPrEx>
      <w:tc>
        <w:tcPr>
          <w:tcW w:w="5034" w:type="dxa"/>
          <w:vAlign w:val="bottom"/>
        </w:tcPr>
        <w:p w:rsidR="00000000" w:rsidRDefault="00000000">
          <w:pPr>
            <w:pStyle w:val="Footer"/>
          </w:pPr>
        </w:p>
      </w:tc>
      <w:tc>
        <w:tcPr>
          <w:tcW w:w="5034" w:type="dxa"/>
          <w:vAlign w:val="bottom"/>
        </w:tcPr>
        <w:p w:rsidR="00000000" w:rsidRDefault="0000000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rPr>
        <w:b w:val="0"/>
        <w:sz w:val="21"/>
      </w:rPr>
    </w:pPr>
    <w:r>
      <w:rPr>
        <w:b w:val="0"/>
        <w:sz w:val="21"/>
      </w:rPr>
      <w:t>02-24889 (C)    190202    190202</w:t>
    </w:r>
  </w:p>
  <w:p w:rsidR="00000000" w:rsidRDefault="00000000">
    <w:pPr>
      <w:pStyle w:val="Footer"/>
      <w:rPr>
        <w:b w:val="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5.75pt;margin-top:0;width:7in;height:50.4pt;z-index:2" stroked="f">
          <v:textbox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8"/>
                </w:tblGrid>
                <w:tr w:rsidR="00000000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CEDAW/C/DEN/5/Corr.1</w:t>
                      </w:r>
                    </w:p>
                  </w:tc>
                  <w:tc>
                    <w:tcPr>
                      <w:tcW w:w="504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5.75pt;margin-top:0;width:7in;height:50.4pt;z-index:1" stroked="f">
          <v:textbox inset="0,0,0,0">
            <w:txbxContent>
              <w:tbl>
                <w:tblPr>
                  <w:tblW w:w="0" w:type="auto"/>
                  <w:tblInd w:w="108" w:type="dxa"/>
                  <w:tblBorders>
                    <w:bottom w:val="single" w:sz="4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4838"/>
                  <w:gridCol w:w="5048"/>
                </w:tblGrid>
                <w:tr w:rsidR="00000000">
                  <w:tblPrEx>
                    <w:tblCellMar>
                      <w:top w:w="0" w:type="dxa"/>
                      <w:bottom w:w="0" w:type="dxa"/>
                    </w:tblCellMar>
                  </w:tblPrEx>
                  <w:trPr>
                    <w:trHeight w:hRule="exact" w:val="864"/>
                  </w:trPr>
                  <w:tc>
                    <w:tcPr>
                      <w:tcW w:w="4838" w:type="dxa"/>
                      <w:vAlign w:val="bottom"/>
                    </w:tcPr>
                    <w:p w:rsidR="00000000" w:rsidRDefault="00000000">
                      <w:pPr>
                        <w:pStyle w:val="Header"/>
                      </w:pPr>
                    </w:p>
                  </w:tc>
                  <w:tc>
                    <w:tcPr>
                      <w:tcW w:w="5048" w:type="dxa"/>
                      <w:vAlign w:val="bottom"/>
                    </w:tcPr>
                    <w:p w:rsidR="00000000" w:rsidRDefault="00000000">
                      <w:pPr>
                        <w:pStyle w:val="Header"/>
                        <w:spacing w:after="80"/>
                        <w:jc w:val="right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CEDAW/C/DEN/5/Corr.1</w:t>
                      </w:r>
                    </w:p>
                  </w:tc>
                </w:tr>
              </w:tbl>
              <w:p w:rsidR="00000000" w:rsidRDefault="00000000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000000">
      <w:tblPrEx>
        <w:tblCellMar>
          <w:top w:w="0" w:type="dxa"/>
          <w:bottom w:w="0" w:type="dxa"/>
        </w:tblCellMar>
      </w:tblPrEx>
      <w:trPr>
        <w:gridAfter w:val="1"/>
        <w:wAfter w:w="12" w:type="dxa"/>
        <w:trHeight w:hRule="exact" w:val="864"/>
      </w:trPr>
      <w:tc>
        <w:tcPr>
          <w:tcW w:w="126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pStyle w:val="HCh"/>
            <w:spacing w:after="80"/>
            <w:rPr>
              <w:rFonts w:eastAsia="SimSun"/>
              <w:spacing w:val="40"/>
              <w:w w:val="96"/>
            </w:rPr>
          </w:pPr>
          <w:r>
            <w:rPr>
              <w:rFonts w:eastAsia="SimSun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00000" w:rsidRDefault="00000000">
          <w:pPr>
            <w:spacing w:after="80" w:line="240" w:lineRule="auto"/>
            <w:jc w:val="right"/>
            <w:rPr>
              <w:rFonts w:ascii="Times New Roman"/>
              <w:position w:val="-4"/>
              <w:sz w:val="20"/>
            </w:rPr>
          </w:pPr>
          <w:r>
            <w:rPr>
              <w:rFonts w:ascii="Times New Roman"/>
              <w:position w:val="-4"/>
              <w:sz w:val="40"/>
            </w:rPr>
            <w:t>CEDAW</w:t>
          </w:r>
          <w:r>
            <w:rPr>
              <w:rFonts w:ascii="Times New Roman"/>
              <w:position w:val="-4"/>
              <w:sz w:val="20"/>
            </w:rPr>
            <w:t>/C/DEN/5/Corr.1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  <w:ind w:left="-72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7.25pt">
                <v:imagedata r:id="rId1" o:title="_unlogo"/>
              </v:shape>
            </w:pict>
          </w:r>
        </w:p>
        <w:p w:rsidR="00000000" w:rsidRDefault="00000000">
          <w:pPr>
            <w:pStyle w:val="Header"/>
            <w:spacing w:before="109"/>
            <w:ind w:left="-72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XLarge"/>
            <w:spacing w:before="109" w:after="140" w:line="400" w:lineRule="exact"/>
            <w:rPr>
              <w:sz w:val="34"/>
            </w:rPr>
          </w:pPr>
          <w:r>
            <w:rPr>
              <w:rFonts w:hint="eastAsia"/>
              <w:sz w:val="34"/>
            </w:rPr>
            <w:t>消除对妇女一切形式歧视公约</w:t>
          </w: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left w:val="nil"/>
            <w:bottom w:val="single" w:sz="12" w:space="0" w:color="auto"/>
            <w:right w:val="nil"/>
          </w:tcBorders>
        </w:tcPr>
        <w:p w:rsidR="00000000" w:rsidRDefault="00000000">
          <w:pPr>
            <w:spacing w:before="240" w:line="240" w:lineRule="exact"/>
            <w:rPr>
              <w:rFonts w:ascii="Times New Roman"/>
            </w:rPr>
          </w:pPr>
          <w:r>
            <w:rPr>
              <w:rFonts w:ascii="Times New Roman"/>
            </w:rPr>
            <w:t>Distr.: General</w:t>
          </w:r>
        </w:p>
        <w:p w:rsidR="00000000" w:rsidRDefault="00000000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11 February 2002</w:t>
          </w:r>
        </w:p>
        <w:p w:rsidR="00000000" w:rsidRDefault="00000000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Chinese</w:t>
          </w:r>
        </w:p>
        <w:p w:rsidR="00000000" w:rsidRDefault="00000000">
          <w:pPr>
            <w:spacing w:line="240" w:lineRule="exact"/>
            <w:rPr>
              <w:rFonts w:ascii="Times New Roman"/>
            </w:rPr>
          </w:pPr>
          <w:r>
            <w:rPr>
              <w:rFonts w:ascii="Times New Roman"/>
            </w:rPr>
            <w:t>Original: English</w:t>
          </w:r>
        </w:p>
      </w:tc>
    </w:tr>
  </w:tbl>
  <w:p w:rsidR="00000000" w:rsidRDefault="0000000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4CBD"/>
    <w:multiLevelType w:val="multilevel"/>
    <w:tmpl w:val="77F44150"/>
    <w:lvl w:ilvl="0">
      <w:start w:val="1"/>
      <w:numFmt w:val="chineseCountingThousand"/>
      <w:pStyle w:val="Heading1"/>
      <w:suff w:val="nothing"/>
      <w:lvlText w:val="第%1章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zh-CN" w:vendorID="64" w:dllVersion="131077" w:nlCheck="1" w:checkStyle="1"/>
  <w:doNotTrackMoves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BottomSpacing/>
    <w:suppressTopSpacing/>
    <w:suppressSpBfAfterPgBrk/>
    <w:alignTablesRowByRow/>
    <w:adjustLineHeightInTable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reationDt" w:val="19/02/2002 12:35 PM"/>
    <w:docVar w:name="DocCategory" w:val="Doc"/>
    <w:docVar w:name="DocType" w:val="Final"/>
    <w:docVar w:name="JobNo" w:val="0224889C"/>
    <w:docVar w:name="OandT" w:val=" "/>
    <w:docVar w:name="Symbol1" w:val="CEDAW/C/DEN/5/Corr.1"/>
    <w:docVar w:name="Symbol2" w:val="-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exact"/>
    </w:pPr>
    <w:rPr>
      <w:rFonts w:ascii="SimSun"/>
      <w:kern w:val="14"/>
      <w:sz w:val="21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60" w:after="260" w:line="416" w:lineRule="atLeast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3"/>
      </w:numPr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4"/>
      </w:numPr>
      <w:spacing w:before="280" w:after="290" w:line="376" w:lineRule="atLeast"/>
      <w:outlineLvl w:val="3"/>
    </w:pPr>
    <w:rPr>
      <w:rFonts w:ascii="Arial" w:eastAsia="SimHei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5"/>
      </w:numPr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6"/>
      </w:numPr>
      <w:spacing w:before="240" w:after="64" w:line="320" w:lineRule="atLeast"/>
      <w:outlineLvl w:val="5"/>
    </w:pPr>
    <w:rPr>
      <w:rFonts w:ascii="Arial" w:eastAsia="SimHei" w:hAnsi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7"/>
      </w:numPr>
      <w:spacing w:before="240" w:after="64" w:line="320" w:lineRule="atLeas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8"/>
      </w:numPr>
      <w:spacing w:before="240" w:after="64" w:line="320" w:lineRule="atLeast"/>
      <w:outlineLvl w:val="7"/>
    </w:pPr>
    <w:rPr>
      <w:rFonts w:ascii="Arial" w:eastAsia="SimHei" w:hAnsi="Arial"/>
      <w:sz w:val="24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pPr>
      <w:keepNext/>
      <w:keepLines/>
      <w:suppressAutoHyphens/>
      <w:outlineLvl w:val="0"/>
    </w:pPr>
    <w:rPr>
      <w:rFonts w:ascii="SimHei" w:eastAsia="SimHei"/>
      <w:color w:val="FF0000"/>
      <w:sz w:val="24"/>
    </w:rPr>
  </w:style>
  <w:style w:type="paragraph" w:customStyle="1" w:styleId="HCh">
    <w:name w:val="_ H _Ch"/>
    <w:basedOn w:val="H1"/>
    <w:next w:val="SingleTxt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rPr>
      <w:sz w:val="34"/>
    </w:rPr>
  </w:style>
  <w:style w:type="paragraph" w:customStyle="1" w:styleId="H23">
    <w:name w:val="_ H_2/3"/>
    <w:basedOn w:val="Normal"/>
    <w:next w:val="SingleTxt"/>
    <w:pPr>
      <w:outlineLvl w:val="1"/>
    </w:pPr>
    <w:rPr>
      <w:rFonts w:ascii="SimHei" w:eastAsia="SimHei"/>
      <w:color w:val="FF0000"/>
      <w:spacing w:val="2"/>
    </w:rPr>
  </w:style>
  <w:style w:type="paragraph" w:customStyle="1" w:styleId="H4">
    <w:name w:val="_ H_4"/>
    <w:basedOn w:val="Normal"/>
    <w:next w:val="Normal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color w:val="0000FF"/>
      <w:spacing w:val="3"/>
      <w:w w:val="10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color w:val="FF0000"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4" w:right="1264"/>
    </w:pPr>
  </w:style>
  <w:style w:type="paragraph" w:customStyle="1" w:styleId="SingleTxt">
    <w:name w:val="__Single Txt"/>
    <w:basedOn w:val="Normal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  <w:jc w:val="both"/>
    </w:pPr>
  </w:style>
  <w:style w:type="paragraph" w:customStyle="1" w:styleId="Small">
    <w:name w:val="Small"/>
    <w:basedOn w:val="Normal"/>
    <w:next w:val="Normal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semiHidden/>
    <w:rPr>
      <w:color w:val="FF00FF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semiHidden/>
    <w:rPr>
      <w:color w:val="FF00FF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PlainText">
    <w:name w:val="Plain Text"/>
    <w:basedOn w:val="Normal"/>
    <w:semiHidden/>
    <w:pPr>
      <w:tabs>
        <w:tab w:val="left" w:pos="431"/>
      </w:tabs>
      <w:spacing w:after="140"/>
    </w:pPr>
    <w:rPr>
      <w:rFonts w:hAnsi="Courier New" w:cs="Courier New"/>
      <w:szCs w:val="21"/>
    </w:rPr>
  </w:style>
  <w:style w:type="paragraph" w:styleId="NormalIndent">
    <w:name w:val="Normal Indent"/>
    <w:basedOn w:val="Normal"/>
    <w:semiHidden/>
    <w:pPr>
      <w:ind w:firstLine="431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</w:style>
  <w:style w:type="character" w:styleId="LineNumber">
    <w:name w:val="line number"/>
    <w:semiHidden/>
    <w:rPr>
      <w:sz w:val="14"/>
    </w:rPr>
  </w:style>
  <w:style w:type="paragraph" w:styleId="Header">
    <w:name w:val="header"/>
    <w:semiHidden/>
    <w:pPr>
      <w:tabs>
        <w:tab w:val="center" w:pos="4320"/>
        <w:tab w:val="right" w:pos="8640"/>
      </w:tabs>
    </w:pPr>
    <w:rPr>
      <w:noProof/>
      <w:sz w:val="18"/>
      <w:lang w:val="en-US" w:eastAsia="zh-CN"/>
    </w:rPr>
  </w:style>
  <w:style w:type="paragraph" w:styleId="Footer">
    <w:name w:val="footer"/>
    <w:semiHidden/>
    <w:pPr>
      <w:tabs>
        <w:tab w:val="center" w:pos="4320"/>
        <w:tab w:val="right" w:pos="8640"/>
      </w:tabs>
    </w:pPr>
    <w:rPr>
      <w:b/>
      <w:noProof/>
      <w:sz w:val="17"/>
      <w:lang w:val="en-US" w:eastAsia="zh-CN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United Nations</Company>
  <LinksUpToDate>false</LinksUpToDate>
  <CharactersWithSpaces>1312</CharactersWithSpaces>
  <SharedDoc>false</SharedDoc>
  <HLinks>
    <vt:vector size="6" baseType="variant">
      <vt:variant>
        <vt:i4>4522087</vt:i4>
      </vt:variant>
      <vt:variant>
        <vt:i4>3812</vt:i4>
      </vt:variant>
      <vt:variant>
        <vt:i4>1025</vt:i4>
      </vt:variant>
      <vt:variant>
        <vt:i4>1</vt:i4>
      </vt:variant>
      <vt:variant>
        <vt:lpwstr>C:\Program Files\Microsoft Office\WordMacros\_unlogo.wpg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DGAACS</dc:creator>
  <cp:keywords/>
  <dc:description/>
  <cp:lastModifiedBy>DGAACS</cp:lastModifiedBy>
  <cp:revision>8</cp:revision>
  <cp:lastPrinted>2002-02-19T13:48:00Z</cp:lastPrinted>
  <dcterms:created xsi:type="dcterms:W3CDTF">2002-02-19T11:35:00Z</dcterms:created>
  <dcterms:modified xsi:type="dcterms:W3CDTF">2002-02-19T13:48:00Z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0224889</vt:lpwstr>
  </property>
  <property fmtid="{D5CDD505-2E9C-101B-9397-08002B2CF9AE}" pid="3" name="Symbol1">
    <vt:lpwstr>CEDAW/C/DEN/5/Corr.1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/>
  </property>
  <property fmtid="{D5CDD505-2E9C-101B-9397-08002B2CF9AE}" pid="7" name="DraftPages">
    <vt:lpwstr> </vt:lpwstr>
  </property>
  <property fmtid="{D5CDD505-2E9C-101B-9397-08002B2CF9AE}" pid="8" name="Comment">
    <vt:lpwstr/>
  </property>
</Properties>
</file>