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320"/>
        <w:gridCol w:w="195"/>
        <w:gridCol w:w="2025"/>
        <w:gridCol w:w="2819"/>
      </w:tblGrid>
      <w:tr w:rsidR="00292480" w:rsidRPr="00EB7A9F"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EB7A9F" w:rsidRDefault="00292480" w:rsidP="009C4E83">
            <w:pPr>
              <w:jc w:val="right"/>
              <w:rPr>
                <w:lang w:val="en-US"/>
              </w:rPr>
            </w:pPr>
            <w:proofErr w:type="spellStart"/>
            <w:r w:rsidRPr="00EB7A9F">
              <w:rPr>
                <w:sz w:val="40"/>
                <w:szCs w:val="40"/>
                <w:lang w:val="en-US"/>
              </w:rPr>
              <w:t>C</w:t>
            </w:r>
            <w:r w:rsidR="008B759B">
              <w:rPr>
                <w:sz w:val="40"/>
                <w:szCs w:val="40"/>
                <w:lang w:val="en-US"/>
              </w:rPr>
              <w:t>EDAW</w:t>
            </w:r>
            <w:r w:rsidRPr="00EB7A9F">
              <w:rPr>
                <w:lang w:val="en-US"/>
              </w:rPr>
              <w:t>/</w:t>
            </w:r>
            <w:r>
              <w:fldChar w:fldCharType="begin"/>
            </w:r>
            <w:r w:rsidRPr="00EB7A9F">
              <w:rPr>
                <w:lang w:val="en-US"/>
              </w:rPr>
              <w:instrText xml:space="preserve"> FILLIN  "</w:instrText>
            </w:r>
            <w:r>
              <w:instrText>Введите</w:instrText>
            </w:r>
            <w:r w:rsidRPr="00EB7A9F">
              <w:rPr>
                <w:lang w:val="en-US"/>
              </w:rPr>
              <w:instrText xml:space="preserve"> </w:instrText>
            </w:r>
            <w:r>
              <w:instrText>часть</w:instrText>
            </w:r>
            <w:r w:rsidRPr="00EB7A9F">
              <w:rPr>
                <w:lang w:val="en-US"/>
              </w:rPr>
              <w:instrText xml:space="preserve"> </w:instrText>
            </w:r>
            <w:r>
              <w:instrText>символа</w:instrText>
            </w:r>
            <w:r w:rsidRPr="00EB7A9F">
              <w:rPr>
                <w:lang w:val="en-US"/>
              </w:rPr>
              <w:instrText xml:space="preserve"> </w:instrText>
            </w:r>
            <w:r>
              <w:instrText>после</w:instrText>
            </w:r>
            <w:r w:rsidRPr="00EB7A9F">
              <w:rPr>
                <w:lang w:val="en-US"/>
              </w:rPr>
              <w:instrText xml:space="preserve"> CRC/"  \* MERGEFORMAT </w:instrText>
            </w:r>
            <w:r>
              <w:fldChar w:fldCharType="separate"/>
            </w:r>
            <w:r w:rsidR="00D110C8" w:rsidRPr="00EB7A9F">
              <w:rPr>
                <w:lang w:val="en-US"/>
              </w:rPr>
              <w:t>C/DEU/CO/6/Add.1</w:t>
            </w:r>
            <w:proofErr w:type="spellEnd"/>
            <w:r>
              <w:fldChar w:fldCharType="end"/>
            </w:r>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fldSimple w:instr=" FILLIN  &quot;Введите дату документа&quot; \* MERGEFORMAT ">
              <w:r w:rsidR="00D110C8">
                <w:rPr>
                  <w:lang w:val="en-US"/>
                </w:rPr>
                <w:t>7 September 2011</w:t>
              </w:r>
            </w:fldSimple>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EB7A9F" w:rsidRPr="00EB7A9F" w:rsidRDefault="00EB7A9F" w:rsidP="00EB7A9F">
      <w:pPr>
        <w:spacing w:before="120"/>
        <w:rPr>
          <w:b/>
          <w:sz w:val="24"/>
          <w:szCs w:val="24"/>
          <w:lang w:val="en-US"/>
        </w:rPr>
      </w:pPr>
      <w:r w:rsidRPr="00EB7A9F">
        <w:rPr>
          <w:b/>
          <w:sz w:val="24"/>
          <w:szCs w:val="24"/>
        </w:rPr>
        <w:t>Коми</w:t>
      </w:r>
      <w:r>
        <w:rPr>
          <w:b/>
          <w:sz w:val="24"/>
          <w:szCs w:val="24"/>
        </w:rPr>
        <w:t>тет по ликвидации дискриминации</w:t>
      </w:r>
    </w:p>
    <w:p w:rsidR="00EB7A9F" w:rsidRPr="00EB7A9F" w:rsidRDefault="00EB7A9F" w:rsidP="00EB7A9F">
      <w:pPr>
        <w:rPr>
          <w:b/>
          <w:sz w:val="24"/>
          <w:szCs w:val="24"/>
        </w:rPr>
      </w:pPr>
      <w:r w:rsidRPr="00EB7A9F">
        <w:rPr>
          <w:b/>
          <w:sz w:val="24"/>
          <w:szCs w:val="24"/>
        </w:rPr>
        <w:t>в отношении женщин</w:t>
      </w:r>
    </w:p>
    <w:p w:rsidR="00EB7A9F" w:rsidRPr="00F22B0D" w:rsidRDefault="00EB7A9F" w:rsidP="00EB7A9F">
      <w:r>
        <w:rPr>
          <w:b/>
        </w:rPr>
        <w:t>П</w:t>
      </w:r>
      <w:r w:rsidRPr="00F22B0D">
        <w:rPr>
          <w:b/>
        </w:rPr>
        <w:t>ятнадцатая сессия</w:t>
      </w:r>
    </w:p>
    <w:p w:rsidR="00292480" w:rsidRDefault="00EB7A9F" w:rsidP="00EB7A9F">
      <w:r>
        <w:t>3−</w:t>
      </w:r>
      <w:r w:rsidRPr="00F22B0D">
        <w:t>21 октября 2011 года</w:t>
      </w:r>
    </w:p>
    <w:p w:rsidR="00EB7A9F" w:rsidRPr="00F22B0D" w:rsidRDefault="00EB7A9F" w:rsidP="00EB7A9F">
      <w:pPr>
        <w:pStyle w:val="HChGR"/>
        <w:rPr>
          <w:bCs/>
        </w:rPr>
      </w:pPr>
      <w:r w:rsidRPr="00F22B0D">
        <w:tab/>
      </w:r>
      <w:r>
        <w:tab/>
      </w:r>
      <w:r w:rsidRPr="00F22B0D">
        <w:t>Ответ на рекомендации о последующих мерах, содержащиеся в заключительных замечаниях Комитета, которые были сфор</w:t>
      </w:r>
      <w:r w:rsidR="00C649D1">
        <w:t>мулированы</w:t>
      </w:r>
      <w:r w:rsidR="00C649D1" w:rsidRPr="00C649D1">
        <w:br/>
      </w:r>
      <w:r w:rsidRPr="00F22B0D">
        <w:t>по итогам рассмотрения шестого периодического доклада</w:t>
      </w:r>
      <w:r>
        <w:t xml:space="preserve"> </w:t>
      </w:r>
      <w:r w:rsidRPr="00F22B0D">
        <w:rPr>
          <w:bCs/>
        </w:rPr>
        <w:t>государства-участника 2 февраля 2009 года</w:t>
      </w:r>
      <w:r w:rsidRPr="00EB7A9F">
        <w:rPr>
          <w:b w:val="0"/>
          <w:bCs/>
          <w:sz w:val="18"/>
          <w:szCs w:val="18"/>
        </w:rPr>
        <w:footnoteReference w:customMarkFollows="1" w:id="1"/>
        <w:sym w:font="Symbol" w:char="F02A"/>
      </w:r>
    </w:p>
    <w:p w:rsidR="00EB7A9F" w:rsidRPr="00F22B0D" w:rsidRDefault="00EB7A9F" w:rsidP="00EB7A9F">
      <w:pPr>
        <w:pStyle w:val="H1GR"/>
      </w:pPr>
      <w:r>
        <w:tab/>
      </w:r>
      <w:r>
        <w:tab/>
      </w:r>
      <w:r w:rsidRPr="00F22B0D">
        <w:t>Германия</w:t>
      </w:r>
    </w:p>
    <w:p w:rsidR="00931379" w:rsidRDefault="00931379" w:rsidP="00931379">
      <w:pPr>
        <w:pageBreakBefore/>
        <w:suppressAutoHyphens/>
        <w:spacing w:after="120"/>
        <w:rPr>
          <w:sz w:val="28"/>
        </w:rPr>
      </w:pPr>
      <w:r>
        <w:rPr>
          <w:sz w:val="28"/>
        </w:rPr>
        <w:t>Содержание</w:t>
      </w:r>
    </w:p>
    <w:p w:rsidR="00931379" w:rsidRDefault="00931379" w:rsidP="00931379">
      <w:pPr>
        <w:tabs>
          <w:tab w:val="right" w:pos="8929"/>
          <w:tab w:val="right" w:pos="9638"/>
        </w:tabs>
        <w:suppressAutoHyphens/>
        <w:spacing w:after="120"/>
        <w:ind w:left="283"/>
      </w:pPr>
      <w:r>
        <w:rPr>
          <w:i/>
          <w:sz w:val="18"/>
        </w:rPr>
        <w:tab/>
        <w:t>Пункты</w:t>
      </w:r>
      <w:r>
        <w:rPr>
          <w:i/>
          <w:sz w:val="18"/>
        </w:rPr>
        <w:tab/>
        <w:t>Стр.</w:t>
      </w:r>
    </w:p>
    <w:p w:rsidR="00EB7A9F" w:rsidRPr="00BB003B" w:rsidRDefault="00931379" w:rsidP="00931379">
      <w:pPr>
        <w:tabs>
          <w:tab w:val="right" w:pos="850"/>
          <w:tab w:val="left" w:pos="1134"/>
          <w:tab w:val="left" w:pos="1559"/>
          <w:tab w:val="left" w:pos="1984"/>
          <w:tab w:val="left" w:leader="dot" w:pos="7654"/>
          <w:tab w:val="right" w:pos="8929"/>
          <w:tab w:val="right" w:pos="9638"/>
        </w:tabs>
        <w:suppressAutoHyphens/>
        <w:spacing w:after="120"/>
      </w:pPr>
      <w:r>
        <w:rPr>
          <w:lang w:val="en-US"/>
        </w:rPr>
        <w:tab/>
        <w:t>I</w:t>
      </w:r>
      <w:r w:rsidRPr="00BB003B">
        <w:t>.</w:t>
      </w:r>
      <w:r w:rsidRPr="00BB003B">
        <w:tab/>
      </w:r>
      <w:r>
        <w:t>Введение</w:t>
      </w:r>
      <w:r w:rsidRPr="00BB003B">
        <w:t xml:space="preserve"> </w:t>
      </w:r>
      <w:r w:rsidRPr="00BB003B">
        <w:tab/>
      </w:r>
      <w:r w:rsidRPr="00BB003B">
        <w:tab/>
      </w:r>
      <w:r>
        <w:t>1</w:t>
      </w:r>
      <w:r w:rsidRPr="00BB003B">
        <w:t>−</w:t>
      </w:r>
      <w:r w:rsidRPr="00F22B0D">
        <w:t>3</w:t>
      </w:r>
      <w:r w:rsidRPr="00BB003B">
        <w:tab/>
      </w:r>
      <w:r w:rsidR="00BB003B" w:rsidRPr="00BB003B">
        <w:t>3</w:t>
      </w:r>
    </w:p>
    <w:p w:rsidR="00931379" w:rsidRPr="00BB003B"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134" w:hanging="1134"/>
      </w:pPr>
      <w:r w:rsidRPr="00BB003B">
        <w:tab/>
      </w:r>
      <w:r w:rsidRPr="00F22B0D">
        <w:rPr>
          <w:lang w:val="en-US"/>
        </w:rPr>
        <w:t>I</w:t>
      </w:r>
      <w:r w:rsidRPr="00931379">
        <w:t>I</w:t>
      </w:r>
      <w:r w:rsidRPr="00F22B0D">
        <w:t>.</w:t>
      </w:r>
      <w:r w:rsidRPr="00F22B0D">
        <w:tab/>
        <w:t>Информация, представленная федеральным правительством</w:t>
      </w:r>
      <w:r>
        <w:t>, о мерах</w:t>
      </w:r>
      <w:r w:rsidRPr="00931379">
        <w:br/>
      </w:r>
      <w:r w:rsidRPr="00F22B0D">
        <w:t xml:space="preserve">по выполнению рекомендаций, </w:t>
      </w:r>
      <w:r>
        <w:t>содержащихся в пункте 40</w:t>
      </w:r>
      <w:r w:rsidRPr="00931379">
        <w:br/>
      </w:r>
      <w:r w:rsidRPr="00F22B0D">
        <w:t xml:space="preserve">заключительных замечаний </w:t>
      </w:r>
      <w:r>
        <w:t xml:space="preserve">Комитета КЛДЖ за 2009 год </w:t>
      </w:r>
      <w:r>
        <w:tab/>
      </w:r>
      <w:r>
        <w:tab/>
        <w:t>4−86</w:t>
      </w:r>
      <w:r>
        <w:tab/>
      </w:r>
      <w:r w:rsidR="00BB003B" w:rsidRPr="00BB003B">
        <w:t>3</w:t>
      </w:r>
    </w:p>
    <w:p w:rsidR="00931379" w:rsidRPr="00BB003B"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F22B0D">
        <w:t>А.</w:t>
      </w:r>
      <w:r w:rsidRPr="00F22B0D">
        <w:tab/>
      </w:r>
      <w:r>
        <w:t>Неуклонное</w:t>
      </w:r>
      <w:r w:rsidRPr="00F22B0D">
        <w:t xml:space="preserve"> сокращение разрыва в оплате труда</w:t>
      </w:r>
      <w:r>
        <w:t xml:space="preserve"> женщин и мужчин</w:t>
      </w:r>
      <w:r>
        <w:br/>
      </w:r>
      <w:r w:rsidRPr="00F22B0D">
        <w:t>в Германии</w:t>
      </w:r>
      <w:r>
        <w:t xml:space="preserve"> </w:t>
      </w:r>
      <w:r>
        <w:tab/>
      </w:r>
      <w:r>
        <w:tab/>
        <w:t>4−16</w:t>
      </w:r>
      <w:r>
        <w:tab/>
      </w:r>
      <w:r w:rsidR="00BB003B" w:rsidRPr="00BB003B">
        <w:t>3</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F22B0D">
        <w:t>В.</w:t>
      </w:r>
      <w:r w:rsidRPr="00F22B0D">
        <w:tab/>
      </w:r>
      <w:r>
        <w:t>Различия в доходах в Германии</w:t>
      </w:r>
      <w:r>
        <w:tab/>
      </w:r>
      <w:r>
        <w:tab/>
        <w:t>17−</w:t>
      </w:r>
      <w:r w:rsidRPr="00F22B0D">
        <w:t>22</w:t>
      </w:r>
      <w:r>
        <w:tab/>
      </w:r>
      <w:r w:rsidR="002238C0" w:rsidRPr="002238C0">
        <w:t>6</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F22B0D">
        <w:t>С.</w:t>
      </w:r>
      <w:r w:rsidRPr="00F22B0D">
        <w:tab/>
        <w:t xml:space="preserve">Стратегия управления </w:t>
      </w:r>
      <w:r w:rsidR="00BF5A73">
        <w:t xml:space="preserve">по устранению </w:t>
      </w:r>
      <w:r w:rsidRPr="00F22B0D">
        <w:t>неравенства</w:t>
      </w:r>
      <w:r>
        <w:t xml:space="preserve"> в </w:t>
      </w:r>
      <w:r>
        <w:br/>
      </w:r>
      <w:r w:rsidR="00BF5A73">
        <w:t>оплате</w:t>
      </w:r>
      <w:r>
        <w:t xml:space="preserve"> труда</w:t>
      </w:r>
      <w:r w:rsidR="00BF5A73">
        <w:t>,</w:t>
      </w:r>
      <w:r>
        <w:t xml:space="preserve"> </w:t>
      </w:r>
      <w:r w:rsidR="00254964">
        <w:t>ориентированная на</w:t>
      </w:r>
      <w:r w:rsidR="00BF5A73">
        <w:t xml:space="preserve"> его причины </w:t>
      </w:r>
      <w:r w:rsidRPr="00F22B0D">
        <w:tab/>
      </w:r>
      <w:r>
        <w:tab/>
        <w:t>23−54</w:t>
      </w:r>
      <w:r>
        <w:tab/>
      </w:r>
      <w:r w:rsidR="002238C0" w:rsidRPr="002238C0">
        <w:t>9</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931379">
        <w:t>D</w:t>
      </w:r>
      <w:r w:rsidRPr="00F22B0D">
        <w:t>.</w:t>
      </w:r>
      <w:r w:rsidRPr="00F22B0D">
        <w:tab/>
        <w:t>Принимаемые федеральным правительством</w:t>
      </w:r>
      <w:r>
        <w:t xml:space="preserve"> ориентированные на</w:t>
      </w:r>
      <w:r>
        <w:br/>
      </w:r>
      <w:r w:rsidRPr="00F22B0D">
        <w:t xml:space="preserve">причины меры </w:t>
      </w:r>
      <w:r w:rsidR="00BF5A73">
        <w:t>по устранению</w:t>
      </w:r>
      <w:r>
        <w:t xml:space="preserve"> неравенства в </w:t>
      </w:r>
      <w:r w:rsidR="00BF5A73">
        <w:t xml:space="preserve">оплате </w:t>
      </w:r>
      <w:r>
        <w:t>труда</w:t>
      </w:r>
      <w:r w:rsidR="00BF5A73">
        <w:t xml:space="preserve"> </w:t>
      </w:r>
      <w:r>
        <w:tab/>
      </w:r>
      <w:r>
        <w:tab/>
        <w:t>55−</w:t>
      </w:r>
      <w:r w:rsidRPr="00F22B0D">
        <w:t>63</w:t>
      </w:r>
      <w:r w:rsidRPr="00F22B0D">
        <w:tab/>
      </w:r>
      <w:r w:rsidR="002238C0" w:rsidRPr="002238C0">
        <w:t>21</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F22B0D">
        <w:t>Е.</w:t>
      </w:r>
      <w:r w:rsidRPr="00F22B0D">
        <w:tab/>
      </w:r>
      <w:r>
        <w:t>Запланированные меры</w:t>
      </w:r>
      <w:r w:rsidR="00BF5A73">
        <w:t xml:space="preserve"> </w:t>
      </w:r>
      <w:r>
        <w:tab/>
      </w:r>
      <w:r>
        <w:tab/>
        <w:t>64−</w:t>
      </w:r>
      <w:r w:rsidRPr="00F22B0D">
        <w:t>6</w:t>
      </w:r>
      <w:r>
        <w:t>9</w:t>
      </w:r>
      <w:r>
        <w:tab/>
      </w:r>
      <w:r w:rsidR="002238C0" w:rsidRPr="002238C0">
        <w:t>23</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931379">
        <w:t>F</w:t>
      </w:r>
      <w:r w:rsidRPr="00F22B0D">
        <w:t>.</w:t>
      </w:r>
      <w:r w:rsidRPr="00F22B0D">
        <w:tab/>
        <w:t xml:space="preserve">Оценка </w:t>
      </w:r>
      <w:r w:rsidR="00BF5A73">
        <w:t>хода</w:t>
      </w:r>
      <w:r w:rsidRPr="00F22B0D">
        <w:t xml:space="preserve"> осуществления</w:t>
      </w:r>
      <w:r w:rsidR="00BF5A73">
        <w:t xml:space="preserve"> </w:t>
      </w:r>
      <w:r>
        <w:tab/>
      </w:r>
      <w:r>
        <w:tab/>
        <w:t>70−76</w:t>
      </w:r>
      <w:r>
        <w:tab/>
      </w:r>
      <w:r w:rsidR="002238C0" w:rsidRPr="002238C0">
        <w:t>25</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559" w:hanging="1559"/>
      </w:pPr>
      <w:r w:rsidRPr="00F22B0D">
        <w:tab/>
      </w:r>
      <w:r>
        <w:tab/>
      </w:r>
      <w:r w:rsidRPr="00931379">
        <w:t>G</w:t>
      </w:r>
      <w:r w:rsidRPr="00F22B0D">
        <w:t>.</w:t>
      </w:r>
      <w:r w:rsidRPr="00F22B0D">
        <w:tab/>
        <w:t xml:space="preserve">Национальные </w:t>
      </w:r>
      <w:r>
        <w:t>и международные обязательства</w:t>
      </w:r>
      <w:r w:rsidR="00BF5A73">
        <w:t xml:space="preserve"> </w:t>
      </w:r>
      <w:r>
        <w:tab/>
      </w:r>
      <w:r>
        <w:tab/>
        <w:t>77−86</w:t>
      </w:r>
      <w:r>
        <w:tab/>
      </w:r>
      <w:r w:rsidR="002238C0" w:rsidRPr="002238C0">
        <w:t>28</w:t>
      </w:r>
    </w:p>
    <w:p w:rsidR="00931379" w:rsidRPr="002238C0" w:rsidRDefault="00931379" w:rsidP="00BF5A73">
      <w:pPr>
        <w:tabs>
          <w:tab w:val="right" w:pos="850"/>
          <w:tab w:val="left" w:pos="1134"/>
          <w:tab w:val="left" w:pos="1559"/>
          <w:tab w:val="left" w:pos="1984"/>
          <w:tab w:val="left" w:leader="dot" w:pos="7654"/>
          <w:tab w:val="right" w:pos="8929"/>
          <w:tab w:val="right" w:pos="9638"/>
        </w:tabs>
        <w:suppressAutoHyphens/>
        <w:spacing w:after="120"/>
        <w:ind w:left="1134" w:hanging="1134"/>
      </w:pPr>
      <w:r>
        <w:tab/>
      </w:r>
      <w:r w:rsidRPr="00931379">
        <w:t>III</w:t>
      </w:r>
      <w:r w:rsidRPr="00F22B0D">
        <w:t>.</w:t>
      </w:r>
      <w:r w:rsidRPr="00F22B0D">
        <w:tab/>
        <w:t xml:space="preserve">Информация, представленная федеральным </w:t>
      </w:r>
      <w:r w:rsidR="00BF5A73">
        <w:t>правительством, о мерах</w:t>
      </w:r>
      <w:r w:rsidR="00BF5A73">
        <w:br/>
      </w:r>
      <w:r w:rsidRPr="00F22B0D">
        <w:t>по выполнению рекомендаций, содержащихся</w:t>
      </w:r>
      <w:r w:rsidR="00BF5A73">
        <w:t xml:space="preserve"> в пункте 62</w:t>
      </w:r>
      <w:r w:rsidR="00BF5A73">
        <w:br/>
      </w:r>
      <w:r w:rsidRPr="00F22B0D">
        <w:t>заключительных замечан</w:t>
      </w:r>
      <w:r w:rsidR="00BF5A73">
        <w:t xml:space="preserve">ий КЛДЖ за 2009 год </w:t>
      </w:r>
      <w:r w:rsidR="00BF5A73">
        <w:tab/>
      </w:r>
      <w:r w:rsidR="00BF5A73">
        <w:tab/>
        <w:t>87−96</w:t>
      </w:r>
      <w:r w:rsidR="00BF5A73">
        <w:tab/>
      </w:r>
      <w:r w:rsidR="002238C0" w:rsidRPr="002238C0">
        <w:t>29</w:t>
      </w:r>
    </w:p>
    <w:p w:rsidR="00931379" w:rsidRPr="002238C0" w:rsidRDefault="00931379" w:rsidP="00931379">
      <w:pPr>
        <w:tabs>
          <w:tab w:val="right" w:pos="850"/>
          <w:tab w:val="left" w:pos="1134"/>
          <w:tab w:val="left" w:pos="1559"/>
          <w:tab w:val="left" w:pos="1984"/>
          <w:tab w:val="left" w:leader="dot" w:pos="7654"/>
          <w:tab w:val="right" w:pos="8929"/>
          <w:tab w:val="right" w:pos="9638"/>
        </w:tabs>
        <w:suppressAutoHyphens/>
        <w:spacing w:after="120"/>
        <w:ind w:left="1134" w:hanging="1134"/>
      </w:pPr>
      <w:r w:rsidRPr="00F22B0D">
        <w:tab/>
      </w:r>
      <w:r w:rsidR="00BF5A73">
        <w:tab/>
      </w:r>
      <w:r w:rsidRPr="00F22B0D">
        <w:t>Меры по инициированию диалога с неправительственными</w:t>
      </w:r>
      <w:r w:rsidR="00BF5A73">
        <w:br/>
      </w:r>
      <w:r w:rsidRPr="00F22B0D">
        <w:t>организациями, з</w:t>
      </w:r>
      <w:r w:rsidR="00BF5A73">
        <w:t>ащищающими права интерсексуалов</w:t>
      </w:r>
      <w:r w:rsidR="00BF5A73">
        <w:br/>
        <w:t>и транссексуалов</w:t>
      </w:r>
      <w:r w:rsidR="00DE5938">
        <w:t xml:space="preserve"> </w:t>
      </w:r>
      <w:r w:rsidR="00BF5A73">
        <w:tab/>
      </w:r>
      <w:r w:rsidR="00BF5A73">
        <w:tab/>
        <w:t>87−96</w:t>
      </w:r>
      <w:r w:rsidR="00BF5A73">
        <w:tab/>
      </w:r>
      <w:r w:rsidR="002238C0" w:rsidRPr="002238C0">
        <w:t>29</w:t>
      </w:r>
    </w:p>
    <w:p w:rsidR="00931379" w:rsidRPr="00F22B0D" w:rsidRDefault="00931379" w:rsidP="00DE5938">
      <w:pPr>
        <w:spacing w:after="120"/>
      </w:pPr>
      <w:r w:rsidRPr="00F22B0D">
        <w:t>Перечень таблиц</w:t>
      </w:r>
    </w:p>
    <w:p w:rsidR="00931379" w:rsidRPr="00CE4558" w:rsidRDefault="00DE5938" w:rsidP="00DE5938">
      <w:pPr>
        <w:tabs>
          <w:tab w:val="right" w:pos="850"/>
          <w:tab w:val="left" w:pos="1134"/>
          <w:tab w:val="left" w:pos="1559"/>
          <w:tab w:val="left" w:pos="1984"/>
          <w:tab w:val="left" w:leader="dot" w:pos="8917"/>
          <w:tab w:val="right" w:pos="9638"/>
        </w:tabs>
        <w:suppressAutoHyphens/>
        <w:spacing w:after="120"/>
        <w:ind w:left="1134" w:hanging="1134"/>
      </w:pPr>
      <w:r>
        <w:tab/>
        <w:t>1.</w:t>
      </w:r>
      <w:r>
        <w:tab/>
        <w:t>Гендерный р</w:t>
      </w:r>
      <w:r w:rsidR="00931379" w:rsidRPr="00F22B0D">
        <w:t xml:space="preserve">азрыв в оплате труда в </w:t>
      </w:r>
      <w:r w:rsidR="006B7FC0">
        <w:t>зависимости от различных</w:t>
      </w:r>
      <w:r w:rsidR="00931379" w:rsidRPr="00F22B0D">
        <w:t xml:space="preserve"> структур</w:t>
      </w:r>
      <w:r w:rsidR="006B7FC0">
        <w:t>ных</w:t>
      </w:r>
      <w:r w:rsidR="006B7FC0">
        <w:br/>
        <w:t>характеристик</w:t>
      </w:r>
      <w:r>
        <w:t xml:space="preserve"> </w:t>
      </w:r>
      <w:r>
        <w:tab/>
      </w:r>
      <w:r>
        <w:tab/>
      </w:r>
      <w:r w:rsidR="00CE4558" w:rsidRPr="00CE4558">
        <w:t>12</w:t>
      </w:r>
    </w:p>
    <w:p w:rsidR="00931379" w:rsidRPr="00CE4558" w:rsidRDefault="00931379" w:rsidP="00DE5938">
      <w:pPr>
        <w:tabs>
          <w:tab w:val="right" w:pos="850"/>
          <w:tab w:val="left" w:pos="1134"/>
          <w:tab w:val="left" w:pos="1559"/>
          <w:tab w:val="left" w:pos="1984"/>
          <w:tab w:val="left" w:leader="dot" w:pos="8917"/>
          <w:tab w:val="right" w:pos="9638"/>
        </w:tabs>
        <w:suppressAutoHyphens/>
        <w:spacing w:after="120"/>
        <w:ind w:left="1134" w:hanging="1134"/>
      </w:pPr>
      <w:r w:rsidRPr="00F22B0D">
        <w:tab/>
        <w:t>2.</w:t>
      </w:r>
      <w:r w:rsidRPr="00F22B0D">
        <w:tab/>
        <w:t>Доля женщин на руководящих должностях (в процентах)</w:t>
      </w:r>
      <w:r w:rsidR="00DE5938">
        <w:t xml:space="preserve"> </w:t>
      </w:r>
      <w:r w:rsidR="00DE5938">
        <w:tab/>
      </w:r>
      <w:r w:rsidR="00DE5938">
        <w:tab/>
      </w:r>
      <w:r w:rsidR="00CE4558" w:rsidRPr="00CE4558">
        <w:t>13</w:t>
      </w:r>
    </w:p>
    <w:p w:rsidR="00931379" w:rsidRPr="00F22B0D" w:rsidRDefault="00DE5938" w:rsidP="00DE5938">
      <w:pPr>
        <w:spacing w:after="120"/>
      </w:pPr>
      <w:r>
        <w:t>Перечень диаграмм</w:t>
      </w:r>
    </w:p>
    <w:p w:rsidR="00931379" w:rsidRPr="00CE4558" w:rsidRDefault="006B7FC0" w:rsidP="00DE5938">
      <w:pPr>
        <w:tabs>
          <w:tab w:val="right" w:pos="850"/>
          <w:tab w:val="left" w:pos="1134"/>
          <w:tab w:val="left" w:pos="1559"/>
          <w:tab w:val="left" w:pos="1984"/>
          <w:tab w:val="left" w:leader="dot" w:pos="8917"/>
          <w:tab w:val="right" w:pos="9638"/>
        </w:tabs>
        <w:suppressAutoHyphens/>
        <w:spacing w:after="120"/>
        <w:ind w:left="1134" w:hanging="1134"/>
      </w:pPr>
      <w:r>
        <w:tab/>
        <w:t>1.</w:t>
      </w:r>
      <w:r>
        <w:tab/>
        <w:t xml:space="preserve">Гендерный разрыв </w:t>
      </w:r>
      <w:r w:rsidR="00931379" w:rsidRPr="00F22B0D">
        <w:t>в оплате труда</w:t>
      </w:r>
      <w:r w:rsidR="00DE5938">
        <w:t xml:space="preserve"> женщин и мужчин в государствах − членах ЕС</w:t>
      </w:r>
      <w:r w:rsidR="00DE5938">
        <w:br/>
        <w:t xml:space="preserve">в 2009 году </w:t>
      </w:r>
      <w:r w:rsidR="00931379" w:rsidRPr="00F22B0D">
        <w:tab/>
      </w:r>
      <w:r w:rsidR="00DE5938">
        <w:tab/>
      </w:r>
      <w:r w:rsidR="00CE4558" w:rsidRPr="00CE4558">
        <w:t>6</w:t>
      </w:r>
    </w:p>
    <w:p w:rsidR="00931379" w:rsidRPr="00CE4558" w:rsidRDefault="00931379" w:rsidP="00DE5938">
      <w:pPr>
        <w:tabs>
          <w:tab w:val="right" w:pos="850"/>
          <w:tab w:val="left" w:pos="1134"/>
          <w:tab w:val="left" w:pos="1559"/>
          <w:tab w:val="left" w:pos="1984"/>
          <w:tab w:val="left" w:leader="dot" w:pos="8917"/>
          <w:tab w:val="right" w:pos="9638"/>
        </w:tabs>
        <w:suppressAutoHyphens/>
        <w:spacing w:after="120"/>
        <w:ind w:left="1134" w:hanging="1134"/>
        <w:rPr>
          <w:bCs/>
        </w:rPr>
      </w:pPr>
      <w:r w:rsidRPr="00F22B0D">
        <w:tab/>
        <w:t>2.</w:t>
      </w:r>
      <w:r w:rsidRPr="00F22B0D">
        <w:tab/>
      </w:r>
      <w:r w:rsidRPr="00F22B0D">
        <w:rPr>
          <w:bCs/>
        </w:rPr>
        <w:t xml:space="preserve">Почасовая оплата труда брутто </w:t>
      </w:r>
      <w:r w:rsidR="006B7FC0" w:rsidRPr="00F22B0D">
        <w:rPr>
          <w:bCs/>
        </w:rPr>
        <w:t xml:space="preserve">женщин и мужчин </w:t>
      </w:r>
      <w:r w:rsidRPr="00F22B0D">
        <w:rPr>
          <w:bCs/>
        </w:rPr>
        <w:t>и анализ</w:t>
      </w:r>
      <w:r w:rsidR="00DE5938">
        <w:rPr>
          <w:bCs/>
        </w:rPr>
        <w:t xml:space="preserve"> гендерного аспекта</w:t>
      </w:r>
      <w:r w:rsidR="006B7FC0">
        <w:rPr>
          <w:bCs/>
        </w:rPr>
        <w:t xml:space="preserve"> </w:t>
      </w:r>
      <w:r w:rsidR="00DE5938">
        <w:rPr>
          <w:bCs/>
        </w:rPr>
        <w:tab/>
      </w:r>
      <w:r w:rsidR="00DE5938">
        <w:rPr>
          <w:bCs/>
        </w:rPr>
        <w:tab/>
      </w:r>
      <w:r w:rsidR="00CE4558" w:rsidRPr="00CE4558">
        <w:rPr>
          <w:bCs/>
        </w:rPr>
        <w:t>10</w:t>
      </w:r>
    </w:p>
    <w:p w:rsidR="00931379" w:rsidRPr="00CE4558" w:rsidRDefault="00DE5938" w:rsidP="00DE5938">
      <w:pPr>
        <w:tabs>
          <w:tab w:val="right" w:pos="850"/>
          <w:tab w:val="left" w:pos="1134"/>
          <w:tab w:val="left" w:pos="1559"/>
          <w:tab w:val="left" w:pos="1984"/>
          <w:tab w:val="left" w:leader="dot" w:pos="8917"/>
          <w:tab w:val="right" w:pos="9638"/>
        </w:tabs>
        <w:suppressAutoHyphens/>
        <w:spacing w:after="120"/>
        <w:ind w:left="1134" w:hanging="1134"/>
        <w:rPr>
          <w:bCs/>
          <w:lang w:val="en-US"/>
        </w:rPr>
      </w:pPr>
      <w:r>
        <w:rPr>
          <w:bCs/>
        </w:rPr>
        <w:tab/>
        <w:t>3.</w:t>
      </w:r>
      <w:r>
        <w:rPr>
          <w:bCs/>
        </w:rPr>
        <w:tab/>
        <w:t xml:space="preserve">Эволюция доходов </w:t>
      </w:r>
      <w:r>
        <w:rPr>
          <w:bCs/>
        </w:rPr>
        <w:tab/>
      </w:r>
      <w:r>
        <w:rPr>
          <w:bCs/>
        </w:rPr>
        <w:tab/>
      </w:r>
      <w:r w:rsidR="00CE4558">
        <w:rPr>
          <w:bCs/>
          <w:lang w:val="en-US"/>
        </w:rPr>
        <w:t>15</w:t>
      </w:r>
    </w:p>
    <w:p w:rsidR="00931379" w:rsidRPr="00F22B0D" w:rsidRDefault="006B7FC0" w:rsidP="006B7FC0">
      <w:pPr>
        <w:pStyle w:val="HChGR"/>
        <w:pageBreakBefore/>
      </w:pPr>
      <w:r>
        <w:tab/>
      </w:r>
      <w:r w:rsidR="00931379" w:rsidRPr="00F22B0D">
        <w:rPr>
          <w:lang w:val="en-US"/>
        </w:rPr>
        <w:t>I</w:t>
      </w:r>
      <w:r w:rsidR="00931379" w:rsidRPr="00F22B0D">
        <w:t>.</w:t>
      </w:r>
      <w:r w:rsidR="00931379" w:rsidRPr="00F22B0D">
        <w:tab/>
        <w:t>Введение</w:t>
      </w:r>
    </w:p>
    <w:p w:rsidR="00931379" w:rsidRPr="00F22B0D" w:rsidRDefault="00931379" w:rsidP="006B7FC0">
      <w:pPr>
        <w:pStyle w:val="SingleTxtGR"/>
      </w:pPr>
      <w:r w:rsidRPr="00F22B0D">
        <w:t>1.</w:t>
      </w:r>
      <w:r w:rsidRPr="00F22B0D">
        <w:tab/>
        <w:t xml:space="preserve">Конвенция о ликвидации всех </w:t>
      </w:r>
      <w:r w:rsidR="006B7FC0">
        <w:t>форм</w:t>
      </w:r>
      <w:r w:rsidRPr="00F22B0D">
        <w:t xml:space="preserve"> дискриминации в отношении же</w:t>
      </w:r>
      <w:r w:rsidRPr="00F22B0D">
        <w:t>н</w:t>
      </w:r>
      <w:r w:rsidRPr="00F22B0D">
        <w:t>щин (КЛДЖ 1979 года) вступила в силу для Федеративной Республики Герм</w:t>
      </w:r>
      <w:r w:rsidRPr="00F22B0D">
        <w:t>а</w:t>
      </w:r>
      <w:r w:rsidRPr="00F22B0D">
        <w:t>нии 9 августа 1985 года (</w:t>
      </w:r>
      <w:r w:rsidRPr="00F22B0D">
        <w:rPr>
          <w:lang w:val="en-US"/>
        </w:rPr>
        <w:t>Federal</w:t>
      </w:r>
      <w:r w:rsidRPr="00F22B0D">
        <w:t xml:space="preserve"> </w:t>
      </w:r>
      <w:r w:rsidRPr="00F22B0D">
        <w:rPr>
          <w:lang w:val="en-US"/>
        </w:rPr>
        <w:t>Law</w:t>
      </w:r>
      <w:r w:rsidRPr="00F22B0D">
        <w:t xml:space="preserve"> </w:t>
      </w:r>
      <w:r w:rsidRPr="00F22B0D">
        <w:rPr>
          <w:lang w:val="en-US"/>
        </w:rPr>
        <w:t>Gazette</w:t>
      </w:r>
      <w:r w:rsidRPr="00F22B0D">
        <w:t xml:space="preserve"> 1985 </w:t>
      </w:r>
      <w:r w:rsidRPr="00F22B0D">
        <w:rPr>
          <w:lang w:val="en-US"/>
        </w:rPr>
        <w:t>II</w:t>
      </w:r>
      <w:r w:rsidRPr="00F22B0D">
        <w:t xml:space="preserve"> </w:t>
      </w:r>
      <w:r w:rsidRPr="00F22B0D">
        <w:rPr>
          <w:lang w:val="en-US"/>
        </w:rPr>
        <w:t>p</w:t>
      </w:r>
      <w:r w:rsidRPr="00F22B0D">
        <w:t>. 648). Тем самым Герм</w:t>
      </w:r>
      <w:r w:rsidRPr="00F22B0D">
        <w:t>а</w:t>
      </w:r>
      <w:r w:rsidRPr="00F22B0D">
        <w:t xml:space="preserve">ния обязалась принять меры </w:t>
      </w:r>
      <w:r w:rsidR="006B7FC0">
        <w:t>по выполнению</w:t>
      </w:r>
      <w:r w:rsidRPr="00F22B0D">
        <w:t xml:space="preserve"> Конвенции на национальном уро</w:t>
      </w:r>
      <w:r w:rsidRPr="00F22B0D">
        <w:t>в</w:t>
      </w:r>
      <w:r w:rsidRPr="00F22B0D">
        <w:t>не на основании статьи 18. В целях наблюдения за</w:t>
      </w:r>
      <w:r w:rsidR="000241FB">
        <w:t xml:space="preserve"> ходом ее осуществления</w:t>
      </w:r>
      <w:r w:rsidR="000241FB">
        <w:br/>
      </w:r>
      <w:r w:rsidR="00254964">
        <w:t>в этой К</w:t>
      </w:r>
      <w:r w:rsidRPr="00F22B0D">
        <w:t>онвенции о правах женщин предусмотрено регулярное представление государствами-участниками национальных докладов,</w:t>
      </w:r>
      <w:r w:rsidR="00764369">
        <w:t xml:space="preserve"> подлежащих рассмотр</w:t>
      </w:r>
      <w:r w:rsidR="00764369">
        <w:t>е</w:t>
      </w:r>
      <w:r w:rsidR="00764369">
        <w:t>нию (статья</w:t>
      </w:r>
      <w:r w:rsidRPr="00F22B0D">
        <w:t xml:space="preserve"> 21) Комитетом по ликвидации дискриминации в отношении же</w:t>
      </w:r>
      <w:r w:rsidRPr="00F22B0D">
        <w:t>н</w:t>
      </w:r>
      <w:r w:rsidRPr="00F22B0D">
        <w:t>щин (Комитет КЛДЖ).</w:t>
      </w:r>
    </w:p>
    <w:p w:rsidR="00931379" w:rsidRPr="00F22B0D" w:rsidRDefault="00931379" w:rsidP="006B7FC0">
      <w:pPr>
        <w:pStyle w:val="SingleTxtGR"/>
      </w:pPr>
      <w:r w:rsidRPr="00F22B0D">
        <w:t>2.</w:t>
      </w:r>
      <w:r w:rsidRPr="00F22B0D">
        <w:tab/>
        <w:t>Шестой национальный доклад Германии был утвержден Федеральным кабинетом в июне и представлен Организации Объединенных Наций в сентя</w:t>
      </w:r>
      <w:r w:rsidRPr="00F22B0D">
        <w:t>б</w:t>
      </w:r>
      <w:r w:rsidRPr="00F22B0D">
        <w:t>ре</w:t>
      </w:r>
      <w:r w:rsidR="00254964" w:rsidRPr="00F22B0D">
        <w:t xml:space="preserve"> 2007 года</w:t>
      </w:r>
      <w:r w:rsidRPr="00F22B0D">
        <w:t>. Впоследствии он был рассмотрен Комитетом КЛДЖ (со</w:t>
      </w:r>
      <w:r w:rsidR="006B7FC0">
        <w:t>рок третья сессия, 19 января −</w:t>
      </w:r>
      <w:r w:rsidRPr="00F22B0D">
        <w:t xml:space="preserve"> 6 февраля 2009 года). В своих заключительных замечаниях</w:t>
      </w:r>
      <w:r w:rsidR="006B7FC0">
        <w:t>, прин</w:t>
      </w:r>
      <w:r w:rsidR="006B7FC0">
        <w:t>я</w:t>
      </w:r>
      <w:r w:rsidR="006B7FC0">
        <w:t>тых</w:t>
      </w:r>
      <w:r w:rsidRPr="00F22B0D">
        <w:t xml:space="preserve"> 2 февраля</w:t>
      </w:r>
      <w:r w:rsidR="006B7FC0">
        <w:t>,</w:t>
      </w:r>
      <w:r w:rsidRPr="00F22B0D">
        <w:t xml:space="preserve"> Комитет обозначил основные проблемные области</w:t>
      </w:r>
      <w:r w:rsidR="00C47A10">
        <w:t xml:space="preserve">, </w:t>
      </w:r>
      <w:r w:rsidRPr="00F22B0D">
        <w:t xml:space="preserve">вынес рекомендации и </w:t>
      </w:r>
      <w:r w:rsidR="00C47A10">
        <w:t>просил</w:t>
      </w:r>
      <w:r w:rsidRPr="00F22B0D">
        <w:t xml:space="preserve"> Фе</w:t>
      </w:r>
      <w:r w:rsidR="00C47A10">
        <w:t xml:space="preserve">деративную Республику Германию </w:t>
      </w:r>
      <w:r w:rsidRPr="00F22B0D">
        <w:t>представить в т</w:t>
      </w:r>
      <w:r w:rsidRPr="00F22B0D">
        <w:t>е</w:t>
      </w:r>
      <w:r w:rsidRPr="00F22B0D">
        <w:t>чение двух лет письменную информацию о мерах,</w:t>
      </w:r>
      <w:r w:rsidR="00C47A10">
        <w:t xml:space="preserve"> принятых </w:t>
      </w:r>
      <w:r w:rsidRPr="00F22B0D">
        <w:t>для осуществл</w:t>
      </w:r>
      <w:r w:rsidRPr="00F22B0D">
        <w:t>е</w:t>
      </w:r>
      <w:r w:rsidRPr="00F22B0D">
        <w:t>ния рекомендаций, содержащихся в пункте 40 (сокращение или устранение ра</w:t>
      </w:r>
      <w:r w:rsidRPr="00F22B0D">
        <w:t>з</w:t>
      </w:r>
      <w:r w:rsidRPr="00F22B0D">
        <w:t>рыва в оплате труда между женщинами и мужчинами) и 62 (диалог с неправ</w:t>
      </w:r>
      <w:r w:rsidRPr="00F22B0D">
        <w:t>и</w:t>
      </w:r>
      <w:r w:rsidRPr="00F22B0D">
        <w:t>тельственными организациями интерсексуалов и транссексуалов).</w:t>
      </w:r>
    </w:p>
    <w:p w:rsidR="00931379" w:rsidRPr="00F22B0D" w:rsidRDefault="00C47A10" w:rsidP="006B7FC0">
      <w:pPr>
        <w:pStyle w:val="SingleTxtGR"/>
      </w:pPr>
      <w:r>
        <w:t>3.</w:t>
      </w:r>
      <w:r>
        <w:tab/>
        <w:t>В осуществление этой</w:t>
      </w:r>
      <w:r w:rsidR="00931379" w:rsidRPr="00F22B0D">
        <w:t xml:space="preserve"> </w:t>
      </w:r>
      <w:r>
        <w:t>просьбы</w:t>
      </w:r>
      <w:r w:rsidR="00931379" w:rsidRPr="00F22B0D">
        <w:t xml:space="preserve"> была представлена следующая информ</w:t>
      </w:r>
      <w:r w:rsidR="00931379" w:rsidRPr="00F22B0D">
        <w:t>а</w:t>
      </w:r>
      <w:r w:rsidR="00931379" w:rsidRPr="00F22B0D">
        <w:t>ция.</w:t>
      </w:r>
    </w:p>
    <w:p w:rsidR="00BD45E7" w:rsidRPr="007A3504" w:rsidRDefault="00BD45E7" w:rsidP="00BD45E7">
      <w:pPr>
        <w:pStyle w:val="HChGR"/>
      </w:pPr>
      <w:r>
        <w:rPr>
          <w:lang w:val="fr-CH"/>
        </w:rPr>
        <w:tab/>
      </w:r>
      <w:r w:rsidRPr="007A3504">
        <w:rPr>
          <w:lang w:val="fr-CH"/>
        </w:rPr>
        <w:t>II</w:t>
      </w:r>
      <w:r w:rsidRPr="007A3504">
        <w:t>.</w:t>
      </w:r>
      <w:r w:rsidRPr="007A3504">
        <w:tab/>
        <w:t>Информация, представленная федеральным правительством, о мерах по осуществлению реком</w:t>
      </w:r>
      <w:r>
        <w:t xml:space="preserve">ендаций, содержащихся в пункте </w:t>
      </w:r>
      <w:r w:rsidRPr="007A3504">
        <w:t>40 заключительных замечаний Комитета КЛДЖ, принятых в 2009 году</w:t>
      </w:r>
    </w:p>
    <w:p w:rsidR="00BD45E7" w:rsidRPr="007A3504" w:rsidRDefault="00BD45E7" w:rsidP="00BD45E7">
      <w:pPr>
        <w:pStyle w:val="H1GR"/>
      </w:pPr>
      <w:r w:rsidRPr="00BD45E7">
        <w:tab/>
      </w:r>
      <w:r w:rsidRPr="007A3504">
        <w:t>А.</w:t>
      </w:r>
      <w:r w:rsidRPr="007A3504">
        <w:tab/>
        <w:t>Неуклонное сокращени</w:t>
      </w:r>
      <w:r w:rsidR="001317FA">
        <w:t>е разрыва в оплате труда мужчин</w:t>
      </w:r>
      <w:r w:rsidR="001317FA" w:rsidRPr="001317FA">
        <w:br/>
      </w:r>
      <w:r w:rsidRPr="007A3504">
        <w:t>и женщин в Германии</w:t>
      </w:r>
    </w:p>
    <w:p w:rsidR="00BD45E7" w:rsidRPr="007A3504" w:rsidRDefault="00BD45E7" w:rsidP="00BD45E7">
      <w:pPr>
        <w:pStyle w:val="H23GR"/>
      </w:pPr>
      <w:r w:rsidRPr="00BD45E7">
        <w:tab/>
      </w:r>
      <w:r w:rsidRPr="007A3504">
        <w:t>1.</w:t>
      </w:r>
      <w:r w:rsidRPr="007A3504">
        <w:tab/>
        <w:t>Задача</w:t>
      </w:r>
      <w:r w:rsidRPr="00BD45E7">
        <w:t xml:space="preserve"> </w:t>
      </w:r>
      <w:r>
        <w:t>на стадии решения</w:t>
      </w:r>
    </w:p>
    <w:p w:rsidR="00BD45E7" w:rsidRPr="007A3504" w:rsidRDefault="00BD45E7" w:rsidP="00BD45E7">
      <w:pPr>
        <w:pStyle w:val="SingleTxtGR"/>
        <w:rPr>
          <w:bCs/>
        </w:rPr>
      </w:pPr>
      <w:r w:rsidRPr="007A3504">
        <w:rPr>
          <w:bCs/>
        </w:rPr>
        <w:t>4.</w:t>
      </w:r>
      <w:r w:rsidRPr="007A3504">
        <w:rPr>
          <w:bCs/>
        </w:rPr>
        <w:tab/>
        <w:t xml:space="preserve">В своих заключительных замечаниях от 2 февраля 2009 года Комитет КЛДЖ просил </w:t>
      </w:r>
      <w:r w:rsidR="001317FA">
        <w:rPr>
          <w:bCs/>
        </w:rPr>
        <w:t>Федеративную Республику Германия</w:t>
      </w:r>
      <w:r w:rsidRPr="007A3504">
        <w:rPr>
          <w:bCs/>
        </w:rPr>
        <w:t xml:space="preserve"> </w:t>
      </w:r>
      <w:r w:rsidRPr="007A3504">
        <w:t>представить в течение двух лет в письменном виде информацию о шагах, предпринятых для осуществления рекомендаций, содержащихся в пункте 40 (</w:t>
      </w:r>
      <w:r w:rsidRPr="007A3504">
        <w:rPr>
          <w:bCs/>
        </w:rPr>
        <w:t>сокращение или устранение разрыва в оплате труда между женщинами и мужчинами).</w:t>
      </w:r>
    </w:p>
    <w:p w:rsidR="00BD45E7" w:rsidRPr="007A3504" w:rsidRDefault="00BD45E7" w:rsidP="00BD45E7">
      <w:pPr>
        <w:pStyle w:val="SingleTxtGR"/>
        <w:rPr>
          <w:bCs/>
        </w:rPr>
      </w:pPr>
      <w:r w:rsidRPr="007A3504">
        <w:rPr>
          <w:bCs/>
        </w:rPr>
        <w:t>5.</w:t>
      </w:r>
      <w:r w:rsidRPr="007A3504">
        <w:rPr>
          <w:bCs/>
        </w:rPr>
        <w:tab/>
        <w:t>Дополнительные задачи встают перед федеральным правительством в рамках коалиционного соглашения "</w:t>
      </w:r>
      <w:r w:rsidRPr="007A3504">
        <w:rPr>
          <w:bCs/>
          <w:lang w:val="fr-CH"/>
        </w:rPr>
        <w:t>WACHSTUM</w:t>
      </w:r>
      <w:r w:rsidRPr="007A3504">
        <w:rPr>
          <w:bCs/>
        </w:rPr>
        <w:t xml:space="preserve">. </w:t>
      </w:r>
      <w:r w:rsidRPr="007A3504">
        <w:rPr>
          <w:bCs/>
          <w:lang w:val="fr-CH"/>
        </w:rPr>
        <w:t>BILDUNG</w:t>
      </w:r>
      <w:r w:rsidRPr="007A3504">
        <w:rPr>
          <w:bCs/>
        </w:rPr>
        <w:t xml:space="preserve">. </w:t>
      </w:r>
      <w:r w:rsidRPr="007A3504">
        <w:rPr>
          <w:bCs/>
          <w:lang w:val="fr-CH"/>
        </w:rPr>
        <w:t>ZUSAMMENHALT</w:t>
      </w:r>
      <w:r w:rsidRPr="007A3504">
        <w:rPr>
          <w:bCs/>
        </w:rPr>
        <w:t>" (развитие, образование, взаимодействие)</w:t>
      </w:r>
      <w:r>
        <w:rPr>
          <w:bCs/>
        </w:rPr>
        <w:t>, и их</w:t>
      </w:r>
      <w:r w:rsidRPr="007A3504">
        <w:rPr>
          <w:bCs/>
        </w:rPr>
        <w:t xml:space="preserve"> предстоит решить в течение 17-го законодательного периода: "Мы разрабатываем основу для равного участия женщин и мужчин </w:t>
      </w:r>
      <w:r>
        <w:rPr>
          <w:bCs/>
        </w:rPr>
        <w:t>на всех этапах</w:t>
      </w:r>
      <w:r w:rsidRPr="007A3504">
        <w:rPr>
          <w:bCs/>
        </w:rPr>
        <w:t xml:space="preserve"> жизненного цикла. Она будет включать федеральную инициативу по обеспечению равн</w:t>
      </w:r>
      <w:r w:rsidRPr="007A3504">
        <w:rPr>
          <w:bCs/>
        </w:rPr>
        <w:t>о</w:t>
      </w:r>
      <w:r w:rsidRPr="007A3504">
        <w:rPr>
          <w:bCs/>
        </w:rPr>
        <w:t xml:space="preserve">правия между женщинами и мужчинами в бизнесе и </w:t>
      </w:r>
      <w:r>
        <w:rPr>
          <w:bCs/>
        </w:rPr>
        <w:t xml:space="preserve">в </w:t>
      </w:r>
      <w:r w:rsidRPr="007A3504">
        <w:rPr>
          <w:bCs/>
        </w:rPr>
        <w:t>промышленности" и "Мы хотим реал</w:t>
      </w:r>
      <w:r w:rsidRPr="007A3504">
        <w:rPr>
          <w:bCs/>
        </w:rPr>
        <w:t>и</w:t>
      </w:r>
      <w:r w:rsidRPr="007A3504">
        <w:rPr>
          <w:bCs/>
        </w:rPr>
        <w:t xml:space="preserve">зовать принцип "равной оплаты </w:t>
      </w:r>
      <w:r>
        <w:rPr>
          <w:bCs/>
        </w:rPr>
        <w:t>за равный труд</w:t>
      </w:r>
      <w:r w:rsidRPr="007A3504">
        <w:rPr>
          <w:bCs/>
        </w:rPr>
        <w:t>" для женщин и мужчин и тем самым устранить неравенство в оплате труда. Мы обратимся к коммерч</w:t>
      </w:r>
      <w:r w:rsidRPr="007A3504">
        <w:rPr>
          <w:bCs/>
        </w:rPr>
        <w:t>е</w:t>
      </w:r>
      <w:r w:rsidRPr="007A3504">
        <w:rPr>
          <w:bCs/>
        </w:rPr>
        <w:t xml:space="preserve">ским и промышленным предприятиям с призывом применять процедуру контроля в области оплаты труда на основе консультаций </w:t>
      </w:r>
      <w:r w:rsidRPr="007A3504">
        <w:rPr>
          <w:bCs/>
          <w:lang w:val="fr-CH"/>
        </w:rPr>
        <w:t>Logib</w:t>
      </w:r>
      <w:r w:rsidRPr="007A3504">
        <w:rPr>
          <w:bCs/>
        </w:rPr>
        <w:t>-</w:t>
      </w:r>
      <w:r w:rsidRPr="007A3504">
        <w:rPr>
          <w:bCs/>
          <w:lang w:val="fr-CH"/>
        </w:rPr>
        <w:t>D</w:t>
      </w:r>
      <w:r w:rsidRPr="007A3504">
        <w:rPr>
          <w:bCs/>
        </w:rPr>
        <w:t>. Она направлена на в</w:t>
      </w:r>
      <w:r w:rsidRPr="007A3504">
        <w:rPr>
          <w:bCs/>
        </w:rPr>
        <w:t>ы</w:t>
      </w:r>
      <w:r w:rsidRPr="007A3504">
        <w:rPr>
          <w:bCs/>
        </w:rPr>
        <w:t xml:space="preserve">явление различий в оплате труда и их причин. Необходимо </w:t>
      </w:r>
      <w:r>
        <w:rPr>
          <w:bCs/>
        </w:rPr>
        <w:t xml:space="preserve">рассмотреть </w:t>
      </w:r>
      <w:r w:rsidRPr="007A3504">
        <w:rPr>
          <w:bCs/>
        </w:rPr>
        <w:t>совм</w:t>
      </w:r>
      <w:r w:rsidRPr="007A3504">
        <w:rPr>
          <w:bCs/>
        </w:rPr>
        <w:t>е</w:t>
      </w:r>
      <w:r w:rsidRPr="007A3504">
        <w:rPr>
          <w:bCs/>
        </w:rPr>
        <w:t xml:space="preserve">стные усилия по преодолению неравенства в оплате труда. Система </w:t>
      </w:r>
      <w:r>
        <w:rPr>
          <w:bCs/>
        </w:rPr>
        <w:t>государс</w:t>
      </w:r>
      <w:r>
        <w:rPr>
          <w:bCs/>
        </w:rPr>
        <w:t>т</w:t>
      </w:r>
      <w:r>
        <w:rPr>
          <w:bCs/>
        </w:rPr>
        <w:t>венной службы</w:t>
      </w:r>
      <w:r w:rsidRPr="007A3504">
        <w:rPr>
          <w:bCs/>
        </w:rPr>
        <w:t xml:space="preserve"> должна использовать весь</w:t>
      </w:r>
      <w:r w:rsidR="000241FB">
        <w:rPr>
          <w:bCs/>
        </w:rPr>
        <w:t xml:space="preserve"> свой потенциал для того, чтобы</w:t>
      </w:r>
      <w:r w:rsidR="000241FB">
        <w:rPr>
          <w:bCs/>
        </w:rPr>
        <w:br/>
      </w:r>
      <w:r w:rsidRPr="007A3504">
        <w:rPr>
          <w:bCs/>
        </w:rPr>
        <w:t>в большей степени учитывать потребности женщин и с</w:t>
      </w:r>
      <w:r w:rsidRPr="007A3504">
        <w:rPr>
          <w:bCs/>
        </w:rPr>
        <w:t>е</w:t>
      </w:r>
      <w:r w:rsidRPr="007A3504">
        <w:rPr>
          <w:bCs/>
        </w:rPr>
        <w:t>мей". (</w:t>
      </w:r>
      <w:r>
        <w:rPr>
          <w:bCs/>
        </w:rPr>
        <w:t>Г</w:t>
      </w:r>
      <w:r w:rsidRPr="007A3504">
        <w:rPr>
          <w:bCs/>
        </w:rPr>
        <w:t xml:space="preserve">лава </w:t>
      </w:r>
      <w:r w:rsidRPr="007A3504">
        <w:rPr>
          <w:bCs/>
          <w:lang w:val="fr-CH"/>
        </w:rPr>
        <w:t>III</w:t>
      </w:r>
      <w:r w:rsidRPr="007A3504">
        <w:rPr>
          <w:bCs/>
        </w:rPr>
        <w:t>. 4</w:t>
      </w:r>
      <w:r>
        <w:rPr>
          <w:bCs/>
        </w:rPr>
        <w:t>.</w:t>
      </w:r>
      <w:r w:rsidRPr="007A3504">
        <w:rPr>
          <w:bCs/>
        </w:rPr>
        <w:t>)</w:t>
      </w:r>
    </w:p>
    <w:p w:rsidR="00BD45E7" w:rsidRPr="007A3504" w:rsidRDefault="00BD45E7" w:rsidP="00BD45E7">
      <w:pPr>
        <w:pStyle w:val="SingleTxtGR"/>
        <w:rPr>
          <w:bCs/>
        </w:rPr>
      </w:pPr>
      <w:r w:rsidRPr="007A3504">
        <w:rPr>
          <w:bCs/>
        </w:rPr>
        <w:t>6.</w:t>
      </w:r>
      <w:r w:rsidRPr="007A3504">
        <w:rPr>
          <w:bCs/>
        </w:rPr>
        <w:tab/>
        <w:t>В докладе, представленном комитет</w:t>
      </w:r>
      <w:r w:rsidR="000241FB">
        <w:rPr>
          <w:bCs/>
        </w:rPr>
        <w:t>ом экспертов в январе 2011 года</w:t>
      </w:r>
      <w:r w:rsidR="000241FB">
        <w:rPr>
          <w:bCs/>
        </w:rPr>
        <w:br/>
      </w:r>
      <w:r w:rsidRPr="007A3504">
        <w:rPr>
          <w:bCs/>
        </w:rPr>
        <w:t>в рамках подготовки Первого доклада федерального правительства о равенстве, датированного 15 июня 2011 года, затронут аспект неравенства в оплате труда и рекомендованы меры, находящиеся в настоящее время на рассмотрении фед</w:t>
      </w:r>
      <w:r w:rsidRPr="007A3504">
        <w:rPr>
          <w:bCs/>
        </w:rPr>
        <w:t>е</w:t>
      </w:r>
      <w:r w:rsidRPr="007A3504">
        <w:rPr>
          <w:bCs/>
        </w:rPr>
        <w:t>рального правительства.</w:t>
      </w:r>
    </w:p>
    <w:p w:rsidR="00BD45E7" w:rsidRPr="007A3504" w:rsidRDefault="00BD45E7" w:rsidP="00BD45E7">
      <w:pPr>
        <w:pStyle w:val="SingleTxtGR"/>
        <w:rPr>
          <w:bCs/>
        </w:rPr>
      </w:pPr>
      <w:r w:rsidRPr="007A3504">
        <w:rPr>
          <w:bCs/>
        </w:rPr>
        <w:t>7.</w:t>
      </w:r>
      <w:r w:rsidRPr="007A3504">
        <w:rPr>
          <w:bCs/>
        </w:rPr>
        <w:tab/>
        <w:t>В первой части текста дается оценка общей стратегии Германии по ус</w:t>
      </w:r>
      <w:r w:rsidRPr="007A3504">
        <w:rPr>
          <w:bCs/>
        </w:rPr>
        <w:t>т</w:t>
      </w:r>
      <w:r w:rsidRPr="007A3504">
        <w:rPr>
          <w:bCs/>
        </w:rPr>
        <w:t>ранению различий в заработке женщин и мужчин в контексте стратегии фед</w:t>
      </w:r>
      <w:r w:rsidRPr="007A3504">
        <w:rPr>
          <w:bCs/>
        </w:rPr>
        <w:t>е</w:t>
      </w:r>
      <w:r w:rsidRPr="007A3504">
        <w:rPr>
          <w:bCs/>
        </w:rPr>
        <w:t>рального правительства по устойчивому развитию Германии.</w:t>
      </w:r>
    </w:p>
    <w:p w:rsidR="00BD45E7" w:rsidRPr="007A3504" w:rsidRDefault="00BD45E7" w:rsidP="00BD45E7">
      <w:pPr>
        <w:pStyle w:val="SingleTxtGR"/>
        <w:rPr>
          <w:bCs/>
        </w:rPr>
      </w:pPr>
      <w:r w:rsidRPr="007A3504">
        <w:rPr>
          <w:bCs/>
        </w:rPr>
        <w:t>8.</w:t>
      </w:r>
      <w:r w:rsidRPr="007A3504">
        <w:rPr>
          <w:bCs/>
        </w:rPr>
        <w:tab/>
        <w:t>Руководящими принципами Национальной стратегии устойчивого разв</w:t>
      </w:r>
      <w:r w:rsidRPr="007A3504">
        <w:rPr>
          <w:bCs/>
        </w:rPr>
        <w:t>и</w:t>
      </w:r>
      <w:r w:rsidRPr="007A3504">
        <w:rPr>
          <w:bCs/>
        </w:rPr>
        <w:t>тия Германии являются "справедливость по отношению к будущим поколен</w:t>
      </w:r>
      <w:r w:rsidRPr="007A3504">
        <w:rPr>
          <w:bCs/>
        </w:rPr>
        <w:t>и</w:t>
      </w:r>
      <w:r w:rsidRPr="007A3504">
        <w:rPr>
          <w:bCs/>
        </w:rPr>
        <w:t>ям" и "качество жизни", "социальная сплоченность" и "международная ответс</w:t>
      </w:r>
      <w:r w:rsidRPr="007A3504">
        <w:rPr>
          <w:bCs/>
        </w:rPr>
        <w:t>т</w:t>
      </w:r>
      <w:r w:rsidRPr="007A3504">
        <w:rPr>
          <w:bCs/>
        </w:rPr>
        <w:t xml:space="preserve">венность". В этой связи Федеральное министерство по делам семьи, </w:t>
      </w:r>
      <w:r>
        <w:rPr>
          <w:bCs/>
        </w:rPr>
        <w:t>престар</w:t>
      </w:r>
      <w:r>
        <w:rPr>
          <w:bCs/>
        </w:rPr>
        <w:t>е</w:t>
      </w:r>
      <w:r>
        <w:rPr>
          <w:bCs/>
        </w:rPr>
        <w:t>лых</w:t>
      </w:r>
      <w:r w:rsidRPr="007A3504">
        <w:rPr>
          <w:bCs/>
        </w:rPr>
        <w:t>, женщин и молодежи проводит политику ответственност</w:t>
      </w:r>
      <w:r>
        <w:rPr>
          <w:bCs/>
        </w:rPr>
        <w:t>и</w:t>
      </w:r>
      <w:r w:rsidRPr="007A3504">
        <w:rPr>
          <w:bCs/>
        </w:rPr>
        <w:t xml:space="preserve"> за будущие п</w:t>
      </w:r>
      <w:r w:rsidRPr="007A3504">
        <w:rPr>
          <w:bCs/>
        </w:rPr>
        <w:t>о</w:t>
      </w:r>
      <w:r w:rsidRPr="007A3504">
        <w:rPr>
          <w:bCs/>
        </w:rPr>
        <w:t xml:space="preserve">коления </w:t>
      </w:r>
      <w:r>
        <w:rPr>
          <w:bCs/>
        </w:rPr>
        <w:t xml:space="preserve">на основе </w:t>
      </w:r>
      <w:r w:rsidRPr="007A3504">
        <w:rPr>
          <w:bCs/>
        </w:rPr>
        <w:t xml:space="preserve">повышения уровня экономической производительности, </w:t>
      </w:r>
      <w:r>
        <w:rPr>
          <w:bCs/>
        </w:rPr>
        <w:t>о</w:t>
      </w:r>
      <w:r>
        <w:rPr>
          <w:bCs/>
        </w:rPr>
        <w:t>х</w:t>
      </w:r>
      <w:r>
        <w:rPr>
          <w:bCs/>
        </w:rPr>
        <w:t>раны</w:t>
      </w:r>
      <w:r w:rsidRPr="007A3504">
        <w:rPr>
          <w:bCs/>
        </w:rPr>
        <w:t xml:space="preserve"> природных ресурсов, укрепления социальной сплоченности и обеспеч</w:t>
      </w:r>
      <w:r w:rsidRPr="007A3504">
        <w:rPr>
          <w:bCs/>
        </w:rPr>
        <w:t>е</w:t>
      </w:r>
      <w:r w:rsidRPr="007A3504">
        <w:rPr>
          <w:bCs/>
        </w:rPr>
        <w:t xml:space="preserve">ния того, чтобы лица, посвящающие свое время </w:t>
      </w:r>
      <w:r>
        <w:rPr>
          <w:bCs/>
        </w:rPr>
        <w:t>несению</w:t>
      </w:r>
      <w:r w:rsidRPr="007A3504">
        <w:rPr>
          <w:bCs/>
        </w:rPr>
        <w:t xml:space="preserve"> ответственност</w:t>
      </w:r>
      <w:r>
        <w:rPr>
          <w:bCs/>
        </w:rPr>
        <w:t>и</w:t>
      </w:r>
      <w:r w:rsidRPr="007A3504">
        <w:rPr>
          <w:bCs/>
        </w:rPr>
        <w:t xml:space="preserve"> за других и безвозмездно</w:t>
      </w:r>
      <w:r>
        <w:rPr>
          <w:bCs/>
        </w:rPr>
        <w:t>му оказанию помощи</w:t>
      </w:r>
      <w:r w:rsidRPr="007A3504">
        <w:rPr>
          <w:bCs/>
        </w:rPr>
        <w:t>, в долгосрочной перспективе не несли финансовы</w:t>
      </w:r>
      <w:r>
        <w:rPr>
          <w:bCs/>
        </w:rPr>
        <w:t>х</w:t>
      </w:r>
      <w:r w:rsidRPr="007A3504">
        <w:rPr>
          <w:bCs/>
        </w:rPr>
        <w:t xml:space="preserve"> потер</w:t>
      </w:r>
      <w:r>
        <w:rPr>
          <w:bCs/>
        </w:rPr>
        <w:t>ь</w:t>
      </w:r>
      <w:r w:rsidRPr="007A3504">
        <w:rPr>
          <w:bCs/>
        </w:rPr>
        <w:t>.</w:t>
      </w:r>
    </w:p>
    <w:p w:rsidR="00BD45E7" w:rsidRPr="007A3504" w:rsidRDefault="00BD45E7" w:rsidP="00BD45E7">
      <w:pPr>
        <w:pStyle w:val="SingleTxtGR"/>
        <w:rPr>
          <w:bCs/>
        </w:rPr>
      </w:pPr>
      <w:r w:rsidRPr="007A3504">
        <w:rPr>
          <w:bCs/>
        </w:rPr>
        <w:t>9.</w:t>
      </w:r>
      <w:r w:rsidRPr="007A3504">
        <w:rPr>
          <w:bCs/>
        </w:rPr>
        <w:tab/>
        <w:t xml:space="preserve">Обеспечение равных возможностей </w:t>
      </w:r>
      <w:r>
        <w:rPr>
          <w:bCs/>
        </w:rPr>
        <w:t>для всех</w:t>
      </w:r>
      <w:r w:rsidR="001317FA">
        <w:rPr>
          <w:bCs/>
        </w:rPr>
        <w:t xml:space="preserve"> −</w:t>
      </w:r>
      <w:r w:rsidRPr="007A3504">
        <w:rPr>
          <w:bCs/>
        </w:rPr>
        <w:t xml:space="preserve"> обязательное условие с</w:t>
      </w:r>
      <w:r w:rsidRPr="007A3504">
        <w:rPr>
          <w:bCs/>
        </w:rPr>
        <w:t>о</w:t>
      </w:r>
      <w:r w:rsidRPr="007A3504">
        <w:rPr>
          <w:bCs/>
        </w:rPr>
        <w:t>циальной сплоченности. Равные возможности женщин и мужчин в экономике и в обществе являются условием устойчивого развития. Поэтому разрыв в дох</w:t>
      </w:r>
      <w:r w:rsidRPr="007A3504">
        <w:rPr>
          <w:bCs/>
        </w:rPr>
        <w:t>о</w:t>
      </w:r>
      <w:r w:rsidRPr="007A3504">
        <w:rPr>
          <w:bCs/>
        </w:rPr>
        <w:t>дах женщин и мужчин считается основным показателем</w:t>
      </w:r>
      <w:r>
        <w:rPr>
          <w:bCs/>
        </w:rPr>
        <w:t>, когда речь идет о ра</w:t>
      </w:r>
      <w:r>
        <w:rPr>
          <w:bCs/>
        </w:rPr>
        <w:t>з</w:t>
      </w:r>
      <w:r>
        <w:rPr>
          <w:bCs/>
        </w:rPr>
        <w:t xml:space="preserve">личных аспектах </w:t>
      </w:r>
      <w:r w:rsidRPr="007A3504">
        <w:rPr>
          <w:bCs/>
        </w:rPr>
        <w:t>сохраняющегося неравенства между женщинами и мужчинами в профессиональной сфере. Таким образом, напрашивается вывод о тесной взаимосвязи политики устойчивого развития и политики в отношении обесп</w:t>
      </w:r>
      <w:r w:rsidRPr="007A3504">
        <w:rPr>
          <w:bCs/>
        </w:rPr>
        <w:t>е</w:t>
      </w:r>
      <w:r w:rsidRPr="007A3504">
        <w:rPr>
          <w:bCs/>
        </w:rPr>
        <w:t xml:space="preserve">чения равенства. Поэтому одним из приоритетов политики </w:t>
      </w:r>
      <w:r>
        <w:rPr>
          <w:bCs/>
        </w:rPr>
        <w:t>ф</w:t>
      </w:r>
      <w:r w:rsidRPr="007A3504">
        <w:rPr>
          <w:bCs/>
        </w:rPr>
        <w:t>едерального пр</w:t>
      </w:r>
      <w:r w:rsidRPr="007A3504">
        <w:rPr>
          <w:bCs/>
        </w:rPr>
        <w:t>а</w:t>
      </w:r>
      <w:r w:rsidRPr="007A3504">
        <w:rPr>
          <w:bCs/>
        </w:rPr>
        <w:t>вительства по обеспечению равенства в текущий законодательный период явл</w:t>
      </w:r>
      <w:r w:rsidRPr="007A3504">
        <w:rPr>
          <w:bCs/>
        </w:rPr>
        <w:t>я</w:t>
      </w:r>
      <w:r w:rsidRPr="007A3504">
        <w:rPr>
          <w:bCs/>
        </w:rPr>
        <w:t>ется обеспечение равных перспектив в отношении доход</w:t>
      </w:r>
      <w:r>
        <w:rPr>
          <w:bCs/>
        </w:rPr>
        <w:t>ов</w:t>
      </w:r>
      <w:r w:rsidRPr="007A3504">
        <w:rPr>
          <w:bCs/>
        </w:rPr>
        <w:t xml:space="preserve"> для женщин и му</w:t>
      </w:r>
      <w:r w:rsidRPr="007A3504">
        <w:rPr>
          <w:bCs/>
        </w:rPr>
        <w:t>ж</w:t>
      </w:r>
      <w:r w:rsidRPr="007A3504">
        <w:rPr>
          <w:bCs/>
        </w:rPr>
        <w:t>чин на прот</w:t>
      </w:r>
      <w:r w:rsidRPr="007A3504">
        <w:rPr>
          <w:bCs/>
        </w:rPr>
        <w:t>я</w:t>
      </w:r>
      <w:r w:rsidRPr="007A3504">
        <w:rPr>
          <w:bCs/>
        </w:rPr>
        <w:t>жении их жизни.</w:t>
      </w:r>
    </w:p>
    <w:p w:rsidR="00BD45E7" w:rsidRPr="007A3504" w:rsidRDefault="00BD45E7" w:rsidP="001317FA">
      <w:pPr>
        <w:pStyle w:val="H23GR"/>
      </w:pPr>
      <w:r>
        <w:tab/>
      </w:r>
      <w:r w:rsidRPr="007A3504">
        <w:t>2.</w:t>
      </w:r>
      <w:r w:rsidRPr="007A3504">
        <w:tab/>
        <w:t xml:space="preserve">Равная заработная плата как </w:t>
      </w:r>
      <w:r>
        <w:t>одна из целей</w:t>
      </w:r>
      <w:r w:rsidRPr="007A3504">
        <w:t xml:space="preserve"> стратегии устойчивого развития</w:t>
      </w:r>
    </w:p>
    <w:p w:rsidR="00BD45E7" w:rsidRPr="007A3504" w:rsidRDefault="00BD45E7" w:rsidP="00BD45E7">
      <w:pPr>
        <w:pStyle w:val="SingleTxtGR"/>
      </w:pPr>
      <w:r w:rsidRPr="007A3504">
        <w:t>10.</w:t>
      </w:r>
      <w:r w:rsidRPr="007A3504">
        <w:tab/>
        <w:t>Не</w:t>
      </w:r>
      <w:r>
        <w:t>скорректированный</w:t>
      </w:r>
      <w:r w:rsidR="001317FA">
        <w:t xml:space="preserve"> разрыв в оплате труда, т. е.</w:t>
      </w:r>
      <w:r w:rsidRPr="007A3504">
        <w:t xml:space="preserve"> разница в средней п</w:t>
      </w:r>
      <w:r w:rsidRPr="007A3504">
        <w:t>о</w:t>
      </w:r>
      <w:r w:rsidRPr="007A3504">
        <w:t xml:space="preserve">часовой </w:t>
      </w:r>
      <w:r>
        <w:t xml:space="preserve">брутто </w:t>
      </w:r>
      <w:r w:rsidRPr="007A3504">
        <w:t>оплате труда женщин и мужчин без учета квалификации, пр</w:t>
      </w:r>
      <w:r w:rsidRPr="007A3504">
        <w:t>о</w:t>
      </w:r>
      <w:r w:rsidRPr="007A3504">
        <w:t>фессии или опыта работы по-пр</w:t>
      </w:r>
      <w:r w:rsidR="001317FA">
        <w:t>ежнему составляет в Германии 23</w:t>
      </w:r>
      <w:r w:rsidRPr="007A3504">
        <w:t>%. Среди в</w:t>
      </w:r>
      <w:r w:rsidRPr="007A3504">
        <w:t>ы</w:t>
      </w:r>
      <w:r w:rsidRPr="007A3504">
        <w:t xml:space="preserve">пускников университетов и управленцев эта разница еще больше. </w:t>
      </w:r>
    </w:p>
    <w:p w:rsidR="00BD45E7" w:rsidRPr="007A3504" w:rsidRDefault="00BD45E7" w:rsidP="00BD45E7">
      <w:pPr>
        <w:pStyle w:val="SingleTxtGR"/>
      </w:pPr>
      <w:r w:rsidRPr="007A3504">
        <w:t>11.</w:t>
      </w:r>
      <w:r w:rsidRPr="007A3504">
        <w:tab/>
        <w:t xml:space="preserve">Цель стратегии устойчивого развития заключается в том, чтобы </w:t>
      </w:r>
      <w:r>
        <w:t>пок</w:t>
      </w:r>
      <w:r>
        <w:t>а</w:t>
      </w:r>
      <w:r>
        <w:t>зать</w:t>
      </w:r>
      <w:r w:rsidRPr="007A3504">
        <w:t xml:space="preserve"> причины разрыва в оплате труда женщин и мужчин и разработать способы э</w:t>
      </w:r>
      <w:r w:rsidRPr="007A3504">
        <w:t>ф</w:t>
      </w:r>
      <w:r w:rsidRPr="007A3504">
        <w:t>фективного сокращения этого разрыва в Германии. В этой связи необходимо четко определить, какие варианты имеются у отдельных ст</w:t>
      </w:r>
      <w:r w:rsidRPr="007A3504">
        <w:t>о</w:t>
      </w:r>
      <w:r w:rsidRPr="007A3504">
        <w:t xml:space="preserve">рон, принимающих активное участие в </w:t>
      </w:r>
      <w:r>
        <w:t>этой области</w:t>
      </w:r>
      <w:r w:rsidRPr="007A3504">
        <w:t xml:space="preserve">, и с кем можно </w:t>
      </w:r>
      <w:r>
        <w:t>наладить</w:t>
      </w:r>
      <w:r w:rsidRPr="007A3504">
        <w:t xml:space="preserve"> вза</w:t>
      </w:r>
      <w:r w:rsidRPr="007A3504">
        <w:t>и</w:t>
      </w:r>
      <w:r w:rsidRPr="007A3504">
        <w:t>модействие.</w:t>
      </w:r>
    </w:p>
    <w:p w:rsidR="00BD45E7" w:rsidRPr="007A3504" w:rsidRDefault="00BD45E7" w:rsidP="00780E4B">
      <w:pPr>
        <w:pStyle w:val="SingleTxtGR"/>
      </w:pPr>
      <w:r w:rsidRPr="007A3504">
        <w:t>1</w:t>
      </w:r>
      <w:r>
        <w:t>2</w:t>
      </w:r>
      <w:r w:rsidRPr="007A3504">
        <w:t>.</w:t>
      </w:r>
      <w:r w:rsidRPr="007A3504">
        <w:tab/>
        <w:t xml:space="preserve">Действуя в соответствии с подходом Комиссии ЕС, </w:t>
      </w:r>
      <w:r>
        <w:t>ф</w:t>
      </w:r>
      <w:r w:rsidRPr="007A3504">
        <w:t>едеральное прав</w:t>
      </w:r>
      <w:r w:rsidRPr="007A3504">
        <w:t>и</w:t>
      </w:r>
      <w:r w:rsidRPr="007A3504">
        <w:t>тельство разработало стратегию устранения неравенства в оплате труда, орие</w:t>
      </w:r>
      <w:r w:rsidRPr="007A3504">
        <w:t>н</w:t>
      </w:r>
      <w:r w:rsidRPr="007A3504">
        <w:t xml:space="preserve">тированную на </w:t>
      </w:r>
      <w:r>
        <w:t xml:space="preserve">его </w:t>
      </w:r>
      <w:r w:rsidRPr="007A3504">
        <w:t>причины. В результате различных исследований было уст</w:t>
      </w:r>
      <w:r w:rsidRPr="007A3504">
        <w:t>а</w:t>
      </w:r>
      <w:r w:rsidRPr="007A3504">
        <w:t>новлено, что гендерный разрыв в оплате труда объясняется тремя основными причинами:</w:t>
      </w:r>
    </w:p>
    <w:p w:rsidR="00BD45E7" w:rsidRPr="007A3504" w:rsidRDefault="00BD45E7" w:rsidP="00BD45E7">
      <w:pPr>
        <w:pStyle w:val="SingleTxtGR"/>
      </w:pPr>
      <w:r w:rsidRPr="007A3504">
        <w:tab/>
        <w:t>а)</w:t>
      </w:r>
      <w:r w:rsidRPr="007A3504">
        <w:tab/>
        <w:t xml:space="preserve">женщины редко работают на определенных </w:t>
      </w:r>
      <w:r>
        <w:t>профессиональных о</w:t>
      </w:r>
      <w:r>
        <w:t>б</w:t>
      </w:r>
      <w:r>
        <w:t>ластях, секторах и на более высоких должностях</w:t>
      </w:r>
      <w:r w:rsidRPr="007A3504">
        <w:t>: на рынке труда сохраняется горизонтальная и вертикал</w:t>
      </w:r>
      <w:r w:rsidRPr="007A3504">
        <w:t>ь</w:t>
      </w:r>
      <w:r w:rsidRPr="007A3504">
        <w:t>ная сегрегация;</w:t>
      </w:r>
    </w:p>
    <w:p w:rsidR="00BD45E7" w:rsidRPr="007A3504" w:rsidRDefault="00BD45E7" w:rsidP="00BD45E7">
      <w:pPr>
        <w:pStyle w:val="SingleTxtGR"/>
      </w:pPr>
      <w:r w:rsidRPr="007A3504">
        <w:tab/>
      </w:r>
      <w:r w:rsidRPr="007A3504">
        <w:rPr>
          <w:lang w:val="fr-CH"/>
        </w:rPr>
        <w:t>b</w:t>
      </w:r>
      <w:r w:rsidRPr="007A3504">
        <w:t>)</w:t>
      </w:r>
      <w:r w:rsidRPr="007A3504">
        <w:tab/>
        <w:t>женщины вынуждены прерывать свою карьеру по семейным о</w:t>
      </w:r>
      <w:r w:rsidRPr="007A3504">
        <w:t>б</w:t>
      </w:r>
      <w:r w:rsidRPr="007A3504">
        <w:t>стоятельствам на более длительные сроки, чем мужчины;</w:t>
      </w:r>
    </w:p>
    <w:p w:rsidR="00BD45E7" w:rsidRPr="007A3504" w:rsidRDefault="00BD45E7" w:rsidP="00BD45E7">
      <w:pPr>
        <w:pStyle w:val="SingleTxtGR"/>
      </w:pPr>
      <w:r w:rsidRPr="007A3504">
        <w:tab/>
        <w:t>с)</w:t>
      </w:r>
      <w:r w:rsidRPr="007A3504">
        <w:tab/>
        <w:t>индивидуальные и коллективные переговоры по вопрос</w:t>
      </w:r>
      <w:r>
        <w:t>ам</w:t>
      </w:r>
      <w:r w:rsidRPr="007A3504">
        <w:t xml:space="preserve"> оплаты труда не </w:t>
      </w:r>
      <w:r>
        <w:t xml:space="preserve">дали существенных результатов повышения оплаты труда в области </w:t>
      </w:r>
      <w:r w:rsidRPr="007A3504">
        <w:t>"типичн</w:t>
      </w:r>
      <w:r>
        <w:t>о</w:t>
      </w:r>
      <w:r w:rsidRPr="007A3504">
        <w:t xml:space="preserve"> женских профессий".</w:t>
      </w:r>
    </w:p>
    <w:p w:rsidR="00BD45E7" w:rsidRPr="007A3504" w:rsidRDefault="00BD45E7" w:rsidP="00BD45E7">
      <w:pPr>
        <w:pStyle w:val="SingleTxtGR"/>
      </w:pPr>
      <w:r w:rsidRPr="007A3504">
        <w:t>13.</w:t>
      </w:r>
      <w:r w:rsidRPr="007A3504">
        <w:tab/>
        <w:t xml:space="preserve">Так, </w:t>
      </w:r>
      <w:r>
        <w:t>(почти) все аспекты</w:t>
      </w:r>
      <w:r w:rsidRPr="007A3504">
        <w:t xml:space="preserve"> проблем, с которыми женщины сталкиваются в сфере</w:t>
      </w:r>
      <w:r>
        <w:t xml:space="preserve"> труда</w:t>
      </w:r>
      <w:r w:rsidRPr="007A3504">
        <w:t xml:space="preserve">, </w:t>
      </w:r>
      <w:r>
        <w:t xml:space="preserve">отразились в </w:t>
      </w:r>
      <w:r w:rsidRPr="007A3504">
        <w:t>разрыв</w:t>
      </w:r>
      <w:r>
        <w:t>е</w:t>
      </w:r>
      <w:r w:rsidRPr="007A3504">
        <w:t xml:space="preserve"> заработной плат</w:t>
      </w:r>
      <w:r>
        <w:t xml:space="preserve">ы, т.е. в разнице между </w:t>
      </w:r>
      <w:r w:rsidRPr="007A3504">
        <w:t>п</w:t>
      </w:r>
      <w:r w:rsidRPr="007A3504">
        <w:t>о</w:t>
      </w:r>
      <w:r w:rsidRPr="007A3504">
        <w:t>часовой оплат</w:t>
      </w:r>
      <w:r>
        <w:t>ой</w:t>
      </w:r>
      <w:r w:rsidRPr="007A3504">
        <w:t xml:space="preserve"> труда женщин и мужчин. Ограниченный спектр профессий, выбираемых женщинами, препятствия на их карьерном пути, традиционные ролевые модели в некоторых социальных </w:t>
      </w:r>
      <w:r>
        <w:t>средах</w:t>
      </w:r>
      <w:r w:rsidRPr="007A3504">
        <w:t xml:space="preserve">, </w:t>
      </w:r>
      <w:r>
        <w:t>объективные и</w:t>
      </w:r>
      <w:r w:rsidRPr="007A3504">
        <w:t xml:space="preserve"> психологич</w:t>
      </w:r>
      <w:r w:rsidRPr="007A3504">
        <w:t>е</w:t>
      </w:r>
      <w:r w:rsidRPr="007A3504">
        <w:t xml:space="preserve">ские трудности, связанные с </w:t>
      </w:r>
      <w:r>
        <w:t>нахождением</w:t>
      </w:r>
      <w:r w:rsidRPr="007A3504">
        <w:t xml:space="preserve"> баланса между семейной и </w:t>
      </w:r>
      <w:r>
        <w:t xml:space="preserve">трудовой </w:t>
      </w:r>
      <w:r w:rsidRPr="007A3504">
        <w:t>жизнью, а также сложности при возобновлении работы после вызванного с</w:t>
      </w:r>
      <w:r w:rsidRPr="007A3504">
        <w:t>е</w:t>
      </w:r>
      <w:r w:rsidRPr="007A3504">
        <w:t xml:space="preserve">мейными обстоятельствами перерыва, наряду с </w:t>
      </w:r>
      <w:r>
        <w:t xml:space="preserve">низкой оплатой труда в типично </w:t>
      </w:r>
      <w:r w:rsidRPr="007A3504">
        <w:t>женских професси</w:t>
      </w:r>
      <w:r>
        <w:t>ях</w:t>
      </w:r>
      <w:r w:rsidRPr="007A3504">
        <w:t xml:space="preserve"> </w:t>
      </w:r>
      <w:r>
        <w:t xml:space="preserve">− все это </w:t>
      </w:r>
      <w:r w:rsidR="001317FA">
        <w:t>способствуе</w:t>
      </w:r>
      <w:r w:rsidRPr="007A3504">
        <w:t>т сохранению разрыва в оплате тр</w:t>
      </w:r>
      <w:r w:rsidRPr="007A3504">
        <w:t>у</w:t>
      </w:r>
      <w:r w:rsidRPr="007A3504">
        <w:t>да.</w:t>
      </w:r>
    </w:p>
    <w:p w:rsidR="001317FA" w:rsidRDefault="001317FA" w:rsidP="001317FA">
      <w:pPr>
        <w:pStyle w:val="SingleTxtGR"/>
      </w:pPr>
      <w:r>
        <w:t>14.</w:t>
      </w:r>
      <w:r>
        <w:tab/>
        <w:t>В то же время сам по себе разрыв в оплате труда может влиять на повед</w:t>
      </w:r>
      <w:r>
        <w:t>е</w:t>
      </w:r>
      <w:r>
        <w:t>ние женщин в сфере занятости. Перспект</w:t>
      </w:r>
      <w:r w:rsidR="000241FB">
        <w:t>ивы меньшего заработка приводят</w:t>
      </w:r>
      <w:r w:rsidR="000241FB">
        <w:br/>
      </w:r>
      <w:r>
        <w:t>к тому, что женщины меньше стремятся к оплачиваемой работе, длительные перерывы в работе приводят к увеличению неравенства в оплате труда, и пол</w:t>
      </w:r>
      <w:r>
        <w:t>у</w:t>
      </w:r>
      <w:r>
        <w:t>чается порочный замкнутый круг. Если − и до тех пор пока − женщины будут зарабатывать меньше мужчин, они будут чаще прекращать свою професси</w:t>
      </w:r>
      <w:r>
        <w:t>о</w:t>
      </w:r>
      <w:r>
        <w:t>нальную деятельность по семейным причинам, что в свою очередь будет сп</w:t>
      </w:r>
      <w:r>
        <w:t>о</w:t>
      </w:r>
      <w:r>
        <w:t xml:space="preserve">собствовать </w:t>
      </w:r>
      <w:r w:rsidR="00C144B9">
        <w:t>укоренению</w:t>
      </w:r>
      <w:r>
        <w:t xml:space="preserve"> предрассудков работодателей, согласно которым зар</w:t>
      </w:r>
      <w:r>
        <w:t>а</w:t>
      </w:r>
      <w:r>
        <w:t>боток женщин является всего лишь "дополнительным доходом". Женщины, в</w:t>
      </w:r>
      <w:r>
        <w:t>ы</w:t>
      </w:r>
      <w:r>
        <w:t>нужденные быть основными кормилицами в семье по причине безработности мужа, его смерти или развода, должны обеспечивать семью, используя меньший доход. Разрыв в оплате труда ставит такие с</w:t>
      </w:r>
      <w:r>
        <w:t>е</w:t>
      </w:r>
      <w:r>
        <w:t>мьи под угрозу бедности.</w:t>
      </w:r>
    </w:p>
    <w:p w:rsidR="001317FA" w:rsidRDefault="001317FA" w:rsidP="001317FA">
      <w:pPr>
        <w:pStyle w:val="SingleTxtGR"/>
      </w:pPr>
      <w:r>
        <w:t>15.</w:t>
      </w:r>
      <w:r>
        <w:tab/>
        <w:t>Федеральное правительство в последнее время уделяет все больше вн</w:t>
      </w:r>
      <w:r>
        <w:t>и</w:t>
      </w:r>
      <w:r>
        <w:t>мания вопросу разрыва в оплате труда. В рамках многочисленных инициатив оно поощряет молодых же</w:t>
      </w:r>
      <w:r>
        <w:t>н</w:t>
      </w:r>
      <w:r>
        <w:t>щин и мужчин к тому, чтобы они без предубеждения относились к своей карьере и не придерживались теории классического разд</w:t>
      </w:r>
      <w:r>
        <w:t>е</w:t>
      </w:r>
      <w:r>
        <w:t>ления на рынке труда. Выплата пособий родителям, а также предоставление о</w:t>
      </w:r>
      <w:r>
        <w:t>т</w:t>
      </w:r>
      <w:r>
        <w:t>пуска партнеру в связи с рождением ребенка наряду с расширением возможн</w:t>
      </w:r>
      <w:r>
        <w:t>о</w:t>
      </w:r>
      <w:r>
        <w:t>стей по уходу за ребенком и программой действий "Профессиональная реинт</w:t>
      </w:r>
      <w:r>
        <w:t>е</w:t>
      </w:r>
      <w:r>
        <w:t>грация как перспектива" способствуют сокращению периода, на который же</w:t>
      </w:r>
      <w:r>
        <w:t>н</w:t>
      </w:r>
      <w:r>
        <w:t>щины вынуждены прерывать свою трудовую деятельность по семейным о</w:t>
      </w:r>
      <w:r>
        <w:t>б</w:t>
      </w:r>
      <w:r>
        <w:t>стоятельствам. В соответствии с общим Законом о равном обращении (Allgemeines Gleichbehandlungsgesetz − AGG) теперь появилась возможность пересмотра в судебном порядке решений о продвижении по работе и случаев ненадлежащего предпочтения.</w:t>
      </w:r>
    </w:p>
    <w:p w:rsidR="001317FA" w:rsidRDefault="001317FA" w:rsidP="001317FA">
      <w:pPr>
        <w:pStyle w:val="SingleTxtGR"/>
      </w:pPr>
      <w:r>
        <w:t>16.</w:t>
      </w:r>
      <w:r>
        <w:tab/>
        <w:t>Тот факт, что в Германии существуют гендерные различия в доходах, стал стимулом для федерального правительства удвоить усилия в этой области</w:t>
      </w:r>
      <w:r>
        <w:rPr>
          <w:rStyle w:val="FootnoteReference"/>
        </w:rPr>
        <w:footnoteReference w:id="2"/>
      </w:r>
      <w:r>
        <w:t>. Так, в 2002 году сокращение разрыва было названо показателем прогресса в обесп</w:t>
      </w:r>
      <w:r>
        <w:t>е</w:t>
      </w:r>
      <w:r>
        <w:t>чении равенства между мужчинами и женщинами, а в 2008 году так называ</w:t>
      </w:r>
      <w:r>
        <w:t>е</w:t>
      </w:r>
      <w:r>
        <w:t>мый гендерный разрыв в оплате труда (в соответствии с европейской полит</w:t>
      </w:r>
      <w:r>
        <w:t>и</w:t>
      </w:r>
      <w:r>
        <w:t>кой) был установлен в качестве показателя различий в доходах и равенства в профессиональной жизни в докладе о ходе работы "За стабильную Германию" (Fur ein nachhaltiges Deutschland). Впосле</w:t>
      </w:r>
      <w:r w:rsidR="00937B5D">
        <w:t>дствии разрыв в оплате труда</w:t>
      </w:r>
      <w:r w:rsidR="00937B5D">
        <w:br/>
      </w:r>
      <w:r>
        <w:t>к 2020 году должен быть сокращен на 10%.</w:t>
      </w:r>
    </w:p>
    <w:p w:rsidR="001317FA" w:rsidRDefault="001317FA" w:rsidP="001317FA">
      <w:pPr>
        <w:pStyle w:val="H1GR"/>
      </w:pPr>
      <w:r>
        <w:tab/>
        <w:t>В.</w:t>
      </w:r>
      <w:r>
        <w:tab/>
        <w:t>Различия в доходах в Германии</w:t>
      </w:r>
    </w:p>
    <w:p w:rsidR="001317FA" w:rsidRDefault="001317FA" w:rsidP="001317FA">
      <w:pPr>
        <w:pStyle w:val="SingleTxtGR"/>
      </w:pPr>
      <w:r>
        <w:t>17.</w:t>
      </w:r>
      <w:r>
        <w:tab/>
        <w:t>Согласно последним данным различия в оплате труда между мужчинами и женщинами в Герм</w:t>
      </w:r>
      <w:r>
        <w:t>а</w:t>
      </w:r>
      <w:r>
        <w:t>нии составляют в среднем 23% (почасовая брутто оплата труда в 2010 году). По сравнению с другими государствами ЕС (по данным за 2009 год) Германия занимает близкое к последнему место в среднем сегменте: пятое место от конца, опережая Австрию (25,5%) и Нидерланды (23,6%). Вм</w:t>
      </w:r>
      <w:r>
        <w:t>е</w:t>
      </w:r>
      <w:r>
        <w:t>сте с тем только этот факт имеет относительно небольшое знач</w:t>
      </w:r>
      <w:r>
        <w:t>е</w:t>
      </w:r>
      <w:r>
        <w:t>ние, поскольку в странах, где работает меньшая доля женщин, гендерный разрыв в оплате тр</w:t>
      </w:r>
      <w:r>
        <w:t>у</w:t>
      </w:r>
      <w:r>
        <w:t>да всегда меньше.</w:t>
      </w:r>
    </w:p>
    <w:p w:rsidR="001317FA" w:rsidRDefault="001317FA" w:rsidP="00780E4B">
      <w:pPr>
        <w:pStyle w:val="SingleTxtGR"/>
        <w:jc w:val="left"/>
      </w:pPr>
      <w:r>
        <w:t>Диаграмма 1</w:t>
      </w:r>
      <w:r>
        <w:br/>
      </w:r>
      <w:r>
        <w:rPr>
          <w:b/>
        </w:rPr>
        <w:t>Гендерный разрыв в оплате труда в государствах</w:t>
      </w:r>
      <w:r w:rsidR="00937B5D">
        <w:rPr>
          <w:b/>
        </w:rPr>
        <w:t xml:space="preserve"> − </w:t>
      </w:r>
      <w:r>
        <w:rPr>
          <w:b/>
        </w:rPr>
        <w:t>членах ЕС в 2009 году</w:t>
      </w:r>
      <w:r>
        <w:rPr>
          <w:rStyle w:val="FootnoteReference"/>
        </w:rPr>
        <w:footnoteReference w:id="3"/>
      </w:r>
    </w:p>
    <w:p w:rsidR="001317FA" w:rsidRDefault="00780E4B" w:rsidP="00780E4B">
      <w:pPr>
        <w:pStyle w:val="SingleTxtGR"/>
        <w:jc w:val="left"/>
      </w:pPr>
      <w:r w:rsidRPr="00937B5D">
        <w:rPr>
          <w:lang w:val="en-US"/>
        </w:rPr>
        <w:pict>
          <v:shape id="Grafik 4" o:spid="_x0000_i1026" type="#_x0000_t75" style="width:398.25pt;height:151.5pt;visibility:visible">
            <v:imagedata r:id="rId8" o:title=""/>
          </v:shape>
        </w:pict>
      </w:r>
    </w:p>
    <w:p w:rsidR="001317FA" w:rsidRDefault="001317FA" w:rsidP="001317FA">
      <w:pPr>
        <w:pStyle w:val="H23GR"/>
      </w:pPr>
      <w:r>
        <w:tab/>
        <w:t>1.</w:t>
      </w:r>
      <w:r>
        <w:tab/>
        <w:t>Справочная информация о разрыве в оплате труда</w:t>
      </w:r>
    </w:p>
    <w:p w:rsidR="001317FA" w:rsidRPr="00780E4B" w:rsidRDefault="001317FA" w:rsidP="00780E4B">
      <w:pPr>
        <w:pStyle w:val="SingleTxtGR"/>
      </w:pPr>
      <w:r w:rsidRPr="00780E4B">
        <w:t>18.</w:t>
      </w:r>
      <w:r w:rsidRPr="00780E4B">
        <w:tab/>
        <w:t>При документировании различий в оплате труда федеральное правител</w:t>
      </w:r>
      <w:r w:rsidRPr="00780E4B">
        <w:t>ь</w:t>
      </w:r>
      <w:r w:rsidRPr="00780E4B">
        <w:t>ство ориентируется на официальную статистику, представляемую Федеральным статистическим управлением, которая представлена в структурном показателе "Гендерный разрыв в оплате труда" (ГРОТ). Подсчет ГРОТ также является о</w:t>
      </w:r>
      <w:r w:rsidRPr="00780E4B">
        <w:t>с</w:t>
      </w:r>
      <w:r w:rsidRPr="00780E4B">
        <w:t>новой для ежегодного определения Евростатом структурного показателя для Европейской комиссии и тем самым для европейской сопоставимости. Основу этих расчетов всегда составляет так называемый нескорректированный (сре</w:t>
      </w:r>
      <w:r w:rsidRPr="00780E4B">
        <w:t>д</w:t>
      </w:r>
      <w:r w:rsidRPr="00780E4B">
        <w:t>ний или простой) разрыв в оплате труда, т.е. простое сравнение брутто зарабо</w:t>
      </w:r>
      <w:r w:rsidRPr="00780E4B">
        <w:t>т</w:t>
      </w:r>
      <w:r w:rsidRPr="00780E4B">
        <w:t>ной платы женщин и мужчин</w:t>
      </w:r>
      <w:r w:rsidRPr="00780E4B">
        <w:rPr>
          <w:rStyle w:val="FootnoteReference"/>
          <w:sz w:val="20"/>
          <w:vertAlign w:val="baseline"/>
        </w:rPr>
        <w:footnoteReference w:id="4"/>
      </w:r>
      <w:r w:rsidRPr="00780E4B">
        <w:t>. ГРОТ представляет собой разницу между брутто средними доходами женщин и мужчин в процентном выражении. В этой связи с 2006 года учитываются все работающие женщины и мужчины, без ограничений по возрасту или количеству рабочих часов (однако до настоящего времени это не распространяется на систему государственной службы). Данные получены в результате унифицированного обследования структуры доходов ЕС, которое проводится каждые четыре года с 2006 года</w:t>
      </w:r>
      <w:r w:rsidRPr="00780E4B">
        <w:rPr>
          <w:rStyle w:val="FootnoteReference"/>
          <w:sz w:val="20"/>
          <w:vertAlign w:val="baseline"/>
        </w:rPr>
        <w:footnoteReference w:id="5"/>
      </w:r>
      <w:r w:rsidRPr="00780E4B">
        <w:t>.</w:t>
      </w:r>
    </w:p>
    <w:p w:rsidR="00D26325" w:rsidRPr="00780E4B" w:rsidRDefault="00D26325" w:rsidP="00780E4B">
      <w:pPr>
        <w:pStyle w:val="SingleTxtGR"/>
        <w:rPr>
          <w:szCs w:val="24"/>
        </w:rPr>
      </w:pPr>
      <w:r w:rsidRPr="00780E4B">
        <w:rPr>
          <w:szCs w:val="24"/>
        </w:rPr>
        <w:t>19.</w:t>
      </w:r>
      <w:r w:rsidRPr="00780E4B">
        <w:rPr>
          <w:szCs w:val="24"/>
        </w:rPr>
        <w:tab/>
        <w:t>Необходимо проводить различие между этим "простым" и нескоррект</w:t>
      </w:r>
      <w:r w:rsidRPr="00780E4B">
        <w:rPr>
          <w:szCs w:val="24"/>
        </w:rPr>
        <w:t>и</w:t>
      </w:r>
      <w:r w:rsidRPr="00780E4B">
        <w:rPr>
          <w:szCs w:val="24"/>
        </w:rPr>
        <w:t>рованным разрывом в оплате труда и скорректированным разрывом: скоррект</w:t>
      </w:r>
      <w:r w:rsidRPr="00780E4B">
        <w:rPr>
          <w:szCs w:val="24"/>
        </w:rPr>
        <w:t>и</w:t>
      </w:r>
      <w:r w:rsidRPr="00780E4B">
        <w:rPr>
          <w:szCs w:val="24"/>
        </w:rPr>
        <w:t>рованный разрыв в оплате труда рассчитывается путем сопоставления почас</w:t>
      </w:r>
      <w:r w:rsidRPr="00780E4B">
        <w:rPr>
          <w:szCs w:val="24"/>
        </w:rPr>
        <w:t>о</w:t>
      </w:r>
      <w:r w:rsidRPr="00780E4B">
        <w:rPr>
          <w:szCs w:val="24"/>
        </w:rPr>
        <w:t>вой оплаты труда брутто женщин и мужчин с одинаковыми индивидуальными характеристиками, т.е. женщин и мужчин с равным уровнем образования, од</w:t>
      </w:r>
      <w:r w:rsidRPr="00780E4B">
        <w:rPr>
          <w:szCs w:val="24"/>
        </w:rPr>
        <w:t>и</w:t>
      </w:r>
      <w:r w:rsidRPr="00780E4B">
        <w:rPr>
          <w:szCs w:val="24"/>
        </w:rPr>
        <w:t>наковой профессией, работающих в одном секторе и на одинаковых условиях занятости (на условиях полной занятости, полставки или работающих время от времени). В настоящее время скорректированный разрыв в оплате труда в Ге</w:t>
      </w:r>
      <w:r w:rsidRPr="00780E4B">
        <w:rPr>
          <w:szCs w:val="24"/>
        </w:rPr>
        <w:t>р</w:t>
      </w:r>
      <w:r w:rsidRPr="00780E4B">
        <w:rPr>
          <w:szCs w:val="24"/>
        </w:rPr>
        <w:t>мании составляет около 8%, хотя случаи прерывания профессиональной де</w:t>
      </w:r>
      <w:r w:rsidRPr="00780E4B">
        <w:rPr>
          <w:szCs w:val="24"/>
        </w:rPr>
        <w:t>я</w:t>
      </w:r>
      <w:r w:rsidRPr="00780E4B">
        <w:rPr>
          <w:szCs w:val="24"/>
        </w:rPr>
        <w:t>тельности по семейным обстоятельствам при расчете этого показателя не уч</w:t>
      </w:r>
      <w:r w:rsidRPr="00780E4B">
        <w:rPr>
          <w:szCs w:val="24"/>
        </w:rPr>
        <w:t>и</w:t>
      </w:r>
      <w:r w:rsidRPr="00780E4B">
        <w:rPr>
          <w:szCs w:val="24"/>
        </w:rPr>
        <w:t>тывались. Поскольку женщины и мужчины часто различаются по этим показ</w:t>
      </w:r>
      <w:r w:rsidRPr="00780E4B">
        <w:rPr>
          <w:szCs w:val="24"/>
        </w:rPr>
        <w:t>а</w:t>
      </w:r>
      <w:r w:rsidRPr="00780E4B">
        <w:rPr>
          <w:szCs w:val="24"/>
        </w:rPr>
        <w:t>телям, этими различиями можно объяснить часть определенного в прошлом н</w:t>
      </w:r>
      <w:r w:rsidRPr="00780E4B">
        <w:rPr>
          <w:szCs w:val="24"/>
        </w:rPr>
        <w:t>е</w:t>
      </w:r>
      <w:r w:rsidRPr="00780E4B">
        <w:rPr>
          <w:szCs w:val="24"/>
        </w:rPr>
        <w:t>скорректированного разрыва в оплате труда и тем самым показать, насколько можно сократить его. Поэтому анализ отдельных факторов дает логичную ка</w:t>
      </w:r>
      <w:r w:rsidRPr="00780E4B">
        <w:rPr>
          <w:szCs w:val="24"/>
        </w:rPr>
        <w:t>р</w:t>
      </w:r>
      <w:r w:rsidRPr="00780E4B">
        <w:rPr>
          <w:szCs w:val="24"/>
        </w:rPr>
        <w:t>тину того, с чего следует начинать борьбу с разрывом в оплате труда</w:t>
      </w:r>
      <w:r w:rsidRPr="0007608B">
        <w:rPr>
          <w:rStyle w:val="FootnoteReference"/>
        </w:rPr>
        <w:footnoteReference w:id="6"/>
      </w:r>
      <w:r w:rsidRPr="00780E4B">
        <w:rPr>
          <w:szCs w:val="24"/>
        </w:rPr>
        <w:t>.</w:t>
      </w:r>
    </w:p>
    <w:p w:rsidR="00D26325" w:rsidRPr="00930B3A" w:rsidRDefault="00D26325" w:rsidP="00D26325">
      <w:pPr>
        <w:pStyle w:val="H23GR"/>
      </w:pPr>
      <w:r>
        <w:tab/>
        <w:t>2.</w:t>
      </w:r>
      <w:r>
        <w:tab/>
        <w:t>Дополнительные аспекты</w:t>
      </w:r>
    </w:p>
    <w:p w:rsidR="00D26325" w:rsidRDefault="00D26325" w:rsidP="00D26325">
      <w:pPr>
        <w:pStyle w:val="SingleTxtGR"/>
      </w:pPr>
      <w:r>
        <w:t>20.</w:t>
      </w:r>
      <w:r>
        <w:tab/>
        <w:t>Уровень гендерного разрыва в оплат</w:t>
      </w:r>
      <w:r w:rsidR="0007608B">
        <w:t>е труда существенно различается</w:t>
      </w:r>
      <w:r w:rsidR="0007608B">
        <w:br/>
      </w:r>
      <w:r>
        <w:t>в городских и сельских ра</w:t>
      </w:r>
      <w:r>
        <w:t>й</w:t>
      </w:r>
      <w:r>
        <w:t>онах (Западной) Германии. Результаты проводимых в настоящее время исследований свидетельствуют о повышении средней дне</w:t>
      </w:r>
      <w:r>
        <w:t>в</w:t>
      </w:r>
      <w:r>
        <w:t>ной заработной платы мужчин и женщин в соответствии с увеличивающейся плотностью населения. В этой связи доходы мужчин в западных районах Ге</w:t>
      </w:r>
      <w:r>
        <w:t>р</w:t>
      </w:r>
      <w:r>
        <w:t>мании в среднем значительно выше, чем доходы женщин. Хотя гендерный ра</w:t>
      </w:r>
      <w:r>
        <w:t>з</w:t>
      </w:r>
      <w:r>
        <w:t>рыв в оплате труда среди молодых работников за последние 30 лет заметно с</w:t>
      </w:r>
      <w:r>
        <w:t>о</w:t>
      </w:r>
      <w:r>
        <w:t>кратился как в городских, так и в сельских районах, разница между город</w:t>
      </w:r>
      <w:r>
        <w:t>а</w:t>
      </w:r>
      <w:r>
        <w:t>ми и сельской местностью как таковая сохраняется на практически неизменном уровне в 13% (2004 год: города − 8,4%, сельские районы − 20,9%). Этот факт можно объяснить, прежде всего, различиями в профессиональной ориентации городских и сельских женщин, доминирующих ролевых моделях и професси</w:t>
      </w:r>
      <w:r>
        <w:t>о</w:t>
      </w:r>
      <w:r>
        <w:t>нальном образовании. Кроме того, между городскими и сельскими районами имеются различия с точки зрения экономической структуры, инфраструктуры, социально-демографических характерист</w:t>
      </w:r>
      <w:r w:rsidR="0007608B">
        <w:t>ик и географической мобильности</w:t>
      </w:r>
      <w:r w:rsidR="0007608B">
        <w:br/>
      </w:r>
      <w:r>
        <w:t>в сфере зан</w:t>
      </w:r>
      <w:r>
        <w:t>я</w:t>
      </w:r>
      <w:r>
        <w:t>тости.</w:t>
      </w:r>
    </w:p>
    <w:p w:rsidR="00D26325" w:rsidRDefault="00D26325" w:rsidP="00530288">
      <w:pPr>
        <w:pStyle w:val="SingleTxtGR"/>
      </w:pPr>
      <w:r>
        <w:t>21.</w:t>
      </w:r>
      <w:r>
        <w:tab/>
        <w:t>Средний показатель гендерного разрыва в оплате труда, составля</w:t>
      </w:r>
      <w:r>
        <w:t>ю</w:t>
      </w:r>
      <w:r>
        <w:t>щий 23%, крайне неравномерно распределен между новыми и старыми землями в Германии. В Западной Германии в 2009 году генде</w:t>
      </w:r>
      <w:r>
        <w:t>р</w:t>
      </w:r>
      <w:r>
        <w:t>ный разрыв составил 25%, в то время как в новых землях был установлен лишь 6-процентный разрыв.</w:t>
      </w:r>
      <w:r>
        <w:br/>
        <w:t>В этом контексте значение имеют как различные базовые условия ухода за детьми и различные концепции в отношении ролевых моделей, так и более ни</w:t>
      </w:r>
      <w:r>
        <w:t>з</w:t>
      </w:r>
      <w:r>
        <w:t>кие з</w:t>
      </w:r>
      <w:r>
        <w:t>а</w:t>
      </w:r>
      <w:r>
        <w:t>работки мужчин по сравнению с Западной Германией. И если в новых землях почти две трети детей, посещающих детские учреждения, ходят туда на полный день (более семи часов ежедневно), то в западных землях по причине нехватки мест в детских учреждениях то же самое можно сказать лишь о трети детей. Это относится и к программам школьного обучения, рассчитанных на полный учебный день, которые более распростран</w:t>
      </w:r>
      <w:r>
        <w:t>е</w:t>
      </w:r>
      <w:r>
        <w:t xml:space="preserve">ны в новых землях. </w:t>
      </w:r>
    </w:p>
    <w:p w:rsidR="00D26325" w:rsidRDefault="00D26325" w:rsidP="00D26325">
      <w:pPr>
        <w:pStyle w:val="SingleTxtGR"/>
      </w:pPr>
      <w:r w:rsidRPr="00F65469">
        <w:t>22.</w:t>
      </w:r>
      <w:r w:rsidRPr="00F65469">
        <w:tab/>
        <w:t>Вплоть до настоящего времени в рамках официальной статистики нево</w:t>
      </w:r>
      <w:r w:rsidRPr="00F65469">
        <w:t>з</w:t>
      </w:r>
      <w:r w:rsidRPr="00F65469">
        <w:t>можно было сопоставить разницу в доходах женщин и мужчин в системе гос</w:t>
      </w:r>
      <w:r w:rsidRPr="00F65469">
        <w:t>у</w:t>
      </w:r>
      <w:r w:rsidRPr="00F65469">
        <w:t>дарственной службы и в частном секторе. В рамках проекта, финансируемого Федеральн</w:t>
      </w:r>
      <w:r>
        <w:t>ым министерством по делам семьи</w:t>
      </w:r>
      <w:r w:rsidRPr="00F65469">
        <w:t>, женщин</w:t>
      </w:r>
      <w:r w:rsidR="00530288">
        <w:t>, престарелых</w:t>
      </w:r>
      <w:r w:rsidRPr="00F65469">
        <w:t xml:space="preserve"> и молод</w:t>
      </w:r>
      <w:r w:rsidRPr="00F65469">
        <w:t>е</w:t>
      </w:r>
      <w:r w:rsidRPr="00F65469">
        <w:t xml:space="preserve">жи (аббревиатура на нем. языке – BMFSFJ), Федеральное статистическое управление сравнило данные из различных источников и тем самым сделало возможным </w:t>
      </w:r>
      <w:r>
        <w:t xml:space="preserve">проведение </w:t>
      </w:r>
      <w:r w:rsidRPr="00F65469">
        <w:t>анализ</w:t>
      </w:r>
      <w:r>
        <w:t>а</w:t>
      </w:r>
      <w:r w:rsidRPr="00F65469">
        <w:t xml:space="preserve"> сопоставимой информации. Основной вывод заключ</w:t>
      </w:r>
      <w:r w:rsidRPr="00F65469">
        <w:t>а</w:t>
      </w:r>
      <w:r w:rsidRPr="00F65469">
        <w:t>ется в том, что гендерные различия в оплате труда в частном секторе в период с 2007 по 2008 год (22,6%) были значительно бо</w:t>
      </w:r>
      <w:r>
        <w:rPr>
          <w:rFonts w:ascii="Tahoma" w:hAnsi="Tahoma" w:cs="Tahoma"/>
        </w:rPr>
        <w:t></w:t>
      </w:r>
      <w:r w:rsidRPr="00F65469">
        <w:t>льш</w:t>
      </w:r>
      <w:r>
        <w:t>ими</w:t>
      </w:r>
      <w:r w:rsidRPr="00F65469">
        <w:t>, чем</w:t>
      </w:r>
      <w:r>
        <w:t xml:space="preserve"> на гос</w:t>
      </w:r>
      <w:r>
        <w:t>у</w:t>
      </w:r>
      <w:r>
        <w:t>дарственной службе (7,0</w:t>
      </w:r>
      <w:r w:rsidRPr="00F65469">
        <w:t>%); а в систем</w:t>
      </w:r>
      <w:r>
        <w:t>е</w:t>
      </w:r>
      <w:r w:rsidRPr="00F65469">
        <w:t xml:space="preserve"> государственной службы эта разница более существенна среди работников, не являющихся </w:t>
      </w:r>
      <w:r>
        <w:t>гражданскими</w:t>
      </w:r>
      <w:r w:rsidRPr="00F65469">
        <w:t xml:space="preserve"> служащ</w:t>
      </w:r>
      <w:r w:rsidRPr="00F65469">
        <w:t>и</w:t>
      </w:r>
      <w:r w:rsidRPr="00F65469">
        <w:t xml:space="preserve">ми (7,8%), чем среди </w:t>
      </w:r>
      <w:r>
        <w:t>гражданских служащих (1,7</w:t>
      </w:r>
      <w:r w:rsidRPr="00F65469">
        <w:t>%)</w:t>
      </w:r>
      <w:r>
        <w:rPr>
          <w:rStyle w:val="FootnoteReference"/>
        </w:rPr>
        <w:footnoteReference w:id="7"/>
      </w:r>
      <w:r>
        <w:t>, также как среди сотру</w:t>
      </w:r>
      <w:r>
        <w:t>д</w:t>
      </w:r>
      <w:r>
        <w:t>ников высших федеральных органов (1%)</w:t>
      </w:r>
      <w:r>
        <w:rPr>
          <w:rStyle w:val="FootnoteReference"/>
        </w:rPr>
        <w:footnoteReference w:id="8"/>
      </w:r>
      <w:r>
        <w:t xml:space="preserve">. </w:t>
      </w:r>
      <w:r w:rsidR="00173194">
        <w:t>Показатели, дифференцированные</w:t>
      </w:r>
      <w:r w:rsidR="00173194">
        <w:br/>
      </w:r>
      <w:r>
        <w:t>в зависимости от типа занятости, в системе государственной службы в отличие от частного сектора, находятся на одном уровне для обоих типов сотрудников (полная занятость − 7,2%; частичная занятость − 7,5%). В силу этого показат</w:t>
      </w:r>
      <w:r>
        <w:t>е</w:t>
      </w:r>
      <w:r>
        <w:t>ли в системе государственной службы Западной и Восточной Германии не ос</w:t>
      </w:r>
      <w:r>
        <w:t>о</w:t>
      </w:r>
      <w:r>
        <w:t>бо различаются. Анализ ситуации в отдельных секторах экономики свидетел</w:t>
      </w:r>
      <w:r>
        <w:t>ь</w:t>
      </w:r>
      <w:r>
        <w:t>ствует о нал</w:t>
      </w:r>
      <w:r>
        <w:t>и</w:t>
      </w:r>
      <w:r>
        <w:t>чии ярко выраженных различий в оплате труда на государственной службе в областях с относительно высокой долей женщин. К ним относятся "детские и образовательные учреждения" (14,7% при доле сотрудниц-женщин в 65,8%), для которых характерны весьма высокие показатели в сравнении с "г</w:t>
      </w:r>
      <w:r>
        <w:t>о</w:t>
      </w:r>
      <w:r>
        <w:t>сударс</w:t>
      </w:r>
      <w:r>
        <w:t>т</w:t>
      </w:r>
      <w:r>
        <w:t>венной службой, органами обороны, службой социального страхования" (8,4% при доле сотрудниц-женщин в</w:t>
      </w:r>
      <w:r w:rsidR="00530288">
        <w:t xml:space="preserve"> 44,6</w:t>
      </w:r>
      <w:r>
        <w:t>%). В конечном итоге существуют также гендерные различия в доходах среди работников женского и мужского пола на руководящих должностях в системе государственной службы, и они б</w:t>
      </w:r>
      <w:r>
        <w:t>о</w:t>
      </w:r>
      <w:r>
        <w:t>лее существенны, чем в других гру</w:t>
      </w:r>
      <w:r>
        <w:t>п</w:t>
      </w:r>
      <w:r>
        <w:t>пах (9,6%).</w:t>
      </w:r>
    </w:p>
    <w:p w:rsidR="00D26325" w:rsidRPr="00647BDF" w:rsidRDefault="00D26325" w:rsidP="00D26325">
      <w:pPr>
        <w:pStyle w:val="H1GR"/>
      </w:pPr>
      <w:r>
        <w:tab/>
      </w:r>
      <w:r w:rsidRPr="00647BDF">
        <w:t>С.</w:t>
      </w:r>
      <w:r w:rsidRPr="00647BDF">
        <w:tab/>
      </w:r>
      <w:r>
        <w:t>С</w:t>
      </w:r>
      <w:r w:rsidRPr="00647BDF">
        <w:t xml:space="preserve">тратегия </w:t>
      </w:r>
      <w:r>
        <w:t xml:space="preserve">управления по </w:t>
      </w:r>
      <w:r w:rsidRPr="00647BDF">
        <w:t>устранени</w:t>
      </w:r>
      <w:r>
        <w:t>ю</w:t>
      </w:r>
      <w:r w:rsidRPr="00647BDF">
        <w:t xml:space="preserve"> неравенства в оплате труда, ориентированная на его причины</w:t>
      </w:r>
    </w:p>
    <w:p w:rsidR="00D26325" w:rsidRDefault="00D26325" w:rsidP="00D26325">
      <w:pPr>
        <w:pStyle w:val="SingleTxtGR"/>
      </w:pPr>
      <w:r>
        <w:t>23.</w:t>
      </w:r>
      <w:r>
        <w:tab/>
        <w:t>Для того, чтобы принять целенаправленные меры по решению проблем, связанных с гендерными различиями в оплате труда, основное внимание в т</w:t>
      </w:r>
      <w:r>
        <w:t>е</w:t>
      </w:r>
      <w:r>
        <w:t>чение шестнадцатого законодательного периода б</w:t>
      </w:r>
      <w:r>
        <w:t>ы</w:t>
      </w:r>
      <w:r>
        <w:t>ло уделено изучению причин этих различий. Резюме результатов было опубликовано в документе "Нераве</w:t>
      </w:r>
      <w:r>
        <w:t>н</w:t>
      </w:r>
      <w:r>
        <w:t>ство в оплате труда женщин и мужчин в Германии".</w:t>
      </w:r>
    </w:p>
    <w:p w:rsidR="00D26325" w:rsidRPr="00930B3A" w:rsidRDefault="00D26325" w:rsidP="00D26325">
      <w:pPr>
        <w:pStyle w:val="SingleTxtGR"/>
      </w:pPr>
      <w:r>
        <w:t>24.</w:t>
      </w:r>
      <w:r>
        <w:tab/>
      </w:r>
      <w:r w:rsidR="008D0771">
        <w:t>Результаты исследования показали, что нескорректированный разрыв в оплате труда, опубликованный в 2006 году, был равен 23%, а скорректирова</w:t>
      </w:r>
      <w:r w:rsidR="008D0771">
        <w:t>н</w:t>
      </w:r>
      <w:r w:rsidR="008D0771">
        <w:t>ный уровень разрыва в оплате труда, без учета перерывов в профессиональной деятельности по семейным обстоятельствам, составил примерно 8%. Это озн</w:t>
      </w:r>
      <w:r w:rsidR="008D0771">
        <w:t>а</w:t>
      </w:r>
      <w:r w:rsidR="008D0771">
        <w:t>чает, что трудящиеся женщины, рассмотренные в рамках анализа, по-прежнему зарабатывают на 8% меньше, даже если обладают теми же характеристиками, что и мужчины</w:t>
      </w:r>
      <w:r w:rsidR="008D0771">
        <w:rPr>
          <w:rStyle w:val="FootnoteReference"/>
        </w:rPr>
        <w:footnoteReference w:id="9"/>
      </w:r>
      <w:r w:rsidR="008D0771">
        <w:t xml:space="preserve">. В исследовании </w:t>
      </w:r>
      <w:r>
        <w:t>были определены проблемные области, в к</w:t>
      </w:r>
      <w:r>
        <w:t>о</w:t>
      </w:r>
      <w:r>
        <w:t>торых необходимо принимать практические меры и в которых возможно сущ</w:t>
      </w:r>
      <w:r>
        <w:t>е</w:t>
      </w:r>
      <w:r>
        <w:t>ственное сокращение разрыва в оплате труда. Следующие диаграммы показ</w:t>
      </w:r>
      <w:r>
        <w:t>ы</w:t>
      </w:r>
      <w:r>
        <w:t>вают основные индивидуальные причины</w:t>
      </w:r>
      <w:r w:rsidR="0007608B">
        <w:t xml:space="preserve"> в отношении скорректированного</w:t>
      </w:r>
      <w:r w:rsidR="0007608B">
        <w:br/>
      </w:r>
      <w:r>
        <w:t>и нескорре</w:t>
      </w:r>
      <w:r>
        <w:t>к</w:t>
      </w:r>
      <w:r>
        <w:t>тированного разрыва в оплате труда.</w:t>
      </w:r>
    </w:p>
    <w:p w:rsidR="00D95451" w:rsidRPr="001162EA" w:rsidRDefault="00D95451" w:rsidP="00BF526D">
      <w:pPr>
        <w:pStyle w:val="H23GR"/>
        <w:ind w:left="0"/>
      </w:pPr>
      <w:r w:rsidRPr="001162EA">
        <w:rPr>
          <w:b w:val="0"/>
        </w:rPr>
        <w:tab/>
      </w:r>
      <w:r w:rsidRPr="001162EA">
        <w:rPr>
          <w:b w:val="0"/>
        </w:rPr>
        <w:tab/>
        <w:t>Диаграмма 2</w:t>
      </w:r>
      <w:r w:rsidRPr="001162EA">
        <w:rPr>
          <w:b w:val="0"/>
        </w:rPr>
        <w:br/>
      </w:r>
      <w:r w:rsidRPr="001162EA">
        <w:t>Почасовая оплата труда женщин и мужчин брутто и анализ гендерного аспекта</w:t>
      </w:r>
    </w:p>
    <w:p w:rsidR="00D95451" w:rsidRPr="001162EA" w:rsidRDefault="00D95451" w:rsidP="00BF526D">
      <w:pPr>
        <w:pStyle w:val="H23GR"/>
        <w:spacing w:after="240"/>
        <w:ind w:left="0"/>
        <w:rPr>
          <w:b w:val="0"/>
        </w:rPr>
      </w:pPr>
      <w:r w:rsidRPr="001162EA">
        <w:rPr>
          <w:b w:val="0"/>
        </w:rPr>
        <w:tab/>
      </w:r>
      <w:r w:rsidRPr="001162EA">
        <w:rPr>
          <w:b w:val="0"/>
        </w:rPr>
        <w:tab/>
        <w:t>Разрыв в оплате труда в зависимости от основных причин, обследование структуры доход</w:t>
      </w:r>
      <w:r w:rsidR="00BF526D">
        <w:rPr>
          <w:b w:val="0"/>
        </w:rPr>
        <w:t>ов за октябрь 2006 года, в евро</w:t>
      </w:r>
    </w:p>
    <w:p w:rsidR="00D95451" w:rsidRPr="001162EA" w:rsidRDefault="00BC1F60" w:rsidP="00BF526D">
      <w:pPr>
        <w:pStyle w:val="SingleTxtGR"/>
        <w:ind w:left="0"/>
      </w:pPr>
      <w:r>
        <w:rPr>
          <w:noProof/>
          <w:w w:val="100"/>
          <w:lang w:eastAsia="ru-RU"/>
        </w:rPr>
      </w:r>
      <w:r w:rsidR="00BF526D">
        <w:pict>
          <v:group id="_x0000_s1094" editas="canvas" style="width:460.8pt;height:274.6pt;mso-position-horizontal-relative:char;mso-position-vertical-relative:line" coordorigin="132,120" coordsize="9216,5492">
            <o:lock v:ext="edit" aspectratio="t"/>
            <v:shape id="_x0000_s1093" type="#_x0000_t75" style="position:absolute;left:132;top:120;width:9216;height:5492" o:preferrelative="f" stroked="t">
              <v:fill o:detectmouseclick="t"/>
              <v:path o:extrusionok="t" o:connecttype="none"/>
              <o:lock v:ext="edit" text="t"/>
            </v:shape>
            <v:rect id="_x0000_s1095" style="position:absolute;left:612;top:341;width:5400;height:4771" stroked="f"/>
            <v:rect id="_x0000_s1096" style="position:absolute;left:1421;top:820;width:1081;height:4292" fillcolor="silver" strokeweight=".6pt"/>
            <v:rect id="_x0000_s1097" style="position:absolute;left:4121;top:1794;width:1081;height:3318" fillcolor="silver" strokeweight=".6pt"/>
            <v:rect id="_x0000_s1098" style="position:absolute;left:4121;top:1559;width:1081;height:235" fillcolor="#f90" stroked="f"/>
            <v:rect id="_x0000_s1099" style="position:absolute;left:4121;top:1374;width:1081;height:185" fillcolor="lime" stroked="f"/>
            <v:rect id="_x0000_s1100" style="position:absolute;left:4121;top:1282;width:1081;height:92" fillcolor="red" stroked="f"/>
            <v:rect id="_x0000_s1101" style="position:absolute;left:4121;top:1211;width:1081;height:71" fillcolor="#9cf" stroked="f"/>
            <v:rect id="_x0000_s1102" style="position:absolute;left:4121;top:1183;width:1081;height:28" strokeweight=".6pt"/>
            <v:rect id="_x0000_s1103" style="position:absolute;left:4121;top:820;width:1081;height:363" fillcolor="navy" stroked="f"/>
            <v:line id="_x0000_s1104" style="position:absolute" from="612,341" to="612,5112" strokeweight="1.25pt"/>
            <v:line id="_x0000_s1105" style="position:absolute" from="542,5112" to="612,5112" strokeweight="1.25pt"/>
            <v:line id="_x0000_s1106" style="position:absolute" from="542,4635" to="612,4635" strokeweight="1.25pt"/>
            <v:line id="_x0000_s1107" style="position:absolute" from="542,4158" to="612,4158" strokeweight="1.25pt"/>
            <v:line id="_x0000_s1108" style="position:absolute" from="542,3680" to="612,3680" strokeweight="1.25pt"/>
            <v:line id="_x0000_s1109" style="position:absolute" from="542,3203" to="612,3203" strokeweight="1.25pt"/>
            <v:line id="_x0000_s1110" style="position:absolute" from="542,2726" to="612,2726" strokeweight="1.25pt"/>
            <v:line id="_x0000_s1111" style="position:absolute" from="542,2250" to="612,2250" strokeweight="1.25pt"/>
            <v:line id="_x0000_s1112" style="position:absolute" from="542,1773" to="612,1773" strokeweight="1.25pt"/>
            <v:line id="_x0000_s1113" style="position:absolute" from="542,1295" to="612,1295" strokeweight="1.25pt"/>
            <v:line id="_x0000_s1114" style="position:absolute" from="542,818" to="612,818" strokeweight="1.25pt"/>
            <v:line id="_x0000_s1115" style="position:absolute" from="542,341" to="612,341" strokeweight="1.25pt"/>
            <v:line id="_x0000_s1116" style="position:absolute" from="612,5112" to="6012,5112" strokeweight="1.25pt"/>
            <v:line id="_x0000_s1117" style="position:absolute;flip:y" from="612,5112" to="612,5183" strokeweight="1.25pt"/>
            <v:line id="_x0000_s1118" style="position:absolute;flip:y" from="3312,5112" to="3312,5183" strokeweight="1.25pt"/>
            <v:line id="_x0000_s1119" style="position:absolute;flip:y" from="6012,5112" to="6012,5183" strokeweight="1.25pt"/>
            <v:rect id="_x0000_s1122" style="position:absolute;left:382;top:4982;width:107;height:240;mso-wrap-style:none" filled="f" stroked="f">
              <v:textbox style="mso-fit-shape-to-text:t" inset="0,0,0,0">
                <w:txbxContent>
                  <w:p w:rsidR="00BC1F60" w:rsidRPr="004D645E" w:rsidRDefault="00BC1F60" w:rsidP="00B941CF">
                    <w:r w:rsidRPr="004D645E">
                      <w:rPr>
                        <w:color w:val="000000"/>
                        <w:lang w:val="en-US"/>
                      </w:rPr>
                      <w:t>0</w:t>
                    </w:r>
                  </w:p>
                </w:txbxContent>
              </v:textbox>
            </v:rect>
            <v:rect id="_x0000_s1123" style="position:absolute;left:382;top:4505;width:107;height:240;mso-wrap-style:none" filled="f" stroked="f">
              <v:textbox style="mso-fit-shape-to-text:t" inset="0,0,0,0">
                <w:txbxContent>
                  <w:p w:rsidR="00BC1F60" w:rsidRPr="004D645E" w:rsidRDefault="00BC1F60" w:rsidP="00B941CF">
                    <w:r w:rsidRPr="004D645E">
                      <w:rPr>
                        <w:color w:val="000000"/>
                        <w:lang w:val="en-US"/>
                      </w:rPr>
                      <w:t>2</w:t>
                    </w:r>
                  </w:p>
                </w:txbxContent>
              </v:textbox>
            </v:rect>
            <v:rect id="_x0000_s1124" style="position:absolute;left:382;top:4027;width:107;height:240;mso-wrap-style:none" filled="f" stroked="f">
              <v:textbox style="mso-fit-shape-to-text:t" inset="0,0,0,0">
                <w:txbxContent>
                  <w:p w:rsidR="00BC1F60" w:rsidRPr="004D645E" w:rsidRDefault="00BC1F60" w:rsidP="00B941CF">
                    <w:r w:rsidRPr="004D645E">
                      <w:rPr>
                        <w:color w:val="000000"/>
                        <w:lang w:val="en-US"/>
                      </w:rPr>
                      <w:t>4</w:t>
                    </w:r>
                  </w:p>
                </w:txbxContent>
              </v:textbox>
            </v:rect>
            <v:rect id="_x0000_s1125" style="position:absolute;left:382;top:3550;width:107;height:240;mso-wrap-style:none" filled="f" stroked="f">
              <v:textbox style="mso-fit-shape-to-text:t" inset="0,0,0,0">
                <w:txbxContent>
                  <w:p w:rsidR="00BC1F60" w:rsidRPr="004D645E" w:rsidRDefault="00BC1F60" w:rsidP="00B941CF">
                    <w:r w:rsidRPr="004D645E">
                      <w:rPr>
                        <w:color w:val="000000"/>
                        <w:lang w:val="en-US"/>
                      </w:rPr>
                      <w:t>6</w:t>
                    </w:r>
                  </w:p>
                </w:txbxContent>
              </v:textbox>
            </v:rect>
            <v:rect id="_x0000_s1126" style="position:absolute;left:385;top:3065;width:107;height:240;mso-wrap-style:none" filled="f" stroked="f">
              <v:textbox style="mso-fit-shape-to-text:t" inset="0,0,0,0">
                <w:txbxContent>
                  <w:p w:rsidR="00BC1F60" w:rsidRPr="004D645E" w:rsidRDefault="00BC1F60" w:rsidP="00B941CF">
                    <w:r w:rsidRPr="004D645E">
                      <w:rPr>
                        <w:color w:val="000000"/>
                        <w:lang w:val="en-US"/>
                      </w:rPr>
                      <w:t>8</w:t>
                    </w:r>
                  </w:p>
                </w:txbxContent>
              </v:textbox>
            </v:rect>
            <v:rect id="_x0000_s1127" style="position:absolute;left:269;top:2595;width:214;height:480;mso-wrap-style:none" filled="f" stroked="f">
              <v:textbox style="mso-fit-shape-to-text:t" inset="0,0,0,0">
                <w:txbxContent>
                  <w:p w:rsidR="00BC1F60" w:rsidRPr="004D645E" w:rsidRDefault="00BC1F60" w:rsidP="00B941CF">
                    <w:r w:rsidRPr="004D645E">
                      <w:rPr>
                        <w:color w:val="000000"/>
                        <w:lang w:val="en-US"/>
                      </w:rPr>
                      <w:t>10</w:t>
                    </w:r>
                  </w:p>
                </w:txbxContent>
              </v:textbox>
            </v:rect>
            <v:rect id="_x0000_s1128" style="position:absolute;left:269;top:2119;width:214;height:480;mso-wrap-style:none" filled="f" stroked="f">
              <v:textbox style="mso-fit-shape-to-text:t" inset="0,0,0,0">
                <w:txbxContent>
                  <w:p w:rsidR="00BC1F60" w:rsidRPr="004D645E" w:rsidRDefault="00BC1F60" w:rsidP="00B941CF">
                    <w:r w:rsidRPr="004D645E">
                      <w:rPr>
                        <w:color w:val="000000"/>
                        <w:lang w:val="en-US"/>
                      </w:rPr>
                      <w:t>12</w:t>
                    </w:r>
                  </w:p>
                </w:txbxContent>
              </v:textbox>
            </v:rect>
            <v:rect id="_x0000_s1129" style="position:absolute;left:269;top:1642;width:214;height:480;mso-wrap-style:none" filled="f" stroked="f">
              <v:textbox style="mso-fit-shape-to-text:t" inset="0,0,0,0">
                <w:txbxContent>
                  <w:p w:rsidR="00BC1F60" w:rsidRPr="004D645E" w:rsidRDefault="00BC1F60" w:rsidP="00B941CF">
                    <w:r w:rsidRPr="004D645E">
                      <w:rPr>
                        <w:color w:val="000000"/>
                        <w:lang w:val="en-US"/>
                      </w:rPr>
                      <w:t>14</w:t>
                    </w:r>
                  </w:p>
                </w:txbxContent>
              </v:textbox>
            </v:rect>
            <v:rect id="_x0000_s1130" style="position:absolute;left:269;top:1165;width:214;height:480;mso-wrap-style:none" filled="f" stroked="f">
              <v:textbox style="mso-fit-shape-to-text:t" inset="0,0,0,0">
                <w:txbxContent>
                  <w:p w:rsidR="00BC1F60" w:rsidRPr="004D645E" w:rsidRDefault="00BC1F60" w:rsidP="00B941CF">
                    <w:r w:rsidRPr="004D645E">
                      <w:rPr>
                        <w:color w:val="000000"/>
                        <w:lang w:val="en-US"/>
                      </w:rPr>
                      <w:t>16</w:t>
                    </w:r>
                  </w:p>
                </w:txbxContent>
              </v:textbox>
            </v:rect>
            <v:rect id="_x0000_s1131" style="position:absolute;left:269;top:688;width:214;height:480;mso-wrap-style:none" filled="f" stroked="f">
              <v:textbox style="mso-fit-shape-to-text:t" inset="0,0,0,0">
                <w:txbxContent>
                  <w:p w:rsidR="00BC1F60" w:rsidRPr="003E3482" w:rsidRDefault="00BC1F60" w:rsidP="00B941CF">
                    <w:r w:rsidRPr="003E3482">
                      <w:rPr>
                        <w:color w:val="000000"/>
                        <w:lang w:val="en-US"/>
                      </w:rPr>
                      <w:t>18</w:t>
                    </w:r>
                  </w:p>
                </w:txbxContent>
              </v:textbox>
            </v:rect>
            <v:rect id="_x0000_s1132" style="position:absolute;left:270;top:189;width:214;height:480;mso-wrap-style:none" filled="f" stroked="f">
              <v:textbox style="mso-fit-shape-to-text:t" inset="0,0,0,0">
                <w:txbxContent>
                  <w:p w:rsidR="00BC1F60" w:rsidRPr="003E3482" w:rsidRDefault="00BC1F60" w:rsidP="00B941CF">
                    <w:r w:rsidRPr="003E3482">
                      <w:rPr>
                        <w:color w:val="000000"/>
                        <w:lang w:val="en-US"/>
                      </w:rPr>
                      <w:t>20</w:t>
                    </w:r>
                  </w:p>
                </w:txbxContent>
              </v:textbox>
            </v:rect>
            <v:rect id="_x0000_s1136" style="position:absolute;left:6169;top:1235;width:110;height:111" fillcolor="navy" stroked="f"/>
            <v:rect id="_x0000_s1139" style="position:absolute;left:6169;top:1681;width:109;height:109" strokeweight=".6pt"/>
            <v:rect id="_x0000_s1142" style="position:absolute;left:6169;top:2135;width:110;height:110" fillcolor="#9cf" stroked="f"/>
            <v:rect id="_x0000_s1145" style="position:absolute;left:6169;top:2585;width:110;height:110" fillcolor="red" stroked="f"/>
            <v:rect id="_x0000_s1148" style="position:absolute;left:6169;top:3034;width:110;height:111" fillcolor="lime" stroked="f"/>
            <v:rect id="_x0000_s1151" style="position:absolute;left:6169;top:3484;width:110;height:110" fillcolor="#f90" stroked="f"/>
            <v:rect id="_x0000_s1154" style="position:absolute;left:6169;top:3929;width:109;height:109" fillcolor="silver" strokeweight=".6pt"/>
            <v:shape id="_x0000_s1156" style="position:absolute;left:644;top:812;width:5017;height:13" coordsize="5017,13" path="m,l51,r,13l,13,,xm89,r52,l141,13r-52,l89,xm179,r51,l230,13r-51,l179,xm268,r52,l320,13r-52,l268,xm358,r51,l409,13r-51,l358,xm448,r51,l499,13r-51,l448,xm537,r51,l588,13r-51,l537,xm627,r51,l678,13r-51,l627,xm716,r51,l767,13r-51,l716,xm806,r51,l857,13r-51,l806,xm895,r52,l947,13r-52,l895,xm985,r51,l1036,13r-51,l985,xm1074,r52,l1126,13r-52,l1074,xm1164,r51,l1215,13r-51,l1164,xm1253,r52,l1305,13r-52,l1253,xm1343,r51,l1394,13r-51,l1343,xm1432,r52,l1484,13r-52,l1432,xm1522,r51,l1573,13r-51,l1522,xm1611,r52,l1663,13r-52,l1611,xm1701,r51,l1752,13r-51,l1701,xm1791,r51,l1842,13r-51,l1791,xm1880,r51,l1931,13r-51,l1880,xm1970,r51,l2021,13r-51,l1970,xm2059,r51,l2110,13r-51,l2059,xm2149,r51,l2200,13r-51,l2149,xm2238,r52,l2290,13r-52,l2238,xm2328,r51,l2379,13r-51,l2328,xm2417,r52,l2469,13r-52,l2417,xm2507,r51,l2558,13r-51,l2507,xm2596,r52,l2648,13r-52,l2596,xm2686,r51,l2737,13r-51,l2686,xm2775,r52,l2827,13r-52,l2775,xm2865,r51,l2916,13r-51,l2865,xm2954,r52,l3006,13r-52,l2954,xm3044,r51,l3095,13r-51,l3044,xm3134,r51,l3185,13r-51,l3134,xm3223,r51,l3274,13r-51,l3223,xm3313,r51,l3364,13r-51,l3313,xm3402,r51,l3453,13r-51,l3402,xm3492,r51,l3543,13r-51,l3492,xm3581,r52,l3633,13r-52,l3581,xm3671,r51,l3722,13r-51,l3671,xm3760,r52,l3812,13r-52,l3760,xm3850,r51,l3901,13r-51,l3850,xm3939,r52,l3991,13r-52,l3939,xm4029,r51,l4080,13r-51,l4029,xm4118,r52,l4170,13r-52,l4118,xm4208,r51,l4259,13r-51,l4208,xm4297,r52,l4349,13r-52,l4297,xm4387,r51,l4438,13r-51,l4387,xm4477,r51,l4528,13r-51,l4477,xm4566,r51,l4617,13r-51,l4566,xm4656,r51,l4707,13r-51,l4656,xm4745,r51,l4796,13r-51,l4745,xm4835,r51,l4886,13r-51,l4835,xm4924,r52,l4976,13r-52,l4924,xm5014,r3,l5017,13r-3,l5014,xe" fillcolor="black" strokeweight=".1pt">
              <v:stroke joinstyle="bevel"/>
              <v:path arrowok="t"/>
              <o:lock v:ext="edit" verticies="t"/>
            </v:shape>
            <v:shape id="_x0000_s1157" style="position:absolute;left:644;top:1776;width:5017;height:13" coordsize="5017,13" path="m,l51,r,13l,13,,xm89,r52,l141,13r-52,l89,xm179,r51,l230,13r-51,l179,xm268,r52,l320,13r-52,l268,xm358,r51,l409,13r-51,l358,xm448,r51,l499,13r-51,l448,xm537,r51,l588,13r-51,l537,xm627,r51,l678,13r-51,l627,xm716,r51,l767,13r-51,l716,xm806,r51,l857,13r-51,l806,xm895,r52,l947,13r-52,l895,xm985,r51,l1036,13r-51,l985,xm1074,r52,l1126,13r-52,l1074,xm1164,r51,l1215,13r-51,l1164,xm1253,r52,l1305,13r-52,l1253,xm1343,r51,l1394,13r-51,l1343,xm1432,r52,l1484,13r-52,l1432,xm1522,r51,l1573,13r-51,l1522,xm1611,r52,l1663,13r-52,l1611,xm1701,r51,l1752,13r-51,l1701,xm1791,r51,l1842,13r-51,l1791,xm1880,r51,l1931,13r-51,l1880,xm1970,r51,l2021,13r-51,l1970,xm2059,r51,l2110,13r-51,l2059,xm2149,r51,l2200,13r-51,l2149,xm2238,r52,l2290,13r-52,l2238,xm2328,r51,l2379,13r-51,l2328,xm2417,r52,l2469,13r-52,l2417,xm2507,r51,l2558,13r-51,l2507,xm2596,r52,l2648,13r-52,l2596,xm2686,r51,l2737,13r-51,l2686,xm2775,r52,l2827,13r-52,l2775,xm2865,r51,l2916,13r-51,l2865,xm2954,r52,l3006,13r-52,l2954,xm3044,r51,l3095,13r-51,l3044,xm3134,r51,l3185,13r-51,l3134,xm3223,r51,l3274,13r-51,l3223,xm3313,r51,l3364,13r-51,l3313,xm3402,r51,l3453,13r-51,l3402,xm3492,r51,l3543,13r-51,l3492,xm3581,r52,l3633,13r-52,l3581,xm3671,r51,l3722,13r-51,l3671,xm3760,r52,l3812,13r-52,l3760,xm3850,r51,l3901,13r-51,l3850,xm3939,r52,l3991,13r-52,l3939,xm4029,r51,l4080,13r-51,l4029,xm4118,r52,l4170,13r-52,l4118,xm4208,r51,l4259,13r-51,l4208,xm4297,r52,l4349,13r-52,l4297,xm4387,r51,l4438,13r-51,l4387,xm4477,r51,l4528,13r-51,l4477,xm4566,r51,l4617,13r-51,l4566,xm4656,r51,l4707,13r-51,l4656,xm4745,r51,l4796,13r-51,l4745,xm4835,r51,l4886,13r-51,l4835,xm4924,r52,l4976,13r-52,l4924,xm5014,r3,l5017,13r-3,l5014,xe" fillcolor="black" strokeweight=".1pt">
              <v:stroke joinstyle="bevel"/>
              <v:path arrowok="t"/>
              <o:lock v:ext="edit" verticies="t"/>
            </v:shape>
            <v:line id="_x0000_s1158" style="position:absolute" from="5213,914" to="6145,1287" strokeweight=".5pt">
              <v:stroke endcap="round"/>
            </v:line>
            <v:line id="_x0000_s1159" style="position:absolute" from="5205,1192" to="6168,1715" strokeweight=".5pt">
              <v:stroke endcap="round"/>
            </v:line>
            <v:line id="_x0000_s1160" style="position:absolute" from="5205,1249" to="6145,2169" strokeweight=".5pt">
              <v:stroke endcap="round"/>
            </v:line>
            <v:line id="_x0000_s1161" style="position:absolute" from="5205,1325" to="6180,2608" strokeweight=".5pt">
              <v:stroke endcap="round"/>
            </v:line>
            <v:line id="_x0000_s1162" style="position:absolute" from="5229,1496" to="6168,3079" strokeweight=".5pt">
              <v:stroke endcap="round"/>
            </v:line>
            <v:line id="_x0000_s1163" style="position:absolute" from="5213,1783" to="6145,3537" strokeweight=".5pt">
              <v:stroke endcap="round"/>
            </v:line>
            <v:line id="_x0000_s1164" style="position:absolute;flip:x" from="5190,3996" to="6163,3996" strokeweight=".5pt">
              <v:stroke endcap="round"/>
            </v:line>
            <v:shapetype id="_x0000_t202" coordsize="21600,21600" o:spt="202" path="m,l,21600r21600,l21600,xe">
              <v:stroke joinstyle="miter"/>
              <v:path gradientshapeok="t" o:connecttype="rect"/>
            </v:shapetype>
            <v:shape id="_x0000_s1167" type="#_x0000_t202" style="position:absolute;left:1647;top:1009;width:631;height:344" filled="f" stroked="f">
              <v:textbox inset="0,0,0,0">
                <w:txbxContent>
                  <w:p w:rsidR="001C0261" w:rsidRDefault="003E3482" w:rsidP="00B941CF">
                    <w:r>
                      <w:t>17,99</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8" type="#_x0000_t87" style="position:absolute;left:3798;top:853;width:213;height:889"/>
            <v:shape id="_x0000_s1169" type="#_x0000_t202" style="position:absolute;left:3303;top:1156;width:468;height:344" filled="f" stroked="f">
              <v:textbox inset="0,0,0,0">
                <w:txbxContent>
                  <w:p w:rsidR="003E3482" w:rsidRDefault="003E3482" w:rsidP="00B941CF">
                    <w:r>
                      <w:t>23%</w:t>
                    </w:r>
                  </w:p>
                </w:txbxContent>
              </v:textbox>
            </v:shape>
            <v:shape id="_x0000_s1170" type="#_x0000_t202" style="position:absolute;left:4358;top:1881;width:541;height:344" filled="f" stroked="f">
              <v:textbox inset="0,0,0,0">
                <w:txbxContent>
                  <w:p w:rsidR="003E3482" w:rsidRDefault="003E3482" w:rsidP="00B941CF">
                    <w:r>
                      <w:t>13,91</w:t>
                    </w:r>
                  </w:p>
                </w:txbxContent>
              </v:textbox>
            </v:shape>
            <v:shape id="_x0000_s1171" type="#_x0000_t202" style="position:absolute;left:6379;top:1040;width:2633;height:3486" filled="f" stroked="f">
              <v:textbox inset="0,0,0,0">
                <w:txbxContent>
                  <w:p w:rsidR="00BD6547" w:rsidRPr="008C311E" w:rsidRDefault="00BD6547" w:rsidP="00B941CF">
                    <w:pPr>
                      <w:spacing w:line="200" w:lineRule="exact"/>
                      <w:rPr>
                        <w:sz w:val="16"/>
                        <w:szCs w:val="16"/>
                      </w:rPr>
                    </w:pPr>
                    <w:r w:rsidRPr="008C311E">
                      <w:rPr>
                        <w:sz w:val="16"/>
                        <w:szCs w:val="16"/>
                      </w:rPr>
                      <w:t>"Необъяснимый остаток"</w:t>
                    </w:r>
                    <w:r w:rsidRPr="008C311E">
                      <w:rPr>
                        <w:sz w:val="16"/>
                        <w:szCs w:val="16"/>
                      </w:rPr>
                      <w:br/>
                    </w:r>
                    <w:r w:rsidR="008C311E" w:rsidRPr="008C311E">
                      <w:rPr>
                        <w:sz w:val="16"/>
                        <w:szCs w:val="16"/>
                      </w:rPr>
                      <w:t>(8,5 процентных пунктов − ско</w:t>
                    </w:r>
                    <w:r w:rsidR="008C311E" w:rsidRPr="008C311E">
                      <w:rPr>
                        <w:sz w:val="16"/>
                        <w:szCs w:val="16"/>
                      </w:rPr>
                      <w:t>р</w:t>
                    </w:r>
                    <w:r w:rsidR="008C311E" w:rsidRPr="008C311E">
                      <w:rPr>
                        <w:sz w:val="16"/>
                        <w:szCs w:val="16"/>
                      </w:rPr>
                      <w:t>ректированный генде</w:t>
                    </w:r>
                    <w:r w:rsidR="008C311E" w:rsidRPr="008C311E">
                      <w:rPr>
                        <w:sz w:val="16"/>
                        <w:szCs w:val="16"/>
                      </w:rPr>
                      <w:t>р</w:t>
                    </w:r>
                    <w:r w:rsidR="008C311E" w:rsidRPr="008C311E">
                      <w:rPr>
                        <w:sz w:val="16"/>
                        <w:szCs w:val="16"/>
                      </w:rPr>
                      <w:t>ный разрыв в оплате труда)</w:t>
                    </w:r>
                  </w:p>
                  <w:p w:rsidR="00BD6547" w:rsidRDefault="008C311E" w:rsidP="00B941CF">
                    <w:pPr>
                      <w:spacing w:before="120" w:line="200" w:lineRule="exact"/>
                      <w:rPr>
                        <w:sz w:val="16"/>
                        <w:szCs w:val="16"/>
                      </w:rPr>
                    </w:pPr>
                    <w:r w:rsidRPr="008C311E">
                      <w:rPr>
                        <w:sz w:val="16"/>
                        <w:szCs w:val="16"/>
                      </w:rPr>
                      <w:t>Образование и професси</w:t>
                    </w:r>
                    <w:r w:rsidRPr="008C311E">
                      <w:rPr>
                        <w:sz w:val="16"/>
                        <w:szCs w:val="16"/>
                      </w:rPr>
                      <w:t>о</w:t>
                    </w:r>
                    <w:r w:rsidRPr="008C311E">
                      <w:rPr>
                        <w:sz w:val="16"/>
                        <w:szCs w:val="16"/>
                      </w:rPr>
                      <w:t>нальный опыт (0,7 процен</w:t>
                    </w:r>
                    <w:r w:rsidRPr="008C311E">
                      <w:rPr>
                        <w:sz w:val="16"/>
                        <w:szCs w:val="16"/>
                      </w:rPr>
                      <w:t>т</w:t>
                    </w:r>
                    <w:r w:rsidRPr="008C311E">
                      <w:rPr>
                        <w:sz w:val="16"/>
                        <w:szCs w:val="16"/>
                      </w:rPr>
                      <w:t>ных пунктов)</w:t>
                    </w:r>
                  </w:p>
                  <w:p w:rsidR="008C311E" w:rsidRDefault="00832609" w:rsidP="00B941CF">
                    <w:pPr>
                      <w:spacing w:before="280" w:line="200" w:lineRule="exact"/>
                      <w:rPr>
                        <w:sz w:val="16"/>
                        <w:szCs w:val="16"/>
                      </w:rPr>
                    </w:pPr>
                    <w:r>
                      <w:rPr>
                        <w:sz w:val="16"/>
                        <w:szCs w:val="16"/>
                      </w:rPr>
                      <w:t>Другие факторы места работы</w:t>
                    </w:r>
                    <w:r>
                      <w:rPr>
                        <w:sz w:val="16"/>
                        <w:szCs w:val="16"/>
                      </w:rPr>
                      <w:br/>
                    </w:r>
                    <w:r w:rsidR="008C311E">
                      <w:rPr>
                        <w:sz w:val="16"/>
                        <w:szCs w:val="16"/>
                      </w:rPr>
                      <w:t>(1,6 процентных пунктов)</w:t>
                    </w:r>
                  </w:p>
                  <w:p w:rsidR="008C311E" w:rsidRDefault="00832609" w:rsidP="00B941CF">
                    <w:pPr>
                      <w:spacing w:before="360" w:line="200" w:lineRule="exact"/>
                      <w:rPr>
                        <w:sz w:val="16"/>
                        <w:szCs w:val="16"/>
                      </w:rPr>
                    </w:pPr>
                    <w:r>
                      <w:rPr>
                        <w:sz w:val="16"/>
                        <w:szCs w:val="16"/>
                      </w:rPr>
                      <w:t>Занятость время от времени</w:t>
                    </w:r>
                    <w:r>
                      <w:rPr>
                        <w:sz w:val="16"/>
                        <w:szCs w:val="16"/>
                      </w:rPr>
                      <w:br/>
                    </w:r>
                    <w:r w:rsidR="008C311E">
                      <w:rPr>
                        <w:sz w:val="16"/>
                        <w:szCs w:val="16"/>
                      </w:rPr>
                      <w:t>(2,2 процентных пунктов)</w:t>
                    </w:r>
                  </w:p>
                  <w:p w:rsidR="00B941CF" w:rsidRPr="008C311E" w:rsidRDefault="00B941CF" w:rsidP="00B941CF">
                    <w:pPr>
                      <w:spacing w:before="80" w:line="200" w:lineRule="exact"/>
                      <w:rPr>
                        <w:sz w:val="16"/>
                        <w:szCs w:val="16"/>
                      </w:rPr>
                    </w:pPr>
                    <w:r>
                      <w:rPr>
                        <w:sz w:val="16"/>
                        <w:szCs w:val="16"/>
                      </w:rPr>
                      <w:t>Выбор профессии и сферы де</w:t>
                    </w:r>
                    <w:r>
                      <w:rPr>
                        <w:sz w:val="16"/>
                        <w:szCs w:val="16"/>
                      </w:rPr>
                      <w:t>я</w:t>
                    </w:r>
                    <w:r>
                      <w:rPr>
                        <w:sz w:val="16"/>
                        <w:szCs w:val="16"/>
                      </w:rPr>
                      <w:t>тельности</w:t>
                    </w:r>
                    <w:r>
                      <w:rPr>
                        <w:sz w:val="16"/>
                        <w:szCs w:val="16"/>
                      </w:rPr>
                      <w:br/>
                      <w:t>(4,3 процентных пунктов)</w:t>
                    </w:r>
                  </w:p>
                </w:txbxContent>
              </v:textbox>
            </v:shape>
            <v:shape id="_x0000_s1172" type="#_x0000_t202" style="position:absolute;left:1406;top:5224;width:1068;height:246" filled="f" stroked="f">
              <v:textbox inset="0,0,0,0">
                <w:txbxContent>
                  <w:p w:rsidR="00B941CF" w:rsidRDefault="00B941CF" w:rsidP="00B941CF">
                    <w:r>
                      <w:t>Мужч</w:t>
                    </w:r>
                    <w:r>
                      <w:t>и</w:t>
                    </w:r>
                    <w:r>
                      <w:t>ны</w:t>
                    </w:r>
                  </w:p>
                </w:txbxContent>
              </v:textbox>
            </v:shape>
            <v:shape id="_x0000_s1173" type="#_x0000_t202" style="position:absolute;left:4117;top:5232;width:1068;height:246" filled="f" stroked="f">
              <v:textbox inset="0,0,0,0">
                <w:txbxContent>
                  <w:p w:rsidR="00B941CF" w:rsidRDefault="00BF526D" w:rsidP="00B941CF">
                    <w:r>
                      <w:t>Женщины</w:t>
                    </w:r>
                  </w:p>
                </w:txbxContent>
              </v:textbox>
            </v:shape>
            <w10:anchorlock/>
          </v:group>
        </w:pict>
      </w:r>
    </w:p>
    <w:p w:rsidR="00D95451" w:rsidRPr="001162EA" w:rsidRDefault="00D95451" w:rsidP="00BF526D">
      <w:pPr>
        <w:pStyle w:val="SingleTxtGR"/>
        <w:spacing w:before="240"/>
      </w:pPr>
      <w:r w:rsidRPr="001162EA">
        <w:t>25.</w:t>
      </w:r>
      <w:r w:rsidRPr="001162EA">
        <w:tab/>
        <w:t>Благодаря проведению обследований и исследований всех соответству</w:t>
      </w:r>
      <w:r w:rsidRPr="001162EA">
        <w:t>ю</w:t>
      </w:r>
      <w:r w:rsidRPr="001162EA">
        <w:t>щих причин различий в доходах стало понятно, что между систематическими причинами</w:t>
      </w:r>
      <w:r w:rsidR="00637570">
        <w:t xml:space="preserve"> существует сложная взаимосвязь</w:t>
      </w:r>
      <w:r w:rsidRPr="001162EA">
        <w:t xml:space="preserve"> и их можно устранить только п</w:t>
      </w:r>
      <w:r w:rsidRPr="001162EA">
        <w:t>у</w:t>
      </w:r>
      <w:r w:rsidRPr="001162EA">
        <w:t>тем подкрепления конкретных политических мер усилиями стратегических партнеров. Цель состоит в том, чтобы создать новые структуры управления, п</w:t>
      </w:r>
      <w:r w:rsidRPr="001162EA">
        <w:t>о</w:t>
      </w:r>
      <w:r w:rsidRPr="001162EA">
        <w:t>ощряющие и обеспечивающие совместные</w:t>
      </w:r>
      <w:r w:rsidR="0007608B">
        <w:t xml:space="preserve"> действия по сокращению разрыва</w:t>
      </w:r>
      <w:r w:rsidR="0007608B">
        <w:br/>
      </w:r>
      <w:r w:rsidRPr="001162EA">
        <w:t>в оплате труда. Далее структурные различия и дополнительные пояснительные модели будут более подробно описаны с указанием трех комплексов их прои</w:t>
      </w:r>
      <w:r w:rsidRPr="001162EA">
        <w:t>с</w:t>
      </w:r>
      <w:r w:rsidRPr="001162EA">
        <w:t xml:space="preserve">хождения. </w:t>
      </w:r>
    </w:p>
    <w:p w:rsidR="00D95451" w:rsidRPr="001162EA" w:rsidRDefault="00D95451" w:rsidP="00D95451">
      <w:pPr>
        <w:pStyle w:val="H23GR"/>
      </w:pPr>
      <w:r>
        <w:tab/>
      </w:r>
      <w:r w:rsidRPr="001162EA">
        <w:t>1.</w:t>
      </w:r>
      <w:r w:rsidRPr="001162EA">
        <w:tab/>
        <w:t>Основные причины неравенства в оплате труда в Германии</w:t>
      </w:r>
    </w:p>
    <w:p w:rsidR="00D95451" w:rsidRPr="001162EA" w:rsidRDefault="00D95451" w:rsidP="00D95451">
      <w:pPr>
        <w:pStyle w:val="H23GR"/>
      </w:pPr>
      <w:r>
        <w:tab/>
      </w:r>
      <w:r w:rsidRPr="001162EA">
        <w:t>а)</w:t>
      </w:r>
      <w:r w:rsidRPr="001162EA">
        <w:tab/>
        <w:t>Образование и горизонтальная/вертикальная сегрегация − гендерное разделение на рынке труда</w:t>
      </w:r>
    </w:p>
    <w:p w:rsidR="00D95451" w:rsidRPr="001162EA" w:rsidRDefault="00D95451" w:rsidP="00D95451">
      <w:pPr>
        <w:pStyle w:val="SingleTxtGR"/>
      </w:pPr>
      <w:r w:rsidRPr="001162EA">
        <w:t>26.</w:t>
      </w:r>
      <w:r w:rsidRPr="001162EA">
        <w:tab/>
        <w:t>Непрекращающаяся горизонтальная и вертикальная сегрегация на рынке труда Германии, равно как и в других странах Европы, является очевидным фактом. В течение длительного времени в среднем более низкий уровень обр</w:t>
      </w:r>
      <w:r w:rsidRPr="001162EA">
        <w:t>а</w:t>
      </w:r>
      <w:r w:rsidRPr="001162EA">
        <w:t>зования женщин служил убедительным объяснением такой сегрегации и ге</w:t>
      </w:r>
      <w:r w:rsidRPr="001162EA">
        <w:t>н</w:t>
      </w:r>
      <w:r w:rsidRPr="001162EA">
        <w:t>дерного разрыва в оплате труда. Интенсивные долгосрочные инвестиции в о</w:t>
      </w:r>
      <w:r w:rsidRPr="001162EA">
        <w:t>б</w:t>
      </w:r>
      <w:r w:rsidRPr="001162EA">
        <w:t>разование женщин считались нецелесообразными из-за низкой ожидаемой о</w:t>
      </w:r>
      <w:r w:rsidRPr="001162EA">
        <w:t>т</w:t>
      </w:r>
      <w:r w:rsidRPr="001162EA">
        <w:t>дачи. Вместе с тем, в последние годы наблюдается явное изменение этой ситу</w:t>
      </w:r>
      <w:r w:rsidRPr="001162EA">
        <w:t>а</w:t>
      </w:r>
      <w:r w:rsidRPr="001162EA">
        <w:t>ции: женщины стали добиваться больших успехов в образовании, чем мужч</w:t>
      </w:r>
      <w:r w:rsidRPr="001162EA">
        <w:t>и</w:t>
      </w:r>
      <w:r w:rsidRPr="001162EA">
        <w:t>ны. В отличие от мужчин, сравнение женщин в возрасте 30−35 лет и женщин в возрастной категории 60−65 лет показывает, что количество женщин, имеющих ученую степень, возросло (с 9,7% до 21,1%)</w:t>
      </w:r>
      <w:r w:rsidRPr="006358F2">
        <w:rPr>
          <w:sz w:val="18"/>
          <w:szCs w:val="18"/>
          <w:vertAlign w:val="superscript"/>
        </w:rPr>
        <w:footnoteReference w:id="10"/>
      </w:r>
      <w:r w:rsidRPr="001162EA">
        <w:t>. Сейчас 52,2% всех выпускников университетов составляют женщины. Тот факт, что женщины стали догонять мужчин по уровню образования, как представляется, отражается и в различиях в оплате труда по возрастным категориям. Так, среди женщин в возрасте 25</w:t>
      </w:r>
      <w:r>
        <w:t>−</w:t>
      </w:r>
      <w:r w:rsidRPr="001162EA">
        <w:t>29</w:t>
      </w:r>
      <w:r>
        <w:t> </w:t>
      </w:r>
      <w:r w:rsidRPr="001162EA">
        <w:t>лет разрыв в оплате труда составляет 8,5%, а в возрастной группе между 55 и 59 годами он почти в три раза больше и равен 29,1%. С одной стороны, эти различия по сути можно объяснить изменениями в отношении к образованию, что означает, что молодые женщины образованы лучше женщин старшего во</w:t>
      </w:r>
      <w:r w:rsidRPr="001162EA">
        <w:t>з</w:t>
      </w:r>
      <w:r w:rsidRPr="001162EA">
        <w:t>раста по сравнению с мужчинами в их собственных возрастных категориях. С</w:t>
      </w:r>
      <w:r>
        <w:t> </w:t>
      </w:r>
      <w:r w:rsidRPr="001162EA">
        <w:t>другой стороны, различия в оплате труда можно объяснить тем, что труд</w:t>
      </w:r>
      <w:r w:rsidRPr="001162EA">
        <w:t>я</w:t>
      </w:r>
      <w:r w:rsidRPr="001162EA">
        <w:t>щиеся женщины в возрасте до 30 лет, как правило, еще не прерывали свою карьеру по семейным обстоятельствам, в то время как на доходах женщин старшего возраста этот перерыв в профессиональной деятельности уже сказа</w:t>
      </w:r>
      <w:r w:rsidRPr="001162EA">
        <w:t>л</w:t>
      </w:r>
      <w:r w:rsidRPr="001162EA">
        <w:t>ся.</w:t>
      </w:r>
    </w:p>
    <w:p w:rsidR="00D95451" w:rsidRPr="001162EA" w:rsidRDefault="00D95451" w:rsidP="00D95451">
      <w:pPr>
        <w:pStyle w:val="SingleTxtGR"/>
      </w:pPr>
      <w:r w:rsidRPr="001162EA">
        <w:t>27.</w:t>
      </w:r>
      <w:r w:rsidRPr="001162EA">
        <w:tab/>
        <w:t>Несмотря на позитивную тенденцию в отношении образования женщин, не следует ожидать сокращения разрыва в оплате труда по одной лишь этой причине. В 2010 году женщины с профессионально-техническим образованием категории А (</w:t>
      </w:r>
      <w:r w:rsidRPr="001162EA">
        <w:rPr>
          <w:lang w:val="fr-CH"/>
        </w:rPr>
        <w:t>Abitur</w:t>
      </w:r>
      <w:r w:rsidRPr="001162EA">
        <w:t>) зарабатывали только 92% от доходов мужчин того же во</w:t>
      </w:r>
      <w:r w:rsidRPr="001162EA">
        <w:t>з</w:t>
      </w:r>
      <w:r w:rsidRPr="001162EA">
        <w:t>раста и с таким же уровнем подготовки и/или образования. Сравнение работн</w:t>
      </w:r>
      <w:r w:rsidRPr="001162EA">
        <w:t>и</w:t>
      </w:r>
      <w:r w:rsidRPr="001162EA">
        <w:t>ков с высшим образованием показывает, что женщины зарабатывают лишь 88% от дохода мужчин. Поэтому более высокая отдача, которую мужчины обеспеч</w:t>
      </w:r>
      <w:r w:rsidRPr="001162EA">
        <w:t>и</w:t>
      </w:r>
      <w:r w:rsidRPr="001162EA">
        <w:t>вают благодаря диплому университета или института прикладных наук, может рассматриваться как результат выбранной ими области специализации. Доказ</w:t>
      </w:r>
      <w:r w:rsidRPr="001162EA">
        <w:t>а</w:t>
      </w:r>
      <w:r w:rsidRPr="001162EA">
        <w:t>но, что мужчины предпочитают изучать математику/естественные и технич</w:t>
      </w:r>
      <w:r w:rsidRPr="001162EA">
        <w:t>е</w:t>
      </w:r>
      <w:r w:rsidRPr="001162EA">
        <w:t>ские науки, а женщины, как правило, выбирают языки и гуманитарные науки. И</w:t>
      </w:r>
      <w:r>
        <w:t> </w:t>
      </w:r>
      <w:r w:rsidRPr="001162EA">
        <w:t>спрос, и оплата выбираемых женщинами специальностей на рынке труда г</w:t>
      </w:r>
      <w:r w:rsidRPr="001162EA">
        <w:t>о</w:t>
      </w:r>
      <w:r w:rsidRPr="001162EA">
        <w:t>раздо ниже.</w:t>
      </w:r>
    </w:p>
    <w:p w:rsidR="00D95451" w:rsidRPr="001162EA" w:rsidRDefault="00D95451" w:rsidP="00D95451">
      <w:pPr>
        <w:pStyle w:val="SingleTxtGR"/>
      </w:pPr>
      <w:r w:rsidRPr="001162EA">
        <w:t>28.</w:t>
      </w:r>
      <w:r w:rsidRPr="001162EA">
        <w:tab/>
        <w:t>Это автоматически приводит к сегрегации. Женщин просто нет в некот</w:t>
      </w:r>
      <w:r w:rsidRPr="001162EA">
        <w:t>о</w:t>
      </w:r>
      <w:r w:rsidRPr="001162EA">
        <w:t>рых сферах деятельности и в некоторых профессиях. Из 350 специальностей профессионально-технического обучения более половины всех молодых же</w:t>
      </w:r>
      <w:r w:rsidRPr="001162EA">
        <w:t>н</w:t>
      </w:r>
      <w:r w:rsidRPr="001162EA">
        <w:t>щин выбирают лишь десять. Эти типично женские профессии в сфере обслуж</w:t>
      </w:r>
      <w:r w:rsidRPr="001162EA">
        <w:t>и</w:t>
      </w:r>
      <w:r w:rsidRPr="001162EA">
        <w:t>вания оплачиваются не так хорошо, как профессии в сфере технологий и ест</w:t>
      </w:r>
      <w:r w:rsidRPr="001162EA">
        <w:t>е</w:t>
      </w:r>
      <w:r w:rsidRPr="001162EA">
        <w:t>ственных наук, которые выбирают мужчины. Кроме того, существует большая разница в распределении женщин и мужчин по различны</w:t>
      </w:r>
      <w:r>
        <w:t>м</w:t>
      </w:r>
      <w:r w:rsidRPr="001162EA">
        <w:t xml:space="preserve"> секторам эконом</w:t>
      </w:r>
      <w:r w:rsidRPr="001162EA">
        <w:t>и</w:t>
      </w:r>
      <w:r w:rsidRPr="001162EA">
        <w:t>ки. Так, доля женщин в области "прочие услуги" значительно больше, чем доля мужчин. С другой стороны, женщин гораздо меньше в тяжелой промышленн</w:t>
      </w:r>
      <w:r w:rsidRPr="001162EA">
        <w:t>о</w:t>
      </w:r>
      <w:r w:rsidRPr="001162EA">
        <w:t>сти, которая, как известно, в среднем довольно высоко оплачивается. Следу</w:t>
      </w:r>
      <w:r w:rsidRPr="001162EA">
        <w:t>ю</w:t>
      </w:r>
      <w:r w:rsidRPr="001162EA">
        <w:t>щая таблица показывает различия в оплате труда в результате различных стру</w:t>
      </w:r>
      <w:r w:rsidRPr="001162EA">
        <w:t>к</w:t>
      </w:r>
      <w:r w:rsidRPr="001162EA">
        <w:t>турных характеристик.</w:t>
      </w:r>
    </w:p>
    <w:p w:rsidR="00D95451" w:rsidRPr="001162EA" w:rsidRDefault="00D95451" w:rsidP="0007608B">
      <w:pPr>
        <w:pStyle w:val="H23GR"/>
        <w:spacing w:after="240"/>
        <w:ind w:right="57"/>
      </w:pPr>
      <w:r w:rsidRPr="00A6771F">
        <w:rPr>
          <w:b w:val="0"/>
        </w:rPr>
        <w:tab/>
      </w:r>
      <w:r w:rsidRPr="00A6771F">
        <w:rPr>
          <w:b w:val="0"/>
        </w:rPr>
        <w:tab/>
        <w:t>Таблица 1</w:t>
      </w:r>
      <w:r w:rsidRPr="00A6771F">
        <w:rPr>
          <w:b w:val="0"/>
        </w:rPr>
        <w:br/>
      </w:r>
      <w:r w:rsidRPr="001162EA">
        <w:t>Гендерный разрыв в оплате труда в зависимости от различных структурных характеристик</w:t>
      </w:r>
      <w:r w:rsidRPr="00BF6BF0">
        <w:rPr>
          <w:b w:val="0"/>
          <w:sz w:val="18"/>
          <w:szCs w:val="18"/>
          <w:vertAlign w:val="superscript"/>
        </w:rPr>
        <w:footnoteReference w:id="11"/>
      </w:r>
    </w:p>
    <w:tbl>
      <w:tblPr>
        <w:tblStyle w:val="TabNum"/>
        <w:tblW w:w="8504" w:type="dxa"/>
        <w:tblInd w:w="1134" w:type="dxa"/>
        <w:tblLayout w:type="fixed"/>
        <w:tblLook w:val="01E0"/>
      </w:tblPr>
      <w:tblGrid>
        <w:gridCol w:w="1316"/>
        <w:gridCol w:w="796"/>
        <w:gridCol w:w="17"/>
        <w:gridCol w:w="778"/>
        <w:gridCol w:w="61"/>
        <w:gridCol w:w="9"/>
        <w:gridCol w:w="728"/>
        <w:gridCol w:w="797"/>
        <w:gridCol w:w="16"/>
        <w:gridCol w:w="782"/>
        <w:gridCol w:w="24"/>
        <w:gridCol w:w="774"/>
        <w:gridCol w:w="826"/>
        <w:gridCol w:w="777"/>
        <w:gridCol w:w="803"/>
      </w:tblGrid>
      <w:tr w:rsidR="00D95451" w:rsidRPr="00637570" w:rsidTr="00637570">
        <w:trPr>
          <w:trHeight w:val="240"/>
          <w:tblHeader/>
        </w:trPr>
        <w:tc>
          <w:tcPr>
            <w:cnfStyle w:val="001000000000"/>
            <w:tcW w:w="1140" w:type="dxa"/>
            <w:tcBorders>
              <w:bottom w:val="single" w:sz="12" w:space="0" w:color="auto"/>
            </w:tcBorders>
            <w:shd w:val="clear" w:color="auto" w:fill="auto"/>
          </w:tcPr>
          <w:p w:rsidR="00D95451" w:rsidRPr="00637570" w:rsidRDefault="00D95451" w:rsidP="00091A8D">
            <w:pPr>
              <w:spacing w:before="80" w:after="80" w:line="200" w:lineRule="exact"/>
              <w:rPr>
                <w:i/>
                <w:sz w:val="16"/>
              </w:rPr>
            </w:pPr>
            <w:r w:rsidRPr="00637570">
              <w:rPr>
                <w:i/>
                <w:sz w:val="16"/>
              </w:rPr>
              <w:t>Возрастные группы</w:t>
            </w:r>
          </w:p>
        </w:tc>
        <w:tc>
          <w:tcPr>
            <w:tcW w:w="689" w:type="dxa"/>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До 24 </w:t>
            </w:r>
          </w:p>
        </w:tc>
        <w:tc>
          <w:tcPr>
            <w:tcW w:w="689" w:type="dxa"/>
            <w:gridSpan w:val="2"/>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25–29 </w:t>
            </w:r>
          </w:p>
        </w:tc>
        <w:tc>
          <w:tcPr>
            <w:tcW w:w="692" w:type="dxa"/>
            <w:gridSpan w:val="3"/>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30–34 </w:t>
            </w:r>
          </w:p>
        </w:tc>
        <w:tc>
          <w:tcPr>
            <w:tcW w:w="691" w:type="dxa"/>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35–39 </w:t>
            </w:r>
          </w:p>
        </w:tc>
        <w:tc>
          <w:tcPr>
            <w:tcW w:w="692" w:type="dxa"/>
            <w:gridSpan w:val="2"/>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40–44 </w:t>
            </w:r>
          </w:p>
        </w:tc>
        <w:tc>
          <w:tcPr>
            <w:tcW w:w="692" w:type="dxa"/>
            <w:gridSpan w:val="2"/>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45–49 </w:t>
            </w:r>
          </w:p>
        </w:tc>
        <w:tc>
          <w:tcPr>
            <w:tcW w:w="716" w:type="dxa"/>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50–54 </w:t>
            </w:r>
          </w:p>
        </w:tc>
        <w:tc>
          <w:tcPr>
            <w:tcW w:w="673" w:type="dxa"/>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55–59 </w:t>
            </w:r>
          </w:p>
        </w:tc>
        <w:tc>
          <w:tcPr>
            <w:tcW w:w="696" w:type="dxa"/>
            <w:tcBorders>
              <w:top w:val="single" w:sz="4" w:space="0" w:color="auto"/>
              <w:bottom w:val="single" w:sz="12" w:space="0" w:color="auto"/>
            </w:tcBorders>
            <w:shd w:val="clear" w:color="auto" w:fill="auto"/>
          </w:tcPr>
          <w:p w:rsidR="00D95451" w:rsidRPr="00637570" w:rsidRDefault="00D95451" w:rsidP="00091A8D">
            <w:pPr>
              <w:spacing w:before="80" w:after="80" w:line="200" w:lineRule="exact"/>
              <w:cnfStyle w:val="000000000000"/>
              <w:rPr>
                <w:i/>
                <w:sz w:val="16"/>
              </w:rPr>
            </w:pPr>
            <w:r w:rsidRPr="00637570">
              <w:rPr>
                <w:i/>
                <w:sz w:val="16"/>
              </w:rPr>
              <w:t xml:space="preserve">60+ </w:t>
            </w:r>
          </w:p>
        </w:tc>
      </w:tr>
      <w:tr w:rsidR="00D95451" w:rsidRPr="00637570" w:rsidTr="00637570">
        <w:trPr>
          <w:trHeight w:val="240"/>
        </w:trPr>
        <w:tc>
          <w:tcPr>
            <w:cnfStyle w:val="001000000000"/>
            <w:tcW w:w="1140" w:type="dxa"/>
            <w:tcBorders>
              <w:top w:val="single" w:sz="12" w:space="0" w:color="auto"/>
            </w:tcBorders>
          </w:tcPr>
          <w:p w:rsidR="00D95451" w:rsidRPr="00637570" w:rsidRDefault="00D95451" w:rsidP="00091A8D">
            <w:pPr>
              <w:spacing w:line="200" w:lineRule="exact"/>
            </w:pPr>
            <w:r w:rsidRPr="00637570">
              <w:t>ГРОТ в %</w:t>
            </w:r>
          </w:p>
        </w:tc>
        <w:tc>
          <w:tcPr>
            <w:tcW w:w="689" w:type="dxa"/>
            <w:tcBorders>
              <w:top w:val="single" w:sz="12" w:space="0" w:color="auto"/>
            </w:tcBorders>
          </w:tcPr>
          <w:p w:rsidR="00D95451" w:rsidRPr="00637570" w:rsidRDefault="00D95451" w:rsidP="00091A8D">
            <w:pPr>
              <w:spacing w:line="200" w:lineRule="exact"/>
              <w:cnfStyle w:val="000000000000"/>
            </w:pPr>
            <w:r w:rsidRPr="00637570">
              <w:t xml:space="preserve">2 </w:t>
            </w:r>
          </w:p>
        </w:tc>
        <w:tc>
          <w:tcPr>
            <w:tcW w:w="689" w:type="dxa"/>
            <w:gridSpan w:val="2"/>
            <w:tcBorders>
              <w:top w:val="single" w:sz="12" w:space="0" w:color="auto"/>
            </w:tcBorders>
          </w:tcPr>
          <w:p w:rsidR="00D95451" w:rsidRPr="00637570" w:rsidRDefault="00D95451" w:rsidP="00091A8D">
            <w:pPr>
              <w:spacing w:line="200" w:lineRule="exact"/>
              <w:cnfStyle w:val="000000000000"/>
            </w:pPr>
            <w:r w:rsidRPr="00637570">
              <w:t>8,5</w:t>
            </w:r>
          </w:p>
        </w:tc>
        <w:tc>
          <w:tcPr>
            <w:tcW w:w="692" w:type="dxa"/>
            <w:gridSpan w:val="3"/>
            <w:tcBorders>
              <w:top w:val="single" w:sz="12" w:space="0" w:color="auto"/>
            </w:tcBorders>
          </w:tcPr>
          <w:p w:rsidR="00D95451" w:rsidRPr="00637570" w:rsidRDefault="00D95451" w:rsidP="00091A8D">
            <w:pPr>
              <w:spacing w:line="200" w:lineRule="exact"/>
              <w:cnfStyle w:val="000000000000"/>
            </w:pPr>
            <w:r w:rsidRPr="00637570">
              <w:t>14,2</w:t>
            </w:r>
          </w:p>
        </w:tc>
        <w:tc>
          <w:tcPr>
            <w:tcW w:w="691" w:type="dxa"/>
            <w:tcBorders>
              <w:top w:val="single" w:sz="12" w:space="0" w:color="auto"/>
            </w:tcBorders>
          </w:tcPr>
          <w:p w:rsidR="00D95451" w:rsidRPr="00637570" w:rsidRDefault="00D95451" w:rsidP="00091A8D">
            <w:pPr>
              <w:spacing w:line="200" w:lineRule="exact"/>
              <w:cnfStyle w:val="000000000000"/>
            </w:pPr>
            <w:r w:rsidRPr="00637570">
              <w:t>21,1</w:t>
            </w:r>
          </w:p>
        </w:tc>
        <w:tc>
          <w:tcPr>
            <w:tcW w:w="692" w:type="dxa"/>
            <w:gridSpan w:val="2"/>
            <w:tcBorders>
              <w:top w:val="single" w:sz="12" w:space="0" w:color="auto"/>
            </w:tcBorders>
          </w:tcPr>
          <w:p w:rsidR="00D95451" w:rsidRPr="00637570" w:rsidRDefault="00D95451" w:rsidP="00091A8D">
            <w:pPr>
              <w:spacing w:line="200" w:lineRule="exact"/>
              <w:cnfStyle w:val="000000000000"/>
            </w:pPr>
            <w:r w:rsidRPr="00637570">
              <w:t>25,6</w:t>
            </w:r>
          </w:p>
        </w:tc>
        <w:tc>
          <w:tcPr>
            <w:tcW w:w="692" w:type="dxa"/>
            <w:gridSpan w:val="2"/>
            <w:tcBorders>
              <w:top w:val="single" w:sz="12" w:space="0" w:color="auto"/>
            </w:tcBorders>
          </w:tcPr>
          <w:p w:rsidR="00D95451" w:rsidRPr="00637570" w:rsidRDefault="00D95451" w:rsidP="00091A8D">
            <w:pPr>
              <w:spacing w:line="200" w:lineRule="exact"/>
              <w:cnfStyle w:val="000000000000"/>
            </w:pPr>
            <w:r w:rsidRPr="00637570">
              <w:t>26,4</w:t>
            </w:r>
          </w:p>
        </w:tc>
        <w:tc>
          <w:tcPr>
            <w:tcW w:w="716" w:type="dxa"/>
            <w:tcBorders>
              <w:top w:val="single" w:sz="12" w:space="0" w:color="auto"/>
            </w:tcBorders>
          </w:tcPr>
          <w:p w:rsidR="00D95451" w:rsidRPr="00637570" w:rsidRDefault="00D95451" w:rsidP="00091A8D">
            <w:pPr>
              <w:spacing w:line="200" w:lineRule="exact"/>
              <w:cnfStyle w:val="000000000000"/>
            </w:pPr>
            <w:r w:rsidRPr="00637570">
              <w:t>27,1</w:t>
            </w:r>
          </w:p>
        </w:tc>
        <w:tc>
          <w:tcPr>
            <w:tcW w:w="673" w:type="dxa"/>
            <w:tcBorders>
              <w:top w:val="single" w:sz="12" w:space="0" w:color="auto"/>
            </w:tcBorders>
          </w:tcPr>
          <w:p w:rsidR="00D95451" w:rsidRPr="00637570" w:rsidRDefault="00D95451" w:rsidP="00091A8D">
            <w:pPr>
              <w:spacing w:line="200" w:lineRule="exact"/>
              <w:cnfStyle w:val="000000000000"/>
            </w:pPr>
            <w:r w:rsidRPr="00637570">
              <w:t>29,1</w:t>
            </w:r>
          </w:p>
        </w:tc>
        <w:tc>
          <w:tcPr>
            <w:tcW w:w="696" w:type="dxa"/>
            <w:tcBorders>
              <w:top w:val="single" w:sz="12" w:space="0" w:color="auto"/>
            </w:tcBorders>
          </w:tcPr>
          <w:p w:rsidR="00D95451" w:rsidRPr="00637570" w:rsidRDefault="00D95451" w:rsidP="00091A8D">
            <w:pPr>
              <w:spacing w:line="200" w:lineRule="exact"/>
              <w:cnfStyle w:val="000000000000"/>
            </w:pPr>
            <w:r w:rsidRPr="00637570">
              <w:t>29,5</w:t>
            </w:r>
          </w:p>
        </w:tc>
      </w:tr>
      <w:tr w:rsidR="00D95451" w:rsidRPr="00637570" w:rsidTr="00637570">
        <w:trPr>
          <w:trHeight w:val="240"/>
        </w:trPr>
        <w:tc>
          <w:tcPr>
            <w:cnfStyle w:val="001000000000"/>
            <w:tcW w:w="1140" w:type="dxa"/>
          </w:tcPr>
          <w:p w:rsidR="00D95451" w:rsidRPr="00637570" w:rsidRDefault="002A6C16" w:rsidP="00091A8D">
            <w:pPr>
              <w:spacing w:line="200" w:lineRule="exact"/>
            </w:pPr>
            <w:r>
              <w:t>Уровень</w:t>
            </w:r>
            <w:r>
              <w:br/>
            </w:r>
            <w:r w:rsidR="00D95451" w:rsidRPr="00637570">
              <w:t>обр</w:t>
            </w:r>
            <w:r w:rsidR="00D95451" w:rsidRPr="00637570">
              <w:t>а</w:t>
            </w:r>
            <w:r w:rsidR="00D95451" w:rsidRPr="00637570">
              <w:t>зования</w:t>
            </w:r>
          </w:p>
        </w:tc>
        <w:tc>
          <w:tcPr>
            <w:tcW w:w="2070" w:type="dxa"/>
            <w:gridSpan w:val="6"/>
          </w:tcPr>
          <w:p w:rsidR="00D95451" w:rsidRPr="00637570" w:rsidRDefault="00D95451" w:rsidP="00091A8D">
            <w:pPr>
              <w:spacing w:line="200" w:lineRule="exact"/>
              <w:cnfStyle w:val="000000000000"/>
            </w:pPr>
            <w:r w:rsidRPr="00637570">
              <w:t>Средняя шк</w:t>
            </w:r>
            <w:r w:rsidRPr="00637570">
              <w:t>о</w:t>
            </w:r>
            <w:r w:rsidRPr="00637570">
              <w:t>ла/свидетельство об око</w:t>
            </w:r>
            <w:r w:rsidRPr="00637570">
              <w:t>н</w:t>
            </w:r>
            <w:r w:rsidRPr="00637570">
              <w:t>чании учебного заведения</w:t>
            </w:r>
          </w:p>
        </w:tc>
        <w:tc>
          <w:tcPr>
            <w:tcW w:w="1404" w:type="dxa"/>
            <w:gridSpan w:val="4"/>
          </w:tcPr>
          <w:p w:rsidR="00D95451" w:rsidRPr="00637570" w:rsidRDefault="00D95451" w:rsidP="00091A8D">
            <w:pPr>
              <w:spacing w:line="200" w:lineRule="exact"/>
              <w:cnfStyle w:val="000000000000"/>
            </w:pPr>
            <w:r w:rsidRPr="00637570">
              <w:t xml:space="preserve">Диплом </w:t>
            </w:r>
            <w:r w:rsidRPr="00637570">
              <w:br/>
              <w:t>университета</w:t>
            </w:r>
          </w:p>
        </w:tc>
        <w:tc>
          <w:tcPr>
            <w:tcW w:w="1387" w:type="dxa"/>
            <w:gridSpan w:val="2"/>
          </w:tcPr>
          <w:p w:rsidR="00D95451" w:rsidRPr="00637570" w:rsidRDefault="00D95451" w:rsidP="00091A8D">
            <w:pPr>
              <w:spacing w:line="200" w:lineRule="exact"/>
              <w:cnfStyle w:val="000000000000"/>
            </w:pPr>
            <w:r w:rsidRPr="00637570">
              <w:t xml:space="preserve">Степень UAS </w:t>
            </w:r>
          </w:p>
        </w:tc>
        <w:tc>
          <w:tcPr>
            <w:tcW w:w="1369" w:type="dxa"/>
            <w:gridSpan w:val="2"/>
          </w:tcPr>
          <w:p w:rsidR="00D95451" w:rsidRPr="00637570" w:rsidRDefault="00D95451" w:rsidP="00091A8D">
            <w:pPr>
              <w:spacing w:line="200" w:lineRule="exact"/>
              <w:cnfStyle w:val="000000000000"/>
            </w:pPr>
            <w:r w:rsidRPr="00637570">
              <w:t>Университе</w:t>
            </w:r>
            <w:r w:rsidRPr="00637570">
              <w:t>т</w:t>
            </w:r>
            <w:r w:rsidRPr="00637570">
              <w:t>ская степень</w:t>
            </w: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ГРОТ в %</w:t>
            </w:r>
          </w:p>
        </w:tc>
        <w:tc>
          <w:tcPr>
            <w:tcW w:w="2070" w:type="dxa"/>
            <w:gridSpan w:val="6"/>
          </w:tcPr>
          <w:p w:rsidR="00D95451" w:rsidRPr="00637570" w:rsidRDefault="00D95451" w:rsidP="00091A8D">
            <w:pPr>
              <w:spacing w:line="200" w:lineRule="exact"/>
              <w:cnfStyle w:val="000000000000"/>
            </w:pPr>
            <w:r w:rsidRPr="00637570">
              <w:t>17,6</w:t>
            </w:r>
          </w:p>
        </w:tc>
        <w:tc>
          <w:tcPr>
            <w:tcW w:w="1404" w:type="dxa"/>
            <w:gridSpan w:val="4"/>
          </w:tcPr>
          <w:p w:rsidR="00D95451" w:rsidRPr="00637570" w:rsidRDefault="00D95451" w:rsidP="00091A8D">
            <w:pPr>
              <w:spacing w:line="200" w:lineRule="exact"/>
              <w:cnfStyle w:val="000000000000"/>
            </w:pPr>
            <w:r w:rsidRPr="00637570">
              <w:t>24,5</w:t>
            </w:r>
          </w:p>
        </w:tc>
        <w:tc>
          <w:tcPr>
            <w:tcW w:w="1387" w:type="dxa"/>
            <w:gridSpan w:val="2"/>
          </w:tcPr>
          <w:p w:rsidR="00D95451" w:rsidRPr="00637570" w:rsidRDefault="00D95451" w:rsidP="00091A8D">
            <w:pPr>
              <w:spacing w:line="200" w:lineRule="exact"/>
              <w:cnfStyle w:val="000000000000"/>
            </w:pPr>
            <w:r w:rsidRPr="00637570">
              <w:t>31,3</w:t>
            </w:r>
          </w:p>
        </w:tc>
        <w:tc>
          <w:tcPr>
            <w:tcW w:w="1369" w:type="dxa"/>
            <w:gridSpan w:val="2"/>
          </w:tcPr>
          <w:p w:rsidR="00D95451" w:rsidRPr="00637570" w:rsidRDefault="00D95451" w:rsidP="00091A8D">
            <w:pPr>
              <w:spacing w:line="200" w:lineRule="exact"/>
              <w:cnfStyle w:val="000000000000"/>
            </w:pPr>
            <w:r w:rsidRPr="00637570">
              <w:t>23,1</w:t>
            </w:r>
          </w:p>
        </w:tc>
      </w:tr>
      <w:tr w:rsidR="00D95451" w:rsidRPr="00637570" w:rsidTr="00637570">
        <w:trPr>
          <w:trHeight w:val="240"/>
        </w:trPr>
        <w:tc>
          <w:tcPr>
            <w:cnfStyle w:val="001000000000"/>
            <w:tcW w:w="1140" w:type="dxa"/>
          </w:tcPr>
          <w:p w:rsidR="00D95451" w:rsidRPr="00637570" w:rsidRDefault="00D95451" w:rsidP="00091A8D">
            <w:pPr>
              <w:spacing w:line="200" w:lineRule="exact"/>
            </w:pPr>
          </w:p>
        </w:tc>
        <w:tc>
          <w:tcPr>
            <w:tcW w:w="2070" w:type="dxa"/>
            <w:gridSpan w:val="6"/>
          </w:tcPr>
          <w:p w:rsidR="00D95451" w:rsidRPr="00637570" w:rsidRDefault="00D95451" w:rsidP="00091A8D">
            <w:pPr>
              <w:spacing w:line="200" w:lineRule="exact"/>
              <w:cnfStyle w:val="000000000000"/>
            </w:pPr>
          </w:p>
        </w:tc>
        <w:tc>
          <w:tcPr>
            <w:tcW w:w="1404" w:type="dxa"/>
            <w:gridSpan w:val="4"/>
          </w:tcPr>
          <w:p w:rsidR="00D95451" w:rsidRPr="00637570" w:rsidRDefault="00D95451" w:rsidP="00091A8D">
            <w:pPr>
              <w:spacing w:line="200" w:lineRule="exact"/>
              <w:cnfStyle w:val="000000000000"/>
            </w:pPr>
          </w:p>
        </w:tc>
        <w:tc>
          <w:tcPr>
            <w:tcW w:w="1387" w:type="dxa"/>
            <w:gridSpan w:val="2"/>
          </w:tcPr>
          <w:p w:rsidR="00D95451" w:rsidRPr="00637570" w:rsidRDefault="00D95451" w:rsidP="00091A8D">
            <w:pPr>
              <w:spacing w:line="200" w:lineRule="exact"/>
              <w:cnfStyle w:val="000000000000"/>
            </w:pPr>
          </w:p>
        </w:tc>
        <w:tc>
          <w:tcPr>
            <w:tcW w:w="1369" w:type="dxa"/>
            <w:gridSpan w:val="2"/>
          </w:tcPr>
          <w:p w:rsidR="00D95451" w:rsidRPr="00637570" w:rsidRDefault="00D95451" w:rsidP="00091A8D">
            <w:pPr>
              <w:spacing w:line="200" w:lineRule="exact"/>
              <w:cnfStyle w:val="000000000000"/>
            </w:pP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Законченное образование</w:t>
            </w:r>
          </w:p>
        </w:tc>
        <w:tc>
          <w:tcPr>
            <w:tcW w:w="2070" w:type="dxa"/>
            <w:gridSpan w:val="6"/>
          </w:tcPr>
          <w:p w:rsidR="00D95451" w:rsidRPr="00637570" w:rsidRDefault="00D95451" w:rsidP="00091A8D">
            <w:pPr>
              <w:spacing w:line="200" w:lineRule="exact"/>
              <w:cnfStyle w:val="000000000000"/>
            </w:pPr>
            <w:r w:rsidRPr="00637570">
              <w:t>Незаконченное</w:t>
            </w:r>
          </w:p>
        </w:tc>
        <w:tc>
          <w:tcPr>
            <w:tcW w:w="2075" w:type="dxa"/>
            <w:gridSpan w:val="5"/>
          </w:tcPr>
          <w:p w:rsidR="00D95451" w:rsidRPr="00637570" w:rsidRDefault="00D95451" w:rsidP="00091A8D">
            <w:pPr>
              <w:spacing w:line="200" w:lineRule="exact"/>
              <w:cnfStyle w:val="000000000000"/>
            </w:pPr>
            <w:r w:rsidRPr="00637570">
              <w:t>Профессионально-техническое обучение</w:t>
            </w:r>
          </w:p>
        </w:tc>
        <w:tc>
          <w:tcPr>
            <w:tcW w:w="2085" w:type="dxa"/>
            <w:gridSpan w:val="3"/>
          </w:tcPr>
          <w:p w:rsidR="00D95451" w:rsidRPr="00637570" w:rsidRDefault="00D95451" w:rsidP="00091A8D">
            <w:pPr>
              <w:spacing w:line="200" w:lineRule="exact"/>
              <w:cnfStyle w:val="000000000000"/>
            </w:pPr>
            <w:r w:rsidRPr="00637570">
              <w:t xml:space="preserve">Университетская </w:t>
            </w:r>
            <w:r w:rsidRPr="00637570">
              <w:br/>
              <w:t>степень</w:t>
            </w: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ГРОТ в %</w:t>
            </w:r>
          </w:p>
        </w:tc>
        <w:tc>
          <w:tcPr>
            <w:tcW w:w="2070" w:type="dxa"/>
            <w:gridSpan w:val="6"/>
          </w:tcPr>
          <w:p w:rsidR="00D95451" w:rsidRPr="00637570" w:rsidRDefault="00D95451" w:rsidP="00091A8D">
            <w:pPr>
              <w:spacing w:line="200" w:lineRule="exact"/>
              <w:cnfStyle w:val="000000000000"/>
            </w:pPr>
            <w:r w:rsidRPr="00637570">
              <w:t>2,5</w:t>
            </w:r>
          </w:p>
        </w:tc>
        <w:tc>
          <w:tcPr>
            <w:tcW w:w="2075" w:type="dxa"/>
            <w:gridSpan w:val="5"/>
          </w:tcPr>
          <w:p w:rsidR="00D95451" w:rsidRPr="00637570" w:rsidRDefault="00D95451" w:rsidP="00091A8D">
            <w:pPr>
              <w:spacing w:line="200" w:lineRule="exact"/>
              <w:cnfStyle w:val="000000000000"/>
            </w:pPr>
            <w:r w:rsidRPr="00637570">
              <w:t>9,9</w:t>
            </w:r>
          </w:p>
        </w:tc>
        <w:tc>
          <w:tcPr>
            <w:tcW w:w="2085" w:type="dxa"/>
            <w:gridSpan w:val="3"/>
          </w:tcPr>
          <w:p w:rsidR="00D95451" w:rsidRPr="00637570" w:rsidRDefault="00D95451" w:rsidP="00091A8D">
            <w:pPr>
              <w:spacing w:line="200" w:lineRule="exact"/>
              <w:cnfStyle w:val="000000000000"/>
            </w:pPr>
            <w:r w:rsidRPr="00637570">
              <w:t>25,8</w:t>
            </w:r>
          </w:p>
        </w:tc>
      </w:tr>
      <w:tr w:rsidR="00D95451" w:rsidRPr="00637570" w:rsidTr="00637570">
        <w:trPr>
          <w:trHeight w:val="240"/>
        </w:trPr>
        <w:tc>
          <w:tcPr>
            <w:cnfStyle w:val="001000000000"/>
            <w:tcW w:w="1140" w:type="dxa"/>
          </w:tcPr>
          <w:p w:rsidR="00D95451" w:rsidRPr="00637570" w:rsidRDefault="00D95451" w:rsidP="00091A8D">
            <w:pPr>
              <w:spacing w:line="200" w:lineRule="exact"/>
            </w:pPr>
          </w:p>
        </w:tc>
        <w:tc>
          <w:tcPr>
            <w:tcW w:w="2070" w:type="dxa"/>
            <w:gridSpan w:val="6"/>
          </w:tcPr>
          <w:p w:rsidR="00D95451" w:rsidRPr="00637570" w:rsidRDefault="00D95451" w:rsidP="00091A8D">
            <w:pPr>
              <w:spacing w:line="200" w:lineRule="exact"/>
              <w:cnfStyle w:val="000000000000"/>
            </w:pPr>
          </w:p>
        </w:tc>
        <w:tc>
          <w:tcPr>
            <w:tcW w:w="2075" w:type="dxa"/>
            <w:gridSpan w:val="5"/>
          </w:tcPr>
          <w:p w:rsidR="00D95451" w:rsidRPr="00637570" w:rsidRDefault="00D95451" w:rsidP="00091A8D">
            <w:pPr>
              <w:spacing w:line="200" w:lineRule="exact"/>
              <w:cnfStyle w:val="000000000000"/>
            </w:pPr>
          </w:p>
        </w:tc>
        <w:tc>
          <w:tcPr>
            <w:tcW w:w="2085" w:type="dxa"/>
            <w:gridSpan w:val="3"/>
          </w:tcPr>
          <w:p w:rsidR="00D95451" w:rsidRPr="00637570" w:rsidRDefault="00D95451" w:rsidP="00091A8D">
            <w:pPr>
              <w:spacing w:line="200" w:lineRule="exact"/>
              <w:cnfStyle w:val="000000000000"/>
            </w:pPr>
          </w:p>
        </w:tc>
      </w:tr>
      <w:tr w:rsidR="00D95451" w:rsidRPr="00637570" w:rsidTr="00637570">
        <w:trPr>
          <w:trHeight w:val="240"/>
        </w:trPr>
        <w:tc>
          <w:tcPr>
            <w:cnfStyle w:val="001000000000"/>
            <w:tcW w:w="1140" w:type="dxa"/>
          </w:tcPr>
          <w:p w:rsidR="00D95451" w:rsidRPr="00637570" w:rsidRDefault="0007608B" w:rsidP="00091A8D">
            <w:pPr>
              <w:spacing w:line="200" w:lineRule="exact"/>
            </w:pPr>
            <w:r>
              <w:t>Категория</w:t>
            </w:r>
            <w:r>
              <w:br/>
            </w:r>
            <w:r w:rsidR="00D95451" w:rsidRPr="00637570">
              <w:t>тр</w:t>
            </w:r>
            <w:r w:rsidR="00D95451" w:rsidRPr="00637570">
              <w:t>у</w:t>
            </w:r>
            <w:r w:rsidR="00D95451" w:rsidRPr="00637570">
              <w:t>дящихся</w:t>
            </w:r>
          </w:p>
        </w:tc>
        <w:tc>
          <w:tcPr>
            <w:tcW w:w="1439" w:type="dxa"/>
            <w:gridSpan w:val="5"/>
          </w:tcPr>
          <w:p w:rsidR="00D95451" w:rsidRPr="00637570" w:rsidRDefault="00D95451" w:rsidP="00091A8D">
            <w:pPr>
              <w:spacing w:line="200" w:lineRule="exact"/>
              <w:cnfStyle w:val="000000000000"/>
            </w:pPr>
            <w:r w:rsidRPr="00637570">
              <w:t>Неквалифицир</w:t>
            </w:r>
            <w:r w:rsidRPr="00637570">
              <w:t>о</w:t>
            </w:r>
            <w:r w:rsidRPr="00637570">
              <w:t xml:space="preserve">ванные </w:t>
            </w:r>
            <w:r w:rsidRPr="00637570">
              <w:br/>
              <w:t>рабочие</w:t>
            </w:r>
          </w:p>
        </w:tc>
        <w:tc>
          <w:tcPr>
            <w:tcW w:w="1322" w:type="dxa"/>
            <w:gridSpan w:val="2"/>
          </w:tcPr>
          <w:p w:rsidR="00D95451" w:rsidRPr="00637570" w:rsidRDefault="00D95451" w:rsidP="00091A8D">
            <w:pPr>
              <w:spacing w:line="200" w:lineRule="exact"/>
              <w:cnfStyle w:val="000000000000"/>
            </w:pPr>
            <w:r w:rsidRPr="00637570">
              <w:t xml:space="preserve">Рабочие </w:t>
            </w:r>
            <w:r w:rsidRPr="00637570">
              <w:br/>
              <w:t xml:space="preserve">средней </w:t>
            </w:r>
            <w:r w:rsidRPr="00637570">
              <w:br/>
              <w:t>квалификации</w:t>
            </w:r>
          </w:p>
        </w:tc>
        <w:tc>
          <w:tcPr>
            <w:tcW w:w="713" w:type="dxa"/>
            <w:gridSpan w:val="3"/>
          </w:tcPr>
          <w:p w:rsidR="00D95451" w:rsidRPr="00637570" w:rsidRDefault="00D95451" w:rsidP="00091A8D">
            <w:pPr>
              <w:spacing w:line="200" w:lineRule="exact"/>
              <w:cnfStyle w:val="000000000000"/>
            </w:pPr>
            <w:r w:rsidRPr="00637570">
              <w:t>Специ</w:t>
            </w:r>
            <w:r w:rsidRPr="00637570">
              <w:t>а</w:t>
            </w:r>
            <w:r w:rsidRPr="00637570">
              <w:t>листы</w:t>
            </w:r>
          </w:p>
        </w:tc>
        <w:tc>
          <w:tcPr>
            <w:tcW w:w="1387" w:type="dxa"/>
            <w:gridSpan w:val="2"/>
          </w:tcPr>
          <w:p w:rsidR="00D95451" w:rsidRPr="00637570" w:rsidRDefault="00D95451" w:rsidP="00091A8D">
            <w:pPr>
              <w:spacing w:line="200" w:lineRule="exact"/>
              <w:cnfStyle w:val="000000000000"/>
            </w:pPr>
            <w:r w:rsidRPr="00637570">
              <w:t>Высококвалиф</w:t>
            </w:r>
            <w:r w:rsidRPr="00637570">
              <w:t>и</w:t>
            </w:r>
            <w:r w:rsidR="0007608B">
              <w:t>цированные</w:t>
            </w:r>
            <w:r w:rsidR="0007608B">
              <w:br/>
            </w:r>
            <w:r w:rsidRPr="00637570">
              <w:t>сп</w:t>
            </w:r>
            <w:r w:rsidRPr="00637570">
              <w:t>е</w:t>
            </w:r>
            <w:r w:rsidRPr="00637570">
              <w:t>циалисты</w:t>
            </w:r>
          </w:p>
        </w:tc>
        <w:tc>
          <w:tcPr>
            <w:tcW w:w="1369" w:type="dxa"/>
            <w:gridSpan w:val="2"/>
          </w:tcPr>
          <w:p w:rsidR="00D95451" w:rsidRPr="00637570" w:rsidRDefault="0007608B" w:rsidP="00091A8D">
            <w:pPr>
              <w:spacing w:line="200" w:lineRule="exact"/>
              <w:cnfStyle w:val="000000000000"/>
            </w:pPr>
            <w:r>
              <w:t>Руководящий</w:t>
            </w:r>
            <w:r w:rsidR="008D0771">
              <w:br/>
            </w:r>
            <w:r w:rsidR="00D95451" w:rsidRPr="00637570">
              <w:t>с</w:t>
            </w:r>
            <w:r w:rsidR="00D95451" w:rsidRPr="00637570">
              <w:t>о</w:t>
            </w:r>
            <w:r w:rsidR="00D95451" w:rsidRPr="00637570">
              <w:t>став</w:t>
            </w: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ГРОТ в %</w:t>
            </w:r>
          </w:p>
        </w:tc>
        <w:tc>
          <w:tcPr>
            <w:tcW w:w="1439" w:type="dxa"/>
            <w:gridSpan w:val="5"/>
          </w:tcPr>
          <w:p w:rsidR="00D95451" w:rsidRPr="00637570" w:rsidRDefault="00D95451" w:rsidP="00091A8D">
            <w:pPr>
              <w:spacing w:line="200" w:lineRule="exact"/>
              <w:cnfStyle w:val="000000000000"/>
            </w:pPr>
            <w:r w:rsidRPr="00637570">
              <w:t>8</w:t>
            </w:r>
          </w:p>
        </w:tc>
        <w:tc>
          <w:tcPr>
            <w:tcW w:w="1322" w:type="dxa"/>
            <w:gridSpan w:val="2"/>
          </w:tcPr>
          <w:p w:rsidR="00D95451" w:rsidRPr="00637570" w:rsidRDefault="00D95451" w:rsidP="00091A8D">
            <w:pPr>
              <w:spacing w:line="200" w:lineRule="exact"/>
              <w:cnfStyle w:val="000000000000"/>
            </w:pPr>
            <w:r w:rsidRPr="00637570">
              <w:t>12,7</w:t>
            </w:r>
          </w:p>
        </w:tc>
        <w:tc>
          <w:tcPr>
            <w:tcW w:w="713" w:type="dxa"/>
            <w:gridSpan w:val="3"/>
          </w:tcPr>
          <w:p w:rsidR="00D95451" w:rsidRPr="00637570" w:rsidRDefault="00D95451" w:rsidP="00091A8D">
            <w:pPr>
              <w:spacing w:line="200" w:lineRule="exact"/>
              <w:cnfStyle w:val="000000000000"/>
            </w:pPr>
            <w:r w:rsidRPr="00637570">
              <w:t>11,8</w:t>
            </w:r>
          </w:p>
        </w:tc>
        <w:tc>
          <w:tcPr>
            <w:tcW w:w="1387" w:type="dxa"/>
            <w:gridSpan w:val="2"/>
          </w:tcPr>
          <w:p w:rsidR="00D95451" w:rsidRPr="00637570" w:rsidRDefault="00D95451" w:rsidP="00091A8D">
            <w:pPr>
              <w:spacing w:line="200" w:lineRule="exact"/>
              <w:cnfStyle w:val="000000000000"/>
            </w:pPr>
            <w:r w:rsidRPr="00637570">
              <w:t>17,9</w:t>
            </w:r>
          </w:p>
        </w:tc>
        <w:tc>
          <w:tcPr>
            <w:tcW w:w="1369" w:type="dxa"/>
            <w:gridSpan w:val="2"/>
          </w:tcPr>
          <w:p w:rsidR="00D95451" w:rsidRPr="00637570" w:rsidRDefault="00D95451" w:rsidP="00091A8D">
            <w:pPr>
              <w:spacing w:line="200" w:lineRule="exact"/>
              <w:cnfStyle w:val="000000000000"/>
            </w:pPr>
            <w:r w:rsidRPr="00637570">
              <w:t>26,2</w:t>
            </w:r>
          </w:p>
        </w:tc>
      </w:tr>
      <w:tr w:rsidR="00D95451" w:rsidRPr="00637570" w:rsidTr="00637570">
        <w:trPr>
          <w:trHeight w:val="240"/>
        </w:trPr>
        <w:tc>
          <w:tcPr>
            <w:cnfStyle w:val="001000000000"/>
            <w:tcW w:w="1140" w:type="dxa"/>
          </w:tcPr>
          <w:p w:rsidR="00D95451" w:rsidRPr="00637570" w:rsidRDefault="00D95451" w:rsidP="00091A8D">
            <w:pPr>
              <w:spacing w:line="200" w:lineRule="exact"/>
            </w:pPr>
          </w:p>
        </w:tc>
        <w:tc>
          <w:tcPr>
            <w:tcW w:w="1439" w:type="dxa"/>
            <w:gridSpan w:val="5"/>
          </w:tcPr>
          <w:p w:rsidR="00D95451" w:rsidRPr="00637570" w:rsidRDefault="00D95451" w:rsidP="00091A8D">
            <w:pPr>
              <w:spacing w:line="200" w:lineRule="exact"/>
              <w:cnfStyle w:val="000000000000"/>
            </w:pPr>
          </w:p>
        </w:tc>
        <w:tc>
          <w:tcPr>
            <w:tcW w:w="1322" w:type="dxa"/>
            <w:gridSpan w:val="2"/>
          </w:tcPr>
          <w:p w:rsidR="00D95451" w:rsidRPr="00637570" w:rsidRDefault="00D95451" w:rsidP="00091A8D">
            <w:pPr>
              <w:spacing w:line="200" w:lineRule="exact"/>
              <w:cnfStyle w:val="000000000000"/>
            </w:pPr>
          </w:p>
        </w:tc>
        <w:tc>
          <w:tcPr>
            <w:tcW w:w="713" w:type="dxa"/>
            <w:gridSpan w:val="3"/>
          </w:tcPr>
          <w:p w:rsidR="00D95451" w:rsidRPr="00637570" w:rsidRDefault="00D95451" w:rsidP="00091A8D">
            <w:pPr>
              <w:spacing w:line="200" w:lineRule="exact"/>
              <w:cnfStyle w:val="000000000000"/>
            </w:pPr>
          </w:p>
        </w:tc>
        <w:tc>
          <w:tcPr>
            <w:tcW w:w="1387" w:type="dxa"/>
            <w:gridSpan w:val="2"/>
          </w:tcPr>
          <w:p w:rsidR="00D95451" w:rsidRPr="00637570" w:rsidRDefault="00D95451" w:rsidP="00091A8D">
            <w:pPr>
              <w:spacing w:line="200" w:lineRule="exact"/>
              <w:cnfStyle w:val="000000000000"/>
            </w:pPr>
          </w:p>
        </w:tc>
        <w:tc>
          <w:tcPr>
            <w:tcW w:w="1369" w:type="dxa"/>
            <w:gridSpan w:val="2"/>
          </w:tcPr>
          <w:p w:rsidR="00D95451" w:rsidRPr="00637570" w:rsidRDefault="00D95451" w:rsidP="00091A8D">
            <w:pPr>
              <w:spacing w:line="200" w:lineRule="exact"/>
              <w:cnfStyle w:val="000000000000"/>
            </w:pP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Сектор</w:t>
            </w:r>
          </w:p>
        </w:tc>
        <w:tc>
          <w:tcPr>
            <w:tcW w:w="704" w:type="dxa"/>
            <w:gridSpan w:val="2"/>
          </w:tcPr>
          <w:p w:rsidR="00D95451" w:rsidRPr="00637570" w:rsidRDefault="00D95451" w:rsidP="00091A8D">
            <w:pPr>
              <w:spacing w:line="200" w:lineRule="exact"/>
              <w:cnfStyle w:val="000000000000"/>
            </w:pPr>
            <w:r w:rsidRPr="00637570">
              <w:t>Горная добыча</w:t>
            </w:r>
          </w:p>
        </w:tc>
        <w:tc>
          <w:tcPr>
            <w:tcW w:w="727" w:type="dxa"/>
            <w:gridSpan w:val="2"/>
          </w:tcPr>
          <w:p w:rsidR="00D95451" w:rsidRPr="00637570" w:rsidRDefault="00D95451" w:rsidP="00091A8D">
            <w:pPr>
              <w:spacing w:line="200" w:lineRule="exact"/>
              <w:cnfStyle w:val="000000000000"/>
            </w:pPr>
            <w:r w:rsidRPr="00637570">
              <w:t>Стро</w:t>
            </w:r>
            <w:r w:rsidRPr="00637570">
              <w:t>и</w:t>
            </w:r>
            <w:r w:rsidRPr="00637570">
              <w:t>тельс</w:t>
            </w:r>
            <w:r w:rsidRPr="00637570">
              <w:t>т</w:t>
            </w:r>
            <w:r w:rsidRPr="00637570">
              <w:t>во</w:t>
            </w:r>
          </w:p>
        </w:tc>
        <w:tc>
          <w:tcPr>
            <w:tcW w:w="1344" w:type="dxa"/>
            <w:gridSpan w:val="4"/>
          </w:tcPr>
          <w:p w:rsidR="00D95451" w:rsidRPr="00637570" w:rsidRDefault="00D95451" w:rsidP="00091A8D">
            <w:pPr>
              <w:spacing w:line="200" w:lineRule="exact"/>
              <w:cnfStyle w:val="000000000000"/>
            </w:pPr>
            <w:r w:rsidRPr="00637570">
              <w:t xml:space="preserve">Уход за </w:t>
            </w:r>
            <w:r w:rsidRPr="00637570">
              <w:br/>
              <w:t xml:space="preserve">детьми, </w:t>
            </w:r>
            <w:r w:rsidRPr="00637570">
              <w:br/>
              <w:t>образование</w:t>
            </w:r>
          </w:p>
        </w:tc>
        <w:tc>
          <w:tcPr>
            <w:tcW w:w="699" w:type="dxa"/>
            <w:gridSpan w:val="2"/>
          </w:tcPr>
          <w:p w:rsidR="00D95451" w:rsidRPr="00637570" w:rsidRDefault="00D95451" w:rsidP="00091A8D">
            <w:pPr>
              <w:spacing w:line="200" w:lineRule="exact"/>
              <w:cnfStyle w:val="000000000000"/>
            </w:pPr>
            <w:r w:rsidRPr="00637570">
              <w:t>То</w:t>
            </w:r>
            <w:r w:rsidRPr="00637570">
              <w:t>р</w:t>
            </w:r>
            <w:r w:rsidRPr="00637570">
              <w:t>говля</w:t>
            </w:r>
          </w:p>
        </w:tc>
        <w:tc>
          <w:tcPr>
            <w:tcW w:w="1387" w:type="dxa"/>
            <w:gridSpan w:val="2"/>
          </w:tcPr>
          <w:p w:rsidR="00D95451" w:rsidRPr="00637570" w:rsidRDefault="00D95451" w:rsidP="00091A8D">
            <w:pPr>
              <w:spacing w:line="200" w:lineRule="exact"/>
              <w:cnfStyle w:val="000000000000"/>
            </w:pPr>
            <w:r w:rsidRPr="00637570">
              <w:t>Тяжелая промы</w:t>
            </w:r>
            <w:r w:rsidRPr="00637570">
              <w:t>ш</w:t>
            </w:r>
            <w:r w:rsidRPr="00637570">
              <w:t>ленность</w:t>
            </w:r>
          </w:p>
        </w:tc>
        <w:tc>
          <w:tcPr>
            <w:tcW w:w="1369" w:type="dxa"/>
            <w:gridSpan w:val="2"/>
          </w:tcPr>
          <w:p w:rsidR="00D95451" w:rsidRPr="00637570" w:rsidRDefault="00D95451" w:rsidP="00091A8D">
            <w:pPr>
              <w:spacing w:line="200" w:lineRule="exact"/>
              <w:cnfStyle w:val="000000000000"/>
            </w:pPr>
            <w:r w:rsidRPr="00637570">
              <w:t xml:space="preserve">Кредит/ </w:t>
            </w:r>
            <w:r w:rsidRPr="00637570">
              <w:br/>
              <w:t xml:space="preserve">страхование </w:t>
            </w:r>
          </w:p>
        </w:tc>
      </w:tr>
      <w:tr w:rsidR="00D95451" w:rsidRPr="00637570" w:rsidTr="00637570">
        <w:trPr>
          <w:trHeight w:val="240"/>
        </w:trPr>
        <w:tc>
          <w:tcPr>
            <w:cnfStyle w:val="001000000000"/>
            <w:tcW w:w="1140" w:type="dxa"/>
          </w:tcPr>
          <w:p w:rsidR="00D95451" w:rsidRPr="00637570" w:rsidRDefault="00D95451" w:rsidP="00091A8D">
            <w:pPr>
              <w:spacing w:line="200" w:lineRule="exact"/>
            </w:pPr>
            <w:r w:rsidRPr="00637570">
              <w:t>ГРОТ в %</w:t>
            </w:r>
          </w:p>
        </w:tc>
        <w:tc>
          <w:tcPr>
            <w:tcW w:w="704" w:type="dxa"/>
            <w:gridSpan w:val="2"/>
          </w:tcPr>
          <w:p w:rsidR="00D95451" w:rsidRPr="00637570" w:rsidRDefault="00D95451" w:rsidP="00091A8D">
            <w:pPr>
              <w:spacing w:line="200" w:lineRule="exact"/>
              <w:cnfStyle w:val="000000000000"/>
            </w:pPr>
            <w:r w:rsidRPr="00637570">
              <w:t>5,2</w:t>
            </w:r>
          </w:p>
        </w:tc>
        <w:tc>
          <w:tcPr>
            <w:tcW w:w="727" w:type="dxa"/>
            <w:gridSpan w:val="2"/>
          </w:tcPr>
          <w:p w:rsidR="00D95451" w:rsidRPr="00637570" w:rsidRDefault="00D95451" w:rsidP="00091A8D">
            <w:pPr>
              <w:spacing w:line="200" w:lineRule="exact"/>
              <w:cnfStyle w:val="000000000000"/>
            </w:pPr>
            <w:r w:rsidRPr="00637570">
              <w:t>13,8</w:t>
            </w:r>
          </w:p>
        </w:tc>
        <w:tc>
          <w:tcPr>
            <w:tcW w:w="1344" w:type="dxa"/>
            <w:gridSpan w:val="4"/>
          </w:tcPr>
          <w:p w:rsidR="00D95451" w:rsidRPr="00637570" w:rsidRDefault="00D95451" w:rsidP="00091A8D">
            <w:pPr>
              <w:spacing w:line="200" w:lineRule="exact"/>
              <w:cnfStyle w:val="000000000000"/>
            </w:pPr>
            <w:r w:rsidRPr="00637570">
              <w:t>16,3</w:t>
            </w:r>
          </w:p>
        </w:tc>
        <w:tc>
          <w:tcPr>
            <w:tcW w:w="699" w:type="dxa"/>
            <w:gridSpan w:val="2"/>
          </w:tcPr>
          <w:p w:rsidR="00D95451" w:rsidRPr="00637570" w:rsidRDefault="00D95451" w:rsidP="00091A8D">
            <w:pPr>
              <w:spacing w:line="200" w:lineRule="exact"/>
              <w:cnfStyle w:val="000000000000"/>
            </w:pPr>
            <w:r w:rsidRPr="00637570">
              <w:t>25</w:t>
            </w:r>
          </w:p>
        </w:tc>
        <w:tc>
          <w:tcPr>
            <w:tcW w:w="1387" w:type="dxa"/>
            <w:gridSpan w:val="2"/>
          </w:tcPr>
          <w:p w:rsidR="00D95451" w:rsidRPr="00637570" w:rsidRDefault="00D95451" w:rsidP="00091A8D">
            <w:pPr>
              <w:spacing w:line="200" w:lineRule="exact"/>
              <w:cnfStyle w:val="000000000000"/>
            </w:pPr>
            <w:r w:rsidRPr="00637570">
              <w:t>28,2</w:t>
            </w:r>
          </w:p>
        </w:tc>
        <w:tc>
          <w:tcPr>
            <w:tcW w:w="1369" w:type="dxa"/>
            <w:gridSpan w:val="2"/>
          </w:tcPr>
          <w:p w:rsidR="00D95451" w:rsidRPr="00637570" w:rsidRDefault="00D95451" w:rsidP="00091A8D">
            <w:pPr>
              <w:spacing w:line="200" w:lineRule="exact"/>
              <w:cnfStyle w:val="000000000000"/>
            </w:pPr>
            <w:r w:rsidRPr="00637570">
              <w:t>28,9</w:t>
            </w:r>
          </w:p>
        </w:tc>
      </w:tr>
    </w:tbl>
    <w:p w:rsidR="00D95451" w:rsidRPr="001162EA" w:rsidRDefault="00D95451" w:rsidP="00D95451">
      <w:pPr>
        <w:pStyle w:val="SingleTxtGR"/>
        <w:spacing w:before="240"/>
      </w:pPr>
      <w:r w:rsidRPr="001162EA">
        <w:t>29.</w:t>
      </w:r>
      <w:r w:rsidRPr="001162EA">
        <w:tab/>
        <w:t>Несмотря на то, что</w:t>
      </w:r>
      <w:r>
        <w:t>,</w:t>
      </w:r>
      <w:r w:rsidRPr="001162EA">
        <w:t xml:space="preserve"> согласно результатам многих исследований и оц</w:t>
      </w:r>
      <w:r w:rsidRPr="001162EA">
        <w:t>е</w:t>
      </w:r>
      <w:r w:rsidRPr="001162EA">
        <w:t>нок, доля женщин в компаниях на должностях, связанных с принятием реш</w:t>
      </w:r>
      <w:r w:rsidRPr="001162EA">
        <w:t>е</w:t>
      </w:r>
      <w:r w:rsidRPr="001162EA">
        <w:t>ний, в последнее время немного возросла, бесспорным остается тот факт, что женщины по-прежнему недостаточно представлены на этих должностях</w:t>
      </w:r>
      <w:r>
        <w:t xml:space="preserve"> </w:t>
      </w:r>
      <w:r w:rsidRPr="001162EA">
        <w:t>(см.</w:t>
      </w:r>
      <w:r>
        <w:t> </w:t>
      </w:r>
      <w:r w:rsidRPr="001162EA">
        <w:t>таблицу</w:t>
      </w:r>
      <w:r>
        <w:t> </w:t>
      </w:r>
      <w:r w:rsidRPr="001162EA">
        <w:t>2). В своей карьере женщины не могут преодолеть так называемый "стеклянный потолок" и на управленческих должностях зарабатывают меньше мужчин. Почти три четверти всех руков</w:t>
      </w:r>
      <w:r w:rsidR="002A6C16">
        <w:t>одящих постов занимают мужчины:</w:t>
      </w:r>
      <w:r w:rsidR="002A6C16">
        <w:br/>
      </w:r>
      <w:r w:rsidRPr="001162EA">
        <w:t>в целом, чем больше компания и чем выше уровень руководства, тем меньше доля женщин на руководящих должностях. Заработок женщин, работающих на условиях полной занятости, в 2008 году был равен лишь 72% от заработка му</w:t>
      </w:r>
      <w:r w:rsidRPr="001162EA">
        <w:t>ж</w:t>
      </w:r>
      <w:r w:rsidRPr="001162EA">
        <w:t>чин, следовательно, гендерный разрыв в оплате труда составлял 28%. Кроме т</w:t>
      </w:r>
      <w:r w:rsidRPr="001162EA">
        <w:t>о</w:t>
      </w:r>
      <w:r w:rsidRPr="001162EA">
        <w:t>го, результаты исследований показывают, что в женских профессиях (профе</w:t>
      </w:r>
      <w:r w:rsidRPr="001162EA">
        <w:t>с</w:t>
      </w:r>
      <w:r w:rsidRPr="001162EA">
        <w:t>сии, в которых доля женщин равна 70% и более) зарплата на руководящих должностях ниже, чем в мужских профессиях. В 2008 году женщины, зан</w:t>
      </w:r>
      <w:r w:rsidRPr="001162EA">
        <w:t>и</w:t>
      </w:r>
      <w:r w:rsidRPr="001162EA">
        <w:t>мающие руководящие посты в женских профессиях, зарабатывали в месяц пр</w:t>
      </w:r>
      <w:r w:rsidRPr="001162EA">
        <w:t>и</w:t>
      </w:r>
      <w:r w:rsidRPr="001162EA">
        <w:t>мерно 2</w:t>
      </w:r>
      <w:r>
        <w:t> </w:t>
      </w:r>
      <w:r w:rsidRPr="001162EA">
        <w:t>609</w:t>
      </w:r>
      <w:r>
        <w:t> </w:t>
      </w:r>
      <w:r w:rsidRPr="001162EA">
        <w:t>евро (брутто), что составляет лишь 64% от дохода женщин на т</w:t>
      </w:r>
      <w:r w:rsidRPr="001162EA">
        <w:t>а</w:t>
      </w:r>
      <w:r w:rsidRPr="001162EA">
        <w:t>ких же постах, но в мужских профессиях. Кроме того, уровень доходов му</w:t>
      </w:r>
      <w:r w:rsidRPr="001162EA">
        <w:t>ж</w:t>
      </w:r>
      <w:r w:rsidRPr="001162EA">
        <w:t>чин-руководителей во всех профессиях выше, чем доход женщин-руководителей. Это является доказательством эффекта горизонтальной сегрег</w:t>
      </w:r>
      <w:r w:rsidRPr="001162EA">
        <w:t>а</w:t>
      </w:r>
      <w:r w:rsidRPr="001162EA">
        <w:t>ции: наличие традиционно женских профессий приводит к существенному н</w:t>
      </w:r>
      <w:r w:rsidRPr="001162EA">
        <w:t>е</w:t>
      </w:r>
      <w:r w:rsidRPr="001162EA">
        <w:t>равенству в доходах и карьерных возможностях. Ориентация на нетрадицио</w:t>
      </w:r>
      <w:r w:rsidRPr="001162EA">
        <w:t>н</w:t>
      </w:r>
      <w:r w:rsidRPr="001162EA">
        <w:t>ные (мужские) профессии улучшает перспективы женщин в отношении дох</w:t>
      </w:r>
      <w:r w:rsidRPr="001162EA">
        <w:t>о</w:t>
      </w:r>
      <w:r w:rsidRPr="001162EA">
        <w:t>дов, но их доходы все равно не достигают уровня доходов мужчин</w:t>
      </w:r>
      <w:r>
        <w:rPr>
          <w:rStyle w:val="FootnoteReference"/>
        </w:rPr>
        <w:footnoteReference w:id="12"/>
      </w:r>
      <w:r w:rsidRPr="001162EA">
        <w:t>. Поэтому количество женщин среди лиц с выс</w:t>
      </w:r>
      <w:r w:rsidRPr="001162EA">
        <w:t>о</w:t>
      </w:r>
      <w:r w:rsidRPr="001162EA">
        <w:t>кими доходами невелико, в частности, по причине того, что они чаще мужчин нанимаются на работу некрупными комп</w:t>
      </w:r>
      <w:r w:rsidRPr="001162EA">
        <w:t>а</w:t>
      </w:r>
      <w:r w:rsidRPr="001162EA">
        <w:t>ниями, которые в отличие от крупных компаний в периоды экономического кризиса не выплачивают бонусы. Многоступенчатый план увеличения колич</w:t>
      </w:r>
      <w:r w:rsidRPr="001162EA">
        <w:t>е</w:t>
      </w:r>
      <w:r w:rsidRPr="001162EA">
        <w:t>ства женщин на руководящих должностях, который федеральное правительство планирует представить в течение этого з</w:t>
      </w:r>
      <w:r w:rsidRPr="001162EA">
        <w:t>а</w:t>
      </w:r>
      <w:r w:rsidRPr="001162EA">
        <w:t>конодательного периода, также имеет большое значение для устранения одной из основных причин разрыва в оплате труда.</w:t>
      </w:r>
    </w:p>
    <w:p w:rsidR="00091A8D" w:rsidRPr="00E72B0E" w:rsidRDefault="00091A8D" w:rsidP="00091A8D">
      <w:pPr>
        <w:pStyle w:val="SingleTxtGR"/>
        <w:rPr>
          <w:b/>
        </w:rPr>
      </w:pPr>
      <w:r w:rsidRPr="00E72B0E">
        <w:t>Таблица 2</w:t>
      </w:r>
      <w:r w:rsidRPr="00E72B0E">
        <w:rPr>
          <w:b/>
        </w:rPr>
        <w:br/>
      </w:r>
      <w:r>
        <w:rPr>
          <w:b/>
        </w:rPr>
        <w:t>Д</w:t>
      </w:r>
      <w:r w:rsidRPr="00E72B0E">
        <w:rPr>
          <w:b/>
        </w:rPr>
        <w:t xml:space="preserve">оля женщин на руководящих должностях (в </w:t>
      </w:r>
      <w:r>
        <w:rPr>
          <w:b/>
        </w:rPr>
        <w:t>%</w:t>
      </w:r>
      <w:r w:rsidRPr="00E72B0E">
        <w:rPr>
          <w:b/>
        </w:rPr>
        <w:t>)</w:t>
      </w:r>
      <w:r w:rsidRPr="00044B61">
        <w:rPr>
          <w:sz w:val="18"/>
          <w:szCs w:val="18"/>
          <w:vertAlign w:val="superscript"/>
        </w:rPr>
        <w:footnoteReference w:id="13"/>
      </w:r>
    </w:p>
    <w:tbl>
      <w:tblPr>
        <w:tblStyle w:val="TabTxt"/>
        <w:tblW w:w="7370" w:type="dxa"/>
        <w:tblInd w:w="1134" w:type="dxa"/>
        <w:tblLook w:val="01E0"/>
      </w:tblPr>
      <w:tblGrid>
        <w:gridCol w:w="2478"/>
        <w:gridCol w:w="978"/>
        <w:gridCol w:w="978"/>
        <w:gridCol w:w="979"/>
        <w:gridCol w:w="978"/>
        <w:gridCol w:w="979"/>
      </w:tblGrid>
      <w:tr w:rsidR="00091A8D" w:rsidRPr="00E72B0E" w:rsidTr="0051196E">
        <w:trPr>
          <w:trHeight w:val="240"/>
        </w:trPr>
        <w:tc>
          <w:tcPr>
            <w:tcW w:w="247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jc w:val="right"/>
              <w:rPr>
                <w:i/>
                <w:sz w:val="16"/>
              </w:rPr>
            </w:pPr>
          </w:p>
        </w:tc>
        <w:tc>
          <w:tcPr>
            <w:tcW w:w="97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jc w:val="right"/>
              <w:rPr>
                <w:i/>
                <w:sz w:val="16"/>
              </w:rPr>
            </w:pPr>
            <w:r w:rsidRPr="00E72B0E">
              <w:rPr>
                <w:i/>
                <w:sz w:val="16"/>
              </w:rPr>
              <w:t>200</w:t>
            </w:r>
            <w:r>
              <w:rPr>
                <w:i/>
                <w:sz w:val="16"/>
              </w:rPr>
              <w:t>6 год</w:t>
            </w:r>
          </w:p>
        </w:tc>
        <w:tc>
          <w:tcPr>
            <w:tcW w:w="97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jc w:val="right"/>
              <w:rPr>
                <w:i/>
                <w:sz w:val="16"/>
              </w:rPr>
            </w:pPr>
            <w:r w:rsidRPr="00E72B0E">
              <w:rPr>
                <w:i/>
                <w:sz w:val="16"/>
              </w:rPr>
              <w:t>200</w:t>
            </w:r>
            <w:r>
              <w:rPr>
                <w:i/>
                <w:sz w:val="16"/>
              </w:rPr>
              <w:t>7 год</w:t>
            </w:r>
          </w:p>
        </w:tc>
        <w:tc>
          <w:tcPr>
            <w:tcW w:w="979"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jc w:val="right"/>
              <w:rPr>
                <w:i/>
                <w:sz w:val="16"/>
              </w:rPr>
            </w:pPr>
            <w:r w:rsidRPr="00E72B0E">
              <w:rPr>
                <w:i/>
                <w:sz w:val="16"/>
              </w:rPr>
              <w:t>200</w:t>
            </w:r>
            <w:r>
              <w:rPr>
                <w:i/>
                <w:sz w:val="16"/>
              </w:rPr>
              <w:t xml:space="preserve">8 год </w:t>
            </w:r>
          </w:p>
        </w:tc>
        <w:tc>
          <w:tcPr>
            <w:tcW w:w="97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jc w:val="right"/>
              <w:rPr>
                <w:i/>
                <w:sz w:val="16"/>
              </w:rPr>
            </w:pPr>
            <w:r w:rsidRPr="00E72B0E">
              <w:rPr>
                <w:i/>
                <w:sz w:val="16"/>
              </w:rPr>
              <w:t>200</w:t>
            </w:r>
            <w:r>
              <w:rPr>
                <w:i/>
                <w:sz w:val="16"/>
              </w:rPr>
              <w:t>9 год</w:t>
            </w:r>
          </w:p>
        </w:tc>
        <w:tc>
          <w:tcPr>
            <w:cnfStyle w:val="000100000000"/>
            <w:tcW w:w="979" w:type="dxa"/>
            <w:tcBorders>
              <w:bottom w:val="single" w:sz="12" w:space="0" w:color="auto"/>
            </w:tcBorders>
            <w:shd w:val="clear" w:color="auto" w:fill="auto"/>
          </w:tcPr>
          <w:p w:rsidR="00091A8D" w:rsidRPr="00E72B0E" w:rsidRDefault="00091A8D" w:rsidP="0051196E">
            <w:pPr>
              <w:spacing w:before="80" w:after="80" w:line="200" w:lineRule="exact"/>
              <w:jc w:val="right"/>
              <w:rPr>
                <w:i/>
                <w:sz w:val="16"/>
              </w:rPr>
            </w:pPr>
            <w:r w:rsidRPr="00E72B0E">
              <w:rPr>
                <w:i/>
                <w:sz w:val="16"/>
              </w:rPr>
              <w:t>2010</w:t>
            </w:r>
            <w:r>
              <w:rPr>
                <w:i/>
                <w:sz w:val="16"/>
              </w:rPr>
              <w:t xml:space="preserve"> год</w:t>
            </w:r>
          </w:p>
        </w:tc>
      </w:tr>
      <w:tr w:rsidR="00091A8D" w:rsidRPr="00E72B0E" w:rsidTr="0051196E">
        <w:trPr>
          <w:trHeight w:val="240"/>
        </w:trPr>
        <w:tc>
          <w:tcPr>
            <w:tcW w:w="2478" w:type="dxa"/>
            <w:tcBorders>
              <w:top w:val="single" w:sz="12" w:space="0" w:color="auto"/>
            </w:tcBorders>
          </w:tcPr>
          <w:p w:rsidR="00091A8D" w:rsidRPr="00E72B0E" w:rsidRDefault="00091A8D" w:rsidP="0051196E">
            <w:pPr>
              <w:rPr>
                <w:sz w:val="18"/>
                <w:szCs w:val="18"/>
              </w:rPr>
            </w:pPr>
            <w:r w:rsidRPr="00E72B0E">
              <w:rPr>
                <w:sz w:val="18"/>
                <w:szCs w:val="18"/>
              </w:rPr>
              <w:t>Исполнительные орг</w:t>
            </w:r>
            <w:r w:rsidRPr="00E72B0E">
              <w:rPr>
                <w:sz w:val="18"/>
                <w:szCs w:val="18"/>
              </w:rPr>
              <w:t>а</w:t>
            </w:r>
            <w:r w:rsidRPr="00E72B0E">
              <w:rPr>
                <w:sz w:val="18"/>
                <w:szCs w:val="18"/>
              </w:rPr>
              <w:t>ны</w:t>
            </w:r>
          </w:p>
        </w:tc>
        <w:tc>
          <w:tcPr>
            <w:tcW w:w="978" w:type="dxa"/>
            <w:tcBorders>
              <w:top w:val="single" w:sz="12" w:space="0" w:color="auto"/>
            </w:tcBorders>
          </w:tcPr>
          <w:p w:rsidR="00091A8D" w:rsidRPr="00E72B0E" w:rsidRDefault="00091A8D" w:rsidP="0051196E">
            <w:pPr>
              <w:jc w:val="right"/>
              <w:rPr>
                <w:sz w:val="18"/>
                <w:szCs w:val="18"/>
              </w:rPr>
            </w:pPr>
            <w:r w:rsidRPr="00E72B0E">
              <w:rPr>
                <w:sz w:val="18"/>
                <w:szCs w:val="18"/>
              </w:rPr>
              <w:t>1,2</w:t>
            </w:r>
          </w:p>
        </w:tc>
        <w:tc>
          <w:tcPr>
            <w:tcW w:w="978" w:type="dxa"/>
            <w:tcBorders>
              <w:top w:val="single" w:sz="12" w:space="0" w:color="auto"/>
            </w:tcBorders>
          </w:tcPr>
          <w:p w:rsidR="00091A8D" w:rsidRPr="00E72B0E" w:rsidRDefault="00091A8D" w:rsidP="0051196E">
            <w:pPr>
              <w:jc w:val="right"/>
              <w:rPr>
                <w:sz w:val="18"/>
                <w:szCs w:val="18"/>
              </w:rPr>
            </w:pPr>
            <w:r w:rsidRPr="00E72B0E">
              <w:rPr>
                <w:sz w:val="18"/>
                <w:szCs w:val="18"/>
              </w:rPr>
              <w:t>1,8</w:t>
            </w:r>
          </w:p>
        </w:tc>
        <w:tc>
          <w:tcPr>
            <w:tcW w:w="979" w:type="dxa"/>
            <w:tcBorders>
              <w:top w:val="single" w:sz="12" w:space="0" w:color="auto"/>
            </w:tcBorders>
          </w:tcPr>
          <w:p w:rsidR="00091A8D" w:rsidRPr="00E72B0E" w:rsidRDefault="00091A8D" w:rsidP="0051196E">
            <w:pPr>
              <w:jc w:val="right"/>
              <w:rPr>
                <w:sz w:val="18"/>
                <w:szCs w:val="18"/>
              </w:rPr>
            </w:pPr>
            <w:r w:rsidRPr="00E72B0E">
              <w:rPr>
                <w:sz w:val="18"/>
                <w:szCs w:val="18"/>
              </w:rPr>
              <w:t>2,5</w:t>
            </w:r>
          </w:p>
        </w:tc>
        <w:tc>
          <w:tcPr>
            <w:tcW w:w="978" w:type="dxa"/>
            <w:tcBorders>
              <w:top w:val="single" w:sz="12" w:space="0" w:color="auto"/>
            </w:tcBorders>
          </w:tcPr>
          <w:p w:rsidR="00091A8D" w:rsidRPr="00E72B0E" w:rsidRDefault="00091A8D" w:rsidP="0051196E">
            <w:pPr>
              <w:jc w:val="right"/>
              <w:rPr>
                <w:sz w:val="18"/>
                <w:szCs w:val="18"/>
              </w:rPr>
            </w:pPr>
            <w:r w:rsidRPr="00E72B0E">
              <w:rPr>
                <w:sz w:val="18"/>
                <w:szCs w:val="18"/>
              </w:rPr>
              <w:t>2,5</w:t>
            </w:r>
          </w:p>
        </w:tc>
        <w:tc>
          <w:tcPr>
            <w:cnfStyle w:val="000100000000"/>
            <w:tcW w:w="979" w:type="dxa"/>
            <w:tcBorders>
              <w:top w:val="single" w:sz="12" w:space="0" w:color="auto"/>
            </w:tcBorders>
          </w:tcPr>
          <w:p w:rsidR="00091A8D" w:rsidRPr="00E72B0E" w:rsidRDefault="00091A8D" w:rsidP="0051196E">
            <w:pPr>
              <w:jc w:val="right"/>
              <w:rPr>
                <w:sz w:val="18"/>
                <w:szCs w:val="18"/>
              </w:rPr>
            </w:pPr>
            <w:r w:rsidRPr="00E72B0E">
              <w:rPr>
                <w:sz w:val="18"/>
                <w:szCs w:val="18"/>
              </w:rPr>
              <w:t>3,2</w:t>
            </w:r>
          </w:p>
        </w:tc>
      </w:tr>
      <w:tr w:rsidR="00091A8D" w:rsidRPr="00E72B0E" w:rsidTr="0051196E">
        <w:trPr>
          <w:trHeight w:val="240"/>
        </w:trPr>
        <w:tc>
          <w:tcPr>
            <w:tcW w:w="2478" w:type="dxa"/>
          </w:tcPr>
          <w:p w:rsidR="00091A8D" w:rsidRPr="00E72B0E" w:rsidRDefault="00091A8D" w:rsidP="0051196E">
            <w:pPr>
              <w:rPr>
                <w:sz w:val="18"/>
                <w:szCs w:val="18"/>
              </w:rPr>
            </w:pPr>
            <w:r w:rsidRPr="00E72B0E">
              <w:rPr>
                <w:sz w:val="18"/>
                <w:szCs w:val="18"/>
              </w:rPr>
              <w:t>Наблюдательны</w:t>
            </w:r>
            <w:r>
              <w:rPr>
                <w:sz w:val="18"/>
                <w:szCs w:val="18"/>
              </w:rPr>
              <w:t>й</w:t>
            </w:r>
            <w:r w:rsidRPr="00E72B0E">
              <w:rPr>
                <w:sz w:val="18"/>
                <w:szCs w:val="18"/>
              </w:rPr>
              <w:t xml:space="preserve"> </w:t>
            </w:r>
            <w:r>
              <w:rPr>
                <w:sz w:val="18"/>
                <w:szCs w:val="18"/>
              </w:rPr>
              <w:t>совет</w:t>
            </w:r>
          </w:p>
        </w:tc>
        <w:tc>
          <w:tcPr>
            <w:tcW w:w="978" w:type="dxa"/>
          </w:tcPr>
          <w:p w:rsidR="00091A8D" w:rsidRPr="00E72B0E" w:rsidRDefault="00091A8D" w:rsidP="0051196E">
            <w:pPr>
              <w:jc w:val="right"/>
              <w:rPr>
                <w:sz w:val="18"/>
                <w:szCs w:val="18"/>
              </w:rPr>
            </w:pPr>
            <w:r w:rsidRPr="00E72B0E">
              <w:rPr>
                <w:sz w:val="18"/>
                <w:szCs w:val="18"/>
              </w:rPr>
              <w:t>7,8</w:t>
            </w:r>
          </w:p>
        </w:tc>
        <w:tc>
          <w:tcPr>
            <w:tcW w:w="978" w:type="dxa"/>
          </w:tcPr>
          <w:p w:rsidR="00091A8D" w:rsidRPr="00E72B0E" w:rsidRDefault="00091A8D" w:rsidP="0051196E">
            <w:pPr>
              <w:jc w:val="right"/>
              <w:rPr>
                <w:sz w:val="18"/>
                <w:szCs w:val="18"/>
              </w:rPr>
            </w:pPr>
            <w:r w:rsidRPr="00E72B0E">
              <w:rPr>
                <w:sz w:val="18"/>
                <w:szCs w:val="18"/>
              </w:rPr>
              <w:t>8,6</w:t>
            </w:r>
          </w:p>
        </w:tc>
        <w:tc>
          <w:tcPr>
            <w:tcW w:w="979" w:type="dxa"/>
          </w:tcPr>
          <w:p w:rsidR="00091A8D" w:rsidRPr="00E72B0E" w:rsidRDefault="00091A8D" w:rsidP="0051196E">
            <w:pPr>
              <w:jc w:val="right"/>
              <w:rPr>
                <w:sz w:val="18"/>
                <w:szCs w:val="18"/>
              </w:rPr>
            </w:pPr>
            <w:r w:rsidRPr="00E72B0E">
              <w:rPr>
                <w:sz w:val="18"/>
                <w:szCs w:val="18"/>
              </w:rPr>
              <w:t>9,3</w:t>
            </w:r>
          </w:p>
        </w:tc>
        <w:tc>
          <w:tcPr>
            <w:tcW w:w="978" w:type="dxa"/>
          </w:tcPr>
          <w:p w:rsidR="00091A8D" w:rsidRPr="00E72B0E" w:rsidRDefault="00091A8D" w:rsidP="0051196E">
            <w:pPr>
              <w:jc w:val="right"/>
              <w:rPr>
                <w:sz w:val="18"/>
                <w:szCs w:val="18"/>
              </w:rPr>
            </w:pPr>
            <w:r w:rsidRPr="00E72B0E">
              <w:rPr>
                <w:sz w:val="18"/>
                <w:szCs w:val="18"/>
              </w:rPr>
              <w:t>9,8</w:t>
            </w:r>
          </w:p>
        </w:tc>
        <w:tc>
          <w:tcPr>
            <w:cnfStyle w:val="000100000000"/>
            <w:tcW w:w="979" w:type="dxa"/>
          </w:tcPr>
          <w:p w:rsidR="00091A8D" w:rsidRPr="00E72B0E" w:rsidRDefault="00091A8D" w:rsidP="0051196E">
            <w:pPr>
              <w:jc w:val="right"/>
              <w:rPr>
                <w:sz w:val="18"/>
                <w:szCs w:val="18"/>
              </w:rPr>
            </w:pPr>
            <w:r w:rsidRPr="00E72B0E">
              <w:rPr>
                <w:sz w:val="18"/>
                <w:szCs w:val="18"/>
              </w:rPr>
              <w:t>10,6</w:t>
            </w:r>
          </w:p>
        </w:tc>
      </w:tr>
    </w:tbl>
    <w:p w:rsidR="00091A8D" w:rsidRPr="00E72B0E" w:rsidRDefault="00091A8D" w:rsidP="00091A8D">
      <w:pPr>
        <w:pStyle w:val="SingleTxtGR"/>
        <w:spacing w:after="0"/>
        <w:rPr>
          <w:b/>
          <w:bCs/>
        </w:rPr>
      </w:pPr>
    </w:p>
    <w:tbl>
      <w:tblPr>
        <w:tblStyle w:val="TabNum"/>
        <w:tblW w:w="7370" w:type="dxa"/>
        <w:tblInd w:w="1134" w:type="dxa"/>
        <w:tblLook w:val="01E0"/>
      </w:tblPr>
      <w:tblGrid>
        <w:gridCol w:w="2542"/>
        <w:gridCol w:w="1207"/>
        <w:gridCol w:w="1207"/>
        <w:gridCol w:w="1207"/>
        <w:gridCol w:w="1207"/>
      </w:tblGrid>
      <w:tr w:rsidR="00091A8D" w:rsidRPr="00E72B0E" w:rsidTr="0051196E">
        <w:trPr>
          <w:trHeight w:val="240"/>
        </w:trPr>
        <w:tc>
          <w:tcPr>
            <w:cnfStyle w:val="001000000000"/>
            <w:tcW w:w="2542" w:type="dxa"/>
            <w:tcBorders>
              <w:bottom w:val="single" w:sz="12" w:space="0" w:color="auto"/>
            </w:tcBorders>
            <w:shd w:val="clear" w:color="auto" w:fill="auto"/>
          </w:tcPr>
          <w:p w:rsidR="00091A8D" w:rsidRPr="00E72B0E" w:rsidRDefault="00091A8D" w:rsidP="0051196E">
            <w:pPr>
              <w:spacing w:before="80" w:after="80" w:line="200" w:lineRule="exact"/>
              <w:jc w:val="right"/>
              <w:rPr>
                <w:i/>
                <w:sz w:val="16"/>
              </w:rPr>
            </w:pPr>
          </w:p>
        </w:tc>
        <w:tc>
          <w:tcPr>
            <w:tcW w:w="1207"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5 год</w:t>
            </w:r>
          </w:p>
        </w:tc>
        <w:tc>
          <w:tcPr>
            <w:tcW w:w="1207"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6 год</w:t>
            </w:r>
          </w:p>
        </w:tc>
        <w:tc>
          <w:tcPr>
            <w:tcW w:w="1207"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7 год</w:t>
            </w:r>
          </w:p>
        </w:tc>
        <w:tc>
          <w:tcPr>
            <w:tcW w:w="1207"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8 год</w:t>
            </w:r>
          </w:p>
        </w:tc>
      </w:tr>
      <w:tr w:rsidR="00091A8D" w:rsidRPr="00E72B0E" w:rsidTr="0051196E">
        <w:trPr>
          <w:trHeight w:val="240"/>
        </w:trPr>
        <w:tc>
          <w:tcPr>
            <w:cnfStyle w:val="001000000000"/>
            <w:tcW w:w="2542" w:type="dxa"/>
            <w:tcBorders>
              <w:top w:val="single" w:sz="12" w:space="0" w:color="auto"/>
            </w:tcBorders>
          </w:tcPr>
          <w:p w:rsidR="00091A8D" w:rsidRPr="00E72B0E" w:rsidRDefault="00091A8D" w:rsidP="0051196E">
            <w:r w:rsidRPr="00E72B0E">
              <w:t>Частный сектор</w:t>
            </w:r>
          </w:p>
        </w:tc>
        <w:tc>
          <w:tcPr>
            <w:tcW w:w="1207" w:type="dxa"/>
            <w:tcBorders>
              <w:top w:val="single" w:sz="12" w:space="0" w:color="auto"/>
            </w:tcBorders>
          </w:tcPr>
          <w:p w:rsidR="00091A8D" w:rsidRPr="00E72B0E" w:rsidRDefault="00091A8D" w:rsidP="0051196E">
            <w:pPr>
              <w:cnfStyle w:val="000000000000"/>
            </w:pPr>
            <w:r w:rsidRPr="00E72B0E">
              <w:t>24</w:t>
            </w:r>
          </w:p>
        </w:tc>
        <w:tc>
          <w:tcPr>
            <w:tcW w:w="1207" w:type="dxa"/>
            <w:tcBorders>
              <w:top w:val="single" w:sz="12" w:space="0" w:color="auto"/>
            </w:tcBorders>
          </w:tcPr>
          <w:p w:rsidR="00091A8D" w:rsidRPr="00E72B0E" w:rsidRDefault="00091A8D" w:rsidP="0051196E">
            <w:pPr>
              <w:cnfStyle w:val="000000000000"/>
            </w:pPr>
            <w:r w:rsidRPr="00E72B0E">
              <w:t>27</w:t>
            </w:r>
          </w:p>
        </w:tc>
        <w:tc>
          <w:tcPr>
            <w:tcW w:w="1207" w:type="dxa"/>
            <w:tcBorders>
              <w:top w:val="single" w:sz="12" w:space="0" w:color="auto"/>
            </w:tcBorders>
          </w:tcPr>
          <w:p w:rsidR="00091A8D" w:rsidRPr="00E72B0E" w:rsidRDefault="00091A8D" w:rsidP="0051196E">
            <w:pPr>
              <w:cnfStyle w:val="000000000000"/>
            </w:pPr>
            <w:r w:rsidRPr="00E72B0E">
              <w:t>27</w:t>
            </w:r>
          </w:p>
        </w:tc>
        <w:tc>
          <w:tcPr>
            <w:tcW w:w="1207" w:type="dxa"/>
            <w:tcBorders>
              <w:top w:val="single" w:sz="12" w:space="0" w:color="auto"/>
            </w:tcBorders>
          </w:tcPr>
          <w:p w:rsidR="00091A8D" w:rsidRPr="00E72B0E" w:rsidRDefault="00091A8D" w:rsidP="0051196E">
            <w:pPr>
              <w:cnfStyle w:val="000000000000"/>
            </w:pPr>
            <w:r w:rsidRPr="00E72B0E">
              <w:t>27</w:t>
            </w:r>
          </w:p>
        </w:tc>
      </w:tr>
    </w:tbl>
    <w:p w:rsidR="00091A8D" w:rsidRPr="00E72B0E" w:rsidRDefault="00091A8D" w:rsidP="00091A8D">
      <w:pPr>
        <w:pStyle w:val="SingleTxtGR"/>
        <w:spacing w:after="0"/>
        <w:rPr>
          <w:b/>
          <w:bCs/>
        </w:rPr>
      </w:pPr>
    </w:p>
    <w:tbl>
      <w:tblPr>
        <w:tblStyle w:val="TabNum"/>
        <w:tblW w:w="7370" w:type="dxa"/>
        <w:tblInd w:w="1134" w:type="dxa"/>
        <w:tblLook w:val="01E0"/>
      </w:tblPr>
      <w:tblGrid>
        <w:gridCol w:w="2548"/>
        <w:gridCol w:w="1218"/>
        <w:gridCol w:w="1189"/>
        <w:gridCol w:w="1218"/>
        <w:gridCol w:w="1197"/>
      </w:tblGrid>
      <w:tr w:rsidR="00091A8D" w:rsidRPr="00E72B0E" w:rsidTr="0051196E">
        <w:trPr>
          <w:trHeight w:val="240"/>
        </w:trPr>
        <w:tc>
          <w:tcPr>
            <w:cnfStyle w:val="001000000000"/>
            <w:tcW w:w="2548" w:type="dxa"/>
            <w:tcBorders>
              <w:bottom w:val="single" w:sz="12" w:space="0" w:color="auto"/>
            </w:tcBorders>
            <w:shd w:val="clear" w:color="auto" w:fill="auto"/>
          </w:tcPr>
          <w:p w:rsidR="00091A8D" w:rsidRPr="00E72B0E" w:rsidRDefault="00091A8D" w:rsidP="0051196E">
            <w:pPr>
              <w:spacing w:before="80" w:after="80" w:line="200" w:lineRule="exact"/>
              <w:jc w:val="right"/>
              <w:rPr>
                <w:i/>
                <w:sz w:val="16"/>
              </w:rPr>
            </w:pPr>
          </w:p>
        </w:tc>
        <w:tc>
          <w:tcPr>
            <w:tcW w:w="121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6 год</w:t>
            </w:r>
          </w:p>
        </w:tc>
        <w:tc>
          <w:tcPr>
            <w:tcW w:w="1189"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7 год</w:t>
            </w:r>
          </w:p>
        </w:tc>
        <w:tc>
          <w:tcPr>
            <w:tcW w:w="1218"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8 год</w:t>
            </w:r>
          </w:p>
        </w:tc>
        <w:tc>
          <w:tcPr>
            <w:tcW w:w="1197" w:type="dxa"/>
            <w:tcBorders>
              <w:top w:val="single" w:sz="4" w:space="0" w:color="auto"/>
              <w:bottom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200</w:t>
            </w:r>
            <w:r>
              <w:rPr>
                <w:i/>
                <w:sz w:val="16"/>
              </w:rPr>
              <w:t>9 год</w:t>
            </w:r>
          </w:p>
        </w:tc>
      </w:tr>
      <w:tr w:rsidR="00091A8D" w:rsidRPr="00E72B0E" w:rsidTr="0051196E">
        <w:trPr>
          <w:trHeight w:val="240"/>
        </w:trPr>
        <w:tc>
          <w:tcPr>
            <w:cnfStyle w:val="001000000000"/>
            <w:tcW w:w="2548" w:type="dxa"/>
            <w:tcBorders>
              <w:top w:val="single" w:sz="12" w:space="0" w:color="auto"/>
            </w:tcBorders>
            <w:shd w:val="clear" w:color="auto" w:fill="auto"/>
          </w:tcPr>
          <w:p w:rsidR="00091A8D" w:rsidRPr="00091A8D" w:rsidRDefault="00091A8D" w:rsidP="0051196E">
            <w:pPr>
              <w:spacing w:before="80" w:after="80" w:line="200" w:lineRule="exact"/>
              <w:rPr>
                <w:szCs w:val="18"/>
              </w:rPr>
            </w:pPr>
            <w:r w:rsidRPr="00091A8D">
              <w:rPr>
                <w:szCs w:val="18"/>
              </w:rPr>
              <w:t xml:space="preserve">Государственная служба </w:t>
            </w:r>
            <w:r w:rsidRPr="00091A8D">
              <w:rPr>
                <w:szCs w:val="18"/>
              </w:rPr>
              <w:br/>
              <w:t>(федеральное правител</w:t>
            </w:r>
            <w:r w:rsidRPr="00091A8D">
              <w:rPr>
                <w:szCs w:val="18"/>
              </w:rPr>
              <w:t>ь</w:t>
            </w:r>
            <w:r w:rsidRPr="00091A8D">
              <w:rPr>
                <w:szCs w:val="18"/>
              </w:rPr>
              <w:t>ство)</w:t>
            </w:r>
          </w:p>
        </w:tc>
        <w:tc>
          <w:tcPr>
            <w:tcW w:w="1218" w:type="dxa"/>
            <w:tcBorders>
              <w:top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26</w:t>
            </w:r>
          </w:p>
        </w:tc>
        <w:tc>
          <w:tcPr>
            <w:tcW w:w="1189" w:type="dxa"/>
            <w:tcBorders>
              <w:top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27</w:t>
            </w:r>
          </w:p>
        </w:tc>
        <w:tc>
          <w:tcPr>
            <w:tcW w:w="1218" w:type="dxa"/>
            <w:tcBorders>
              <w:top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28</w:t>
            </w:r>
          </w:p>
        </w:tc>
        <w:tc>
          <w:tcPr>
            <w:tcW w:w="1197" w:type="dxa"/>
            <w:tcBorders>
              <w:top w:val="single" w:sz="12" w:space="0" w:color="auto"/>
            </w:tcBorders>
            <w:shd w:val="clear" w:color="auto" w:fill="auto"/>
          </w:tcPr>
          <w:p w:rsidR="00091A8D" w:rsidRPr="00E72B0E" w:rsidRDefault="00091A8D" w:rsidP="0051196E">
            <w:pPr>
              <w:spacing w:before="80" w:after="80" w:line="200" w:lineRule="exact"/>
              <w:cnfStyle w:val="000000000000"/>
              <w:rPr>
                <w:i/>
                <w:sz w:val="16"/>
              </w:rPr>
            </w:pPr>
            <w:r w:rsidRPr="00E72B0E">
              <w:rPr>
                <w:i/>
                <w:sz w:val="16"/>
              </w:rPr>
              <w:t>29</w:t>
            </w:r>
          </w:p>
        </w:tc>
      </w:tr>
    </w:tbl>
    <w:p w:rsidR="00091A8D" w:rsidRPr="00E72B0E" w:rsidRDefault="00091A8D" w:rsidP="00091A8D">
      <w:pPr>
        <w:pStyle w:val="H23GR"/>
      </w:pPr>
      <w:r>
        <w:tab/>
      </w:r>
      <w:r>
        <w:rPr>
          <w:lang w:val="en-US"/>
        </w:rPr>
        <w:t>b</w:t>
      </w:r>
      <w:r>
        <w:t>)</w:t>
      </w:r>
      <w:r>
        <w:tab/>
      </w:r>
      <w:r w:rsidRPr="00E72B0E">
        <w:t>Прерывание и сокращение трудовой деятельности по семейным обстоятельствам</w:t>
      </w:r>
    </w:p>
    <w:p w:rsidR="00091A8D" w:rsidRPr="00E72B0E" w:rsidRDefault="00091A8D" w:rsidP="00091A8D">
      <w:pPr>
        <w:pStyle w:val="SingleTxtGR"/>
      </w:pPr>
      <w:r w:rsidRPr="00E72B0E">
        <w:t>30.</w:t>
      </w:r>
      <w:r w:rsidRPr="00E72B0E">
        <w:tab/>
        <w:t>В Германии сохраняется ощутимая разница между женщинами и мужч</w:t>
      </w:r>
      <w:r w:rsidRPr="00E72B0E">
        <w:t>и</w:t>
      </w:r>
      <w:r w:rsidRPr="00E72B0E">
        <w:t>нами в отношении перерывов в профессиональной деятельности по причинам, связанным с рождением ребенка. Около 25% молодых отцов сегодня пользую</w:t>
      </w:r>
      <w:r w:rsidRPr="00E72B0E">
        <w:t>т</w:t>
      </w:r>
      <w:r>
        <w:t>ся</w:t>
      </w:r>
      <w:r w:rsidRPr="00E72B0E">
        <w:t xml:space="preserve"> пособи</w:t>
      </w:r>
      <w:r>
        <w:t>ем</w:t>
      </w:r>
      <w:r w:rsidRPr="00E72B0E">
        <w:t xml:space="preserve"> по уходу за детьми и </w:t>
      </w:r>
      <w:r>
        <w:t>семейным</w:t>
      </w:r>
      <w:r w:rsidRPr="00E72B0E">
        <w:t xml:space="preserve"> отпуск</w:t>
      </w:r>
      <w:r>
        <w:t>ом</w:t>
      </w:r>
      <w:r w:rsidRPr="00044B61">
        <w:rPr>
          <w:sz w:val="18"/>
          <w:szCs w:val="18"/>
          <w:vertAlign w:val="superscript"/>
        </w:rPr>
        <w:footnoteReference w:id="14"/>
      </w:r>
      <w:r>
        <w:t xml:space="preserve">. </w:t>
      </w:r>
      <w:r w:rsidRPr="00E72B0E">
        <w:t>В среднем женщины прерывают свою трудовую деятельность по</w:t>
      </w:r>
      <w:r>
        <w:t xml:space="preserve"> семейным обстоятельствам на 56 </w:t>
      </w:r>
      <w:r w:rsidRPr="00E72B0E">
        <w:t xml:space="preserve">месяцев. Продолжительность перерыва в профессиональной деятельности, как правило, увеличивается по мере увеличения количества детей. </w:t>
      </w:r>
      <w:r>
        <w:t>Вместе с т</w:t>
      </w:r>
      <w:r>
        <w:t>е</w:t>
      </w:r>
      <w:r>
        <w:t>м</w:t>
      </w:r>
      <w:r w:rsidRPr="00E72B0E">
        <w:t xml:space="preserve"> 50,6% всех женщин прерывают работу по семейным обстоятельствам на пер</w:t>
      </w:r>
      <w:r w:rsidRPr="00E72B0E">
        <w:t>и</w:t>
      </w:r>
      <w:r w:rsidRPr="00E72B0E">
        <w:t xml:space="preserve">од между одним и тремя годами, а 29,4% </w:t>
      </w:r>
      <w:r>
        <w:t>−</w:t>
      </w:r>
      <w:r w:rsidRPr="00E72B0E">
        <w:t xml:space="preserve"> максимум на один год</w:t>
      </w:r>
      <w:r w:rsidRPr="00044B61">
        <w:rPr>
          <w:sz w:val="18"/>
          <w:szCs w:val="18"/>
          <w:vertAlign w:val="superscript"/>
        </w:rPr>
        <w:footnoteReference w:id="15"/>
      </w:r>
      <w:r>
        <w:t>.</w:t>
      </w:r>
    </w:p>
    <w:p w:rsidR="00091A8D" w:rsidRPr="00E72B0E" w:rsidRDefault="00091A8D" w:rsidP="00091A8D">
      <w:pPr>
        <w:pStyle w:val="SingleTxtGR"/>
      </w:pPr>
      <w:r w:rsidRPr="00E72B0E">
        <w:t>31.</w:t>
      </w:r>
      <w:r w:rsidRPr="00E72B0E">
        <w:tab/>
        <w:t>Последствия перерывов в профессиональной деятельности по семейным причинам для гендерного разрыва в оплате труда очевидны. Продолжител</w:t>
      </w:r>
      <w:r w:rsidRPr="00E72B0E">
        <w:t>ь</w:t>
      </w:r>
      <w:r w:rsidRPr="00E72B0E">
        <w:t>ность перерыва имеет большое значение при определении размера потерь в з</w:t>
      </w:r>
      <w:r w:rsidRPr="00E72B0E">
        <w:t>а</w:t>
      </w:r>
      <w:r w:rsidRPr="00E72B0E">
        <w:t>работке. Чем дольше перерыв, тем больший (предполагаемый) ущерб он пр</w:t>
      </w:r>
      <w:r w:rsidRPr="00E72B0E">
        <w:t>и</w:t>
      </w:r>
      <w:r w:rsidRPr="00E72B0E">
        <w:t>чиняет человеческому капиталу в связи с утратой профессионального опыта и невозможностью участвовать в меропри</w:t>
      </w:r>
      <w:r w:rsidR="002A6C16">
        <w:t>ятиях по повышению квалификации</w:t>
      </w:r>
      <w:r w:rsidR="002A6C16">
        <w:br/>
      </w:r>
      <w:r w:rsidRPr="00E72B0E">
        <w:t>(на предприятии). Результаты исследований пока</w:t>
      </w:r>
      <w:r>
        <w:t>зывают, что в период между 1984 </w:t>
      </w:r>
      <w:r w:rsidRPr="00E72B0E">
        <w:t>и 1994 годом шестимесячное прерывание профессиональной деятельности пр</w:t>
      </w:r>
      <w:r w:rsidRPr="00E72B0E">
        <w:t>и</w:t>
      </w:r>
      <w:r w:rsidRPr="00E72B0E">
        <w:t xml:space="preserve">водило к сокращению заработка на 9% после </w:t>
      </w:r>
      <w:r w:rsidR="004F2D8B">
        <w:t>возвращения на рынок труда.</w:t>
      </w:r>
    </w:p>
    <w:p w:rsidR="00091A8D" w:rsidRPr="00E72B0E" w:rsidRDefault="00091A8D" w:rsidP="00091A8D">
      <w:pPr>
        <w:pStyle w:val="SingleTxtGR"/>
      </w:pPr>
      <w:r w:rsidRPr="00E72B0E">
        <w:t>32.</w:t>
      </w:r>
      <w:r w:rsidRPr="00E72B0E">
        <w:tab/>
        <w:t>Кроме того, женщины, возвращающиеся на рынок труда после перерыва, вызванного семейными обстоятельствами, редко работают на условиях полной занятости. И если около 7</w:t>
      </w:r>
      <w:r>
        <w:t>5</w:t>
      </w:r>
      <w:r w:rsidRPr="00E72B0E">
        <w:t>% женщин, не имеющих детей, работают на по</w:t>
      </w:r>
      <w:r w:rsidRPr="00E72B0E">
        <w:t>л</w:t>
      </w:r>
      <w:r w:rsidRPr="00E72B0E">
        <w:t>ную ставку, то после рождения ребенка на у</w:t>
      </w:r>
      <w:r>
        <w:t>словиях полной занятости работаю</w:t>
      </w:r>
      <w:r w:rsidRPr="00E72B0E">
        <w:t xml:space="preserve">т только 27% женщин в </w:t>
      </w:r>
      <w:r>
        <w:t xml:space="preserve">отличие от </w:t>
      </w:r>
      <w:r w:rsidRPr="00E72B0E">
        <w:t>95% мужчин. Доля женщин, работающих на условиях неполной занятости или время от времени, растет соответствующим образом. Примерно 35% женщин, работающих на должностях, на которых н</w:t>
      </w:r>
      <w:r w:rsidRPr="00E72B0E">
        <w:t>е</w:t>
      </w:r>
      <w:r w:rsidRPr="00E72B0E">
        <w:t>обходимо делать отчисления в систему социального страхования, работают н</w:t>
      </w:r>
      <w:r w:rsidRPr="00E72B0E">
        <w:t>е</w:t>
      </w:r>
      <w:r w:rsidRPr="00E72B0E">
        <w:t>полный рабочий день (по сравнению с 6% мужчин). Двое из трех лиц, раб</w:t>
      </w:r>
      <w:r w:rsidRPr="00E72B0E">
        <w:t>о</w:t>
      </w:r>
      <w:r w:rsidRPr="00E72B0E">
        <w:t>тающих время от времени – женщины. Заметна разница между востоком и з</w:t>
      </w:r>
      <w:r w:rsidRPr="00E72B0E">
        <w:t>а</w:t>
      </w:r>
      <w:r w:rsidRPr="00E72B0E">
        <w:t>падом: до приостановления своей пр</w:t>
      </w:r>
      <w:r w:rsidR="004F2D8B">
        <w:t xml:space="preserve">офессиональной деятельности (и </w:t>
      </w:r>
      <w:r w:rsidRPr="00E72B0E">
        <w:t>посл</w:t>
      </w:r>
      <w:r w:rsidRPr="00E72B0E">
        <w:t>е</w:t>
      </w:r>
      <w:r>
        <w:t>дующего рождения ребенка) в з</w:t>
      </w:r>
      <w:r w:rsidRPr="00E72B0E">
        <w:t>ападной Германии на условиях полной занят</w:t>
      </w:r>
      <w:r w:rsidRPr="00E72B0E">
        <w:t>о</w:t>
      </w:r>
      <w:r w:rsidRPr="00E72B0E">
        <w:t>сти в общей сложности работали 79% женщин, и только 19</w:t>
      </w:r>
      <w:r>
        <w:t>% −</w:t>
      </w:r>
      <w:r w:rsidRPr="00E72B0E">
        <w:t xml:space="preserve"> после перер</w:t>
      </w:r>
      <w:r w:rsidRPr="00E72B0E">
        <w:t>ы</w:t>
      </w:r>
      <w:r w:rsidRPr="00E72B0E">
        <w:t>ва. На востоке страны, с другой стороны, более 60% женщин работают на услов</w:t>
      </w:r>
      <w:r w:rsidRPr="00E72B0E">
        <w:t>и</w:t>
      </w:r>
      <w:r w:rsidRPr="00E72B0E">
        <w:t>ях полной занятости после перерыва в профессиональной деятельности. То</w:t>
      </w:r>
      <w:r>
        <w:t>т факт</w:t>
      </w:r>
      <w:r w:rsidRPr="00E72B0E">
        <w:t xml:space="preserve">, что женщины предпочитают работу на условиях </w:t>
      </w:r>
      <w:r>
        <w:t>частичной</w:t>
      </w:r>
      <w:r w:rsidRPr="00E72B0E">
        <w:t xml:space="preserve"> занятости в возра</w:t>
      </w:r>
      <w:r w:rsidRPr="00E72B0E">
        <w:t>с</w:t>
      </w:r>
      <w:r w:rsidRPr="00E72B0E">
        <w:t>те 35–44 лет, т</w:t>
      </w:r>
      <w:r>
        <w:t>.е.</w:t>
      </w:r>
      <w:r w:rsidRPr="00E72B0E">
        <w:t xml:space="preserve"> как раз в том возрасте, когда, у человека, как правило, появл</w:t>
      </w:r>
      <w:r w:rsidRPr="00E72B0E">
        <w:t>я</w:t>
      </w:r>
      <w:r w:rsidRPr="00E72B0E">
        <w:t xml:space="preserve">ется возможность существенного продвижения по карьерной лестнице, </w:t>
      </w:r>
      <w:r>
        <w:t>в то время как</w:t>
      </w:r>
      <w:r w:rsidRPr="00E72B0E">
        <w:t xml:space="preserve"> мужчины, если и выбирают работу не на полную ставку, то делают это в самом начале карьеры или в период ее окончания, имеет очевидные п</w:t>
      </w:r>
      <w:r w:rsidRPr="00E72B0E">
        <w:t>о</w:t>
      </w:r>
      <w:r w:rsidRPr="00E72B0E">
        <w:t>следствия: женщины находятся в невыгодном положении с точки зрения дох</w:t>
      </w:r>
      <w:r w:rsidRPr="00E72B0E">
        <w:t>о</w:t>
      </w:r>
      <w:r w:rsidRPr="00E72B0E">
        <w:t>дов, что является возможным объяснением большинства аспектов гендерного разрыва в оплате труда. Размер почасовой оплаты труда брутто (в частном се</w:t>
      </w:r>
      <w:r w:rsidRPr="00E72B0E">
        <w:t>к</w:t>
      </w:r>
      <w:r w:rsidRPr="00E72B0E">
        <w:t>торе), ставший предметом обследования Федерального статистического упра</w:t>
      </w:r>
      <w:r w:rsidRPr="00E72B0E">
        <w:t>в</w:t>
      </w:r>
      <w:r w:rsidRPr="00E72B0E">
        <w:t>ления</w:t>
      </w:r>
      <w:r>
        <w:t>,</w:t>
      </w:r>
      <w:r w:rsidRPr="00E72B0E">
        <w:t xml:space="preserve"> подтверждает эту тенденцию в отношении гендерного разрыва в оплате труда. Так, женщины, работающие на условиях полной занятости, зарабатыв</w:t>
      </w:r>
      <w:r w:rsidRPr="00E72B0E">
        <w:t>а</w:t>
      </w:r>
      <w:r w:rsidRPr="00E72B0E">
        <w:t>ют в сред</w:t>
      </w:r>
      <w:r>
        <w:t>нем 15,62 евро, а мужчины −</w:t>
      </w:r>
      <w:r w:rsidRPr="00E72B0E">
        <w:t xml:space="preserve"> 19,66 евро. Женщины, работающие н</w:t>
      </w:r>
      <w:r w:rsidRPr="00E72B0E">
        <w:t>е</w:t>
      </w:r>
      <w:r w:rsidRPr="00E72B0E">
        <w:t>полный рабочий день, получают в</w:t>
      </w:r>
      <w:r>
        <w:t xml:space="preserve"> среднем 13,96 евро, а мужчины −</w:t>
      </w:r>
      <w:r w:rsidR="002A6C16">
        <w:t xml:space="preserve"> 14,51 евро.</w:t>
      </w:r>
    </w:p>
    <w:p w:rsidR="00091A8D" w:rsidRPr="00E72B0E" w:rsidRDefault="00091A8D" w:rsidP="00091A8D">
      <w:pPr>
        <w:pStyle w:val="SingleTxtGR"/>
      </w:pPr>
      <w:r>
        <w:t>33.</w:t>
      </w:r>
      <w:r>
        <w:tab/>
        <w:t>Согласно статистике</w:t>
      </w:r>
      <w:r w:rsidRPr="00E72B0E">
        <w:t xml:space="preserve"> последствия</w:t>
      </w:r>
      <w:r w:rsidR="002A6C16">
        <w:t xml:space="preserve"> описанных различий в перерывах</w:t>
      </w:r>
      <w:r w:rsidR="002A6C16">
        <w:br/>
      </w:r>
      <w:r w:rsidRPr="00E72B0E">
        <w:t>в профессиональной деятельности по семейным обстоятельствам в Германии существенным образом проявляются в неравном росте размера почасовой опл</w:t>
      </w:r>
      <w:r w:rsidRPr="00E72B0E">
        <w:t>а</w:t>
      </w:r>
      <w:r w:rsidRPr="00E72B0E">
        <w:t xml:space="preserve">ты </w:t>
      </w:r>
      <w:r>
        <w:t xml:space="preserve">труда брутто </w:t>
      </w:r>
      <w:r w:rsidRPr="00E72B0E">
        <w:t>среди женщин и мужчин в течение их профессиональной де</w:t>
      </w:r>
      <w:r w:rsidRPr="00E72B0E">
        <w:t>я</w:t>
      </w:r>
      <w:r w:rsidRPr="00E72B0E">
        <w:t>тельности. И если у мужчин есть все шансы рост</w:t>
      </w:r>
      <w:r>
        <w:t>а заработной платы</w:t>
      </w:r>
      <w:r w:rsidRPr="00E72B0E">
        <w:t xml:space="preserve"> с 30 лет и д</w:t>
      </w:r>
      <w:r w:rsidRPr="00E72B0E">
        <w:t>а</w:t>
      </w:r>
      <w:r>
        <w:t>лее (+23</w:t>
      </w:r>
      <w:r w:rsidRPr="00E72B0E">
        <w:t>%), то размер почасовой оплаты труда женщин в возрасте старше 30</w:t>
      </w:r>
      <w:r>
        <w:t> </w:t>
      </w:r>
      <w:r w:rsidRPr="00E72B0E">
        <w:t>лет сохраняется на одном уровне.</w:t>
      </w:r>
    </w:p>
    <w:p w:rsidR="00091A8D" w:rsidRPr="00E72B0E" w:rsidRDefault="00091A8D" w:rsidP="004F2D8B">
      <w:pPr>
        <w:pStyle w:val="SingleTxtGR"/>
        <w:pageBreakBefore/>
        <w:rPr>
          <w:b/>
        </w:rPr>
      </w:pPr>
      <w:r w:rsidRPr="001D77E8">
        <w:t>Диаграмма 3</w:t>
      </w:r>
      <w:r w:rsidRPr="001D77E8">
        <w:br/>
      </w:r>
      <w:r w:rsidRPr="00E72B0E">
        <w:rPr>
          <w:b/>
        </w:rPr>
        <w:t>Рост доходов</w:t>
      </w:r>
    </w:p>
    <w:p w:rsidR="00091A8D" w:rsidRPr="00E72B0E" w:rsidRDefault="00091A8D" w:rsidP="00091A8D">
      <w:pPr>
        <w:pStyle w:val="SingleTxtGR"/>
      </w:pPr>
      <w:r w:rsidRPr="00E72B0E">
        <w:pict>
          <v:group id="_x0000_s1174" editas="canvas" style="width:414pt;height:201.2pt;mso-position-horizontal-relative:char;mso-position-vertical-relative:line" coordsize="8280,4024">
            <o:lock v:ext="edit" aspectratio="t"/>
            <v:shape id="_x0000_s1175" type="#_x0000_t75" style="position:absolute;width:8280;height:4024" o:preferrelative="f">
              <v:fill o:detectmouseclick="t"/>
              <v:path o:extrusionok="t" o:connecttype="none"/>
              <o:lock v:ext="edit" text="t"/>
            </v:shape>
            <v:shape id="_x0000_s1176" type="#_x0000_t75" style="position:absolute;width:8294;height:4038" stroked="t">
              <v:imagedata r:id="rId9" o:title=""/>
            </v:shape>
            <w10:anchorlock/>
          </v:group>
        </w:pict>
      </w:r>
    </w:p>
    <w:p w:rsidR="00091A8D" w:rsidRPr="00E72B0E" w:rsidRDefault="00091A8D" w:rsidP="00091A8D">
      <w:pPr>
        <w:pStyle w:val="H23GR"/>
      </w:pPr>
      <w:r>
        <w:tab/>
      </w:r>
      <w:r w:rsidRPr="00E72B0E">
        <w:t>с)</w:t>
      </w:r>
      <w:r w:rsidRPr="00E72B0E">
        <w:tab/>
        <w:t>Установление размера оплаты труда и ее структуры</w:t>
      </w:r>
    </w:p>
    <w:p w:rsidR="00091A8D" w:rsidRPr="00E72B0E" w:rsidRDefault="00091A8D" w:rsidP="00091A8D">
      <w:pPr>
        <w:pStyle w:val="SingleTxtGR"/>
      </w:pPr>
      <w:r w:rsidRPr="00E72B0E">
        <w:t>34.</w:t>
      </w:r>
      <w:r w:rsidRPr="00E72B0E">
        <w:tab/>
        <w:t>Научные исследования, практический опыт и судебные решения являю</w:t>
      </w:r>
      <w:r w:rsidRPr="00E72B0E">
        <w:t>т</w:t>
      </w:r>
      <w:r w:rsidRPr="00E72B0E">
        <w:t>ся доказательством того факта, что мето</w:t>
      </w:r>
      <w:r w:rsidR="002A6C16">
        <w:t>ды определения заработной платы</w:t>
      </w:r>
      <w:r w:rsidR="002A6C16">
        <w:br/>
      </w:r>
      <w:r w:rsidRPr="00E72B0E">
        <w:t xml:space="preserve">и способ их применения могут приводить к </w:t>
      </w:r>
      <w:r>
        <w:t xml:space="preserve">заниженной оценке женского труда. </w:t>
      </w:r>
      <w:r w:rsidRPr="00E72B0E">
        <w:t>Такая недооценка часто является результатом предрассудков и гендерных ст</w:t>
      </w:r>
      <w:r w:rsidRPr="00E72B0E">
        <w:t>е</w:t>
      </w:r>
      <w:r w:rsidRPr="00E72B0E">
        <w:t xml:space="preserve">реотипов относительно более низкой </w:t>
      </w:r>
      <w:r>
        <w:t>значимости</w:t>
      </w:r>
      <w:r w:rsidRPr="00E72B0E">
        <w:t xml:space="preserve"> "женских профессий" и н</w:t>
      </w:r>
      <w:r>
        <w:t>е о</w:t>
      </w:r>
      <w:r w:rsidRPr="00E72B0E">
        <w:t>бязательно относится к дискриминации в юридическом смысле. Н</w:t>
      </w:r>
      <w:r w:rsidRPr="00E72B0E">
        <w:t>е</w:t>
      </w:r>
      <w:r w:rsidRPr="00E72B0E">
        <w:t>равная оценка равно</w:t>
      </w:r>
      <w:r>
        <w:t>ценного</w:t>
      </w:r>
      <w:r w:rsidRPr="00E72B0E">
        <w:t xml:space="preserve"> труда может иметь место на разных уровнях, </w:t>
      </w:r>
      <w:r>
        <w:t>главным о</w:t>
      </w:r>
      <w:r>
        <w:t>б</w:t>
      </w:r>
      <w:r>
        <w:t xml:space="preserve">разом она является результатом </w:t>
      </w:r>
      <w:r w:rsidRPr="00E72B0E">
        <w:t xml:space="preserve">отражения социальных концепций ценности в таких структурах, как коллективный </w:t>
      </w:r>
      <w:r>
        <w:t>трудовой дог</w:t>
      </w:r>
      <w:r w:rsidRPr="00E72B0E">
        <w:t>овор, а также в индивидуал</w:t>
      </w:r>
      <w:r w:rsidRPr="00E72B0E">
        <w:t>ь</w:t>
      </w:r>
      <w:r w:rsidRPr="00E72B0E">
        <w:t>ных переговорах по вопросу заработной платы. В этом контексте важную роль играют такие аспекты, как позиция женщин и представляющих их про</w:t>
      </w:r>
      <w:r w:rsidRPr="00E72B0E">
        <w:t>ф</w:t>
      </w:r>
      <w:r w:rsidRPr="00E72B0E">
        <w:t>союзов на переговорах, методы оценки работы и переговоры по установлени</w:t>
      </w:r>
      <w:r>
        <w:t>ю</w:t>
      </w:r>
      <w:r w:rsidRPr="00E72B0E">
        <w:t xml:space="preserve"> зарабо</w:t>
      </w:r>
      <w:r w:rsidRPr="00E72B0E">
        <w:t>т</w:t>
      </w:r>
      <w:r w:rsidRPr="00E72B0E">
        <w:t xml:space="preserve">ной платы, включая такие элементы, как бонусы и </w:t>
      </w:r>
      <w:r>
        <w:t>специальные</w:t>
      </w:r>
      <w:r w:rsidRPr="00E72B0E">
        <w:t xml:space="preserve"> выпл</w:t>
      </w:r>
      <w:r w:rsidRPr="00E72B0E">
        <w:t>а</w:t>
      </w:r>
      <w:r w:rsidRPr="00E72B0E">
        <w:t>ты.</w:t>
      </w:r>
    </w:p>
    <w:p w:rsidR="004F2D8B" w:rsidRPr="0023537E" w:rsidRDefault="004F2D8B" w:rsidP="004F2D8B">
      <w:pPr>
        <w:pStyle w:val="SingleTxtGR"/>
      </w:pPr>
      <w:r w:rsidRPr="0023537E">
        <w:t>35.</w:t>
      </w:r>
      <w:r w:rsidRPr="0023537E">
        <w:tab/>
        <w:t>При оценке работы, как правило, используются определенные критерии, включающие профессиональные навыки и способности, а также ответстве</w:t>
      </w:r>
      <w:r w:rsidRPr="0023537E">
        <w:t>н</w:t>
      </w:r>
      <w:r w:rsidRPr="0023537E">
        <w:t xml:space="preserve">ность и физическое напряжение. </w:t>
      </w:r>
      <w:r>
        <w:t xml:space="preserve">Как правило, </w:t>
      </w:r>
      <w:r w:rsidR="002A6C16">
        <w:t>оценивается должность.</w:t>
      </w:r>
      <w:r w:rsidR="002A6C16">
        <w:br/>
      </w:r>
      <w:r w:rsidRPr="0023537E">
        <w:t>Без оценки работы невозможно оценить и сравнить различные пр</w:t>
      </w:r>
      <w:r w:rsidRPr="0023537E">
        <w:t>о</w:t>
      </w:r>
      <w:r w:rsidRPr="0023537E">
        <w:t>фессии.</w:t>
      </w:r>
    </w:p>
    <w:p w:rsidR="004F2D8B" w:rsidRPr="0023537E" w:rsidRDefault="004F2D8B" w:rsidP="004F2D8B">
      <w:pPr>
        <w:pStyle w:val="SingleTxtGR"/>
      </w:pPr>
      <w:r w:rsidRPr="0023537E">
        <w:t>36.</w:t>
      </w:r>
      <w:r w:rsidRPr="0023537E">
        <w:tab/>
      </w:r>
      <w:r>
        <w:t>Обобщенные</w:t>
      </w:r>
      <w:r w:rsidRPr="0023537E">
        <w:t xml:space="preserve"> методы оценки работы считаются в наибольшей степени способствующими косвенной дискриминации. Значение индивидуальных оц</w:t>
      </w:r>
      <w:r w:rsidRPr="0023537E">
        <w:t>е</w:t>
      </w:r>
      <w:r w:rsidRPr="0023537E">
        <w:t xml:space="preserve">ночных критериев при проведении </w:t>
      </w:r>
      <w:r>
        <w:t xml:space="preserve">обобщенной </w:t>
      </w:r>
      <w:r w:rsidRPr="0023537E">
        <w:t>оценки утрачивается, поскол</w:t>
      </w:r>
      <w:r w:rsidRPr="0023537E">
        <w:t>ь</w:t>
      </w:r>
      <w:r w:rsidRPr="0023537E">
        <w:t xml:space="preserve">ку они оцениваются в совокупности и получают </w:t>
      </w:r>
      <w:r>
        <w:t>"полную"</w:t>
      </w:r>
      <w:r w:rsidRPr="0023537E">
        <w:t xml:space="preserve"> оценку. В о</w:t>
      </w:r>
      <w:r w:rsidRPr="0023537E">
        <w:t>т</w:t>
      </w:r>
      <w:r w:rsidRPr="0023537E">
        <w:t>личие от этого, при использовании аналитических методов оценки работы индивидуал</w:t>
      </w:r>
      <w:r w:rsidRPr="0023537E">
        <w:t>ь</w:t>
      </w:r>
      <w:r w:rsidRPr="0023537E">
        <w:t>ные критерии анализируются и оцениваются по отдельности, поэтому очеви</w:t>
      </w:r>
      <w:r w:rsidRPr="0023537E">
        <w:t>д</w:t>
      </w:r>
      <w:r w:rsidRPr="0023537E">
        <w:t>ным становится большое значение таких критериев, как, например, необход</w:t>
      </w:r>
      <w:r w:rsidRPr="0023537E">
        <w:t>и</w:t>
      </w:r>
      <w:r w:rsidRPr="0023537E">
        <w:t>м</w:t>
      </w:r>
      <w:r>
        <w:t>ая</w:t>
      </w:r>
      <w:r w:rsidRPr="0023537E">
        <w:t xml:space="preserve"> квалификаци</w:t>
      </w:r>
      <w:r>
        <w:t>я</w:t>
      </w:r>
      <w:r w:rsidRPr="0023537E">
        <w:t xml:space="preserve"> или ответственность. Практически во всех секторах, вкл</w:t>
      </w:r>
      <w:r w:rsidRPr="0023537E">
        <w:t>ю</w:t>
      </w:r>
      <w:r w:rsidRPr="0023537E">
        <w:t>чая государственную администрацию, нельзя исключать наличие скрытых ра</w:t>
      </w:r>
      <w:r w:rsidRPr="0023537E">
        <w:t>з</w:t>
      </w:r>
      <w:r w:rsidRPr="0023537E">
        <w:t>личий в оценке. Так, профессии, в которых преобладают женщины, например уход за детьми, престарелыми или работа в библиотеке, часто отн</w:t>
      </w:r>
      <w:r w:rsidRPr="0023537E">
        <w:t>о</w:t>
      </w:r>
      <w:r w:rsidRPr="0023537E">
        <w:t xml:space="preserve">сятся к более низкой категории, чем </w:t>
      </w:r>
      <w:r>
        <w:t xml:space="preserve">профессии </w:t>
      </w:r>
      <w:r w:rsidRPr="0023537E">
        <w:t xml:space="preserve">в технической </w:t>
      </w:r>
      <w:r>
        <w:t>области</w:t>
      </w:r>
      <w:r w:rsidRPr="0023537E">
        <w:t>.</w:t>
      </w:r>
    </w:p>
    <w:p w:rsidR="004F2D8B" w:rsidRPr="0023537E" w:rsidRDefault="004F2D8B" w:rsidP="004F2D8B">
      <w:pPr>
        <w:pStyle w:val="SingleTxtGR"/>
      </w:pPr>
      <w:r>
        <w:t>37.</w:t>
      </w:r>
      <w:r>
        <w:tab/>
        <w:t>Более широкие исследования Ф</w:t>
      </w:r>
      <w:r w:rsidRPr="0023537E">
        <w:t xml:space="preserve">едерального статистического управления свидетельствуют о том, что </w:t>
      </w:r>
      <w:r>
        <w:t xml:space="preserve">имеющие обязательную юридическую силу </w:t>
      </w:r>
      <w:r w:rsidRPr="0023537E">
        <w:t>колле</w:t>
      </w:r>
      <w:r w:rsidRPr="0023537E">
        <w:t>к</w:t>
      </w:r>
      <w:r w:rsidRPr="0023537E">
        <w:t xml:space="preserve">тивные договоры и/или наличие совета трудящихся позитивно сказываются на сокращении разрыва в оплате труда в отдельной компании. При наличии </w:t>
      </w:r>
      <w:r>
        <w:t xml:space="preserve">имеющего обязательную </w:t>
      </w:r>
      <w:r w:rsidRPr="0023537E">
        <w:t>юридическ</w:t>
      </w:r>
      <w:r>
        <w:t>ую</w:t>
      </w:r>
      <w:r w:rsidRPr="0023537E">
        <w:t xml:space="preserve"> си</w:t>
      </w:r>
      <w:r>
        <w:t>лу</w:t>
      </w:r>
      <w:r w:rsidRPr="0023537E">
        <w:t xml:space="preserve"> коллективного договора разрыв в оплате труда составля</w:t>
      </w:r>
      <w:r>
        <w:t>ет 15,9</w:t>
      </w:r>
      <w:r w:rsidRPr="0023537E">
        <w:t xml:space="preserve">%, тогда как в среднем разрыв в оплате труда на предприятиях, не имеющих </w:t>
      </w:r>
      <w:r>
        <w:t xml:space="preserve">такого </w:t>
      </w:r>
      <w:r w:rsidRPr="0023537E">
        <w:t>коллективного договора, составляет 29,6%.</w:t>
      </w:r>
    </w:p>
    <w:p w:rsidR="004F2D8B" w:rsidRPr="0023537E" w:rsidRDefault="004F2D8B" w:rsidP="004F2D8B">
      <w:pPr>
        <w:pStyle w:val="SingleTxtGR"/>
      </w:pPr>
      <w:r w:rsidRPr="0023537E">
        <w:t>38.</w:t>
      </w:r>
      <w:r w:rsidRPr="0023537E">
        <w:tab/>
      </w:r>
      <w:r>
        <w:t>Заниженная оценка −</w:t>
      </w:r>
      <w:r w:rsidRPr="0023537E">
        <w:t xml:space="preserve"> это не только результат </w:t>
      </w:r>
      <w:r>
        <w:t xml:space="preserve">внутренних </w:t>
      </w:r>
      <w:r w:rsidRPr="0023537E">
        <w:t>правил комп</w:t>
      </w:r>
      <w:r w:rsidRPr="0023537E">
        <w:t>а</w:t>
      </w:r>
      <w:r w:rsidRPr="0023537E">
        <w:t>нии или условий коллективного договора. Различные переговорные навыки и стратегии, используемые женщинами и мужчинами, также влияют на размер получаемой ими зара</w:t>
      </w:r>
      <w:r>
        <w:t>ботной платы и, соответственно,</w:t>
      </w:r>
      <w:r w:rsidRPr="0023537E">
        <w:t xml:space="preserve"> сказываются на уровне разрыва в оплате труда между сотрудниками, не охваченными коллективным договором. Р</w:t>
      </w:r>
      <w:r w:rsidRPr="0023537E">
        <w:t>е</w:t>
      </w:r>
      <w:r w:rsidRPr="0023537E">
        <w:t>зультаты исследований показывают, что размер заработной платы почти одной трети всех опрошенных женщин в течение предыдущего пятиле</w:t>
      </w:r>
      <w:r w:rsidRPr="0023537E">
        <w:t>т</w:t>
      </w:r>
      <w:r w:rsidRPr="0023537E">
        <w:t xml:space="preserve">него периода не увеличился; то же самое можно сказать лишь о пятой части мужчин. В </w:t>
      </w:r>
      <w:r>
        <w:t>резюме</w:t>
      </w:r>
      <w:r w:rsidRPr="0023537E">
        <w:t xml:space="preserve"> исследования поясняют, что переговоры могут оказывать д</w:t>
      </w:r>
      <w:r w:rsidRPr="0023537E">
        <w:t>о</w:t>
      </w:r>
      <w:r w:rsidRPr="0023537E">
        <w:t xml:space="preserve">вольно сильное влияние на </w:t>
      </w:r>
      <w:r>
        <w:t>весьма различное</w:t>
      </w:r>
      <w:r w:rsidRPr="0023537E">
        <w:t xml:space="preserve"> развитие карьеры женщин и му</w:t>
      </w:r>
      <w:r w:rsidRPr="0023537E">
        <w:t>ж</w:t>
      </w:r>
      <w:r w:rsidRPr="0023537E">
        <w:t xml:space="preserve">чин на руководящих должностях. </w:t>
      </w:r>
    </w:p>
    <w:p w:rsidR="004F2D8B" w:rsidRPr="0023537E" w:rsidRDefault="004F2D8B" w:rsidP="004F2D8B">
      <w:pPr>
        <w:pStyle w:val="SingleTxtGR"/>
      </w:pPr>
      <w:r w:rsidRPr="0023537E">
        <w:t>39.</w:t>
      </w:r>
      <w:r w:rsidRPr="0023537E">
        <w:tab/>
        <w:t xml:space="preserve">Сенсорные обследования, проведенные </w:t>
      </w:r>
      <w:r w:rsidRPr="0023537E">
        <w:rPr>
          <w:lang w:val="fr-CH"/>
        </w:rPr>
        <w:t>Sinus</w:t>
      </w:r>
      <w:r w:rsidRPr="0023537E">
        <w:t xml:space="preserve"> </w:t>
      </w:r>
      <w:r w:rsidRPr="0023537E">
        <w:rPr>
          <w:lang w:val="fr-CH"/>
        </w:rPr>
        <w:t>Sociovision</w:t>
      </w:r>
      <w:r w:rsidRPr="0023537E">
        <w:t xml:space="preserve"> в рамках оказ</w:t>
      </w:r>
      <w:r w:rsidRPr="0023537E">
        <w:t>а</w:t>
      </w:r>
      <w:r w:rsidRPr="0023537E">
        <w:t>ния консультативной по</w:t>
      </w:r>
      <w:r>
        <w:t>мощи Ф</w:t>
      </w:r>
      <w:r w:rsidRPr="0023537E">
        <w:t>едеральному министерству по делам семьи</w:t>
      </w:r>
      <w:r>
        <w:t xml:space="preserve">, </w:t>
      </w:r>
      <w:r w:rsidRPr="0023537E">
        <w:t>престарелых, женщин и молодежи, демонстрируют те же результаты: в проце</w:t>
      </w:r>
      <w:r w:rsidRPr="0023537E">
        <w:t>с</w:t>
      </w:r>
      <w:r w:rsidRPr="0023537E">
        <w:t>се переговоров по вопросу об оплате труда женщины, имеющие семьи, не пр</w:t>
      </w:r>
      <w:r w:rsidRPr="0023537E">
        <w:t>о</w:t>
      </w:r>
      <w:r w:rsidRPr="0023537E">
        <w:t xml:space="preserve">являют такого же упорства, как их собственные мужья (от которых они в свою очередь как раз этого </w:t>
      </w:r>
      <w:r>
        <w:t xml:space="preserve">и </w:t>
      </w:r>
      <w:r w:rsidRPr="0023537E">
        <w:t xml:space="preserve">ждут) или </w:t>
      </w:r>
      <w:r>
        <w:t xml:space="preserve">как </w:t>
      </w:r>
      <w:r w:rsidRPr="0023537E">
        <w:t xml:space="preserve">другие мужчины на </w:t>
      </w:r>
      <w:r>
        <w:t xml:space="preserve">том же </w:t>
      </w:r>
      <w:r w:rsidRPr="0023537E">
        <w:t xml:space="preserve">предприятии и несемейные женщины. Женщины ассоциируют высокую зарплату с </w:t>
      </w:r>
      <w:r>
        <w:t>"</w:t>
      </w:r>
      <w:r w:rsidRPr="0023537E">
        <w:t>безу</w:t>
      </w:r>
      <w:r w:rsidRPr="0023537E">
        <w:t>с</w:t>
      </w:r>
      <w:r w:rsidRPr="0023537E">
        <w:t>ловной</w:t>
      </w:r>
      <w:r>
        <w:t>"</w:t>
      </w:r>
      <w:r w:rsidRPr="0023537E">
        <w:t xml:space="preserve"> эмоцио</w:t>
      </w:r>
      <w:r>
        <w:t xml:space="preserve">нальной и физической </w:t>
      </w:r>
      <w:r w:rsidRPr="0023537E">
        <w:t xml:space="preserve">приверженностью компании. </w:t>
      </w:r>
      <w:r>
        <w:t xml:space="preserve">Однако </w:t>
      </w:r>
      <w:r w:rsidRPr="0023537E">
        <w:t>т</w:t>
      </w:r>
      <w:r w:rsidRPr="0023537E">
        <w:t>а</w:t>
      </w:r>
      <w:r w:rsidRPr="0023537E">
        <w:t>кая приверженность будет означать риск утраты достигнутого ими равнов</w:t>
      </w:r>
      <w:r w:rsidRPr="0023537E">
        <w:t>е</w:t>
      </w:r>
      <w:r w:rsidRPr="0023537E">
        <w:t>сия в личной и семейной жизни.</w:t>
      </w:r>
    </w:p>
    <w:p w:rsidR="004F2D8B" w:rsidRPr="0023537E" w:rsidRDefault="004F2D8B" w:rsidP="004F2D8B">
      <w:pPr>
        <w:pStyle w:val="H23GR"/>
      </w:pPr>
      <w:r w:rsidRPr="000F0390">
        <w:tab/>
      </w:r>
      <w:r w:rsidRPr="0023537E">
        <w:t>2.</w:t>
      </w:r>
      <w:r w:rsidRPr="0023537E">
        <w:tab/>
        <w:t>Стратегическое сотрудничество с соответствующим</w:t>
      </w:r>
      <w:r>
        <w:t>и</w:t>
      </w:r>
      <w:r w:rsidRPr="0023537E">
        <w:t xml:space="preserve"> партнерами</w:t>
      </w:r>
    </w:p>
    <w:p w:rsidR="004F2D8B" w:rsidRPr="0023537E" w:rsidRDefault="004F2D8B" w:rsidP="004F2D8B">
      <w:pPr>
        <w:pStyle w:val="SingleTxtGR"/>
      </w:pPr>
      <w:r>
        <w:t>40.</w:t>
      </w:r>
      <w:r>
        <w:tab/>
        <w:t>Для того</w:t>
      </w:r>
      <w:r w:rsidRPr="0023537E">
        <w:t xml:space="preserve"> чтобы сократить различия в доходах и тем самым дополнител</w:t>
      </w:r>
      <w:r w:rsidRPr="0023537E">
        <w:t>ь</w:t>
      </w:r>
      <w:r w:rsidRPr="0023537E">
        <w:t>но укрепить усилия по обеспечению устойчивого развития Германии, фед</w:t>
      </w:r>
      <w:r w:rsidRPr="0023537E">
        <w:t>е</w:t>
      </w:r>
      <w:r w:rsidRPr="0023537E">
        <w:t>ральное правительство намерено более интенсивно работать с соответству</w:t>
      </w:r>
      <w:r w:rsidRPr="0023537E">
        <w:t>ю</w:t>
      </w:r>
      <w:r w:rsidRPr="0023537E">
        <w:t>щими сторонами. Задачи стратегии устойчивого развития в отношении нера</w:t>
      </w:r>
      <w:r w:rsidRPr="0023537E">
        <w:t>в</w:t>
      </w:r>
      <w:r w:rsidRPr="0023537E">
        <w:t>ной оплаты труда часто могут выполняться в сотрудничестве с гражданским обществом (социальными партнерами, женскими ассоциациями и торгов</w:t>
      </w:r>
      <w:r>
        <w:t>о-</w:t>
      </w:r>
      <w:r w:rsidRPr="0023537E">
        <w:t>промышлен</w:t>
      </w:r>
      <w:r>
        <w:t>ными</w:t>
      </w:r>
      <w:r w:rsidRPr="000F0390">
        <w:t xml:space="preserve"> </w:t>
      </w:r>
      <w:r w:rsidRPr="0023537E">
        <w:t xml:space="preserve">ассоциациями) и на всех других </w:t>
      </w:r>
      <w:r>
        <w:t>уровнях управления </w:t>
      </w:r>
      <w:r w:rsidRPr="0023537E">
        <w:t>− на</w:t>
      </w:r>
      <w:r>
        <w:t> </w:t>
      </w:r>
      <w:r w:rsidRPr="0023537E">
        <w:t>уровне земель и муниципалитетов. Поэтому цель федерального правительс</w:t>
      </w:r>
      <w:r w:rsidRPr="0023537E">
        <w:t>т</w:t>
      </w:r>
      <w:r w:rsidRPr="0023537E">
        <w:t xml:space="preserve">ва заключается в объединении различных заинтересованных партнеров, чтобы они могли принимать активное участие в </w:t>
      </w:r>
      <w:r>
        <w:t>проведении изменений</w:t>
      </w:r>
      <w:r w:rsidRPr="0023537E">
        <w:t>, когда у них есть т</w:t>
      </w:r>
      <w:r w:rsidRPr="0023537E">
        <w:t>а</w:t>
      </w:r>
      <w:r w:rsidRPr="0023537E">
        <w:t>кая возможность.</w:t>
      </w:r>
    </w:p>
    <w:p w:rsidR="004F2D8B" w:rsidRPr="0023537E" w:rsidRDefault="004F2D8B" w:rsidP="004F2D8B">
      <w:pPr>
        <w:pStyle w:val="H23GR"/>
      </w:pPr>
      <w:r w:rsidRPr="005C62EF">
        <w:tab/>
      </w:r>
      <w:r w:rsidRPr="0023537E">
        <w:t>а)</w:t>
      </w:r>
      <w:r w:rsidRPr="0023537E">
        <w:tab/>
        <w:t>Бизнес ассоциации/ассоциации работодателей</w:t>
      </w:r>
    </w:p>
    <w:p w:rsidR="004F2D8B" w:rsidRPr="0023537E" w:rsidRDefault="004F2D8B" w:rsidP="004F2D8B">
      <w:pPr>
        <w:pStyle w:val="SingleTxtGR"/>
      </w:pPr>
      <w:r w:rsidRPr="0023537E">
        <w:t>41.</w:t>
      </w:r>
      <w:r w:rsidRPr="0023537E">
        <w:tab/>
        <w:t>В 2001 году между федеральным правительством и ведущими бизнес</w:t>
      </w:r>
      <w:r>
        <w:t>-</w:t>
      </w:r>
      <w:r w:rsidRPr="0023537E">
        <w:t xml:space="preserve">ассоциациями </w:t>
      </w:r>
      <w:r>
        <w:t xml:space="preserve">и </w:t>
      </w:r>
      <w:r w:rsidRPr="0023537E">
        <w:t xml:space="preserve">промышленными объединениями </w:t>
      </w:r>
      <w:r>
        <w:t xml:space="preserve">Германии </w:t>
      </w:r>
      <w:r w:rsidRPr="0023537E">
        <w:t>было заключено соглашение о поощрении равенства возможностей женщин и мужчин в частном секторе. В соглашении затронуты четыре области действий: оно призывает компании путем принятия надлежащих мер совершенствовать возможности профессионального обучения, возможности карьерного роста и нахожд</w:t>
      </w:r>
      <w:r>
        <w:t>ения</w:t>
      </w:r>
      <w:r w:rsidRPr="0023537E">
        <w:t xml:space="preserve"> б</w:t>
      </w:r>
      <w:r w:rsidRPr="0023537E">
        <w:t>а</w:t>
      </w:r>
      <w:r w:rsidRPr="0023537E">
        <w:t>ланса между семейной и профессиональной жизнью для женщин и дев</w:t>
      </w:r>
      <w:r>
        <w:t>ушек</w:t>
      </w:r>
      <w:r w:rsidRPr="0023537E">
        <w:t>, увеличить долю женщин на руководящих должностях и в профессиях, ориент</w:t>
      </w:r>
      <w:r w:rsidRPr="0023537E">
        <w:t>и</w:t>
      </w:r>
      <w:r w:rsidRPr="0023537E">
        <w:t>рованных на будущее</w:t>
      </w:r>
      <w:r>
        <w:t>,</w:t>
      </w:r>
      <w:r w:rsidRPr="0023537E">
        <w:t xml:space="preserve"> и содействовать сокращению различий в доходах между мужчинами и женщинами. В соответствии с этим соглашением пред</w:t>
      </w:r>
      <w:r w:rsidRPr="0023537E">
        <w:t>у</w:t>
      </w:r>
      <w:r w:rsidRPr="0023537E">
        <w:t xml:space="preserve">смотрено проведение регулярных оценок реализации этих мер, достигнутого прогресса и запланированных на будущее инициатив. </w:t>
      </w:r>
      <w:r>
        <w:t>Из п</w:t>
      </w:r>
      <w:r w:rsidRPr="0023537E">
        <w:t>редставленн</w:t>
      </w:r>
      <w:r>
        <w:t>ой</w:t>
      </w:r>
      <w:r w:rsidRPr="0023537E">
        <w:t xml:space="preserve"> в 2008 году "Тр</w:t>
      </w:r>
      <w:r w:rsidRPr="0023537E">
        <w:t>е</w:t>
      </w:r>
      <w:r w:rsidRPr="0023537E">
        <w:t>ть</w:t>
      </w:r>
      <w:r>
        <w:t>ей</w:t>
      </w:r>
      <w:r w:rsidRPr="0023537E">
        <w:t xml:space="preserve"> оценк</w:t>
      </w:r>
      <w:r>
        <w:t>и</w:t>
      </w:r>
      <w:r w:rsidRPr="0023537E">
        <w:t xml:space="preserve"> равенства возможностей" </w:t>
      </w:r>
      <w:r>
        <w:t>следует</w:t>
      </w:r>
      <w:r w:rsidRPr="0023537E">
        <w:t>, что в различных областях, охв</w:t>
      </w:r>
      <w:r w:rsidRPr="0023537E">
        <w:t>а</w:t>
      </w:r>
      <w:r w:rsidRPr="0023537E">
        <w:t xml:space="preserve">тываемых соглашением, был достигнут </w:t>
      </w:r>
      <w:r>
        <w:t>не</w:t>
      </w:r>
      <w:r w:rsidRPr="0023537E">
        <w:t>одинаковый прогресс. В двух после</w:t>
      </w:r>
      <w:r w:rsidRPr="0023537E">
        <w:t>д</w:t>
      </w:r>
      <w:r w:rsidRPr="0023537E">
        <w:t xml:space="preserve">них областях действий − женщины на руководящих должностях и различия в доходах − наблюдается </w:t>
      </w:r>
      <w:r>
        <w:t>застой</w:t>
      </w:r>
      <w:r w:rsidRPr="0023537E">
        <w:t xml:space="preserve">. Отмечаются позитивные изменения в области образования в целом, а также в </w:t>
      </w:r>
      <w:r>
        <w:t>области</w:t>
      </w:r>
      <w:r w:rsidRPr="0023537E">
        <w:t xml:space="preserve"> профессионально-технического обуч</w:t>
      </w:r>
      <w:r w:rsidRPr="0023537E">
        <w:t>е</w:t>
      </w:r>
      <w:r w:rsidRPr="0023537E">
        <w:t xml:space="preserve">ния. Что касается </w:t>
      </w:r>
      <w:r>
        <w:t xml:space="preserve">сбалансированного сочетания </w:t>
      </w:r>
      <w:r w:rsidRPr="0023537E">
        <w:t xml:space="preserve">семейной и профессиональной жизни, то в последние годы был достигнут </w:t>
      </w:r>
      <w:r>
        <w:t xml:space="preserve">огромный успех </w:t>
      </w:r>
      <w:r w:rsidRPr="0023537E">
        <w:t>в гос</w:t>
      </w:r>
      <w:r w:rsidRPr="0023537E">
        <w:t>у</w:t>
      </w:r>
      <w:r w:rsidRPr="0023537E">
        <w:t>дарственной политик</w:t>
      </w:r>
      <w:r>
        <w:t>е</w:t>
      </w:r>
      <w:r w:rsidRPr="0023537E">
        <w:t xml:space="preserve"> и сотрудничеств</w:t>
      </w:r>
      <w:r>
        <w:t>е</w:t>
      </w:r>
      <w:r w:rsidRPr="0023537E">
        <w:t xml:space="preserve"> с бизнес</w:t>
      </w:r>
      <w:r>
        <w:t>-</w:t>
      </w:r>
      <w:r w:rsidRPr="0023537E">
        <w:t>сект</w:t>
      </w:r>
      <w:r w:rsidRPr="0023537E">
        <w:t>о</w:t>
      </w:r>
      <w:r w:rsidRPr="0023537E">
        <w:t>ром.</w:t>
      </w:r>
    </w:p>
    <w:p w:rsidR="004F2D8B" w:rsidRPr="0023537E" w:rsidRDefault="004F2D8B" w:rsidP="004F2D8B">
      <w:pPr>
        <w:pStyle w:val="SingleTxtGR"/>
      </w:pPr>
      <w:r w:rsidRPr="0023537E">
        <w:t>42.</w:t>
      </w:r>
      <w:r w:rsidRPr="0023537E">
        <w:tab/>
        <w:t>В имеющемся в открытом доступе документе</w:t>
      </w:r>
      <w:r>
        <w:t xml:space="preserve"> </w:t>
      </w:r>
      <w:r w:rsidRPr="0023537E">
        <w:t>"Четверт</w:t>
      </w:r>
      <w:r>
        <w:t>ая</w:t>
      </w:r>
      <w:r w:rsidRPr="0023537E">
        <w:t xml:space="preserve"> оценк</w:t>
      </w:r>
      <w:r>
        <w:t>а</w:t>
      </w:r>
      <w:r w:rsidRPr="0023537E">
        <w:t xml:space="preserve"> равенс</w:t>
      </w:r>
      <w:r w:rsidRPr="0023537E">
        <w:t>т</w:t>
      </w:r>
      <w:r w:rsidRPr="0023537E">
        <w:t xml:space="preserve">ва возможностей" отмечен очевидный прогресс в </w:t>
      </w:r>
      <w:r>
        <w:t>обеспечении</w:t>
      </w:r>
      <w:r w:rsidRPr="0023537E">
        <w:t xml:space="preserve"> или улучшени</w:t>
      </w:r>
      <w:r>
        <w:t>и</w:t>
      </w:r>
      <w:r w:rsidRPr="0023537E">
        <w:t xml:space="preserve"> равенства возможностей женщин и мужчин в профессиональной сфере в таких важных областях, как образование и подготовка, участие в рынке труда, </w:t>
      </w:r>
      <w:r>
        <w:t>обесп</w:t>
      </w:r>
      <w:r>
        <w:t>е</w:t>
      </w:r>
      <w:r>
        <w:t>чение</w:t>
      </w:r>
      <w:r w:rsidRPr="0023537E">
        <w:t xml:space="preserve"> баланса между семьей и работой, а также в </w:t>
      </w:r>
      <w:r>
        <w:t xml:space="preserve">создании </w:t>
      </w:r>
      <w:r w:rsidRPr="0023537E">
        <w:t>предприятий. Кр</w:t>
      </w:r>
      <w:r w:rsidRPr="0023537E">
        <w:t>о</w:t>
      </w:r>
      <w:r w:rsidRPr="0023537E">
        <w:t>ме того, отмечается хот</w:t>
      </w:r>
      <w:r>
        <w:t>я и небыстрый</w:t>
      </w:r>
      <w:r w:rsidRPr="0023537E">
        <w:t>, но вполне уверенный прогресс, достигн</w:t>
      </w:r>
      <w:r w:rsidRPr="0023537E">
        <w:t>у</w:t>
      </w:r>
      <w:r w:rsidRPr="0023537E">
        <w:t xml:space="preserve">тый женщинами на руководящих должностях в частном секторе. Вместе с тем </w:t>
      </w:r>
      <w:r>
        <w:t xml:space="preserve">по-прежнему </w:t>
      </w:r>
      <w:r w:rsidRPr="0023537E">
        <w:t xml:space="preserve">сохраняются гендерные </w:t>
      </w:r>
      <w:r>
        <w:t>стереотипы</w:t>
      </w:r>
      <w:r w:rsidRPr="0023537E">
        <w:t xml:space="preserve"> в отношении выбора профе</w:t>
      </w:r>
      <w:r w:rsidRPr="0023537E">
        <w:t>с</w:t>
      </w:r>
      <w:r w:rsidRPr="0023537E">
        <w:t xml:space="preserve">сии, опыта работы и карьерных возможностей </w:t>
      </w:r>
      <w:r>
        <w:t>с точки зрения</w:t>
      </w:r>
      <w:r w:rsidRPr="0023537E">
        <w:t xml:space="preserve"> различного зн</w:t>
      </w:r>
      <w:r w:rsidRPr="0023537E">
        <w:t>а</w:t>
      </w:r>
      <w:r w:rsidRPr="0023537E">
        <w:t>чения, придаваемого же</w:t>
      </w:r>
      <w:r w:rsidRPr="0023537E">
        <w:t>н</w:t>
      </w:r>
      <w:r w:rsidRPr="0023537E">
        <w:t xml:space="preserve">ским и мужским профессиям. </w:t>
      </w:r>
    </w:p>
    <w:p w:rsidR="004F2D8B" w:rsidRPr="0023537E" w:rsidRDefault="004F2D8B" w:rsidP="004F2D8B">
      <w:pPr>
        <w:pStyle w:val="SingleTxtGR"/>
      </w:pPr>
      <w:r w:rsidRPr="0023537E">
        <w:t>43.</w:t>
      </w:r>
      <w:r w:rsidRPr="0023537E">
        <w:tab/>
        <w:t xml:space="preserve">В </w:t>
      </w:r>
      <w:r>
        <w:t>бизнес-</w:t>
      </w:r>
      <w:r w:rsidRPr="0023537E">
        <w:t xml:space="preserve">секторе появилось </w:t>
      </w:r>
      <w:r>
        <w:t xml:space="preserve">понимание </w:t>
      </w:r>
      <w:r w:rsidRPr="0023537E">
        <w:t>того факта, что поощрение ра</w:t>
      </w:r>
      <w:r w:rsidRPr="0023537E">
        <w:t>в</w:t>
      </w:r>
      <w:r w:rsidRPr="0023537E">
        <w:t xml:space="preserve">ных возможностей женщин и мужчин в профессиональной сфере отвечает </w:t>
      </w:r>
      <w:r>
        <w:t>его</w:t>
      </w:r>
      <w:r w:rsidRPr="0023537E">
        <w:t xml:space="preserve"> наилучшим интересам. На протяжении нескольких лет в рамках пр</w:t>
      </w:r>
      <w:r w:rsidRPr="0023537E">
        <w:t>о</w:t>
      </w:r>
      <w:r w:rsidRPr="0023537E">
        <w:t>граммы для частных предприятий "Фактор успеха, семья", цель которой состоит в обесп</w:t>
      </w:r>
      <w:r w:rsidRPr="0023537E">
        <w:t>е</w:t>
      </w:r>
      <w:r w:rsidRPr="0023537E">
        <w:t>чении баланса между семейной и профессиональной жизнью, осуществляется плодотворное сотрудничество. Примерно 3</w:t>
      </w:r>
      <w:r>
        <w:t> </w:t>
      </w:r>
      <w:r w:rsidRPr="0023537E">
        <w:t xml:space="preserve">400 сотрудников, объединенных в </w:t>
      </w:r>
      <w:r>
        <w:t xml:space="preserve">соответствующие </w:t>
      </w:r>
      <w:r w:rsidRPr="0023537E">
        <w:t>сети компаний под эгидой Ассоциации германских торгово-промышленных палат (</w:t>
      </w:r>
      <w:r w:rsidRPr="0023537E">
        <w:rPr>
          <w:lang w:val="en-US"/>
        </w:rPr>
        <w:t>Deutscher</w:t>
      </w:r>
      <w:r w:rsidRPr="0023537E">
        <w:t xml:space="preserve"> </w:t>
      </w:r>
      <w:r w:rsidRPr="0023537E">
        <w:rPr>
          <w:lang w:val="en-US"/>
        </w:rPr>
        <w:t>Industrie</w:t>
      </w:r>
      <w:r w:rsidRPr="0023537E">
        <w:t xml:space="preserve">- </w:t>
      </w:r>
      <w:r w:rsidRPr="0023537E">
        <w:rPr>
          <w:lang w:val="en-US"/>
        </w:rPr>
        <w:t>und</w:t>
      </w:r>
      <w:r w:rsidRPr="0023537E">
        <w:t xml:space="preserve"> </w:t>
      </w:r>
      <w:r w:rsidRPr="0023537E">
        <w:rPr>
          <w:lang w:val="en-US"/>
        </w:rPr>
        <w:t>Hande</w:t>
      </w:r>
      <w:r w:rsidRPr="0023537E">
        <w:rPr>
          <w:lang w:val="en-US"/>
        </w:rPr>
        <w:t>l</w:t>
      </w:r>
      <w:r w:rsidRPr="0023537E">
        <w:rPr>
          <w:lang w:val="en-US"/>
        </w:rPr>
        <w:t>skammertag</w:t>
      </w:r>
      <w:r w:rsidRPr="0023537E">
        <w:t xml:space="preserve"> </w:t>
      </w:r>
      <w:r>
        <w:t>−</w:t>
      </w:r>
      <w:r w:rsidRPr="0023537E">
        <w:t xml:space="preserve"> </w:t>
      </w:r>
      <w:r w:rsidRPr="0023537E">
        <w:rPr>
          <w:lang w:val="en-US"/>
        </w:rPr>
        <w:t>DIHK</w:t>
      </w:r>
      <w:r w:rsidRPr="0023537E">
        <w:t xml:space="preserve">), уже заявили о своей поддержке более ориентированной на </w:t>
      </w:r>
      <w:r>
        <w:t xml:space="preserve">интересы </w:t>
      </w:r>
      <w:r w:rsidRPr="0023537E">
        <w:t>семь</w:t>
      </w:r>
      <w:r>
        <w:t>и</w:t>
      </w:r>
      <w:r w:rsidRPr="0023537E">
        <w:t xml:space="preserve"> </w:t>
      </w:r>
      <w:r>
        <w:t>кадр</w:t>
      </w:r>
      <w:r>
        <w:t>о</w:t>
      </w:r>
      <w:r>
        <w:t>вой политики</w:t>
      </w:r>
      <w:r w:rsidRPr="0023537E">
        <w:t>. Осенью 2010 года в рамках этих мероприятий была развернута инициатива "</w:t>
      </w:r>
      <w:r>
        <w:t xml:space="preserve">Рабочее время </w:t>
      </w:r>
      <w:r w:rsidRPr="0023537E">
        <w:t xml:space="preserve">с учетом </w:t>
      </w:r>
      <w:r>
        <w:t xml:space="preserve">интересов </w:t>
      </w:r>
      <w:r w:rsidRPr="0023537E">
        <w:t>семьи" (</w:t>
      </w:r>
      <w:r w:rsidRPr="0023537E">
        <w:rPr>
          <w:lang w:val="en-US"/>
        </w:rPr>
        <w:t>Familienbewusste</w:t>
      </w:r>
      <w:r w:rsidRPr="0023537E">
        <w:t xml:space="preserve"> </w:t>
      </w:r>
      <w:r w:rsidRPr="0023537E">
        <w:rPr>
          <w:lang w:val="en-US"/>
        </w:rPr>
        <w:t>A</w:t>
      </w:r>
      <w:r w:rsidRPr="0023537E">
        <w:rPr>
          <w:lang w:val="en-US"/>
        </w:rPr>
        <w:t>r</w:t>
      </w:r>
      <w:r w:rsidRPr="0023537E">
        <w:rPr>
          <w:lang w:val="en-US"/>
        </w:rPr>
        <w:t>beitszeiten</w:t>
      </w:r>
      <w:r w:rsidRPr="0023537E">
        <w:t>). Цель этой инициативы состоит в установлении более гибких гр</w:t>
      </w:r>
      <w:r w:rsidRPr="0023537E">
        <w:t>а</w:t>
      </w:r>
      <w:r w:rsidRPr="0023537E">
        <w:t xml:space="preserve">фиков работы, которые позволят матерям развивать свою карьеру, а отцам </w:t>
      </w:r>
      <w:r>
        <w:t>−</w:t>
      </w:r>
      <w:r w:rsidRPr="0023537E">
        <w:t xml:space="preserve"> уделять больше времени семье. Модели, предусматривающие  практ</w:t>
      </w:r>
      <w:r w:rsidRPr="0023537E">
        <w:t>и</w:t>
      </w:r>
      <w:r w:rsidRPr="0023537E">
        <w:t>чески полный рабочий день, т.е. 30</w:t>
      </w:r>
      <w:r>
        <w:t>−</w:t>
      </w:r>
      <w:r w:rsidRPr="0023537E">
        <w:t>35 часов в неделю, имеют большое значение, п</w:t>
      </w:r>
      <w:r w:rsidRPr="0023537E">
        <w:t>о</w:t>
      </w:r>
      <w:r w:rsidRPr="0023537E">
        <w:t>скольку соответствуют пожелани</w:t>
      </w:r>
      <w:r>
        <w:t>ю</w:t>
      </w:r>
      <w:r w:rsidRPr="0023537E">
        <w:t xml:space="preserve"> многих родителей и способствуют </w:t>
      </w:r>
      <w:r>
        <w:t>нахожд</w:t>
      </w:r>
      <w:r>
        <w:t>е</w:t>
      </w:r>
      <w:r>
        <w:t xml:space="preserve">нию равновесия между </w:t>
      </w:r>
      <w:r w:rsidRPr="0023537E">
        <w:t>семейной и профессиональной жизн</w:t>
      </w:r>
      <w:r>
        <w:t>ью</w:t>
      </w:r>
      <w:r w:rsidRPr="0023537E">
        <w:t xml:space="preserve"> многих квал</w:t>
      </w:r>
      <w:r w:rsidRPr="0023537E">
        <w:t>и</w:t>
      </w:r>
      <w:r w:rsidRPr="0023537E">
        <w:t>фицированных специалистов и управленцев.</w:t>
      </w:r>
    </w:p>
    <w:p w:rsidR="004F2D8B" w:rsidRPr="0023537E" w:rsidRDefault="004F2D8B" w:rsidP="004F2D8B">
      <w:pPr>
        <w:pStyle w:val="SingleTxtGR"/>
      </w:pPr>
      <w:r w:rsidRPr="0023537E">
        <w:t>44.</w:t>
      </w:r>
      <w:r w:rsidRPr="0023537E">
        <w:tab/>
        <w:t>На фоне ожидаемой в будущем нехватки квалифицированных специал</w:t>
      </w:r>
      <w:r w:rsidRPr="0023537E">
        <w:t>и</w:t>
      </w:r>
      <w:r w:rsidRPr="0023537E">
        <w:t xml:space="preserve">стов и управленцев все большее распространение приобретает </w:t>
      </w:r>
      <w:r>
        <w:t xml:space="preserve">понимание </w:t>
      </w:r>
      <w:r w:rsidRPr="0023537E">
        <w:t>того, что не менее важно устранить гендерную сегрегацию на рынке труда, увел</w:t>
      </w:r>
      <w:r w:rsidRPr="0023537E">
        <w:t>и</w:t>
      </w:r>
      <w:r w:rsidRPr="0023537E">
        <w:t>чить количество женщин на руководящих должностях и в традиционно "му</w:t>
      </w:r>
      <w:r w:rsidRPr="0023537E">
        <w:t>ж</w:t>
      </w:r>
      <w:r w:rsidRPr="0023537E">
        <w:t>ских" профессиях. Примерами кооперативных мер в этой области являю</w:t>
      </w:r>
      <w:r w:rsidRPr="0023537E">
        <w:t>т</w:t>
      </w:r>
      <w:r w:rsidRPr="0023537E">
        <w:t>ся проект "День девочек" инициативы МИЕТ (математика, информатика, естес</w:t>
      </w:r>
      <w:r w:rsidRPr="0023537E">
        <w:t>т</w:t>
      </w:r>
      <w:r w:rsidRPr="0023537E">
        <w:t xml:space="preserve">венные науки, технические науки), премия </w:t>
      </w:r>
      <w:r w:rsidRPr="0023537E">
        <w:rPr>
          <w:lang w:val="fr-CH"/>
        </w:rPr>
        <w:t>TOTAL</w:t>
      </w:r>
      <w:r w:rsidRPr="0023537E">
        <w:t>-</w:t>
      </w:r>
      <w:r w:rsidRPr="0023537E">
        <w:rPr>
          <w:lang w:val="en-US"/>
        </w:rPr>
        <w:t>E</w:t>
      </w:r>
      <w:r w:rsidRPr="0023537E">
        <w:t>-</w:t>
      </w:r>
      <w:r w:rsidRPr="0023537E">
        <w:rPr>
          <w:lang w:val="en-US"/>
        </w:rPr>
        <w:t>QUALITY</w:t>
      </w:r>
      <w:r w:rsidRPr="0023537E">
        <w:t xml:space="preserve"> и инициатива "Поколение СЕО". В 2008 году Конфедерация германских ассоциаций работ</w:t>
      </w:r>
      <w:r w:rsidRPr="0023537E">
        <w:t>о</w:t>
      </w:r>
      <w:r w:rsidRPr="0023537E">
        <w:t>дателей (</w:t>
      </w:r>
      <w:r w:rsidRPr="0023537E">
        <w:rPr>
          <w:lang w:val="en-US"/>
        </w:rPr>
        <w:t>Bundesvereinigung</w:t>
      </w:r>
      <w:r w:rsidRPr="0023537E">
        <w:t xml:space="preserve"> </w:t>
      </w:r>
      <w:r w:rsidRPr="0023537E">
        <w:rPr>
          <w:lang w:val="en-US"/>
        </w:rPr>
        <w:t>der</w:t>
      </w:r>
      <w:r w:rsidRPr="0023537E">
        <w:t xml:space="preserve"> </w:t>
      </w:r>
      <w:r w:rsidRPr="0023537E">
        <w:rPr>
          <w:lang w:val="en-US"/>
        </w:rPr>
        <w:t>Deutschen</w:t>
      </w:r>
      <w:r w:rsidRPr="0023537E">
        <w:t xml:space="preserve"> </w:t>
      </w:r>
      <w:r w:rsidRPr="0023537E">
        <w:rPr>
          <w:lang w:val="en-US"/>
        </w:rPr>
        <w:t>Arbeitgeberverb</w:t>
      </w:r>
      <w:r w:rsidRPr="004F2D8B">
        <w:t>ä</w:t>
      </w:r>
      <w:r w:rsidRPr="0023537E">
        <w:rPr>
          <w:lang w:val="en-US"/>
        </w:rPr>
        <w:t>nde</w:t>
      </w:r>
      <w:r w:rsidRPr="0023537E">
        <w:t xml:space="preserve"> </w:t>
      </w:r>
      <w:r>
        <w:t>−</w:t>
      </w:r>
      <w:r w:rsidRPr="0023537E">
        <w:t xml:space="preserve"> </w:t>
      </w:r>
      <w:r w:rsidRPr="0023537E">
        <w:rPr>
          <w:lang w:val="en-US"/>
        </w:rPr>
        <w:t>BDA</w:t>
      </w:r>
      <w:r w:rsidRPr="0023537E">
        <w:t>) предст</w:t>
      </w:r>
      <w:r w:rsidRPr="0023537E">
        <w:t>а</w:t>
      </w:r>
      <w:r w:rsidRPr="0023537E">
        <w:t xml:space="preserve">вила </w:t>
      </w:r>
      <w:r>
        <w:t>документ с изложением позиции по вопросу неравенства</w:t>
      </w:r>
      <w:r w:rsidRPr="0023537E">
        <w:t xml:space="preserve"> в оплате труда. На совместной конференции "Устранение причин разрыва в оплате труда", о</w:t>
      </w:r>
      <w:r w:rsidRPr="0023537E">
        <w:t>р</w:t>
      </w:r>
      <w:r w:rsidRPr="0023537E">
        <w:t xml:space="preserve">ганизованной </w:t>
      </w:r>
      <w:r w:rsidRPr="0023537E">
        <w:rPr>
          <w:lang w:val="fr-CH"/>
        </w:rPr>
        <w:t>BDA</w:t>
      </w:r>
      <w:r w:rsidRPr="0023537E">
        <w:t xml:space="preserve"> и </w:t>
      </w:r>
      <w:r w:rsidRPr="0023537E">
        <w:rPr>
          <w:lang w:val="fr-CH"/>
        </w:rPr>
        <w:t>BMFSFJ</w:t>
      </w:r>
      <w:r w:rsidRPr="0023537E">
        <w:t xml:space="preserve"> 30 сентября 2008 года, 90 экспертов в области политики, бизнеса и науки поддержали общую цель ликвидации разрыва в о</w:t>
      </w:r>
      <w:r w:rsidRPr="0023537E">
        <w:t>п</w:t>
      </w:r>
      <w:r w:rsidRPr="0023537E">
        <w:t>лате труда путем устранения его основных причин.</w:t>
      </w:r>
    </w:p>
    <w:p w:rsidR="004F2D8B" w:rsidRDefault="004F2D8B" w:rsidP="004F2D8B">
      <w:pPr>
        <w:pStyle w:val="SingleTxtGR"/>
      </w:pPr>
      <w:r w:rsidRPr="0023537E">
        <w:t>45.</w:t>
      </w:r>
      <w:r w:rsidRPr="0023537E">
        <w:tab/>
        <w:t>30 марта 2011 года ответственные за этот вопрос федеральные министры</w:t>
      </w:r>
      <w:r>
        <w:t xml:space="preserve"> встретились с начальниками отделов </w:t>
      </w:r>
      <w:r w:rsidRPr="0023537E">
        <w:t xml:space="preserve">кадров 30 компаний с индексом </w:t>
      </w:r>
      <w:r w:rsidRPr="0023537E">
        <w:rPr>
          <w:lang w:val="en-US"/>
        </w:rPr>
        <w:t>DAX</w:t>
      </w:r>
      <w:r w:rsidRPr="0023537E">
        <w:t xml:space="preserve"> с ц</w:t>
      </w:r>
      <w:r w:rsidRPr="0023537E">
        <w:t>е</w:t>
      </w:r>
      <w:r w:rsidRPr="0023537E">
        <w:t xml:space="preserve">лью совместного обсуждения дальнейших </w:t>
      </w:r>
      <w:r>
        <w:t xml:space="preserve">стабильных </w:t>
      </w:r>
      <w:r w:rsidRPr="0023537E">
        <w:t xml:space="preserve">и практичных способов обеспечения равенства в профессиональной жизни. </w:t>
      </w:r>
      <w:r>
        <w:t>30</w:t>
      </w:r>
      <w:r w:rsidRPr="0023537E">
        <w:t xml:space="preserve"> компаний, охваченных индексом </w:t>
      </w:r>
      <w:r w:rsidRPr="0023537E">
        <w:rPr>
          <w:lang w:val="fr-CH"/>
        </w:rPr>
        <w:t>DAX</w:t>
      </w:r>
      <w:r w:rsidRPr="0023537E">
        <w:t>, представили федеральному правительству совместное заявл</w:t>
      </w:r>
      <w:r w:rsidRPr="0023537E">
        <w:t>е</w:t>
      </w:r>
      <w:r w:rsidRPr="0023537E">
        <w:t>ние о будущей стратегии увеличения числа женщин на руководящих должн</w:t>
      </w:r>
      <w:r w:rsidRPr="0023537E">
        <w:t>о</w:t>
      </w:r>
      <w:r w:rsidRPr="0023537E">
        <w:t>стях. Они постановили сформулировать конкретные задачи для компаний в о</w:t>
      </w:r>
      <w:r w:rsidRPr="0023537E">
        <w:t>т</w:t>
      </w:r>
      <w:r w:rsidRPr="0023537E">
        <w:t xml:space="preserve">ношении доли женщин в кадровом </w:t>
      </w:r>
      <w:r w:rsidR="004938DC">
        <w:t>составе и на руководящих постах</w:t>
      </w:r>
      <w:r w:rsidR="004938DC">
        <w:br/>
      </w:r>
      <w:r w:rsidRPr="0023537E">
        <w:t>и в 2011</w:t>
      </w:r>
      <w:r>
        <w:t> </w:t>
      </w:r>
      <w:r w:rsidRPr="0023537E">
        <w:t>год</w:t>
      </w:r>
      <w:r>
        <w:t>у</w:t>
      </w:r>
      <w:r w:rsidRPr="0023537E">
        <w:t xml:space="preserve"> опубликовать эти задачи.</w:t>
      </w:r>
    </w:p>
    <w:p w:rsidR="004938DC" w:rsidRPr="002E3B35" w:rsidRDefault="004938DC" w:rsidP="004938DC">
      <w:pPr>
        <w:pStyle w:val="SingleTxtGR"/>
      </w:pPr>
      <w:r w:rsidRPr="002E3B35">
        <w:t>46.</w:t>
      </w:r>
      <w:r w:rsidRPr="002E3B35">
        <w:tab/>
        <w:t>Инициатива "</w:t>
      </w:r>
      <w:r>
        <w:t>Изменение корпоративных традиций − больше женщин</w:t>
      </w:r>
      <w:r>
        <w:br/>
      </w:r>
      <w:r w:rsidRPr="002E3B35">
        <w:t xml:space="preserve">в руководстве", развернутая объединением </w:t>
      </w:r>
      <w:r w:rsidRPr="002E3B35">
        <w:rPr>
          <w:lang w:val="fr-CH"/>
        </w:rPr>
        <w:t>Fraunhofer</w:t>
      </w:r>
      <w:r w:rsidRPr="002E3B35">
        <w:t xml:space="preserve"> </w:t>
      </w:r>
      <w:r w:rsidRPr="002E3B35">
        <w:rPr>
          <w:lang w:val="fr-CH"/>
        </w:rPr>
        <w:t>Gesellschaft</w:t>
      </w:r>
      <w:r>
        <w:t xml:space="preserve"> от имени Ф</w:t>
      </w:r>
      <w:r w:rsidRPr="002E3B35">
        <w:t>е</w:t>
      </w:r>
      <w:r w:rsidRPr="002E3B35">
        <w:t>деральног</w:t>
      </w:r>
      <w:r>
        <w:t xml:space="preserve">о министерства по делам семьи, </w:t>
      </w:r>
      <w:r w:rsidRPr="002E3B35">
        <w:t>престар</w:t>
      </w:r>
      <w:r>
        <w:t>елых, женщин и молодежи (2010−</w:t>
      </w:r>
      <w:r w:rsidRPr="002E3B35">
        <w:t>2012 год), будет ориентирована на осуществление необходимых измен</w:t>
      </w:r>
      <w:r w:rsidRPr="002E3B35">
        <w:t>е</w:t>
      </w:r>
      <w:r w:rsidRPr="002E3B35">
        <w:t xml:space="preserve">ний корпоративной культуры </w:t>
      </w:r>
      <w:r>
        <w:t xml:space="preserve">в будущем </w:t>
      </w:r>
      <w:r w:rsidRPr="002E3B35">
        <w:t>во избежание прерывания карьеры женщин, занимающих руководящие посты. Инициатива направлена на выявл</w:t>
      </w:r>
      <w:r w:rsidRPr="002E3B35">
        <w:t>е</w:t>
      </w:r>
      <w:r w:rsidRPr="002E3B35">
        <w:t>ние причин прерывания женщинами с высоким потенциалом профессионал</w:t>
      </w:r>
      <w:r w:rsidRPr="002E3B35">
        <w:t>ь</w:t>
      </w:r>
      <w:r w:rsidRPr="002E3B35">
        <w:t xml:space="preserve">ной деятельности путем изучения примеров корпоративной практики в девяти участвующих международных компаниях и </w:t>
      </w:r>
      <w:r>
        <w:t xml:space="preserve">на </w:t>
      </w:r>
      <w:r w:rsidRPr="002E3B35">
        <w:t>дополнительное развитие сущ</w:t>
      </w:r>
      <w:r w:rsidRPr="002E3B35">
        <w:t>е</w:t>
      </w:r>
      <w:r w:rsidRPr="002E3B35">
        <w:t>ствующих мер по обесп</w:t>
      </w:r>
      <w:r w:rsidRPr="002E3B35">
        <w:t>е</w:t>
      </w:r>
      <w:r w:rsidRPr="002E3B35">
        <w:t xml:space="preserve">чению женщинам возможностей продвижения по </w:t>
      </w:r>
      <w:r>
        <w:t>службе</w:t>
      </w:r>
      <w:r w:rsidRPr="002E3B35">
        <w:t xml:space="preserve"> в будущем. В этой связи принимаемые комп</w:t>
      </w:r>
      <w:r w:rsidRPr="002E3B35">
        <w:t>а</w:t>
      </w:r>
      <w:r w:rsidRPr="002E3B35">
        <w:t>ниями меры по поощрению баланса между карьерой и семейной жизнью будут рассматриваться как да</w:t>
      </w:r>
      <w:r w:rsidRPr="002E3B35">
        <w:t>н</w:t>
      </w:r>
      <w:r w:rsidRPr="002E3B35">
        <w:t>ность.</w:t>
      </w:r>
    </w:p>
    <w:p w:rsidR="004938DC" w:rsidRPr="002E3B35" w:rsidRDefault="004938DC" w:rsidP="004938DC">
      <w:pPr>
        <w:pStyle w:val="H23GR"/>
      </w:pPr>
      <w:r>
        <w:tab/>
      </w:r>
      <w:r w:rsidRPr="002E3B35">
        <w:rPr>
          <w:lang w:val="fr-CH"/>
        </w:rPr>
        <w:t>b</w:t>
      </w:r>
      <w:r w:rsidRPr="002E3B35">
        <w:t>)</w:t>
      </w:r>
      <w:r w:rsidRPr="002E3B35">
        <w:tab/>
        <w:t>Профсоюзы</w:t>
      </w:r>
    </w:p>
    <w:p w:rsidR="004938DC" w:rsidRPr="002E3B35" w:rsidRDefault="004938DC" w:rsidP="004938DC">
      <w:pPr>
        <w:pStyle w:val="SingleTxtGR"/>
      </w:pPr>
      <w:r w:rsidRPr="002E3B35">
        <w:t>47.</w:t>
      </w:r>
      <w:r w:rsidRPr="002E3B35">
        <w:tab/>
        <w:t>Еще одним важным моментом является сотрудничество с профсоюзами. В 2008 году Федерация профсоюзов Германии</w:t>
      </w:r>
      <w:r>
        <w:t xml:space="preserve"> (аббревиатура на нем.яз. −</w:t>
      </w:r>
      <w:r w:rsidRPr="002E3B35">
        <w:t xml:space="preserve"> </w:t>
      </w:r>
      <w:r w:rsidRPr="002E3B35">
        <w:rPr>
          <w:lang w:val="fr-CH"/>
        </w:rPr>
        <w:t>DGB</w:t>
      </w:r>
      <w:r w:rsidRPr="002E3B35">
        <w:t>) среди других мер приступила к осуществлению инициативы "Я сто</w:t>
      </w:r>
      <w:r>
        <w:rPr>
          <w:rFonts w:ascii="Tahoma" w:hAnsi="Tahoma" w:cs="Tahoma"/>
        </w:rPr>
        <w:t></w:t>
      </w:r>
      <w:r w:rsidRPr="002E3B35">
        <w:t>ю больше" (</w:t>
      </w:r>
      <w:r w:rsidRPr="002E3B35">
        <w:rPr>
          <w:lang w:val="fr-CH"/>
        </w:rPr>
        <w:t>Ich</w:t>
      </w:r>
      <w:r w:rsidRPr="002E3B35">
        <w:t xml:space="preserve"> </w:t>
      </w:r>
      <w:r w:rsidRPr="002E3B35">
        <w:rPr>
          <w:lang w:val="fr-CH"/>
        </w:rPr>
        <w:t>bin</w:t>
      </w:r>
      <w:r w:rsidRPr="002E3B35">
        <w:t xml:space="preserve"> </w:t>
      </w:r>
      <w:r w:rsidRPr="002E3B35">
        <w:rPr>
          <w:lang w:val="fr-CH"/>
        </w:rPr>
        <w:t>mehr</w:t>
      </w:r>
      <w:r w:rsidRPr="002E3B35">
        <w:t xml:space="preserve"> </w:t>
      </w:r>
      <w:r w:rsidRPr="002E3B35">
        <w:rPr>
          <w:lang w:val="fr-CH"/>
        </w:rPr>
        <w:t>wert</w:t>
      </w:r>
      <w:r w:rsidRPr="002E3B35">
        <w:t>), которую поддержал</w:t>
      </w:r>
      <w:r>
        <w:t>о М</w:t>
      </w:r>
      <w:r w:rsidRPr="002E3B35">
        <w:t>инистерство по делам семьи</w:t>
      </w:r>
      <w:r>
        <w:t>,</w:t>
      </w:r>
      <w:r w:rsidRPr="002E3B35">
        <w:t xml:space="preserve"> пр</w:t>
      </w:r>
      <w:r w:rsidRPr="002E3B35">
        <w:t>е</w:t>
      </w:r>
      <w:r w:rsidRPr="002E3B35">
        <w:t>старелых, женщин и молодежи (</w:t>
      </w:r>
      <w:r w:rsidRPr="002E3B35">
        <w:rPr>
          <w:lang w:val="fr-CH"/>
        </w:rPr>
        <w:t>BMFSFJ</w:t>
      </w:r>
      <w:r w:rsidRPr="002E3B35">
        <w:t>). Сотрудничая с профсоюзами и же</w:t>
      </w:r>
      <w:r w:rsidRPr="002E3B35">
        <w:t>н</w:t>
      </w:r>
      <w:r w:rsidRPr="002E3B35">
        <w:t xml:space="preserve">скими федерациями, </w:t>
      </w:r>
      <w:r w:rsidRPr="002E3B35">
        <w:rPr>
          <w:lang w:val="fr-CH"/>
        </w:rPr>
        <w:t>DGB</w:t>
      </w:r>
      <w:r w:rsidRPr="002E3B35">
        <w:t xml:space="preserve"> тем самым оказывает конкретную </w:t>
      </w:r>
      <w:r>
        <w:t>помощь</w:t>
      </w:r>
      <w:r w:rsidRPr="002E3B35">
        <w:t xml:space="preserve"> женщинам на рабочем месте. В 2008 году основное внимание в рамках этой </w:t>
      </w:r>
      <w:r>
        <w:t>инициативы</w:t>
      </w:r>
      <w:r w:rsidRPr="002E3B35">
        <w:t xml:space="preserve"> было уделено трем аспектам: равенству в оплате труда, карьерным возможн</w:t>
      </w:r>
      <w:r w:rsidRPr="002E3B35">
        <w:t>о</w:t>
      </w:r>
      <w:r w:rsidRPr="002E3B35">
        <w:t>стям и балансу между профессиональн</w:t>
      </w:r>
      <w:r>
        <w:t>ой и семейной жизнью. Заявление</w:t>
      </w:r>
      <w:r>
        <w:br/>
      </w:r>
      <w:r w:rsidRPr="002E3B35">
        <w:t>"Я СТО</w:t>
      </w:r>
      <w:r>
        <w:rPr>
          <w:rFonts w:ascii="Tahoma" w:hAnsi="Tahoma" w:cs="Tahoma"/>
        </w:rPr>
        <w:t></w:t>
      </w:r>
      <w:r w:rsidRPr="002E3B35">
        <w:t>Ю БОЛЬШЕ!" при помощи различных мер доводилось до сведения п</w:t>
      </w:r>
      <w:r w:rsidRPr="002E3B35">
        <w:t>о</w:t>
      </w:r>
      <w:r w:rsidRPr="002E3B35">
        <w:t>литиков, компаний и широкой общ</w:t>
      </w:r>
      <w:r w:rsidRPr="002E3B35">
        <w:t>е</w:t>
      </w:r>
      <w:r w:rsidRPr="002E3B35">
        <w:t xml:space="preserve">ственности. </w:t>
      </w:r>
    </w:p>
    <w:p w:rsidR="004938DC" w:rsidRPr="002E3B35" w:rsidRDefault="004938DC" w:rsidP="004938DC">
      <w:pPr>
        <w:pStyle w:val="SingleTxtGR"/>
      </w:pPr>
      <w:r w:rsidRPr="002E3B35">
        <w:t>48.</w:t>
      </w:r>
      <w:r w:rsidRPr="002E3B35">
        <w:tab/>
      </w:r>
      <w:r w:rsidRPr="002E3B35">
        <w:rPr>
          <w:lang w:val="fr-CH"/>
        </w:rPr>
        <w:t>BMFSFJ</w:t>
      </w:r>
      <w:r w:rsidRPr="002E3B35">
        <w:t xml:space="preserve"> также оказывает поддержку проекту "Кормильцы семьи" (</w:t>
      </w:r>
      <w:r w:rsidRPr="002E3B35">
        <w:rPr>
          <w:lang w:val="en-US"/>
        </w:rPr>
        <w:t>Fam</w:t>
      </w:r>
      <w:r w:rsidRPr="002E3B35">
        <w:rPr>
          <w:lang w:val="en-US"/>
        </w:rPr>
        <w:t>i</w:t>
      </w:r>
      <w:r w:rsidRPr="002E3B35">
        <w:rPr>
          <w:lang w:val="en-US"/>
        </w:rPr>
        <w:t>lienernahrerinnen</w:t>
      </w:r>
      <w:r w:rsidRPr="002E3B35">
        <w:t xml:space="preserve">) в рамках партнерства с </w:t>
      </w:r>
      <w:r w:rsidRPr="002E3B35">
        <w:rPr>
          <w:lang w:val="fr-CH"/>
        </w:rPr>
        <w:t>DGB</w:t>
      </w:r>
      <w:r w:rsidRPr="002E3B35">
        <w:t>. Почти в пятой части вс</w:t>
      </w:r>
      <w:r>
        <w:t>ех дом</w:t>
      </w:r>
      <w:r>
        <w:t>о</w:t>
      </w:r>
      <w:r>
        <w:t>хозяйств в Федеративной Р</w:t>
      </w:r>
      <w:r w:rsidRPr="002E3B35">
        <w:t xml:space="preserve">еспублике Германии большую часть семейного </w:t>
      </w:r>
      <w:r>
        <w:t>бю</w:t>
      </w:r>
      <w:r>
        <w:t>д</w:t>
      </w:r>
      <w:r>
        <w:t>жета составляют</w:t>
      </w:r>
      <w:r w:rsidRPr="002E3B35">
        <w:t xml:space="preserve"> </w:t>
      </w:r>
      <w:r>
        <w:t>заработки женщин</w:t>
      </w:r>
      <w:r w:rsidRPr="002E3B35">
        <w:t xml:space="preserve">. Половина таких женщин − это одинокие матери, у другой половины есть партнер с меньшим доходом, </w:t>
      </w:r>
      <w:r>
        <w:t>нуждающийся</w:t>
      </w:r>
      <w:r>
        <w:br/>
      </w:r>
      <w:r w:rsidRPr="002E3B35">
        <w:t>в уходе</w:t>
      </w:r>
      <w:r>
        <w:t xml:space="preserve"> или</w:t>
      </w:r>
      <w:r w:rsidRPr="002E3B35">
        <w:t xml:space="preserve"> безработный. Поэто</w:t>
      </w:r>
      <w:r>
        <w:t>му кормили</w:t>
      </w:r>
      <w:r w:rsidRPr="002E3B35">
        <w:t>цы семьи часто несут двойное бр</w:t>
      </w:r>
      <w:r w:rsidRPr="002E3B35">
        <w:t>е</w:t>
      </w:r>
      <w:r w:rsidRPr="002E3B35">
        <w:t xml:space="preserve">мя: являются основным источником дохода, а также </w:t>
      </w:r>
      <w:r>
        <w:t>занимаются</w:t>
      </w:r>
      <w:r w:rsidRPr="002E3B35">
        <w:t xml:space="preserve"> дома</w:t>
      </w:r>
      <w:r>
        <w:t>шним</w:t>
      </w:r>
      <w:r w:rsidRPr="002E3B35">
        <w:t xml:space="preserve"> х</w:t>
      </w:r>
      <w:r w:rsidRPr="002E3B35">
        <w:t>о</w:t>
      </w:r>
      <w:r w:rsidRPr="002E3B35">
        <w:t>зяйство</w:t>
      </w:r>
      <w:r>
        <w:t>м и детьми</w:t>
      </w:r>
      <w:r w:rsidRPr="002E3B35">
        <w:t>. Этот проект направлен на повышение уровня осведомле</w:t>
      </w:r>
      <w:r w:rsidRPr="002E3B35">
        <w:t>н</w:t>
      </w:r>
      <w:r w:rsidRPr="002E3B35">
        <w:t xml:space="preserve">ности общества о таких женщинах и расширение возможностей политической мобилизации </w:t>
      </w:r>
      <w:r>
        <w:t>в их инт</w:t>
      </w:r>
      <w:r>
        <w:t>е</w:t>
      </w:r>
      <w:r>
        <w:t>ресах</w:t>
      </w:r>
      <w:r w:rsidRPr="002E3B35">
        <w:t>.</w:t>
      </w:r>
    </w:p>
    <w:p w:rsidR="004938DC" w:rsidRPr="002E3B35" w:rsidRDefault="004938DC" w:rsidP="004938DC">
      <w:pPr>
        <w:pStyle w:val="H23GR"/>
        <w:pageBreakBefore/>
      </w:pPr>
      <w:r>
        <w:tab/>
      </w:r>
      <w:r w:rsidRPr="002E3B35">
        <w:t>с)</w:t>
      </w:r>
      <w:r w:rsidRPr="002E3B35">
        <w:tab/>
        <w:t>Социальные партнеры</w:t>
      </w:r>
    </w:p>
    <w:p w:rsidR="004938DC" w:rsidRPr="002E3B35" w:rsidRDefault="004938DC" w:rsidP="004938DC">
      <w:pPr>
        <w:pStyle w:val="SingleTxtGR"/>
      </w:pPr>
      <w:r w:rsidRPr="002E3B35">
        <w:t>49.</w:t>
      </w:r>
      <w:r w:rsidRPr="002E3B35">
        <w:tab/>
        <w:t>В рамках осуществляемой с 2010 года на федеральном уровне инициат</w:t>
      </w:r>
      <w:r w:rsidRPr="002E3B35">
        <w:t>и</w:t>
      </w:r>
      <w:r w:rsidRPr="002E3B35">
        <w:t>вы "Равенство для же</w:t>
      </w:r>
      <w:r w:rsidRPr="002E3B35">
        <w:t>н</w:t>
      </w:r>
      <w:r w:rsidRPr="002E3B35">
        <w:t>щин в мире бизнеса" (</w:t>
      </w:r>
      <w:r w:rsidRPr="002E3B35">
        <w:rPr>
          <w:lang w:val="en-US"/>
        </w:rPr>
        <w:t>Gleichstellung</w:t>
      </w:r>
      <w:r w:rsidRPr="002E3B35">
        <w:t xml:space="preserve"> </w:t>
      </w:r>
      <w:r w:rsidRPr="002E3B35">
        <w:rPr>
          <w:lang w:val="en-US"/>
        </w:rPr>
        <w:t>von</w:t>
      </w:r>
      <w:r w:rsidRPr="002E3B35">
        <w:t xml:space="preserve"> </w:t>
      </w:r>
      <w:r w:rsidRPr="002E3B35">
        <w:rPr>
          <w:lang w:val="en-US"/>
        </w:rPr>
        <w:t>Frauen</w:t>
      </w:r>
      <w:r w:rsidRPr="002E3B35">
        <w:t xml:space="preserve"> </w:t>
      </w:r>
      <w:r w:rsidRPr="002E3B35">
        <w:rPr>
          <w:lang w:val="en-US"/>
        </w:rPr>
        <w:t>in</w:t>
      </w:r>
      <w:r w:rsidRPr="002E3B35">
        <w:t xml:space="preserve"> </w:t>
      </w:r>
      <w:r w:rsidRPr="002E3B35">
        <w:rPr>
          <w:lang w:val="en-US"/>
        </w:rPr>
        <w:t>der</w:t>
      </w:r>
      <w:r w:rsidRPr="002E3B35">
        <w:t xml:space="preserve"> </w:t>
      </w:r>
      <w:r w:rsidRPr="002E3B35">
        <w:rPr>
          <w:lang w:val="en-US"/>
        </w:rPr>
        <w:t>Wirtschaft</w:t>
      </w:r>
      <w:r w:rsidRPr="002E3B35">
        <w:t>)</w:t>
      </w:r>
      <w:r>
        <w:t xml:space="preserve"> Федеральное министерство труда</w:t>
      </w:r>
      <w:r w:rsidRPr="002E3B35">
        <w:t xml:space="preserve"> и со</w:t>
      </w:r>
      <w:r>
        <w:t>циальных вопросов</w:t>
      </w:r>
      <w:r w:rsidRPr="002E3B35">
        <w:t xml:space="preserve"> тесно с</w:t>
      </w:r>
      <w:r w:rsidRPr="002E3B35">
        <w:t>о</w:t>
      </w:r>
      <w:r w:rsidRPr="002E3B35">
        <w:t>трудничает с Ассоциацией германских работодателей (</w:t>
      </w:r>
      <w:r w:rsidRPr="002E3B35">
        <w:rPr>
          <w:lang w:val="en-US"/>
        </w:rPr>
        <w:t>BDA</w:t>
      </w:r>
      <w:r w:rsidRPr="002E3B35">
        <w:t>) и Германской ф</w:t>
      </w:r>
      <w:r w:rsidRPr="002E3B35">
        <w:t>е</w:t>
      </w:r>
      <w:r w:rsidRPr="002E3B35">
        <w:t>дерацией труда (</w:t>
      </w:r>
      <w:r w:rsidRPr="002E3B35">
        <w:rPr>
          <w:lang w:val="en-US"/>
        </w:rPr>
        <w:t>DGB</w:t>
      </w:r>
      <w:r w:rsidRPr="002E3B35">
        <w:t>) в процессе отбора проектов. В контексте этой федерал</w:t>
      </w:r>
      <w:r w:rsidRPr="002E3B35">
        <w:t>ь</w:t>
      </w:r>
      <w:r w:rsidRPr="002E3B35">
        <w:t>ной инициативы выделяются субсидии на содействие реализации проектов по обеспечению финансовой независимости женщин, равных возможностей</w:t>
      </w:r>
      <w:r>
        <w:t xml:space="preserve"> для</w:t>
      </w:r>
      <w:r w:rsidRPr="002E3B35">
        <w:t xml:space="preserve"> продвижения по службе и р</w:t>
      </w:r>
      <w:r>
        <w:t>азвития карьеры, более активному участию</w:t>
      </w:r>
      <w:r w:rsidRPr="002E3B35">
        <w:t xml:space="preserve"> в пр</w:t>
      </w:r>
      <w:r w:rsidRPr="002E3B35">
        <w:t>о</w:t>
      </w:r>
      <w:r w:rsidRPr="002E3B35">
        <w:t>граммах обу</w:t>
      </w:r>
      <w:r>
        <w:t>чения на предприятии, сокращению</w:t>
      </w:r>
      <w:r w:rsidRPr="002E3B35">
        <w:t xml:space="preserve"> разрыва в доходах, а также обеспечению сбаланс</w:t>
      </w:r>
      <w:r w:rsidRPr="002E3B35">
        <w:t>и</w:t>
      </w:r>
      <w:r w:rsidRPr="002E3B35">
        <w:t>рованного сочетания трудовой и семейной жизни. В этой связи необходимо определить возможные действия, направленные непосредс</w:t>
      </w:r>
      <w:r w:rsidRPr="002E3B35">
        <w:t>т</w:t>
      </w:r>
      <w:r w:rsidRPr="002E3B35">
        <w:t xml:space="preserve">венно на оказание поддержки компаниям и социальным партнерам в </w:t>
      </w:r>
      <w:r>
        <w:t>области</w:t>
      </w:r>
      <w:r w:rsidRPr="002E3B35">
        <w:t xml:space="preserve"> неуклонного улучшения положения жен</w:t>
      </w:r>
      <w:r>
        <w:t>щин на рынке труда. В 2010 году</w:t>
      </w:r>
      <w:r>
        <w:br/>
      </w:r>
      <w:r w:rsidRPr="002E3B35">
        <w:t>29 заявителей приступили к работе. Объем</w:t>
      </w:r>
      <w:r>
        <w:t xml:space="preserve"> получаемого ими финансирования</w:t>
      </w:r>
      <w:r>
        <w:br/>
      </w:r>
      <w:r w:rsidRPr="002E3B35">
        <w:t>в общей сложности составляет 15 м</w:t>
      </w:r>
      <w:r>
        <w:t>лн.</w:t>
      </w:r>
      <w:r w:rsidRPr="002E3B35">
        <w:t xml:space="preserve"> евро. В настоящее время разрабатыв</w:t>
      </w:r>
      <w:r w:rsidRPr="002E3B35">
        <w:t>а</w:t>
      </w:r>
      <w:r w:rsidRPr="002E3B35">
        <w:t xml:space="preserve">ются и испытываются модели </w:t>
      </w:r>
      <w:r>
        <w:t>графиков</w:t>
      </w:r>
      <w:r w:rsidRPr="002E3B35">
        <w:t xml:space="preserve"> работы в целях обеспечения наилучш</w:t>
      </w:r>
      <w:r w:rsidRPr="002E3B35">
        <w:t>е</w:t>
      </w:r>
      <w:r w:rsidRPr="002E3B35">
        <w:t xml:space="preserve">го баланса между семейной и трудовой жизнью (два проекта), </w:t>
      </w:r>
      <w:r>
        <w:t>наряду</w:t>
      </w:r>
      <w:r w:rsidRPr="002E3B35">
        <w:t xml:space="preserve"> с этим осуществляются инициативы по привлечению женщин к профессиям</w:t>
      </w:r>
      <w:r>
        <w:t>, связа</w:t>
      </w:r>
      <w:r>
        <w:t>н</w:t>
      </w:r>
      <w:r>
        <w:t>ным с</w:t>
      </w:r>
      <w:r w:rsidRPr="002E3B35">
        <w:t xml:space="preserve"> </w:t>
      </w:r>
      <w:r>
        <w:t>математикой</w:t>
      </w:r>
      <w:r w:rsidRPr="002E3B35">
        <w:t>, информати</w:t>
      </w:r>
      <w:r>
        <w:t>кой</w:t>
      </w:r>
      <w:r w:rsidRPr="002E3B35">
        <w:t>, естест</w:t>
      </w:r>
      <w:r>
        <w:t>венными и техническими</w:t>
      </w:r>
      <w:r w:rsidRPr="002E3B35">
        <w:t xml:space="preserve"> наук</w:t>
      </w:r>
      <w:r>
        <w:t>ами</w:t>
      </w:r>
      <w:r w:rsidRPr="002E3B35">
        <w:t xml:space="preserve"> (три проекта), меры </w:t>
      </w:r>
      <w:r>
        <w:t>по стимулированию</w:t>
      </w:r>
      <w:r w:rsidRPr="002E3B35">
        <w:t xml:space="preserve"> женщин </w:t>
      </w:r>
      <w:r>
        <w:t>к карьерному росту</w:t>
      </w:r>
      <w:r w:rsidRPr="002E3B35">
        <w:t xml:space="preserve"> и успе</w:t>
      </w:r>
      <w:r>
        <w:t>хам</w:t>
      </w:r>
      <w:r w:rsidRPr="002E3B35">
        <w:t xml:space="preserve"> в социальном контексте (20 проектов), повышению квалификации работающих женщин во время перер</w:t>
      </w:r>
      <w:r>
        <w:t xml:space="preserve">ыва по семейным обстоятельствам </w:t>
      </w:r>
      <w:r w:rsidRPr="002E3B35">
        <w:t xml:space="preserve">в целях содействия </w:t>
      </w:r>
      <w:r>
        <w:t xml:space="preserve">их </w:t>
      </w:r>
      <w:r w:rsidRPr="002E3B35">
        <w:t>быстрому возвращению на работу (два проекта), а также разрабатываются концепции увеличения числа работающих женщин старшего возраста (два пр</w:t>
      </w:r>
      <w:r w:rsidRPr="002E3B35">
        <w:t>о</w:t>
      </w:r>
      <w:r w:rsidRPr="002E3B35">
        <w:t>екта). Дополнительные инициативы находятся на стадии их планирования или ожидания решения о ф</w:t>
      </w:r>
      <w:r w:rsidRPr="002E3B35">
        <w:t>и</w:t>
      </w:r>
      <w:r w:rsidRPr="002E3B35">
        <w:t xml:space="preserve">нансировании. </w:t>
      </w:r>
    </w:p>
    <w:p w:rsidR="004938DC" w:rsidRPr="002E3B35" w:rsidRDefault="004938DC" w:rsidP="004938DC">
      <w:pPr>
        <w:pStyle w:val="H23GR"/>
      </w:pPr>
      <w:r>
        <w:tab/>
      </w:r>
      <w:r w:rsidRPr="002E3B35">
        <w:rPr>
          <w:lang w:val="fr-CH"/>
        </w:rPr>
        <w:t>d</w:t>
      </w:r>
      <w:r w:rsidRPr="002E3B35">
        <w:t>)</w:t>
      </w:r>
      <w:r w:rsidRPr="002E3B35">
        <w:tab/>
        <w:t>Объединения</w:t>
      </w:r>
    </w:p>
    <w:p w:rsidR="004938DC" w:rsidRPr="002E3B35" w:rsidRDefault="004938DC" w:rsidP="004938DC">
      <w:pPr>
        <w:pStyle w:val="SingleTxtGR"/>
      </w:pPr>
      <w:r w:rsidRPr="002E3B35">
        <w:t>50.</w:t>
      </w:r>
      <w:r w:rsidRPr="002E3B35">
        <w:tab/>
        <w:t xml:space="preserve">15 апреля 2008 года ассоциация </w:t>
      </w:r>
      <w:r>
        <w:t>"Ж</w:t>
      </w:r>
      <w:r w:rsidRPr="002E3B35">
        <w:t>енщин</w:t>
      </w:r>
      <w:r>
        <w:t>ы-предприниматели и раб</w:t>
      </w:r>
      <w:r>
        <w:t>о</w:t>
      </w:r>
      <w:r>
        <w:t>тающие</w:t>
      </w:r>
      <w:r w:rsidRPr="002E3B35">
        <w:t xml:space="preserve"> женщин</w:t>
      </w:r>
      <w:r>
        <w:t>ы"</w:t>
      </w:r>
      <w:r w:rsidRPr="002E3B35">
        <w:t xml:space="preserve"> (ЖПРЖ) орга</w:t>
      </w:r>
      <w:r>
        <w:t>низовала первый День за равную оплату</w:t>
      </w:r>
      <w:r w:rsidRPr="002E3B35">
        <w:t xml:space="preserve"> труда в Германии (ДРОТ). Его цель заключалась в распростране</w:t>
      </w:r>
      <w:r>
        <w:t>нии информации</w:t>
      </w:r>
      <w:r>
        <w:br/>
      </w:r>
      <w:r w:rsidRPr="002E3B35">
        <w:t>о гендерном разрыве в оплате труда,</w:t>
      </w:r>
      <w:r>
        <w:t xml:space="preserve"> в</w:t>
      </w:r>
      <w:r w:rsidRPr="002E3B35">
        <w:t xml:space="preserve"> поощрении женщин к проявлению ин</w:t>
      </w:r>
      <w:r w:rsidRPr="002E3B35">
        <w:t>и</w:t>
      </w:r>
      <w:r w:rsidRPr="002E3B35">
        <w:t xml:space="preserve">циативы и </w:t>
      </w:r>
      <w:r>
        <w:t xml:space="preserve">в более активном </w:t>
      </w:r>
      <w:r w:rsidRPr="002E3B35">
        <w:t xml:space="preserve">решении проблемы неравной оплаты труда. Второй День </w:t>
      </w:r>
      <w:r>
        <w:t xml:space="preserve">за </w:t>
      </w:r>
      <w:r w:rsidRPr="002E3B35">
        <w:t>рав</w:t>
      </w:r>
      <w:r>
        <w:t>ную</w:t>
      </w:r>
      <w:r w:rsidRPr="002E3B35">
        <w:t xml:space="preserve"> оп</w:t>
      </w:r>
      <w:r>
        <w:t>лату</w:t>
      </w:r>
      <w:r w:rsidRPr="002E3B35">
        <w:t xml:space="preserve"> труда был организован и проведен 20 марта 2009 года Национальным альянсом за равную оплату труда, учрежденным в этих целях</w:t>
      </w:r>
      <w:r>
        <w:t>,</w:t>
      </w:r>
      <w:r w:rsidRPr="002E3B35">
        <w:t xml:space="preserve"> </w:t>
      </w:r>
      <w:r>
        <w:t>при</w:t>
      </w:r>
      <w:r w:rsidRPr="002E3B35">
        <w:t xml:space="preserve"> финанс</w:t>
      </w:r>
      <w:r>
        <w:t>ировании от Ф</w:t>
      </w:r>
      <w:r w:rsidRPr="002E3B35">
        <w:t>едерального министерства по делам семьи</w:t>
      </w:r>
      <w:r>
        <w:t>,</w:t>
      </w:r>
      <w:r w:rsidRPr="002E3B35">
        <w:t xml:space="preserve"> престар</w:t>
      </w:r>
      <w:r w:rsidRPr="002E3B35">
        <w:t>е</w:t>
      </w:r>
      <w:r w:rsidRPr="002E3B35">
        <w:t>лых, ж</w:t>
      </w:r>
      <w:r>
        <w:t>енщин и молодежи. Главная цель А</w:t>
      </w:r>
      <w:r w:rsidRPr="002E3B35">
        <w:t>льянса состоит в просвещении и м</w:t>
      </w:r>
      <w:r w:rsidRPr="002E3B35">
        <w:t>о</w:t>
      </w:r>
      <w:r w:rsidRPr="002E3B35">
        <w:t xml:space="preserve">билизации всех </w:t>
      </w:r>
      <w:r>
        <w:t xml:space="preserve">сторон, </w:t>
      </w:r>
      <w:r w:rsidRPr="002E3B35">
        <w:t>активно участвующих в процессе. К ним</w:t>
      </w:r>
      <w:r>
        <w:t>, в частности, относится Н</w:t>
      </w:r>
      <w:r w:rsidRPr="002E3B35">
        <w:t>ациональная рабочая группа пре</w:t>
      </w:r>
      <w:r w:rsidRPr="002E3B35">
        <w:t>д</w:t>
      </w:r>
      <w:r w:rsidRPr="002E3B35">
        <w:t>ставителей местных правительств за равные возможности (Bundesarbeitsgemeinschaft Kommunaler Gleichstellungsbeauftragter – BAG), при этом ЖПРЖ выступает в роли координ</w:t>
      </w:r>
      <w:r w:rsidRPr="002E3B35">
        <w:t>а</w:t>
      </w:r>
      <w:r w:rsidRPr="002E3B35">
        <w:t>тора, Конфедерация германских ассоциаций работодателей, Национальный с</w:t>
      </w:r>
      <w:r w:rsidRPr="002E3B35">
        <w:t>о</w:t>
      </w:r>
      <w:r w:rsidRPr="002E3B35">
        <w:t>вет женщин и Ассоциация женщин-предпринимателей в Германии (Verband deutscher Unternehmerinnen – VdU). Ко</w:t>
      </w:r>
      <w:r w:rsidRPr="002E3B35">
        <w:t>н</w:t>
      </w:r>
      <w:r w:rsidRPr="002E3B35">
        <w:t>федерация профсоюзов Германии (</w:t>
      </w:r>
      <w:r w:rsidRPr="002E3B35">
        <w:rPr>
          <w:lang w:val="fr-CH"/>
        </w:rPr>
        <w:t>DGB</w:t>
      </w:r>
      <w:r w:rsidRPr="002E3B35">
        <w:t xml:space="preserve">) связана с Альянсом через Национальный совет женщин. В целях обеспечения координации </w:t>
      </w:r>
      <w:r>
        <w:t xml:space="preserve">действий </w:t>
      </w:r>
      <w:r w:rsidRPr="002E3B35">
        <w:t xml:space="preserve">национального альянса, организации Дня </w:t>
      </w:r>
      <w:r>
        <w:t>за равную</w:t>
      </w:r>
      <w:r w:rsidRPr="002E3B35">
        <w:t xml:space="preserve"> о</w:t>
      </w:r>
      <w:r w:rsidRPr="002E3B35">
        <w:t>п</w:t>
      </w:r>
      <w:r w:rsidRPr="002E3B35">
        <w:t>лат</w:t>
      </w:r>
      <w:r>
        <w:t>у</w:t>
      </w:r>
      <w:r w:rsidRPr="002E3B35">
        <w:t xml:space="preserve"> труда, основанного на широком уча</w:t>
      </w:r>
      <w:r>
        <w:t>стии, и продолжения этих мер Ф</w:t>
      </w:r>
      <w:r w:rsidRPr="002E3B35">
        <w:t>ед</w:t>
      </w:r>
      <w:r w:rsidRPr="002E3B35">
        <w:t>е</w:t>
      </w:r>
      <w:r w:rsidRPr="002E3B35">
        <w:t>ральное министерство по делам семьи</w:t>
      </w:r>
      <w:r>
        <w:t>,</w:t>
      </w:r>
      <w:r w:rsidRPr="002E3B35">
        <w:t xml:space="preserve"> престарелых, женщин и молодежи н</w:t>
      </w:r>
      <w:r w:rsidRPr="002E3B35">
        <w:t>а</w:t>
      </w:r>
      <w:r w:rsidRPr="002E3B35">
        <w:t xml:space="preserve">мерено поддерживать проведение Дня </w:t>
      </w:r>
      <w:r>
        <w:t>за равную оплату</w:t>
      </w:r>
      <w:r w:rsidRPr="002E3B35">
        <w:t xml:space="preserve"> труда до 2011 года</w:t>
      </w:r>
      <w:r>
        <w:br/>
      </w:r>
      <w:r w:rsidRPr="002E3B35">
        <w:t>и далее. В этой связи сеть, занимающаяся организац</w:t>
      </w:r>
      <w:r>
        <w:t>ией ДРОТ, активно расш</w:t>
      </w:r>
      <w:r>
        <w:t>и</w:t>
      </w:r>
      <w:r>
        <w:t xml:space="preserve">ряется. </w:t>
      </w:r>
      <w:r w:rsidRPr="002E3B35">
        <w:t>Прилагаются целенаправленные усилия для выдвижения на первый план отдельных ежегодных тем в рамках сотрудничества с соответствующими партнерами.</w:t>
      </w:r>
    </w:p>
    <w:p w:rsidR="004938DC" w:rsidRPr="002E3B35" w:rsidRDefault="004938DC" w:rsidP="004938DC">
      <w:pPr>
        <w:pStyle w:val="SingleTxtGR"/>
      </w:pPr>
      <w:r w:rsidRPr="002E3B35">
        <w:t>51.</w:t>
      </w:r>
      <w:r w:rsidRPr="002E3B35">
        <w:tab/>
        <w:t xml:space="preserve">В этом году День </w:t>
      </w:r>
      <w:r>
        <w:t>за равную оплату</w:t>
      </w:r>
      <w:r w:rsidRPr="002E3B35">
        <w:t xml:space="preserve"> труда был проведен 25 марта 2011 г</w:t>
      </w:r>
      <w:r w:rsidRPr="002E3B35">
        <w:t>о</w:t>
      </w:r>
      <w:r w:rsidRPr="002E3B35">
        <w:t>да, он сопровождался множеством мероприятий по всей стране и широко осв</w:t>
      </w:r>
      <w:r w:rsidRPr="002E3B35">
        <w:t>е</w:t>
      </w:r>
      <w:r w:rsidRPr="002E3B35">
        <w:t>щался средствами массовой информации. На пресс-к</w:t>
      </w:r>
      <w:r>
        <w:t>онференции федеральный министр д</w:t>
      </w:r>
      <w:r w:rsidRPr="002E3B35">
        <w:t xml:space="preserve">-р Кристина Шрёдер вместе с президентами Германской ассоциации </w:t>
      </w:r>
      <w:r>
        <w:t xml:space="preserve">сельских </w:t>
      </w:r>
      <w:r w:rsidRPr="002E3B35">
        <w:t xml:space="preserve">женщин и ЖПРЖ изучили различия </w:t>
      </w:r>
      <w:r>
        <w:t>в оплате труда между городом</w:t>
      </w:r>
      <w:r w:rsidRPr="002E3B35">
        <w:t xml:space="preserve"> и </w:t>
      </w:r>
      <w:r>
        <w:t>деревней</w:t>
      </w:r>
      <w:r w:rsidRPr="002E3B35">
        <w:t xml:space="preserve"> и представили новые проекты по </w:t>
      </w:r>
      <w:r>
        <w:t>устранению этих различий</w:t>
      </w:r>
      <w:r w:rsidRPr="002E3B35">
        <w:t>. В пл</w:t>
      </w:r>
      <w:r w:rsidRPr="002E3B35">
        <w:t>а</w:t>
      </w:r>
      <w:r w:rsidRPr="002E3B35">
        <w:t>нах проектов обоснована их необходимость и предусмотрены меры, касающиеся различий между городом и деревней, которые были сформулированы на симп</w:t>
      </w:r>
      <w:r w:rsidRPr="002E3B35">
        <w:t>о</w:t>
      </w:r>
      <w:r w:rsidRPr="002E3B35">
        <w:t>зиуме 8 д</w:t>
      </w:r>
      <w:r w:rsidRPr="002E3B35">
        <w:t>е</w:t>
      </w:r>
      <w:r w:rsidRPr="002E3B35">
        <w:t xml:space="preserve">кабря 2010 года. </w:t>
      </w:r>
    </w:p>
    <w:p w:rsidR="004938DC" w:rsidRPr="002E3B35" w:rsidRDefault="004938DC" w:rsidP="004938DC">
      <w:pPr>
        <w:pStyle w:val="H23GR"/>
      </w:pPr>
      <w:r>
        <w:tab/>
      </w:r>
      <w:r w:rsidRPr="002E3B35">
        <w:t>е)</w:t>
      </w:r>
      <w:r w:rsidRPr="002E3B35">
        <w:tab/>
        <w:t>Федеральное агентство по борьбе с дискриминацией</w:t>
      </w:r>
    </w:p>
    <w:p w:rsidR="004938DC" w:rsidRPr="002E3B35" w:rsidRDefault="004938DC" w:rsidP="004938DC">
      <w:pPr>
        <w:pStyle w:val="SingleTxtGR"/>
      </w:pPr>
      <w:r w:rsidRPr="002E3B35">
        <w:t>52.</w:t>
      </w:r>
      <w:r w:rsidRPr="002E3B35">
        <w:tab/>
      </w:r>
      <w:r>
        <w:t>После того</w:t>
      </w:r>
      <w:r w:rsidRPr="002E3B35">
        <w:t xml:space="preserve"> как в авг</w:t>
      </w:r>
      <w:r w:rsidRPr="002E3B35">
        <w:t>у</w:t>
      </w:r>
      <w:r w:rsidRPr="002E3B35">
        <w:t>сте 2006 года вступил в силу Общий закон о равном обращении (Allgemeines Gleichbehandlun</w:t>
      </w:r>
      <w:r>
        <w:t>gsgesetz −</w:t>
      </w:r>
      <w:r w:rsidRPr="002E3B35">
        <w:t xml:space="preserve"> AGG)</w:t>
      </w:r>
      <w:r>
        <w:t xml:space="preserve">, </w:t>
      </w:r>
      <w:r w:rsidRPr="002E3B35">
        <w:t>Федеральное агентс</w:t>
      </w:r>
      <w:r w:rsidRPr="002E3B35">
        <w:t>т</w:t>
      </w:r>
      <w:r w:rsidRPr="002E3B35">
        <w:t>во по борьбе с диск</w:t>
      </w:r>
      <w:r>
        <w:t>риминацией приступило к своей работе</w:t>
      </w:r>
      <w:r w:rsidRPr="002E3B35">
        <w:t xml:space="preserve">. Это </w:t>
      </w:r>
      <w:r>
        <w:t xml:space="preserve">− </w:t>
      </w:r>
      <w:r w:rsidRPr="002E3B35">
        <w:t xml:space="preserve">независимый информационный центр для лиц, подвергшихся дискриминации по одной из причин, указанных в AGG. </w:t>
      </w:r>
      <w:r>
        <w:t>В ходе</w:t>
      </w:r>
      <w:r w:rsidRPr="002E3B35">
        <w:t xml:space="preserve"> своей консультативной деятельности и в ра</w:t>
      </w:r>
      <w:r w:rsidRPr="002E3B35">
        <w:t>м</w:t>
      </w:r>
      <w:r w:rsidRPr="002E3B35">
        <w:t xml:space="preserve">ках сотрудничества, осуществляемого </w:t>
      </w:r>
      <w:r>
        <w:t xml:space="preserve">его </w:t>
      </w:r>
      <w:r w:rsidRPr="002E3B35">
        <w:t>консультативным советом</w:t>
      </w:r>
      <w:r>
        <w:t>,</w:t>
      </w:r>
      <w:r w:rsidRPr="002E3B35">
        <w:t xml:space="preserve"> Федерал</w:t>
      </w:r>
      <w:r w:rsidRPr="002E3B35">
        <w:t>ь</w:t>
      </w:r>
      <w:r w:rsidRPr="002E3B35">
        <w:t>ное агентство по борьбе с дискриминацией получает важ</w:t>
      </w:r>
      <w:r>
        <w:t>ную информацию</w:t>
      </w:r>
      <w:r>
        <w:br/>
      </w:r>
      <w:r w:rsidRPr="002E3B35">
        <w:t xml:space="preserve">о дискриминации в Германии, в том числе </w:t>
      </w:r>
      <w:r>
        <w:t>о неравной оплате</w:t>
      </w:r>
      <w:r w:rsidRPr="002E3B35">
        <w:t xml:space="preserve"> тр</w:t>
      </w:r>
      <w:r w:rsidRPr="002E3B35">
        <w:t>у</w:t>
      </w:r>
      <w:r w:rsidRPr="002E3B35">
        <w:t>да.</w:t>
      </w:r>
    </w:p>
    <w:p w:rsidR="004938DC" w:rsidRPr="002E3B35" w:rsidRDefault="004938DC" w:rsidP="004938DC">
      <w:pPr>
        <w:pStyle w:val="SingleTxtGR"/>
      </w:pPr>
      <w:r w:rsidRPr="002E3B35">
        <w:t>53.</w:t>
      </w:r>
      <w:r w:rsidRPr="002E3B35">
        <w:tab/>
        <w:t xml:space="preserve">Цель Общего закона о равном обращении заключается в предотвращении или прекращении дискриминации по признаку </w:t>
      </w:r>
      <w:r>
        <w:t>расового</w:t>
      </w:r>
      <w:r w:rsidRPr="002E3B35">
        <w:t xml:space="preserve"> или этнического пр</w:t>
      </w:r>
      <w:r w:rsidRPr="002E3B35">
        <w:t>о</w:t>
      </w:r>
      <w:r w:rsidRPr="002E3B35">
        <w:t xml:space="preserve">исхождения, пола, религии или убеждений, инвалидности, возраста </w:t>
      </w:r>
      <w:r>
        <w:t>и</w:t>
      </w:r>
      <w:r w:rsidRPr="002E3B35">
        <w:t xml:space="preserve"> сексуал</w:t>
      </w:r>
      <w:r w:rsidRPr="002E3B35">
        <w:t>ь</w:t>
      </w:r>
      <w:r w:rsidRPr="002E3B35">
        <w:t xml:space="preserve">ной ориентации, в частности, в сфере занятости и </w:t>
      </w:r>
      <w:r>
        <w:t xml:space="preserve">в </w:t>
      </w:r>
      <w:r w:rsidRPr="002E3B35">
        <w:t xml:space="preserve">профессиональной жизни. AGG запрещает </w:t>
      </w:r>
      <w:r>
        <w:t xml:space="preserve">устанавливать </w:t>
      </w:r>
      <w:r w:rsidRPr="002E3B35">
        <w:t>различия в оплате труда, основанные на половой принадлежности сотрудников, при условии выполнения ими равноценной раб</w:t>
      </w:r>
      <w:r w:rsidRPr="002E3B35">
        <w:t>о</w:t>
      </w:r>
      <w:r w:rsidRPr="002E3B35">
        <w:t>ты.</w:t>
      </w:r>
    </w:p>
    <w:p w:rsidR="00C55ACE" w:rsidRDefault="00C55ACE" w:rsidP="00C55ACE">
      <w:pPr>
        <w:pStyle w:val="H23GR"/>
      </w:pPr>
      <w:r>
        <w:rPr>
          <w:lang w:val="fr-CH"/>
        </w:rPr>
        <w:tab/>
        <w:t>f</w:t>
      </w:r>
      <w:r>
        <w:t>)</w:t>
      </w:r>
      <w:r>
        <w:tab/>
        <w:t>Земли</w:t>
      </w:r>
    </w:p>
    <w:p w:rsidR="00C55ACE" w:rsidRDefault="00C55ACE" w:rsidP="00C55ACE">
      <w:pPr>
        <w:pStyle w:val="SingleTxtGR"/>
      </w:pPr>
      <w:r>
        <w:t>54.</w:t>
      </w:r>
      <w:r>
        <w:tab/>
        <w:t>Земли поддерживают инициативы федерального правительства по борьбе с неравной оплатой труда посредством различных собственных мер</w:t>
      </w:r>
      <w:r>
        <w:rPr>
          <w:vertAlign w:val="superscript"/>
        </w:rPr>
        <w:footnoteReference w:id="16"/>
      </w:r>
      <w:r>
        <w:t xml:space="preserve"> и на еж</w:t>
      </w:r>
      <w:r>
        <w:t>е</w:t>
      </w:r>
      <w:r>
        <w:t>годной Конференции министров и сенаторов земель за равные возможности для женщин (</w:t>
      </w:r>
      <w:r>
        <w:rPr>
          <w:lang w:val="fr-CH"/>
        </w:rPr>
        <w:t>GFMK</w:t>
      </w:r>
      <w:r>
        <w:t>) регулярно обращаются к федеральному правительству с пр</w:t>
      </w:r>
      <w:r>
        <w:t>и</w:t>
      </w:r>
      <w:r>
        <w:t>зывом принять целенаправленные меры по сокращению различий в оплате тр</w:t>
      </w:r>
      <w:r>
        <w:t>у</w:t>
      </w:r>
      <w:r>
        <w:t>да, которые наблюдаются также и в системе государственной службы. Кроме того, земли поддерживают реализацию таких проектов, как День за равную о</w:t>
      </w:r>
      <w:r>
        <w:t>п</w:t>
      </w:r>
      <w:r>
        <w:t xml:space="preserve">лату труда и </w:t>
      </w:r>
      <w:r>
        <w:rPr>
          <w:lang w:val="fr-CH"/>
        </w:rPr>
        <w:t>Logib</w:t>
      </w:r>
      <w:r>
        <w:t>-</w:t>
      </w:r>
      <w:r>
        <w:rPr>
          <w:lang w:val="en-US"/>
        </w:rPr>
        <w:t>D</w:t>
      </w:r>
      <w:r>
        <w:rPr>
          <w:sz w:val="18"/>
          <w:szCs w:val="18"/>
          <w:vertAlign w:val="superscript"/>
        </w:rPr>
        <w:footnoteReference w:id="17"/>
      </w:r>
      <w:r>
        <w:t xml:space="preserve">. </w:t>
      </w:r>
    </w:p>
    <w:p w:rsidR="00C55ACE" w:rsidRDefault="00C55ACE" w:rsidP="00C55ACE">
      <w:pPr>
        <w:pStyle w:val="H1GR"/>
      </w:pPr>
      <w:r>
        <w:tab/>
      </w:r>
      <w:r>
        <w:rPr>
          <w:lang w:val="fr-CH"/>
        </w:rPr>
        <w:t>D</w:t>
      </w:r>
      <w:r>
        <w:t>.</w:t>
      </w:r>
      <w:r>
        <w:tab/>
        <w:t>Принимаемые федеральным правительством ориентированные на причины меры по устранению неравенства в оплате труда</w:t>
      </w:r>
    </w:p>
    <w:p w:rsidR="00C55ACE" w:rsidRDefault="00C55ACE" w:rsidP="00C55ACE">
      <w:pPr>
        <w:pStyle w:val="H23GR"/>
      </w:pPr>
      <w:r>
        <w:tab/>
        <w:t>1.</w:t>
      </w:r>
      <w:r>
        <w:tab/>
        <w:t>Изменение стереотипов о роли мужчин и женщин и увеличение доли женщин на руководящих должностях</w:t>
      </w:r>
    </w:p>
    <w:p w:rsidR="00C55ACE" w:rsidRDefault="00C55ACE" w:rsidP="00C55ACE">
      <w:pPr>
        <w:pStyle w:val="SingleTxtGR"/>
      </w:pPr>
      <w:r>
        <w:t>55.</w:t>
      </w:r>
      <w:r>
        <w:tab/>
        <w:t>Традиционные ролевые модели в некоторых социальных средах/слоях я</w:t>
      </w:r>
      <w:r>
        <w:t>в</w:t>
      </w:r>
      <w:r>
        <w:t>ляются важной причиной ограниченного спектра профессий, выбираемых же</w:t>
      </w:r>
      <w:r>
        <w:t>н</w:t>
      </w:r>
      <w:r>
        <w:t>щинами, а также препятствий, с которыми они сталкиваются в своей карьере. Так, в контексте политики обеспечения равенства федеральное правительство ставит своей целью значительное расширение диапазона выбираемых женщ</w:t>
      </w:r>
      <w:r>
        <w:t>и</w:t>
      </w:r>
      <w:r>
        <w:t>нами и мужчинами профессий и улучшение возможностей в работе и карь</w:t>
      </w:r>
      <w:r>
        <w:t>е</w:t>
      </w:r>
      <w:r w:rsidR="002A6C16">
        <w:t>ре</w:t>
      </w:r>
      <w:r w:rsidR="002A6C16">
        <w:br/>
      </w:r>
      <w:r>
        <w:t>в целом.</w:t>
      </w:r>
    </w:p>
    <w:p w:rsidR="00C55ACE" w:rsidRDefault="00C55ACE" w:rsidP="00C55ACE">
      <w:pPr>
        <w:pStyle w:val="SingleTxtGR"/>
      </w:pPr>
      <w:r>
        <w:t>56.</w:t>
      </w:r>
      <w:r>
        <w:tab/>
        <w:t>Через программы федерального правительства в сотрудничестве с ра</w:t>
      </w:r>
      <w:r>
        <w:t>з</w:t>
      </w:r>
      <w:r>
        <w:t>личными партнерами, такими как проекты "День девочек" и "Komm, mach MINT" (выбирай профессии МИЕТ), девушек и молодых женщин стимулируют к выбору профессии в "нетипично женских" сферах, которые прежде редко их привлекали, тем самым расширяя диапазон профессий, из которых они могут делать выбор. По всей стране девочки, учащиеся с пятого по десятый класс школы, могут участвовать в проекте "День девочек", в ходе которого они могут знакомиться с работой компаний и учреждений в различных ориентированных на будущее профессиональных областях, в частности, в области естественных и технических наук. Под девизом "Komm, mach MINT" Федеральное министерс</w:t>
      </w:r>
      <w:r>
        <w:t>т</w:t>
      </w:r>
      <w:r>
        <w:t>во образования и исследований (Bundesministerium für Bildung und Forschung – BMBF) стремится привлечь как можно больше молодых женщин к работе в х</w:t>
      </w:r>
      <w:r>
        <w:t>о</w:t>
      </w:r>
      <w:r>
        <w:t>рошо оплачиваемых профессиях в области МИЕТ посредством инициативы, реализация которой началась в 2008 году в сотрудничестве с партнерами из о</w:t>
      </w:r>
      <w:r>
        <w:t>б</w:t>
      </w:r>
      <w:r>
        <w:t>ласти науки и бизнеса. Наряду с этим BMFSFJ также уделяет внимание выбору профессий и планированию жизни мальчиками и молодыми мужчинами: в 2005 году BMFSFJ начал осуществление национального проекта "Neue Wege für Jungs" (новые возможности для мальчиков) и в 2011 году одновременно с Днем девочек был весьма успешно организован первый День мал</w:t>
      </w:r>
      <w:r>
        <w:t>ь</w:t>
      </w:r>
      <w:r>
        <w:t>чиков.</w:t>
      </w:r>
    </w:p>
    <w:p w:rsidR="00C55ACE" w:rsidRDefault="00C55ACE" w:rsidP="00C55ACE">
      <w:pPr>
        <w:pStyle w:val="SingleTxtGR"/>
      </w:pPr>
      <w:r>
        <w:t>57.</w:t>
      </w:r>
      <w:r>
        <w:tab/>
        <w:t>Для того чтобы поощрять работу женщин на руководящих должностях, в коалиционном соглашении была предусмотрена разработка многоступенчатого плана. Этот план посвящен обеспечению прозрачности, добровольных обяз</w:t>
      </w:r>
      <w:r>
        <w:t>а</w:t>
      </w:r>
      <w:r>
        <w:t>тельств и координации в борьбе с причинами неравенства в оплате труда. Он будет осуществляться поэтапно.</w:t>
      </w:r>
    </w:p>
    <w:p w:rsidR="00C55ACE" w:rsidRDefault="00C55ACE" w:rsidP="00C55ACE">
      <w:pPr>
        <w:pStyle w:val="H23GR"/>
      </w:pPr>
      <w:r>
        <w:tab/>
        <w:t>2.</w:t>
      </w:r>
      <w:r>
        <w:tab/>
        <w:t>Улучшение базовых условий путем</w:t>
      </w:r>
      <w:r w:rsidR="002A6C16">
        <w:t xml:space="preserve"> принятия мер в интересах семьи</w:t>
      </w:r>
      <w:r w:rsidR="002A6C16">
        <w:br/>
      </w:r>
      <w:r>
        <w:t>и оказания поддержки при возвращении на работу</w:t>
      </w:r>
    </w:p>
    <w:p w:rsidR="00C55ACE" w:rsidRDefault="00C55ACE" w:rsidP="00C55ACE">
      <w:pPr>
        <w:pStyle w:val="SingleTxtGR"/>
      </w:pPr>
      <w:r>
        <w:t>58.</w:t>
      </w:r>
      <w:r>
        <w:tab/>
        <w:t>В Германии перерывы в профессиональной деятельности по семейным обстоятельствам и сокращение количества рабочих часов являются важными причинами неравенства в оплате труда. Сравнение с другими странами четко показывает, что в странах с большей долей работающих женщин и хорошей инфраструктурой для сбалансированного сочетания семейной и трудовой жи</w:t>
      </w:r>
      <w:r>
        <w:t>з</w:t>
      </w:r>
      <w:r>
        <w:t>ни разрыв между средними доходами женщин и мужчин меньше. Сбалансир</w:t>
      </w:r>
      <w:r>
        <w:t>о</w:t>
      </w:r>
      <w:r>
        <w:t>ванное сочетание семейной и трудовой жизни обеспечивает женщинам возмо</w:t>
      </w:r>
      <w:r>
        <w:t>ж</w:t>
      </w:r>
      <w:r>
        <w:t>ность не прерывать трудовую деятельность и заниматься такой работой, которая гарантирует финансовую независимость. Поэтому решающее значение имеет создание подходящих базовых условий в этой области для матерей и отцов. Ф</w:t>
      </w:r>
      <w:r>
        <w:t>е</w:t>
      </w:r>
      <w:r>
        <w:t>деральное правительство, проводя свою политику в интересах семьи и равенс</w:t>
      </w:r>
      <w:r>
        <w:t>т</w:t>
      </w:r>
      <w:r>
        <w:t>ва, в последние годы внесло существенный вклад в этот процесс. К мерам, к</w:t>
      </w:r>
      <w:r>
        <w:t>о</w:t>
      </w:r>
      <w:r>
        <w:t>торые облегчат женщинам и мужчинам достижение баланса между семейной и трудовой жизнью и будут способствовать распределению обязанностей по ух</w:t>
      </w:r>
      <w:r>
        <w:t>о</w:t>
      </w:r>
      <w:r>
        <w:t>ду за ребенком в справедливых партнерских отношениях между мужчиной и женщиной, относятся: дополнительное совершенствование системы ухода за детьми, в частности для детей в возрасте до трех лет, расширение возможн</w:t>
      </w:r>
      <w:r>
        <w:t>о</w:t>
      </w:r>
      <w:r>
        <w:t>стей списания затрат на уход за ребенком, введение пособия по уходу за ребе</w:t>
      </w:r>
      <w:r>
        <w:t>н</w:t>
      </w:r>
      <w:r>
        <w:t>ком в качестве части заработной платы и соответствующих отпусков для род</w:t>
      </w:r>
      <w:r>
        <w:t>и</w:t>
      </w:r>
      <w:r>
        <w:t>телей по уходу за детьми.</w:t>
      </w:r>
    </w:p>
    <w:p w:rsidR="00C55ACE" w:rsidRDefault="00C55ACE" w:rsidP="00C55ACE">
      <w:pPr>
        <w:pStyle w:val="SingleTxtGR"/>
      </w:pPr>
      <w:r>
        <w:t>59.</w:t>
      </w:r>
      <w:r>
        <w:tab/>
        <w:t>Важным дополнительным шагом является программа действий "Perspektive Wiedereinstieg" (профессиональная реинтеграция как перспектива). В рамках этой программы оказывается поддержка женщинам, прерывавшим свою трудовую жизнь на несколько лет по семейным обстоятельствам и ж</w:t>
      </w:r>
      <w:r>
        <w:t>е</w:t>
      </w:r>
      <w:r>
        <w:t>лающим вернуться на рынок труда. В рамках масштабной инициативы, осущ</w:t>
      </w:r>
      <w:r>
        <w:t>е</w:t>
      </w:r>
      <w:r>
        <w:t>ствляемой в сотрудничестве с Федеральным агентством по вопросам занятости, местным организаторам предоставляется поддержка в создании сетей по оказ</w:t>
      </w:r>
      <w:r>
        <w:t>а</w:t>
      </w:r>
      <w:r>
        <w:t>нию помощи женщинам, возвращающимся на рынок труда после вызванного семейными обстоятельствами перерыва, в частности в целях повышения уро</w:t>
      </w:r>
      <w:r>
        <w:t>в</w:t>
      </w:r>
      <w:r>
        <w:t>ня их квалификации. Реализация этой инициативы ведется в контексте пр</w:t>
      </w:r>
      <w:r>
        <w:t>о</w:t>
      </w:r>
      <w:r>
        <w:t>граммы </w:t>
      </w:r>
      <w:r>
        <w:rPr>
          <w:lang w:val="fr-CH"/>
        </w:rPr>
        <w:t>ESF</w:t>
      </w:r>
      <w:r>
        <w:t xml:space="preserve"> (общая стоимость около 30 млн. евро), которая будет поддерживать 17 образцовых населенных пунктов, охваченных данной программой. Навиг</w:t>
      </w:r>
      <w:r>
        <w:t>а</w:t>
      </w:r>
      <w:r>
        <w:t>ционный портал для женщин, возвращающихся на рынок труда, способствует доступности конкретных мер помощи с марта 2009 года. BMFSFJ также по</w:t>
      </w:r>
      <w:r>
        <w:t>д</w:t>
      </w:r>
      <w:r>
        <w:t>держивает конкретные рекламные меры на местном уровне в форме специал</w:t>
      </w:r>
      <w:r>
        <w:t>ь</w:t>
      </w:r>
      <w:r>
        <w:t>ных информационных дней по возвращению на рынок труда.</w:t>
      </w:r>
    </w:p>
    <w:p w:rsidR="00C55ACE" w:rsidRDefault="00C55ACE" w:rsidP="00C55ACE">
      <w:pPr>
        <w:pStyle w:val="H23GR"/>
      </w:pPr>
      <w:r>
        <w:tab/>
        <w:t>3.</w:t>
      </w:r>
      <w:r>
        <w:tab/>
        <w:t>Реформирование структур оплаты труда</w:t>
      </w:r>
    </w:p>
    <w:p w:rsidR="00C55ACE" w:rsidRDefault="00C55ACE" w:rsidP="00C55ACE">
      <w:pPr>
        <w:pStyle w:val="SingleTxtGR"/>
      </w:pPr>
      <w:r>
        <w:t>60.</w:t>
      </w:r>
      <w:r>
        <w:tab/>
        <w:t>Федеральное правительство напрямую не вмешивается в установление сеток заработной платы, за исключением сектора государственной службы.</w:t>
      </w:r>
      <w:r>
        <w:br/>
        <w:t>По большей части это является обязанностью организаций, применяющих принцип коллективного договора, отдельных работодателей, сотрудниц-женщин, а также советов предприятий и персонала. Конкретно говоря, это − вопросы оценки должностей в соглашениях коллективного договора, реформ</w:t>
      </w:r>
      <w:r>
        <w:t>и</w:t>
      </w:r>
      <w:r>
        <w:t>рования структур заработной платы и проце</w:t>
      </w:r>
      <w:r>
        <w:t>с</w:t>
      </w:r>
      <w:r>
        <w:t>са переговоров по поводу размера оплаты труда.</w:t>
      </w:r>
    </w:p>
    <w:p w:rsidR="00C55ACE" w:rsidRDefault="00C55ACE" w:rsidP="00C55ACE">
      <w:pPr>
        <w:pStyle w:val="SingleTxtGR"/>
      </w:pPr>
      <w:r>
        <w:t>61.</w:t>
      </w:r>
      <w:r>
        <w:tab/>
        <w:t xml:space="preserve">В настоящее время работодатели располагают полезным инструментом в виде основанного на консультациях механизма </w:t>
      </w:r>
      <w:r>
        <w:rPr>
          <w:lang w:val="fr-CH"/>
        </w:rPr>
        <w:t>Logib</w:t>
      </w:r>
      <w:r>
        <w:t>-</w:t>
      </w:r>
      <w:r>
        <w:rPr>
          <w:lang w:val="en-US"/>
        </w:rPr>
        <w:t>D</w:t>
      </w:r>
      <w:r>
        <w:t>, который стимулирует работодателей к решению проблемы неравенства в оплате труда внутри комп</w:t>
      </w:r>
      <w:r>
        <w:t>а</w:t>
      </w:r>
      <w:r>
        <w:t xml:space="preserve">нии. Предоставляя в пользование </w:t>
      </w:r>
      <w:r>
        <w:rPr>
          <w:lang w:val="fr-CH"/>
        </w:rPr>
        <w:t>Logib</w:t>
      </w:r>
      <w:r>
        <w:t>-</w:t>
      </w:r>
      <w:r>
        <w:rPr>
          <w:lang w:val="en-US"/>
        </w:rPr>
        <w:t>D</w:t>
      </w:r>
      <w:r>
        <w:t>, федеральное правительство обесп</w:t>
      </w:r>
      <w:r>
        <w:t>е</w:t>
      </w:r>
      <w:r>
        <w:t>чивает компании надежным инструментом, который может использоваться для определения масштабов разрыва в оплате труда в компании, факторов, опред</w:t>
      </w:r>
      <w:r>
        <w:t>е</w:t>
      </w:r>
      <w:r>
        <w:t xml:space="preserve">ляющих этот разрыв, и возможных средств его устранения. </w:t>
      </w:r>
      <w:r>
        <w:rPr>
          <w:lang w:val="fr-CH"/>
        </w:rPr>
        <w:t>Logib</w:t>
      </w:r>
      <w:r>
        <w:t>-</w:t>
      </w:r>
      <w:r>
        <w:rPr>
          <w:lang w:val="en-US"/>
        </w:rPr>
        <w:t>D</w:t>
      </w:r>
      <w:r>
        <w:t xml:space="preserve"> является объективным методом определения различий в соответствии с признанными стандартами экономического исследования (теории человеческого капитала) и не зависит от юридического определения. Он не был задуман как инструмент для изучения дискриминационного неравенства в оплате труда и поэтому не я</w:t>
      </w:r>
      <w:r>
        <w:t>в</w:t>
      </w:r>
      <w:r>
        <w:t>ляется показателем такого неравенства, которое может быть использовано в к</w:t>
      </w:r>
      <w:r>
        <w:t>а</w:t>
      </w:r>
      <w:r>
        <w:t xml:space="preserve">честве доказательства в суде. Напротив, </w:t>
      </w:r>
      <w:r>
        <w:rPr>
          <w:lang w:val="fr-CH"/>
        </w:rPr>
        <w:t>Logib</w:t>
      </w:r>
      <w:r>
        <w:t>-</w:t>
      </w:r>
      <w:r>
        <w:rPr>
          <w:lang w:val="en-US"/>
        </w:rPr>
        <w:t>D</w:t>
      </w:r>
      <w:r>
        <w:t xml:space="preserve"> служит для выявления стру</w:t>
      </w:r>
      <w:r>
        <w:t>к</w:t>
      </w:r>
      <w:r>
        <w:t>тур конкретной компании, которые оказывают существенное воздействие на различия в оплате труда мужчин и женщин.</w:t>
      </w:r>
    </w:p>
    <w:p w:rsidR="00C55ACE" w:rsidRDefault="00C55ACE" w:rsidP="00C55ACE">
      <w:pPr>
        <w:pStyle w:val="SingleTxtGR"/>
      </w:pPr>
      <w:r>
        <w:t>62.</w:t>
      </w:r>
      <w:r>
        <w:tab/>
        <w:t xml:space="preserve">Зарегистрированное фирменное наименование этого инструмента − </w:t>
      </w:r>
      <w:r>
        <w:rPr>
          <w:lang w:val="fr-CH"/>
        </w:rPr>
        <w:t>L</w:t>
      </w:r>
      <w:r>
        <w:rPr>
          <w:lang w:val="fr-CH"/>
        </w:rPr>
        <w:t>o</w:t>
      </w:r>
      <w:r>
        <w:rPr>
          <w:lang w:val="fr-CH"/>
        </w:rPr>
        <w:t>gib</w:t>
      </w:r>
      <w:r>
        <w:t>-</w:t>
      </w:r>
      <w:r>
        <w:rPr>
          <w:lang w:val="en-US"/>
        </w:rPr>
        <w:t>D</w:t>
      </w:r>
      <w:r>
        <w:t xml:space="preserve"> − акроним от Lohngleichheit im Betrieb – Deutschland (равная зарплата в компаниях Германии), состоящего из ряда взаимозависимых модулей. Наряду с базовой программой Excel для Logib-D, при помощи которой можно анализир</w:t>
      </w:r>
      <w:r>
        <w:t>о</w:t>
      </w:r>
      <w:r>
        <w:t xml:space="preserve">вать структуры заработной платы на сайте </w:t>
      </w:r>
      <w:hyperlink r:id="rId10" w:history="1">
        <w:r>
          <w:rPr>
            <w:rStyle w:val="Hyperlink"/>
            <w:u w:val="none"/>
          </w:rPr>
          <w:t>www.logib-d.de</w:t>
        </w:r>
      </w:hyperlink>
      <w:r>
        <w:t>, заинтересованные компании могут также использовать интерактивную версию. Это дает возмо</w:t>
      </w:r>
      <w:r>
        <w:t>ж</w:t>
      </w:r>
      <w:r>
        <w:t>ность подготовить информацию наиболее удобным для польз</w:t>
      </w:r>
      <w:r>
        <w:t>о</w:t>
      </w:r>
      <w:r>
        <w:t xml:space="preserve">вателей способом и распечатать стандартизованный доклад о результатах в формате </w:t>
      </w:r>
      <w:r>
        <w:rPr>
          <w:lang w:val="fr-CH"/>
        </w:rPr>
        <w:t>PDF</w:t>
      </w:r>
      <w:r>
        <w:t xml:space="preserve"> всего через несколько минут после загрузки данных; он включает подробный анализ структур оплаты труда, ориентированный на равенство. Дифференцированные расчеты неравенства в оплате труда в компаниях могут проводиться как для компании в целом, так и для ее отделений или департаментов. В конечном ит</w:t>
      </w:r>
      <w:r>
        <w:t>о</w:t>
      </w:r>
      <w:r>
        <w:t>ге 200 заинтересованных компаний в период между 2010 и 2012 годами см</w:t>
      </w:r>
      <w:r>
        <w:t>о</w:t>
      </w:r>
      <w:r>
        <w:t>гут бесплатно получить конфиденциальную стандартную консультацию относ</w:t>
      </w:r>
      <w:r>
        <w:t>и</w:t>
      </w:r>
      <w:r>
        <w:t xml:space="preserve">тельно структур оплаты труда, основанную на </w:t>
      </w:r>
      <w:r>
        <w:rPr>
          <w:lang w:val="fr-CH"/>
        </w:rPr>
        <w:t>Logib</w:t>
      </w:r>
      <w:r>
        <w:t>-</w:t>
      </w:r>
      <w:r>
        <w:rPr>
          <w:lang w:val="en-US"/>
        </w:rPr>
        <w:t>D</w:t>
      </w:r>
      <w:r>
        <w:t>. Руководители отделов кадров тем самым получают инструмент, существенно облегчающий им изуч</w:t>
      </w:r>
      <w:r>
        <w:t>е</w:t>
      </w:r>
      <w:r>
        <w:t>ние структур оплаты труда, обеспечивающий доступ к консультациям и пом</w:t>
      </w:r>
      <w:r>
        <w:t>о</w:t>
      </w:r>
      <w:r>
        <w:t xml:space="preserve">гающий в нахождении нужных решений для компании (анализ-консультация-решение). Используя </w:t>
      </w:r>
      <w:r>
        <w:rPr>
          <w:lang w:val="fr-CH"/>
        </w:rPr>
        <w:t>Logib</w:t>
      </w:r>
      <w:r>
        <w:t>-</w:t>
      </w:r>
      <w:r>
        <w:rPr>
          <w:lang w:val="en-US"/>
        </w:rPr>
        <w:t>D</w:t>
      </w:r>
      <w:r>
        <w:t xml:space="preserve">, работодатели в компаниях, независимо от того, связаны они обязательствами коллективного договора или нет, могут выявить факторы, влияющие на гендерный разрыв в оплате труда, и выработать меры, обеспечивающие гендерное равенство в структурах оплаты труда их компаний; учитывая демографический сдвиг и нехватку специалистов, этот инструмент представляет собой хорошую инвестицию в будущее компании. Программа </w:t>
      </w:r>
      <w:r>
        <w:rPr>
          <w:lang w:val="fr-CH"/>
        </w:rPr>
        <w:t>L</w:t>
      </w:r>
      <w:r>
        <w:rPr>
          <w:lang w:val="fr-CH"/>
        </w:rPr>
        <w:t>o</w:t>
      </w:r>
      <w:r>
        <w:rPr>
          <w:lang w:val="fr-CH"/>
        </w:rPr>
        <w:t>gib</w:t>
      </w:r>
      <w:r>
        <w:t>-</w:t>
      </w:r>
      <w:r>
        <w:rPr>
          <w:lang w:val="en-US"/>
        </w:rPr>
        <w:t>D</w:t>
      </w:r>
      <w:r>
        <w:t xml:space="preserve"> распространяется Федеральным министерством по делам семьи, прест</w:t>
      </w:r>
      <w:r>
        <w:t>а</w:t>
      </w:r>
      <w:r>
        <w:t>релых, женщин и молодежи и внедряется в сотрудничестве с известными пар</w:t>
      </w:r>
      <w:r>
        <w:t>т</w:t>
      </w:r>
      <w:r>
        <w:t>нерами торгово-промышленного сектора Германии.</w:t>
      </w:r>
    </w:p>
    <w:p w:rsidR="002C39EC" w:rsidRPr="00372E88" w:rsidRDefault="002C39EC" w:rsidP="002C39EC">
      <w:pPr>
        <w:pStyle w:val="SingleTxtGR"/>
      </w:pPr>
      <w:r w:rsidRPr="00372E88">
        <w:t>63.</w:t>
      </w:r>
      <w:r w:rsidRPr="00372E88">
        <w:tab/>
        <w:t>Наконец, BMFSFJ оказывает поддержку социальным партнерам и всем другим участникам, играющим активную роль в процессе установления разм</w:t>
      </w:r>
      <w:r w:rsidRPr="00372E88">
        <w:t>е</w:t>
      </w:r>
      <w:r w:rsidRPr="00372E88">
        <w:t>ра оплаты труда, распространяя брошюру под названием "Fair P(l)ay – Entgeltgleichheit für Frauen und Männer" (справедливая оплата труда − равенство в оплате труда женщин и мужчин), которая была опубликована в 2007 году в к</w:t>
      </w:r>
      <w:r w:rsidRPr="00372E88">
        <w:t>а</w:t>
      </w:r>
      <w:r w:rsidRPr="00372E88">
        <w:t>честве руководства по осуществлению "принципа равной оплаты труда за одну и ту же или за равноценную работу". В этом руководстве рекомендуется и</w:t>
      </w:r>
      <w:r w:rsidRPr="00372E88">
        <w:t>с</w:t>
      </w:r>
      <w:r w:rsidRPr="00372E88">
        <w:t>пользовать более прозрачные и недискриминационные (аналитические) методы оценки труда в коллективн</w:t>
      </w:r>
      <w:r>
        <w:t xml:space="preserve">ых </w:t>
      </w:r>
      <w:r w:rsidRPr="00372E88">
        <w:t>договора</w:t>
      </w:r>
      <w:r>
        <w:t>х</w:t>
      </w:r>
      <w:r w:rsidRPr="00372E88">
        <w:t xml:space="preserve"> в целях борьбы с укоренением стере</w:t>
      </w:r>
      <w:r w:rsidRPr="00372E88">
        <w:t>о</w:t>
      </w:r>
      <w:r w:rsidRPr="00372E88">
        <w:t>типов относительно более низкой оплаты труда. Frauenlohnspiegel (обследов</w:t>
      </w:r>
      <w:r w:rsidRPr="00372E88">
        <w:t>а</w:t>
      </w:r>
      <w:r w:rsidRPr="00372E88">
        <w:t>ние заработной платы женщин), проводимое при поддержке ЕС, дает важные ориентиры для согласования индивидуальных соглашений об оплате труда.</w:t>
      </w:r>
    </w:p>
    <w:p w:rsidR="002C39EC" w:rsidRPr="00372E88" w:rsidRDefault="002C39EC" w:rsidP="002C39EC">
      <w:pPr>
        <w:pStyle w:val="H1GR"/>
      </w:pPr>
      <w:r>
        <w:tab/>
      </w:r>
      <w:r w:rsidRPr="00372E88">
        <w:t>Е.</w:t>
      </w:r>
      <w:r w:rsidRPr="00372E88">
        <w:tab/>
        <w:t>Запланированные меры</w:t>
      </w:r>
    </w:p>
    <w:p w:rsidR="002C39EC" w:rsidRPr="00372E88" w:rsidRDefault="002C39EC" w:rsidP="002C39EC">
      <w:pPr>
        <w:pStyle w:val="SingleTxtGR"/>
      </w:pPr>
      <w:r w:rsidRPr="00372E88">
        <w:t>64.</w:t>
      </w:r>
      <w:r w:rsidRPr="00372E88">
        <w:tab/>
        <w:t xml:space="preserve">В конце 2010 </w:t>
      </w:r>
      <w:r>
        <w:t>−</w:t>
      </w:r>
      <w:r w:rsidRPr="00372E88">
        <w:t xml:space="preserve"> начале 2011 года комиссией, учрежденной специально для этих целей</w:t>
      </w:r>
      <w:r>
        <w:t xml:space="preserve">, </w:t>
      </w:r>
      <w:r w:rsidRPr="00372E88">
        <w:t>был представлен первый доклад федерального правительства о р</w:t>
      </w:r>
      <w:r w:rsidRPr="00372E88">
        <w:t>а</w:t>
      </w:r>
      <w:r w:rsidRPr="00372E88">
        <w:t xml:space="preserve">венстве. Содержащаяся в нем концепция политики по обеспечению равенства ориентирована на </w:t>
      </w:r>
      <w:r>
        <w:t xml:space="preserve">перспективу </w:t>
      </w:r>
      <w:r w:rsidRPr="00372E88">
        <w:t>жизненн</w:t>
      </w:r>
      <w:r>
        <w:t>ого</w:t>
      </w:r>
      <w:r w:rsidRPr="00372E88">
        <w:t xml:space="preserve"> цикл</w:t>
      </w:r>
      <w:r>
        <w:t>а</w:t>
      </w:r>
      <w:r w:rsidRPr="00372E88">
        <w:t>: политика по обеспечению равенства, согласно основной идее, должна ориентироваться на различия в жи</w:t>
      </w:r>
      <w:r w:rsidRPr="00372E88">
        <w:t>з</w:t>
      </w:r>
      <w:r w:rsidRPr="00372E88">
        <w:t>ненных циклах женщин и мужчин и предоставлять целенаправленную по</w:t>
      </w:r>
      <w:r w:rsidRPr="00372E88">
        <w:t>д</w:t>
      </w:r>
      <w:r w:rsidRPr="00372E88">
        <w:t xml:space="preserve">держку </w:t>
      </w:r>
      <w:r>
        <w:t>на</w:t>
      </w:r>
      <w:r w:rsidRPr="00372E88">
        <w:t xml:space="preserve"> этап</w:t>
      </w:r>
      <w:r>
        <w:t>ах</w:t>
      </w:r>
      <w:r w:rsidRPr="00372E88">
        <w:t xml:space="preserve"> создания семьи или возвращения </w:t>
      </w:r>
      <w:r>
        <w:t>к</w:t>
      </w:r>
      <w:r w:rsidRPr="00372E88">
        <w:t xml:space="preserve"> профессиональн</w:t>
      </w:r>
      <w:r>
        <w:t>ой</w:t>
      </w:r>
      <w:r w:rsidRPr="00372E88">
        <w:t xml:space="preserve"> де</w:t>
      </w:r>
      <w:r w:rsidRPr="00372E88">
        <w:t>я</w:t>
      </w:r>
      <w:r w:rsidRPr="00372E88">
        <w:t>тельност</w:t>
      </w:r>
      <w:r>
        <w:t>и</w:t>
      </w:r>
      <w:r w:rsidRPr="00372E88">
        <w:t>. Политика, ориентированная на жизненный цикл, объединяет пол</w:t>
      </w:r>
      <w:r w:rsidRPr="00372E88">
        <w:t>и</w:t>
      </w:r>
      <w:r w:rsidRPr="00372E88">
        <w:t>тику равенства и социальную политику в рамках устойчивой политики соц</w:t>
      </w:r>
      <w:r w:rsidRPr="00372E88">
        <w:t>и</w:t>
      </w:r>
      <w:r w:rsidRPr="00372E88">
        <w:t xml:space="preserve">ального единения, </w:t>
      </w:r>
      <w:r>
        <w:t>в результате чего</w:t>
      </w:r>
      <w:r w:rsidRPr="00372E88">
        <w:t xml:space="preserve"> сокращаются гендерные недостатки и у</w:t>
      </w:r>
      <w:r w:rsidRPr="00372E88">
        <w:t>к</w:t>
      </w:r>
      <w:r w:rsidRPr="00372E88">
        <w:t>репляется режим общей ответственности в партнерс</w:t>
      </w:r>
      <w:r>
        <w:t>ких отношениях</w:t>
      </w:r>
      <w:r w:rsidRPr="00372E88">
        <w:t>. Тем с</w:t>
      </w:r>
      <w:r w:rsidRPr="00372E88">
        <w:t>а</w:t>
      </w:r>
      <w:r w:rsidRPr="00372E88">
        <w:t xml:space="preserve">мым </w:t>
      </w:r>
      <w:r>
        <w:t xml:space="preserve">эта политика </w:t>
      </w:r>
      <w:r w:rsidRPr="00372E88">
        <w:t>помогает предотвращать принятие решений на опред</w:t>
      </w:r>
      <w:r w:rsidRPr="00372E88">
        <w:t>е</w:t>
      </w:r>
      <w:r w:rsidRPr="00372E88">
        <w:t>ленных жизненных этапах, которые вырабатывались совместно (женщинами и мужч</w:t>
      </w:r>
      <w:r w:rsidRPr="00372E88">
        <w:t>и</w:t>
      </w:r>
      <w:r w:rsidRPr="00372E88">
        <w:t xml:space="preserve">нами), исходя из неравного распределения последующих рисков и </w:t>
      </w:r>
      <w:r>
        <w:t>недостатков, как это имеет место при сохранении</w:t>
      </w:r>
      <w:r w:rsidRPr="00372E88">
        <w:t xml:space="preserve"> неравенства в дох</w:t>
      </w:r>
      <w:r w:rsidRPr="00372E88">
        <w:t>о</w:t>
      </w:r>
      <w:r w:rsidRPr="00372E88">
        <w:t xml:space="preserve">дах.  </w:t>
      </w:r>
    </w:p>
    <w:p w:rsidR="002C39EC" w:rsidRDefault="002C39EC" w:rsidP="002C39EC">
      <w:pPr>
        <w:pStyle w:val="H23GR"/>
      </w:pPr>
      <w:r>
        <w:tab/>
      </w:r>
      <w:r w:rsidRPr="00372E88">
        <w:t>1.</w:t>
      </w:r>
      <w:r w:rsidRPr="00372E88">
        <w:tab/>
        <w:t xml:space="preserve">Время для возвращения </w:t>
      </w:r>
      <w:r>
        <w:t>к</w:t>
      </w:r>
      <w:r w:rsidRPr="00372E88">
        <w:t xml:space="preserve"> трудов</w:t>
      </w:r>
      <w:r>
        <w:t>ой</w:t>
      </w:r>
      <w:r w:rsidRPr="00372E88">
        <w:t xml:space="preserve"> жизн</w:t>
      </w:r>
      <w:r>
        <w:t>и</w:t>
      </w:r>
      <w:r w:rsidRPr="00372E88">
        <w:t xml:space="preserve"> (</w:t>
      </w:r>
      <w:r>
        <w:t>"</w:t>
      </w:r>
      <w:r w:rsidRPr="00372E88">
        <w:t>Zeit f</w:t>
      </w:r>
      <w:r w:rsidRPr="00C9248F">
        <w:t>ü</w:t>
      </w:r>
      <w:r w:rsidRPr="00372E88">
        <w:t>r Wiedereinstieg</w:t>
      </w:r>
      <w:r>
        <w:t>"</w:t>
      </w:r>
      <w:r w:rsidRPr="00372E88">
        <w:t>)</w:t>
      </w:r>
    </w:p>
    <w:p w:rsidR="002C39EC" w:rsidRPr="00372E88" w:rsidRDefault="007A4E60" w:rsidP="002C39EC">
      <w:pPr>
        <w:pStyle w:val="SingleTxtGR"/>
      </w:pPr>
      <w:r>
        <w:t>65.</w:t>
      </w:r>
      <w:r>
        <w:tab/>
      </w:r>
      <w:r w:rsidR="002C39EC" w:rsidRPr="00372E88">
        <w:t>Коалиционные фракции в ходатайстве, представленном по случаю Ме</w:t>
      </w:r>
      <w:r w:rsidR="002C39EC" w:rsidRPr="00372E88">
        <w:t>ж</w:t>
      </w:r>
      <w:r w:rsidR="002C39EC" w:rsidRPr="00372E88">
        <w:t xml:space="preserve">дународного женского дня – </w:t>
      </w:r>
      <w:r w:rsidR="002C39EC">
        <w:t>"О</w:t>
      </w:r>
      <w:r w:rsidR="002C39EC" w:rsidRPr="00372E88">
        <w:t>беспечение равенства на национальном и на м</w:t>
      </w:r>
      <w:r w:rsidR="002C39EC" w:rsidRPr="00372E88">
        <w:t>е</w:t>
      </w:r>
      <w:r w:rsidR="002C39EC" w:rsidRPr="00372E88">
        <w:t>ждународном уровнях</w:t>
      </w:r>
      <w:r w:rsidR="002C39EC">
        <w:t>"</w:t>
      </w:r>
      <w:r w:rsidR="002C39EC" w:rsidRPr="00372E88">
        <w:t xml:space="preserve"> (Bundestagsdrucksache 17/901) – призвали федеральное правительство продолжать осуществление программы действий </w:t>
      </w:r>
      <w:r w:rsidR="002C39EC">
        <w:t>"</w:t>
      </w:r>
      <w:r w:rsidR="002C39EC" w:rsidRPr="00372E88">
        <w:t>Професси</w:t>
      </w:r>
      <w:r w:rsidR="002C39EC" w:rsidRPr="00372E88">
        <w:t>о</w:t>
      </w:r>
      <w:r w:rsidR="002C39EC" w:rsidRPr="00372E88">
        <w:t>нальная реинтеграция как перспектива</w:t>
      </w:r>
      <w:r w:rsidR="002C39EC">
        <w:t>"</w:t>
      </w:r>
      <w:r w:rsidR="002C39EC" w:rsidRPr="00372E88">
        <w:t>, принимая во внимание результаты оценки при ее дальнейшей разработке в качестве прототипа современной пол</w:t>
      </w:r>
      <w:r w:rsidR="002C39EC" w:rsidRPr="00372E88">
        <w:t>и</w:t>
      </w:r>
      <w:r w:rsidR="002C39EC" w:rsidRPr="00372E88">
        <w:t>тики по обеспечению равенства, ориентированной на жизне</w:t>
      </w:r>
      <w:r w:rsidR="002C39EC" w:rsidRPr="00372E88">
        <w:t>н</w:t>
      </w:r>
      <w:r w:rsidR="002C39EC" w:rsidRPr="00372E88">
        <w:t xml:space="preserve">ный цикл. Один из результатов оценки указывает на то, что устойчивое возвращение женщин </w:t>
      </w:r>
      <w:r w:rsidR="002C39EC">
        <w:t>к</w:t>
      </w:r>
      <w:r w:rsidR="002C39EC" w:rsidRPr="00372E88">
        <w:t xml:space="preserve"> трудов</w:t>
      </w:r>
      <w:r w:rsidR="002C39EC">
        <w:t>ой</w:t>
      </w:r>
      <w:r w:rsidR="002C39EC" w:rsidRPr="00372E88">
        <w:t xml:space="preserve"> деятельност</w:t>
      </w:r>
      <w:r w:rsidR="002C39EC">
        <w:t>и</w:t>
      </w:r>
      <w:r w:rsidR="002C39EC" w:rsidRPr="00372E88">
        <w:t xml:space="preserve"> практически </w:t>
      </w:r>
      <w:r w:rsidR="002C39EC">
        <w:t xml:space="preserve">на </w:t>
      </w:r>
      <w:r w:rsidR="002C39EC" w:rsidRPr="00372E88">
        <w:t>полный рабочий день требует наличи</w:t>
      </w:r>
      <w:r w:rsidR="002C39EC">
        <w:t>я</w:t>
      </w:r>
      <w:r w:rsidR="002C39EC" w:rsidRPr="00372E88">
        <w:t xml:space="preserve"> достаточного времени. </w:t>
      </w:r>
      <w:r w:rsidR="002C39EC">
        <w:t>Поэтому п</w:t>
      </w:r>
      <w:r w:rsidR="002C39EC" w:rsidRPr="00372E88">
        <w:t xml:space="preserve">рограмма действий </w:t>
      </w:r>
      <w:r w:rsidR="002C39EC">
        <w:t>"</w:t>
      </w:r>
      <w:r w:rsidR="002C39EC" w:rsidRPr="00372E88">
        <w:t>Профессиональная реи</w:t>
      </w:r>
      <w:r w:rsidR="002C39EC" w:rsidRPr="00372E88">
        <w:t>н</w:t>
      </w:r>
      <w:r w:rsidR="002C39EC" w:rsidRPr="00372E88">
        <w:t>теграция как перспектива</w:t>
      </w:r>
      <w:r w:rsidR="002C39EC">
        <w:t>"</w:t>
      </w:r>
      <w:r w:rsidR="002C39EC" w:rsidRPr="00372E88">
        <w:t xml:space="preserve"> будет усилена </w:t>
      </w:r>
      <w:r w:rsidR="002C39EC">
        <w:t>с помощью</w:t>
      </w:r>
      <w:r w:rsidR="002C39EC" w:rsidRPr="00372E88">
        <w:t xml:space="preserve"> модуля под назван</w:t>
      </w:r>
      <w:r w:rsidR="002C39EC" w:rsidRPr="00372E88">
        <w:t>и</w:t>
      </w:r>
      <w:r w:rsidR="002C39EC" w:rsidRPr="00372E88">
        <w:t xml:space="preserve">ем </w:t>
      </w:r>
      <w:r w:rsidR="002C39EC">
        <w:t>"</w:t>
      </w:r>
      <w:r w:rsidR="002C39EC" w:rsidRPr="00372E88">
        <w:t>Zeit f</w:t>
      </w:r>
      <w:r w:rsidR="002C39EC" w:rsidRPr="00C9248F">
        <w:t>ü</w:t>
      </w:r>
      <w:r w:rsidR="002C39EC" w:rsidRPr="00372E88">
        <w:t>r Wiedereinstieg</w:t>
      </w:r>
      <w:r w:rsidR="002C39EC">
        <w:t>"</w:t>
      </w:r>
      <w:r w:rsidR="002C39EC" w:rsidRPr="00372E88">
        <w:t xml:space="preserve"> (Время на возвращение). Этот модуль включает по</w:t>
      </w:r>
      <w:r w:rsidR="002C39EC" w:rsidRPr="00372E88">
        <w:t>д</w:t>
      </w:r>
      <w:r w:rsidR="002C39EC" w:rsidRPr="00372E88">
        <w:t>держку партнера в случае временног</w:t>
      </w:r>
      <w:r w:rsidR="002C39EC">
        <w:t>о сокращения рабочего времени, а</w:t>
      </w:r>
      <w:r w:rsidR="002C39EC" w:rsidRPr="00372E88">
        <w:t xml:space="preserve"> также поддержку в </w:t>
      </w:r>
      <w:r w:rsidR="002C39EC">
        <w:t>виде</w:t>
      </w:r>
      <w:r w:rsidR="002C39EC" w:rsidRPr="00372E88">
        <w:t xml:space="preserve"> помощи в домашнем хозяйстве женщинам, возвр</w:t>
      </w:r>
      <w:r w:rsidR="002C39EC" w:rsidRPr="00372E88">
        <w:t>а</w:t>
      </w:r>
      <w:r w:rsidR="002C39EC" w:rsidRPr="00372E88">
        <w:t xml:space="preserve">щающимся </w:t>
      </w:r>
      <w:r w:rsidR="002C39EC">
        <w:t>к</w:t>
      </w:r>
      <w:r w:rsidR="002C39EC" w:rsidRPr="00372E88">
        <w:t xml:space="preserve"> трудов</w:t>
      </w:r>
      <w:r w:rsidR="002C39EC">
        <w:t>ой</w:t>
      </w:r>
      <w:r w:rsidR="002C39EC" w:rsidRPr="00372E88">
        <w:t xml:space="preserve"> деятельност</w:t>
      </w:r>
      <w:r w:rsidR="002C39EC">
        <w:t>и</w:t>
      </w:r>
      <w:r w:rsidR="002C39EC" w:rsidRPr="00372E88">
        <w:t xml:space="preserve">. </w:t>
      </w:r>
      <w:r w:rsidR="002C39EC">
        <w:t>В</w:t>
      </w:r>
      <w:r w:rsidR="002C39EC" w:rsidRPr="00372E88">
        <w:t xml:space="preserve"> технико-экономическо</w:t>
      </w:r>
      <w:r w:rsidR="002C39EC">
        <w:t>м</w:t>
      </w:r>
      <w:r w:rsidR="002C39EC" w:rsidRPr="00372E88">
        <w:t xml:space="preserve"> обосновани</w:t>
      </w:r>
      <w:r w:rsidR="002C39EC">
        <w:t>и</w:t>
      </w:r>
      <w:r w:rsidR="002C39EC" w:rsidRPr="00372E88">
        <w:t xml:space="preserve"> будут опред</w:t>
      </w:r>
      <w:r w:rsidR="002C39EC" w:rsidRPr="00372E88">
        <w:t>е</w:t>
      </w:r>
      <w:r w:rsidR="002C39EC" w:rsidRPr="00372E88">
        <w:t>лены необходимые организационные и правовые меры и правила для введ</w:t>
      </w:r>
      <w:r w:rsidR="002C39EC" w:rsidRPr="00372E88">
        <w:t>е</w:t>
      </w:r>
      <w:r w:rsidR="002C39EC" w:rsidRPr="00372E88">
        <w:t xml:space="preserve">ния, реализации и последующего применения модели </w:t>
      </w:r>
      <w:r w:rsidR="002C39EC">
        <w:t>оказания</w:t>
      </w:r>
      <w:r w:rsidR="002C39EC" w:rsidRPr="00372E88">
        <w:t xml:space="preserve"> п</w:t>
      </w:r>
      <w:r w:rsidR="002C39EC" w:rsidRPr="00372E88">
        <w:t>о</w:t>
      </w:r>
      <w:r w:rsidR="002C39EC" w:rsidRPr="00372E88">
        <w:t>мощи в домашнем хозяйстве женщинам, возвращающимся на рынок труда. Концепция модели б</w:t>
      </w:r>
      <w:r w:rsidR="002C39EC" w:rsidRPr="00372E88">
        <w:t>у</w:t>
      </w:r>
      <w:r w:rsidR="002C39EC" w:rsidRPr="00372E88">
        <w:t xml:space="preserve">дет </w:t>
      </w:r>
      <w:r w:rsidR="002C39EC">
        <w:t xml:space="preserve">затем </w:t>
      </w:r>
      <w:r w:rsidR="002C39EC" w:rsidRPr="00372E88">
        <w:t>служить отправной точкой и руководством для дальнейшего возмо</w:t>
      </w:r>
      <w:r w:rsidR="002C39EC" w:rsidRPr="00372E88">
        <w:t>ж</w:t>
      </w:r>
      <w:r w:rsidR="002C39EC" w:rsidRPr="00372E88">
        <w:t xml:space="preserve">ного применения и дополнительных целевых групп. Результаты ожидаются в июне 2011 года.  </w:t>
      </w:r>
    </w:p>
    <w:p w:rsidR="002C39EC" w:rsidRPr="00372E88" w:rsidRDefault="002C39EC" w:rsidP="002C39EC">
      <w:pPr>
        <w:pStyle w:val="H23GR"/>
      </w:pPr>
      <w:r>
        <w:tab/>
      </w:r>
      <w:r w:rsidRPr="00372E88">
        <w:t>2.</w:t>
      </w:r>
      <w:r w:rsidRPr="00372E88">
        <w:tab/>
        <w:t>Сельск</w:t>
      </w:r>
      <w:r>
        <w:t>ие районы</w:t>
      </w:r>
    </w:p>
    <w:p w:rsidR="002C39EC" w:rsidRPr="00372E88" w:rsidRDefault="002C39EC" w:rsidP="002C39EC">
      <w:pPr>
        <w:pStyle w:val="SingleTxtGR"/>
      </w:pPr>
      <w:r w:rsidRPr="00372E88">
        <w:t>66.</w:t>
      </w:r>
      <w:r w:rsidRPr="00372E88">
        <w:tab/>
        <w:t>Возможные подходы к изменению ситуации в сельских районах разраб</w:t>
      </w:r>
      <w:r w:rsidRPr="00372E88">
        <w:t>а</w:t>
      </w:r>
      <w:r w:rsidRPr="00372E88">
        <w:t xml:space="preserve">тываются в сотрудничестве с </w:t>
      </w:r>
      <w:r>
        <w:t>Ф</w:t>
      </w:r>
      <w:r w:rsidRPr="00372E88">
        <w:t xml:space="preserve">едеральным агентством </w:t>
      </w:r>
      <w:r>
        <w:t xml:space="preserve">по вопросам </w:t>
      </w:r>
      <w:r w:rsidRPr="00372E88">
        <w:t xml:space="preserve">занятости, </w:t>
      </w:r>
      <w:r>
        <w:t>филиалом</w:t>
      </w:r>
      <w:r w:rsidRPr="00372E88">
        <w:t xml:space="preserve"> </w:t>
      </w:r>
      <w:r>
        <w:t>И</w:t>
      </w:r>
      <w:r w:rsidRPr="00372E88">
        <w:t>нститут</w:t>
      </w:r>
      <w:r>
        <w:t>а</w:t>
      </w:r>
      <w:r w:rsidRPr="00372E88">
        <w:t xml:space="preserve"> по рынку труда и исследованиям в о</w:t>
      </w:r>
      <w:r w:rsidRPr="00372E88">
        <w:t>б</w:t>
      </w:r>
      <w:r w:rsidRPr="00372E88">
        <w:t xml:space="preserve">ласти занятости (Institut für Arbeitsmarkt- und Berufsforschung – IAB) и </w:t>
      </w:r>
      <w:r>
        <w:t xml:space="preserve">ассоциацией </w:t>
      </w:r>
      <w:r w:rsidRPr="00372E88">
        <w:rPr>
          <w:lang w:val="en-US"/>
        </w:rPr>
        <w:t>Deutscher</w:t>
      </w:r>
      <w:r w:rsidRPr="00372E88">
        <w:t xml:space="preserve"> </w:t>
      </w:r>
      <w:r w:rsidRPr="00372E88">
        <w:rPr>
          <w:lang w:val="en-US"/>
        </w:rPr>
        <w:t>L</w:t>
      </w:r>
      <w:r>
        <w:t>а</w:t>
      </w:r>
      <w:r w:rsidRPr="00372E88">
        <w:rPr>
          <w:lang w:val="en-US"/>
        </w:rPr>
        <w:t>ndFrauenverband</w:t>
      </w:r>
      <w:r w:rsidRPr="00372E88">
        <w:t xml:space="preserve"> (Германская ассоциация </w:t>
      </w:r>
      <w:r>
        <w:t xml:space="preserve">сельских </w:t>
      </w:r>
      <w:r w:rsidRPr="00372E88">
        <w:t>женщин). В декабре 2010</w:t>
      </w:r>
      <w:r>
        <w:t> </w:t>
      </w:r>
      <w:r w:rsidRPr="00372E88">
        <w:t xml:space="preserve">года ассоциация </w:t>
      </w:r>
      <w:r w:rsidRPr="00372E88">
        <w:rPr>
          <w:lang w:val="en-US"/>
        </w:rPr>
        <w:t>Deutscher</w:t>
      </w:r>
      <w:r w:rsidRPr="00372E88">
        <w:t xml:space="preserve"> </w:t>
      </w:r>
      <w:r w:rsidRPr="00372E88">
        <w:rPr>
          <w:lang w:val="en-US"/>
        </w:rPr>
        <w:t>L</w:t>
      </w:r>
      <w:r>
        <w:t>а</w:t>
      </w:r>
      <w:r w:rsidRPr="00372E88">
        <w:rPr>
          <w:lang w:val="en-US"/>
        </w:rPr>
        <w:t>ndFrauenverband</w:t>
      </w:r>
      <w:r w:rsidRPr="00372E88">
        <w:t xml:space="preserve"> за счет средств, выделенных BMFSFJ</w:t>
      </w:r>
      <w:r>
        <w:t>,</w:t>
      </w:r>
      <w:r w:rsidRPr="00372E88">
        <w:t xml:space="preserve"> организовала конференцию с целью формулирования возможных об</w:t>
      </w:r>
      <w:r w:rsidRPr="00372E88">
        <w:t>ъ</w:t>
      </w:r>
      <w:r w:rsidRPr="00372E88">
        <w:t>яснений и подходов в области борьбы с различиями в оплате труда между гор</w:t>
      </w:r>
      <w:r w:rsidRPr="00372E88">
        <w:t>о</w:t>
      </w:r>
      <w:r w:rsidRPr="00372E88">
        <w:t>дом и деревней. В этом контексте были объединены результаты и</w:t>
      </w:r>
      <w:r w:rsidRPr="00372E88">
        <w:t>с</w:t>
      </w:r>
      <w:r w:rsidRPr="00372E88">
        <w:t xml:space="preserve">следований и опыт, полученный в ходе каждодневной практики. </w:t>
      </w:r>
      <w:r>
        <w:t>О</w:t>
      </w:r>
      <w:r w:rsidRPr="00372E88">
        <w:t>ценка результатов и допо</w:t>
      </w:r>
      <w:r w:rsidRPr="00372E88">
        <w:t>л</w:t>
      </w:r>
      <w:r w:rsidRPr="00372E88">
        <w:t xml:space="preserve">нительные рекомендации относительно </w:t>
      </w:r>
      <w:r>
        <w:t xml:space="preserve">практических </w:t>
      </w:r>
      <w:r w:rsidRPr="00372E88">
        <w:t>действий были предста</w:t>
      </w:r>
      <w:r w:rsidRPr="00372E88">
        <w:t>в</w:t>
      </w:r>
      <w:r w:rsidRPr="00372E88">
        <w:t xml:space="preserve">лены в 2011 году в ходе Дня </w:t>
      </w:r>
      <w:r>
        <w:t xml:space="preserve">за </w:t>
      </w:r>
      <w:r w:rsidRPr="00372E88">
        <w:t>равн</w:t>
      </w:r>
      <w:r>
        <w:t>ую</w:t>
      </w:r>
      <w:r w:rsidRPr="00372E88">
        <w:t xml:space="preserve"> оплат</w:t>
      </w:r>
      <w:r>
        <w:t>у</w:t>
      </w:r>
      <w:r w:rsidRPr="00372E88">
        <w:t xml:space="preserve"> труда. Конкретные планы пред</w:t>
      </w:r>
      <w:r w:rsidRPr="00372E88">
        <w:t>у</w:t>
      </w:r>
      <w:r w:rsidRPr="00372E88">
        <w:t xml:space="preserve">сматривают </w:t>
      </w:r>
      <w:r>
        <w:t>выявление</w:t>
      </w:r>
      <w:r w:rsidRPr="00372E88">
        <w:t xml:space="preserve"> необходимости дополнительных исследов</w:t>
      </w:r>
      <w:r w:rsidRPr="00372E88">
        <w:t>а</w:t>
      </w:r>
      <w:r w:rsidRPr="00372E88">
        <w:t xml:space="preserve">ний, а также вынесение рекомендаций и стимулов к </w:t>
      </w:r>
      <w:r>
        <w:t>практическим действиям</w:t>
      </w:r>
      <w:r w:rsidRPr="00372E88">
        <w:t>, например, в отношении более высокой оценки местных профессий и выбора специальности мальчиками и девочками в сельской местности.</w:t>
      </w:r>
    </w:p>
    <w:p w:rsidR="002C39EC" w:rsidRPr="00372E88" w:rsidRDefault="002C39EC" w:rsidP="002C39EC">
      <w:pPr>
        <w:pStyle w:val="H23GR"/>
      </w:pPr>
      <w:r>
        <w:tab/>
      </w:r>
      <w:r w:rsidRPr="00372E88">
        <w:t>3.</w:t>
      </w:r>
      <w:r w:rsidRPr="00372E88">
        <w:tab/>
        <w:t>Коллективные договоры</w:t>
      </w:r>
    </w:p>
    <w:p w:rsidR="002C39EC" w:rsidRPr="00372E88" w:rsidRDefault="002C39EC" w:rsidP="002C39EC">
      <w:pPr>
        <w:pStyle w:val="SingleTxtGR"/>
      </w:pPr>
      <w:r w:rsidRPr="00372E88">
        <w:t>67.</w:t>
      </w:r>
      <w:r w:rsidRPr="00372E88">
        <w:tab/>
        <w:t>В целях регулирования структур оплаты труда в существующих колле</w:t>
      </w:r>
      <w:r w:rsidRPr="00372E88">
        <w:t>к</w:t>
      </w:r>
      <w:r w:rsidRPr="00372E88">
        <w:t>тивных договорах следует изучить возможности более эффективного обеспеч</w:t>
      </w:r>
      <w:r w:rsidRPr="00372E88">
        <w:t>е</w:t>
      </w:r>
      <w:r w:rsidRPr="00372E88">
        <w:t xml:space="preserve">ния равенства в оплате труда в контексте коллективных договоров. В этой связи следует также принять во внимание возможные способы использования знаний, накопленных </w:t>
      </w:r>
      <w:r>
        <w:t>в рамках</w:t>
      </w:r>
      <w:r w:rsidRPr="00372E88">
        <w:t xml:space="preserve"> проекта </w:t>
      </w:r>
      <w:r w:rsidRPr="00372E88">
        <w:rPr>
          <w:lang w:val="en-US"/>
        </w:rPr>
        <w:t>Logib</w:t>
      </w:r>
      <w:r w:rsidRPr="00372E88">
        <w:t>-</w:t>
      </w:r>
      <w:r w:rsidRPr="00372E88">
        <w:rPr>
          <w:lang w:val="en-US"/>
        </w:rPr>
        <w:t>D</w:t>
      </w:r>
      <w:r w:rsidRPr="00372E88">
        <w:t>, с тем чтобы применять их в практич</w:t>
      </w:r>
      <w:r w:rsidRPr="00372E88">
        <w:t>е</w:t>
      </w:r>
      <w:r w:rsidRPr="00372E88">
        <w:t>ской деятельности компаний. В процессе установления размера о</w:t>
      </w:r>
      <w:r w:rsidRPr="00372E88">
        <w:t>п</w:t>
      </w:r>
      <w:r w:rsidRPr="00372E88">
        <w:t xml:space="preserve">латы труда в коллективном договоре редко рассматриваются различные структуры оплаты труда. При помощи </w:t>
      </w:r>
      <w:r w:rsidRPr="00372E88">
        <w:rPr>
          <w:lang w:val="en-US"/>
        </w:rPr>
        <w:t>Logib</w:t>
      </w:r>
      <w:r w:rsidRPr="00372E88">
        <w:t>-</w:t>
      </w:r>
      <w:r w:rsidRPr="00372E88">
        <w:rPr>
          <w:lang w:val="en-US"/>
        </w:rPr>
        <w:t>D</w:t>
      </w:r>
      <w:r w:rsidRPr="00372E88">
        <w:t xml:space="preserve"> социальные партнеры смогут быстро и легко опр</w:t>
      </w:r>
      <w:r w:rsidRPr="00372E88">
        <w:t>е</w:t>
      </w:r>
      <w:r w:rsidRPr="00372E88">
        <w:t>делять, каким образом новый коллективный договор влияет на с</w:t>
      </w:r>
      <w:r w:rsidRPr="00372E88">
        <w:t>у</w:t>
      </w:r>
      <w:r w:rsidRPr="00372E88">
        <w:t>ществующую структуру оплаты труда работающих женщин и мужчин. Этот метод может и</w:t>
      </w:r>
      <w:r w:rsidRPr="00372E88">
        <w:t>с</w:t>
      </w:r>
      <w:r w:rsidRPr="00372E88">
        <w:t xml:space="preserve">пользоваться для включения определенных вопросов в процедуру согласования оплаты труда и </w:t>
      </w:r>
      <w:r>
        <w:t>таким образом он</w:t>
      </w:r>
      <w:r w:rsidRPr="00372E88">
        <w:t xml:space="preserve"> дает возможность, несмотря на авт</w:t>
      </w:r>
      <w:r w:rsidRPr="00372E88">
        <w:t>о</w:t>
      </w:r>
      <w:r w:rsidRPr="00372E88">
        <w:t xml:space="preserve">номность </w:t>
      </w:r>
      <w:r>
        <w:t xml:space="preserve">компаний в вопросах </w:t>
      </w:r>
      <w:r w:rsidRPr="00372E88">
        <w:t>заработной платы, повышать "чувствительность" соц</w:t>
      </w:r>
      <w:r w:rsidRPr="00372E88">
        <w:t>и</w:t>
      </w:r>
      <w:r w:rsidRPr="00372E88">
        <w:t>альных партнеров.</w:t>
      </w:r>
    </w:p>
    <w:p w:rsidR="002C39EC" w:rsidRPr="00372E88" w:rsidRDefault="002C39EC" w:rsidP="002C39EC">
      <w:pPr>
        <w:pStyle w:val="H23GR"/>
      </w:pPr>
      <w:r>
        <w:tab/>
      </w:r>
      <w:r w:rsidRPr="00372E88">
        <w:t>4.</w:t>
      </w:r>
      <w:r w:rsidRPr="00372E88">
        <w:tab/>
        <w:t>Государственная служба</w:t>
      </w:r>
    </w:p>
    <w:p w:rsidR="002C39EC" w:rsidRPr="00372E88" w:rsidRDefault="002C39EC" w:rsidP="002C39EC">
      <w:pPr>
        <w:pStyle w:val="SingleTxtGR"/>
      </w:pPr>
      <w:r w:rsidRPr="00372E88">
        <w:t>68.</w:t>
      </w:r>
      <w:r w:rsidRPr="00372E88">
        <w:tab/>
        <w:t>В отличие от частного сектора, в системе государственной службы фед</w:t>
      </w:r>
      <w:r w:rsidRPr="00372E88">
        <w:t>е</w:t>
      </w:r>
      <w:r w:rsidRPr="00372E88">
        <w:t>ральное правительство может принимать конкретные меры в отношении нер</w:t>
      </w:r>
      <w:r w:rsidRPr="00372E88">
        <w:t>а</w:t>
      </w:r>
      <w:r w:rsidRPr="00372E88">
        <w:t>венства в оплате труда. Федеральный закон о гендерном равенстве (Bundesgleichstellungsgesetz – BGleiG) направлен на обеспечение равенства женщин и мужчин на самых высоких уровнях федеральной администрации, в частности, на руководящих постах, и более сбалансированного сочетания с</w:t>
      </w:r>
      <w:r w:rsidRPr="00372E88">
        <w:t>е</w:t>
      </w:r>
      <w:r w:rsidRPr="00372E88">
        <w:t>мейной и трудовой жизни. В конце 2010 года Бундестагу был представлен вт</w:t>
      </w:r>
      <w:r w:rsidRPr="00372E88">
        <w:t>о</w:t>
      </w:r>
      <w:r w:rsidRPr="00372E88">
        <w:t>рой доклад, касающийся осуществления Федерального закона о гендерном р</w:t>
      </w:r>
      <w:r w:rsidRPr="00372E88">
        <w:t>а</w:t>
      </w:r>
      <w:r w:rsidRPr="00372E88">
        <w:t xml:space="preserve">венстве. Одним из ключевых моментов доклада стал вопрос о продвижении </w:t>
      </w:r>
      <w:r>
        <w:t xml:space="preserve">по службе </w:t>
      </w:r>
      <w:r w:rsidRPr="00372E88">
        <w:t>женщин на руководящих должностях, а также изучение аспектов раве</w:t>
      </w:r>
      <w:r w:rsidRPr="00372E88">
        <w:t>н</w:t>
      </w:r>
      <w:r w:rsidRPr="00372E88">
        <w:t>ства в оплате труда. Разрыв в оплате труда в федеральной государственной слу</w:t>
      </w:r>
      <w:r w:rsidRPr="00372E88">
        <w:t>ж</w:t>
      </w:r>
      <w:r w:rsidRPr="00372E88">
        <w:t>бе составляет 1%. По сравнению с 7% в системе государственной службы в целом и 22,6% в частном секторе этот показатель довольно незначителен. Т</w:t>
      </w:r>
      <w:r w:rsidRPr="00372E88">
        <w:t>а</w:t>
      </w:r>
      <w:r w:rsidRPr="00372E88">
        <w:t>к</w:t>
      </w:r>
      <w:r>
        <w:t>ое</w:t>
      </w:r>
      <w:r w:rsidRPr="00372E88">
        <w:t xml:space="preserve"> относительно благоприятн</w:t>
      </w:r>
      <w:r>
        <w:t>ое положение</w:t>
      </w:r>
      <w:r w:rsidRPr="00372E88">
        <w:t xml:space="preserve"> является результатом коллективн</w:t>
      </w:r>
      <w:r w:rsidRPr="00372E88">
        <w:t>о</w:t>
      </w:r>
      <w:r w:rsidRPr="00372E88">
        <w:t xml:space="preserve">го договора и положений закона об оплате труда </w:t>
      </w:r>
      <w:r>
        <w:t>гражданских служащих, нах</w:t>
      </w:r>
      <w:r>
        <w:t>о</w:t>
      </w:r>
      <w:r>
        <w:t>дящихся на</w:t>
      </w:r>
      <w:r w:rsidRPr="00372E88">
        <w:t xml:space="preserve"> государственной службе. Возможным способом дополнительного сокращения различий в оплате труда является дальнейшее увеличение колич</w:t>
      </w:r>
      <w:r w:rsidRPr="00372E88">
        <w:t>е</w:t>
      </w:r>
      <w:r w:rsidRPr="00372E88">
        <w:t>ства женщин на руководящих должностях в системе государс</w:t>
      </w:r>
      <w:r w:rsidRPr="00372E88">
        <w:t>т</w:t>
      </w:r>
      <w:r w:rsidRPr="00372E88">
        <w:t>венной службы. Федеральное правительство вернется к оценке этих аспектов в своем следу</w:t>
      </w:r>
      <w:r w:rsidRPr="00372E88">
        <w:t>ю</w:t>
      </w:r>
      <w:r w:rsidRPr="00372E88">
        <w:t>щем четырехлетнем докладе об осуществлении Федерального закона о генде</w:t>
      </w:r>
      <w:r w:rsidRPr="00372E88">
        <w:t>р</w:t>
      </w:r>
      <w:r w:rsidRPr="00372E88">
        <w:t>ном равенстве.</w:t>
      </w:r>
    </w:p>
    <w:p w:rsidR="002C39EC" w:rsidRPr="00372E88" w:rsidRDefault="002C39EC" w:rsidP="002C39EC">
      <w:pPr>
        <w:pStyle w:val="SingleTxtGR"/>
      </w:pPr>
      <w:r w:rsidRPr="00372E88">
        <w:t>69.</w:t>
      </w:r>
      <w:r w:rsidRPr="00372E88">
        <w:tab/>
      </w:r>
      <w:r>
        <w:t>Работа в условиях неполной занятости</w:t>
      </w:r>
      <w:r w:rsidRPr="00372E88">
        <w:t xml:space="preserve"> существенн</w:t>
      </w:r>
      <w:r>
        <w:t>о облегчает достиж</w:t>
      </w:r>
      <w:r>
        <w:t>е</w:t>
      </w:r>
      <w:r>
        <w:t>ние</w:t>
      </w:r>
      <w:r w:rsidRPr="00372E88">
        <w:t xml:space="preserve"> баланса между семейной и трудовой жизнью. Вместе с тем в настоящее время эта возможность используется практически исключительно женщинами. 6 декабря 2010 года федеральное правительство приняло решение изучить в</w:t>
      </w:r>
      <w:r w:rsidRPr="00372E88">
        <w:t>о</w:t>
      </w:r>
      <w:r w:rsidRPr="00372E88">
        <w:t>прос частичной занятости на руководящих должностях в федерал</w:t>
      </w:r>
      <w:r w:rsidRPr="00372E88">
        <w:t>ь</w:t>
      </w:r>
      <w:r w:rsidRPr="00372E88">
        <w:t xml:space="preserve">ных органах в рамках программы мер по обеспечению </w:t>
      </w:r>
      <w:r>
        <w:t>приемлемых условий</w:t>
      </w:r>
      <w:r w:rsidRPr="00372E88">
        <w:t>, установив в к</w:t>
      </w:r>
      <w:r w:rsidRPr="00372E88">
        <w:t>а</w:t>
      </w:r>
      <w:r w:rsidRPr="00372E88">
        <w:t>честве даты окончания 31 декабря 2011 года; решения относительно последу</w:t>
      </w:r>
      <w:r w:rsidRPr="00372E88">
        <w:t>ю</w:t>
      </w:r>
      <w:r w:rsidRPr="00372E88">
        <w:t>щих мер должны приниматься на основании результатов.</w:t>
      </w:r>
    </w:p>
    <w:p w:rsidR="00707E30" w:rsidRPr="00455308" w:rsidRDefault="00707E30" w:rsidP="00707E30">
      <w:pPr>
        <w:pStyle w:val="H1GR"/>
      </w:pPr>
      <w:r>
        <w:rPr>
          <w:lang w:val="en-US"/>
        </w:rPr>
        <w:tab/>
      </w:r>
      <w:r w:rsidRPr="00455308">
        <w:rPr>
          <w:lang w:val="en-US"/>
        </w:rPr>
        <w:t>F</w:t>
      </w:r>
      <w:r w:rsidRPr="00455308">
        <w:t>.</w:t>
      </w:r>
      <w:r w:rsidRPr="00455308">
        <w:tab/>
        <w:t>Оценка хода работы по осуществлению</w:t>
      </w:r>
    </w:p>
    <w:p w:rsidR="00707E30" w:rsidRPr="00455308" w:rsidRDefault="00707E30" w:rsidP="00707E30">
      <w:pPr>
        <w:pStyle w:val="SingleTxtGR"/>
      </w:pPr>
      <w:r w:rsidRPr="00455308">
        <w:t>70.</w:t>
      </w:r>
      <w:r w:rsidRPr="00455308">
        <w:tab/>
      </w:r>
      <w:r>
        <w:t>Приемлемая и</w:t>
      </w:r>
      <w:r w:rsidRPr="00455308">
        <w:t xml:space="preserve"> эффективн</w:t>
      </w:r>
      <w:r>
        <w:t>ая политика требует т</w:t>
      </w:r>
      <w:r w:rsidRPr="00455308">
        <w:t>щательн</w:t>
      </w:r>
      <w:r>
        <w:t>ых</w:t>
      </w:r>
      <w:r w:rsidRPr="00455308">
        <w:t>, регулярн</w:t>
      </w:r>
      <w:r>
        <w:t>ых</w:t>
      </w:r>
      <w:r w:rsidRPr="00455308">
        <w:t xml:space="preserve"> и транспарентн</w:t>
      </w:r>
      <w:r>
        <w:t>ых</w:t>
      </w:r>
      <w:r w:rsidRPr="00455308">
        <w:t xml:space="preserve"> провер</w:t>
      </w:r>
      <w:r>
        <w:t>о</w:t>
      </w:r>
      <w:r w:rsidRPr="00455308">
        <w:t>к</w:t>
      </w:r>
      <w:r>
        <w:t xml:space="preserve"> достигнутых результатов. Поэтому Ф</w:t>
      </w:r>
      <w:r w:rsidRPr="00455308">
        <w:t>едеральное м</w:t>
      </w:r>
      <w:r w:rsidRPr="00455308">
        <w:t>и</w:t>
      </w:r>
      <w:r w:rsidRPr="00455308">
        <w:t>нистерство по делам семьи</w:t>
      </w:r>
      <w:r>
        <w:t>,</w:t>
      </w:r>
      <w:r w:rsidRPr="00455308">
        <w:t xml:space="preserve"> престарелых, женщин и молодежи регулярно пр</w:t>
      </w:r>
      <w:r w:rsidRPr="00455308">
        <w:t>о</w:t>
      </w:r>
      <w:r w:rsidRPr="00455308">
        <w:t>водит оценку успеха реализации его мер. Индивидуальные проекты пересма</w:t>
      </w:r>
      <w:r w:rsidRPr="00455308">
        <w:t>т</w:t>
      </w:r>
      <w:r w:rsidRPr="00455308">
        <w:t>риваются в том, что касается временных мер</w:t>
      </w:r>
      <w:r>
        <w:t>,</w:t>
      </w:r>
      <w:r w:rsidRPr="00455308">
        <w:t xml:space="preserve"> в целях определения того, дейс</w:t>
      </w:r>
      <w:r w:rsidRPr="00455308">
        <w:t>т</w:t>
      </w:r>
      <w:r w:rsidRPr="00455308">
        <w:t>вительно ли они вносят реальный вклад в достижение задачи: к 2020 году с</w:t>
      </w:r>
      <w:r w:rsidRPr="00455308">
        <w:t>о</w:t>
      </w:r>
      <w:r w:rsidRPr="00455308">
        <w:t>кратить различия в оплате труда на 10</w:t>
      </w:r>
      <w:r>
        <w:t xml:space="preserve">% </w:t>
      </w:r>
      <w:r w:rsidRPr="00455308">
        <w:t>. Были установлены количественные и качественные временные меры, с тем чтобы наблюдать за прогрессом в тех о</w:t>
      </w:r>
      <w:r w:rsidRPr="00455308">
        <w:t>б</w:t>
      </w:r>
      <w:r w:rsidRPr="00455308">
        <w:t xml:space="preserve">ластях, в которых </w:t>
      </w:r>
      <w:r>
        <w:t xml:space="preserve">они </w:t>
      </w:r>
      <w:r w:rsidRPr="00455308">
        <w:t>были прин</w:t>
      </w:r>
      <w:r w:rsidRPr="00455308">
        <w:t>я</w:t>
      </w:r>
      <w:r w:rsidRPr="00455308">
        <w:t>ты.</w:t>
      </w:r>
    </w:p>
    <w:p w:rsidR="00707E30" w:rsidRPr="00455308" w:rsidRDefault="00707E30" w:rsidP="00707E30">
      <w:pPr>
        <w:pStyle w:val="SingleTxtGR"/>
      </w:pPr>
      <w:r w:rsidRPr="00455308">
        <w:t>71.</w:t>
      </w:r>
      <w:r w:rsidRPr="00455308">
        <w:tab/>
        <w:t>Стабилизирующее воздействие на выработку мнения может быть дости</w:t>
      </w:r>
      <w:r w:rsidRPr="00455308">
        <w:t>г</w:t>
      </w:r>
      <w:r w:rsidRPr="00455308">
        <w:t>нуто за счет установления связей и взаимной поддержки с гражданским общ</w:t>
      </w:r>
      <w:r w:rsidRPr="00455308">
        <w:t>е</w:t>
      </w:r>
      <w:r w:rsidRPr="00455308">
        <w:t xml:space="preserve">ством. В рамках проекта </w:t>
      </w:r>
      <w:r>
        <w:t>"</w:t>
      </w:r>
      <w:r w:rsidRPr="00455308">
        <w:t xml:space="preserve">День </w:t>
      </w:r>
      <w:r>
        <w:t xml:space="preserve">за </w:t>
      </w:r>
      <w:r w:rsidRPr="00455308">
        <w:t>равн</w:t>
      </w:r>
      <w:r>
        <w:t>ую</w:t>
      </w:r>
      <w:r w:rsidRPr="00455308">
        <w:t xml:space="preserve"> оплат</w:t>
      </w:r>
      <w:r>
        <w:t>у</w:t>
      </w:r>
      <w:r w:rsidRPr="00455308">
        <w:t xml:space="preserve"> труда</w:t>
      </w:r>
      <w:r>
        <w:t>"</w:t>
      </w:r>
      <w:r w:rsidRPr="00455308">
        <w:t xml:space="preserve"> первоочередная цель состоит в распространении информации</w:t>
      </w:r>
      <w:r>
        <w:t xml:space="preserve"> о </w:t>
      </w:r>
      <w:r w:rsidRPr="00455308">
        <w:t>"Гендерно</w:t>
      </w:r>
      <w:r>
        <w:t>м разрыве</w:t>
      </w:r>
      <w:r w:rsidRPr="00455308">
        <w:t xml:space="preserve"> в оплате тр</w:t>
      </w:r>
      <w:r w:rsidRPr="00455308">
        <w:t>у</w:t>
      </w:r>
      <w:r w:rsidRPr="00455308">
        <w:t>да", а также в повышении уровня осведомленности и мобилизации всех заинтерес</w:t>
      </w:r>
      <w:r w:rsidRPr="00455308">
        <w:t>о</w:t>
      </w:r>
      <w:r w:rsidRPr="00455308">
        <w:t>ванных сторон. Обзоры прогресса в этом контексте касаются количества учас</w:t>
      </w:r>
      <w:r w:rsidRPr="00455308">
        <w:t>т</w:t>
      </w:r>
      <w:r w:rsidRPr="00455308">
        <w:t xml:space="preserve">ников, количества </w:t>
      </w:r>
      <w:r>
        <w:t xml:space="preserve">населенных </w:t>
      </w:r>
      <w:r w:rsidRPr="00455308">
        <w:t xml:space="preserve">пунктов, в которых организуется </w:t>
      </w:r>
      <w:r>
        <w:t>"</w:t>
      </w:r>
      <w:r w:rsidRPr="00455308">
        <w:t xml:space="preserve">День </w:t>
      </w:r>
      <w:r>
        <w:t xml:space="preserve">за </w:t>
      </w:r>
      <w:r w:rsidRPr="00455308">
        <w:t>ра</w:t>
      </w:r>
      <w:r w:rsidRPr="00455308">
        <w:t>в</w:t>
      </w:r>
      <w:r>
        <w:t>ную</w:t>
      </w:r>
      <w:r w:rsidRPr="00455308">
        <w:t xml:space="preserve"> опла</w:t>
      </w:r>
      <w:r>
        <w:t>ту</w:t>
      </w:r>
      <w:r w:rsidRPr="00455308">
        <w:t xml:space="preserve"> труда</w:t>
      </w:r>
      <w:r>
        <w:t>"</w:t>
      </w:r>
      <w:r w:rsidRPr="00455308">
        <w:t>, а также присутствия средств массовой информации и осв</w:t>
      </w:r>
      <w:r w:rsidRPr="00455308">
        <w:t>е</w:t>
      </w:r>
      <w:r w:rsidRPr="00455308">
        <w:t>домленности общества о данном вопросе. В этих целях ежегодно по результ</w:t>
      </w:r>
      <w:r w:rsidRPr="00455308">
        <w:t>а</w:t>
      </w:r>
      <w:r w:rsidRPr="00455308">
        <w:t xml:space="preserve">там проведения </w:t>
      </w:r>
      <w:r>
        <w:t>"</w:t>
      </w:r>
      <w:r w:rsidRPr="00455308">
        <w:t xml:space="preserve">Дня </w:t>
      </w:r>
      <w:r>
        <w:t xml:space="preserve">за </w:t>
      </w:r>
      <w:r w:rsidRPr="00455308">
        <w:t>равн</w:t>
      </w:r>
      <w:r>
        <w:t>ую оплату</w:t>
      </w:r>
      <w:r w:rsidRPr="00455308">
        <w:t xml:space="preserve"> труда</w:t>
      </w:r>
      <w:r>
        <w:t>"</w:t>
      </w:r>
      <w:r w:rsidRPr="00455308">
        <w:t xml:space="preserve"> будет представляться доклад. З</w:t>
      </w:r>
      <w:r w:rsidRPr="00455308">
        <w:t>а</w:t>
      </w:r>
      <w:r w:rsidRPr="00455308">
        <w:t>интересованность в этом мероприятии постоянно возрастает: во время четве</w:t>
      </w:r>
      <w:r w:rsidRPr="00455308">
        <w:t>р</w:t>
      </w:r>
      <w:r w:rsidRPr="00455308">
        <w:t>того ДРОТ, организованного 25 марта 2011 года, по всей стране было зарегис</w:t>
      </w:r>
      <w:r w:rsidRPr="00455308">
        <w:t>т</w:t>
      </w:r>
      <w:r w:rsidRPr="00455308">
        <w:t>рировано 366 (в 2010 году</w:t>
      </w:r>
      <w:r>
        <w:t xml:space="preserve"> − </w:t>
      </w:r>
      <w:r w:rsidRPr="00455308">
        <w:t>259) мероприятий в 250 (в 2010 году</w:t>
      </w:r>
      <w:r>
        <w:t xml:space="preserve"> − в </w:t>
      </w:r>
      <w:r w:rsidRPr="00455308">
        <w:t>173) кру</w:t>
      </w:r>
      <w:r w:rsidRPr="00455308">
        <w:t>п</w:t>
      </w:r>
      <w:r w:rsidRPr="00455308">
        <w:t>ных и небольших городах. Это событие широко освещалось средствами масс</w:t>
      </w:r>
      <w:r w:rsidRPr="00455308">
        <w:t>о</w:t>
      </w:r>
      <w:r w:rsidRPr="00455308">
        <w:t>вой информации: в период между 1 марта и 1 апреля 2011 года около 2</w:t>
      </w:r>
      <w:r>
        <w:t xml:space="preserve"> </w:t>
      </w:r>
      <w:r w:rsidRPr="00455308">
        <w:t>000 ст</w:t>
      </w:r>
      <w:r w:rsidRPr="00455308">
        <w:t>а</w:t>
      </w:r>
      <w:r w:rsidRPr="00455308">
        <w:t>тей было опубликовано в печатных средствах массовой информации, 66 соо</w:t>
      </w:r>
      <w:r w:rsidRPr="00455308">
        <w:t>б</w:t>
      </w:r>
      <w:r w:rsidRPr="00455308">
        <w:t>щений ра</w:t>
      </w:r>
      <w:r w:rsidRPr="00455308">
        <w:t>с</w:t>
      </w:r>
      <w:r w:rsidRPr="00455308">
        <w:t>пространено новостными агентствами, более 1</w:t>
      </w:r>
      <w:r>
        <w:t xml:space="preserve"> </w:t>
      </w:r>
      <w:r w:rsidRPr="00455308">
        <w:t>000 статей размещено в Интернете, около 50 репортажей показано по телевидению и около 200 соо</w:t>
      </w:r>
      <w:r w:rsidRPr="00455308">
        <w:t>б</w:t>
      </w:r>
      <w:r w:rsidRPr="00455308">
        <w:t>щений передано по радио.</w:t>
      </w:r>
    </w:p>
    <w:p w:rsidR="00707E30" w:rsidRPr="00455308" w:rsidRDefault="00707E30" w:rsidP="00707E30">
      <w:pPr>
        <w:pStyle w:val="SingleTxtGR"/>
      </w:pPr>
      <w:r w:rsidRPr="00455308">
        <w:t>72.</w:t>
      </w:r>
      <w:r w:rsidRPr="00455308">
        <w:tab/>
        <w:t>Для изменения традиционных ролевых моделей потребуются долговр</w:t>
      </w:r>
      <w:r w:rsidRPr="00455308">
        <w:t>е</w:t>
      </w:r>
      <w:r w:rsidRPr="00455308">
        <w:t>менные проекты не только для девочек и молодых женщин, как в случае "Дня девочек" и "Komm, mach MINT", но и для мальчиков. Программа "Neue Wege für Jungs" (Новые возможности для мальчиков) в 2011 году будет расширена и будет включать День мальчиков. Участие в этих мероприятиях и кампаниях, к</w:t>
      </w:r>
      <w:r w:rsidRPr="00455308">
        <w:t>о</w:t>
      </w:r>
      <w:r w:rsidRPr="00455308">
        <w:t>торое с годами становится все более активным, а также растущее число мол</w:t>
      </w:r>
      <w:r w:rsidRPr="00455308">
        <w:t>о</w:t>
      </w:r>
      <w:r w:rsidRPr="00455308">
        <w:t>дых женщин, изучающих предметы МИЕТ или пр</w:t>
      </w:r>
      <w:r w:rsidRPr="00455308">
        <w:t>о</w:t>
      </w:r>
      <w:r w:rsidRPr="00455308">
        <w:t>ходящих профессиональное обучение по экономическим и техническим специальностям, являются регуля</w:t>
      </w:r>
      <w:r w:rsidRPr="00455308">
        <w:t>р</w:t>
      </w:r>
      <w:r w:rsidRPr="00455308">
        <w:t>но и систематически представляемыми показателями, например в процессе че</w:t>
      </w:r>
      <w:r w:rsidRPr="00455308">
        <w:t>т</w:t>
      </w:r>
      <w:r w:rsidRPr="00455308">
        <w:t xml:space="preserve">вертой оценки соглашения между </w:t>
      </w:r>
      <w:r>
        <w:t>бизнесом и промышленностью</w:t>
      </w:r>
      <w:r w:rsidRPr="00455308">
        <w:t xml:space="preserve"> </w:t>
      </w:r>
      <w:r>
        <w:t>в</w:t>
      </w:r>
      <w:r w:rsidRPr="00455308">
        <w:t xml:space="preserve">о время </w:t>
      </w:r>
      <w:r>
        <w:t xml:space="preserve">одиннадцатого </w:t>
      </w:r>
      <w:r w:rsidRPr="00455308">
        <w:t>Дня девочек по всей стране девочкам, учащимся с пятого по д</w:t>
      </w:r>
      <w:r w:rsidRPr="00455308">
        <w:t>е</w:t>
      </w:r>
      <w:r w:rsidRPr="00455308">
        <w:t>сятый класс школы, было предложено бол</w:t>
      </w:r>
      <w:r>
        <w:t>ее 125 000 вариантов участия</w:t>
      </w:r>
      <w:r w:rsidRPr="00455308">
        <w:t xml:space="preserve"> почти </w:t>
      </w:r>
      <w:r>
        <w:t xml:space="preserve">в </w:t>
      </w:r>
      <w:r w:rsidRPr="00455308">
        <w:t>10 000 различных мероприяти</w:t>
      </w:r>
      <w:r>
        <w:t>й</w:t>
      </w:r>
      <w:r w:rsidRPr="00455308">
        <w:t>, что стало серьезным вкладом в борьб</w:t>
      </w:r>
      <w:r>
        <w:t>у</w:t>
      </w:r>
      <w:r w:rsidRPr="00455308">
        <w:t xml:space="preserve"> с уст</w:t>
      </w:r>
      <w:r w:rsidRPr="00455308">
        <w:t>а</w:t>
      </w:r>
      <w:r w:rsidRPr="00455308">
        <w:t>ревшей дифференциацией между женскими и мужскими профессиями. С нач</w:t>
      </w:r>
      <w:r w:rsidRPr="00455308">
        <w:t>а</w:t>
      </w:r>
      <w:r w:rsidRPr="00455308">
        <w:t>ла реал</w:t>
      </w:r>
      <w:r w:rsidRPr="00455308">
        <w:t>и</w:t>
      </w:r>
      <w:r w:rsidRPr="00455308">
        <w:t>зации этой программы в ней принял</w:t>
      </w:r>
      <w:r>
        <w:t>и</w:t>
      </w:r>
      <w:r w:rsidRPr="00455308">
        <w:t xml:space="preserve"> участие более миллиона девочек, и 10</w:t>
      </w:r>
      <w:r>
        <w:t>% </w:t>
      </w:r>
      <w:r w:rsidRPr="00455308">
        <w:t>участвующих компаний приняли на работу молодых женщин после их участия в Дне девочек. Сопутствующий научный анализ Дня девочек показыв</w:t>
      </w:r>
      <w:r w:rsidRPr="00455308">
        <w:t>а</w:t>
      </w:r>
      <w:r w:rsidRPr="00455308">
        <w:t>ет, что повторное участие в нем положительно влияет на культуру компании и приводит к более высокой степени осведомленности о равенстве. Доказательс</w:t>
      </w:r>
      <w:r w:rsidRPr="00455308">
        <w:t>т</w:t>
      </w:r>
      <w:r w:rsidRPr="00455308">
        <w:t>вом необходимости и принятия Дня мальчиков, координируемого пр</w:t>
      </w:r>
      <w:r w:rsidRPr="00455308">
        <w:t>о</w:t>
      </w:r>
      <w:r w:rsidRPr="00455308">
        <w:t>граммой" Neue Wege für Jungs" (</w:t>
      </w:r>
      <w:r>
        <w:t>Н</w:t>
      </w:r>
      <w:r w:rsidRPr="00455308">
        <w:t>овые возможности для мальчиков), является высокий уровень участия: только за время первого года мал</w:t>
      </w:r>
      <w:r>
        <w:t>ьчикам было предложено около 35 </w:t>
      </w:r>
      <w:r w:rsidRPr="00455308">
        <w:t>000 мест в рамках более 4</w:t>
      </w:r>
      <w:r>
        <w:t xml:space="preserve"> </w:t>
      </w:r>
      <w:r w:rsidRPr="00455308">
        <w:t>000 мероприятий по всей Германии (14 а</w:t>
      </w:r>
      <w:r w:rsidRPr="00455308">
        <w:t>п</w:t>
      </w:r>
      <w:r w:rsidRPr="00455308">
        <w:t>реля 2011 года).</w:t>
      </w:r>
    </w:p>
    <w:p w:rsidR="00707E30" w:rsidRPr="00455308" w:rsidRDefault="00707E30" w:rsidP="00707E30">
      <w:pPr>
        <w:pStyle w:val="SingleTxtGR"/>
      </w:pPr>
      <w:r w:rsidRPr="00455308">
        <w:t>73.</w:t>
      </w:r>
      <w:r w:rsidRPr="00455308">
        <w:tab/>
        <w:t>Можно назвать ряд промежуточных целей в отношении обеспечения б</w:t>
      </w:r>
      <w:r w:rsidRPr="00455308">
        <w:t>о</w:t>
      </w:r>
      <w:r w:rsidRPr="00455308">
        <w:t>лее сбалансированного сочетания семейной и трудовой жизни. Важными зад</w:t>
      </w:r>
      <w:r w:rsidRPr="00455308">
        <w:t>а</w:t>
      </w:r>
      <w:r w:rsidRPr="00455308">
        <w:t>чами в этой связи являются увеличение количества отпусков</w:t>
      </w:r>
      <w:r w:rsidRPr="00AC2C22">
        <w:t xml:space="preserve"> </w:t>
      </w:r>
      <w:r>
        <w:t>по семейным пр</w:t>
      </w:r>
      <w:r>
        <w:t>и</w:t>
      </w:r>
      <w:r>
        <w:t>чинам</w:t>
      </w:r>
      <w:r w:rsidRPr="00455308">
        <w:t>, предоставляемых отцам, и доли женщин, работающих на условиях по</w:t>
      </w:r>
      <w:r w:rsidRPr="00455308">
        <w:t>л</w:t>
      </w:r>
      <w:r w:rsidRPr="00455308">
        <w:t>ной занятости после (недолговременного) перерыва. Эти изменения отражаю</w:t>
      </w:r>
      <w:r w:rsidRPr="00455308">
        <w:t>т</w:t>
      </w:r>
      <w:r w:rsidRPr="00455308">
        <w:t>ся в отчет</w:t>
      </w:r>
      <w:r>
        <w:t>ах</w:t>
      </w:r>
      <w:r w:rsidRPr="00455308">
        <w:t xml:space="preserve"> о положении домохозяйства и в данных </w:t>
      </w:r>
      <w:r>
        <w:t xml:space="preserve">о </w:t>
      </w:r>
      <w:r w:rsidRPr="00455308">
        <w:t>проверк</w:t>
      </w:r>
      <w:r>
        <w:t>е</w:t>
      </w:r>
      <w:r w:rsidRPr="00455308">
        <w:t xml:space="preserve"> семьи. Участие отцов становится все более активным. В третьем квартале 2009 года </w:t>
      </w:r>
      <w:r>
        <w:t xml:space="preserve">оно </w:t>
      </w:r>
      <w:r w:rsidRPr="00455308">
        <w:t>до</w:t>
      </w:r>
      <w:r w:rsidRPr="00455308">
        <w:t>с</w:t>
      </w:r>
      <w:r w:rsidRPr="00455308">
        <w:t>тигло 23,9</w:t>
      </w:r>
      <w:r>
        <w:t>%</w:t>
      </w:r>
      <w:r w:rsidRPr="00455308">
        <w:t xml:space="preserve"> </w:t>
      </w:r>
      <w:r>
        <w:t xml:space="preserve">от </w:t>
      </w:r>
      <w:r w:rsidRPr="00455308">
        <w:t>обще</w:t>
      </w:r>
      <w:r>
        <w:t>го</w:t>
      </w:r>
      <w:r w:rsidRPr="00455308">
        <w:t xml:space="preserve"> числ</w:t>
      </w:r>
      <w:r>
        <w:t>а</w:t>
      </w:r>
      <w:r w:rsidRPr="00455308">
        <w:t xml:space="preserve"> заявлений на </w:t>
      </w:r>
      <w:r>
        <w:t xml:space="preserve">предоставление </w:t>
      </w:r>
      <w:r w:rsidRPr="00455308">
        <w:t xml:space="preserve">пособия по уходу за ребенком. Пособие выплачивается в среднем </w:t>
      </w:r>
      <w:r>
        <w:t xml:space="preserve">в течение 3,5 </w:t>
      </w:r>
      <w:r w:rsidRPr="00455308">
        <w:t>месяц</w:t>
      </w:r>
      <w:r>
        <w:t>ев</w:t>
      </w:r>
      <w:r w:rsidRPr="00455308">
        <w:t>. В некот</w:t>
      </w:r>
      <w:r w:rsidRPr="00455308">
        <w:t>о</w:t>
      </w:r>
      <w:r w:rsidRPr="00455308">
        <w:t>рых землях уровень участия отцов заметно выше: в Берлине</w:t>
      </w:r>
      <w:r>
        <w:t xml:space="preserve"> − </w:t>
      </w:r>
      <w:r w:rsidRPr="00455308">
        <w:t>30,4</w:t>
      </w:r>
      <w:r>
        <w:t>%</w:t>
      </w:r>
      <w:r w:rsidRPr="00455308">
        <w:t>, в Сакс</w:t>
      </w:r>
      <w:r w:rsidRPr="00455308">
        <w:t>о</w:t>
      </w:r>
      <w:r w:rsidRPr="00455308">
        <w:t>нии</w:t>
      </w:r>
      <w:r>
        <w:t xml:space="preserve"> − </w:t>
      </w:r>
      <w:r w:rsidRPr="00455308">
        <w:t>30,2</w:t>
      </w:r>
      <w:r>
        <w:t>%</w:t>
      </w:r>
      <w:r w:rsidRPr="00455308">
        <w:t>, в Баварии</w:t>
      </w:r>
      <w:r>
        <w:t xml:space="preserve"> − </w:t>
      </w:r>
      <w:r w:rsidRPr="00455308">
        <w:t>30</w:t>
      </w:r>
      <w:r>
        <w:t>%</w:t>
      </w:r>
      <w:r w:rsidR="008E76EA">
        <w:t>. В отличие от этого</w:t>
      </w:r>
      <w:r w:rsidRPr="00455308">
        <w:t xml:space="preserve"> участие отцов в 2008 году в среднем составляло лишь 21</w:t>
      </w:r>
      <w:r>
        <w:t>%,</w:t>
      </w:r>
      <w:r w:rsidRPr="00455308">
        <w:t xml:space="preserve"> и только 3,5</w:t>
      </w:r>
      <w:r>
        <w:t>% о</w:t>
      </w:r>
      <w:r w:rsidRPr="00455308">
        <w:t>тцов обращались за пособием по уходу за детьми, которое в 2007 году было заменено пособием для р</w:t>
      </w:r>
      <w:r w:rsidRPr="00455308">
        <w:t>о</w:t>
      </w:r>
      <w:r w:rsidRPr="00455308">
        <w:t>дителей.</w:t>
      </w:r>
    </w:p>
    <w:p w:rsidR="00707E30" w:rsidRPr="00455308" w:rsidRDefault="00707E30" w:rsidP="00707E30">
      <w:pPr>
        <w:pStyle w:val="SingleTxtGR"/>
      </w:pPr>
      <w:r w:rsidRPr="00455308">
        <w:t>74.</w:t>
      </w:r>
      <w:r w:rsidRPr="00455308">
        <w:tab/>
        <w:t xml:space="preserve">Все больше матерей пользуются помощью, предоставляемой в </w:t>
      </w:r>
      <w:r>
        <w:t xml:space="preserve">виде </w:t>
      </w:r>
      <w:r w:rsidRPr="00455308">
        <w:t>п</w:t>
      </w:r>
      <w:r w:rsidRPr="00455308">
        <w:t>о</w:t>
      </w:r>
      <w:r w:rsidRPr="00455308">
        <w:t>собия родителям во время первого года после рождения ребенка. В то же время заметно возросло количество матерей, возвращающихся на рынок труда вскоре после рождения ребенка: в настоящее время работает одна из трех матерей с детьми в возрасте одного</w:t>
      </w:r>
      <w:r>
        <w:t>−</w:t>
      </w:r>
      <w:r w:rsidRPr="00455308">
        <w:t xml:space="preserve">двух лет. Они также получают поддержку в </w:t>
      </w:r>
      <w:r>
        <w:t>продо</w:t>
      </w:r>
      <w:r>
        <w:t>л</w:t>
      </w:r>
      <w:r>
        <w:t xml:space="preserve">жении </w:t>
      </w:r>
      <w:r w:rsidRPr="00455308">
        <w:t>работы за счет расширения инфраструктуры детских учреждений.</w:t>
      </w:r>
    </w:p>
    <w:p w:rsidR="00707E30" w:rsidRPr="00455308" w:rsidRDefault="00707E30" w:rsidP="00707E30">
      <w:pPr>
        <w:pStyle w:val="SingleTxtGR"/>
      </w:pPr>
      <w:r w:rsidRPr="00455308">
        <w:t>75.</w:t>
      </w:r>
      <w:r w:rsidRPr="00455308">
        <w:tab/>
        <w:t xml:space="preserve">Деятельность федерального правительства по созданию </w:t>
      </w:r>
      <w:r>
        <w:t>благоприятных условий труда</w:t>
      </w:r>
      <w:r w:rsidRPr="00455308">
        <w:t>, учитывающ</w:t>
      </w:r>
      <w:r>
        <w:t>их</w:t>
      </w:r>
      <w:r w:rsidRPr="00455308">
        <w:t xml:space="preserve"> интересы семьи, в контексте программы "Erfolgsfaktor Familie" (</w:t>
      </w:r>
      <w:r>
        <w:t>С</w:t>
      </w:r>
      <w:r w:rsidRPr="00455308">
        <w:t>емьи как фактор успеха), которая была разработана в сотрудничестве с ассоциациями и союзами в сфере бизнеса и промышленности, существенно способствовала учет</w:t>
      </w:r>
      <w:r>
        <w:t>у</w:t>
      </w:r>
      <w:r w:rsidRPr="00455308">
        <w:t xml:space="preserve"> интересов семьи в качестве важного факт</w:t>
      </w:r>
      <w:r w:rsidRPr="00455308">
        <w:t>о</w:t>
      </w:r>
      <w:r w:rsidRPr="00455308">
        <w:t>ра с точки зрения расположения компании и е</w:t>
      </w:r>
      <w:r>
        <w:t>е</w:t>
      </w:r>
      <w:r w:rsidRPr="00455308">
        <w:t xml:space="preserve"> конкурентоспособности. Доля компаний, считающих учет семейных интересов важным фа</w:t>
      </w:r>
      <w:r w:rsidRPr="00455308">
        <w:t>к</w:t>
      </w:r>
      <w:r w:rsidRPr="00455308">
        <w:t>тором, возросла с 46</w:t>
      </w:r>
      <w:r>
        <w:t>%</w:t>
      </w:r>
      <w:r w:rsidRPr="00455308">
        <w:t xml:space="preserve"> в 2003 году практически </w:t>
      </w:r>
      <w:r>
        <w:t xml:space="preserve">до </w:t>
      </w:r>
      <w:r w:rsidRPr="00455308">
        <w:t>80</w:t>
      </w:r>
      <w:r>
        <w:t xml:space="preserve">% </w:t>
      </w:r>
      <w:r w:rsidRPr="00455308">
        <w:t>в 2009 году</w:t>
      </w:r>
      <w:r>
        <w:rPr>
          <w:rStyle w:val="FootnoteReference"/>
        </w:rPr>
        <w:footnoteReference w:id="18"/>
      </w:r>
      <w:r w:rsidRPr="00455308">
        <w:t>. В рамках основанного на консультациях введения</w:t>
      </w:r>
      <w:r>
        <w:t xml:space="preserve"> инструмента</w:t>
      </w:r>
      <w:r w:rsidRPr="00455308">
        <w:t xml:space="preserve"> </w:t>
      </w:r>
      <w:r w:rsidRPr="00455308">
        <w:rPr>
          <w:lang w:val="en-US"/>
        </w:rPr>
        <w:t>Logib</w:t>
      </w:r>
      <w:r w:rsidRPr="00455308">
        <w:t>-</w:t>
      </w:r>
      <w:r w:rsidRPr="00455308">
        <w:rPr>
          <w:lang w:val="en-US"/>
        </w:rPr>
        <w:t>D</w:t>
      </w:r>
      <w:r w:rsidRPr="00455308">
        <w:t xml:space="preserve"> такие показатели, как количество </w:t>
      </w:r>
      <w:r>
        <w:t xml:space="preserve">запросов </w:t>
      </w:r>
      <w:r w:rsidRPr="00455308">
        <w:t xml:space="preserve">от компаний </w:t>
      </w:r>
      <w:r>
        <w:t xml:space="preserve">в отношении </w:t>
      </w:r>
      <w:r w:rsidRPr="00455308">
        <w:rPr>
          <w:lang w:val="en-US"/>
        </w:rPr>
        <w:t>Logib</w:t>
      </w:r>
      <w:r w:rsidRPr="00455308">
        <w:t>-</w:t>
      </w:r>
      <w:r w:rsidRPr="00455308">
        <w:rPr>
          <w:lang w:val="en-US"/>
        </w:rPr>
        <w:t>D</w:t>
      </w:r>
      <w:r w:rsidRPr="00455308">
        <w:t>, количество обращений за консул</w:t>
      </w:r>
      <w:r w:rsidRPr="00455308">
        <w:t>ь</w:t>
      </w:r>
      <w:r w:rsidRPr="00455308">
        <w:t>тацией, количество посещений вебсайта</w:t>
      </w:r>
      <w:r>
        <w:t xml:space="preserve"> и</w:t>
      </w:r>
      <w:r w:rsidRPr="00455308">
        <w:t xml:space="preserve"> количество за</w:t>
      </w:r>
      <w:r>
        <w:t>грузок</w:t>
      </w:r>
      <w:r w:rsidRPr="00455308">
        <w:t xml:space="preserve"> </w:t>
      </w:r>
      <w:r>
        <w:t xml:space="preserve">этого </w:t>
      </w:r>
      <w:r w:rsidRPr="00455308">
        <w:t>вебинс</w:t>
      </w:r>
      <w:r w:rsidRPr="00455308">
        <w:t>т</w:t>
      </w:r>
      <w:r w:rsidRPr="00455308">
        <w:t xml:space="preserve">румента, являются показателем успешного выполнения временных задач в </w:t>
      </w:r>
      <w:r>
        <w:t>ра</w:t>
      </w:r>
      <w:r>
        <w:t>м</w:t>
      </w:r>
      <w:r>
        <w:t xml:space="preserve">ках </w:t>
      </w:r>
      <w:r w:rsidRPr="00455308">
        <w:t>усили</w:t>
      </w:r>
      <w:r>
        <w:t>й</w:t>
      </w:r>
      <w:r w:rsidRPr="00455308">
        <w:t xml:space="preserve"> по борьбе с разрывом в оплате труда. Доклады, размещаемые на этом сайте, с июля 2010 года просматривались более 1</w:t>
      </w:r>
      <w:r>
        <w:t xml:space="preserve"> </w:t>
      </w:r>
      <w:r w:rsidRPr="00455308">
        <w:t>00</w:t>
      </w:r>
      <w:r>
        <w:t>0</w:t>
      </w:r>
      <w:r w:rsidRPr="00455308">
        <w:t xml:space="preserve"> раз и распечатыв</w:t>
      </w:r>
      <w:r w:rsidRPr="00455308">
        <w:t>а</w:t>
      </w:r>
      <w:r w:rsidRPr="00455308">
        <w:t>лись более 800 раз. Эти 800 пользователей получили подробный анализ оплаты труда с точки зрения соблюдения равенства. В настоящее время проект нах</w:t>
      </w:r>
      <w:r w:rsidRPr="00455308">
        <w:t>о</w:t>
      </w:r>
      <w:r w:rsidRPr="00455308">
        <w:t>дится в третьем из семи сегментов. В общей сложности 77 компаний обрат</w:t>
      </w:r>
      <w:r w:rsidRPr="00455308">
        <w:t>и</w:t>
      </w:r>
      <w:r w:rsidRPr="00455308">
        <w:t>лись за консультацией во время первого, второго и третьего сегментов, заяв</w:t>
      </w:r>
      <w:r>
        <w:t>л</w:t>
      </w:r>
      <w:r>
        <w:t>е</w:t>
      </w:r>
      <w:r>
        <w:t>ния 70 </w:t>
      </w:r>
      <w:r w:rsidRPr="00455308">
        <w:t>компаний были удовлетв</w:t>
      </w:r>
      <w:r w:rsidRPr="00455308">
        <w:t>о</w:t>
      </w:r>
      <w:r w:rsidRPr="00455308">
        <w:t>рены.</w:t>
      </w:r>
    </w:p>
    <w:p w:rsidR="00707E30" w:rsidRPr="00455308" w:rsidRDefault="00707E30" w:rsidP="00707E30">
      <w:pPr>
        <w:pStyle w:val="SingleTxtGR"/>
      </w:pPr>
      <w:r w:rsidRPr="00455308">
        <w:t>76.</w:t>
      </w:r>
      <w:r w:rsidRPr="00455308">
        <w:tab/>
        <w:t xml:space="preserve">Следует помнить, что индивидуальные временные цели (подача </w:t>
      </w:r>
      <w:r>
        <w:t>заявл</w:t>
      </w:r>
      <w:r>
        <w:t>е</w:t>
      </w:r>
      <w:r>
        <w:t xml:space="preserve">ний о предоставлении пособий </w:t>
      </w:r>
      <w:r w:rsidRPr="00455308">
        <w:t xml:space="preserve">для родителей, участие отца, использование </w:t>
      </w:r>
      <w:r w:rsidRPr="00455308">
        <w:rPr>
          <w:lang w:val="en-US"/>
        </w:rPr>
        <w:t>Logib</w:t>
      </w:r>
      <w:r w:rsidRPr="00455308">
        <w:t>-</w:t>
      </w:r>
      <w:r w:rsidRPr="00455308">
        <w:rPr>
          <w:lang w:val="en-US"/>
        </w:rPr>
        <w:t>D</w:t>
      </w:r>
      <w:r w:rsidRPr="00455308">
        <w:t xml:space="preserve">, показатели участия в Дне девочек и Дне </w:t>
      </w:r>
      <w:r>
        <w:t xml:space="preserve">за </w:t>
      </w:r>
      <w:r w:rsidRPr="00455308">
        <w:t>равн</w:t>
      </w:r>
      <w:r>
        <w:t>ую</w:t>
      </w:r>
      <w:r w:rsidRPr="00455308">
        <w:t xml:space="preserve"> оплат</w:t>
      </w:r>
      <w:r>
        <w:t>у</w:t>
      </w:r>
      <w:r w:rsidRPr="00455308">
        <w:t xml:space="preserve"> труда и т.д.) не должны рассматриваться </w:t>
      </w:r>
      <w:r>
        <w:t xml:space="preserve">в </w:t>
      </w:r>
      <w:r w:rsidRPr="00455308">
        <w:t>отдельности, а только как составляющие общую картину изменений. Прогресс в отдельных областях (таких, как образование и профессиональная подготовка) вряд ли будет способствовать сам по себе с</w:t>
      </w:r>
      <w:r w:rsidRPr="00455308">
        <w:t>о</w:t>
      </w:r>
      <w:r w:rsidRPr="00455308">
        <w:t xml:space="preserve">кращению различий в оплате труда. Даже если женщины постепенно </w:t>
      </w:r>
      <w:r>
        <w:t xml:space="preserve">стали </w:t>
      </w:r>
      <w:r w:rsidRPr="00455308">
        <w:t>пр</w:t>
      </w:r>
      <w:r w:rsidRPr="00455308">
        <w:t>е</w:t>
      </w:r>
      <w:r w:rsidRPr="00455308">
        <w:t>восходить мужчин по уровню образования, они часто сталкиваются с препятс</w:t>
      </w:r>
      <w:r w:rsidRPr="00455308">
        <w:t>т</w:t>
      </w:r>
      <w:r w:rsidRPr="00455308">
        <w:t xml:space="preserve">виями </w:t>
      </w:r>
      <w:r>
        <w:t>в</w:t>
      </w:r>
      <w:r w:rsidRPr="00455308">
        <w:t xml:space="preserve"> продв</w:t>
      </w:r>
      <w:r w:rsidRPr="00455308">
        <w:t>и</w:t>
      </w:r>
      <w:r w:rsidRPr="00455308">
        <w:t>жени</w:t>
      </w:r>
      <w:r>
        <w:t>и</w:t>
      </w:r>
      <w:r w:rsidRPr="00455308">
        <w:t xml:space="preserve"> по службе.</w:t>
      </w:r>
    </w:p>
    <w:p w:rsidR="00707E30" w:rsidRPr="00455308" w:rsidRDefault="00707E30" w:rsidP="002A6C16">
      <w:pPr>
        <w:pStyle w:val="H1GR"/>
        <w:pageBreakBefore/>
      </w:pPr>
      <w:r>
        <w:tab/>
      </w:r>
      <w:r>
        <w:rPr>
          <w:lang w:val="en-US"/>
        </w:rPr>
        <w:t>G</w:t>
      </w:r>
      <w:r w:rsidRPr="00455308">
        <w:t>.</w:t>
      </w:r>
      <w:r>
        <w:tab/>
      </w:r>
      <w:r w:rsidRPr="00455308">
        <w:t>Национальные и международные обязательства</w:t>
      </w:r>
    </w:p>
    <w:p w:rsidR="00707E30" w:rsidRPr="00455308" w:rsidRDefault="00707E30" w:rsidP="00707E30">
      <w:pPr>
        <w:pStyle w:val="H23GR"/>
      </w:pPr>
      <w:r>
        <w:tab/>
      </w:r>
      <w:r w:rsidR="002A6C16">
        <w:t>1.</w:t>
      </w:r>
      <w:r>
        <w:tab/>
      </w:r>
      <w:r w:rsidRPr="00455308">
        <w:t>Статья 3, пункт 2, предложение 2 Основного закона</w:t>
      </w:r>
    </w:p>
    <w:p w:rsidR="00707E30" w:rsidRPr="00455308" w:rsidRDefault="00707E30" w:rsidP="00707E30">
      <w:pPr>
        <w:pStyle w:val="SingleTxtGR"/>
      </w:pPr>
      <w:r w:rsidRPr="00455308">
        <w:t>77.</w:t>
      </w:r>
      <w:r w:rsidRPr="00455308">
        <w:tab/>
        <w:t>Равенство женщин и мужчин в зак</w:t>
      </w:r>
      <w:r w:rsidR="002A6C16">
        <w:t>онодательном порядке закреплено</w:t>
      </w:r>
      <w:r w:rsidR="002A6C16">
        <w:br/>
      </w:r>
      <w:r w:rsidRPr="00455308">
        <w:t>в статье 3 (2) Основного закона Германии. Согласно этой статье, государство обязуется поощрять фактическое осуществление равных прав женщин и му</w:t>
      </w:r>
      <w:r w:rsidRPr="00455308">
        <w:t>ж</w:t>
      </w:r>
      <w:r w:rsidRPr="00455308">
        <w:t>чин и принимать меры по устранению существующих недостатков.</w:t>
      </w:r>
    </w:p>
    <w:p w:rsidR="00707E30" w:rsidRPr="00455308" w:rsidRDefault="00707E30" w:rsidP="00707E30">
      <w:pPr>
        <w:pStyle w:val="H23GR"/>
      </w:pPr>
      <w:r>
        <w:tab/>
      </w:r>
      <w:r w:rsidRPr="00455308">
        <w:t>2.</w:t>
      </w:r>
      <w:r w:rsidRPr="00455308">
        <w:tab/>
        <w:t>Ст</w:t>
      </w:r>
      <w:r>
        <w:t>атья</w:t>
      </w:r>
      <w:r w:rsidRPr="00455308">
        <w:t xml:space="preserve"> 157 Лиссабонск</w:t>
      </w:r>
      <w:r>
        <w:t>ого</w:t>
      </w:r>
      <w:r w:rsidRPr="00455308">
        <w:t xml:space="preserve"> договор</w:t>
      </w:r>
      <w:r>
        <w:t>а</w:t>
      </w:r>
    </w:p>
    <w:p w:rsidR="00707E30" w:rsidRPr="00455308" w:rsidRDefault="00707E30" w:rsidP="00707E30">
      <w:pPr>
        <w:pStyle w:val="SingleTxtGR"/>
      </w:pPr>
      <w:r w:rsidRPr="00455308">
        <w:t>78.</w:t>
      </w:r>
      <w:r w:rsidRPr="00455308">
        <w:tab/>
        <w:t>Принцип равной оплаты труда женщин и мужчин за одинаковую или ра</w:t>
      </w:r>
      <w:r w:rsidRPr="00455308">
        <w:t>в</w:t>
      </w:r>
      <w:r w:rsidRPr="00455308">
        <w:t>ноценную работу с 1957 года является элементом Договора о ЕС (ст</w:t>
      </w:r>
      <w:r>
        <w:t xml:space="preserve">атья </w:t>
      </w:r>
      <w:r w:rsidRPr="00455308">
        <w:t>141, раньше</w:t>
      </w:r>
      <w:r>
        <w:t xml:space="preserve"> − </w:t>
      </w:r>
      <w:r w:rsidRPr="00455308">
        <w:t>119). 1 декабря 2009 года всту</w:t>
      </w:r>
      <w:r w:rsidR="002A6C16">
        <w:t>пил в силу Лиссабонский договор</w:t>
      </w:r>
      <w:r w:rsidR="002A6C16">
        <w:br/>
      </w:r>
      <w:r w:rsidRPr="00455308">
        <w:t>(Договор о функционировании Европейского союза (ДФЕС)). В статье 157 ДФЕС закре</w:t>
      </w:r>
      <w:r w:rsidRPr="00455308">
        <w:t>п</w:t>
      </w:r>
      <w:r w:rsidRPr="00455308">
        <w:t>лен принцип равной оплаты труда женщин и мужчин.</w:t>
      </w:r>
    </w:p>
    <w:p w:rsidR="00707E30" w:rsidRPr="00455308" w:rsidRDefault="00707E30" w:rsidP="00707E30">
      <w:pPr>
        <w:pStyle w:val="H23GR"/>
      </w:pPr>
      <w:r>
        <w:tab/>
      </w:r>
      <w:r w:rsidRPr="00455308">
        <w:t>3.</w:t>
      </w:r>
      <w:r w:rsidRPr="00455308">
        <w:tab/>
        <w:t>Общий закон о равном обращении (</w:t>
      </w:r>
      <w:r w:rsidRPr="003E3A41">
        <w:t>Allgemeines</w:t>
      </w:r>
      <w:r w:rsidRPr="00455308">
        <w:t xml:space="preserve"> </w:t>
      </w:r>
      <w:r w:rsidRPr="003E3A41">
        <w:t>Gleichbehandlungsgesetz</w:t>
      </w:r>
      <w:r>
        <w:t xml:space="preserve"> − </w:t>
      </w:r>
      <w:r w:rsidRPr="003E3A41">
        <w:t>AGG</w:t>
      </w:r>
      <w:r w:rsidRPr="00455308">
        <w:t>)</w:t>
      </w:r>
    </w:p>
    <w:p w:rsidR="00707E30" w:rsidRPr="00455308" w:rsidRDefault="00707E30" w:rsidP="00707E30">
      <w:pPr>
        <w:pStyle w:val="SingleTxtGR"/>
      </w:pPr>
      <w:r w:rsidRPr="00455308">
        <w:t>79.</w:t>
      </w:r>
      <w:r w:rsidRPr="00455308">
        <w:tab/>
        <w:t>С 2006 года действует Общий закон о равном обращении. Цель этого з</w:t>
      </w:r>
      <w:r w:rsidRPr="00455308">
        <w:t>а</w:t>
      </w:r>
      <w:r w:rsidRPr="00455308">
        <w:t xml:space="preserve">кона </w:t>
      </w:r>
      <w:r>
        <w:t xml:space="preserve">состоит </w:t>
      </w:r>
      <w:r w:rsidRPr="00455308">
        <w:t>в том, чтобы предотвратить или устранить дискриминацию по призна</w:t>
      </w:r>
      <w:r>
        <w:t>ку расового</w:t>
      </w:r>
      <w:r w:rsidRPr="00455308">
        <w:t xml:space="preserve"> или этнического происхождения, пола, религии или убежд</w:t>
      </w:r>
      <w:r w:rsidRPr="00455308">
        <w:t>е</w:t>
      </w:r>
      <w:r w:rsidRPr="00455308">
        <w:t>ний, инвалидности, возраста или сексуальной ориентации. Защита от дискр</w:t>
      </w:r>
      <w:r w:rsidRPr="00455308">
        <w:t>и</w:t>
      </w:r>
      <w:r w:rsidRPr="00455308">
        <w:t xml:space="preserve">минации в </w:t>
      </w:r>
      <w:r>
        <w:t xml:space="preserve">области </w:t>
      </w:r>
      <w:r w:rsidRPr="00455308">
        <w:t>занятости и профессиональной деятельности является о</w:t>
      </w:r>
      <w:r w:rsidRPr="00455308">
        <w:t>с</w:t>
      </w:r>
      <w:r w:rsidRPr="00455308">
        <w:t>новным напра</w:t>
      </w:r>
      <w:r w:rsidRPr="00455308">
        <w:t>в</w:t>
      </w:r>
      <w:r w:rsidRPr="00455308">
        <w:t xml:space="preserve">лением </w:t>
      </w:r>
      <w:r w:rsidRPr="00455308">
        <w:rPr>
          <w:lang w:val="fr-CH"/>
        </w:rPr>
        <w:t>AGG</w:t>
      </w:r>
      <w:r w:rsidRPr="00455308">
        <w:t>.</w:t>
      </w:r>
    </w:p>
    <w:p w:rsidR="00707E30" w:rsidRPr="00455308" w:rsidRDefault="00707E30" w:rsidP="00707E30">
      <w:pPr>
        <w:pStyle w:val="H23GR"/>
      </w:pPr>
      <w:r>
        <w:tab/>
      </w:r>
      <w:r w:rsidRPr="00455308">
        <w:t>4.</w:t>
      </w:r>
      <w:r w:rsidRPr="00455308">
        <w:tab/>
        <w:t>Федеральный закон о гендерном равенстве (</w:t>
      </w:r>
      <w:r w:rsidRPr="003E3A41">
        <w:t>Bundesgleichstellungsgesetz</w:t>
      </w:r>
      <w:r w:rsidRPr="00455308">
        <w:t xml:space="preserve"> </w:t>
      </w:r>
      <w:r w:rsidRPr="003E3A41">
        <w:t>f</w:t>
      </w:r>
      <w:r w:rsidRPr="00455308">
        <w:t>ü</w:t>
      </w:r>
      <w:r w:rsidRPr="003E3A41">
        <w:t>r</w:t>
      </w:r>
      <w:r w:rsidRPr="00455308">
        <w:t xml:space="preserve"> </w:t>
      </w:r>
      <w:r w:rsidRPr="003E3A41">
        <w:t>die</w:t>
      </w:r>
      <w:r w:rsidRPr="00455308">
        <w:t xml:space="preserve"> </w:t>
      </w:r>
      <w:r w:rsidRPr="003E3A41">
        <w:t>Bundesverwaltung</w:t>
      </w:r>
      <w:r w:rsidRPr="00455308">
        <w:t xml:space="preserve"> </w:t>
      </w:r>
      <w:r w:rsidRPr="003E3A41">
        <w:t>und</w:t>
      </w:r>
      <w:r w:rsidRPr="00455308">
        <w:t xml:space="preserve"> </w:t>
      </w:r>
      <w:r w:rsidRPr="003E3A41">
        <w:t>die</w:t>
      </w:r>
      <w:r w:rsidRPr="00455308">
        <w:t xml:space="preserve"> </w:t>
      </w:r>
      <w:r w:rsidRPr="003E3A41">
        <w:t>Gerichte</w:t>
      </w:r>
      <w:r w:rsidRPr="00455308">
        <w:t xml:space="preserve"> </w:t>
      </w:r>
      <w:r w:rsidRPr="003E3A41">
        <w:t>des</w:t>
      </w:r>
      <w:r w:rsidRPr="00455308">
        <w:t xml:space="preserve"> </w:t>
      </w:r>
      <w:r w:rsidRPr="003E3A41">
        <w:t>Bundes</w:t>
      </w:r>
      <w:r w:rsidRPr="00455308">
        <w:t xml:space="preserve"> – </w:t>
      </w:r>
      <w:r w:rsidRPr="003E3A41">
        <w:t>BGleiG</w:t>
      </w:r>
      <w:r w:rsidRPr="00455308">
        <w:t>)</w:t>
      </w:r>
    </w:p>
    <w:p w:rsidR="00707E30" w:rsidRPr="00455308" w:rsidRDefault="00707E30" w:rsidP="00707E30">
      <w:pPr>
        <w:pStyle w:val="SingleTxtGR"/>
      </w:pPr>
      <w:r w:rsidRPr="00455308">
        <w:t>80.</w:t>
      </w:r>
      <w:r w:rsidRPr="00455308">
        <w:tab/>
        <w:t>Федеральный закон о гендерном равенстве содержит нормы в отношении обязательств основных федеральных органов как работодателей в системе гос</w:t>
      </w:r>
      <w:r w:rsidRPr="00455308">
        <w:t>у</w:t>
      </w:r>
      <w:r w:rsidRPr="00455308">
        <w:t>дарственной службы, а также в отношении ответственности уполномоченных по вопросам равенства, с тем чтобы обеспечить равные возможности.</w:t>
      </w:r>
    </w:p>
    <w:p w:rsidR="00E86E93" w:rsidRPr="00180E4F" w:rsidRDefault="00E86E93" w:rsidP="00E86E93">
      <w:pPr>
        <w:pStyle w:val="H23GR"/>
      </w:pPr>
      <w:r>
        <w:rPr>
          <w:lang w:val="en-US"/>
        </w:rPr>
        <w:tab/>
      </w:r>
      <w:r w:rsidRPr="00180E4F">
        <w:t>5.</w:t>
      </w:r>
      <w:r w:rsidRPr="00180E4F">
        <w:tab/>
        <w:t>КЛДЖ</w:t>
      </w:r>
    </w:p>
    <w:p w:rsidR="00E86E93" w:rsidRPr="00180E4F" w:rsidRDefault="00E86E93" w:rsidP="00E86E93">
      <w:pPr>
        <w:pStyle w:val="SingleTxtGR"/>
      </w:pPr>
      <w:r w:rsidRPr="00180E4F">
        <w:t>81.</w:t>
      </w:r>
      <w:r w:rsidRPr="00180E4F">
        <w:tab/>
        <w:t>Государства-участники обязуются принимать меры по осуществлению Конвенции на национальном уровне и регулярно представлять национальные доклады на основании статьи 18 Конвенции о ликвидации всех форм дискр</w:t>
      </w:r>
      <w:r w:rsidRPr="00180E4F">
        <w:t>и</w:t>
      </w:r>
      <w:r w:rsidRPr="00180E4F">
        <w:t xml:space="preserve">минации в отношении женщин </w:t>
      </w:r>
      <w:r>
        <w:t>−</w:t>
      </w:r>
      <w:r w:rsidRPr="00180E4F">
        <w:t xml:space="preserve"> КЛДЖ 1979 года.</w:t>
      </w:r>
    </w:p>
    <w:p w:rsidR="00E86E93" w:rsidRPr="00180E4F" w:rsidRDefault="00E86E93" w:rsidP="00E86E93">
      <w:pPr>
        <w:pStyle w:val="SingleTxtGR"/>
      </w:pPr>
      <w:r w:rsidRPr="00180E4F">
        <w:t>82.</w:t>
      </w:r>
      <w:r w:rsidRPr="00180E4F">
        <w:tab/>
        <w:t xml:space="preserve">Комитет КЛДЖ в одной из своих рекомендаций, вынесенных в 2009 году, призвал Федеративную </w:t>
      </w:r>
      <w:r>
        <w:t>Р</w:t>
      </w:r>
      <w:r w:rsidRPr="00180E4F">
        <w:t>еспублику Германи</w:t>
      </w:r>
      <w:r>
        <w:t>я как государство-участника</w:t>
      </w:r>
      <w:r w:rsidRPr="00180E4F">
        <w:t xml:space="preserve"> пр</w:t>
      </w:r>
      <w:r w:rsidRPr="00180E4F">
        <w:t>и</w:t>
      </w:r>
      <w:r w:rsidRPr="00180E4F">
        <w:t>нять конкретные, профилактические меры по сокращению и ликвидации разл</w:t>
      </w:r>
      <w:r w:rsidRPr="00180E4F">
        <w:t>и</w:t>
      </w:r>
      <w:r w:rsidRPr="00180E4F">
        <w:t>чий в оплате труда и доходах женщин и мужчин.</w:t>
      </w:r>
    </w:p>
    <w:p w:rsidR="00E86E93" w:rsidRPr="00180E4F" w:rsidRDefault="00E86E93" w:rsidP="00E86E93">
      <w:pPr>
        <w:pStyle w:val="H23GR"/>
      </w:pPr>
      <w:r>
        <w:tab/>
      </w:r>
      <w:r w:rsidRPr="00180E4F">
        <w:t>6.</w:t>
      </w:r>
      <w:r w:rsidRPr="00180E4F">
        <w:tab/>
        <w:t>Цели ЕС</w:t>
      </w:r>
    </w:p>
    <w:p w:rsidR="00E86E93" w:rsidRPr="00180E4F" w:rsidRDefault="00E86E93" w:rsidP="00E86E93">
      <w:pPr>
        <w:pStyle w:val="SingleTxtGR"/>
      </w:pPr>
      <w:r w:rsidRPr="00180E4F">
        <w:t>83.</w:t>
      </w:r>
      <w:r w:rsidRPr="00180E4F">
        <w:tab/>
        <w:t>В государствах</w:t>
      </w:r>
      <w:r w:rsidRPr="00B10D00">
        <w:t xml:space="preserve"> </w:t>
      </w:r>
      <w:r>
        <w:t>−</w:t>
      </w:r>
      <w:r w:rsidRPr="00B10D00">
        <w:t xml:space="preserve"> </w:t>
      </w:r>
      <w:r w:rsidRPr="00180E4F">
        <w:t>членах Европейского союза гендерный разрыв в доходах составляет в среднем 18</w:t>
      </w:r>
      <w:r>
        <w:t>%</w:t>
      </w:r>
      <w:r w:rsidRPr="00180E4F">
        <w:t>. Поэтому "равная оплата за равный труд и за труд равной ценности" является одним из ключевых принципов новой Стратегии обеспечения равенства между женщинами и мужчинами на 2010</w:t>
      </w:r>
      <w:r w:rsidRPr="00B10D00">
        <w:t>−</w:t>
      </w:r>
      <w:r w:rsidRPr="00180E4F">
        <w:t>2015 годы Е</w:t>
      </w:r>
      <w:r w:rsidRPr="00180E4F">
        <w:t>в</w:t>
      </w:r>
      <w:r w:rsidRPr="00180E4F">
        <w:t>ропейской комиссии, принятой 21 сентября 2010 года. В этой стратегии Евр</w:t>
      </w:r>
      <w:r w:rsidRPr="00180E4F">
        <w:t>о</w:t>
      </w:r>
      <w:r w:rsidRPr="00180E4F">
        <w:t xml:space="preserve">пейская комиссия изложила ряд ключевых </w:t>
      </w:r>
      <w:r>
        <w:t>направлений деятельности</w:t>
      </w:r>
      <w:r w:rsidRPr="00180E4F">
        <w:t>. Осно</w:t>
      </w:r>
      <w:r w:rsidRPr="00180E4F">
        <w:t>в</w:t>
      </w:r>
      <w:r w:rsidRPr="00180E4F">
        <w:t xml:space="preserve">ными </w:t>
      </w:r>
      <w:r>
        <w:t>из</w:t>
      </w:r>
      <w:r w:rsidRPr="00180E4F">
        <w:t xml:space="preserve"> них являются следующие:</w:t>
      </w:r>
    </w:p>
    <w:p w:rsidR="00E86E93" w:rsidRPr="00180E4F" w:rsidRDefault="00E86E93" w:rsidP="00E86E93">
      <w:pPr>
        <w:pStyle w:val="Bullet1GR"/>
        <w:numPr>
          <w:ilvl w:val="0"/>
          <w:numId w:val="1"/>
        </w:numPr>
      </w:pPr>
      <w:r>
        <w:t>с</w:t>
      </w:r>
      <w:r w:rsidRPr="00180E4F">
        <w:t>овместно с европейскими социальными партнерами при уважени</w:t>
      </w:r>
      <w:r>
        <w:t>и</w:t>
      </w:r>
      <w:r w:rsidRPr="00180E4F">
        <w:t xml:space="preserve"> авт</w:t>
      </w:r>
      <w:r w:rsidRPr="00180E4F">
        <w:t>о</w:t>
      </w:r>
      <w:r w:rsidRPr="00180E4F">
        <w:t>номности социального диалога изучить возможные способы улучшения транспарентности оплаты труда, а также воздействи</w:t>
      </w:r>
      <w:r>
        <w:t>е</w:t>
      </w:r>
      <w:r w:rsidRPr="00180E4F">
        <w:t xml:space="preserve"> на </w:t>
      </w:r>
      <w:r>
        <w:t>равную</w:t>
      </w:r>
      <w:r w:rsidRPr="00180E4F">
        <w:t xml:space="preserve"> оплат</w:t>
      </w:r>
      <w:r>
        <w:t>у</w:t>
      </w:r>
      <w:r w:rsidRPr="00180E4F">
        <w:t xml:space="preserve"> труда таких аспектов, как работа на условиях неполной занятости и ко</w:t>
      </w:r>
      <w:r w:rsidRPr="00180E4F">
        <w:t>н</w:t>
      </w:r>
      <w:r w:rsidRPr="00180E4F">
        <w:t>тракты с фиксированным сроком действия</w:t>
      </w:r>
      <w:r>
        <w:t>;</w:t>
      </w:r>
    </w:p>
    <w:p w:rsidR="00E86E93" w:rsidRPr="00180E4F" w:rsidRDefault="00E86E93" w:rsidP="00E86E93">
      <w:pPr>
        <w:pStyle w:val="Bullet1GR"/>
        <w:numPr>
          <w:ilvl w:val="0"/>
          <w:numId w:val="1"/>
        </w:numPr>
      </w:pPr>
      <w:r>
        <w:t>п</w:t>
      </w:r>
      <w:r w:rsidRPr="00180E4F">
        <w:t>оддерживать инициативы в области равной оплат</w:t>
      </w:r>
      <w:r>
        <w:t>ы труда на рабочем месте, такие</w:t>
      </w:r>
      <w:r w:rsidRPr="00180E4F">
        <w:t xml:space="preserve"> как </w:t>
      </w:r>
      <w:r>
        <w:t>выдача почетного сертификата "Равенство"</w:t>
      </w:r>
      <w:r w:rsidRPr="00180E4F">
        <w:t>, грамот, пр</w:t>
      </w:r>
      <w:r w:rsidRPr="00180E4F">
        <w:t>е</w:t>
      </w:r>
      <w:r w:rsidRPr="00180E4F">
        <w:t>мий в области равенства, разработка инструментов для работодателей для и</w:t>
      </w:r>
      <w:r w:rsidRPr="00180E4F">
        <w:t>с</w:t>
      </w:r>
      <w:r w:rsidRPr="00180E4F">
        <w:t>правления необоснованных гендерных разрывов в оплате труда</w:t>
      </w:r>
      <w:r>
        <w:t>;</w:t>
      </w:r>
    </w:p>
    <w:p w:rsidR="00E86E93" w:rsidRPr="00180E4F" w:rsidRDefault="00E86E93" w:rsidP="00E86E93">
      <w:pPr>
        <w:pStyle w:val="Bullet1GR"/>
        <w:numPr>
          <w:ilvl w:val="0"/>
          <w:numId w:val="1"/>
        </w:numPr>
      </w:pPr>
      <w:r>
        <w:t>к</w:t>
      </w:r>
      <w:r w:rsidRPr="00180E4F">
        <w:t xml:space="preserve">аждый год устраивать Европейский день </w:t>
      </w:r>
      <w:r>
        <w:t>за равную оплату</w:t>
      </w:r>
      <w:r w:rsidRPr="00180E4F">
        <w:t xml:space="preserve"> труда в целях повышения уровня осведомленности о том, насколько </w:t>
      </w:r>
      <w:r>
        <w:t>дольше</w:t>
      </w:r>
      <w:r w:rsidRPr="00180E4F">
        <w:t xml:space="preserve"> женщине нужно работать, чтобы зарабатывать столько же, сколько му</w:t>
      </w:r>
      <w:r w:rsidRPr="00180E4F">
        <w:t>ж</w:t>
      </w:r>
      <w:r w:rsidRPr="00180E4F">
        <w:t>чина.</w:t>
      </w:r>
    </w:p>
    <w:p w:rsidR="00E86E93" w:rsidRPr="00180E4F" w:rsidRDefault="00E86E93" w:rsidP="00E86E93">
      <w:pPr>
        <w:pStyle w:val="SingleTxtGR"/>
      </w:pPr>
      <w:r w:rsidRPr="00180E4F">
        <w:t>84.</w:t>
      </w:r>
      <w:r w:rsidRPr="00180E4F">
        <w:tab/>
        <w:t xml:space="preserve">Германская программа </w:t>
      </w:r>
      <w:r>
        <w:t>транспартентности</w:t>
      </w:r>
      <w:r w:rsidRPr="00180E4F">
        <w:t xml:space="preserve"> оплаты труда </w:t>
      </w:r>
      <w:r w:rsidRPr="00180E4F">
        <w:rPr>
          <w:lang w:val="fr-CH"/>
        </w:rPr>
        <w:t>Logib</w:t>
      </w:r>
      <w:r w:rsidRPr="00180E4F">
        <w:t>-</w:t>
      </w:r>
      <w:r w:rsidRPr="00180E4F">
        <w:rPr>
          <w:lang w:val="en-US"/>
        </w:rPr>
        <w:t>D</w:t>
      </w:r>
      <w:r w:rsidRPr="00180E4F">
        <w:t xml:space="preserve"> и День </w:t>
      </w:r>
      <w:r>
        <w:t xml:space="preserve">за </w:t>
      </w:r>
      <w:r w:rsidRPr="00180E4F">
        <w:t>равн</w:t>
      </w:r>
      <w:r>
        <w:t>ую</w:t>
      </w:r>
      <w:r w:rsidRPr="00180E4F">
        <w:t xml:space="preserve"> оплат</w:t>
      </w:r>
      <w:r>
        <w:t>у</w:t>
      </w:r>
      <w:r w:rsidRPr="00180E4F">
        <w:t xml:space="preserve"> труда, организуемый в Германии с 2008 года при поддержке федерального правительства</w:t>
      </w:r>
      <w:r>
        <w:t>,</w:t>
      </w:r>
      <w:r w:rsidRPr="00180E4F">
        <w:t xml:space="preserve"> наряду с другими программами</w:t>
      </w:r>
      <w:r>
        <w:t>,</w:t>
      </w:r>
      <w:r w:rsidRPr="00180E4F">
        <w:t xml:space="preserve"> выступают в к</w:t>
      </w:r>
      <w:r w:rsidRPr="00180E4F">
        <w:t>а</w:t>
      </w:r>
      <w:r w:rsidRPr="00180E4F">
        <w:t xml:space="preserve">честве модели для последней из ключевых </w:t>
      </w:r>
      <w:r>
        <w:t>направлений деятельности</w:t>
      </w:r>
      <w:r w:rsidRPr="00180E4F">
        <w:t xml:space="preserve"> Коми</w:t>
      </w:r>
      <w:r w:rsidRPr="00180E4F">
        <w:t>с</w:t>
      </w:r>
      <w:r w:rsidRPr="00180E4F">
        <w:t>сии, изложенных выше.</w:t>
      </w:r>
    </w:p>
    <w:p w:rsidR="00E86E93" w:rsidRPr="00180E4F" w:rsidRDefault="00E86E93" w:rsidP="00E86E93">
      <w:pPr>
        <w:pStyle w:val="SingleTxtGR"/>
      </w:pPr>
      <w:r w:rsidRPr="00180E4F">
        <w:t>85.</w:t>
      </w:r>
      <w:r w:rsidRPr="00180E4F">
        <w:tab/>
        <w:t>В контексте регулярн</w:t>
      </w:r>
      <w:r>
        <w:t>ых</w:t>
      </w:r>
      <w:r w:rsidRPr="00180E4F">
        <w:t xml:space="preserve"> обзор</w:t>
      </w:r>
      <w:r>
        <w:t>ов</w:t>
      </w:r>
      <w:r w:rsidRPr="00180E4F">
        <w:t xml:space="preserve"> прогресса, которы</w:t>
      </w:r>
      <w:r>
        <w:t>е</w:t>
      </w:r>
      <w:r w:rsidRPr="00180E4F">
        <w:t xml:space="preserve"> провод</w:t>
      </w:r>
      <w:r>
        <w:t>я</w:t>
      </w:r>
      <w:r w:rsidRPr="00180E4F">
        <w:t>тся в Евр</w:t>
      </w:r>
      <w:r w:rsidRPr="00180E4F">
        <w:t>о</w:t>
      </w:r>
      <w:r>
        <w:t>пейском с</w:t>
      </w:r>
      <w:r w:rsidRPr="00180E4F">
        <w:t>оюзе в связи с осуществлением Пекинской платформы действий, п</w:t>
      </w:r>
      <w:r w:rsidRPr="00180E4F">
        <w:t>о</w:t>
      </w:r>
      <w:r w:rsidRPr="00180E4F">
        <w:t>казатели, установленные для этой цели в 2001 году, используемые для измер</w:t>
      </w:r>
      <w:r w:rsidRPr="00180E4F">
        <w:t>е</w:t>
      </w:r>
      <w:r w:rsidRPr="00180E4F">
        <w:t>ния гендерного разрыва в оплате труда, были систематизированы и усоверше</w:t>
      </w:r>
      <w:r w:rsidRPr="00180E4F">
        <w:t>н</w:t>
      </w:r>
      <w:r w:rsidRPr="00180E4F">
        <w:t>ствованы Советом по вопросам занятости, социальной политики, здравоохр</w:t>
      </w:r>
      <w:r w:rsidRPr="00180E4F">
        <w:t>а</w:t>
      </w:r>
      <w:r w:rsidRPr="00180E4F">
        <w:t>нения и по делам потреб</w:t>
      </w:r>
      <w:r w:rsidRPr="00180E4F">
        <w:t>и</w:t>
      </w:r>
      <w:r w:rsidRPr="00180E4F">
        <w:t xml:space="preserve">телей 6 декабря 2010 года. </w:t>
      </w:r>
    </w:p>
    <w:p w:rsidR="00E86E93" w:rsidRPr="00180E4F" w:rsidRDefault="00E86E93" w:rsidP="00E86E93">
      <w:pPr>
        <w:pStyle w:val="SingleTxtGR"/>
      </w:pPr>
      <w:r w:rsidRPr="00180E4F">
        <w:t>86.</w:t>
      </w:r>
      <w:r w:rsidRPr="00180E4F">
        <w:tab/>
        <w:t>5 марта 2010 года Европейская комиссия начала второй год кампании против гендерного разрыва в оплате труда.</w:t>
      </w:r>
    </w:p>
    <w:p w:rsidR="00E86E93" w:rsidRPr="00180E4F" w:rsidRDefault="00E86E93" w:rsidP="00E86E93">
      <w:pPr>
        <w:pStyle w:val="HChGR"/>
      </w:pPr>
      <w:r>
        <w:tab/>
      </w:r>
      <w:r w:rsidRPr="00180E4F">
        <w:rPr>
          <w:lang w:val="en-US"/>
        </w:rPr>
        <w:t>III</w:t>
      </w:r>
      <w:r w:rsidRPr="00180E4F">
        <w:t>.</w:t>
      </w:r>
      <w:r w:rsidRPr="00180E4F">
        <w:tab/>
        <w:t>Информация, представленная федеральным правительством о мерах по выполнению рекомендаций, содержащихся в пункте 62 заключительных зам</w:t>
      </w:r>
      <w:r w:rsidRPr="00180E4F">
        <w:t>е</w:t>
      </w:r>
      <w:r w:rsidRPr="00180E4F">
        <w:t xml:space="preserve">чаний Комитета КЛДЖ </w:t>
      </w:r>
      <w:r>
        <w:br/>
      </w:r>
      <w:r w:rsidRPr="00180E4F">
        <w:t>2009 года</w:t>
      </w:r>
    </w:p>
    <w:p w:rsidR="00E86E93" w:rsidRPr="00180E4F" w:rsidRDefault="00E86E93" w:rsidP="00E86E93">
      <w:pPr>
        <w:pStyle w:val="H1GR"/>
      </w:pPr>
      <w:r>
        <w:tab/>
      </w:r>
      <w:r>
        <w:tab/>
      </w:r>
      <w:r w:rsidRPr="00180E4F">
        <w:t xml:space="preserve">Меры по вступлению в диалог с неправительственными организациями по защите прав интерсексуалов </w:t>
      </w:r>
      <w:r>
        <w:br/>
      </w:r>
      <w:r w:rsidRPr="00180E4F">
        <w:t>и транссексуалов</w:t>
      </w:r>
    </w:p>
    <w:p w:rsidR="00E86E93" w:rsidRPr="00180E4F" w:rsidRDefault="00E86E93" w:rsidP="00E86E93">
      <w:pPr>
        <w:pStyle w:val="SingleTxtGR"/>
      </w:pPr>
      <w:r w:rsidRPr="00180E4F">
        <w:t>87.</w:t>
      </w:r>
      <w:r w:rsidRPr="00180E4F">
        <w:tab/>
        <w:t>Во время представления шестого национального доклада по КЛДЖ (Ко</w:t>
      </w:r>
      <w:r w:rsidRPr="00180E4F">
        <w:t>н</w:t>
      </w:r>
      <w:r w:rsidRPr="00180E4F">
        <w:t>венция о ликвидации всех форм дискриминации в отношении женщин) в фе</w:t>
      </w:r>
      <w:r w:rsidRPr="00180E4F">
        <w:t>в</w:t>
      </w:r>
      <w:r w:rsidRPr="00180E4F">
        <w:t>рале 2009 года Комитет КЛДЖ просил Германию как го</w:t>
      </w:r>
      <w:r>
        <w:t>сударство-участник</w:t>
      </w:r>
      <w:r w:rsidRPr="00180E4F">
        <w:t xml:space="preserve"> представить в течение двух лет письменный доклад о мерах</w:t>
      </w:r>
      <w:r>
        <w:t xml:space="preserve"> по</w:t>
      </w:r>
      <w:r w:rsidRPr="00180E4F">
        <w:t xml:space="preserve"> выполнени</w:t>
      </w:r>
      <w:r>
        <w:t>ю</w:t>
      </w:r>
      <w:r w:rsidRPr="00180E4F">
        <w:t xml:space="preserve"> р</w:t>
      </w:r>
      <w:r w:rsidRPr="00180E4F">
        <w:t>е</w:t>
      </w:r>
      <w:r w:rsidRPr="00180E4F">
        <w:t>комендаций, содержащихся в пункте 62 заключительных замечаний. Этот пункт включает призыв вступить в диалог с неправительственными организациями интерсексуалов и транссексуалов в целях лучшего понимания их потребностей и принятия эффективных мер по защите их прав человека.</w:t>
      </w:r>
    </w:p>
    <w:p w:rsidR="00E86E93" w:rsidRPr="00180E4F" w:rsidRDefault="00E86E93" w:rsidP="00E86E93">
      <w:pPr>
        <w:pStyle w:val="SingleTxtGR"/>
        <w:rPr>
          <w:bCs/>
        </w:rPr>
      </w:pPr>
      <w:r w:rsidRPr="00180E4F">
        <w:t>88.</w:t>
      </w:r>
      <w:r w:rsidRPr="00180E4F">
        <w:tab/>
        <w:t xml:space="preserve">Как отмечено в коалиционном соглашении на </w:t>
      </w:r>
      <w:r>
        <w:t>семнадцатый</w:t>
      </w:r>
      <w:r w:rsidRPr="00180E4F">
        <w:t xml:space="preserve"> законодател</w:t>
      </w:r>
      <w:r w:rsidRPr="00180E4F">
        <w:t>ь</w:t>
      </w:r>
      <w:r w:rsidRPr="00180E4F">
        <w:t xml:space="preserve">ный период, "WACHSTUM. BILDUNG. ZUSAMMENHALT" </w:t>
      </w:r>
      <w:r w:rsidRPr="00180E4F">
        <w:rPr>
          <w:bCs/>
        </w:rPr>
        <w:t>(развитие, образ</w:t>
      </w:r>
      <w:r w:rsidRPr="00180E4F">
        <w:rPr>
          <w:bCs/>
        </w:rPr>
        <w:t>о</w:t>
      </w:r>
      <w:r w:rsidRPr="00180E4F">
        <w:rPr>
          <w:bCs/>
        </w:rPr>
        <w:t>вание, взаим</w:t>
      </w:r>
      <w:r w:rsidRPr="00180E4F">
        <w:rPr>
          <w:bCs/>
        </w:rPr>
        <w:t>о</w:t>
      </w:r>
      <w:r w:rsidRPr="00180E4F">
        <w:rPr>
          <w:bCs/>
        </w:rPr>
        <w:t xml:space="preserve">действие), "Закону о транссексуалах, действующему в настоящее время, уже почти </w:t>
      </w:r>
      <w:r>
        <w:rPr>
          <w:bCs/>
        </w:rPr>
        <w:t>30</w:t>
      </w:r>
      <w:r w:rsidRPr="00180E4F">
        <w:rPr>
          <w:bCs/>
        </w:rPr>
        <w:t xml:space="preserve"> лет. Он не соответствует нынешнему уровню медици</w:t>
      </w:r>
      <w:r w:rsidRPr="00180E4F">
        <w:rPr>
          <w:bCs/>
        </w:rPr>
        <w:t>н</w:t>
      </w:r>
      <w:r w:rsidRPr="00180E4F">
        <w:rPr>
          <w:bCs/>
        </w:rPr>
        <w:t>ск</w:t>
      </w:r>
      <w:r>
        <w:rPr>
          <w:bCs/>
        </w:rPr>
        <w:t>их</w:t>
      </w:r>
      <w:r w:rsidRPr="00180E4F">
        <w:rPr>
          <w:bCs/>
        </w:rPr>
        <w:t>/научн</w:t>
      </w:r>
      <w:r>
        <w:rPr>
          <w:bCs/>
        </w:rPr>
        <w:t>ых</w:t>
      </w:r>
      <w:r w:rsidRPr="00180E4F">
        <w:rPr>
          <w:bCs/>
        </w:rPr>
        <w:t xml:space="preserve"> </w:t>
      </w:r>
      <w:r>
        <w:rPr>
          <w:bCs/>
        </w:rPr>
        <w:t>знаний</w:t>
      </w:r>
      <w:r w:rsidRPr="00180E4F">
        <w:rPr>
          <w:bCs/>
        </w:rPr>
        <w:t>. Поэтому мы пересмотрим Закон о транссексуалах с уч</w:t>
      </w:r>
      <w:r w:rsidRPr="00180E4F">
        <w:rPr>
          <w:bCs/>
        </w:rPr>
        <w:t>е</w:t>
      </w:r>
      <w:r w:rsidRPr="00180E4F">
        <w:rPr>
          <w:bCs/>
        </w:rPr>
        <w:t>том решения, вынесенного Федеральным конституционным судом, в целях его обновления и приведения в соответствие с современными реалиями, чтобы о</w:t>
      </w:r>
      <w:r w:rsidRPr="00180E4F">
        <w:rPr>
          <w:bCs/>
        </w:rPr>
        <w:t>х</w:t>
      </w:r>
      <w:r w:rsidRPr="00180E4F">
        <w:rPr>
          <w:bCs/>
        </w:rPr>
        <w:t xml:space="preserve">ваченные этим законом лица могли </w:t>
      </w:r>
      <w:r>
        <w:rPr>
          <w:bCs/>
        </w:rPr>
        <w:t xml:space="preserve">вести </w:t>
      </w:r>
      <w:r w:rsidRPr="00180E4F">
        <w:rPr>
          <w:bCs/>
        </w:rPr>
        <w:t>свободн</w:t>
      </w:r>
      <w:r>
        <w:rPr>
          <w:bCs/>
        </w:rPr>
        <w:t>ую жизнь</w:t>
      </w:r>
      <w:r w:rsidRPr="00180E4F">
        <w:rPr>
          <w:bCs/>
        </w:rPr>
        <w:t xml:space="preserve"> и самостоятельно распоряжаться </w:t>
      </w:r>
      <w:r>
        <w:rPr>
          <w:bCs/>
        </w:rPr>
        <w:t>ею</w:t>
      </w:r>
      <w:r w:rsidRPr="00180E4F">
        <w:rPr>
          <w:bCs/>
        </w:rPr>
        <w:t>"</w:t>
      </w:r>
      <w:r>
        <w:rPr>
          <w:bCs/>
        </w:rPr>
        <w:t>.</w:t>
      </w:r>
      <w:r w:rsidRPr="00180E4F">
        <w:rPr>
          <w:bCs/>
        </w:rPr>
        <w:t xml:space="preserve"> (</w:t>
      </w:r>
      <w:r>
        <w:rPr>
          <w:bCs/>
        </w:rPr>
        <w:t>Г</w:t>
      </w:r>
      <w:r w:rsidRPr="00180E4F">
        <w:rPr>
          <w:bCs/>
        </w:rPr>
        <w:t xml:space="preserve">лава </w:t>
      </w:r>
      <w:r w:rsidRPr="00180E4F">
        <w:rPr>
          <w:bCs/>
          <w:lang w:val="fr-CH"/>
        </w:rPr>
        <w:t>IV</w:t>
      </w:r>
      <w:r>
        <w:rPr>
          <w:bCs/>
        </w:rPr>
        <w:t>.4.)</w:t>
      </w:r>
    </w:p>
    <w:p w:rsidR="00E86E93" w:rsidRPr="00180E4F" w:rsidRDefault="00E86E93" w:rsidP="00E86E93">
      <w:pPr>
        <w:pStyle w:val="SingleTxtGR"/>
        <w:rPr>
          <w:bCs/>
        </w:rPr>
      </w:pPr>
      <w:r w:rsidRPr="00180E4F">
        <w:rPr>
          <w:bCs/>
        </w:rPr>
        <w:t>89.</w:t>
      </w:r>
      <w:r w:rsidRPr="00180E4F">
        <w:rPr>
          <w:bCs/>
        </w:rPr>
        <w:tab/>
        <w:t>В июне 2010 года Национальный совет по вопросам этики Германии о</w:t>
      </w:r>
      <w:r w:rsidRPr="00180E4F">
        <w:rPr>
          <w:bCs/>
        </w:rPr>
        <w:t>р</w:t>
      </w:r>
      <w:r w:rsidRPr="00180E4F">
        <w:rPr>
          <w:bCs/>
        </w:rPr>
        <w:t>ганизовал дискуссионный форум с заинтересованными лицами и их независ</w:t>
      </w:r>
      <w:r w:rsidRPr="00180E4F">
        <w:rPr>
          <w:bCs/>
        </w:rPr>
        <w:t>и</w:t>
      </w:r>
      <w:r w:rsidRPr="00180E4F">
        <w:rPr>
          <w:bCs/>
        </w:rPr>
        <w:t xml:space="preserve">мыми организациями под названием "Интерсексуальность </w:t>
      </w:r>
      <w:r>
        <w:rPr>
          <w:bCs/>
        </w:rPr>
        <w:t>−</w:t>
      </w:r>
      <w:r w:rsidRPr="00180E4F">
        <w:rPr>
          <w:bCs/>
        </w:rPr>
        <w:t xml:space="preserve"> жизнь между п</w:t>
      </w:r>
      <w:r w:rsidRPr="00180E4F">
        <w:rPr>
          <w:bCs/>
        </w:rPr>
        <w:t>о</w:t>
      </w:r>
      <w:r w:rsidRPr="00180E4F">
        <w:rPr>
          <w:bCs/>
        </w:rPr>
        <w:t>лами". В ходе форума были заслушаны и приняты во внимание не только в</w:t>
      </w:r>
      <w:r w:rsidRPr="00180E4F">
        <w:rPr>
          <w:bCs/>
        </w:rPr>
        <w:t>ы</w:t>
      </w:r>
      <w:r w:rsidRPr="00180E4F">
        <w:rPr>
          <w:bCs/>
        </w:rPr>
        <w:t>ступления заинтересованных лиц, но и мнения медицинских работников, тер</w:t>
      </w:r>
      <w:r w:rsidRPr="00180E4F">
        <w:rPr>
          <w:bCs/>
        </w:rPr>
        <w:t>а</w:t>
      </w:r>
      <w:r w:rsidRPr="00180E4F">
        <w:rPr>
          <w:bCs/>
        </w:rPr>
        <w:t>певтов, социологов и юр</w:t>
      </w:r>
      <w:r w:rsidRPr="00180E4F">
        <w:rPr>
          <w:bCs/>
        </w:rPr>
        <w:t>и</w:t>
      </w:r>
      <w:r w:rsidRPr="00180E4F">
        <w:rPr>
          <w:bCs/>
        </w:rPr>
        <w:t xml:space="preserve">стов. </w:t>
      </w:r>
    </w:p>
    <w:p w:rsidR="00E86E93" w:rsidRPr="00180E4F" w:rsidRDefault="00E86E93" w:rsidP="00E86E93">
      <w:pPr>
        <w:pStyle w:val="SingleTxtGR"/>
        <w:rPr>
          <w:bCs/>
        </w:rPr>
      </w:pPr>
      <w:r w:rsidRPr="00180E4F">
        <w:rPr>
          <w:bCs/>
        </w:rPr>
        <w:t>90.</w:t>
      </w:r>
      <w:r w:rsidRPr="00180E4F">
        <w:rPr>
          <w:bCs/>
        </w:rPr>
        <w:tab/>
        <w:t>Национальный совет Германии по вопросам этики − это независимый о</w:t>
      </w:r>
      <w:r w:rsidRPr="00180E4F">
        <w:rPr>
          <w:bCs/>
        </w:rPr>
        <w:t>р</w:t>
      </w:r>
      <w:r w:rsidRPr="00180E4F">
        <w:rPr>
          <w:bCs/>
        </w:rPr>
        <w:t>ган, действующий на ос</w:t>
      </w:r>
      <w:r>
        <w:rPr>
          <w:bCs/>
        </w:rPr>
        <w:t>новании Закона о С</w:t>
      </w:r>
      <w:r w:rsidRPr="00180E4F">
        <w:rPr>
          <w:bCs/>
        </w:rPr>
        <w:t>овете по вопросам этики (2007 год), члены которого назначаются председателем бу</w:t>
      </w:r>
      <w:r w:rsidRPr="00180E4F">
        <w:rPr>
          <w:bCs/>
        </w:rPr>
        <w:t>н</w:t>
      </w:r>
      <w:r w:rsidRPr="00180E4F">
        <w:rPr>
          <w:bCs/>
        </w:rPr>
        <w:t xml:space="preserve">дестага. Кандидатуры половины </w:t>
      </w:r>
      <w:r>
        <w:rPr>
          <w:bCs/>
        </w:rPr>
        <w:t xml:space="preserve">всех </w:t>
      </w:r>
      <w:r w:rsidRPr="00180E4F">
        <w:rPr>
          <w:bCs/>
        </w:rPr>
        <w:t xml:space="preserve">26 членов Совета по вопросам этики предлагаются бундестагом, а вторая половина − федеральным правительством. </w:t>
      </w:r>
      <w:r>
        <w:rPr>
          <w:bCs/>
        </w:rPr>
        <w:t>Его члены являются специалистами в области естественнонаучных,</w:t>
      </w:r>
      <w:r w:rsidRPr="00180E4F">
        <w:rPr>
          <w:bCs/>
        </w:rPr>
        <w:t xml:space="preserve"> медицинских, теологических, философских, этических</w:t>
      </w:r>
      <w:r>
        <w:rPr>
          <w:bCs/>
        </w:rPr>
        <w:t>,</w:t>
      </w:r>
      <w:r w:rsidRPr="00180E4F">
        <w:rPr>
          <w:bCs/>
        </w:rPr>
        <w:t xml:space="preserve"> социальных, экономических и правовых вопросов. </w:t>
      </w:r>
      <w:r>
        <w:rPr>
          <w:bCs/>
        </w:rPr>
        <w:t xml:space="preserve">Цель Совета </w:t>
      </w:r>
      <w:r w:rsidRPr="00180E4F">
        <w:rPr>
          <w:bCs/>
        </w:rPr>
        <w:t>з</w:t>
      </w:r>
      <w:r w:rsidRPr="00180E4F">
        <w:rPr>
          <w:bCs/>
        </w:rPr>
        <w:t>а</w:t>
      </w:r>
      <w:r w:rsidRPr="00180E4F">
        <w:rPr>
          <w:bCs/>
        </w:rPr>
        <w:t>ключается в том, чтобы продемонстрировать различные этические подходы и плюрализм мнений.</w:t>
      </w:r>
    </w:p>
    <w:p w:rsidR="00E86E93" w:rsidRPr="00180E4F" w:rsidRDefault="00E86E93" w:rsidP="00E86E93">
      <w:pPr>
        <w:pStyle w:val="SingleTxtGR"/>
        <w:rPr>
          <w:bCs/>
        </w:rPr>
      </w:pPr>
      <w:r w:rsidRPr="00180E4F">
        <w:rPr>
          <w:bCs/>
        </w:rPr>
        <w:t>91.</w:t>
      </w:r>
      <w:r w:rsidRPr="00180E4F">
        <w:rPr>
          <w:bCs/>
        </w:rPr>
        <w:tab/>
        <w:t xml:space="preserve">В соответствии с Законом о </w:t>
      </w:r>
      <w:r>
        <w:rPr>
          <w:bCs/>
        </w:rPr>
        <w:t>С</w:t>
      </w:r>
      <w:r w:rsidRPr="00180E4F">
        <w:rPr>
          <w:bCs/>
        </w:rPr>
        <w:t xml:space="preserve">овете по вопросам этики Совет может </w:t>
      </w:r>
      <w:r>
        <w:rPr>
          <w:bCs/>
        </w:rPr>
        <w:t>изл</w:t>
      </w:r>
      <w:r>
        <w:rPr>
          <w:bCs/>
        </w:rPr>
        <w:t>а</w:t>
      </w:r>
      <w:r>
        <w:rPr>
          <w:bCs/>
        </w:rPr>
        <w:t>гать</w:t>
      </w:r>
      <w:r w:rsidRPr="00180E4F">
        <w:rPr>
          <w:bCs/>
        </w:rPr>
        <w:t xml:space="preserve"> мнения, основанные на его собственных оценках, по</w:t>
      </w:r>
      <w:r>
        <w:rPr>
          <w:bCs/>
        </w:rPr>
        <w:t xml:space="preserve"> просьбе</w:t>
      </w:r>
      <w:r w:rsidRPr="00180E4F">
        <w:rPr>
          <w:bCs/>
        </w:rPr>
        <w:t xml:space="preserve"> бундестага или федерального правительства. Учитывая уже налаженн</w:t>
      </w:r>
      <w:r>
        <w:rPr>
          <w:bCs/>
        </w:rPr>
        <w:t>ый диалог</w:t>
      </w:r>
      <w:r w:rsidRPr="00180E4F">
        <w:rPr>
          <w:bCs/>
        </w:rPr>
        <w:t xml:space="preserve"> с заинт</w:t>
      </w:r>
      <w:r w:rsidRPr="00180E4F">
        <w:rPr>
          <w:bCs/>
        </w:rPr>
        <w:t>е</w:t>
      </w:r>
      <w:r w:rsidRPr="00180E4F">
        <w:rPr>
          <w:bCs/>
        </w:rPr>
        <w:t>ресованными лицами и их организациями, федеральное правительство в соо</w:t>
      </w:r>
      <w:r w:rsidRPr="00180E4F">
        <w:rPr>
          <w:bCs/>
        </w:rPr>
        <w:t>т</w:t>
      </w:r>
      <w:r w:rsidRPr="00180E4F">
        <w:rPr>
          <w:bCs/>
        </w:rPr>
        <w:t xml:space="preserve">ветствии с пунктом 3 статьи 2 Закона о </w:t>
      </w:r>
      <w:r>
        <w:rPr>
          <w:bCs/>
        </w:rPr>
        <w:t>С</w:t>
      </w:r>
      <w:r w:rsidRPr="00180E4F">
        <w:rPr>
          <w:bCs/>
        </w:rPr>
        <w:t xml:space="preserve">овете по вопросам этики 17 декабря 2010 года поручило </w:t>
      </w:r>
      <w:r>
        <w:rPr>
          <w:bCs/>
        </w:rPr>
        <w:t>С</w:t>
      </w:r>
      <w:r w:rsidRPr="00180E4F">
        <w:rPr>
          <w:bCs/>
        </w:rPr>
        <w:t>овету подготовить заключение по вопросу о положении интерсексуалов и проблем, с котор</w:t>
      </w:r>
      <w:r w:rsidRPr="00180E4F">
        <w:rPr>
          <w:bCs/>
        </w:rPr>
        <w:t>ы</w:t>
      </w:r>
      <w:r w:rsidRPr="00180E4F">
        <w:rPr>
          <w:bCs/>
        </w:rPr>
        <w:t>ми они сталкиваются.</w:t>
      </w:r>
    </w:p>
    <w:p w:rsidR="00E86E93" w:rsidRPr="00180E4F" w:rsidRDefault="00E86E93" w:rsidP="00E86E93">
      <w:pPr>
        <w:pStyle w:val="SingleTxtGR"/>
        <w:rPr>
          <w:bCs/>
        </w:rPr>
      </w:pPr>
      <w:r w:rsidRPr="00180E4F">
        <w:rPr>
          <w:bCs/>
        </w:rPr>
        <w:t>92.</w:t>
      </w:r>
      <w:r w:rsidRPr="00180E4F">
        <w:rPr>
          <w:bCs/>
        </w:rPr>
        <w:tab/>
        <w:t>Это поручение явно перекликается с заключительными замечаниями К</w:t>
      </w:r>
      <w:r w:rsidRPr="00180E4F">
        <w:rPr>
          <w:bCs/>
        </w:rPr>
        <w:t>о</w:t>
      </w:r>
      <w:r w:rsidRPr="00180E4F">
        <w:rPr>
          <w:bCs/>
        </w:rPr>
        <w:t>митета по ликвидации дискриминации в отношении женщин и докладом о ди</w:t>
      </w:r>
      <w:r w:rsidRPr="00180E4F">
        <w:rPr>
          <w:bCs/>
        </w:rPr>
        <w:t>а</w:t>
      </w:r>
      <w:r w:rsidRPr="00180E4F">
        <w:rPr>
          <w:bCs/>
        </w:rPr>
        <w:t xml:space="preserve">логе с неправительственными организациями </w:t>
      </w:r>
      <w:r>
        <w:rPr>
          <w:bCs/>
        </w:rPr>
        <w:t xml:space="preserve">интерсескуалов и </w:t>
      </w:r>
      <w:r w:rsidRPr="00180E4F">
        <w:rPr>
          <w:bCs/>
        </w:rPr>
        <w:t>транссексуалов, который подлежит представлению в 2011 году. На этом фоне федеральное пр</w:t>
      </w:r>
      <w:r w:rsidRPr="00180E4F">
        <w:rPr>
          <w:bCs/>
        </w:rPr>
        <w:t>а</w:t>
      </w:r>
      <w:r w:rsidRPr="00180E4F">
        <w:rPr>
          <w:bCs/>
        </w:rPr>
        <w:t>вительство просит Национальный совет Германии по вопросам этики продо</w:t>
      </w:r>
      <w:r w:rsidRPr="00180E4F">
        <w:rPr>
          <w:bCs/>
        </w:rPr>
        <w:t>л</w:t>
      </w:r>
      <w:r w:rsidRPr="00180E4F">
        <w:rPr>
          <w:bCs/>
        </w:rPr>
        <w:t>ж</w:t>
      </w:r>
      <w:r>
        <w:rPr>
          <w:bCs/>
        </w:rPr>
        <w:t>и</w:t>
      </w:r>
      <w:r w:rsidRPr="00180E4F">
        <w:rPr>
          <w:bCs/>
        </w:rPr>
        <w:t>ть</w:t>
      </w:r>
      <w:r>
        <w:rPr>
          <w:bCs/>
        </w:rPr>
        <w:t xml:space="preserve"> диалог</w:t>
      </w:r>
      <w:r w:rsidRPr="00180E4F">
        <w:rPr>
          <w:bCs/>
        </w:rPr>
        <w:t xml:space="preserve"> с затрагиваемыми лицами и их независимыми организациями и </w:t>
      </w:r>
      <w:r>
        <w:rPr>
          <w:bCs/>
        </w:rPr>
        <w:t>всесторонне</w:t>
      </w:r>
      <w:r w:rsidRPr="00180E4F">
        <w:rPr>
          <w:bCs/>
        </w:rPr>
        <w:t xml:space="preserve"> изуч</w:t>
      </w:r>
      <w:r>
        <w:rPr>
          <w:bCs/>
        </w:rPr>
        <w:t>и</w:t>
      </w:r>
      <w:r w:rsidRPr="00180E4F">
        <w:rPr>
          <w:bCs/>
        </w:rPr>
        <w:t>ть ситуацию, в которой</w:t>
      </w:r>
      <w:r>
        <w:rPr>
          <w:bCs/>
        </w:rPr>
        <w:t xml:space="preserve"> они</w:t>
      </w:r>
      <w:r w:rsidRPr="00180E4F">
        <w:rPr>
          <w:bCs/>
        </w:rPr>
        <w:t xml:space="preserve"> находятся,</w:t>
      </w:r>
      <w:r>
        <w:rPr>
          <w:bCs/>
        </w:rPr>
        <w:t xml:space="preserve"> а также проблемы л</w:t>
      </w:r>
      <w:r>
        <w:rPr>
          <w:bCs/>
        </w:rPr>
        <w:t>ю</w:t>
      </w:r>
      <w:r>
        <w:rPr>
          <w:bCs/>
        </w:rPr>
        <w:t>дей, находящихся в условиях</w:t>
      </w:r>
      <w:r w:rsidRPr="00180E4F">
        <w:rPr>
          <w:bCs/>
        </w:rPr>
        <w:t xml:space="preserve"> интерсексуальност</w:t>
      </w:r>
      <w:r>
        <w:rPr>
          <w:bCs/>
        </w:rPr>
        <w:t>и</w:t>
      </w:r>
      <w:r w:rsidRPr="00180E4F">
        <w:rPr>
          <w:bCs/>
        </w:rPr>
        <w:t>, при этом четко отдел</w:t>
      </w:r>
      <w:r>
        <w:rPr>
          <w:bCs/>
        </w:rPr>
        <w:t>ив</w:t>
      </w:r>
      <w:r w:rsidRPr="00180E4F">
        <w:rPr>
          <w:bCs/>
        </w:rPr>
        <w:t xml:space="preserve"> эти </w:t>
      </w:r>
      <w:r>
        <w:rPr>
          <w:bCs/>
        </w:rPr>
        <w:t xml:space="preserve">проблемы </w:t>
      </w:r>
      <w:r w:rsidRPr="00180E4F">
        <w:rPr>
          <w:bCs/>
        </w:rPr>
        <w:t>от проблем транссексуальности. Федеральное правительство пр</w:t>
      </w:r>
      <w:r w:rsidRPr="00180E4F">
        <w:rPr>
          <w:bCs/>
        </w:rPr>
        <w:t>о</w:t>
      </w:r>
      <w:r w:rsidRPr="00180E4F">
        <w:rPr>
          <w:bCs/>
        </w:rPr>
        <w:t>сило представить это заключение по возможн</w:t>
      </w:r>
      <w:r w:rsidRPr="00180E4F">
        <w:rPr>
          <w:bCs/>
        </w:rPr>
        <w:t>о</w:t>
      </w:r>
      <w:r w:rsidRPr="00180E4F">
        <w:rPr>
          <w:bCs/>
        </w:rPr>
        <w:t>сти к концу 2011 года.</w:t>
      </w:r>
    </w:p>
    <w:p w:rsidR="00E86E93" w:rsidRPr="00180E4F" w:rsidRDefault="00E86E93" w:rsidP="00E86E93">
      <w:pPr>
        <w:pStyle w:val="SingleTxtGR"/>
        <w:rPr>
          <w:bCs/>
        </w:rPr>
      </w:pPr>
      <w:r w:rsidRPr="00180E4F">
        <w:rPr>
          <w:bCs/>
        </w:rPr>
        <w:t>93.</w:t>
      </w:r>
      <w:r w:rsidRPr="00180E4F">
        <w:rPr>
          <w:bCs/>
        </w:rPr>
        <w:tab/>
        <w:t xml:space="preserve">Развитие </w:t>
      </w:r>
      <w:r>
        <w:rPr>
          <w:bCs/>
        </w:rPr>
        <w:t>диалога по этическим вопросам</w:t>
      </w:r>
      <w:r w:rsidRPr="00180E4F">
        <w:rPr>
          <w:bCs/>
        </w:rPr>
        <w:t xml:space="preserve"> между федеральным прав</w:t>
      </w:r>
      <w:r w:rsidRPr="00180E4F">
        <w:rPr>
          <w:bCs/>
        </w:rPr>
        <w:t>и</w:t>
      </w:r>
      <w:r w:rsidRPr="00180E4F">
        <w:rPr>
          <w:bCs/>
        </w:rPr>
        <w:t>тельством, бундест</w:t>
      </w:r>
      <w:r>
        <w:rPr>
          <w:bCs/>
        </w:rPr>
        <w:t>агом и гражданским обществом</w:t>
      </w:r>
      <w:r w:rsidRPr="00180E4F">
        <w:rPr>
          <w:bCs/>
        </w:rPr>
        <w:t xml:space="preserve"> </w:t>
      </w:r>
      <w:r>
        <w:rPr>
          <w:bCs/>
        </w:rPr>
        <w:t>является одной из</w:t>
      </w:r>
      <w:r w:rsidRPr="00180E4F">
        <w:rPr>
          <w:bCs/>
        </w:rPr>
        <w:t xml:space="preserve"> осно</w:t>
      </w:r>
      <w:r w:rsidRPr="00180E4F">
        <w:rPr>
          <w:bCs/>
        </w:rPr>
        <w:t>в</w:t>
      </w:r>
      <w:r w:rsidRPr="00180E4F">
        <w:rPr>
          <w:bCs/>
        </w:rPr>
        <w:t xml:space="preserve">ных </w:t>
      </w:r>
      <w:r>
        <w:rPr>
          <w:bCs/>
        </w:rPr>
        <w:t>задач</w:t>
      </w:r>
      <w:r w:rsidRPr="00180E4F">
        <w:rPr>
          <w:bCs/>
        </w:rPr>
        <w:t xml:space="preserve"> Национального совета Германии по вопросам этики. Совет стремится к искоренению в </w:t>
      </w:r>
      <w:r>
        <w:rPr>
          <w:bCs/>
        </w:rPr>
        <w:t>общественном</w:t>
      </w:r>
      <w:r w:rsidRPr="00180E4F">
        <w:rPr>
          <w:bCs/>
        </w:rPr>
        <w:t xml:space="preserve"> сознании </w:t>
      </w:r>
      <w:r>
        <w:rPr>
          <w:bCs/>
        </w:rPr>
        <w:t xml:space="preserve">всех </w:t>
      </w:r>
      <w:r w:rsidRPr="00180E4F">
        <w:rPr>
          <w:bCs/>
        </w:rPr>
        <w:t>табу в отношении интерсексуал</w:t>
      </w:r>
      <w:r w:rsidRPr="00180E4F">
        <w:rPr>
          <w:bCs/>
        </w:rPr>
        <w:t>ь</w:t>
      </w:r>
      <w:r w:rsidRPr="00180E4F">
        <w:rPr>
          <w:bCs/>
        </w:rPr>
        <w:t>ности</w:t>
      </w:r>
      <w:r>
        <w:rPr>
          <w:bCs/>
        </w:rPr>
        <w:t>, равно как</w:t>
      </w:r>
      <w:r w:rsidRPr="00180E4F">
        <w:rPr>
          <w:bCs/>
        </w:rPr>
        <w:t xml:space="preserve"> и доминирующих стереотипов. Именно таким образом в соц</w:t>
      </w:r>
      <w:r w:rsidRPr="00180E4F">
        <w:rPr>
          <w:bCs/>
        </w:rPr>
        <w:t>и</w:t>
      </w:r>
      <w:r w:rsidRPr="00180E4F">
        <w:rPr>
          <w:bCs/>
        </w:rPr>
        <w:t>ально-политической сфере решаются очевидные и подчас крайне тяжелые пр</w:t>
      </w:r>
      <w:r w:rsidRPr="00180E4F">
        <w:rPr>
          <w:bCs/>
        </w:rPr>
        <w:t>о</w:t>
      </w:r>
      <w:r w:rsidRPr="00180E4F">
        <w:rPr>
          <w:bCs/>
        </w:rPr>
        <w:t>блемы лиц с отклонениями в сексуальном разв</w:t>
      </w:r>
      <w:r w:rsidRPr="00180E4F">
        <w:rPr>
          <w:bCs/>
        </w:rPr>
        <w:t>и</w:t>
      </w:r>
      <w:r w:rsidRPr="00180E4F">
        <w:rPr>
          <w:bCs/>
        </w:rPr>
        <w:t>тии (ОСР).</w:t>
      </w:r>
    </w:p>
    <w:p w:rsidR="00E86E93" w:rsidRPr="00180E4F" w:rsidRDefault="00E86E93" w:rsidP="00E86E93">
      <w:pPr>
        <w:pStyle w:val="SingleTxtGR"/>
        <w:rPr>
          <w:bCs/>
        </w:rPr>
      </w:pPr>
      <w:r w:rsidRPr="00180E4F">
        <w:rPr>
          <w:bCs/>
        </w:rPr>
        <w:t>94.</w:t>
      </w:r>
      <w:r w:rsidRPr="00180E4F">
        <w:rPr>
          <w:bCs/>
        </w:rPr>
        <w:tab/>
        <w:t xml:space="preserve">Поскольку </w:t>
      </w:r>
      <w:r>
        <w:rPr>
          <w:bCs/>
        </w:rPr>
        <w:t xml:space="preserve">анализ </w:t>
      </w:r>
      <w:r w:rsidRPr="00180E4F">
        <w:rPr>
          <w:bCs/>
        </w:rPr>
        <w:t>проблем упомянутой группы лиц включа</w:t>
      </w:r>
      <w:r>
        <w:rPr>
          <w:bCs/>
        </w:rPr>
        <w:t>е</w:t>
      </w:r>
      <w:r w:rsidRPr="00180E4F">
        <w:rPr>
          <w:bCs/>
        </w:rPr>
        <w:t xml:space="preserve">т вопросы медицинского характера, а также вопросы, связанные с гражданским статусом и другими </w:t>
      </w:r>
      <w:r>
        <w:rPr>
          <w:bCs/>
        </w:rPr>
        <w:t>проблемами</w:t>
      </w:r>
      <w:r w:rsidRPr="00180E4F">
        <w:rPr>
          <w:bCs/>
        </w:rPr>
        <w:t>, участие некоторых федеральны</w:t>
      </w:r>
      <w:r>
        <w:rPr>
          <w:bCs/>
        </w:rPr>
        <w:t>х</w:t>
      </w:r>
      <w:r w:rsidRPr="00180E4F">
        <w:rPr>
          <w:bCs/>
        </w:rPr>
        <w:t xml:space="preserve"> министерст</w:t>
      </w:r>
      <w:r>
        <w:rPr>
          <w:bCs/>
        </w:rPr>
        <w:t>в предста</w:t>
      </w:r>
      <w:r>
        <w:rPr>
          <w:bCs/>
        </w:rPr>
        <w:t>в</w:t>
      </w:r>
      <w:r>
        <w:rPr>
          <w:bCs/>
        </w:rPr>
        <w:t>ляется необходимым</w:t>
      </w:r>
      <w:r w:rsidRPr="00180E4F">
        <w:rPr>
          <w:bCs/>
        </w:rPr>
        <w:t>.</w:t>
      </w:r>
    </w:p>
    <w:p w:rsidR="00E86E93" w:rsidRPr="00180E4F" w:rsidRDefault="00E86E93" w:rsidP="00D079F9">
      <w:pPr>
        <w:pStyle w:val="SingleTxtGR"/>
        <w:pageBreakBefore/>
      </w:pPr>
      <w:r w:rsidRPr="00180E4F">
        <w:rPr>
          <w:bCs/>
        </w:rPr>
        <w:t>95.</w:t>
      </w:r>
      <w:r w:rsidRPr="00180E4F">
        <w:rPr>
          <w:bCs/>
        </w:rPr>
        <w:tab/>
        <w:t>Независимо от привлечения Национального совета Германии по вопр</w:t>
      </w:r>
      <w:r w:rsidRPr="00180E4F">
        <w:rPr>
          <w:bCs/>
        </w:rPr>
        <w:t>о</w:t>
      </w:r>
      <w:r w:rsidRPr="00180E4F">
        <w:rPr>
          <w:bCs/>
        </w:rPr>
        <w:t xml:space="preserve">сам этики и в дополнение к нему </w:t>
      </w:r>
      <w:r>
        <w:rPr>
          <w:bCs/>
        </w:rPr>
        <w:t>Ф</w:t>
      </w:r>
      <w:r w:rsidRPr="00180E4F">
        <w:rPr>
          <w:bCs/>
        </w:rPr>
        <w:t>едеральное агентство по борьбе с дискр</w:t>
      </w:r>
      <w:r w:rsidRPr="00180E4F">
        <w:rPr>
          <w:bCs/>
        </w:rPr>
        <w:t>и</w:t>
      </w:r>
      <w:r w:rsidRPr="00180E4F">
        <w:rPr>
          <w:bCs/>
        </w:rPr>
        <w:t>минацией (ФАБД), учрежденное после вступления в силу Общего закона о ра</w:t>
      </w:r>
      <w:r w:rsidRPr="00180E4F">
        <w:rPr>
          <w:bCs/>
        </w:rPr>
        <w:t>в</w:t>
      </w:r>
      <w:r w:rsidRPr="00180E4F">
        <w:rPr>
          <w:bCs/>
        </w:rPr>
        <w:t>ном обращении (</w:t>
      </w:r>
      <w:r w:rsidRPr="00180E4F">
        <w:rPr>
          <w:i/>
        </w:rPr>
        <w:t>Allgemeines Gleichbehandlungsgesetz</w:t>
      </w:r>
      <w:r w:rsidRPr="00180E4F">
        <w:t>, AGG)</w:t>
      </w:r>
      <w:r w:rsidR="00AE3AEA">
        <w:t xml:space="preserve"> в 2006 году</w:t>
      </w:r>
      <w:r w:rsidRPr="00180E4F">
        <w:t>, заказ</w:t>
      </w:r>
      <w:r w:rsidRPr="00180E4F">
        <w:t>а</w:t>
      </w:r>
      <w:r w:rsidRPr="00180E4F">
        <w:t>ло научное исследование под названием "Дискриминация в отношении тран</w:t>
      </w:r>
      <w:r w:rsidRPr="00180E4F">
        <w:t>с</w:t>
      </w:r>
      <w:r w:rsidRPr="00180E4F">
        <w:t xml:space="preserve">сексуалов, в частности, в трудовой жизни", которое </w:t>
      </w:r>
      <w:r>
        <w:t xml:space="preserve">оно </w:t>
      </w:r>
      <w:r w:rsidRPr="00180E4F">
        <w:t>представило в 2010 г</w:t>
      </w:r>
      <w:r w:rsidRPr="00180E4F">
        <w:t>о</w:t>
      </w:r>
      <w:r w:rsidRPr="00180E4F">
        <w:t>ду. Федеральное агентство по борьбе с дискриминацией оказывает независ</w:t>
      </w:r>
      <w:r w:rsidRPr="00180E4F">
        <w:t>и</w:t>
      </w:r>
      <w:r w:rsidRPr="00180E4F">
        <w:t xml:space="preserve">мую помощь лицам, которые </w:t>
      </w:r>
      <w:r>
        <w:t>столкнулись с</w:t>
      </w:r>
      <w:r w:rsidRPr="00180E4F">
        <w:t xml:space="preserve"> дискриминаци</w:t>
      </w:r>
      <w:r>
        <w:t>ей</w:t>
      </w:r>
      <w:r w:rsidRPr="00180E4F">
        <w:t xml:space="preserve"> или ее угрозой при осуществле</w:t>
      </w:r>
      <w:r w:rsidR="00AE3AEA">
        <w:t>нии своих прав (статья</w:t>
      </w:r>
      <w:r w:rsidRPr="00180E4F">
        <w:t xml:space="preserve"> 27 AGG ). Одной из задач агентства является сотрудничество с неправительственными </w:t>
      </w:r>
      <w:r w:rsidR="00D079F9">
        <w:t>организациями. В этом контексте</w:t>
      </w:r>
      <w:r w:rsidR="00D079F9">
        <w:br/>
      </w:r>
      <w:r w:rsidRPr="00180E4F">
        <w:t>в статье 29 AGG предусмотрено: "Федеральный орган по борьбе с дискримин</w:t>
      </w:r>
      <w:r w:rsidRPr="00180E4F">
        <w:t>а</w:t>
      </w:r>
      <w:r w:rsidRPr="00180E4F">
        <w:t>цией должен надлежащим образом взаимодействовать с неправительственными организациями</w:t>
      </w:r>
      <w:r>
        <w:t> </w:t>
      </w:r>
      <w:r w:rsidRPr="00180E4F">
        <w:t>[...]"</w:t>
      </w:r>
      <w:r>
        <w:t>.</w:t>
      </w:r>
      <w:r w:rsidRPr="00180E4F">
        <w:t xml:space="preserve"> ФАБД также сотрудничает с неправительственными орг</w:t>
      </w:r>
      <w:r w:rsidRPr="00180E4F">
        <w:t>а</w:t>
      </w:r>
      <w:r w:rsidRPr="00180E4F">
        <w:t xml:space="preserve">низациями, занимающимися защитой прав транссексуалов. В упомянутом выше научном исследовании </w:t>
      </w:r>
      <w:r>
        <w:t>Ф</w:t>
      </w:r>
      <w:r w:rsidRPr="00180E4F">
        <w:t>едеральное агентство по борьбе с дискриминацией з</w:t>
      </w:r>
      <w:r w:rsidRPr="00180E4F">
        <w:t>а</w:t>
      </w:r>
      <w:r w:rsidRPr="00180E4F">
        <w:t>тронуло проблемы лиц, указанны</w:t>
      </w:r>
      <w:r>
        <w:t>е</w:t>
      </w:r>
      <w:r w:rsidRPr="00180E4F">
        <w:t xml:space="preserve"> Комитетом КЛДЖ, поскольку термин </w:t>
      </w:r>
      <w:r>
        <w:t>"</w:t>
      </w:r>
      <w:r w:rsidRPr="00180E4F">
        <w:t>транссексуалы</w:t>
      </w:r>
      <w:r>
        <w:t>"</w:t>
      </w:r>
      <w:r w:rsidRPr="00180E4F">
        <w:t xml:space="preserve"> является достаточно широким и охватывает личность, образ жизни и концепцию многих лиц, которые не ассоциируют себя с полом при р</w:t>
      </w:r>
      <w:r w:rsidRPr="00180E4F">
        <w:t>о</w:t>
      </w:r>
      <w:r w:rsidRPr="00180E4F">
        <w:t xml:space="preserve">ждении или ассоциируют </w:t>
      </w:r>
      <w:r>
        <w:t xml:space="preserve">себя </w:t>
      </w:r>
      <w:r w:rsidRPr="00180E4F">
        <w:t>не только с ним.</w:t>
      </w:r>
    </w:p>
    <w:p w:rsidR="00E86E93" w:rsidRDefault="00E86E93" w:rsidP="00E86E93">
      <w:pPr>
        <w:pStyle w:val="SingleTxtGR"/>
      </w:pPr>
      <w:r w:rsidRPr="00180E4F">
        <w:t>96.</w:t>
      </w:r>
      <w:r w:rsidRPr="00180E4F">
        <w:tab/>
        <w:t xml:space="preserve">С момента своего создания в 2006 году и по состоянию на май 2011 года </w:t>
      </w:r>
      <w:r>
        <w:t>Ф</w:t>
      </w:r>
      <w:r w:rsidRPr="00180E4F">
        <w:t>едеральное агентство по борьбе с дискриминацией провело около 100 ко</w:t>
      </w:r>
      <w:r w:rsidRPr="00180E4F">
        <w:t>н</w:t>
      </w:r>
      <w:r w:rsidRPr="00180E4F">
        <w:t xml:space="preserve">сультаций </w:t>
      </w:r>
      <w:r>
        <w:t xml:space="preserve">с </w:t>
      </w:r>
      <w:r w:rsidRPr="00180E4F">
        <w:t>транссексуал</w:t>
      </w:r>
      <w:r>
        <w:t>ами</w:t>
      </w:r>
      <w:r w:rsidRPr="00180E4F">
        <w:t>. В большинстве случаев эти лица обратились в агентство по причине дискриминации. Вместе с тем в связи с небольшим кол</w:t>
      </w:r>
      <w:r w:rsidRPr="00180E4F">
        <w:t>и</w:t>
      </w:r>
      <w:r w:rsidRPr="00180E4F">
        <w:t xml:space="preserve">чеством </w:t>
      </w:r>
      <w:r>
        <w:t>таких случаев</w:t>
      </w:r>
      <w:r w:rsidRPr="00180E4F">
        <w:t xml:space="preserve"> этот показатель не имеет особого значения. Результаты исследования указывают на необходимость дальнейшего изучения этой пр</w:t>
      </w:r>
      <w:r w:rsidRPr="00180E4F">
        <w:t>о</w:t>
      </w:r>
      <w:r w:rsidRPr="00180E4F">
        <w:t xml:space="preserve">блемы. ФАБД намерен со всей серьезностью учесть </w:t>
      </w:r>
      <w:r>
        <w:t>все это</w:t>
      </w:r>
      <w:r w:rsidRPr="00180E4F">
        <w:t xml:space="preserve"> и в настоящее вр</w:t>
      </w:r>
      <w:r w:rsidRPr="00180E4F">
        <w:t>е</w:t>
      </w:r>
      <w:r w:rsidRPr="00180E4F">
        <w:t>мя рассматривает возможность заказа еще одного исследовательского до</w:t>
      </w:r>
      <w:r w:rsidRPr="00180E4F">
        <w:t>к</w:t>
      </w:r>
      <w:r w:rsidRPr="00180E4F">
        <w:t>лада.</w:t>
      </w:r>
    </w:p>
    <w:p w:rsidR="00E86E93" w:rsidRPr="008E317C" w:rsidRDefault="00E86E93" w:rsidP="00E86E93">
      <w:pPr>
        <w:spacing w:before="240"/>
        <w:jc w:val="center"/>
        <w:rPr>
          <w:u w:val="single"/>
        </w:rPr>
      </w:pPr>
      <w:r>
        <w:rPr>
          <w:u w:val="single"/>
        </w:rPr>
        <w:tab/>
      </w:r>
      <w:r>
        <w:rPr>
          <w:u w:val="single"/>
        </w:rPr>
        <w:tab/>
      </w:r>
      <w:r>
        <w:rPr>
          <w:u w:val="single"/>
        </w:rPr>
        <w:tab/>
      </w:r>
    </w:p>
    <w:sectPr w:rsidR="00E86E93" w:rsidRPr="008E317C" w:rsidSect="00292480">
      <w:headerReference w:type="even" r:id="rId11"/>
      <w:headerReference w:type="default" r:id="rId12"/>
      <w:footerReference w:type="even" r:id="rId13"/>
      <w:footerReference w:type="defaul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26" w:rsidRDefault="00B57B26">
      <w:r>
        <w:rPr>
          <w:lang w:val="en-US"/>
        </w:rPr>
        <w:tab/>
      </w:r>
      <w:r>
        <w:separator/>
      </w:r>
    </w:p>
  </w:endnote>
  <w:endnote w:type="continuationSeparator" w:id="0">
    <w:p w:rsidR="00B57B26" w:rsidRDefault="00B57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11" w:rsidRPr="009A6F4A" w:rsidRDefault="00F1171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3610F">
      <w:rPr>
        <w:rStyle w:val="PageNumber"/>
        <w:noProof/>
      </w:rPr>
      <w:t>2</w:t>
    </w:r>
    <w:r>
      <w:rPr>
        <w:rStyle w:val="PageNumber"/>
      </w:rPr>
      <w:fldChar w:fldCharType="end"/>
    </w:r>
    <w:r>
      <w:rPr>
        <w:lang w:val="en-US"/>
      </w:rPr>
      <w:tab/>
      <w:t>GE.11-45305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11" w:rsidRPr="009A6F4A" w:rsidRDefault="00F11711">
    <w:pPr>
      <w:pStyle w:val="Footer"/>
      <w:rPr>
        <w:lang w:val="en-US"/>
      </w:rPr>
    </w:pPr>
    <w:r>
      <w:rPr>
        <w:lang w:val="en-US"/>
      </w:rPr>
      <w:t>GE.11-45305</w:t>
    </w:r>
    <w:r>
      <w:rPr>
        <w:lang w:val="en-US"/>
      </w:rPr>
      <w:tab/>
    </w:r>
    <w:r>
      <w:rPr>
        <w:rStyle w:val="PageNumber"/>
      </w:rPr>
      <w:fldChar w:fldCharType="begin"/>
    </w:r>
    <w:r>
      <w:rPr>
        <w:rStyle w:val="PageNumber"/>
      </w:rPr>
      <w:instrText xml:space="preserve"> PAGE </w:instrText>
    </w:r>
    <w:r>
      <w:rPr>
        <w:rStyle w:val="PageNumber"/>
      </w:rPr>
      <w:fldChar w:fldCharType="separate"/>
    </w:r>
    <w:r w:rsidR="0093610F">
      <w:rPr>
        <w:rStyle w:val="PageNumber"/>
        <w:noProof/>
      </w:rPr>
      <w:t>31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11" w:rsidRPr="009A6F4A" w:rsidRDefault="002C39EC">
    <w:pPr>
      <w:pStyle w:val="Footer"/>
      <w:rPr>
        <w:sz w:val="20"/>
        <w:lang w:val="en-US"/>
      </w:rPr>
    </w:pPr>
    <w:r>
      <w:rPr>
        <w:sz w:val="20"/>
        <w:lang w:val="en-US"/>
      </w:rPr>
      <w:t>GE.11-45305  (R)  141111  15</w:t>
    </w:r>
    <w:r w:rsidR="00F11711">
      <w:rPr>
        <w:sz w:val="20"/>
        <w:lang w:val="en-US"/>
      </w:rPr>
      <w:t>1111</w:t>
    </w:r>
    <w:r w:rsidR="00F11711">
      <w:rPr>
        <w:sz w:val="20"/>
        <w:lang w:val="en-US"/>
      </w:rPr>
      <w:tab/>
    </w:r>
    <w:r w:rsidR="00F11711"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26" w:rsidRPr="00F71F63" w:rsidRDefault="00B57B2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57B26" w:rsidRPr="00F71F63" w:rsidRDefault="00B57B26" w:rsidP="00635E86">
      <w:pPr>
        <w:tabs>
          <w:tab w:val="right" w:pos="2155"/>
        </w:tabs>
        <w:spacing w:after="80" w:line="240" w:lineRule="auto"/>
        <w:rPr>
          <w:u w:val="single"/>
          <w:lang w:val="en-US"/>
        </w:rPr>
      </w:pPr>
      <w:r w:rsidRPr="00F71F63">
        <w:rPr>
          <w:u w:val="single"/>
          <w:lang w:val="en-US"/>
        </w:rPr>
        <w:tab/>
      </w:r>
    </w:p>
    <w:p w:rsidR="00B57B26" w:rsidRPr="00635E86" w:rsidRDefault="00B57B26" w:rsidP="00635E86">
      <w:pPr>
        <w:pStyle w:val="Footer"/>
      </w:pPr>
    </w:p>
  </w:footnote>
  <w:footnote w:id="1">
    <w:p w:rsidR="00F11711" w:rsidRPr="00F22B0D" w:rsidRDefault="00F11711" w:rsidP="00EB7A9F">
      <w:pPr>
        <w:pStyle w:val="FootnoteText"/>
        <w:rPr>
          <w:lang w:val="ru-RU"/>
        </w:rPr>
      </w:pPr>
      <w:r>
        <w:rPr>
          <w:lang w:val="ru-RU"/>
        </w:rPr>
        <w:tab/>
      </w:r>
      <w:r w:rsidRPr="00EB7A9F">
        <w:rPr>
          <w:rStyle w:val="FootnoteReference"/>
          <w:vertAlign w:val="baseline"/>
        </w:rPr>
        <w:sym w:font="Symbol" w:char="F02A"/>
      </w:r>
      <w:r>
        <w:rPr>
          <w:lang w:val="ru-RU"/>
        </w:rPr>
        <w:tab/>
      </w:r>
      <w:r w:rsidRPr="00EB7A9F">
        <w:rPr>
          <w:lang w:val="ru-RU"/>
        </w:rPr>
        <w:t>В соответствии с информацией, направленной государствам-участникам в отношении</w:t>
      </w:r>
      <w:r>
        <w:rPr>
          <w:lang w:val="ru-RU"/>
        </w:rPr>
        <w:t xml:space="preserve"> </w:t>
      </w:r>
      <w:r w:rsidRPr="00EB7A9F">
        <w:rPr>
          <w:lang w:val="ru-RU"/>
        </w:rPr>
        <w:t>оформления их докладов, настоящий документ до его передачи в службы письменного</w:t>
      </w:r>
      <w:r w:rsidRPr="00C649D1">
        <w:rPr>
          <w:lang w:val="ru-RU"/>
        </w:rPr>
        <w:t xml:space="preserve"> </w:t>
      </w:r>
      <w:r w:rsidRPr="00F22B0D">
        <w:rPr>
          <w:lang w:val="ru-RU"/>
        </w:rPr>
        <w:t>перевода Организации Объединенных Наций официально не редактировался.</w:t>
      </w:r>
    </w:p>
  </w:footnote>
  <w:footnote w:id="2">
    <w:p w:rsidR="00F11711" w:rsidRDefault="00F11711" w:rsidP="001317FA">
      <w:pPr>
        <w:pStyle w:val="FootnoteText"/>
        <w:rPr>
          <w:lang w:val="ru-RU"/>
        </w:rPr>
      </w:pPr>
      <w:r>
        <w:tab/>
      </w:r>
      <w:r>
        <w:rPr>
          <w:rStyle w:val="FootnoteReference"/>
        </w:rPr>
        <w:footnoteRef/>
      </w:r>
      <w:r>
        <w:rPr>
          <w:lang w:val="ru-RU"/>
        </w:rPr>
        <w:tab/>
      </w:r>
      <w:r>
        <w:rPr>
          <w:szCs w:val="18"/>
          <w:lang w:val="ru-RU"/>
        </w:rPr>
        <w:t>См. коалицио</w:t>
      </w:r>
      <w:r w:rsidR="00937B5D">
        <w:rPr>
          <w:szCs w:val="18"/>
          <w:lang w:val="ru-RU"/>
        </w:rPr>
        <w:t>нное С</w:t>
      </w:r>
      <w:r>
        <w:rPr>
          <w:szCs w:val="18"/>
          <w:lang w:val="ru-RU"/>
        </w:rPr>
        <w:t xml:space="preserve">оглашение 2009 года, главу </w:t>
      </w:r>
      <w:r>
        <w:rPr>
          <w:szCs w:val="18"/>
        </w:rPr>
        <w:t>III</w:t>
      </w:r>
      <w:r w:rsidR="00937B5D">
        <w:rPr>
          <w:szCs w:val="18"/>
          <w:lang w:val="ru-RU"/>
        </w:rPr>
        <w:t>.4. В своей резолюции 17/901</w:t>
      </w:r>
      <w:r w:rsidR="00937B5D">
        <w:rPr>
          <w:szCs w:val="18"/>
          <w:lang w:val="ru-RU"/>
        </w:rPr>
        <w:br/>
      </w:r>
      <w:r>
        <w:rPr>
          <w:szCs w:val="18"/>
          <w:lang w:val="ru-RU"/>
        </w:rPr>
        <w:t>от 4 марта 2001 года Бундестаг вновь уделяет внимание проблеме неравенства в оплате труда в п. 7: "Бундестаг Германии призывает федеральное правительство ... принять меры по устранению неравенства в оплате труда женщин и мужчин, несмотря на то, что основная ответственность за это лежит на партнерах коллективного договора и индивидуальных работодателях; в этих целях необходимо разработать стратегию преодоления неравенства в оплате труда с учето</w:t>
      </w:r>
      <w:r w:rsidR="00937B5D">
        <w:rPr>
          <w:szCs w:val="18"/>
          <w:lang w:val="ru-RU"/>
        </w:rPr>
        <w:t>м его причин, которая,</w:t>
      </w:r>
      <w:r w:rsidR="00937B5D">
        <w:rPr>
          <w:szCs w:val="18"/>
          <w:lang w:val="ru-RU"/>
        </w:rPr>
        <w:br/>
      </w:r>
      <w:r>
        <w:rPr>
          <w:szCs w:val="18"/>
          <w:lang w:val="ru-RU"/>
        </w:rPr>
        <w:t xml:space="preserve">как и консультативный метод анализа размера оплаты труда </w:t>
      </w:r>
      <w:r>
        <w:rPr>
          <w:szCs w:val="18"/>
        </w:rPr>
        <w:t>Logib</w:t>
      </w:r>
      <w:r>
        <w:rPr>
          <w:szCs w:val="18"/>
          <w:lang w:val="ru-RU"/>
        </w:rPr>
        <w:t>-</w:t>
      </w:r>
      <w:r>
        <w:rPr>
          <w:szCs w:val="18"/>
        </w:rPr>
        <w:t>D</w:t>
      </w:r>
      <w:r>
        <w:rPr>
          <w:szCs w:val="18"/>
          <w:lang w:val="ru-RU"/>
        </w:rPr>
        <w:t>, включала бы меры по поощрению женщин к тому, чтобы они более активно участвовали в процесс</w:t>
      </w:r>
      <w:r w:rsidR="00937B5D">
        <w:rPr>
          <w:szCs w:val="18"/>
          <w:lang w:val="ru-RU"/>
        </w:rPr>
        <w:t>ах согласования оплаты труда и</w:t>
      </w:r>
      <w:r>
        <w:rPr>
          <w:szCs w:val="18"/>
          <w:lang w:val="ru-RU"/>
        </w:rPr>
        <w:t xml:space="preserve"> борьбе с недооценкой "женских" профессий; особое внимание следует уделить сельским райо</w:t>
      </w:r>
      <w:r w:rsidR="00937B5D">
        <w:rPr>
          <w:szCs w:val="18"/>
          <w:lang w:val="ru-RU"/>
        </w:rPr>
        <w:t>нам, в которых гендерный разрыв</w:t>
      </w:r>
      <w:r w:rsidR="00937B5D">
        <w:rPr>
          <w:szCs w:val="18"/>
          <w:lang w:val="ru-RU"/>
        </w:rPr>
        <w:br/>
      </w:r>
      <w:r>
        <w:rPr>
          <w:szCs w:val="18"/>
          <w:lang w:val="ru-RU"/>
        </w:rPr>
        <w:t>в оплате труда еще более ощутим</w:t>
      </w:r>
      <w:r w:rsidR="00937B5D">
        <w:rPr>
          <w:szCs w:val="18"/>
          <w:lang w:val="ru-RU"/>
        </w:rPr>
        <w:t>"</w:t>
      </w:r>
      <w:r>
        <w:rPr>
          <w:szCs w:val="18"/>
          <w:lang w:val="ru-RU"/>
        </w:rPr>
        <w:t>.</w:t>
      </w:r>
    </w:p>
  </w:footnote>
  <w:footnote w:id="3">
    <w:p w:rsidR="00F11711" w:rsidRDefault="00F11711" w:rsidP="001317FA">
      <w:pPr>
        <w:pStyle w:val="FootnoteText"/>
        <w:rPr>
          <w:lang w:val="ru-RU"/>
        </w:rPr>
      </w:pPr>
      <w:r>
        <w:rPr>
          <w:lang w:val="ru-RU"/>
        </w:rPr>
        <w:tab/>
      </w:r>
      <w:r>
        <w:rPr>
          <w:rStyle w:val="FootnoteReference"/>
        </w:rPr>
        <w:footnoteRef/>
      </w:r>
      <w:r>
        <w:rPr>
          <w:lang w:val="ru-RU"/>
        </w:rPr>
        <w:tab/>
      </w:r>
      <w:r>
        <w:rPr>
          <w:szCs w:val="18"/>
          <w:lang w:val="ru-RU"/>
        </w:rPr>
        <w:t>Гендерный разрыв в оплате труда (почасовая брутто оплата труда) между мужчинами и женщинами в государствах</w:t>
      </w:r>
      <w:r w:rsidR="00937B5D">
        <w:rPr>
          <w:szCs w:val="18"/>
          <w:lang w:val="ru-RU"/>
        </w:rPr>
        <w:t xml:space="preserve"> − </w:t>
      </w:r>
      <w:r>
        <w:rPr>
          <w:szCs w:val="18"/>
          <w:lang w:val="ru-RU"/>
        </w:rPr>
        <w:t>членах ЕС в 2009 году, источник: Еврос</w:t>
      </w:r>
      <w:r w:rsidR="00937B5D">
        <w:rPr>
          <w:szCs w:val="18"/>
          <w:lang w:val="ru-RU"/>
        </w:rPr>
        <w:t xml:space="preserve">тат </w:t>
      </w:r>
      <w:r>
        <w:rPr>
          <w:szCs w:val="18"/>
          <w:lang w:val="ru-RU"/>
        </w:rPr>
        <w:t>(Обследование структуры доходов за 2010 год и национальных и</w:t>
      </w:r>
      <w:r>
        <w:rPr>
          <w:szCs w:val="18"/>
          <w:lang w:val="ru-RU"/>
        </w:rPr>
        <w:t>с</w:t>
      </w:r>
      <w:r>
        <w:rPr>
          <w:szCs w:val="18"/>
          <w:lang w:val="ru-RU"/>
        </w:rPr>
        <w:t>точников (2009 год) для сопоставимых с ОСД показателей. Исключения для отчетного года: данные за 2007 год по Эстонии, данные за 2008 год по Бельгии и Великобритании).</w:t>
      </w:r>
    </w:p>
  </w:footnote>
  <w:footnote w:id="4">
    <w:p w:rsidR="00F11711" w:rsidRDefault="00F11711" w:rsidP="001317FA">
      <w:pPr>
        <w:pStyle w:val="FootnoteText"/>
        <w:rPr>
          <w:lang w:val="ru-RU"/>
        </w:rPr>
      </w:pPr>
      <w:r w:rsidRPr="001317FA">
        <w:rPr>
          <w:lang w:val="ru-RU"/>
        </w:rPr>
        <w:tab/>
      </w:r>
      <w:r>
        <w:rPr>
          <w:rStyle w:val="FootnoteReference"/>
        </w:rPr>
        <w:footnoteRef/>
      </w:r>
      <w:r>
        <w:rPr>
          <w:lang w:val="ru-RU"/>
        </w:rPr>
        <w:tab/>
      </w:r>
      <w:r>
        <w:rPr>
          <w:szCs w:val="18"/>
          <w:lang w:val="ru-RU"/>
        </w:rPr>
        <w:t>В дополнение к обследованию структуры доходов, осуществляемому Федеральным статистическим управлением, существует много других источников данных для описания ситуации с доходами с гендерной точки зрения, каждый из которых представляет собой сегмент нашей системы занятости и отличается от официальной статистики по способам сбора информации, хронологическим и секторальным границам и охвату (например, обследованные индивидуальные характеристики), а также с точки зрения публикуемых данных (таких</w:t>
      </w:r>
      <w:r w:rsidR="00937B5D">
        <w:rPr>
          <w:szCs w:val="18"/>
          <w:lang w:val="ru-RU"/>
        </w:rPr>
        <w:t>,</w:t>
      </w:r>
      <w:r>
        <w:rPr>
          <w:szCs w:val="18"/>
          <w:lang w:val="ru-RU"/>
        </w:rPr>
        <w:t xml:space="preserve"> как доходы брутто и нетто, почасовой, месячный и годовой доход). Так, сегодня они отличаются также и с точки зрения результатов. Прежде всего, это включает "</w:t>
      </w:r>
      <w:r>
        <w:rPr>
          <w:szCs w:val="18"/>
        </w:rPr>
        <w:t>IAB</w:t>
      </w:r>
      <w:r>
        <w:rPr>
          <w:szCs w:val="18"/>
          <w:lang w:val="ru-RU"/>
        </w:rPr>
        <w:t>-</w:t>
      </w:r>
      <w:r>
        <w:rPr>
          <w:szCs w:val="18"/>
        </w:rPr>
        <w:t>Beschaftigtenstichprobe</w:t>
      </w:r>
      <w:r>
        <w:rPr>
          <w:szCs w:val="18"/>
          <w:lang w:val="ru-RU"/>
        </w:rPr>
        <w:t>" (</w:t>
      </w:r>
      <w:r>
        <w:rPr>
          <w:szCs w:val="18"/>
        </w:rPr>
        <w:t>IAB</w:t>
      </w:r>
      <w:r>
        <w:rPr>
          <w:szCs w:val="18"/>
          <w:lang w:val="ru-RU"/>
        </w:rPr>
        <w:t>), "</w:t>
      </w:r>
      <w:r>
        <w:rPr>
          <w:szCs w:val="18"/>
        </w:rPr>
        <w:t>Soziookonomisches</w:t>
      </w:r>
      <w:r>
        <w:rPr>
          <w:szCs w:val="18"/>
          <w:lang w:val="ru-RU"/>
        </w:rPr>
        <w:t xml:space="preserve"> </w:t>
      </w:r>
      <w:r>
        <w:rPr>
          <w:szCs w:val="18"/>
        </w:rPr>
        <w:t>Panel</w:t>
      </w:r>
      <w:r>
        <w:rPr>
          <w:szCs w:val="18"/>
          <w:lang w:val="ru-RU"/>
        </w:rPr>
        <w:t>" (</w:t>
      </w:r>
      <w:r>
        <w:rPr>
          <w:szCs w:val="18"/>
        </w:rPr>
        <w:t>SOEP</w:t>
      </w:r>
      <w:r>
        <w:rPr>
          <w:szCs w:val="18"/>
          <w:lang w:val="ru-RU"/>
        </w:rPr>
        <w:t xml:space="preserve">) и такие интерактивные обследования, как </w:t>
      </w:r>
      <w:r>
        <w:rPr>
          <w:szCs w:val="18"/>
        </w:rPr>
        <w:t>www</w:t>
      </w:r>
      <w:r>
        <w:rPr>
          <w:szCs w:val="18"/>
          <w:lang w:val="ru-RU"/>
        </w:rPr>
        <w:t>.</w:t>
      </w:r>
      <w:r>
        <w:rPr>
          <w:szCs w:val="18"/>
        </w:rPr>
        <w:t>frauenlohnspiegel</w:t>
      </w:r>
      <w:r>
        <w:rPr>
          <w:szCs w:val="18"/>
          <w:lang w:val="ru-RU"/>
        </w:rPr>
        <w:t>.</w:t>
      </w:r>
      <w:r>
        <w:rPr>
          <w:szCs w:val="18"/>
        </w:rPr>
        <w:t>de</w:t>
      </w:r>
      <w:r>
        <w:rPr>
          <w:szCs w:val="18"/>
          <w:lang w:val="ru-RU"/>
        </w:rPr>
        <w:t>. Не существует "правильной" меры разрыва в о</w:t>
      </w:r>
      <w:r>
        <w:rPr>
          <w:szCs w:val="18"/>
          <w:lang w:val="ru-RU"/>
        </w:rPr>
        <w:t>п</w:t>
      </w:r>
      <w:r>
        <w:rPr>
          <w:szCs w:val="18"/>
          <w:lang w:val="ru-RU"/>
        </w:rPr>
        <w:t>лате труда. Подходящий показатель определяется в зависимости от заданных вопросов, но также от имеющихся источников информации. Размер почасовой оплаты труда брутто является подходящим показателем в том случае, если цель состоит в определении справедливой оплаты труда. В этом контексте ограничение почасовой оплатой труда имеет смысл. Поскольку различия в доходах, являющиеся результатом только различных рабочих часов, должным образом принимаются во внимание. Учет месячного или годового дохода может косвенным образом иметь смысл как дополнительная мера, поскольку при расчете почасовой оплаты труда следует учитывать все компоненты заработной платы. Размер почасовой оплаты труда, установленный в соответствии с коллективным договором, не включает такие особые в</w:t>
      </w:r>
      <w:r>
        <w:rPr>
          <w:szCs w:val="18"/>
          <w:lang w:val="ru-RU"/>
        </w:rPr>
        <w:t>ы</w:t>
      </w:r>
      <w:r>
        <w:rPr>
          <w:szCs w:val="18"/>
          <w:lang w:val="ru-RU"/>
        </w:rPr>
        <w:t>платы, как рождественские премии или другие бонусы и доплаты. Различные риски нищеты можно более четко оценить, когда в дополнение к размеру почасовой оплаты труда брутто сопоставляются доходы нетто.</w:t>
      </w:r>
    </w:p>
  </w:footnote>
  <w:footnote w:id="5">
    <w:p w:rsidR="00F11711" w:rsidRDefault="00F11711" w:rsidP="001317FA">
      <w:pPr>
        <w:pStyle w:val="FootnoteText"/>
        <w:rPr>
          <w:lang w:val="ru-RU"/>
        </w:rPr>
      </w:pPr>
      <w:r>
        <w:rPr>
          <w:lang w:val="ru-RU"/>
        </w:rPr>
        <w:tab/>
      </w:r>
      <w:r>
        <w:rPr>
          <w:rStyle w:val="FootnoteReference"/>
        </w:rPr>
        <w:footnoteRef/>
      </w:r>
      <w:r>
        <w:rPr>
          <w:lang w:val="ru-RU"/>
        </w:rPr>
        <w:tab/>
      </w:r>
      <w:r>
        <w:rPr>
          <w:szCs w:val="18"/>
          <w:lang w:val="ru-RU"/>
        </w:rPr>
        <w:t>Национальные источники используются для оценок, проводимых в годы между обследованиями, в Германии пр</w:t>
      </w:r>
      <w:r>
        <w:rPr>
          <w:szCs w:val="18"/>
          <w:lang w:val="ru-RU"/>
        </w:rPr>
        <w:t>о</w:t>
      </w:r>
      <w:r>
        <w:rPr>
          <w:szCs w:val="18"/>
          <w:lang w:val="ru-RU"/>
        </w:rPr>
        <w:t>водится ежеквартальное обследование доходов.</w:t>
      </w:r>
    </w:p>
  </w:footnote>
  <w:footnote w:id="6">
    <w:p w:rsidR="00D26325" w:rsidRPr="006350BC" w:rsidRDefault="00D26325" w:rsidP="00D26325">
      <w:pPr>
        <w:pStyle w:val="FootnoteText"/>
        <w:rPr>
          <w:lang w:val="ru-RU"/>
        </w:rPr>
      </w:pPr>
      <w:r>
        <w:rPr>
          <w:lang w:val="ru-RU"/>
        </w:rPr>
        <w:tab/>
      </w:r>
      <w:r>
        <w:rPr>
          <w:rStyle w:val="FootnoteReference"/>
        </w:rPr>
        <w:footnoteRef/>
      </w:r>
      <w:r>
        <w:rPr>
          <w:lang w:val="ru-RU"/>
        </w:rPr>
        <w:tab/>
      </w:r>
      <w:r w:rsidRPr="006350BC">
        <w:rPr>
          <w:lang w:val="ru-RU"/>
        </w:rPr>
        <w:t>Как правило, разрыв в оплате труда означает "нескорректированный разрыв в оплате труда", если только не указано иного.</w:t>
      </w:r>
    </w:p>
  </w:footnote>
  <w:footnote w:id="7">
    <w:p w:rsidR="00D26325" w:rsidRPr="00930B3A" w:rsidRDefault="00D26325" w:rsidP="00D26325">
      <w:pPr>
        <w:pStyle w:val="FootnoteText"/>
        <w:rPr>
          <w:lang w:val="ru-RU"/>
        </w:rPr>
      </w:pPr>
      <w:r>
        <w:rPr>
          <w:lang w:val="ru-RU"/>
        </w:rPr>
        <w:tab/>
      </w:r>
      <w:r>
        <w:rPr>
          <w:rStyle w:val="FootnoteReference"/>
        </w:rPr>
        <w:footnoteRef/>
      </w:r>
      <w:r>
        <w:rPr>
          <w:lang w:val="ru-RU"/>
        </w:rPr>
        <w:tab/>
      </w:r>
      <w:r w:rsidRPr="00930B3A">
        <w:rPr>
          <w:lang w:val="ru-RU"/>
        </w:rPr>
        <w:t xml:space="preserve">Для расчета разницы в оплате труда в системе государственной службы следует отойти от устоявшейся практики </w:t>
      </w:r>
      <w:r>
        <w:rPr>
          <w:lang w:val="ru-RU"/>
        </w:rPr>
        <w:t>определения</w:t>
      </w:r>
      <w:r w:rsidRPr="00930B3A">
        <w:rPr>
          <w:lang w:val="ru-RU"/>
        </w:rPr>
        <w:t xml:space="preserve"> гендерного разрыва в оплате труда. Поэтому приведенные значения не следует сравнивать с данными </w:t>
      </w:r>
      <w:r>
        <w:rPr>
          <w:lang w:val="ru-RU"/>
        </w:rPr>
        <w:t>о</w:t>
      </w:r>
      <w:r w:rsidRPr="00930B3A">
        <w:rPr>
          <w:lang w:val="ru-RU"/>
        </w:rPr>
        <w:t xml:space="preserve"> разрыв</w:t>
      </w:r>
      <w:r>
        <w:rPr>
          <w:lang w:val="ru-RU"/>
        </w:rPr>
        <w:t>е</w:t>
      </w:r>
      <w:r w:rsidRPr="00930B3A">
        <w:rPr>
          <w:lang w:val="ru-RU"/>
        </w:rPr>
        <w:t xml:space="preserve"> в оплате труда. Они по своей природе "слишком малы" для частного </w:t>
      </w:r>
      <w:r>
        <w:rPr>
          <w:lang w:val="ru-RU"/>
        </w:rPr>
        <w:t xml:space="preserve">сектора </w:t>
      </w:r>
      <w:r w:rsidR="00173194">
        <w:rPr>
          <w:lang w:val="ru-RU"/>
        </w:rPr>
        <w:t xml:space="preserve">и </w:t>
      </w:r>
      <w:r>
        <w:rPr>
          <w:lang w:val="ru-RU"/>
        </w:rPr>
        <w:t>составляют примерно 2,6</w:t>
      </w:r>
      <w:r w:rsidRPr="00930B3A">
        <w:rPr>
          <w:lang w:val="ru-RU"/>
        </w:rPr>
        <w:t xml:space="preserve">%. Дополнительные пояснения относительно этого метода см. в </w:t>
      </w:r>
      <w:r>
        <w:rPr>
          <w:lang w:val="fr-CH"/>
        </w:rPr>
        <w:t>BMFSFJ</w:t>
      </w:r>
      <w:r w:rsidRPr="00930B3A">
        <w:rPr>
          <w:lang w:val="ru-RU"/>
        </w:rPr>
        <w:t xml:space="preserve"> (2009 год). Различия в заработках женщин и мужчин в государственном и частном секторах </w:t>
      </w:r>
      <w:r>
        <w:rPr>
          <w:lang w:val="ru-RU"/>
        </w:rPr>
        <w:t>−</w:t>
      </w:r>
      <w:r w:rsidRPr="00930B3A">
        <w:rPr>
          <w:lang w:val="ru-RU"/>
        </w:rPr>
        <w:t xml:space="preserve"> это результат проекта "</w:t>
      </w:r>
      <w:r>
        <w:rPr>
          <w:lang w:val="en-US"/>
        </w:rPr>
        <w:t>Berdienstunterschiede</w:t>
      </w:r>
      <w:r w:rsidRPr="00930B3A">
        <w:rPr>
          <w:lang w:val="ru-RU"/>
        </w:rPr>
        <w:t xml:space="preserve"> </w:t>
      </w:r>
      <w:r>
        <w:rPr>
          <w:lang w:val="en-US"/>
        </w:rPr>
        <w:t>zwishen</w:t>
      </w:r>
      <w:r w:rsidRPr="00930B3A">
        <w:rPr>
          <w:lang w:val="ru-RU"/>
        </w:rPr>
        <w:t xml:space="preserve"> </w:t>
      </w:r>
      <w:r>
        <w:rPr>
          <w:lang w:val="en-US"/>
        </w:rPr>
        <w:t>Mannern</w:t>
      </w:r>
      <w:r w:rsidRPr="00930B3A">
        <w:rPr>
          <w:lang w:val="ru-RU"/>
        </w:rPr>
        <w:t xml:space="preserve"> </w:t>
      </w:r>
      <w:r>
        <w:rPr>
          <w:lang w:val="en-US"/>
        </w:rPr>
        <w:t>und</w:t>
      </w:r>
      <w:r w:rsidRPr="00930B3A">
        <w:rPr>
          <w:lang w:val="ru-RU"/>
        </w:rPr>
        <w:t xml:space="preserve"> </w:t>
      </w:r>
      <w:r>
        <w:rPr>
          <w:lang w:val="en-US"/>
        </w:rPr>
        <w:t>Frauen</w:t>
      </w:r>
      <w:r w:rsidRPr="00930B3A">
        <w:rPr>
          <w:lang w:val="ru-RU"/>
        </w:rPr>
        <w:t>" (</w:t>
      </w:r>
      <w:r w:rsidR="00173194">
        <w:rPr>
          <w:lang w:val="ru-RU"/>
        </w:rPr>
        <w:t xml:space="preserve">различия в оплате труда мужчин </w:t>
      </w:r>
      <w:r w:rsidRPr="00930B3A">
        <w:rPr>
          <w:lang w:val="ru-RU"/>
        </w:rPr>
        <w:t xml:space="preserve">и женщин), осуществленном Федеральным министерством по делам семьи, </w:t>
      </w:r>
      <w:r w:rsidR="00173194">
        <w:rPr>
          <w:lang w:val="ru-RU"/>
        </w:rPr>
        <w:t xml:space="preserve">престарелых, </w:t>
      </w:r>
      <w:r w:rsidRPr="00930B3A">
        <w:rPr>
          <w:lang w:val="ru-RU"/>
        </w:rPr>
        <w:t>женщин и молодежи и Федеральным статистическим управлением.</w:t>
      </w:r>
    </w:p>
  </w:footnote>
  <w:footnote w:id="8">
    <w:p w:rsidR="00D26325" w:rsidRPr="00930B3A" w:rsidRDefault="00D26325" w:rsidP="00530288">
      <w:pPr>
        <w:pStyle w:val="FootnoteText"/>
        <w:widowControl w:val="0"/>
        <w:tabs>
          <w:tab w:val="clear" w:pos="1021"/>
          <w:tab w:val="right" w:pos="1020"/>
        </w:tabs>
        <w:rPr>
          <w:lang w:val="ru-RU"/>
        </w:rPr>
      </w:pPr>
      <w:r>
        <w:rPr>
          <w:lang w:val="ru-RU"/>
        </w:rPr>
        <w:tab/>
      </w:r>
      <w:r>
        <w:rPr>
          <w:rStyle w:val="FootnoteReference"/>
        </w:rPr>
        <w:footnoteRef/>
      </w:r>
      <w:r>
        <w:rPr>
          <w:lang w:val="ru-RU"/>
        </w:rPr>
        <w:tab/>
      </w:r>
      <w:r w:rsidRPr="009173C1">
        <w:rPr>
          <w:i/>
        </w:rPr>
        <w:t>Zweiter</w:t>
      </w:r>
      <w:r w:rsidRPr="00930B3A">
        <w:rPr>
          <w:i/>
          <w:lang w:val="ru-RU"/>
        </w:rPr>
        <w:t xml:space="preserve"> </w:t>
      </w:r>
      <w:r w:rsidRPr="009173C1">
        <w:rPr>
          <w:i/>
        </w:rPr>
        <w:t>Erfahrungsbericht</w:t>
      </w:r>
      <w:r w:rsidRPr="00930B3A">
        <w:rPr>
          <w:i/>
          <w:lang w:val="ru-RU"/>
        </w:rPr>
        <w:t xml:space="preserve"> </w:t>
      </w:r>
      <w:r w:rsidRPr="009173C1">
        <w:rPr>
          <w:i/>
        </w:rPr>
        <w:t>der</w:t>
      </w:r>
      <w:r w:rsidRPr="00930B3A">
        <w:rPr>
          <w:i/>
          <w:lang w:val="ru-RU"/>
        </w:rPr>
        <w:t xml:space="preserve"> </w:t>
      </w:r>
      <w:r w:rsidRPr="009173C1">
        <w:rPr>
          <w:i/>
        </w:rPr>
        <w:t>Bundesregierung</w:t>
      </w:r>
      <w:r w:rsidRPr="00930B3A">
        <w:rPr>
          <w:i/>
          <w:lang w:val="ru-RU"/>
        </w:rPr>
        <w:t xml:space="preserve"> </w:t>
      </w:r>
      <w:r w:rsidRPr="009173C1">
        <w:rPr>
          <w:i/>
        </w:rPr>
        <w:t>zum</w:t>
      </w:r>
      <w:r w:rsidRPr="00930B3A">
        <w:rPr>
          <w:i/>
          <w:lang w:val="ru-RU"/>
        </w:rPr>
        <w:t xml:space="preserve"> </w:t>
      </w:r>
      <w:r w:rsidRPr="009173C1">
        <w:rPr>
          <w:i/>
        </w:rPr>
        <w:t>BGleiG</w:t>
      </w:r>
      <w:r w:rsidRPr="00930B3A">
        <w:rPr>
          <w:lang w:val="ru-RU"/>
        </w:rPr>
        <w:t xml:space="preserve"> (Второй доклад федерального п</w:t>
      </w:r>
      <w:r w:rsidR="00173194">
        <w:rPr>
          <w:lang w:val="ru-RU"/>
        </w:rPr>
        <w:t>равительства об опыте работы с Ф</w:t>
      </w:r>
      <w:r w:rsidRPr="00930B3A">
        <w:rPr>
          <w:lang w:val="ru-RU"/>
        </w:rPr>
        <w:t xml:space="preserve">едеральным законом о гендерном равенстве) (см. </w:t>
      </w:r>
      <w:r>
        <w:rPr>
          <w:lang w:val="ru-RU"/>
        </w:rPr>
        <w:t>стр</w:t>
      </w:r>
      <w:r w:rsidRPr="00930B3A">
        <w:rPr>
          <w:lang w:val="ru-RU"/>
        </w:rPr>
        <w:t>.</w:t>
      </w:r>
      <w:r>
        <w:rPr>
          <w:lang w:val="ru-RU"/>
        </w:rPr>
        <w:t xml:space="preserve"> 21)</w:t>
      </w:r>
      <w:r>
        <w:rPr>
          <w:lang w:val="de-DE"/>
        </w:rPr>
        <w:t>.</w:t>
      </w:r>
      <w:r w:rsidR="00530288" w:rsidRPr="00930B3A">
        <w:rPr>
          <w:lang w:val="ru-RU"/>
        </w:rPr>
        <w:t xml:space="preserve"> </w:t>
      </w:r>
    </w:p>
  </w:footnote>
  <w:footnote w:id="9">
    <w:p w:rsidR="008D0771" w:rsidRPr="00681E3E" w:rsidRDefault="008D0771" w:rsidP="00D26325">
      <w:pPr>
        <w:pStyle w:val="FootnoteText"/>
      </w:pPr>
      <w:r>
        <w:rPr>
          <w:lang w:val="ru-RU"/>
        </w:rPr>
        <w:tab/>
      </w:r>
      <w:r>
        <w:rPr>
          <w:rStyle w:val="FootnoteReference"/>
        </w:rPr>
        <w:footnoteRef/>
      </w:r>
      <w:r>
        <w:rPr>
          <w:lang w:val="ru-RU"/>
        </w:rPr>
        <w:tab/>
      </w:r>
      <w:r w:rsidRPr="00930B3A">
        <w:rPr>
          <w:lang w:val="ru-RU"/>
        </w:rPr>
        <w:t xml:space="preserve">Согласно результатам исследования Кельнского института экономических </w:t>
      </w:r>
      <w:r>
        <w:rPr>
          <w:lang w:val="ru-RU"/>
        </w:rPr>
        <w:t>исследований</w:t>
      </w:r>
      <w:r w:rsidRPr="00930B3A">
        <w:rPr>
          <w:lang w:val="ru-RU"/>
        </w:rPr>
        <w:t xml:space="preserve">, в отношении женщин с детьми, прерывавших свою профессиональную деятельность на период до полутора лет, гендерный разрыв в оплате труда составляет 4%, </w:t>
      </w:r>
      <w:r>
        <w:rPr>
          <w:lang w:val="ru-RU"/>
        </w:rPr>
        <w:t>см</w:t>
      </w:r>
      <w:r w:rsidRPr="00930B3A">
        <w:rPr>
          <w:lang w:val="ru-RU"/>
        </w:rPr>
        <w:t xml:space="preserve">. </w:t>
      </w:r>
      <w:r w:rsidRPr="00B959B6">
        <w:rPr>
          <w:lang w:val="en-US"/>
        </w:rPr>
        <w:t>"</w:t>
      </w:r>
      <w:r w:rsidRPr="00681E3E">
        <w:t>Gender Pay Gap Gesamtwirtschaftliche Evidenz und regionale Unterschiede,</w:t>
      </w:r>
      <w:r w:rsidRPr="00B959B6">
        <w:rPr>
          <w:lang w:val="en-US"/>
        </w:rPr>
        <w:t>"</w:t>
      </w:r>
      <w:r w:rsidRPr="00D95451">
        <w:rPr>
          <w:lang w:val="en-US"/>
        </w:rPr>
        <w:br/>
      </w:r>
      <w:r w:rsidRPr="00681E3E">
        <w:t xml:space="preserve">in </w:t>
      </w:r>
      <w:r w:rsidRPr="00681E3E">
        <w:rPr>
          <w:i/>
        </w:rPr>
        <w:t>IW Trends 4/2010.</w:t>
      </w:r>
    </w:p>
  </w:footnote>
  <w:footnote w:id="10">
    <w:p w:rsidR="00D95451" w:rsidRPr="001162EA" w:rsidRDefault="00D95451" w:rsidP="00D95451">
      <w:pPr>
        <w:pStyle w:val="FootnoteText"/>
        <w:rPr>
          <w:lang w:val="ru-RU"/>
        </w:rPr>
      </w:pPr>
      <w:r w:rsidRPr="008D0771">
        <w:rPr>
          <w:lang w:val="en-US"/>
        </w:rPr>
        <w:tab/>
      </w:r>
      <w:r>
        <w:rPr>
          <w:rStyle w:val="FootnoteReference"/>
        </w:rPr>
        <w:footnoteRef/>
      </w:r>
      <w:r>
        <w:rPr>
          <w:lang w:val="ru-RU"/>
        </w:rPr>
        <w:tab/>
      </w:r>
      <w:r w:rsidRPr="001162EA">
        <w:rPr>
          <w:lang w:val="ru-RU"/>
        </w:rPr>
        <w:t>В отличие от женщин, сравнительный анализ мужчин в возрасте 30</w:t>
      </w:r>
      <w:r>
        <w:rPr>
          <w:lang w:val="ru-RU"/>
        </w:rPr>
        <w:t>−</w:t>
      </w:r>
      <w:r w:rsidRPr="001162EA">
        <w:rPr>
          <w:lang w:val="ru-RU"/>
        </w:rPr>
        <w:t>35 лет и мужчин в</w:t>
      </w:r>
      <w:r>
        <w:rPr>
          <w:lang w:val="ru-RU"/>
        </w:rPr>
        <w:t> </w:t>
      </w:r>
      <w:r w:rsidRPr="001162EA">
        <w:rPr>
          <w:lang w:val="ru-RU"/>
        </w:rPr>
        <w:t>60−65 лет свидетельствует о том, что число лиц с ученой степенью остается практически неизменным (21,0% до 20,3%), а количество лиц, не имеющих никакого профессионального образования, среди более молодых возрастных групп растет (с</w:t>
      </w:r>
      <w:r>
        <w:rPr>
          <w:lang w:val="ru-RU"/>
        </w:rPr>
        <w:t> </w:t>
      </w:r>
      <w:r w:rsidRPr="001162EA">
        <w:rPr>
          <w:lang w:val="ru-RU"/>
        </w:rPr>
        <w:t>16,6% до 11,8%). В возрастной категории 30</w:t>
      </w:r>
      <w:r>
        <w:rPr>
          <w:lang w:val="ru-RU"/>
        </w:rPr>
        <w:t>−</w:t>
      </w:r>
      <w:r w:rsidRPr="001162EA">
        <w:rPr>
          <w:lang w:val="ru-RU"/>
        </w:rPr>
        <w:t>35 лет 39% отвечают требованиям обучения в университете и только 21% получает ученую степень.</w:t>
      </w:r>
    </w:p>
  </w:footnote>
  <w:footnote w:id="11">
    <w:p w:rsidR="00D95451" w:rsidRPr="00C77FA8" w:rsidRDefault="00D95451" w:rsidP="00D95451">
      <w:pPr>
        <w:pStyle w:val="FootnoteText"/>
      </w:pPr>
      <w:r>
        <w:rPr>
          <w:lang w:val="ru-RU"/>
        </w:rPr>
        <w:tab/>
      </w:r>
      <w:r>
        <w:rPr>
          <w:rStyle w:val="FootnoteReference"/>
        </w:rPr>
        <w:footnoteRef/>
      </w:r>
      <w:r>
        <w:rPr>
          <w:lang w:val="ru-RU"/>
        </w:rPr>
        <w:tab/>
      </w:r>
      <w:r>
        <w:rPr>
          <w:lang w:val="fr-CH"/>
        </w:rPr>
        <w:t>Destatis.</w:t>
      </w:r>
    </w:p>
  </w:footnote>
  <w:footnote w:id="12">
    <w:p w:rsidR="00D95451" w:rsidRPr="00A6771F" w:rsidRDefault="00D95451" w:rsidP="00D95451">
      <w:pPr>
        <w:pStyle w:val="FootnoteText"/>
        <w:rPr>
          <w:lang w:val="en-US"/>
        </w:rPr>
      </w:pPr>
      <w:r>
        <w:tab/>
      </w:r>
      <w:r>
        <w:rPr>
          <w:rStyle w:val="FootnoteReference"/>
        </w:rPr>
        <w:footnoteRef/>
      </w:r>
      <w:r>
        <w:tab/>
      </w:r>
      <w:r w:rsidRPr="00F17508">
        <w:rPr>
          <w:i/>
        </w:rPr>
        <w:t>DIW Führungskräfte-Monitor 2010</w:t>
      </w:r>
      <w:r w:rsidRPr="00F17508">
        <w:t>, p. 48 ff.</w:t>
      </w:r>
    </w:p>
  </w:footnote>
  <w:footnote w:id="13">
    <w:p w:rsidR="00091A8D" w:rsidRPr="00E72B0E" w:rsidRDefault="00091A8D" w:rsidP="004F2D8B">
      <w:pPr>
        <w:pStyle w:val="FootnoteText"/>
        <w:spacing w:line="200" w:lineRule="exact"/>
        <w:rPr>
          <w:lang w:val="ru-RU"/>
        </w:rPr>
      </w:pPr>
      <w:r>
        <w:rPr>
          <w:lang w:val="ru-RU"/>
        </w:rPr>
        <w:tab/>
      </w:r>
      <w:r>
        <w:rPr>
          <w:rStyle w:val="FootnoteReference"/>
        </w:rPr>
        <w:footnoteRef/>
      </w:r>
      <w:r>
        <w:rPr>
          <w:lang w:val="ru-RU"/>
        </w:rPr>
        <w:tab/>
      </w:r>
      <w:r w:rsidRPr="00E72B0E">
        <w:rPr>
          <w:lang w:val="ru-RU"/>
        </w:rPr>
        <w:t xml:space="preserve">Управленцами в частном секторе являются лица в возрасте 18 лет и старше, указавшие во время проведения </w:t>
      </w:r>
      <w:r>
        <w:rPr>
          <w:lang w:val="fr-CH"/>
        </w:rPr>
        <w:t>SOEP</w:t>
      </w:r>
      <w:r w:rsidRPr="00E72B0E">
        <w:rPr>
          <w:lang w:val="ru-RU"/>
        </w:rPr>
        <w:t>, что, будучи сотрудниками частного сектора, они наделены исполнительными полномочиями (например, занимают должности директоров, управляющих директоров или председателей советов более крупных компаний и ассоциаций); другие исполнительные полномочия или функции, требующие высокой квалификации</w:t>
      </w:r>
      <w:r>
        <w:rPr>
          <w:lang w:val="ru-RU"/>
        </w:rPr>
        <w:t xml:space="preserve"> (например, руководители отделов</w:t>
      </w:r>
      <w:r w:rsidR="002A6C16">
        <w:rPr>
          <w:lang w:val="ru-RU"/>
        </w:rPr>
        <w:t>, исследователи, инженеры).</w:t>
      </w:r>
      <w:r w:rsidR="002A6C16">
        <w:rPr>
          <w:lang w:val="ru-RU"/>
        </w:rPr>
        <w:br/>
      </w:r>
      <w:r w:rsidRPr="00E72B0E">
        <w:rPr>
          <w:lang w:val="ru-RU"/>
        </w:rPr>
        <w:t>Так, понятие "управленцы" охватывает как сотрудн</w:t>
      </w:r>
      <w:r w:rsidR="002A6C16">
        <w:rPr>
          <w:lang w:val="ru-RU"/>
        </w:rPr>
        <w:t>иков на руководящих должностях,</w:t>
      </w:r>
      <w:r w:rsidR="002A6C16">
        <w:rPr>
          <w:lang w:val="ru-RU"/>
        </w:rPr>
        <w:br/>
      </w:r>
      <w:r w:rsidRPr="00E72B0E">
        <w:rPr>
          <w:lang w:val="ru-RU"/>
        </w:rPr>
        <w:t>так и сотрудников на высококвалифицированных должностях (</w:t>
      </w:r>
      <w:r w:rsidRPr="00AB42CE">
        <w:rPr>
          <w:i/>
        </w:rPr>
        <w:t>DIW</w:t>
      </w:r>
      <w:r w:rsidRPr="00E72B0E">
        <w:rPr>
          <w:i/>
          <w:lang w:val="ru-RU"/>
        </w:rPr>
        <w:t xml:space="preserve"> </w:t>
      </w:r>
      <w:r w:rsidRPr="00AB42CE">
        <w:rPr>
          <w:i/>
        </w:rPr>
        <w:t>F</w:t>
      </w:r>
      <w:r w:rsidRPr="00E72B0E">
        <w:rPr>
          <w:i/>
          <w:lang w:val="ru-RU"/>
        </w:rPr>
        <w:t>ü</w:t>
      </w:r>
      <w:r w:rsidRPr="00AB42CE">
        <w:rPr>
          <w:i/>
        </w:rPr>
        <w:t>hrungskr</w:t>
      </w:r>
      <w:r w:rsidRPr="00E72B0E">
        <w:rPr>
          <w:i/>
          <w:lang w:val="ru-RU"/>
        </w:rPr>
        <w:t>ä</w:t>
      </w:r>
      <w:r w:rsidRPr="00AB42CE">
        <w:rPr>
          <w:i/>
        </w:rPr>
        <w:t>fte</w:t>
      </w:r>
      <w:r w:rsidRPr="00E72B0E">
        <w:rPr>
          <w:i/>
          <w:lang w:val="ru-RU"/>
        </w:rPr>
        <w:t>-</w:t>
      </w:r>
      <w:r w:rsidRPr="00AB42CE">
        <w:rPr>
          <w:i/>
        </w:rPr>
        <w:t>Monitor</w:t>
      </w:r>
      <w:r w:rsidRPr="00E72B0E">
        <w:rPr>
          <w:i/>
          <w:lang w:val="ru-RU"/>
        </w:rPr>
        <w:t xml:space="preserve"> 2010</w:t>
      </w:r>
      <w:r w:rsidRPr="00E72B0E">
        <w:rPr>
          <w:lang w:val="ru-RU"/>
        </w:rPr>
        <w:t xml:space="preserve">, </w:t>
      </w:r>
      <w:r w:rsidRPr="00AB42CE">
        <w:t>p</w:t>
      </w:r>
      <w:r w:rsidRPr="00E72B0E">
        <w:rPr>
          <w:lang w:val="ru-RU"/>
        </w:rPr>
        <w:t xml:space="preserve">. 16 </w:t>
      </w:r>
      <w:r w:rsidRPr="00AB42CE">
        <w:t>f</w:t>
      </w:r>
      <w:r w:rsidRPr="00E72B0E">
        <w:rPr>
          <w:lang w:val="ru-RU"/>
        </w:rPr>
        <w:t>.). Члены исполнит</w:t>
      </w:r>
      <w:r w:rsidR="002A6C16">
        <w:rPr>
          <w:lang w:val="ru-RU"/>
        </w:rPr>
        <w:t>ельных и наблюдательных советов</w:t>
      </w:r>
      <w:r w:rsidR="002A6C16">
        <w:rPr>
          <w:lang w:val="ru-RU"/>
        </w:rPr>
        <w:br/>
      </w:r>
      <w:r w:rsidRPr="00E72B0E">
        <w:rPr>
          <w:lang w:val="ru-RU"/>
        </w:rPr>
        <w:t xml:space="preserve">200 крупнейших компаний (за исключением финансового сектора) из </w:t>
      </w:r>
      <w:r w:rsidRPr="00AB42CE">
        <w:rPr>
          <w:i/>
        </w:rPr>
        <w:t>DIW</w:t>
      </w:r>
      <w:r w:rsidRPr="00E72B0E">
        <w:rPr>
          <w:i/>
          <w:lang w:val="ru-RU"/>
        </w:rPr>
        <w:t xml:space="preserve"> </w:t>
      </w:r>
      <w:r w:rsidRPr="00AB42CE">
        <w:rPr>
          <w:i/>
        </w:rPr>
        <w:t>F</w:t>
      </w:r>
      <w:r w:rsidRPr="00E72B0E">
        <w:rPr>
          <w:i/>
          <w:lang w:val="ru-RU"/>
        </w:rPr>
        <w:t>ü</w:t>
      </w:r>
      <w:r w:rsidRPr="00AB42CE">
        <w:rPr>
          <w:i/>
        </w:rPr>
        <w:t>hrungskr</w:t>
      </w:r>
      <w:r w:rsidRPr="00E72B0E">
        <w:rPr>
          <w:i/>
          <w:lang w:val="ru-RU"/>
        </w:rPr>
        <w:t>ä</w:t>
      </w:r>
      <w:r w:rsidRPr="00AB42CE">
        <w:rPr>
          <w:i/>
        </w:rPr>
        <w:t>fte</w:t>
      </w:r>
      <w:r w:rsidRPr="00E72B0E">
        <w:rPr>
          <w:i/>
          <w:lang w:val="ru-RU"/>
        </w:rPr>
        <w:t>-</w:t>
      </w:r>
      <w:r w:rsidRPr="00AB42CE">
        <w:rPr>
          <w:i/>
        </w:rPr>
        <w:t>Monitor</w:t>
      </w:r>
      <w:r w:rsidRPr="00E72B0E">
        <w:rPr>
          <w:i/>
          <w:lang w:val="ru-RU"/>
        </w:rPr>
        <w:t xml:space="preserve"> 2010</w:t>
      </w:r>
      <w:r w:rsidRPr="00E72B0E">
        <w:rPr>
          <w:lang w:val="ru-RU"/>
        </w:rPr>
        <w:t xml:space="preserve">, </w:t>
      </w:r>
      <w:r w:rsidRPr="00AB42CE">
        <w:t>p</w:t>
      </w:r>
      <w:r w:rsidRPr="00E72B0E">
        <w:rPr>
          <w:lang w:val="ru-RU"/>
        </w:rPr>
        <w:t xml:space="preserve">. 57. В системе государственной службы функции управления на руководящих должностях начинаются с уровня начальника отдела. </w:t>
      </w:r>
    </w:p>
  </w:footnote>
  <w:footnote w:id="14">
    <w:p w:rsidR="00091A8D" w:rsidRPr="00E72B0E" w:rsidRDefault="00091A8D" w:rsidP="004F2D8B">
      <w:pPr>
        <w:pStyle w:val="FootnoteText"/>
        <w:widowControl w:val="0"/>
        <w:spacing w:line="200" w:lineRule="exact"/>
        <w:rPr>
          <w:lang w:val="ru-RU"/>
        </w:rPr>
      </w:pPr>
      <w:r>
        <w:rPr>
          <w:lang w:val="ru-RU"/>
        </w:rPr>
        <w:tab/>
      </w:r>
      <w:r>
        <w:rPr>
          <w:rStyle w:val="FootnoteReference"/>
        </w:rPr>
        <w:footnoteRef/>
      </w:r>
      <w:r>
        <w:rPr>
          <w:lang w:val="ru-RU"/>
        </w:rPr>
        <w:tab/>
      </w:r>
      <w:r w:rsidRPr="000E27BF">
        <w:rPr>
          <w:i/>
        </w:rPr>
        <w:t>Bundesamt</w:t>
      </w:r>
      <w:r w:rsidRPr="00E72B0E">
        <w:rPr>
          <w:i/>
          <w:lang w:val="ru-RU"/>
        </w:rPr>
        <w:t xml:space="preserve"> </w:t>
      </w:r>
      <w:r w:rsidRPr="000E27BF">
        <w:rPr>
          <w:i/>
        </w:rPr>
        <w:t>f</w:t>
      </w:r>
      <w:r w:rsidRPr="00E72B0E">
        <w:rPr>
          <w:i/>
          <w:lang w:val="ru-RU"/>
        </w:rPr>
        <w:t>ü</w:t>
      </w:r>
      <w:r w:rsidRPr="000E27BF">
        <w:rPr>
          <w:i/>
        </w:rPr>
        <w:t>r</w:t>
      </w:r>
      <w:r w:rsidRPr="00E72B0E">
        <w:rPr>
          <w:i/>
          <w:lang w:val="ru-RU"/>
        </w:rPr>
        <w:t xml:space="preserve"> </w:t>
      </w:r>
      <w:r w:rsidRPr="000E27BF">
        <w:rPr>
          <w:i/>
        </w:rPr>
        <w:t>Statistik</w:t>
      </w:r>
      <w:r w:rsidRPr="00E72B0E">
        <w:rPr>
          <w:i/>
          <w:lang w:val="ru-RU"/>
        </w:rPr>
        <w:t xml:space="preserve">: </w:t>
      </w:r>
      <w:r w:rsidRPr="000E27BF">
        <w:rPr>
          <w:i/>
        </w:rPr>
        <w:t>Pressemitteilung</w:t>
      </w:r>
      <w:r w:rsidRPr="00E72B0E">
        <w:rPr>
          <w:i/>
          <w:lang w:val="ru-RU"/>
        </w:rPr>
        <w:t xml:space="preserve"> </w:t>
      </w:r>
      <w:r w:rsidRPr="000E27BF">
        <w:rPr>
          <w:i/>
        </w:rPr>
        <w:t>Nr</w:t>
      </w:r>
      <w:r w:rsidRPr="00E72B0E">
        <w:rPr>
          <w:i/>
          <w:lang w:val="ru-RU"/>
        </w:rPr>
        <w:t xml:space="preserve">. 442 </w:t>
      </w:r>
      <w:r w:rsidRPr="000E27BF">
        <w:rPr>
          <w:i/>
        </w:rPr>
        <w:t>vom</w:t>
      </w:r>
      <w:r w:rsidRPr="00E72B0E">
        <w:rPr>
          <w:i/>
          <w:lang w:val="ru-RU"/>
        </w:rPr>
        <w:t xml:space="preserve"> 1.12.2010</w:t>
      </w:r>
      <w:r w:rsidRPr="00E72B0E">
        <w:rPr>
          <w:lang w:val="ru-RU"/>
        </w:rPr>
        <w:t>; отцы детей, рожденных в первой половине 2009 года.</w:t>
      </w:r>
    </w:p>
  </w:footnote>
  <w:footnote w:id="15">
    <w:p w:rsidR="00091A8D" w:rsidRPr="00091A8D" w:rsidRDefault="00091A8D" w:rsidP="004F2D8B">
      <w:pPr>
        <w:pStyle w:val="FootnoteText"/>
        <w:widowControl w:val="0"/>
        <w:spacing w:line="200" w:lineRule="exact"/>
        <w:rPr>
          <w:lang w:val="ru-RU"/>
        </w:rPr>
      </w:pPr>
      <w:r>
        <w:rPr>
          <w:lang w:val="ru-RU"/>
        </w:rPr>
        <w:tab/>
      </w:r>
      <w:r>
        <w:rPr>
          <w:rStyle w:val="FootnoteReference"/>
        </w:rPr>
        <w:footnoteRef/>
      </w:r>
      <w:r>
        <w:rPr>
          <w:lang w:val="ru-RU"/>
        </w:rPr>
        <w:tab/>
      </w:r>
      <w:r w:rsidRPr="00FE1C3A">
        <w:t>Sinus</w:t>
      </w:r>
      <w:r w:rsidRPr="00091A8D">
        <w:rPr>
          <w:lang w:val="ru-RU"/>
        </w:rPr>
        <w:t xml:space="preserve"> </w:t>
      </w:r>
      <w:r w:rsidRPr="00FE1C3A">
        <w:t>Sociovision</w:t>
      </w:r>
      <w:r w:rsidRPr="00091A8D">
        <w:rPr>
          <w:lang w:val="ru-RU"/>
        </w:rPr>
        <w:t xml:space="preserve">/ </w:t>
      </w:r>
      <w:r w:rsidRPr="00FE1C3A">
        <w:t>BMFSFJ</w:t>
      </w:r>
      <w:r w:rsidRPr="00091A8D">
        <w:rPr>
          <w:lang w:val="ru-RU"/>
        </w:rPr>
        <w:t xml:space="preserve">: </w:t>
      </w:r>
      <w:r w:rsidRPr="00FE1C3A">
        <w:rPr>
          <w:i/>
        </w:rPr>
        <w:t>Perspektive</w:t>
      </w:r>
      <w:r w:rsidRPr="00091A8D">
        <w:rPr>
          <w:i/>
          <w:lang w:val="ru-RU"/>
        </w:rPr>
        <w:t xml:space="preserve"> </w:t>
      </w:r>
      <w:r w:rsidRPr="00FE1C3A">
        <w:rPr>
          <w:i/>
        </w:rPr>
        <w:t>Wiedereinstieg</w:t>
      </w:r>
      <w:r w:rsidRPr="00091A8D">
        <w:rPr>
          <w:i/>
          <w:lang w:val="ru-RU"/>
        </w:rPr>
        <w:t xml:space="preserve">. </w:t>
      </w:r>
      <w:r w:rsidRPr="00FE1C3A">
        <w:rPr>
          <w:i/>
        </w:rPr>
        <w:t>Ziele</w:t>
      </w:r>
      <w:r w:rsidRPr="00091A8D">
        <w:rPr>
          <w:i/>
          <w:lang w:val="ru-RU"/>
        </w:rPr>
        <w:t xml:space="preserve">, </w:t>
      </w:r>
      <w:r w:rsidRPr="00FE1C3A">
        <w:rPr>
          <w:i/>
        </w:rPr>
        <w:t>Motive</w:t>
      </w:r>
      <w:r w:rsidRPr="00091A8D">
        <w:rPr>
          <w:i/>
          <w:lang w:val="ru-RU"/>
        </w:rPr>
        <w:t xml:space="preserve"> </w:t>
      </w:r>
      <w:r w:rsidRPr="00FE1C3A">
        <w:rPr>
          <w:i/>
        </w:rPr>
        <w:t>und</w:t>
      </w:r>
      <w:r w:rsidRPr="00091A8D">
        <w:rPr>
          <w:i/>
          <w:lang w:val="ru-RU"/>
        </w:rPr>
        <w:t xml:space="preserve"> </w:t>
      </w:r>
      <w:r w:rsidRPr="00FE1C3A">
        <w:rPr>
          <w:i/>
        </w:rPr>
        <w:t>Erfahrungen</w:t>
      </w:r>
      <w:r w:rsidRPr="00091A8D">
        <w:rPr>
          <w:i/>
          <w:lang w:val="ru-RU"/>
        </w:rPr>
        <w:t xml:space="preserve"> </w:t>
      </w:r>
      <w:r w:rsidRPr="00FE1C3A">
        <w:rPr>
          <w:i/>
        </w:rPr>
        <w:t>vor</w:t>
      </w:r>
      <w:r w:rsidRPr="00091A8D">
        <w:rPr>
          <w:i/>
          <w:lang w:val="ru-RU"/>
        </w:rPr>
        <w:t xml:space="preserve">, </w:t>
      </w:r>
      <w:r w:rsidRPr="00FE1C3A">
        <w:rPr>
          <w:i/>
        </w:rPr>
        <w:t>w</w:t>
      </w:r>
      <w:r w:rsidRPr="00091A8D">
        <w:rPr>
          <w:i/>
          <w:lang w:val="ru-RU"/>
        </w:rPr>
        <w:t>ä</w:t>
      </w:r>
      <w:r w:rsidRPr="00FE1C3A">
        <w:rPr>
          <w:i/>
        </w:rPr>
        <w:t>hrend</w:t>
      </w:r>
      <w:r w:rsidRPr="00091A8D">
        <w:rPr>
          <w:i/>
          <w:lang w:val="ru-RU"/>
        </w:rPr>
        <w:t xml:space="preserve"> </w:t>
      </w:r>
      <w:r w:rsidRPr="00FE1C3A">
        <w:rPr>
          <w:i/>
        </w:rPr>
        <w:t>und</w:t>
      </w:r>
      <w:r w:rsidRPr="00091A8D">
        <w:rPr>
          <w:i/>
          <w:lang w:val="ru-RU"/>
        </w:rPr>
        <w:t xml:space="preserve"> </w:t>
      </w:r>
      <w:r w:rsidRPr="00FE1C3A">
        <w:rPr>
          <w:i/>
        </w:rPr>
        <w:t>nach</w:t>
      </w:r>
      <w:r w:rsidRPr="00091A8D">
        <w:rPr>
          <w:i/>
          <w:lang w:val="ru-RU"/>
        </w:rPr>
        <w:t xml:space="preserve"> </w:t>
      </w:r>
      <w:r w:rsidRPr="00FE1C3A">
        <w:rPr>
          <w:i/>
        </w:rPr>
        <w:t>dem</w:t>
      </w:r>
      <w:r w:rsidRPr="00091A8D">
        <w:rPr>
          <w:i/>
          <w:lang w:val="ru-RU"/>
        </w:rPr>
        <w:t xml:space="preserve"> </w:t>
      </w:r>
      <w:r w:rsidRPr="00FE1C3A">
        <w:rPr>
          <w:i/>
        </w:rPr>
        <w:t>beruflichen</w:t>
      </w:r>
      <w:r w:rsidRPr="00091A8D">
        <w:rPr>
          <w:i/>
          <w:lang w:val="ru-RU"/>
        </w:rPr>
        <w:t xml:space="preserve"> </w:t>
      </w:r>
      <w:r w:rsidRPr="00FE1C3A">
        <w:rPr>
          <w:i/>
        </w:rPr>
        <w:t>Wiedereinstieg</w:t>
      </w:r>
      <w:r w:rsidRPr="00091A8D">
        <w:rPr>
          <w:lang w:val="ru-RU"/>
        </w:rPr>
        <w:t xml:space="preserve">, </w:t>
      </w:r>
      <w:r w:rsidRPr="00FE1C3A">
        <w:t>Berlin</w:t>
      </w:r>
      <w:r w:rsidRPr="00091A8D">
        <w:rPr>
          <w:lang w:val="ru-RU"/>
        </w:rPr>
        <w:t xml:space="preserve"> 2010, </w:t>
      </w:r>
      <w:r w:rsidRPr="00FE1C3A">
        <w:t>p</w:t>
      </w:r>
      <w:r w:rsidRPr="00091A8D">
        <w:rPr>
          <w:lang w:val="ru-RU"/>
        </w:rPr>
        <w:t>. 18.</w:t>
      </w:r>
    </w:p>
  </w:footnote>
  <w:footnote w:id="16">
    <w:p w:rsidR="00C55ACE" w:rsidRDefault="00C55ACE" w:rsidP="00C55ACE">
      <w:pPr>
        <w:pStyle w:val="FootnoteText"/>
        <w:rPr>
          <w:lang w:val="ru-RU"/>
        </w:rPr>
      </w:pPr>
      <w:r>
        <w:rPr>
          <w:lang w:val="en-US"/>
        </w:rPr>
        <w:tab/>
      </w:r>
      <w:r>
        <w:rPr>
          <w:rStyle w:val="FootnoteReference"/>
        </w:rPr>
        <w:footnoteRef/>
      </w:r>
      <w:r>
        <w:rPr>
          <w:lang w:val="ru-RU"/>
        </w:rPr>
        <w:tab/>
        <w:t xml:space="preserve">В Баварии, например, в кинотеатрах показывают социальную рекламу под названием </w:t>
      </w:r>
      <w:r>
        <w:rPr>
          <w:i/>
          <w:lang w:val="en-US"/>
        </w:rPr>
        <w:t>Schluss</w:t>
      </w:r>
      <w:r>
        <w:rPr>
          <w:i/>
          <w:lang w:val="ru-RU"/>
        </w:rPr>
        <w:t xml:space="preserve"> </w:t>
      </w:r>
      <w:r>
        <w:rPr>
          <w:i/>
          <w:lang w:val="en-US"/>
        </w:rPr>
        <w:t>mit</w:t>
      </w:r>
      <w:r>
        <w:rPr>
          <w:i/>
          <w:lang w:val="ru-RU"/>
        </w:rPr>
        <w:t xml:space="preserve"> </w:t>
      </w:r>
      <w:r>
        <w:rPr>
          <w:i/>
          <w:lang w:val="en-US"/>
        </w:rPr>
        <w:t>dem</w:t>
      </w:r>
      <w:r>
        <w:rPr>
          <w:i/>
          <w:lang w:val="ru-RU"/>
        </w:rPr>
        <w:t xml:space="preserve"> </w:t>
      </w:r>
      <w:r>
        <w:rPr>
          <w:i/>
          <w:lang w:val="en-US"/>
        </w:rPr>
        <w:t>Unsinn</w:t>
      </w:r>
      <w:r>
        <w:rPr>
          <w:lang w:val="ru-RU"/>
        </w:rPr>
        <w:t xml:space="preserve"> ("пора покончить с этой глупостью"), в которой довольно творчески продемонстрирована проблема разрыва в оплате труда.</w:t>
      </w:r>
    </w:p>
  </w:footnote>
  <w:footnote w:id="17">
    <w:p w:rsidR="00C55ACE" w:rsidRDefault="00C55ACE" w:rsidP="00C55ACE">
      <w:pPr>
        <w:pStyle w:val="FootnoteText"/>
        <w:rPr>
          <w:lang w:val="ru-RU"/>
        </w:rPr>
      </w:pPr>
      <w:r>
        <w:rPr>
          <w:lang w:val="ru-RU"/>
        </w:rPr>
        <w:tab/>
      </w:r>
      <w:r>
        <w:rPr>
          <w:rStyle w:val="FootnoteReference"/>
        </w:rPr>
        <w:footnoteRef/>
      </w:r>
      <w:r>
        <w:rPr>
          <w:lang w:val="ru-RU"/>
        </w:rPr>
        <w:tab/>
        <w:t xml:space="preserve">Рейнланд-Пфальц обратился к 20-й предварительной конференции </w:t>
      </w:r>
      <w:r>
        <w:rPr>
          <w:lang w:val="fr-CH"/>
        </w:rPr>
        <w:t>GFMK</w:t>
      </w:r>
      <w:r>
        <w:rPr>
          <w:lang w:val="ru-RU"/>
        </w:rPr>
        <w:t xml:space="preserve"> с просьбой поддержать </w:t>
      </w:r>
      <w:r>
        <w:rPr>
          <w:lang w:val="en-US"/>
        </w:rPr>
        <w:t>Logib</w:t>
      </w:r>
      <w:r>
        <w:rPr>
          <w:lang w:val="ru-RU"/>
        </w:rPr>
        <w:t>-</w:t>
      </w:r>
      <w:r>
        <w:rPr>
          <w:lang w:val="en-US"/>
        </w:rPr>
        <w:t>D</w:t>
      </w:r>
      <w:r>
        <w:rPr>
          <w:lang w:val="ru-RU"/>
        </w:rPr>
        <w:t xml:space="preserve"> и рассмотреть вопрос о возможности ее включения в </w:t>
      </w:r>
      <w:r>
        <w:rPr>
          <w:lang w:val="en-US"/>
        </w:rPr>
        <w:t>eg</w:t>
      </w:r>
      <w:r>
        <w:rPr>
          <w:lang w:val="ru-RU"/>
        </w:rPr>
        <w:t>-</w:t>
      </w:r>
      <w:r>
        <w:rPr>
          <w:lang w:val="en-US"/>
        </w:rPr>
        <w:t>check</w:t>
      </w:r>
      <w:r>
        <w:rPr>
          <w:lang w:val="ru-RU"/>
        </w:rPr>
        <w:t>, разработанный Гансом Бёклером Штифтунгом.</w:t>
      </w:r>
    </w:p>
  </w:footnote>
  <w:footnote w:id="18">
    <w:p w:rsidR="00707E30" w:rsidRPr="00B75DE9" w:rsidRDefault="00707E30" w:rsidP="00707E30">
      <w:pPr>
        <w:pStyle w:val="FootnoteText"/>
        <w:rPr>
          <w:lang w:val="ru-RU"/>
        </w:rPr>
      </w:pPr>
      <w:r>
        <w:tab/>
      </w:r>
      <w:r>
        <w:rPr>
          <w:rStyle w:val="FootnoteReference"/>
        </w:rPr>
        <w:footnoteRef/>
      </w:r>
      <w:r w:rsidRPr="00B75DE9">
        <w:rPr>
          <w:lang w:val="ru-RU"/>
        </w:rPr>
        <w:tab/>
        <w:t>"</w:t>
      </w:r>
      <w:r w:rsidRPr="000F6D85">
        <w:rPr>
          <w:i/>
        </w:rPr>
        <w:t>Unternehmensmonitor</w:t>
      </w:r>
      <w:r w:rsidRPr="00B75DE9">
        <w:rPr>
          <w:i/>
          <w:lang w:val="ru-RU"/>
        </w:rPr>
        <w:t xml:space="preserve"> </w:t>
      </w:r>
      <w:r w:rsidRPr="000F6D85">
        <w:rPr>
          <w:i/>
        </w:rPr>
        <w:t>Familienfreundlichkeit</w:t>
      </w:r>
      <w:r w:rsidRPr="00B75DE9">
        <w:rPr>
          <w:i/>
          <w:lang w:val="ru-RU"/>
        </w:rPr>
        <w:t xml:space="preserve"> 2010</w:t>
      </w:r>
      <w:r w:rsidRPr="00B75DE9">
        <w:rPr>
          <w:lang w:val="ru-RU"/>
        </w:rPr>
        <w:t xml:space="preserve">", </w:t>
      </w:r>
      <w:r w:rsidRPr="000F6D85">
        <w:rPr>
          <w:lang w:val="ru-RU"/>
        </w:rPr>
        <w:t>Кельнский</w:t>
      </w:r>
      <w:r w:rsidRPr="00B75DE9">
        <w:rPr>
          <w:lang w:val="ru-RU"/>
        </w:rPr>
        <w:t xml:space="preserve"> </w:t>
      </w:r>
      <w:r w:rsidRPr="000F6D85">
        <w:rPr>
          <w:lang w:val="ru-RU"/>
        </w:rPr>
        <w:t>институт</w:t>
      </w:r>
      <w:r w:rsidRPr="00B75DE9">
        <w:rPr>
          <w:lang w:val="ru-RU"/>
        </w:rPr>
        <w:t xml:space="preserve"> </w:t>
      </w:r>
      <w:r w:rsidRPr="000F6D85">
        <w:rPr>
          <w:lang w:val="ru-RU"/>
        </w:rPr>
        <w:t>экономических</w:t>
      </w:r>
      <w:r w:rsidRPr="00B75DE9">
        <w:rPr>
          <w:lang w:val="ru-RU"/>
        </w:rPr>
        <w:t xml:space="preserve"> </w:t>
      </w:r>
      <w:r w:rsidRPr="000F6D85">
        <w:rPr>
          <w:lang w:val="ru-RU"/>
        </w:rPr>
        <w:t>исследований</w:t>
      </w:r>
      <w:r w:rsidRPr="00B75DE9">
        <w:rPr>
          <w:lang w:val="ru-RU"/>
        </w:rPr>
        <w:t xml:space="preserve">, </w:t>
      </w:r>
      <w:r>
        <w:rPr>
          <w:lang w:val="ru-RU"/>
        </w:rPr>
        <w:t>исследование по заказу</w:t>
      </w:r>
      <w:r w:rsidRPr="00B75DE9">
        <w:rPr>
          <w:lang w:val="ru-RU"/>
        </w:rPr>
        <w:t xml:space="preserve"> </w:t>
      </w:r>
      <w:r w:rsidRPr="000F6D85">
        <w:t>BMFSFJ</w:t>
      </w:r>
      <w:r w:rsidRPr="00B75DE9">
        <w:rPr>
          <w:lang w:val="ru-RU"/>
        </w:rPr>
        <w:t>,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11" w:rsidRPr="00C47A10" w:rsidRDefault="00F11711">
    <w:pPr>
      <w:pStyle w:val="Header"/>
      <w:rPr>
        <w:lang w:val="en-US"/>
      </w:rPr>
    </w:pPr>
    <w:r>
      <w:rPr>
        <w:lang w:val="en-US"/>
      </w:rPr>
      <w:t>CEDAW/</w:t>
    </w:r>
    <w:r>
      <w:rPr>
        <w:lang w:val="ru-RU"/>
      </w:rPr>
      <w:t>С</w:t>
    </w:r>
    <w:r w:rsidRPr="00C47A10">
      <w:rPr>
        <w:lang w:val="en-US"/>
      </w:rPr>
      <w:t>/</w:t>
    </w:r>
    <w:r>
      <w:rPr>
        <w:lang w:val="en-US"/>
      </w:rPr>
      <w:t>DEU/CO/6/Add.1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11" w:rsidRPr="009A6F4A" w:rsidRDefault="00F11711">
    <w:pPr>
      <w:pStyle w:val="Header"/>
      <w:rPr>
        <w:lang w:val="en-US"/>
      </w:rPr>
    </w:pPr>
    <w:r>
      <w:rPr>
        <w:lang w:val="en-US"/>
      </w:rPr>
      <w:tab/>
      <w:t>CEDAW/</w:t>
    </w:r>
    <w:r>
      <w:rPr>
        <w:lang w:val="ru-RU"/>
      </w:rPr>
      <w:t>С</w:t>
    </w:r>
    <w:r w:rsidRPr="00C47A10">
      <w:rPr>
        <w:lang w:val="en-US"/>
      </w:rPr>
      <w:t>/</w:t>
    </w:r>
    <w:r>
      <w:rPr>
        <w:lang w:val="en-US"/>
      </w:rPr>
      <w:t>DEU/CO/6/Add.1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0C8"/>
    <w:rsid w:val="000033D8"/>
    <w:rsid w:val="00005C1C"/>
    <w:rsid w:val="00016553"/>
    <w:rsid w:val="000233B3"/>
    <w:rsid w:val="00023E9E"/>
    <w:rsid w:val="000241FB"/>
    <w:rsid w:val="00026B0C"/>
    <w:rsid w:val="0003638E"/>
    <w:rsid w:val="00036FF2"/>
    <w:rsid w:val="0004010A"/>
    <w:rsid w:val="00043D88"/>
    <w:rsid w:val="00046E4D"/>
    <w:rsid w:val="0006401A"/>
    <w:rsid w:val="00072C27"/>
    <w:rsid w:val="0007608B"/>
    <w:rsid w:val="00086182"/>
    <w:rsid w:val="00090891"/>
    <w:rsid w:val="00091A8D"/>
    <w:rsid w:val="00092E62"/>
    <w:rsid w:val="00093374"/>
    <w:rsid w:val="00097975"/>
    <w:rsid w:val="000A3DDF"/>
    <w:rsid w:val="000A60A0"/>
    <w:rsid w:val="000C3688"/>
    <w:rsid w:val="000C4C0B"/>
    <w:rsid w:val="000D10A5"/>
    <w:rsid w:val="000D6863"/>
    <w:rsid w:val="00117AEE"/>
    <w:rsid w:val="001317FA"/>
    <w:rsid w:val="00133C2F"/>
    <w:rsid w:val="001463F7"/>
    <w:rsid w:val="0015769C"/>
    <w:rsid w:val="00173194"/>
    <w:rsid w:val="00180752"/>
    <w:rsid w:val="00185076"/>
    <w:rsid w:val="0018543C"/>
    <w:rsid w:val="00190231"/>
    <w:rsid w:val="00192ABD"/>
    <w:rsid w:val="001A75D5"/>
    <w:rsid w:val="001A7D40"/>
    <w:rsid w:val="001C0261"/>
    <w:rsid w:val="001D07F7"/>
    <w:rsid w:val="001D7B8F"/>
    <w:rsid w:val="001E48EE"/>
    <w:rsid w:val="001F2D04"/>
    <w:rsid w:val="0020059C"/>
    <w:rsid w:val="002019BD"/>
    <w:rsid w:val="002238C0"/>
    <w:rsid w:val="00232D42"/>
    <w:rsid w:val="00237334"/>
    <w:rsid w:val="002444F4"/>
    <w:rsid w:val="00254964"/>
    <w:rsid w:val="002629A0"/>
    <w:rsid w:val="00277A40"/>
    <w:rsid w:val="0028492B"/>
    <w:rsid w:val="00291C8F"/>
    <w:rsid w:val="00292480"/>
    <w:rsid w:val="002A6C16"/>
    <w:rsid w:val="002C39EC"/>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3E3482"/>
    <w:rsid w:val="00401CE0"/>
    <w:rsid w:val="00403234"/>
    <w:rsid w:val="00407AC3"/>
    <w:rsid w:val="00414586"/>
    <w:rsid w:val="00415059"/>
    <w:rsid w:val="0042265C"/>
    <w:rsid w:val="00424FDD"/>
    <w:rsid w:val="0043033D"/>
    <w:rsid w:val="00435FE4"/>
    <w:rsid w:val="00457634"/>
    <w:rsid w:val="00474F42"/>
    <w:rsid w:val="0048244D"/>
    <w:rsid w:val="004938DC"/>
    <w:rsid w:val="004A0DE8"/>
    <w:rsid w:val="004A4CB7"/>
    <w:rsid w:val="004A510E"/>
    <w:rsid w:val="004A57B5"/>
    <w:rsid w:val="004B19DA"/>
    <w:rsid w:val="004C2A53"/>
    <w:rsid w:val="004C3B35"/>
    <w:rsid w:val="004C43EC"/>
    <w:rsid w:val="004D645E"/>
    <w:rsid w:val="004E6729"/>
    <w:rsid w:val="004F0E47"/>
    <w:rsid w:val="004F2D8B"/>
    <w:rsid w:val="0051196E"/>
    <w:rsid w:val="0051339C"/>
    <w:rsid w:val="0051412F"/>
    <w:rsid w:val="00522B6F"/>
    <w:rsid w:val="0052430E"/>
    <w:rsid w:val="005276AD"/>
    <w:rsid w:val="00530288"/>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37570"/>
    <w:rsid w:val="006501A5"/>
    <w:rsid w:val="006567B2"/>
    <w:rsid w:val="00662ADE"/>
    <w:rsid w:val="00664106"/>
    <w:rsid w:val="006756F1"/>
    <w:rsid w:val="00677773"/>
    <w:rsid w:val="006805FC"/>
    <w:rsid w:val="006926C7"/>
    <w:rsid w:val="00694C37"/>
    <w:rsid w:val="006A1BEB"/>
    <w:rsid w:val="006A401C"/>
    <w:rsid w:val="006A7C6E"/>
    <w:rsid w:val="006B23D9"/>
    <w:rsid w:val="006B7FC0"/>
    <w:rsid w:val="006C1814"/>
    <w:rsid w:val="006C2F45"/>
    <w:rsid w:val="006C361A"/>
    <w:rsid w:val="006C5657"/>
    <w:rsid w:val="006D5E4E"/>
    <w:rsid w:val="006E6860"/>
    <w:rsid w:val="006E7183"/>
    <w:rsid w:val="006F5FBF"/>
    <w:rsid w:val="0070327E"/>
    <w:rsid w:val="00707B5F"/>
    <w:rsid w:val="00707E30"/>
    <w:rsid w:val="00735602"/>
    <w:rsid w:val="0075279B"/>
    <w:rsid w:val="00753748"/>
    <w:rsid w:val="00762446"/>
    <w:rsid w:val="00764369"/>
    <w:rsid w:val="00780E4B"/>
    <w:rsid w:val="00781ACB"/>
    <w:rsid w:val="007A4E60"/>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2609"/>
    <w:rsid w:val="00834887"/>
    <w:rsid w:val="00842FED"/>
    <w:rsid w:val="008455CF"/>
    <w:rsid w:val="00847689"/>
    <w:rsid w:val="00861C52"/>
    <w:rsid w:val="008727A1"/>
    <w:rsid w:val="00886B0F"/>
    <w:rsid w:val="00891C08"/>
    <w:rsid w:val="008A3879"/>
    <w:rsid w:val="008A5FA8"/>
    <w:rsid w:val="008A6DF0"/>
    <w:rsid w:val="008A7575"/>
    <w:rsid w:val="008B5F47"/>
    <w:rsid w:val="008B759B"/>
    <w:rsid w:val="008C311E"/>
    <w:rsid w:val="008C7B87"/>
    <w:rsid w:val="008D0771"/>
    <w:rsid w:val="008D6A7A"/>
    <w:rsid w:val="008E3E87"/>
    <w:rsid w:val="008E76EA"/>
    <w:rsid w:val="008E7F13"/>
    <w:rsid w:val="008F3185"/>
    <w:rsid w:val="00915B0A"/>
    <w:rsid w:val="00926904"/>
    <w:rsid w:val="00931379"/>
    <w:rsid w:val="0093610F"/>
    <w:rsid w:val="009372F0"/>
    <w:rsid w:val="00937B5D"/>
    <w:rsid w:val="00955022"/>
    <w:rsid w:val="00957B4D"/>
    <w:rsid w:val="00964EEA"/>
    <w:rsid w:val="00980C86"/>
    <w:rsid w:val="009B1D9B"/>
    <w:rsid w:val="009B4074"/>
    <w:rsid w:val="009C30BB"/>
    <w:rsid w:val="009C4E83"/>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8AA"/>
    <w:rsid w:val="00AC2CCB"/>
    <w:rsid w:val="00AC443A"/>
    <w:rsid w:val="00AE3AEA"/>
    <w:rsid w:val="00AE60E2"/>
    <w:rsid w:val="00B0169F"/>
    <w:rsid w:val="00B05F21"/>
    <w:rsid w:val="00B14EA9"/>
    <w:rsid w:val="00B30A3C"/>
    <w:rsid w:val="00B57B26"/>
    <w:rsid w:val="00B81305"/>
    <w:rsid w:val="00B8138B"/>
    <w:rsid w:val="00B941CF"/>
    <w:rsid w:val="00B96638"/>
    <w:rsid w:val="00BB003B"/>
    <w:rsid w:val="00BB17DC"/>
    <w:rsid w:val="00BB1AF9"/>
    <w:rsid w:val="00BB4C4A"/>
    <w:rsid w:val="00BC1F60"/>
    <w:rsid w:val="00BD3CAE"/>
    <w:rsid w:val="00BD45E7"/>
    <w:rsid w:val="00BD5F3C"/>
    <w:rsid w:val="00BD6547"/>
    <w:rsid w:val="00BF526D"/>
    <w:rsid w:val="00BF5A73"/>
    <w:rsid w:val="00C07C0F"/>
    <w:rsid w:val="00C144B9"/>
    <w:rsid w:val="00C145C4"/>
    <w:rsid w:val="00C15B2D"/>
    <w:rsid w:val="00C20D2F"/>
    <w:rsid w:val="00C2131B"/>
    <w:rsid w:val="00C37AF8"/>
    <w:rsid w:val="00C37C79"/>
    <w:rsid w:val="00C41BBC"/>
    <w:rsid w:val="00C47A10"/>
    <w:rsid w:val="00C51419"/>
    <w:rsid w:val="00C54056"/>
    <w:rsid w:val="00C55ACE"/>
    <w:rsid w:val="00C649D1"/>
    <w:rsid w:val="00C663A3"/>
    <w:rsid w:val="00C75CB2"/>
    <w:rsid w:val="00C90723"/>
    <w:rsid w:val="00C90D5C"/>
    <w:rsid w:val="00CA609E"/>
    <w:rsid w:val="00CA7DA4"/>
    <w:rsid w:val="00CB31FB"/>
    <w:rsid w:val="00CE3D6F"/>
    <w:rsid w:val="00CE4558"/>
    <w:rsid w:val="00CE79A5"/>
    <w:rsid w:val="00CF0042"/>
    <w:rsid w:val="00CF262F"/>
    <w:rsid w:val="00D025D5"/>
    <w:rsid w:val="00D079F9"/>
    <w:rsid w:val="00D110C8"/>
    <w:rsid w:val="00D26325"/>
    <w:rsid w:val="00D26B13"/>
    <w:rsid w:val="00D26CC1"/>
    <w:rsid w:val="00D30662"/>
    <w:rsid w:val="00D32A0B"/>
    <w:rsid w:val="00D35DC0"/>
    <w:rsid w:val="00D6236B"/>
    <w:rsid w:val="00D809D1"/>
    <w:rsid w:val="00D84ECF"/>
    <w:rsid w:val="00D95451"/>
    <w:rsid w:val="00DA2851"/>
    <w:rsid w:val="00DA2B7C"/>
    <w:rsid w:val="00DA5686"/>
    <w:rsid w:val="00DB2FC0"/>
    <w:rsid w:val="00DE5938"/>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85A8D"/>
    <w:rsid w:val="00E86E93"/>
    <w:rsid w:val="00E907E9"/>
    <w:rsid w:val="00E96BE7"/>
    <w:rsid w:val="00EA2CD0"/>
    <w:rsid w:val="00EB7A9F"/>
    <w:rsid w:val="00EC0044"/>
    <w:rsid w:val="00EC6B9F"/>
    <w:rsid w:val="00EE516D"/>
    <w:rsid w:val="00EF4D1B"/>
    <w:rsid w:val="00EF7295"/>
    <w:rsid w:val="00F069D1"/>
    <w:rsid w:val="00F11711"/>
    <w:rsid w:val="00F1503D"/>
    <w:rsid w:val="00F22712"/>
    <w:rsid w:val="00F275F5"/>
    <w:rsid w:val="00F33188"/>
    <w:rsid w:val="00F35BDE"/>
    <w:rsid w:val="00F52A0E"/>
    <w:rsid w:val="00F6304E"/>
    <w:rsid w:val="00F71F63"/>
    <w:rsid w:val="00F87506"/>
    <w:rsid w:val="00F92C41"/>
    <w:rsid w:val="00FA5522"/>
    <w:rsid w:val="00FA6E4A"/>
    <w:rsid w:val="00FA6F77"/>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single space,FOOTNOTES,fn,Footnote Text Char Char,Footnote Text Char2 Char Char,Footnote Text Char1 Char Char Char,Footnote Text Char Char Char Char Char,Footnote Text Char Char1 Char Char Char,EUMC_Lábjegyzetszöveg + 13 pt,Félköv"/>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single space Char,FOOTNOTES Char,fn Char,Footnote Text Char Char Char,Footnote Text Char2 Char Char Char,Footnote Text Char1 Char Char Char Char,Footnote Text Char Char Char Char Char Char,Félköv Char"/>
    <w:link w:val="FootnoteText"/>
    <w:locked/>
    <w:rsid w:val="00D26325"/>
    <w:rPr>
      <w:spacing w:val="5"/>
      <w:w w:val="104"/>
      <w:kern w:val="14"/>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logib-d.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10859</Words>
  <Characters>71429</Characters>
  <Application>Microsoft Office Outlook</Application>
  <DocSecurity>4</DocSecurity>
  <Lines>1386</Lines>
  <Paragraphs>279</Paragraphs>
  <ScaleCrop>false</ScaleCrop>
  <HeadingPairs>
    <vt:vector size="2" baseType="variant">
      <vt:variant>
        <vt:lpstr>Название</vt:lpstr>
      </vt:variant>
      <vt:variant>
        <vt:i4>1</vt:i4>
      </vt:variant>
    </vt:vector>
  </HeadingPairs>
  <TitlesOfParts>
    <vt:vector size="1" baseType="lpstr">
      <vt:lpstr>45305</vt:lpstr>
    </vt:vector>
  </TitlesOfParts>
  <Company>CSD</Company>
  <LinksUpToDate>false</LinksUpToDate>
  <CharactersWithSpaces>82153</CharactersWithSpaces>
  <SharedDoc>false</SharedDoc>
  <HLinks>
    <vt:vector size="6" baseType="variant">
      <vt:variant>
        <vt:i4>7143472</vt:i4>
      </vt:variant>
      <vt:variant>
        <vt:i4>16</vt:i4>
      </vt:variant>
      <vt:variant>
        <vt:i4>0</vt:i4>
      </vt:variant>
      <vt:variant>
        <vt:i4>5</vt:i4>
      </vt:variant>
      <vt:variant>
        <vt:lpwstr>http://www.logib-d.de/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45305</dc:title>
  <dc:subject/>
  <dc:creator>Anna Kisseleva</dc:creator>
  <cp:keywords/>
  <dc:description/>
  <cp:lastModifiedBy>Anna Kisseleva</cp:lastModifiedBy>
  <cp:revision>2</cp:revision>
  <cp:lastPrinted>2011-11-15T07:44:00Z</cp:lastPrinted>
  <dcterms:created xsi:type="dcterms:W3CDTF">2011-11-15T07:44:00Z</dcterms:created>
  <dcterms:modified xsi:type="dcterms:W3CDTF">2011-11-15T07:44:00Z</dcterms:modified>
</cp:coreProperties>
</file>