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E4" w:rsidRPr="0038237D" w:rsidRDefault="00F846E4" w:rsidP="00F846E4">
      <w:pPr>
        <w:spacing w:line="240" w:lineRule="auto"/>
        <w:rPr>
          <w:sz w:val="6"/>
        </w:rPr>
        <w:sectPr w:rsidR="00F846E4" w:rsidRPr="0038237D" w:rsidSect="002927B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38237D">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2;mso-position-horizontal-relative:page;mso-position-vertical-relative:page" o:preferrelative="f" filled="t">
            <v:imagedata r:id="rId13" o:title="8&amp;Size =1&amp;Lang = S"/>
            <w10:wrap anchorx="page" anchory="page"/>
          </v:shape>
        </w:pict>
      </w:r>
      <w:commentRangeEnd w:id="0"/>
      <w:r w:rsidRPr="0038237D">
        <w:rPr>
          <w:rStyle w:val="CommentReference"/>
        </w:rPr>
        <w:commentReference w:id="0"/>
      </w:r>
    </w:p>
    <w:p w:rsidR="0038237D" w:rsidRDefault="0038237D" w:rsidP="003823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w w:val="100"/>
          <w:lang w:eastAsia="es-ES"/>
        </w:rPr>
      </w:pPr>
      <w:r w:rsidRPr="00EA0AB9">
        <w:rPr>
          <w:w w:val="100"/>
          <w:lang w:eastAsia="es-ES"/>
        </w:rPr>
        <w:t xml:space="preserve">Comité para la Eliminación de la Discriminación </w:t>
      </w:r>
      <w:r>
        <w:rPr>
          <w:w w:val="100"/>
          <w:lang w:eastAsia="es-ES"/>
        </w:rPr>
        <w:br/>
      </w:r>
      <w:r w:rsidRPr="00EA0AB9">
        <w:rPr>
          <w:w w:val="100"/>
          <w:lang w:eastAsia="es-ES"/>
        </w:rPr>
        <w:t xml:space="preserve">contra la Mujer </w:t>
      </w:r>
    </w:p>
    <w:p w:rsidR="0038237D" w:rsidRPr="0038237D" w:rsidRDefault="0038237D" w:rsidP="0038237D">
      <w:pPr>
        <w:spacing w:line="120" w:lineRule="exact"/>
        <w:rPr>
          <w:sz w:val="10"/>
          <w:lang w:eastAsia="es-ES"/>
        </w:rPr>
      </w:pPr>
    </w:p>
    <w:p w:rsidR="0038237D" w:rsidRPr="0038237D" w:rsidRDefault="0038237D" w:rsidP="0038237D">
      <w:pPr>
        <w:spacing w:line="120" w:lineRule="exact"/>
        <w:rPr>
          <w:sz w:val="10"/>
          <w:lang w:eastAsia="es-ES"/>
        </w:rPr>
      </w:pPr>
    </w:p>
    <w:p w:rsidR="0038237D" w:rsidRPr="0038237D" w:rsidRDefault="0038237D" w:rsidP="0038237D">
      <w:pPr>
        <w:spacing w:line="120" w:lineRule="exact"/>
        <w:rPr>
          <w:sz w:val="10"/>
          <w:lang w:eastAsia="es-ES"/>
        </w:rPr>
      </w:pPr>
    </w:p>
    <w:p w:rsidR="0038237D" w:rsidRDefault="0038237D" w:rsidP="003823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77" w:hanging="1267"/>
        <w:rPr>
          <w:lang w:val="es-ES_tradnl"/>
        </w:rPr>
      </w:pPr>
      <w:r w:rsidRPr="00EA0AB9">
        <w:rPr>
          <w:lang w:val="es-ES_tradnl"/>
        </w:rPr>
        <w:tab/>
      </w:r>
      <w:r w:rsidRPr="00EA0AB9">
        <w:rPr>
          <w:lang w:val="es-ES_tradnl"/>
        </w:rPr>
        <w:tab/>
        <w:t xml:space="preserve">Examen de los informes presentados por los Estados partes </w:t>
      </w:r>
      <w:r>
        <w:rPr>
          <w:lang w:val="es-ES_tradnl"/>
        </w:rPr>
        <w:t>en virtud del</w:t>
      </w:r>
      <w:r w:rsidRPr="00EA0AB9">
        <w:rPr>
          <w:lang w:val="es-ES_tradnl"/>
        </w:rPr>
        <w:t xml:space="preserve"> artículo 18 de la</w:t>
      </w:r>
      <w:r>
        <w:rPr>
          <w:lang w:val="es-ES_tradnl"/>
        </w:rPr>
        <w:t> Convención</w:t>
      </w:r>
    </w:p>
    <w:p w:rsidR="0038237D" w:rsidRPr="0038237D" w:rsidRDefault="0038237D" w:rsidP="0038237D">
      <w:pPr>
        <w:spacing w:line="120" w:lineRule="exact"/>
        <w:rPr>
          <w:sz w:val="10"/>
          <w:lang w:val="es-ES_tradnl"/>
        </w:rPr>
      </w:pPr>
    </w:p>
    <w:p w:rsidR="0038237D" w:rsidRPr="0038237D" w:rsidRDefault="0038237D" w:rsidP="0038237D">
      <w:pPr>
        <w:spacing w:line="120" w:lineRule="exact"/>
        <w:rPr>
          <w:sz w:val="10"/>
          <w:lang w:val="es-ES_tradnl"/>
        </w:rPr>
      </w:pPr>
    </w:p>
    <w:p w:rsidR="0038237D" w:rsidRDefault="0038237D" w:rsidP="003823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87" w:hanging="1267"/>
        <w:rPr>
          <w:lang w:val="es-ES_tradnl"/>
        </w:rPr>
      </w:pPr>
      <w:r w:rsidRPr="00EA0AB9">
        <w:rPr>
          <w:lang w:val="es-ES_tradnl"/>
        </w:rPr>
        <w:tab/>
      </w:r>
      <w:r>
        <w:rPr>
          <w:lang w:val="es-ES_tradnl"/>
        </w:rPr>
        <w:tab/>
      </w:r>
      <w:r w:rsidRPr="00EA0AB9">
        <w:rPr>
          <w:lang w:val="es-ES_tradnl"/>
        </w:rPr>
        <w:t xml:space="preserve">Octavo informe periódico que los Estados partes debían presentar en 2013 </w:t>
      </w:r>
    </w:p>
    <w:p w:rsidR="0038237D" w:rsidRPr="0038237D" w:rsidRDefault="0038237D" w:rsidP="0038237D">
      <w:pPr>
        <w:spacing w:line="120" w:lineRule="exact"/>
        <w:rPr>
          <w:sz w:val="10"/>
          <w:lang w:val="es-ES_tradnl"/>
        </w:rPr>
      </w:pPr>
    </w:p>
    <w:p w:rsidR="0038237D" w:rsidRPr="0038237D" w:rsidRDefault="0038237D" w:rsidP="0038237D">
      <w:pPr>
        <w:spacing w:line="120" w:lineRule="exact"/>
        <w:rPr>
          <w:sz w:val="10"/>
          <w:lang w:val="es-ES_tradnl"/>
        </w:rPr>
      </w:pPr>
    </w:p>
    <w:p w:rsidR="0038237D" w:rsidRPr="0038237D" w:rsidRDefault="0038237D" w:rsidP="0038237D">
      <w:pPr>
        <w:framePr w:w="9792" w:h="432" w:hSpace="180" w:wrap="around" w:hAnchor="page" w:x="1210" w:yAlign="bottom"/>
        <w:spacing w:line="240" w:lineRule="auto"/>
        <w:rPr>
          <w:sz w:val="10"/>
        </w:rPr>
      </w:pPr>
    </w:p>
    <w:p w:rsidR="0038237D" w:rsidRPr="0038237D" w:rsidRDefault="0038237D" w:rsidP="0038237D">
      <w:pPr>
        <w:framePr w:w="9792" w:h="432" w:hSpace="180" w:wrap="around" w:hAnchor="page" w:x="1210" w:yAlign="bottom"/>
        <w:spacing w:line="240" w:lineRule="auto"/>
        <w:rPr>
          <w:sz w:val="6"/>
        </w:rPr>
      </w:pPr>
      <w:r w:rsidRPr="0038237D">
        <w:rPr>
          <w:noProof/>
          <w:w w:val="100"/>
          <w:sz w:val="6"/>
          <w:lang w:val="en-US"/>
        </w:rPr>
        <w:pict>
          <v:line id="_x0000_s1063" style="position:absolute;z-index:3;mso-position-horizontal-relative:page" from="108pt,-1pt" to="180pt,-1pt" strokeweight=".25pt">
            <w10:wrap anchorx="page"/>
          </v:line>
        </w:pict>
      </w:r>
    </w:p>
    <w:p w:rsidR="0038237D" w:rsidRPr="00B62D2B" w:rsidRDefault="0038237D" w:rsidP="0038237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17"/>
        </w:rPr>
      </w:pPr>
      <w:r>
        <w:rPr>
          <w:sz w:val="17"/>
        </w:rPr>
        <w:tab/>
      </w:r>
      <w:r w:rsidRPr="00B62D2B">
        <w:rPr>
          <w:spacing w:val="5"/>
          <w:w w:val="104"/>
          <w:sz w:val="17"/>
          <w:szCs w:val="17"/>
        </w:rPr>
        <w:t>*</w:t>
      </w:r>
      <w:r w:rsidRPr="00B62D2B">
        <w:rPr>
          <w:spacing w:val="5"/>
          <w:w w:val="104"/>
          <w:sz w:val="17"/>
          <w:szCs w:val="17"/>
        </w:rPr>
        <w:tab/>
        <w:t>El presente documento</w:t>
      </w:r>
      <w:r w:rsidRPr="00B62D2B">
        <w:rPr>
          <w:color w:val="00B0F0"/>
          <w:spacing w:val="5"/>
          <w:w w:val="104"/>
          <w:sz w:val="17"/>
          <w:szCs w:val="17"/>
        </w:rPr>
        <w:t xml:space="preserve"> </w:t>
      </w:r>
      <w:r w:rsidRPr="00B62D2B">
        <w:rPr>
          <w:spacing w:val="5"/>
          <w:w w:val="104"/>
          <w:sz w:val="17"/>
          <w:szCs w:val="17"/>
        </w:rPr>
        <w:t>se publica sin revisión editorial.</w:t>
      </w:r>
    </w:p>
    <w:p w:rsidR="0038237D" w:rsidRPr="00EA0AB9" w:rsidRDefault="0038237D" w:rsidP="003823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A0AB9">
        <w:rPr>
          <w:lang w:val="es-ES_tradnl"/>
        </w:rPr>
        <w:tab/>
      </w:r>
      <w:r w:rsidRPr="00EA0AB9">
        <w:rPr>
          <w:lang w:val="es-ES_tradnl"/>
        </w:rPr>
        <w:tab/>
        <w:t>Dinamarca</w:t>
      </w:r>
      <w:r w:rsidRPr="0038237D">
        <w:rPr>
          <w:b w:val="0"/>
          <w:sz w:val="20"/>
          <w:lang w:val="es-ES_tradnl"/>
        </w:rPr>
        <w:t>*</w:t>
      </w:r>
    </w:p>
    <w:p w:rsidR="0038237D" w:rsidRPr="00EA0AB9" w:rsidRDefault="0038237D" w:rsidP="0038237D">
      <w:pPr>
        <w:jc w:val="right"/>
        <w:rPr>
          <w:lang w:val="es-ES_tradnl"/>
        </w:rPr>
      </w:pPr>
    </w:p>
    <w:p w:rsidR="0038237D" w:rsidRPr="00EA0AB9" w:rsidRDefault="0038237D" w:rsidP="0038237D">
      <w:pPr>
        <w:spacing w:after="120"/>
        <w:jc w:val="right"/>
        <w:rPr>
          <w:szCs w:val="24"/>
          <w:lang w:val="es-ES_tradnl"/>
        </w:rPr>
      </w:pPr>
      <w:r w:rsidRPr="00EA0AB9">
        <w:rPr>
          <w:szCs w:val="24"/>
          <w:lang w:val="es-ES_tradnl"/>
        </w:rPr>
        <w:t xml:space="preserve">[Fecha </w:t>
      </w:r>
      <w:r>
        <w:rPr>
          <w:szCs w:val="24"/>
          <w:lang w:val="es-ES_tradnl"/>
        </w:rPr>
        <w:t>de recepción</w:t>
      </w:r>
      <w:r w:rsidRPr="00EA0AB9">
        <w:rPr>
          <w:szCs w:val="24"/>
          <w:lang w:val="es-ES_tradnl"/>
        </w:rPr>
        <w:t>: 1 de julio de 2013]</w:t>
      </w:r>
    </w:p>
    <w:p w:rsidR="00FB6061" w:rsidRPr="00FB6061" w:rsidRDefault="0038237D" w:rsidP="00FB6061">
      <w:pPr>
        <w:pStyle w:val="HCh"/>
        <w:spacing w:after="120"/>
      </w:pPr>
      <w:r w:rsidRPr="0012653B">
        <w:rPr>
          <w:lang w:val="es-ES_tradnl"/>
        </w:rPr>
        <w:br w:type="page"/>
      </w:r>
      <w:bookmarkStart w:id="1" w:name="_Toc348513704"/>
      <w:bookmarkStart w:id="2" w:name="_Toc360096809"/>
      <w:bookmarkStart w:id="3" w:name="_Toc199929032"/>
      <w:bookmarkStart w:id="4" w:name="_Toc348513703"/>
      <w:bookmarkStart w:id="5" w:name="_Toc360096808"/>
      <w:r w:rsidR="00FB6061" w:rsidRPr="00FB6061">
        <w:t>Índice</w:t>
      </w:r>
    </w:p>
    <w:tbl>
      <w:tblPr>
        <w:tblW w:w="9902" w:type="dxa"/>
        <w:tblLayout w:type="fixed"/>
        <w:tblCellMar>
          <w:left w:w="0" w:type="dxa"/>
          <w:right w:w="0" w:type="dxa"/>
        </w:tblCellMar>
        <w:tblLook w:val="0000"/>
      </w:tblPr>
      <w:tblGrid>
        <w:gridCol w:w="1060"/>
        <w:gridCol w:w="7056"/>
        <w:gridCol w:w="994"/>
        <w:gridCol w:w="792"/>
      </w:tblGrid>
      <w:tr w:rsidR="00FB6061" w:rsidRPr="000C2BB3" w:rsidTr="00745E63">
        <w:tblPrEx>
          <w:tblCellMar>
            <w:top w:w="0" w:type="dxa"/>
            <w:bottom w:w="0" w:type="dxa"/>
          </w:tblCellMar>
        </w:tblPrEx>
        <w:tc>
          <w:tcPr>
            <w:tcW w:w="1060" w:type="dxa"/>
            <w:shd w:val="clear" w:color="auto" w:fill="auto"/>
          </w:tcPr>
          <w:p w:rsidR="00FB6061" w:rsidRPr="000C2BB3" w:rsidRDefault="00FB6061" w:rsidP="00745E63">
            <w:pPr>
              <w:spacing w:after="120" w:line="240" w:lineRule="auto"/>
              <w:jc w:val="right"/>
              <w:rPr>
                <w:i/>
                <w:sz w:val="14"/>
              </w:rPr>
            </w:pPr>
          </w:p>
        </w:tc>
        <w:tc>
          <w:tcPr>
            <w:tcW w:w="7056" w:type="dxa"/>
            <w:shd w:val="clear" w:color="auto" w:fill="auto"/>
          </w:tcPr>
          <w:p w:rsidR="00FB6061" w:rsidRPr="000C2BB3" w:rsidRDefault="00FB6061" w:rsidP="00745E63">
            <w:pPr>
              <w:spacing w:after="120" w:line="240" w:lineRule="auto"/>
              <w:rPr>
                <w:i/>
                <w:sz w:val="14"/>
              </w:rPr>
            </w:pPr>
          </w:p>
        </w:tc>
        <w:tc>
          <w:tcPr>
            <w:tcW w:w="994" w:type="dxa"/>
            <w:shd w:val="clear" w:color="auto" w:fill="auto"/>
          </w:tcPr>
          <w:p w:rsidR="00FB6061" w:rsidRPr="000C2BB3" w:rsidRDefault="00FB6061" w:rsidP="00745E63">
            <w:pPr>
              <w:spacing w:after="120" w:line="240" w:lineRule="auto"/>
              <w:jc w:val="right"/>
              <w:rPr>
                <w:i/>
                <w:sz w:val="14"/>
              </w:rPr>
            </w:pPr>
          </w:p>
        </w:tc>
        <w:tc>
          <w:tcPr>
            <w:tcW w:w="792" w:type="dxa"/>
            <w:shd w:val="clear" w:color="auto" w:fill="auto"/>
          </w:tcPr>
          <w:p w:rsidR="00FB6061" w:rsidRPr="000C2BB3" w:rsidRDefault="00FB6061" w:rsidP="00745E63">
            <w:pPr>
              <w:spacing w:after="120" w:line="240" w:lineRule="auto"/>
              <w:jc w:val="right"/>
              <w:rPr>
                <w:i/>
                <w:sz w:val="14"/>
              </w:rPr>
            </w:pPr>
            <w:r>
              <w:rPr>
                <w:i/>
                <w:sz w:val="14"/>
              </w:rPr>
              <w:t>Página</w:t>
            </w:r>
          </w:p>
        </w:tc>
      </w:tr>
      <w:tr w:rsidR="00FB6061" w:rsidRPr="000C2BB3" w:rsidTr="00FB6061">
        <w:tblPrEx>
          <w:tblCellMar>
            <w:top w:w="0" w:type="dxa"/>
            <w:bottom w:w="0" w:type="dxa"/>
          </w:tblCellMar>
        </w:tblPrEx>
        <w:tc>
          <w:tcPr>
            <w:tcW w:w="9110" w:type="dxa"/>
            <w:gridSpan w:val="3"/>
            <w:shd w:val="clear" w:color="auto" w:fill="auto"/>
          </w:tcPr>
          <w:p w:rsidR="00FB6061" w:rsidRPr="00346468" w:rsidRDefault="00C90CF0" w:rsidP="00346468">
            <w:pPr>
              <w:tabs>
                <w:tab w:val="right" w:pos="1080"/>
                <w:tab w:val="left" w:pos="1300"/>
                <w:tab w:val="right" w:leader="dot" w:pos="9245"/>
              </w:tabs>
              <w:spacing w:after="120"/>
              <w:ind w:left="475"/>
              <w:rPr>
                <w:spacing w:val="60"/>
                <w:sz w:val="17"/>
              </w:rPr>
            </w:pPr>
            <w:r>
              <w:t>Introducción</w:t>
            </w:r>
            <w:r w:rsidR="00346468">
              <w:rPr>
                <w:spacing w:val="60"/>
                <w:sz w:val="17"/>
              </w:rPr>
              <w:tab/>
            </w:r>
          </w:p>
        </w:tc>
        <w:tc>
          <w:tcPr>
            <w:tcW w:w="792" w:type="dxa"/>
            <w:shd w:val="clear" w:color="auto" w:fill="auto"/>
            <w:vAlign w:val="bottom"/>
          </w:tcPr>
          <w:p w:rsidR="00FB6061" w:rsidRPr="000C2BB3" w:rsidRDefault="00D247E6" w:rsidP="00FB6061">
            <w:pPr>
              <w:spacing w:after="120"/>
              <w:jc w:val="right"/>
            </w:pPr>
            <w:r>
              <w:t>5</w:t>
            </w:r>
          </w:p>
        </w:tc>
      </w:tr>
      <w:tr w:rsidR="00FB6061" w:rsidRPr="000C2BB3" w:rsidTr="00FB6061">
        <w:tblPrEx>
          <w:tblCellMar>
            <w:top w:w="0" w:type="dxa"/>
            <w:bottom w:w="0" w:type="dxa"/>
          </w:tblCellMar>
        </w:tblPrEx>
        <w:tc>
          <w:tcPr>
            <w:tcW w:w="9110" w:type="dxa"/>
            <w:gridSpan w:val="3"/>
            <w:shd w:val="clear" w:color="auto" w:fill="auto"/>
          </w:tcPr>
          <w:p w:rsidR="00FB6061" w:rsidRPr="00346468" w:rsidRDefault="00FB6061" w:rsidP="00346468">
            <w:pPr>
              <w:tabs>
                <w:tab w:val="right" w:pos="1080"/>
                <w:tab w:val="left" w:pos="1300"/>
                <w:tab w:val="left" w:pos="1740"/>
                <w:tab w:val="left" w:pos="2180"/>
                <w:tab w:val="left" w:pos="2620"/>
                <w:tab w:val="left" w:pos="3060"/>
                <w:tab w:val="left" w:pos="3500"/>
                <w:tab w:val="right" w:leader="dot" w:pos="9245"/>
              </w:tabs>
              <w:spacing w:after="120"/>
              <w:ind w:left="1425"/>
              <w:rPr>
                <w:spacing w:val="60"/>
                <w:sz w:val="17"/>
              </w:rPr>
            </w:pPr>
            <w:r>
              <w:t>Groenlandia y las Islas Feroe</w:t>
            </w:r>
            <w:r w:rsidR="00346468">
              <w:rPr>
                <w:spacing w:val="60"/>
                <w:sz w:val="17"/>
              </w:rPr>
              <w:tab/>
            </w:r>
          </w:p>
        </w:tc>
        <w:tc>
          <w:tcPr>
            <w:tcW w:w="792" w:type="dxa"/>
            <w:shd w:val="clear" w:color="auto" w:fill="auto"/>
            <w:vAlign w:val="bottom"/>
          </w:tcPr>
          <w:p w:rsidR="00FB6061" w:rsidRPr="000C2BB3" w:rsidRDefault="00D247E6" w:rsidP="00FB6061">
            <w:pPr>
              <w:spacing w:after="120"/>
              <w:jc w:val="right"/>
            </w:pPr>
            <w:r>
              <w:t>5</w:t>
            </w:r>
          </w:p>
        </w:tc>
      </w:tr>
      <w:tr w:rsidR="00FB6061" w:rsidRPr="000C2BB3" w:rsidTr="00FB6061">
        <w:tblPrEx>
          <w:tblCellMar>
            <w:top w:w="0" w:type="dxa"/>
            <w:bottom w:w="0" w:type="dxa"/>
          </w:tblCellMar>
        </w:tblPrEx>
        <w:tc>
          <w:tcPr>
            <w:tcW w:w="9110" w:type="dxa"/>
            <w:gridSpan w:val="3"/>
            <w:shd w:val="clear" w:color="auto" w:fill="auto"/>
          </w:tcPr>
          <w:p w:rsidR="00FB6061" w:rsidRPr="00346468" w:rsidRDefault="00FB6061" w:rsidP="00346468">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475"/>
              <w:rPr>
                <w:spacing w:val="60"/>
                <w:sz w:val="17"/>
              </w:rPr>
            </w:pPr>
            <w:r w:rsidRPr="00EA0AB9">
              <w:t>Capítulo 1: Marco de la labor de promoción de la igualdad</w:t>
            </w:r>
            <w:r w:rsidR="00346468">
              <w:rPr>
                <w:spacing w:val="60"/>
                <w:sz w:val="17"/>
              </w:rPr>
              <w:tab/>
            </w:r>
          </w:p>
        </w:tc>
        <w:tc>
          <w:tcPr>
            <w:tcW w:w="792" w:type="dxa"/>
            <w:shd w:val="clear" w:color="auto" w:fill="auto"/>
            <w:vAlign w:val="bottom"/>
          </w:tcPr>
          <w:p w:rsidR="00FB6061" w:rsidRDefault="00D247E6" w:rsidP="00FB6061">
            <w:pPr>
              <w:spacing w:after="120"/>
              <w:jc w:val="right"/>
            </w:pPr>
            <w:r>
              <w:t>5</w:t>
            </w:r>
          </w:p>
        </w:tc>
      </w:tr>
      <w:tr w:rsidR="00FB6061" w:rsidRPr="000C2BB3" w:rsidTr="00FB6061">
        <w:tblPrEx>
          <w:tblCellMar>
            <w:top w:w="0" w:type="dxa"/>
            <w:bottom w:w="0" w:type="dxa"/>
          </w:tblCellMar>
        </w:tblPrEx>
        <w:tc>
          <w:tcPr>
            <w:tcW w:w="9110" w:type="dxa"/>
            <w:gridSpan w:val="3"/>
            <w:shd w:val="clear" w:color="auto" w:fill="auto"/>
          </w:tcPr>
          <w:p w:rsidR="00FB6061" w:rsidRPr="00346468" w:rsidRDefault="00C6275D" w:rsidP="00346468">
            <w:pPr>
              <w:tabs>
                <w:tab w:val="right" w:pos="1080"/>
                <w:tab w:val="left" w:pos="1300"/>
                <w:tab w:val="left" w:pos="1740"/>
                <w:tab w:val="left" w:pos="2180"/>
                <w:tab w:val="left" w:pos="2620"/>
                <w:tab w:val="right" w:leader="dot" w:pos="9245"/>
              </w:tabs>
              <w:spacing w:after="120"/>
              <w:ind w:left="950"/>
              <w:rPr>
                <w:spacing w:val="60"/>
                <w:sz w:val="17"/>
              </w:rPr>
            </w:pPr>
            <w:r w:rsidRPr="000739A7">
              <w:t>Artículo 1: Fundamento</w:t>
            </w:r>
            <w:r w:rsidR="00346468">
              <w:rPr>
                <w:spacing w:val="60"/>
                <w:sz w:val="17"/>
              </w:rPr>
              <w:tab/>
            </w:r>
          </w:p>
        </w:tc>
        <w:tc>
          <w:tcPr>
            <w:tcW w:w="792" w:type="dxa"/>
            <w:shd w:val="clear" w:color="auto" w:fill="auto"/>
            <w:vAlign w:val="bottom"/>
          </w:tcPr>
          <w:p w:rsidR="00FB6061" w:rsidRDefault="00323D21" w:rsidP="00FB6061">
            <w:pPr>
              <w:spacing w:after="120"/>
              <w:jc w:val="right"/>
            </w:pPr>
            <w:r>
              <w:t>5</w:t>
            </w:r>
          </w:p>
        </w:tc>
      </w:tr>
      <w:tr w:rsidR="00346468" w:rsidRPr="000C2BB3" w:rsidTr="00FB6061">
        <w:tblPrEx>
          <w:tblCellMar>
            <w:top w:w="0" w:type="dxa"/>
            <w:bottom w:w="0" w:type="dxa"/>
          </w:tblCellMar>
        </w:tblPrEx>
        <w:tc>
          <w:tcPr>
            <w:tcW w:w="9110" w:type="dxa"/>
            <w:gridSpan w:val="3"/>
            <w:shd w:val="clear" w:color="auto" w:fill="auto"/>
          </w:tcPr>
          <w:p w:rsidR="00346468" w:rsidRPr="00346468" w:rsidRDefault="00346468" w:rsidP="00346468">
            <w:pPr>
              <w:tabs>
                <w:tab w:val="right" w:pos="1080"/>
                <w:tab w:val="left" w:pos="1300"/>
                <w:tab w:val="left" w:pos="1740"/>
                <w:tab w:val="left" w:pos="2180"/>
                <w:tab w:val="left" w:pos="2620"/>
                <w:tab w:val="left" w:pos="3060"/>
                <w:tab w:val="left" w:pos="3500"/>
                <w:tab w:val="left" w:pos="3940"/>
                <w:tab w:val="right" w:leader="dot" w:pos="9245"/>
              </w:tabs>
              <w:spacing w:after="120"/>
              <w:ind w:left="950"/>
              <w:rPr>
                <w:spacing w:val="60"/>
                <w:sz w:val="17"/>
              </w:rPr>
            </w:pPr>
            <w:r w:rsidRPr="000739A7">
              <w:t>Artículo 2: Constitución y legislación</w:t>
            </w:r>
            <w:r>
              <w:rPr>
                <w:spacing w:val="60"/>
                <w:sz w:val="17"/>
              </w:rPr>
              <w:tab/>
            </w:r>
          </w:p>
        </w:tc>
        <w:tc>
          <w:tcPr>
            <w:tcW w:w="792" w:type="dxa"/>
            <w:shd w:val="clear" w:color="auto" w:fill="auto"/>
            <w:vAlign w:val="bottom"/>
          </w:tcPr>
          <w:p w:rsidR="00346468" w:rsidRDefault="00D247E6" w:rsidP="00FB6061">
            <w:pPr>
              <w:spacing w:after="120"/>
              <w:jc w:val="right"/>
            </w:pPr>
            <w:r>
              <w:t>6</w:t>
            </w:r>
          </w:p>
        </w:tc>
      </w:tr>
      <w:tr w:rsidR="00346468" w:rsidRPr="000C2BB3" w:rsidTr="00FB6061">
        <w:tblPrEx>
          <w:tblCellMar>
            <w:top w:w="0" w:type="dxa"/>
            <w:bottom w:w="0" w:type="dxa"/>
          </w:tblCellMar>
        </w:tblPrEx>
        <w:tc>
          <w:tcPr>
            <w:tcW w:w="9110" w:type="dxa"/>
            <w:gridSpan w:val="3"/>
            <w:shd w:val="clear" w:color="auto" w:fill="auto"/>
          </w:tcPr>
          <w:p w:rsidR="00346468" w:rsidRPr="00346468" w:rsidRDefault="00346468" w:rsidP="00346468">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ind w:left="950"/>
              <w:rPr>
                <w:spacing w:val="60"/>
                <w:sz w:val="17"/>
              </w:rPr>
            </w:pPr>
            <w:r w:rsidRPr="000739A7">
              <w:t>Artículo 3: Derechos humanos básicos y libertades fundamentales</w:t>
            </w:r>
            <w:r>
              <w:rPr>
                <w:spacing w:val="60"/>
                <w:sz w:val="17"/>
              </w:rPr>
              <w:tab/>
            </w:r>
          </w:p>
        </w:tc>
        <w:tc>
          <w:tcPr>
            <w:tcW w:w="792" w:type="dxa"/>
            <w:shd w:val="clear" w:color="auto" w:fill="auto"/>
            <w:vAlign w:val="bottom"/>
          </w:tcPr>
          <w:p w:rsidR="00346468" w:rsidRDefault="00D247E6" w:rsidP="00FB6061">
            <w:pPr>
              <w:spacing w:after="120"/>
              <w:jc w:val="right"/>
            </w:pPr>
            <w:r>
              <w:t>6</w:t>
            </w:r>
          </w:p>
        </w:tc>
      </w:tr>
      <w:tr w:rsidR="00346468" w:rsidRPr="000C2BB3" w:rsidTr="00FB6061">
        <w:tblPrEx>
          <w:tblCellMar>
            <w:top w:w="0" w:type="dxa"/>
            <w:bottom w:w="0" w:type="dxa"/>
          </w:tblCellMar>
        </w:tblPrEx>
        <w:tc>
          <w:tcPr>
            <w:tcW w:w="9110" w:type="dxa"/>
            <w:gridSpan w:val="3"/>
            <w:shd w:val="clear" w:color="auto" w:fill="auto"/>
          </w:tcPr>
          <w:p w:rsidR="00346468" w:rsidRPr="00346468" w:rsidRDefault="00346468" w:rsidP="00346468">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300"/>
              <w:rPr>
                <w:spacing w:val="60"/>
                <w:sz w:val="17"/>
              </w:rPr>
            </w:pPr>
            <w:r w:rsidRPr="00EA0AB9">
              <w:rPr>
                <w:lang w:val="es-ES_tradnl"/>
              </w:rPr>
              <w:t>Igualdad entre los géneros en el sector público</w:t>
            </w:r>
            <w:r>
              <w:rPr>
                <w:spacing w:val="60"/>
                <w:sz w:val="17"/>
                <w:lang w:val="es-ES_tradnl"/>
              </w:rPr>
              <w:tab/>
            </w:r>
            <w:r>
              <w:rPr>
                <w:spacing w:val="60"/>
                <w:sz w:val="17"/>
                <w:lang w:val="es-ES_tradnl"/>
              </w:rPr>
              <w:tab/>
            </w:r>
          </w:p>
        </w:tc>
        <w:tc>
          <w:tcPr>
            <w:tcW w:w="792" w:type="dxa"/>
            <w:shd w:val="clear" w:color="auto" w:fill="auto"/>
            <w:vAlign w:val="bottom"/>
          </w:tcPr>
          <w:p w:rsidR="00346468" w:rsidRDefault="00D247E6" w:rsidP="00FB6061">
            <w:pPr>
              <w:spacing w:after="120"/>
              <w:jc w:val="right"/>
            </w:pPr>
            <w:r>
              <w:t>8</w:t>
            </w:r>
          </w:p>
        </w:tc>
      </w:tr>
      <w:tr w:rsidR="00346468" w:rsidRPr="000C2BB3" w:rsidTr="00FB6061">
        <w:tblPrEx>
          <w:tblCellMar>
            <w:top w:w="0" w:type="dxa"/>
            <w:bottom w:w="0" w:type="dxa"/>
          </w:tblCellMar>
        </w:tblPrEx>
        <w:tc>
          <w:tcPr>
            <w:tcW w:w="9110" w:type="dxa"/>
            <w:gridSpan w:val="3"/>
            <w:shd w:val="clear" w:color="auto" w:fill="auto"/>
          </w:tcPr>
          <w:p w:rsidR="00346468" w:rsidRPr="00346468" w:rsidRDefault="00346468" w:rsidP="00346468">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950"/>
              <w:rPr>
                <w:spacing w:val="60"/>
                <w:sz w:val="17"/>
              </w:rPr>
            </w:pPr>
            <w:r w:rsidRPr="000739A7">
              <w:t>Artículo 4: Órganos para la igualdad y medidas especiales</w:t>
            </w:r>
            <w:r>
              <w:rPr>
                <w:spacing w:val="60"/>
                <w:sz w:val="17"/>
              </w:rPr>
              <w:tab/>
            </w:r>
          </w:p>
        </w:tc>
        <w:tc>
          <w:tcPr>
            <w:tcW w:w="792" w:type="dxa"/>
            <w:shd w:val="clear" w:color="auto" w:fill="auto"/>
            <w:vAlign w:val="bottom"/>
          </w:tcPr>
          <w:p w:rsidR="00346468" w:rsidRDefault="00D247E6" w:rsidP="00FB6061">
            <w:pPr>
              <w:spacing w:after="120"/>
              <w:jc w:val="right"/>
            </w:pPr>
            <w:r>
              <w:t>8</w:t>
            </w:r>
          </w:p>
        </w:tc>
      </w:tr>
      <w:tr w:rsidR="00346468" w:rsidRPr="000C2BB3" w:rsidTr="00FB6061">
        <w:tblPrEx>
          <w:tblCellMar>
            <w:top w:w="0" w:type="dxa"/>
            <w:bottom w:w="0" w:type="dxa"/>
          </w:tblCellMar>
        </w:tblPrEx>
        <w:tc>
          <w:tcPr>
            <w:tcW w:w="9110" w:type="dxa"/>
            <w:gridSpan w:val="3"/>
            <w:shd w:val="clear" w:color="auto" w:fill="auto"/>
          </w:tcPr>
          <w:p w:rsidR="00346468" w:rsidRPr="00346468" w:rsidRDefault="00346468" w:rsidP="00346468">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300"/>
              <w:rPr>
                <w:spacing w:val="60"/>
                <w:sz w:val="17"/>
                <w:lang w:val="es-ES_tradnl"/>
              </w:rPr>
            </w:pPr>
            <w:r w:rsidRPr="00EA0AB9">
              <w:rPr>
                <w:lang w:val="es-ES_tradnl"/>
              </w:rPr>
              <w:t>Ministro de Igualdad entre los Géneros</w:t>
            </w:r>
            <w:r>
              <w:rPr>
                <w:spacing w:val="60"/>
                <w:sz w:val="17"/>
                <w:lang w:val="es-ES_tradnl"/>
              </w:rPr>
              <w:tab/>
            </w:r>
          </w:p>
        </w:tc>
        <w:tc>
          <w:tcPr>
            <w:tcW w:w="792" w:type="dxa"/>
            <w:shd w:val="clear" w:color="auto" w:fill="auto"/>
            <w:vAlign w:val="bottom"/>
          </w:tcPr>
          <w:p w:rsidR="00346468" w:rsidRPr="00346468" w:rsidRDefault="00D247E6" w:rsidP="00FB6061">
            <w:pPr>
              <w:spacing w:after="120"/>
              <w:jc w:val="right"/>
              <w:rPr>
                <w:lang w:val="es-ES_tradnl"/>
              </w:rPr>
            </w:pPr>
            <w:r>
              <w:rPr>
                <w:lang w:val="es-ES_tradnl"/>
              </w:rPr>
              <w:t>8</w:t>
            </w:r>
          </w:p>
        </w:tc>
      </w:tr>
      <w:tr w:rsidR="00745E63" w:rsidRPr="000C2BB3" w:rsidTr="00FB6061">
        <w:tblPrEx>
          <w:tblCellMar>
            <w:top w:w="0" w:type="dxa"/>
            <w:bottom w:w="0" w:type="dxa"/>
          </w:tblCellMar>
        </w:tblPrEx>
        <w:tc>
          <w:tcPr>
            <w:tcW w:w="9110" w:type="dxa"/>
            <w:gridSpan w:val="3"/>
            <w:shd w:val="clear" w:color="auto" w:fill="auto"/>
          </w:tcPr>
          <w:p w:rsidR="00745E63" w:rsidRPr="00745E63" w:rsidRDefault="00745E63" w:rsidP="00745E63">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300"/>
              <w:rPr>
                <w:spacing w:val="60"/>
                <w:sz w:val="17"/>
                <w:lang w:val="es-ES_tradnl"/>
              </w:rPr>
            </w:pPr>
            <w:r w:rsidRPr="00EA0AB9">
              <w:rPr>
                <w:lang w:val="es-ES_tradnl"/>
              </w:rPr>
              <w:t>Ministerio de Igualdad entre los Géneros</w:t>
            </w:r>
            <w:r>
              <w:rPr>
                <w:spacing w:val="60"/>
                <w:sz w:val="17"/>
                <w:lang w:val="es-ES_tradnl"/>
              </w:rPr>
              <w:tab/>
            </w:r>
          </w:p>
        </w:tc>
        <w:tc>
          <w:tcPr>
            <w:tcW w:w="792" w:type="dxa"/>
            <w:shd w:val="clear" w:color="auto" w:fill="auto"/>
            <w:vAlign w:val="bottom"/>
          </w:tcPr>
          <w:p w:rsidR="00745E63" w:rsidRDefault="00D247E6" w:rsidP="00FB6061">
            <w:pPr>
              <w:spacing w:after="120"/>
              <w:jc w:val="right"/>
              <w:rPr>
                <w:lang w:val="es-ES_tradnl"/>
              </w:rPr>
            </w:pPr>
            <w:r>
              <w:rPr>
                <w:lang w:val="es-ES_tradnl"/>
              </w:rPr>
              <w:t>9</w:t>
            </w:r>
          </w:p>
        </w:tc>
      </w:tr>
      <w:tr w:rsidR="00745E63" w:rsidRPr="000C2BB3" w:rsidTr="00FB6061">
        <w:tblPrEx>
          <w:tblCellMar>
            <w:top w:w="0" w:type="dxa"/>
            <w:bottom w:w="0" w:type="dxa"/>
          </w:tblCellMar>
        </w:tblPrEx>
        <w:tc>
          <w:tcPr>
            <w:tcW w:w="9110" w:type="dxa"/>
            <w:gridSpan w:val="3"/>
            <w:shd w:val="clear" w:color="auto" w:fill="auto"/>
          </w:tcPr>
          <w:p w:rsidR="00745E63" w:rsidRPr="00745E63" w:rsidRDefault="00745E63" w:rsidP="00745E63">
            <w:pPr>
              <w:tabs>
                <w:tab w:val="right" w:pos="1080"/>
                <w:tab w:val="left" w:pos="1300"/>
                <w:tab w:val="left" w:pos="1740"/>
                <w:tab w:val="left" w:pos="2180"/>
                <w:tab w:val="left" w:pos="2620"/>
                <w:tab w:val="left" w:pos="3060"/>
                <w:tab w:val="left" w:pos="3500"/>
                <w:tab w:val="left" w:pos="3940"/>
                <w:tab w:val="right" w:leader="dot" w:pos="9245"/>
              </w:tabs>
              <w:spacing w:after="120"/>
              <w:ind w:left="1300"/>
              <w:rPr>
                <w:spacing w:val="60"/>
                <w:sz w:val="17"/>
                <w:lang w:val="es-ES_tradnl"/>
              </w:rPr>
            </w:pPr>
            <w:r w:rsidRPr="00EA0AB9">
              <w:rPr>
                <w:lang w:val="es-ES_tradnl"/>
              </w:rPr>
              <w:t>Junta para la Igualdad de Trato</w:t>
            </w:r>
            <w:r>
              <w:rPr>
                <w:spacing w:val="60"/>
                <w:sz w:val="17"/>
                <w:lang w:val="es-ES_tradnl"/>
              </w:rPr>
              <w:tab/>
            </w:r>
          </w:p>
        </w:tc>
        <w:tc>
          <w:tcPr>
            <w:tcW w:w="792" w:type="dxa"/>
            <w:shd w:val="clear" w:color="auto" w:fill="auto"/>
            <w:vAlign w:val="bottom"/>
          </w:tcPr>
          <w:p w:rsidR="00745E63" w:rsidRDefault="00D247E6" w:rsidP="00FB6061">
            <w:pPr>
              <w:spacing w:after="120"/>
              <w:jc w:val="right"/>
              <w:rPr>
                <w:lang w:val="es-ES_tradnl"/>
              </w:rPr>
            </w:pPr>
            <w:r>
              <w:rPr>
                <w:lang w:val="es-ES_tradnl"/>
              </w:rPr>
              <w:t>9</w:t>
            </w:r>
          </w:p>
        </w:tc>
      </w:tr>
      <w:tr w:rsidR="00745E63" w:rsidRPr="000C2BB3" w:rsidTr="00FB6061">
        <w:tblPrEx>
          <w:tblCellMar>
            <w:top w:w="0" w:type="dxa"/>
            <w:bottom w:w="0" w:type="dxa"/>
          </w:tblCellMar>
        </w:tblPrEx>
        <w:tc>
          <w:tcPr>
            <w:tcW w:w="9110" w:type="dxa"/>
            <w:gridSpan w:val="3"/>
            <w:shd w:val="clear" w:color="auto" w:fill="auto"/>
          </w:tcPr>
          <w:p w:rsidR="00745E63" w:rsidRPr="00745E63" w:rsidRDefault="00745E63" w:rsidP="00745E63">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300"/>
              <w:rPr>
                <w:spacing w:val="60"/>
                <w:sz w:val="17"/>
                <w:lang w:val="es-ES_tradnl"/>
              </w:rPr>
            </w:pPr>
            <w:r w:rsidRPr="00EA0AB9">
              <w:rPr>
                <w:lang w:val="es-ES_tradnl"/>
              </w:rPr>
              <w:t>Instituto Danés de Derechos Humanos</w:t>
            </w:r>
            <w:r>
              <w:rPr>
                <w:spacing w:val="60"/>
                <w:sz w:val="17"/>
                <w:lang w:val="es-ES_tradnl"/>
              </w:rPr>
              <w:tab/>
            </w:r>
          </w:p>
        </w:tc>
        <w:tc>
          <w:tcPr>
            <w:tcW w:w="792" w:type="dxa"/>
            <w:shd w:val="clear" w:color="auto" w:fill="auto"/>
            <w:vAlign w:val="bottom"/>
          </w:tcPr>
          <w:p w:rsidR="00745E63" w:rsidRDefault="00D247E6" w:rsidP="00FB6061">
            <w:pPr>
              <w:spacing w:after="120"/>
              <w:jc w:val="right"/>
              <w:rPr>
                <w:lang w:val="es-ES_tradnl"/>
              </w:rPr>
            </w:pPr>
            <w:r>
              <w:rPr>
                <w:lang w:val="es-ES_tradnl"/>
              </w:rPr>
              <w:t>10</w:t>
            </w:r>
          </w:p>
        </w:tc>
      </w:tr>
      <w:tr w:rsidR="00745E63" w:rsidRPr="000C2BB3" w:rsidTr="00FB6061">
        <w:tblPrEx>
          <w:tblCellMar>
            <w:top w:w="0" w:type="dxa"/>
            <w:bottom w:w="0" w:type="dxa"/>
          </w:tblCellMar>
        </w:tblPrEx>
        <w:tc>
          <w:tcPr>
            <w:tcW w:w="9110" w:type="dxa"/>
            <w:gridSpan w:val="3"/>
            <w:shd w:val="clear" w:color="auto" w:fill="auto"/>
          </w:tcPr>
          <w:p w:rsidR="00745E63" w:rsidRPr="00F44BE6" w:rsidRDefault="00F44BE6" w:rsidP="00F44BE6">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left="1300"/>
              <w:rPr>
                <w:spacing w:val="60"/>
                <w:sz w:val="17"/>
                <w:lang w:val="es-ES_tradnl"/>
              </w:rPr>
            </w:pPr>
            <w:r w:rsidRPr="00EA0AB9">
              <w:rPr>
                <w:lang w:val="es-ES_tradnl"/>
              </w:rPr>
              <w:t>Centro Danés de Información sobre la Mujer y el Género (KVINFO)</w:t>
            </w:r>
            <w:r>
              <w:rPr>
                <w:spacing w:val="60"/>
                <w:sz w:val="17"/>
                <w:lang w:val="es-ES_tradnl"/>
              </w:rPr>
              <w:tab/>
            </w:r>
          </w:p>
        </w:tc>
        <w:tc>
          <w:tcPr>
            <w:tcW w:w="792" w:type="dxa"/>
            <w:shd w:val="clear" w:color="auto" w:fill="auto"/>
            <w:vAlign w:val="bottom"/>
          </w:tcPr>
          <w:p w:rsidR="00745E63" w:rsidRDefault="00D247E6" w:rsidP="00FB6061">
            <w:pPr>
              <w:spacing w:after="120"/>
              <w:jc w:val="right"/>
              <w:rPr>
                <w:lang w:val="es-ES_tradnl"/>
              </w:rPr>
            </w:pPr>
            <w:r>
              <w:rPr>
                <w:lang w:val="es-ES_tradnl"/>
              </w:rPr>
              <w:t>10</w:t>
            </w:r>
          </w:p>
        </w:tc>
      </w:tr>
      <w:tr w:rsidR="00F44BE6" w:rsidRPr="000C2BB3" w:rsidTr="00FB6061">
        <w:tblPrEx>
          <w:tblCellMar>
            <w:top w:w="0" w:type="dxa"/>
            <w:bottom w:w="0" w:type="dxa"/>
          </w:tblCellMar>
        </w:tblPrEx>
        <w:tc>
          <w:tcPr>
            <w:tcW w:w="9110" w:type="dxa"/>
            <w:gridSpan w:val="3"/>
            <w:shd w:val="clear" w:color="auto" w:fill="auto"/>
          </w:tcPr>
          <w:p w:rsidR="00F44BE6" w:rsidRPr="00F44BE6" w:rsidRDefault="00F44BE6" w:rsidP="00F44BE6">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300"/>
              <w:rPr>
                <w:spacing w:val="60"/>
                <w:sz w:val="17"/>
                <w:lang w:val="es-ES_tradnl"/>
              </w:rPr>
            </w:pPr>
            <w:r w:rsidRPr="00EA0AB9">
              <w:rPr>
                <w:lang w:val="es-ES_tradnl"/>
              </w:rPr>
              <w:t>Organizaciones no gubernamentales</w:t>
            </w:r>
            <w:r>
              <w:rPr>
                <w:spacing w:val="60"/>
                <w:sz w:val="17"/>
                <w:lang w:val="es-ES_tradnl"/>
              </w:rPr>
              <w:tab/>
            </w:r>
          </w:p>
        </w:tc>
        <w:tc>
          <w:tcPr>
            <w:tcW w:w="792" w:type="dxa"/>
            <w:shd w:val="clear" w:color="auto" w:fill="auto"/>
            <w:vAlign w:val="bottom"/>
          </w:tcPr>
          <w:p w:rsidR="00F44BE6" w:rsidRDefault="00D247E6" w:rsidP="00FB6061">
            <w:pPr>
              <w:spacing w:after="120"/>
              <w:jc w:val="right"/>
              <w:rPr>
                <w:lang w:val="es-ES_tradnl"/>
              </w:rPr>
            </w:pPr>
            <w:r>
              <w:rPr>
                <w:lang w:val="es-ES_tradnl"/>
              </w:rPr>
              <w:t>10</w:t>
            </w:r>
          </w:p>
        </w:tc>
      </w:tr>
      <w:tr w:rsidR="00F44BE6" w:rsidRPr="000C2BB3" w:rsidTr="00FB6061">
        <w:tblPrEx>
          <w:tblCellMar>
            <w:top w:w="0" w:type="dxa"/>
            <w:bottom w:w="0" w:type="dxa"/>
          </w:tblCellMar>
        </w:tblPrEx>
        <w:tc>
          <w:tcPr>
            <w:tcW w:w="9110" w:type="dxa"/>
            <w:gridSpan w:val="3"/>
            <w:shd w:val="clear" w:color="auto" w:fill="auto"/>
          </w:tcPr>
          <w:p w:rsidR="00F44BE6" w:rsidRPr="00F44BE6" w:rsidRDefault="00F44BE6" w:rsidP="00F44BE6">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left="950"/>
              <w:rPr>
                <w:spacing w:val="60"/>
                <w:sz w:val="17"/>
                <w:lang w:val="es-ES_tradnl"/>
              </w:rPr>
            </w:pPr>
            <w:r w:rsidRPr="000739A7">
              <w:t xml:space="preserve">Artículo 5: Prioridades. </w:t>
            </w:r>
            <w:r w:rsidRPr="00575FAC">
              <w:t>Estereotipos en materia de funciones de género y participación</w:t>
            </w:r>
            <w:r>
              <w:rPr>
                <w:spacing w:val="60"/>
                <w:sz w:val="17"/>
              </w:rPr>
              <w:tab/>
            </w:r>
          </w:p>
        </w:tc>
        <w:tc>
          <w:tcPr>
            <w:tcW w:w="792" w:type="dxa"/>
            <w:shd w:val="clear" w:color="auto" w:fill="auto"/>
            <w:vAlign w:val="bottom"/>
          </w:tcPr>
          <w:p w:rsidR="00F44BE6" w:rsidRDefault="00D247E6" w:rsidP="00FB6061">
            <w:pPr>
              <w:spacing w:after="120"/>
              <w:jc w:val="right"/>
              <w:rPr>
                <w:lang w:val="es-ES_tradnl"/>
              </w:rPr>
            </w:pPr>
            <w:r>
              <w:rPr>
                <w:lang w:val="es-ES_tradnl"/>
              </w:rPr>
              <w:t>11</w:t>
            </w:r>
          </w:p>
        </w:tc>
      </w:tr>
      <w:tr w:rsidR="00F44BE6" w:rsidRPr="000C2BB3" w:rsidTr="00FB6061">
        <w:tblPrEx>
          <w:tblCellMar>
            <w:top w:w="0" w:type="dxa"/>
            <w:bottom w:w="0" w:type="dxa"/>
          </w:tblCellMar>
        </w:tblPrEx>
        <w:tc>
          <w:tcPr>
            <w:tcW w:w="9110" w:type="dxa"/>
            <w:gridSpan w:val="3"/>
            <w:shd w:val="clear" w:color="auto" w:fill="auto"/>
          </w:tcPr>
          <w:p w:rsidR="00F44BE6" w:rsidRPr="00F44BE6" w:rsidRDefault="00F44BE6" w:rsidP="00F44BE6">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left="950"/>
              <w:rPr>
                <w:spacing w:val="60"/>
                <w:sz w:val="17"/>
              </w:rPr>
            </w:pPr>
            <w:r w:rsidRPr="000739A7">
              <w:t xml:space="preserve">Artículo 6: Cuestiones especiales. </w:t>
            </w:r>
            <w:r w:rsidRPr="00031D58">
              <w:t>Prostitución, trata de personas y código de conducta</w:t>
            </w:r>
            <w:r>
              <w:rPr>
                <w:spacing w:val="60"/>
                <w:sz w:val="17"/>
              </w:rPr>
              <w:tab/>
            </w:r>
          </w:p>
        </w:tc>
        <w:tc>
          <w:tcPr>
            <w:tcW w:w="792" w:type="dxa"/>
            <w:shd w:val="clear" w:color="auto" w:fill="auto"/>
            <w:vAlign w:val="bottom"/>
          </w:tcPr>
          <w:p w:rsidR="00F44BE6" w:rsidRDefault="00F44BE6" w:rsidP="00FB6061">
            <w:pPr>
              <w:spacing w:after="120"/>
              <w:jc w:val="right"/>
              <w:rPr>
                <w:lang w:val="es-ES_tradnl"/>
              </w:rPr>
            </w:pPr>
            <w:r>
              <w:rPr>
                <w:lang w:val="es-ES_tradnl"/>
              </w:rPr>
              <w:t>12</w:t>
            </w:r>
          </w:p>
        </w:tc>
      </w:tr>
      <w:tr w:rsidR="00F44BE6" w:rsidRPr="000C2BB3" w:rsidTr="00FB6061">
        <w:tblPrEx>
          <w:tblCellMar>
            <w:top w:w="0" w:type="dxa"/>
            <w:bottom w:w="0" w:type="dxa"/>
          </w:tblCellMar>
        </w:tblPrEx>
        <w:tc>
          <w:tcPr>
            <w:tcW w:w="9110" w:type="dxa"/>
            <w:gridSpan w:val="3"/>
            <w:shd w:val="clear" w:color="auto" w:fill="auto"/>
          </w:tcPr>
          <w:p w:rsidR="00F44BE6" w:rsidRPr="00F44BE6" w:rsidRDefault="00F44BE6" w:rsidP="00F44BE6">
            <w:pPr>
              <w:tabs>
                <w:tab w:val="right" w:pos="1080"/>
                <w:tab w:val="left" w:pos="1300"/>
                <w:tab w:val="left" w:pos="1740"/>
                <w:tab w:val="left" w:pos="2180"/>
                <w:tab w:val="right" w:leader="dot" w:pos="9245"/>
              </w:tabs>
              <w:spacing w:after="120"/>
              <w:ind w:left="1300"/>
              <w:rPr>
                <w:spacing w:val="60"/>
                <w:sz w:val="17"/>
              </w:rPr>
            </w:pPr>
            <w:r w:rsidRPr="00EA0AB9">
              <w:rPr>
                <w:lang w:val="es-ES_tradnl"/>
              </w:rPr>
              <w:t>Prostitución</w:t>
            </w:r>
            <w:r>
              <w:rPr>
                <w:spacing w:val="60"/>
                <w:sz w:val="17"/>
                <w:lang w:val="es-ES_tradnl"/>
              </w:rPr>
              <w:tab/>
            </w:r>
          </w:p>
        </w:tc>
        <w:tc>
          <w:tcPr>
            <w:tcW w:w="792" w:type="dxa"/>
            <w:shd w:val="clear" w:color="auto" w:fill="auto"/>
            <w:vAlign w:val="bottom"/>
          </w:tcPr>
          <w:p w:rsidR="00F44BE6" w:rsidRDefault="00F44BE6" w:rsidP="00FB6061">
            <w:pPr>
              <w:spacing w:after="120"/>
              <w:jc w:val="right"/>
              <w:rPr>
                <w:lang w:val="es-ES_tradnl"/>
              </w:rPr>
            </w:pPr>
            <w:r>
              <w:rPr>
                <w:lang w:val="es-ES_tradnl"/>
              </w:rPr>
              <w:t>12</w:t>
            </w:r>
          </w:p>
        </w:tc>
      </w:tr>
      <w:tr w:rsidR="00F44BE6" w:rsidRPr="000C2BB3" w:rsidTr="00FB6061">
        <w:tblPrEx>
          <w:tblCellMar>
            <w:top w:w="0" w:type="dxa"/>
            <w:bottom w:w="0" w:type="dxa"/>
          </w:tblCellMar>
        </w:tblPrEx>
        <w:tc>
          <w:tcPr>
            <w:tcW w:w="9110" w:type="dxa"/>
            <w:gridSpan w:val="3"/>
            <w:shd w:val="clear" w:color="auto" w:fill="auto"/>
          </w:tcPr>
          <w:p w:rsidR="00F44BE6" w:rsidRPr="00F44BE6" w:rsidRDefault="00F44BE6" w:rsidP="00F44BE6">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300"/>
              <w:rPr>
                <w:spacing w:val="60"/>
                <w:sz w:val="17"/>
                <w:lang w:val="es-ES_tradnl"/>
              </w:rPr>
            </w:pPr>
            <w:r>
              <w:rPr>
                <w:lang w:val="es-ES_tradnl"/>
              </w:rPr>
              <w:t>“</w:t>
            </w:r>
            <w:r w:rsidRPr="00EA0AB9">
              <w:rPr>
                <w:lang w:val="es-ES_tradnl"/>
              </w:rPr>
              <w:t>Salir de la prostitución</w:t>
            </w:r>
            <w:r>
              <w:rPr>
                <w:lang w:val="es-ES_tradnl"/>
              </w:rPr>
              <w:t>”</w:t>
            </w:r>
            <w:r w:rsidRPr="00EA0AB9">
              <w:rPr>
                <w:lang w:val="es-ES_tradnl"/>
              </w:rPr>
              <w:t xml:space="preserve"> 2012-2015</w:t>
            </w:r>
            <w:r>
              <w:rPr>
                <w:spacing w:val="60"/>
                <w:sz w:val="17"/>
                <w:lang w:val="es-ES_tradnl"/>
              </w:rPr>
              <w:tab/>
            </w:r>
          </w:p>
        </w:tc>
        <w:tc>
          <w:tcPr>
            <w:tcW w:w="792" w:type="dxa"/>
            <w:shd w:val="clear" w:color="auto" w:fill="auto"/>
            <w:vAlign w:val="bottom"/>
          </w:tcPr>
          <w:p w:rsidR="00F44BE6" w:rsidRDefault="00F44BE6" w:rsidP="00FB6061">
            <w:pPr>
              <w:spacing w:after="120"/>
              <w:jc w:val="right"/>
              <w:rPr>
                <w:lang w:val="es-ES_tradnl"/>
              </w:rPr>
            </w:pPr>
            <w:r>
              <w:rPr>
                <w:lang w:val="es-ES_tradnl"/>
              </w:rPr>
              <w:t>12</w:t>
            </w:r>
          </w:p>
        </w:tc>
      </w:tr>
      <w:tr w:rsidR="00F44BE6" w:rsidRPr="000C2BB3" w:rsidTr="00FB6061">
        <w:tblPrEx>
          <w:tblCellMar>
            <w:top w:w="0" w:type="dxa"/>
            <w:bottom w:w="0" w:type="dxa"/>
          </w:tblCellMar>
        </w:tblPrEx>
        <w:tc>
          <w:tcPr>
            <w:tcW w:w="9110" w:type="dxa"/>
            <w:gridSpan w:val="3"/>
            <w:shd w:val="clear" w:color="auto" w:fill="auto"/>
          </w:tcPr>
          <w:p w:rsidR="00F44BE6" w:rsidRPr="00F44BE6" w:rsidRDefault="00F44BE6" w:rsidP="00F44BE6">
            <w:pPr>
              <w:tabs>
                <w:tab w:val="right" w:pos="1080"/>
                <w:tab w:val="left" w:pos="1300"/>
                <w:tab w:val="left" w:pos="1740"/>
                <w:tab w:val="left" w:pos="2180"/>
                <w:tab w:val="left" w:pos="2620"/>
                <w:tab w:val="left" w:pos="3060"/>
                <w:tab w:val="left" w:pos="3500"/>
                <w:tab w:val="left" w:pos="3940"/>
                <w:tab w:val="right" w:leader="dot" w:pos="9245"/>
              </w:tabs>
              <w:spacing w:after="120"/>
              <w:ind w:left="1300"/>
              <w:rPr>
                <w:spacing w:val="60"/>
                <w:sz w:val="17"/>
                <w:lang w:val="es-ES_tradnl"/>
              </w:rPr>
            </w:pPr>
            <w:r w:rsidRPr="00EA0AB9">
              <w:rPr>
                <w:lang w:val="es-ES_tradnl"/>
              </w:rPr>
              <w:t>Fondo de recursos psicológicos</w:t>
            </w:r>
            <w:r>
              <w:rPr>
                <w:spacing w:val="60"/>
                <w:sz w:val="17"/>
                <w:lang w:val="es-ES_tradnl"/>
              </w:rPr>
              <w:tab/>
            </w:r>
          </w:p>
        </w:tc>
        <w:tc>
          <w:tcPr>
            <w:tcW w:w="792" w:type="dxa"/>
            <w:shd w:val="clear" w:color="auto" w:fill="auto"/>
            <w:vAlign w:val="bottom"/>
          </w:tcPr>
          <w:p w:rsidR="00F44BE6" w:rsidRDefault="00F44BE6" w:rsidP="00FB6061">
            <w:pPr>
              <w:spacing w:after="120"/>
              <w:jc w:val="right"/>
              <w:rPr>
                <w:lang w:val="es-ES_tradnl"/>
              </w:rPr>
            </w:pPr>
            <w:r>
              <w:rPr>
                <w:lang w:val="es-ES_tradnl"/>
              </w:rPr>
              <w:t>13</w:t>
            </w:r>
          </w:p>
        </w:tc>
      </w:tr>
      <w:tr w:rsidR="00F44BE6" w:rsidRPr="000C2BB3" w:rsidTr="00FB6061">
        <w:tblPrEx>
          <w:tblCellMar>
            <w:top w:w="0" w:type="dxa"/>
            <w:bottom w:w="0" w:type="dxa"/>
          </w:tblCellMar>
        </w:tblPrEx>
        <w:tc>
          <w:tcPr>
            <w:tcW w:w="9110" w:type="dxa"/>
            <w:gridSpan w:val="3"/>
            <w:shd w:val="clear" w:color="auto" w:fill="auto"/>
          </w:tcPr>
          <w:p w:rsidR="00F44BE6" w:rsidRPr="001E1630" w:rsidRDefault="00140484" w:rsidP="001E1630">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1300"/>
              <w:rPr>
                <w:spacing w:val="60"/>
                <w:sz w:val="17"/>
                <w:lang w:val="es-ES_tradnl"/>
              </w:rPr>
            </w:pPr>
            <w:r w:rsidRPr="00EA0AB9">
              <w:rPr>
                <w:lang w:val="es-ES_tradnl"/>
              </w:rPr>
              <w:t>Falta de datos sobre la prostitución desglosados por género</w:t>
            </w:r>
            <w:r w:rsidR="001E1630">
              <w:rPr>
                <w:spacing w:val="60"/>
                <w:sz w:val="17"/>
                <w:lang w:val="es-ES_tradnl"/>
              </w:rPr>
              <w:tab/>
            </w:r>
          </w:p>
        </w:tc>
        <w:tc>
          <w:tcPr>
            <w:tcW w:w="792" w:type="dxa"/>
            <w:shd w:val="clear" w:color="auto" w:fill="auto"/>
            <w:vAlign w:val="bottom"/>
          </w:tcPr>
          <w:p w:rsidR="00F44BE6" w:rsidRDefault="00140484" w:rsidP="00FB6061">
            <w:pPr>
              <w:spacing w:after="120"/>
              <w:jc w:val="right"/>
              <w:rPr>
                <w:lang w:val="es-ES_tradnl"/>
              </w:rPr>
            </w:pPr>
            <w:r>
              <w:rPr>
                <w:lang w:val="es-ES_tradnl"/>
              </w:rPr>
              <w:t>13</w:t>
            </w:r>
          </w:p>
        </w:tc>
      </w:tr>
      <w:tr w:rsidR="00140484" w:rsidRPr="000C2BB3" w:rsidTr="00FB6061">
        <w:tblPrEx>
          <w:tblCellMar>
            <w:top w:w="0" w:type="dxa"/>
            <w:bottom w:w="0" w:type="dxa"/>
          </w:tblCellMar>
        </w:tblPrEx>
        <w:tc>
          <w:tcPr>
            <w:tcW w:w="9110" w:type="dxa"/>
            <w:gridSpan w:val="3"/>
            <w:shd w:val="clear" w:color="auto" w:fill="auto"/>
          </w:tcPr>
          <w:p w:rsidR="00140484" w:rsidRPr="00140484" w:rsidRDefault="00140484" w:rsidP="00140484">
            <w:pPr>
              <w:tabs>
                <w:tab w:val="right" w:pos="1080"/>
                <w:tab w:val="left" w:pos="1300"/>
                <w:tab w:val="left" w:pos="1740"/>
                <w:tab w:val="left" w:pos="2180"/>
                <w:tab w:val="left" w:pos="2620"/>
                <w:tab w:val="right" w:leader="dot" w:pos="9245"/>
              </w:tabs>
              <w:spacing w:after="120"/>
              <w:ind w:left="1300"/>
              <w:rPr>
                <w:spacing w:val="60"/>
                <w:sz w:val="17"/>
                <w:lang w:val="es-ES_tradnl"/>
              </w:rPr>
            </w:pPr>
            <w:r w:rsidRPr="00EA0AB9">
              <w:rPr>
                <w:lang w:val="es-ES_tradnl"/>
              </w:rPr>
              <w:t>Código de conducta</w:t>
            </w:r>
            <w:r>
              <w:rPr>
                <w:spacing w:val="60"/>
                <w:sz w:val="17"/>
                <w:lang w:val="es-ES_tradnl"/>
              </w:rPr>
              <w:tab/>
            </w:r>
          </w:p>
        </w:tc>
        <w:tc>
          <w:tcPr>
            <w:tcW w:w="792" w:type="dxa"/>
            <w:shd w:val="clear" w:color="auto" w:fill="auto"/>
            <w:vAlign w:val="bottom"/>
          </w:tcPr>
          <w:p w:rsidR="00140484" w:rsidRDefault="00140484" w:rsidP="00FB6061">
            <w:pPr>
              <w:spacing w:after="120"/>
              <w:jc w:val="right"/>
              <w:rPr>
                <w:lang w:val="es-ES_tradnl"/>
              </w:rPr>
            </w:pPr>
            <w:r>
              <w:rPr>
                <w:lang w:val="es-ES_tradnl"/>
              </w:rPr>
              <w:t>13</w:t>
            </w:r>
          </w:p>
        </w:tc>
      </w:tr>
      <w:tr w:rsidR="00140484" w:rsidRPr="000C2BB3" w:rsidTr="00FB6061">
        <w:tblPrEx>
          <w:tblCellMar>
            <w:top w:w="0" w:type="dxa"/>
            <w:bottom w:w="0" w:type="dxa"/>
          </w:tblCellMar>
        </w:tblPrEx>
        <w:tc>
          <w:tcPr>
            <w:tcW w:w="9110" w:type="dxa"/>
            <w:gridSpan w:val="3"/>
            <w:shd w:val="clear" w:color="auto" w:fill="auto"/>
          </w:tcPr>
          <w:p w:rsidR="00140484" w:rsidRPr="00140484" w:rsidRDefault="00140484" w:rsidP="00140484">
            <w:pPr>
              <w:tabs>
                <w:tab w:val="right" w:pos="1080"/>
                <w:tab w:val="left" w:pos="1300"/>
                <w:tab w:val="right" w:leader="dot" w:pos="9245"/>
              </w:tabs>
              <w:spacing w:after="120"/>
              <w:ind w:left="1300"/>
              <w:rPr>
                <w:spacing w:val="60"/>
                <w:sz w:val="17"/>
                <w:lang w:val="es-ES_tradnl"/>
              </w:rPr>
            </w:pPr>
            <w:r w:rsidRPr="00EA0AB9">
              <w:rPr>
                <w:lang w:val="es-ES_tradnl"/>
              </w:rPr>
              <w:t>Trata</w:t>
            </w:r>
            <w:r>
              <w:rPr>
                <w:spacing w:val="60"/>
                <w:sz w:val="17"/>
                <w:lang w:val="es-ES_tradnl"/>
              </w:rPr>
              <w:tab/>
            </w:r>
          </w:p>
        </w:tc>
        <w:tc>
          <w:tcPr>
            <w:tcW w:w="792" w:type="dxa"/>
            <w:shd w:val="clear" w:color="auto" w:fill="auto"/>
            <w:vAlign w:val="bottom"/>
          </w:tcPr>
          <w:p w:rsidR="00140484" w:rsidRDefault="00140484" w:rsidP="00FB6061">
            <w:pPr>
              <w:spacing w:after="120"/>
              <w:jc w:val="right"/>
              <w:rPr>
                <w:lang w:val="es-ES_tradnl"/>
              </w:rPr>
            </w:pPr>
            <w:r>
              <w:rPr>
                <w:lang w:val="es-ES_tradnl"/>
              </w:rPr>
              <w:t>13</w:t>
            </w:r>
          </w:p>
        </w:tc>
      </w:tr>
      <w:tr w:rsidR="00140484" w:rsidRPr="000C2BB3" w:rsidTr="00FB6061">
        <w:tblPrEx>
          <w:tblCellMar>
            <w:top w:w="0" w:type="dxa"/>
            <w:bottom w:w="0" w:type="dxa"/>
          </w:tblCellMar>
        </w:tblPrEx>
        <w:tc>
          <w:tcPr>
            <w:tcW w:w="9110" w:type="dxa"/>
            <w:gridSpan w:val="3"/>
            <w:shd w:val="clear" w:color="auto" w:fill="auto"/>
          </w:tcPr>
          <w:p w:rsidR="00140484" w:rsidRPr="00505601" w:rsidRDefault="00505601" w:rsidP="00505601">
            <w:pPr>
              <w:tabs>
                <w:tab w:val="right" w:pos="1080"/>
                <w:tab w:val="left" w:pos="1300"/>
                <w:tab w:val="left" w:pos="1740"/>
                <w:tab w:val="left" w:pos="2180"/>
                <w:tab w:val="right" w:leader="dot" w:pos="9245"/>
              </w:tabs>
              <w:spacing w:after="120"/>
              <w:ind w:left="1300"/>
              <w:rPr>
                <w:spacing w:val="60"/>
                <w:sz w:val="17"/>
                <w:lang w:val="es-ES_tradnl"/>
              </w:rPr>
            </w:pPr>
            <w:r>
              <w:rPr>
                <w:lang w:val="es-ES_tradnl"/>
              </w:rPr>
              <w:t>Legislación</w:t>
            </w:r>
            <w:r>
              <w:rPr>
                <w:spacing w:val="60"/>
                <w:sz w:val="17"/>
                <w:lang w:val="es-ES_tradnl"/>
              </w:rPr>
              <w:tab/>
            </w:r>
          </w:p>
        </w:tc>
        <w:tc>
          <w:tcPr>
            <w:tcW w:w="792" w:type="dxa"/>
            <w:shd w:val="clear" w:color="auto" w:fill="auto"/>
            <w:vAlign w:val="bottom"/>
          </w:tcPr>
          <w:p w:rsidR="00140484" w:rsidRDefault="00505601" w:rsidP="00FB6061">
            <w:pPr>
              <w:spacing w:after="120"/>
              <w:jc w:val="right"/>
              <w:rPr>
                <w:lang w:val="es-ES_tradnl"/>
              </w:rPr>
            </w:pPr>
            <w:r>
              <w:rPr>
                <w:lang w:val="es-ES_tradnl"/>
              </w:rPr>
              <w:t>14</w:t>
            </w:r>
          </w:p>
        </w:tc>
      </w:tr>
      <w:tr w:rsidR="00505601" w:rsidRPr="000C2BB3" w:rsidTr="00FB6061">
        <w:tblPrEx>
          <w:tblCellMar>
            <w:top w:w="0" w:type="dxa"/>
            <w:bottom w:w="0" w:type="dxa"/>
          </w:tblCellMar>
        </w:tblPrEx>
        <w:tc>
          <w:tcPr>
            <w:tcW w:w="9110" w:type="dxa"/>
            <w:gridSpan w:val="3"/>
            <w:shd w:val="clear" w:color="auto" w:fill="auto"/>
          </w:tcPr>
          <w:p w:rsidR="00505601" w:rsidRPr="00505601" w:rsidRDefault="00505601" w:rsidP="00505601">
            <w:pPr>
              <w:tabs>
                <w:tab w:val="right" w:pos="1080"/>
                <w:tab w:val="left" w:pos="1300"/>
                <w:tab w:val="left" w:pos="1740"/>
                <w:tab w:val="left" w:pos="2180"/>
                <w:tab w:val="right" w:leader="dot" w:pos="9245"/>
              </w:tabs>
              <w:spacing w:after="120"/>
              <w:ind w:left="475"/>
              <w:rPr>
                <w:spacing w:val="60"/>
                <w:sz w:val="17"/>
              </w:rPr>
            </w:pPr>
            <w:r w:rsidRPr="00505601">
              <w:t>Capítulo 2: Vida pública</w:t>
            </w:r>
            <w:r>
              <w:rPr>
                <w:spacing w:val="60"/>
                <w:sz w:val="17"/>
              </w:rPr>
              <w:tab/>
            </w:r>
          </w:p>
        </w:tc>
        <w:tc>
          <w:tcPr>
            <w:tcW w:w="792" w:type="dxa"/>
            <w:shd w:val="clear" w:color="auto" w:fill="auto"/>
            <w:vAlign w:val="bottom"/>
          </w:tcPr>
          <w:p w:rsidR="00505601" w:rsidRDefault="00505601" w:rsidP="00FB6061">
            <w:pPr>
              <w:spacing w:after="120"/>
              <w:jc w:val="right"/>
              <w:rPr>
                <w:lang w:val="es-ES_tradnl"/>
              </w:rPr>
            </w:pPr>
            <w:r>
              <w:rPr>
                <w:lang w:val="es-ES_tradnl"/>
              </w:rPr>
              <w:t>16</w:t>
            </w:r>
          </w:p>
        </w:tc>
      </w:tr>
      <w:tr w:rsidR="00505601" w:rsidRPr="000C2BB3" w:rsidTr="00FB6061">
        <w:tblPrEx>
          <w:tblCellMar>
            <w:top w:w="0" w:type="dxa"/>
            <w:bottom w:w="0" w:type="dxa"/>
          </w:tblCellMar>
        </w:tblPrEx>
        <w:tc>
          <w:tcPr>
            <w:tcW w:w="9110" w:type="dxa"/>
            <w:gridSpan w:val="3"/>
            <w:shd w:val="clear" w:color="auto" w:fill="auto"/>
          </w:tcPr>
          <w:p w:rsidR="00505601" w:rsidRPr="00505601" w:rsidRDefault="00505601" w:rsidP="00505601">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950"/>
              <w:rPr>
                <w:spacing w:val="60"/>
                <w:sz w:val="17"/>
              </w:rPr>
            </w:pPr>
            <w:r w:rsidRPr="000739A7">
              <w:t>Artículo 7: Derechos políticos y participación</w:t>
            </w:r>
            <w:r>
              <w:rPr>
                <w:spacing w:val="60"/>
                <w:sz w:val="17"/>
              </w:rPr>
              <w:tab/>
            </w:r>
          </w:p>
        </w:tc>
        <w:tc>
          <w:tcPr>
            <w:tcW w:w="792" w:type="dxa"/>
            <w:shd w:val="clear" w:color="auto" w:fill="auto"/>
            <w:vAlign w:val="bottom"/>
          </w:tcPr>
          <w:p w:rsidR="00505601" w:rsidRDefault="00505601" w:rsidP="00FB6061">
            <w:pPr>
              <w:spacing w:after="120"/>
              <w:jc w:val="right"/>
              <w:rPr>
                <w:lang w:val="es-ES_tradnl"/>
              </w:rPr>
            </w:pPr>
            <w:r>
              <w:rPr>
                <w:lang w:val="es-ES_tradnl"/>
              </w:rPr>
              <w:t>1</w:t>
            </w:r>
            <w:r w:rsidR="00D247E6">
              <w:rPr>
                <w:lang w:val="es-ES_tradnl"/>
              </w:rPr>
              <w:t>6</w:t>
            </w:r>
          </w:p>
        </w:tc>
      </w:tr>
      <w:tr w:rsidR="00505601" w:rsidRPr="000C2BB3" w:rsidTr="00FB6061">
        <w:tblPrEx>
          <w:tblCellMar>
            <w:top w:w="0" w:type="dxa"/>
            <w:bottom w:w="0" w:type="dxa"/>
          </w:tblCellMar>
        </w:tblPrEx>
        <w:tc>
          <w:tcPr>
            <w:tcW w:w="9110" w:type="dxa"/>
            <w:gridSpan w:val="3"/>
            <w:shd w:val="clear" w:color="auto" w:fill="auto"/>
          </w:tcPr>
          <w:p w:rsidR="00505601" w:rsidRPr="00505601" w:rsidRDefault="00505601" w:rsidP="00505601">
            <w:pPr>
              <w:tabs>
                <w:tab w:val="right" w:pos="1080"/>
                <w:tab w:val="left" w:pos="1300"/>
                <w:tab w:val="left" w:pos="1740"/>
                <w:tab w:val="left" w:pos="2180"/>
                <w:tab w:val="left" w:pos="2620"/>
                <w:tab w:val="left" w:pos="3060"/>
                <w:tab w:val="right" w:leader="dot" w:pos="9245"/>
              </w:tabs>
              <w:spacing w:after="120"/>
              <w:ind w:left="1300"/>
              <w:rPr>
                <w:spacing w:val="60"/>
                <w:sz w:val="17"/>
              </w:rPr>
            </w:pPr>
            <w:r w:rsidRPr="00EA0AB9">
              <w:rPr>
                <w:lang w:val="es-ES_tradnl"/>
              </w:rPr>
              <w:t>La mujer en la política</w:t>
            </w:r>
            <w:r>
              <w:rPr>
                <w:spacing w:val="60"/>
                <w:sz w:val="17"/>
                <w:lang w:val="es-ES_tradnl"/>
              </w:rPr>
              <w:tab/>
            </w:r>
          </w:p>
        </w:tc>
        <w:tc>
          <w:tcPr>
            <w:tcW w:w="792" w:type="dxa"/>
            <w:shd w:val="clear" w:color="auto" w:fill="auto"/>
            <w:vAlign w:val="bottom"/>
          </w:tcPr>
          <w:p w:rsidR="00505601" w:rsidRDefault="00D247E6" w:rsidP="00FB6061">
            <w:pPr>
              <w:spacing w:after="120"/>
              <w:jc w:val="right"/>
              <w:rPr>
                <w:lang w:val="es-ES_tradnl"/>
              </w:rPr>
            </w:pPr>
            <w:r>
              <w:rPr>
                <w:lang w:val="es-ES_tradnl"/>
              </w:rPr>
              <w:t>16</w:t>
            </w:r>
          </w:p>
        </w:tc>
      </w:tr>
      <w:tr w:rsidR="00505601" w:rsidRPr="000C2BB3" w:rsidTr="00FB6061">
        <w:tblPrEx>
          <w:tblCellMar>
            <w:top w:w="0" w:type="dxa"/>
            <w:bottom w:w="0" w:type="dxa"/>
          </w:tblCellMar>
        </w:tblPrEx>
        <w:tc>
          <w:tcPr>
            <w:tcW w:w="9110" w:type="dxa"/>
            <w:gridSpan w:val="3"/>
            <w:shd w:val="clear" w:color="auto" w:fill="auto"/>
          </w:tcPr>
          <w:p w:rsidR="00505601" w:rsidRPr="00505601" w:rsidRDefault="00505601" w:rsidP="00505601">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left="1300"/>
              <w:rPr>
                <w:spacing w:val="60"/>
                <w:sz w:val="17"/>
                <w:lang w:val="es-ES_tradnl"/>
              </w:rPr>
            </w:pPr>
            <w:r w:rsidRPr="00EA0AB9">
              <w:rPr>
                <w:lang w:val="es-ES_tradnl"/>
              </w:rPr>
              <w:t>La mujer en los comités, comisiones, juntas, etc., de las autoridades estatales y locales</w:t>
            </w:r>
            <w:r>
              <w:rPr>
                <w:spacing w:val="60"/>
                <w:sz w:val="17"/>
                <w:lang w:val="es-ES_tradnl"/>
              </w:rPr>
              <w:tab/>
            </w:r>
          </w:p>
        </w:tc>
        <w:tc>
          <w:tcPr>
            <w:tcW w:w="792" w:type="dxa"/>
            <w:shd w:val="clear" w:color="auto" w:fill="auto"/>
            <w:vAlign w:val="bottom"/>
          </w:tcPr>
          <w:p w:rsidR="00505601" w:rsidRDefault="00D247E6" w:rsidP="00FB6061">
            <w:pPr>
              <w:spacing w:after="120"/>
              <w:jc w:val="right"/>
              <w:rPr>
                <w:lang w:val="es-ES_tradnl"/>
              </w:rPr>
            </w:pPr>
            <w:r>
              <w:rPr>
                <w:lang w:val="es-ES_tradnl"/>
              </w:rPr>
              <w:t>16</w:t>
            </w:r>
          </w:p>
        </w:tc>
      </w:tr>
      <w:tr w:rsidR="00505601" w:rsidRPr="000C2BB3" w:rsidTr="00FB6061">
        <w:tblPrEx>
          <w:tblCellMar>
            <w:top w:w="0" w:type="dxa"/>
            <w:bottom w:w="0" w:type="dxa"/>
          </w:tblCellMar>
        </w:tblPrEx>
        <w:tc>
          <w:tcPr>
            <w:tcW w:w="9110" w:type="dxa"/>
            <w:gridSpan w:val="3"/>
            <w:shd w:val="clear" w:color="auto" w:fill="auto"/>
          </w:tcPr>
          <w:p w:rsidR="00505601" w:rsidRPr="00505601" w:rsidRDefault="00505601" w:rsidP="00505601">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300"/>
              <w:rPr>
                <w:spacing w:val="60"/>
                <w:sz w:val="17"/>
                <w:lang w:val="es-ES_tradnl"/>
              </w:rPr>
            </w:pPr>
            <w:r w:rsidRPr="00EA0AB9">
              <w:rPr>
                <w:lang w:val="es-ES_tradnl"/>
              </w:rPr>
              <w:t>La mujer en la gestión y en las juntas de dirección</w:t>
            </w:r>
            <w:r>
              <w:rPr>
                <w:spacing w:val="60"/>
                <w:sz w:val="17"/>
                <w:lang w:val="es-ES_tradnl"/>
              </w:rPr>
              <w:tab/>
            </w:r>
          </w:p>
        </w:tc>
        <w:tc>
          <w:tcPr>
            <w:tcW w:w="792" w:type="dxa"/>
            <w:shd w:val="clear" w:color="auto" w:fill="auto"/>
            <w:vAlign w:val="bottom"/>
          </w:tcPr>
          <w:p w:rsidR="00505601" w:rsidRDefault="00505601" w:rsidP="00FB6061">
            <w:pPr>
              <w:spacing w:after="120"/>
              <w:jc w:val="right"/>
              <w:rPr>
                <w:lang w:val="es-ES_tradnl"/>
              </w:rPr>
            </w:pPr>
            <w:r>
              <w:rPr>
                <w:lang w:val="es-ES_tradnl"/>
              </w:rPr>
              <w:t>17</w:t>
            </w:r>
          </w:p>
        </w:tc>
      </w:tr>
      <w:tr w:rsidR="00505601" w:rsidRPr="000C2BB3" w:rsidTr="00FB6061">
        <w:tblPrEx>
          <w:tblCellMar>
            <w:top w:w="0" w:type="dxa"/>
            <w:bottom w:w="0" w:type="dxa"/>
          </w:tblCellMar>
        </w:tblPrEx>
        <w:tc>
          <w:tcPr>
            <w:tcW w:w="9110" w:type="dxa"/>
            <w:gridSpan w:val="3"/>
            <w:shd w:val="clear" w:color="auto" w:fill="auto"/>
          </w:tcPr>
          <w:p w:rsidR="00505601" w:rsidRPr="00505601" w:rsidRDefault="00505601" w:rsidP="00505601">
            <w:pPr>
              <w:tabs>
                <w:tab w:val="right" w:pos="1080"/>
                <w:tab w:val="left" w:pos="1300"/>
                <w:tab w:val="left" w:pos="1740"/>
                <w:tab w:val="left" w:pos="2180"/>
                <w:tab w:val="left" w:pos="2620"/>
                <w:tab w:val="left" w:pos="3060"/>
                <w:tab w:val="right" w:leader="dot" w:pos="9245"/>
              </w:tabs>
              <w:spacing w:after="120"/>
              <w:ind w:left="1300"/>
              <w:rPr>
                <w:spacing w:val="60"/>
                <w:sz w:val="17"/>
                <w:lang w:val="es-ES_tradnl"/>
              </w:rPr>
            </w:pPr>
            <w:r w:rsidRPr="00EA0AB9">
              <w:rPr>
                <w:lang w:val="es-ES_tradnl"/>
              </w:rPr>
              <w:t>Nueva legislación en relación con la mujer en las juntas de dirección y los puestos de gestión de las empresas</w:t>
            </w:r>
            <w:r>
              <w:rPr>
                <w:spacing w:val="60"/>
                <w:sz w:val="17"/>
                <w:lang w:val="es-ES_tradnl"/>
              </w:rPr>
              <w:tab/>
            </w:r>
          </w:p>
        </w:tc>
        <w:tc>
          <w:tcPr>
            <w:tcW w:w="792" w:type="dxa"/>
            <w:shd w:val="clear" w:color="auto" w:fill="auto"/>
            <w:vAlign w:val="bottom"/>
          </w:tcPr>
          <w:p w:rsidR="00505601" w:rsidRDefault="00505601" w:rsidP="00FB6061">
            <w:pPr>
              <w:spacing w:after="120"/>
              <w:jc w:val="right"/>
              <w:rPr>
                <w:lang w:val="es-ES_tradnl"/>
              </w:rPr>
            </w:pPr>
            <w:r>
              <w:rPr>
                <w:lang w:val="es-ES_tradnl"/>
              </w:rPr>
              <w:t>17</w:t>
            </w:r>
          </w:p>
        </w:tc>
      </w:tr>
      <w:tr w:rsidR="00505601" w:rsidRPr="000C2BB3" w:rsidTr="00FB6061">
        <w:tblPrEx>
          <w:tblCellMar>
            <w:top w:w="0" w:type="dxa"/>
            <w:bottom w:w="0" w:type="dxa"/>
          </w:tblCellMar>
        </w:tblPrEx>
        <w:tc>
          <w:tcPr>
            <w:tcW w:w="9110" w:type="dxa"/>
            <w:gridSpan w:val="3"/>
            <w:shd w:val="clear" w:color="auto" w:fill="auto"/>
          </w:tcPr>
          <w:p w:rsidR="00505601" w:rsidRPr="00144E38" w:rsidRDefault="00144E38" w:rsidP="00144E38">
            <w:pPr>
              <w:tabs>
                <w:tab w:val="right" w:pos="1080"/>
                <w:tab w:val="left" w:pos="1300"/>
                <w:tab w:val="left" w:pos="1740"/>
                <w:tab w:val="left" w:pos="2180"/>
                <w:tab w:val="left" w:pos="2620"/>
                <w:tab w:val="left" w:pos="3060"/>
                <w:tab w:val="left" w:pos="3500"/>
                <w:tab w:val="left" w:pos="3940"/>
                <w:tab w:val="right" w:leader="dot" w:pos="9245"/>
              </w:tabs>
              <w:spacing w:after="120"/>
              <w:ind w:left="1300"/>
              <w:rPr>
                <w:spacing w:val="60"/>
                <w:sz w:val="17"/>
                <w:lang w:val="es-ES_tradnl"/>
              </w:rPr>
            </w:pPr>
            <w:r w:rsidRPr="00EA0AB9">
              <w:rPr>
                <w:lang w:val="es-ES_tradnl"/>
              </w:rPr>
              <w:t>La mujer en las Fuerzas Armadas</w:t>
            </w:r>
            <w:r>
              <w:rPr>
                <w:spacing w:val="60"/>
                <w:sz w:val="17"/>
                <w:lang w:val="es-ES_tradnl"/>
              </w:rPr>
              <w:tab/>
            </w:r>
          </w:p>
        </w:tc>
        <w:tc>
          <w:tcPr>
            <w:tcW w:w="792" w:type="dxa"/>
            <w:shd w:val="clear" w:color="auto" w:fill="auto"/>
            <w:vAlign w:val="bottom"/>
          </w:tcPr>
          <w:p w:rsidR="00505601" w:rsidRDefault="00D247E6" w:rsidP="00FB6061">
            <w:pPr>
              <w:spacing w:after="120"/>
              <w:jc w:val="right"/>
              <w:rPr>
                <w:lang w:val="es-ES_tradnl"/>
              </w:rPr>
            </w:pPr>
            <w:r>
              <w:rPr>
                <w:lang w:val="es-ES_tradnl"/>
              </w:rPr>
              <w:t>18</w:t>
            </w:r>
          </w:p>
        </w:tc>
      </w:tr>
      <w:tr w:rsidR="00144E38" w:rsidRPr="000C2BB3" w:rsidTr="00FB6061">
        <w:tblPrEx>
          <w:tblCellMar>
            <w:top w:w="0" w:type="dxa"/>
            <w:bottom w:w="0" w:type="dxa"/>
          </w:tblCellMar>
        </w:tblPrEx>
        <w:tc>
          <w:tcPr>
            <w:tcW w:w="9110" w:type="dxa"/>
            <w:gridSpan w:val="3"/>
            <w:shd w:val="clear" w:color="auto" w:fill="auto"/>
          </w:tcPr>
          <w:p w:rsidR="00144E38" w:rsidRPr="00DA206B" w:rsidRDefault="00DA206B" w:rsidP="00DA206B">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950"/>
              <w:rPr>
                <w:spacing w:val="60"/>
                <w:sz w:val="17"/>
                <w:lang w:val="es-ES_tradnl"/>
              </w:rPr>
            </w:pPr>
            <w:r w:rsidRPr="000739A7">
              <w:t>Artículo 8: Representación del Gobierno. Embajadoras</w:t>
            </w:r>
            <w:r>
              <w:rPr>
                <w:spacing w:val="60"/>
                <w:sz w:val="17"/>
              </w:rPr>
              <w:tab/>
            </w:r>
          </w:p>
        </w:tc>
        <w:tc>
          <w:tcPr>
            <w:tcW w:w="792" w:type="dxa"/>
            <w:shd w:val="clear" w:color="auto" w:fill="auto"/>
            <w:vAlign w:val="bottom"/>
          </w:tcPr>
          <w:p w:rsidR="00144E38" w:rsidRDefault="00D247E6" w:rsidP="00FB6061">
            <w:pPr>
              <w:spacing w:after="120"/>
              <w:jc w:val="right"/>
              <w:rPr>
                <w:lang w:val="es-ES_tradnl"/>
              </w:rPr>
            </w:pPr>
            <w:r>
              <w:rPr>
                <w:lang w:val="es-ES_tradnl"/>
              </w:rPr>
              <w:t>18</w:t>
            </w:r>
          </w:p>
        </w:tc>
      </w:tr>
      <w:tr w:rsidR="00DA206B" w:rsidRPr="000C2BB3" w:rsidTr="00FB6061">
        <w:tblPrEx>
          <w:tblCellMar>
            <w:top w:w="0" w:type="dxa"/>
            <w:bottom w:w="0" w:type="dxa"/>
          </w:tblCellMar>
        </w:tblPrEx>
        <w:tc>
          <w:tcPr>
            <w:tcW w:w="9110" w:type="dxa"/>
            <w:gridSpan w:val="3"/>
            <w:shd w:val="clear" w:color="auto" w:fill="auto"/>
          </w:tcPr>
          <w:p w:rsidR="00DA206B" w:rsidRPr="00DA206B" w:rsidRDefault="00DA206B" w:rsidP="00DA206B">
            <w:pPr>
              <w:tabs>
                <w:tab w:val="right" w:pos="1080"/>
                <w:tab w:val="left" w:pos="1300"/>
                <w:tab w:val="left" w:pos="1740"/>
                <w:tab w:val="left" w:pos="2180"/>
                <w:tab w:val="left" w:pos="2620"/>
                <w:tab w:val="left" w:pos="3060"/>
                <w:tab w:val="left" w:pos="3500"/>
                <w:tab w:val="left" w:pos="3940"/>
                <w:tab w:val="right" w:leader="dot" w:pos="9245"/>
              </w:tabs>
              <w:spacing w:after="120"/>
              <w:ind w:left="950"/>
              <w:rPr>
                <w:spacing w:val="60"/>
                <w:sz w:val="17"/>
              </w:rPr>
            </w:pPr>
            <w:r w:rsidRPr="000739A7">
              <w:t>Artículo 9: Ciudadanía/Nacionalidad</w:t>
            </w:r>
            <w:r>
              <w:rPr>
                <w:spacing w:val="60"/>
                <w:sz w:val="17"/>
              </w:rPr>
              <w:tab/>
            </w:r>
          </w:p>
        </w:tc>
        <w:tc>
          <w:tcPr>
            <w:tcW w:w="792" w:type="dxa"/>
            <w:shd w:val="clear" w:color="auto" w:fill="auto"/>
            <w:vAlign w:val="bottom"/>
          </w:tcPr>
          <w:p w:rsidR="00DA206B" w:rsidRDefault="00DA206B" w:rsidP="00FB6061">
            <w:pPr>
              <w:spacing w:after="120"/>
              <w:jc w:val="right"/>
              <w:rPr>
                <w:lang w:val="es-ES_tradnl"/>
              </w:rPr>
            </w:pPr>
            <w:r>
              <w:rPr>
                <w:lang w:val="es-ES_tradnl"/>
              </w:rPr>
              <w:t>19</w:t>
            </w:r>
          </w:p>
        </w:tc>
      </w:tr>
      <w:tr w:rsidR="00DA206B" w:rsidRPr="000C2BB3" w:rsidTr="00FB6061">
        <w:tblPrEx>
          <w:tblCellMar>
            <w:top w:w="0" w:type="dxa"/>
            <w:bottom w:w="0" w:type="dxa"/>
          </w:tblCellMar>
        </w:tblPrEx>
        <w:tc>
          <w:tcPr>
            <w:tcW w:w="9110" w:type="dxa"/>
            <w:gridSpan w:val="3"/>
            <w:shd w:val="clear" w:color="auto" w:fill="auto"/>
          </w:tcPr>
          <w:p w:rsidR="00DA206B" w:rsidRPr="00DA206B" w:rsidRDefault="00DA206B" w:rsidP="00DA206B">
            <w:pPr>
              <w:tabs>
                <w:tab w:val="right" w:pos="1080"/>
                <w:tab w:val="left" w:pos="1300"/>
                <w:tab w:val="left" w:pos="1740"/>
                <w:tab w:val="left" w:pos="2180"/>
                <w:tab w:val="right" w:leader="dot" w:pos="9245"/>
              </w:tabs>
              <w:spacing w:after="120"/>
              <w:ind w:left="475"/>
              <w:rPr>
                <w:spacing w:val="60"/>
                <w:sz w:val="17"/>
              </w:rPr>
            </w:pPr>
            <w:r w:rsidRPr="00BA1EAC">
              <w:t>Capítulo 3: Educación</w:t>
            </w:r>
            <w:r>
              <w:rPr>
                <w:spacing w:val="60"/>
                <w:sz w:val="17"/>
              </w:rPr>
              <w:tab/>
            </w:r>
          </w:p>
        </w:tc>
        <w:tc>
          <w:tcPr>
            <w:tcW w:w="792" w:type="dxa"/>
            <w:shd w:val="clear" w:color="auto" w:fill="auto"/>
            <w:vAlign w:val="bottom"/>
          </w:tcPr>
          <w:p w:rsidR="00DA206B" w:rsidRDefault="00D247E6" w:rsidP="00FB6061">
            <w:pPr>
              <w:spacing w:after="120"/>
              <w:jc w:val="right"/>
              <w:rPr>
                <w:lang w:val="es-ES_tradnl"/>
              </w:rPr>
            </w:pPr>
            <w:r>
              <w:rPr>
                <w:lang w:val="es-ES_tradnl"/>
              </w:rPr>
              <w:t>19</w:t>
            </w:r>
          </w:p>
        </w:tc>
      </w:tr>
      <w:tr w:rsidR="00DA206B" w:rsidRPr="000C2BB3" w:rsidTr="00FB6061">
        <w:tblPrEx>
          <w:tblCellMar>
            <w:top w:w="0" w:type="dxa"/>
            <w:bottom w:w="0" w:type="dxa"/>
          </w:tblCellMar>
        </w:tblPrEx>
        <w:tc>
          <w:tcPr>
            <w:tcW w:w="9110" w:type="dxa"/>
            <w:gridSpan w:val="3"/>
            <w:shd w:val="clear" w:color="auto" w:fill="auto"/>
          </w:tcPr>
          <w:p w:rsidR="00DA206B" w:rsidRPr="00DA206B" w:rsidRDefault="00DA206B" w:rsidP="001E1630">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950"/>
              <w:rPr>
                <w:spacing w:val="60"/>
                <w:sz w:val="17"/>
              </w:rPr>
            </w:pPr>
            <w:r w:rsidRPr="000739A7">
              <w:t>Artículo 10: El sistema educativo y el género en general</w:t>
            </w:r>
            <w:r>
              <w:rPr>
                <w:spacing w:val="60"/>
                <w:sz w:val="17"/>
              </w:rPr>
              <w:tab/>
            </w:r>
          </w:p>
        </w:tc>
        <w:tc>
          <w:tcPr>
            <w:tcW w:w="792" w:type="dxa"/>
            <w:shd w:val="clear" w:color="auto" w:fill="auto"/>
            <w:vAlign w:val="bottom"/>
          </w:tcPr>
          <w:p w:rsidR="00DA206B" w:rsidRDefault="00D247E6" w:rsidP="00FB6061">
            <w:pPr>
              <w:spacing w:after="120"/>
              <w:jc w:val="right"/>
              <w:rPr>
                <w:lang w:val="es-ES_tradnl"/>
              </w:rPr>
            </w:pPr>
            <w:r>
              <w:rPr>
                <w:lang w:val="es-ES_tradnl"/>
              </w:rPr>
              <w:t>19</w:t>
            </w:r>
          </w:p>
        </w:tc>
      </w:tr>
      <w:tr w:rsidR="00DA206B" w:rsidRPr="000C2BB3" w:rsidTr="00FB6061">
        <w:tblPrEx>
          <w:tblCellMar>
            <w:top w:w="0" w:type="dxa"/>
            <w:bottom w:w="0" w:type="dxa"/>
          </w:tblCellMar>
        </w:tblPrEx>
        <w:tc>
          <w:tcPr>
            <w:tcW w:w="9110" w:type="dxa"/>
            <w:gridSpan w:val="3"/>
            <w:shd w:val="clear" w:color="auto" w:fill="auto"/>
          </w:tcPr>
          <w:p w:rsidR="00DA206B" w:rsidRPr="00DA206B" w:rsidRDefault="00DA206B" w:rsidP="00394B7D">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300"/>
              <w:rPr>
                <w:spacing w:val="60"/>
                <w:sz w:val="17"/>
              </w:rPr>
            </w:pPr>
            <w:r w:rsidRPr="00EA0AB9">
              <w:rPr>
                <w:lang w:val="es-ES_tradnl"/>
              </w:rPr>
              <w:t>El sistema educativo y el género en general</w:t>
            </w:r>
            <w:r>
              <w:rPr>
                <w:spacing w:val="60"/>
                <w:sz w:val="17"/>
                <w:lang w:val="es-ES_tradnl"/>
              </w:rPr>
              <w:tab/>
            </w:r>
          </w:p>
        </w:tc>
        <w:tc>
          <w:tcPr>
            <w:tcW w:w="792" w:type="dxa"/>
            <w:shd w:val="clear" w:color="auto" w:fill="auto"/>
            <w:vAlign w:val="bottom"/>
          </w:tcPr>
          <w:p w:rsidR="00DA206B" w:rsidRDefault="00D247E6" w:rsidP="00FB6061">
            <w:pPr>
              <w:spacing w:after="120"/>
              <w:jc w:val="right"/>
              <w:rPr>
                <w:lang w:val="es-ES_tradnl"/>
              </w:rPr>
            </w:pPr>
            <w:r>
              <w:rPr>
                <w:lang w:val="es-ES_tradnl"/>
              </w:rPr>
              <w:t>19</w:t>
            </w:r>
          </w:p>
        </w:tc>
      </w:tr>
      <w:tr w:rsidR="00DA206B" w:rsidRPr="000C2BB3" w:rsidTr="00FB6061">
        <w:tblPrEx>
          <w:tblCellMar>
            <w:top w:w="0" w:type="dxa"/>
            <w:bottom w:w="0" w:type="dxa"/>
          </w:tblCellMar>
        </w:tblPrEx>
        <w:tc>
          <w:tcPr>
            <w:tcW w:w="9110" w:type="dxa"/>
            <w:gridSpan w:val="3"/>
            <w:shd w:val="clear" w:color="auto" w:fill="auto"/>
          </w:tcPr>
          <w:p w:rsidR="00DA206B" w:rsidRPr="00DA206B" w:rsidRDefault="00DA206B" w:rsidP="00394B7D">
            <w:pPr>
              <w:tabs>
                <w:tab w:val="right" w:pos="1080"/>
                <w:tab w:val="left" w:pos="1300"/>
                <w:tab w:val="right" w:leader="dot" w:pos="9245"/>
              </w:tabs>
              <w:spacing w:after="120"/>
              <w:ind w:left="1300"/>
              <w:rPr>
                <w:spacing w:val="60"/>
                <w:sz w:val="17"/>
                <w:lang w:val="es-ES_tradnl"/>
              </w:rPr>
            </w:pPr>
            <w:r>
              <w:rPr>
                <w:lang w:val="es-ES_tradnl"/>
              </w:rPr>
              <w:t>Guardería</w:t>
            </w:r>
            <w:r>
              <w:rPr>
                <w:spacing w:val="60"/>
                <w:sz w:val="17"/>
                <w:lang w:val="es-ES_tradnl"/>
              </w:rPr>
              <w:tab/>
            </w:r>
          </w:p>
        </w:tc>
        <w:tc>
          <w:tcPr>
            <w:tcW w:w="792" w:type="dxa"/>
            <w:shd w:val="clear" w:color="auto" w:fill="auto"/>
            <w:vAlign w:val="bottom"/>
          </w:tcPr>
          <w:p w:rsidR="00DA206B" w:rsidRDefault="00D247E6" w:rsidP="00FB6061">
            <w:pPr>
              <w:spacing w:after="120"/>
              <w:jc w:val="right"/>
              <w:rPr>
                <w:lang w:val="es-ES_tradnl"/>
              </w:rPr>
            </w:pPr>
            <w:r>
              <w:rPr>
                <w:lang w:val="es-ES_tradnl"/>
              </w:rPr>
              <w:t>20</w:t>
            </w:r>
          </w:p>
        </w:tc>
      </w:tr>
      <w:tr w:rsidR="00DA206B" w:rsidRPr="000C2BB3" w:rsidTr="00FB6061">
        <w:tblPrEx>
          <w:tblCellMar>
            <w:top w:w="0" w:type="dxa"/>
            <w:bottom w:w="0" w:type="dxa"/>
          </w:tblCellMar>
        </w:tblPrEx>
        <w:tc>
          <w:tcPr>
            <w:tcW w:w="9110" w:type="dxa"/>
            <w:gridSpan w:val="3"/>
            <w:shd w:val="clear" w:color="auto" w:fill="auto"/>
          </w:tcPr>
          <w:p w:rsidR="00DA206B" w:rsidRPr="00DA206B" w:rsidRDefault="00DA206B" w:rsidP="00394B7D">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300"/>
              <w:rPr>
                <w:spacing w:val="60"/>
                <w:sz w:val="17"/>
                <w:lang w:val="es-ES_tradnl"/>
              </w:rPr>
            </w:pPr>
            <w:r w:rsidRPr="00EA0AB9">
              <w:rPr>
                <w:lang w:val="es-ES_tradnl"/>
              </w:rPr>
              <w:t>Educación primaria y secundaria inferior</w:t>
            </w:r>
            <w:r>
              <w:rPr>
                <w:spacing w:val="60"/>
                <w:sz w:val="17"/>
                <w:lang w:val="es-ES_tradnl"/>
              </w:rPr>
              <w:tab/>
            </w:r>
          </w:p>
        </w:tc>
        <w:tc>
          <w:tcPr>
            <w:tcW w:w="792" w:type="dxa"/>
            <w:shd w:val="clear" w:color="auto" w:fill="auto"/>
            <w:vAlign w:val="bottom"/>
          </w:tcPr>
          <w:p w:rsidR="00DA206B" w:rsidRDefault="00D247E6" w:rsidP="00FB6061">
            <w:pPr>
              <w:spacing w:after="120"/>
              <w:jc w:val="right"/>
              <w:rPr>
                <w:lang w:val="es-ES_tradnl"/>
              </w:rPr>
            </w:pPr>
            <w:r>
              <w:rPr>
                <w:lang w:val="es-ES_tradnl"/>
              </w:rPr>
              <w:t>21</w:t>
            </w:r>
          </w:p>
        </w:tc>
      </w:tr>
      <w:tr w:rsidR="00DA206B" w:rsidRPr="000C2BB3" w:rsidTr="00FB6061">
        <w:tblPrEx>
          <w:tblCellMar>
            <w:top w:w="0" w:type="dxa"/>
            <w:bottom w:w="0" w:type="dxa"/>
          </w:tblCellMar>
        </w:tblPrEx>
        <w:tc>
          <w:tcPr>
            <w:tcW w:w="9110" w:type="dxa"/>
            <w:gridSpan w:val="3"/>
            <w:shd w:val="clear" w:color="auto" w:fill="auto"/>
          </w:tcPr>
          <w:p w:rsidR="00DA206B" w:rsidRPr="00DA206B" w:rsidRDefault="00DA206B" w:rsidP="00394B7D">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300"/>
              <w:rPr>
                <w:spacing w:val="60"/>
                <w:sz w:val="17"/>
                <w:lang w:val="es-ES_tradnl"/>
              </w:rPr>
            </w:pPr>
            <w:r w:rsidRPr="00EA0AB9">
              <w:rPr>
                <w:lang w:val="es-ES_tradnl"/>
              </w:rPr>
              <w:t>Opciones educativas basadas en los estereotipos de género</w:t>
            </w:r>
            <w:r>
              <w:rPr>
                <w:spacing w:val="60"/>
                <w:sz w:val="17"/>
                <w:lang w:val="es-ES_tradnl"/>
              </w:rPr>
              <w:tab/>
            </w:r>
          </w:p>
        </w:tc>
        <w:tc>
          <w:tcPr>
            <w:tcW w:w="792" w:type="dxa"/>
            <w:shd w:val="clear" w:color="auto" w:fill="auto"/>
            <w:vAlign w:val="bottom"/>
          </w:tcPr>
          <w:p w:rsidR="00DA206B" w:rsidRDefault="00D247E6" w:rsidP="00FB6061">
            <w:pPr>
              <w:spacing w:after="120"/>
              <w:jc w:val="right"/>
              <w:rPr>
                <w:lang w:val="es-ES_tradnl"/>
              </w:rPr>
            </w:pPr>
            <w:r>
              <w:rPr>
                <w:lang w:val="es-ES_tradnl"/>
              </w:rPr>
              <w:t>21</w:t>
            </w:r>
          </w:p>
        </w:tc>
      </w:tr>
      <w:tr w:rsidR="00DA206B" w:rsidRPr="000C2BB3" w:rsidTr="00FB6061">
        <w:tblPrEx>
          <w:tblCellMar>
            <w:top w:w="0" w:type="dxa"/>
            <w:bottom w:w="0" w:type="dxa"/>
          </w:tblCellMar>
        </w:tblPrEx>
        <w:tc>
          <w:tcPr>
            <w:tcW w:w="9110" w:type="dxa"/>
            <w:gridSpan w:val="3"/>
            <w:shd w:val="clear" w:color="auto" w:fill="auto"/>
          </w:tcPr>
          <w:p w:rsidR="00DA206B" w:rsidRPr="00DA206B" w:rsidRDefault="00DA206B" w:rsidP="00394B7D">
            <w:pPr>
              <w:tabs>
                <w:tab w:val="right" w:pos="1080"/>
                <w:tab w:val="left" w:pos="1300"/>
                <w:tab w:val="left" w:pos="1740"/>
                <w:tab w:val="left" w:pos="2180"/>
                <w:tab w:val="left" w:pos="2620"/>
                <w:tab w:val="left" w:pos="3060"/>
                <w:tab w:val="left" w:pos="3500"/>
                <w:tab w:val="left" w:pos="3940"/>
                <w:tab w:val="right" w:leader="dot" w:pos="9245"/>
              </w:tabs>
              <w:spacing w:after="120"/>
              <w:ind w:left="1300"/>
              <w:rPr>
                <w:spacing w:val="60"/>
                <w:sz w:val="17"/>
                <w:lang w:val="es-ES_tradnl"/>
              </w:rPr>
            </w:pPr>
            <w:r w:rsidRPr="00EA0AB9">
              <w:rPr>
                <w:lang w:val="es-ES_tradnl"/>
              </w:rPr>
              <w:t>Educación secundaria superior general</w:t>
            </w:r>
            <w:r>
              <w:rPr>
                <w:spacing w:val="60"/>
                <w:sz w:val="17"/>
                <w:lang w:val="es-ES_tradnl"/>
              </w:rPr>
              <w:tab/>
            </w:r>
          </w:p>
        </w:tc>
        <w:tc>
          <w:tcPr>
            <w:tcW w:w="792" w:type="dxa"/>
            <w:shd w:val="clear" w:color="auto" w:fill="auto"/>
            <w:vAlign w:val="bottom"/>
          </w:tcPr>
          <w:p w:rsidR="00DA206B" w:rsidRDefault="00335505" w:rsidP="00FB6061">
            <w:pPr>
              <w:spacing w:after="120"/>
              <w:jc w:val="right"/>
              <w:rPr>
                <w:lang w:val="es-ES_tradnl"/>
              </w:rPr>
            </w:pPr>
            <w:r>
              <w:rPr>
                <w:lang w:val="es-ES_tradnl"/>
              </w:rPr>
              <w:t>22</w:t>
            </w:r>
          </w:p>
        </w:tc>
      </w:tr>
      <w:tr w:rsidR="00DA206B" w:rsidRPr="000C2BB3" w:rsidTr="00FB6061">
        <w:tblPrEx>
          <w:tblCellMar>
            <w:top w:w="0" w:type="dxa"/>
            <w:bottom w:w="0" w:type="dxa"/>
          </w:tblCellMar>
        </w:tblPrEx>
        <w:tc>
          <w:tcPr>
            <w:tcW w:w="9110" w:type="dxa"/>
            <w:gridSpan w:val="3"/>
            <w:shd w:val="clear" w:color="auto" w:fill="auto"/>
          </w:tcPr>
          <w:p w:rsidR="00DA206B" w:rsidRPr="00DA206B" w:rsidRDefault="00DA206B" w:rsidP="00394B7D">
            <w:pPr>
              <w:tabs>
                <w:tab w:val="right" w:pos="1080"/>
                <w:tab w:val="left" w:pos="1300"/>
                <w:tab w:val="left" w:pos="1740"/>
                <w:tab w:val="left" w:pos="2180"/>
                <w:tab w:val="left" w:pos="2620"/>
                <w:tab w:val="left" w:pos="3060"/>
                <w:tab w:val="left" w:pos="3500"/>
                <w:tab w:val="left" w:pos="3940"/>
                <w:tab w:val="right" w:leader="dot" w:pos="9245"/>
              </w:tabs>
              <w:spacing w:after="120"/>
              <w:ind w:left="1300"/>
              <w:rPr>
                <w:spacing w:val="60"/>
                <w:sz w:val="17"/>
                <w:lang w:val="es-ES_tradnl"/>
              </w:rPr>
            </w:pPr>
            <w:r>
              <w:rPr>
                <w:lang w:val="es-ES_tradnl"/>
              </w:rPr>
              <w:t>Educación y formación profesional</w:t>
            </w:r>
            <w:r>
              <w:rPr>
                <w:spacing w:val="60"/>
                <w:sz w:val="17"/>
                <w:lang w:val="es-ES_tradnl"/>
              </w:rPr>
              <w:tab/>
            </w:r>
          </w:p>
        </w:tc>
        <w:tc>
          <w:tcPr>
            <w:tcW w:w="792" w:type="dxa"/>
            <w:shd w:val="clear" w:color="auto" w:fill="auto"/>
            <w:vAlign w:val="bottom"/>
          </w:tcPr>
          <w:p w:rsidR="00DA206B" w:rsidRDefault="00335505" w:rsidP="00FB6061">
            <w:pPr>
              <w:spacing w:after="120"/>
              <w:jc w:val="right"/>
              <w:rPr>
                <w:lang w:val="es-ES_tradnl"/>
              </w:rPr>
            </w:pPr>
            <w:r>
              <w:rPr>
                <w:lang w:val="es-ES_tradnl"/>
              </w:rPr>
              <w:t>22</w:t>
            </w:r>
          </w:p>
        </w:tc>
      </w:tr>
      <w:tr w:rsidR="00DA206B" w:rsidRPr="000C2BB3" w:rsidTr="00FB6061">
        <w:tblPrEx>
          <w:tblCellMar>
            <w:top w:w="0" w:type="dxa"/>
            <w:bottom w:w="0" w:type="dxa"/>
          </w:tblCellMar>
        </w:tblPrEx>
        <w:tc>
          <w:tcPr>
            <w:tcW w:w="9110" w:type="dxa"/>
            <w:gridSpan w:val="3"/>
            <w:shd w:val="clear" w:color="auto" w:fill="auto"/>
          </w:tcPr>
          <w:p w:rsidR="00DA206B" w:rsidRPr="00DA206B" w:rsidRDefault="00DA206B" w:rsidP="00394B7D">
            <w:pPr>
              <w:tabs>
                <w:tab w:val="right" w:pos="1080"/>
                <w:tab w:val="left" w:pos="1300"/>
                <w:tab w:val="left" w:pos="1740"/>
                <w:tab w:val="left" w:pos="2180"/>
                <w:tab w:val="left" w:pos="2620"/>
                <w:tab w:val="left" w:pos="3060"/>
                <w:tab w:val="left" w:pos="3500"/>
                <w:tab w:val="right" w:leader="dot" w:pos="9245"/>
              </w:tabs>
              <w:spacing w:after="120"/>
              <w:ind w:left="1300"/>
              <w:rPr>
                <w:spacing w:val="60"/>
                <w:sz w:val="17"/>
                <w:lang w:val="es-ES_tradnl"/>
              </w:rPr>
            </w:pPr>
            <w:r w:rsidRPr="00EA0AB9">
              <w:rPr>
                <w:lang w:val="es-ES_tradnl"/>
              </w:rPr>
              <w:t>Acceso a la educación superior</w:t>
            </w:r>
            <w:r>
              <w:rPr>
                <w:spacing w:val="60"/>
                <w:sz w:val="17"/>
                <w:lang w:val="es-ES_tradnl"/>
              </w:rPr>
              <w:tab/>
            </w:r>
          </w:p>
        </w:tc>
        <w:tc>
          <w:tcPr>
            <w:tcW w:w="792" w:type="dxa"/>
            <w:shd w:val="clear" w:color="auto" w:fill="auto"/>
            <w:vAlign w:val="bottom"/>
          </w:tcPr>
          <w:p w:rsidR="00DA206B" w:rsidRDefault="00335505" w:rsidP="00FB6061">
            <w:pPr>
              <w:spacing w:after="120"/>
              <w:jc w:val="right"/>
              <w:rPr>
                <w:lang w:val="es-ES_tradnl"/>
              </w:rPr>
            </w:pPr>
            <w:r>
              <w:rPr>
                <w:lang w:val="es-ES_tradnl"/>
              </w:rPr>
              <w:t>23</w:t>
            </w:r>
          </w:p>
        </w:tc>
      </w:tr>
      <w:tr w:rsidR="00DA206B" w:rsidRPr="000C2BB3" w:rsidTr="00FB6061">
        <w:tblPrEx>
          <w:tblCellMar>
            <w:top w:w="0" w:type="dxa"/>
            <w:bottom w:w="0" w:type="dxa"/>
          </w:tblCellMar>
        </w:tblPrEx>
        <w:tc>
          <w:tcPr>
            <w:tcW w:w="9110" w:type="dxa"/>
            <w:gridSpan w:val="3"/>
            <w:shd w:val="clear" w:color="auto" w:fill="auto"/>
          </w:tcPr>
          <w:p w:rsidR="00DA206B" w:rsidRPr="00ED5EB0" w:rsidRDefault="00ED5EB0" w:rsidP="00394B7D">
            <w:pPr>
              <w:tabs>
                <w:tab w:val="right" w:pos="1080"/>
                <w:tab w:val="left" w:pos="1300"/>
                <w:tab w:val="left" w:pos="1740"/>
                <w:tab w:val="left" w:pos="2180"/>
                <w:tab w:val="left" w:pos="2620"/>
                <w:tab w:val="left" w:pos="3060"/>
                <w:tab w:val="left" w:pos="3500"/>
                <w:tab w:val="right" w:leader="dot" w:pos="9245"/>
              </w:tabs>
              <w:spacing w:after="120"/>
              <w:ind w:left="1300"/>
              <w:rPr>
                <w:spacing w:val="60"/>
                <w:sz w:val="17"/>
                <w:lang w:val="es-ES_tradnl"/>
              </w:rPr>
            </w:pPr>
            <w:r w:rsidRPr="00EA0AB9">
              <w:rPr>
                <w:lang w:val="es-ES_tradnl"/>
              </w:rPr>
              <w:t>Financiación de la investigación</w:t>
            </w:r>
            <w:r>
              <w:rPr>
                <w:spacing w:val="60"/>
                <w:sz w:val="17"/>
                <w:lang w:val="es-ES_tradnl"/>
              </w:rPr>
              <w:tab/>
            </w:r>
          </w:p>
        </w:tc>
        <w:tc>
          <w:tcPr>
            <w:tcW w:w="792" w:type="dxa"/>
            <w:shd w:val="clear" w:color="auto" w:fill="auto"/>
            <w:vAlign w:val="bottom"/>
          </w:tcPr>
          <w:p w:rsidR="00DA206B" w:rsidRDefault="00335505" w:rsidP="00FB6061">
            <w:pPr>
              <w:spacing w:after="120"/>
              <w:jc w:val="right"/>
              <w:rPr>
                <w:lang w:val="es-ES_tradnl"/>
              </w:rPr>
            </w:pPr>
            <w:r>
              <w:rPr>
                <w:lang w:val="es-ES_tradnl"/>
              </w:rPr>
              <w:t>23</w:t>
            </w:r>
          </w:p>
        </w:tc>
      </w:tr>
      <w:tr w:rsidR="00ED5EB0" w:rsidRPr="000C2BB3" w:rsidTr="00FB6061">
        <w:tblPrEx>
          <w:tblCellMar>
            <w:top w:w="0" w:type="dxa"/>
            <w:bottom w:w="0" w:type="dxa"/>
          </w:tblCellMar>
        </w:tblPrEx>
        <w:tc>
          <w:tcPr>
            <w:tcW w:w="9110" w:type="dxa"/>
            <w:gridSpan w:val="3"/>
            <w:shd w:val="clear" w:color="auto" w:fill="auto"/>
          </w:tcPr>
          <w:p w:rsidR="00ED5EB0" w:rsidRPr="00394B7D" w:rsidRDefault="00394B7D" w:rsidP="00394B7D">
            <w:pPr>
              <w:tabs>
                <w:tab w:val="right" w:pos="1080"/>
                <w:tab w:val="left" w:pos="1300"/>
                <w:tab w:val="left" w:pos="1740"/>
                <w:tab w:val="left" w:pos="2180"/>
                <w:tab w:val="left" w:pos="2620"/>
                <w:tab w:val="left" w:pos="3060"/>
                <w:tab w:val="left" w:pos="3500"/>
                <w:tab w:val="left" w:pos="3940"/>
                <w:tab w:val="right" w:leader="dot" w:pos="9245"/>
              </w:tabs>
              <w:spacing w:after="120"/>
              <w:ind w:left="1300"/>
              <w:rPr>
                <w:spacing w:val="60"/>
                <w:sz w:val="17"/>
                <w:lang w:val="es-ES_tradnl"/>
              </w:rPr>
            </w:pPr>
            <w:r>
              <w:rPr>
                <w:lang w:val="es-ES_tradnl"/>
              </w:rPr>
              <w:t>La mujer en los círculos académicos</w:t>
            </w:r>
            <w:r>
              <w:rPr>
                <w:spacing w:val="60"/>
                <w:sz w:val="17"/>
                <w:lang w:val="es-ES_tradnl"/>
              </w:rPr>
              <w:tab/>
            </w:r>
          </w:p>
        </w:tc>
        <w:tc>
          <w:tcPr>
            <w:tcW w:w="792" w:type="dxa"/>
            <w:shd w:val="clear" w:color="auto" w:fill="auto"/>
            <w:vAlign w:val="bottom"/>
          </w:tcPr>
          <w:p w:rsidR="00ED5EB0" w:rsidRDefault="00335505" w:rsidP="00FB6061">
            <w:pPr>
              <w:spacing w:after="120"/>
              <w:jc w:val="right"/>
              <w:rPr>
                <w:lang w:val="es-ES_tradnl"/>
              </w:rPr>
            </w:pPr>
            <w:r>
              <w:rPr>
                <w:lang w:val="es-ES_tradnl"/>
              </w:rPr>
              <w:t>24</w:t>
            </w:r>
          </w:p>
        </w:tc>
      </w:tr>
      <w:tr w:rsidR="00394B7D" w:rsidRPr="000C2BB3" w:rsidTr="00FB6061">
        <w:tblPrEx>
          <w:tblCellMar>
            <w:top w:w="0" w:type="dxa"/>
            <w:bottom w:w="0" w:type="dxa"/>
          </w:tblCellMar>
        </w:tblPrEx>
        <w:tc>
          <w:tcPr>
            <w:tcW w:w="9110" w:type="dxa"/>
            <w:gridSpan w:val="3"/>
            <w:shd w:val="clear" w:color="auto" w:fill="auto"/>
          </w:tcPr>
          <w:p w:rsidR="00394B7D" w:rsidRPr="00394B7D" w:rsidRDefault="00394B7D" w:rsidP="00394B7D">
            <w:pPr>
              <w:tabs>
                <w:tab w:val="right" w:pos="1080"/>
                <w:tab w:val="left" w:pos="1300"/>
                <w:tab w:val="left" w:pos="1740"/>
                <w:tab w:val="left" w:pos="2180"/>
                <w:tab w:val="left" w:pos="2620"/>
                <w:tab w:val="left" w:pos="3060"/>
                <w:tab w:val="left" w:pos="3500"/>
                <w:tab w:val="right" w:leader="dot" w:pos="9245"/>
              </w:tabs>
              <w:spacing w:after="120"/>
              <w:ind w:left="1300"/>
              <w:rPr>
                <w:spacing w:val="60"/>
                <w:sz w:val="17"/>
                <w:lang w:val="es-ES_tradnl"/>
              </w:rPr>
            </w:pPr>
            <w:r w:rsidRPr="00EA0AB9">
              <w:rPr>
                <w:lang w:val="es-ES_tradnl"/>
              </w:rPr>
              <w:t>Financiación de la investigación</w:t>
            </w:r>
            <w:r>
              <w:rPr>
                <w:spacing w:val="60"/>
                <w:sz w:val="17"/>
                <w:lang w:val="es-ES_tradnl"/>
              </w:rPr>
              <w:tab/>
            </w:r>
          </w:p>
        </w:tc>
        <w:tc>
          <w:tcPr>
            <w:tcW w:w="792" w:type="dxa"/>
            <w:shd w:val="clear" w:color="auto" w:fill="auto"/>
            <w:vAlign w:val="bottom"/>
          </w:tcPr>
          <w:p w:rsidR="00394B7D" w:rsidRDefault="00335505" w:rsidP="00FB6061">
            <w:pPr>
              <w:spacing w:after="120"/>
              <w:jc w:val="right"/>
              <w:rPr>
                <w:lang w:val="es-ES_tradnl"/>
              </w:rPr>
            </w:pPr>
            <w:r>
              <w:rPr>
                <w:lang w:val="es-ES_tradnl"/>
              </w:rPr>
              <w:t>25</w:t>
            </w:r>
          </w:p>
        </w:tc>
      </w:tr>
      <w:tr w:rsidR="00394B7D" w:rsidRPr="000C2BB3" w:rsidTr="00FB6061">
        <w:tblPrEx>
          <w:tblCellMar>
            <w:top w:w="0" w:type="dxa"/>
            <w:bottom w:w="0" w:type="dxa"/>
          </w:tblCellMar>
        </w:tblPrEx>
        <w:tc>
          <w:tcPr>
            <w:tcW w:w="9110" w:type="dxa"/>
            <w:gridSpan w:val="3"/>
            <w:shd w:val="clear" w:color="auto" w:fill="auto"/>
          </w:tcPr>
          <w:p w:rsidR="00394B7D" w:rsidRPr="00DC5BAB" w:rsidRDefault="00DC5BAB" w:rsidP="00DC5BAB">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950"/>
              <w:rPr>
                <w:spacing w:val="60"/>
                <w:sz w:val="17"/>
                <w:lang w:val="es-ES_tradnl"/>
              </w:rPr>
            </w:pPr>
            <w:r w:rsidRPr="000739A7">
              <w:t>Artículo 11: La situación en el mercado de trabajo</w:t>
            </w:r>
            <w:r>
              <w:rPr>
                <w:spacing w:val="60"/>
                <w:sz w:val="17"/>
              </w:rPr>
              <w:tab/>
            </w:r>
          </w:p>
        </w:tc>
        <w:tc>
          <w:tcPr>
            <w:tcW w:w="792" w:type="dxa"/>
            <w:shd w:val="clear" w:color="auto" w:fill="auto"/>
            <w:vAlign w:val="bottom"/>
          </w:tcPr>
          <w:p w:rsidR="00394B7D" w:rsidRDefault="00335505" w:rsidP="00FB6061">
            <w:pPr>
              <w:spacing w:after="120"/>
              <w:jc w:val="right"/>
              <w:rPr>
                <w:lang w:val="es-ES_tradnl"/>
              </w:rPr>
            </w:pPr>
            <w:r>
              <w:rPr>
                <w:lang w:val="es-ES_tradnl"/>
              </w:rPr>
              <w:t>26</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300"/>
              <w:rPr>
                <w:spacing w:val="60"/>
                <w:sz w:val="17"/>
              </w:rPr>
            </w:pPr>
            <w:r w:rsidRPr="00EA0AB9">
              <w:rPr>
                <w:lang w:val="es-ES_tradnl"/>
              </w:rPr>
              <w:t>Las mujeres en la fuerza de trabajo de Dinamarca</w:t>
            </w:r>
            <w:r>
              <w:rPr>
                <w:spacing w:val="60"/>
                <w:sz w:val="17"/>
                <w:lang w:val="es-ES_tradnl"/>
              </w:rPr>
              <w:tab/>
            </w:r>
          </w:p>
        </w:tc>
        <w:tc>
          <w:tcPr>
            <w:tcW w:w="792" w:type="dxa"/>
            <w:shd w:val="clear" w:color="auto" w:fill="auto"/>
            <w:vAlign w:val="bottom"/>
          </w:tcPr>
          <w:p w:rsidR="00DC5BAB" w:rsidRDefault="00335505" w:rsidP="00FB6061">
            <w:pPr>
              <w:spacing w:after="120"/>
              <w:jc w:val="right"/>
              <w:rPr>
                <w:lang w:val="es-ES_tradnl"/>
              </w:rPr>
            </w:pPr>
            <w:r>
              <w:rPr>
                <w:lang w:val="es-ES_tradnl"/>
              </w:rPr>
              <w:t>26</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300"/>
              <w:rPr>
                <w:spacing w:val="60"/>
                <w:sz w:val="17"/>
                <w:lang w:val="es-ES_tradnl"/>
              </w:rPr>
            </w:pPr>
            <w:r>
              <w:rPr>
                <w:lang w:val="es-ES_tradnl"/>
              </w:rPr>
              <w:t>Prohibición de la discriminación</w:t>
            </w:r>
            <w:r>
              <w:rPr>
                <w:spacing w:val="60"/>
                <w:sz w:val="17"/>
                <w:lang w:val="es-ES_tradnl"/>
              </w:rPr>
              <w:tab/>
            </w:r>
          </w:p>
        </w:tc>
        <w:tc>
          <w:tcPr>
            <w:tcW w:w="792" w:type="dxa"/>
            <w:shd w:val="clear" w:color="auto" w:fill="auto"/>
            <w:vAlign w:val="bottom"/>
          </w:tcPr>
          <w:p w:rsidR="00DC5BAB" w:rsidRDefault="00335505" w:rsidP="00FB6061">
            <w:pPr>
              <w:spacing w:after="120"/>
              <w:jc w:val="right"/>
              <w:rPr>
                <w:lang w:val="es-ES_tradnl"/>
              </w:rPr>
            </w:pPr>
            <w:r>
              <w:rPr>
                <w:lang w:val="es-ES_tradnl"/>
              </w:rPr>
              <w:t>27</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300"/>
              <w:rPr>
                <w:spacing w:val="60"/>
                <w:sz w:val="17"/>
                <w:lang w:val="es-ES_tradnl"/>
              </w:rPr>
            </w:pPr>
            <w:r w:rsidRPr="00EA0AB9">
              <w:rPr>
                <w:lang w:val="es-ES_tradnl"/>
              </w:rPr>
              <w:t>Mercado de trabajo segregado en función del género y diferencias de remuneración</w:t>
            </w:r>
            <w:r>
              <w:rPr>
                <w:spacing w:val="60"/>
                <w:sz w:val="17"/>
                <w:lang w:val="es-ES_tradnl"/>
              </w:rPr>
              <w:tab/>
            </w:r>
          </w:p>
        </w:tc>
        <w:tc>
          <w:tcPr>
            <w:tcW w:w="792" w:type="dxa"/>
            <w:shd w:val="clear" w:color="auto" w:fill="auto"/>
            <w:vAlign w:val="bottom"/>
          </w:tcPr>
          <w:p w:rsidR="00DC5BAB" w:rsidRDefault="00DC5BAB" w:rsidP="00FB6061">
            <w:pPr>
              <w:spacing w:after="120"/>
              <w:jc w:val="right"/>
              <w:rPr>
                <w:lang w:val="es-ES_tradnl"/>
              </w:rPr>
            </w:pPr>
            <w:r>
              <w:rPr>
                <w:lang w:val="es-ES_tradnl"/>
              </w:rPr>
              <w:t>2</w:t>
            </w:r>
            <w:r w:rsidR="00335505">
              <w:rPr>
                <w:lang w:val="es-ES_tradnl"/>
              </w:rPr>
              <w:t>8</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300"/>
              <w:rPr>
                <w:spacing w:val="60"/>
                <w:sz w:val="17"/>
                <w:lang w:val="es-ES_tradnl"/>
              </w:rPr>
            </w:pPr>
            <w:r w:rsidRPr="00EA0AB9">
              <w:rPr>
                <w:lang w:val="es-ES_tradnl"/>
              </w:rPr>
              <w:t>Licencia de maternidad, de paternidad y parental</w:t>
            </w:r>
            <w:r>
              <w:rPr>
                <w:spacing w:val="60"/>
                <w:sz w:val="17"/>
                <w:lang w:val="es-ES_tradnl"/>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30</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300"/>
              <w:rPr>
                <w:spacing w:val="60"/>
                <w:sz w:val="17"/>
                <w:lang w:val="es-ES_tradnl"/>
              </w:rPr>
            </w:pPr>
            <w:r w:rsidRPr="00EA0AB9">
              <w:rPr>
                <w:lang w:val="es-ES_tradnl"/>
              </w:rPr>
              <w:t>Trabajo a tiempo parcial, horario reducido y horas de trabajo</w:t>
            </w:r>
            <w:r>
              <w:rPr>
                <w:spacing w:val="60"/>
                <w:sz w:val="17"/>
                <w:lang w:val="es-ES_tradnl"/>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31</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300"/>
              <w:rPr>
                <w:spacing w:val="60"/>
                <w:sz w:val="17"/>
                <w:lang w:val="es-ES_tradnl"/>
              </w:rPr>
            </w:pPr>
            <w:r>
              <w:rPr>
                <w:lang w:val="es-ES_tradnl"/>
              </w:rPr>
              <w:t xml:space="preserve">Convención sobre los </w:t>
            </w:r>
            <w:r w:rsidR="00C90CF0">
              <w:rPr>
                <w:lang w:val="es-ES_tradnl"/>
              </w:rPr>
              <w:t>Trabajadores</w:t>
            </w:r>
            <w:r>
              <w:rPr>
                <w:lang w:val="es-ES_tradnl"/>
              </w:rPr>
              <w:t xml:space="preserve"> </w:t>
            </w:r>
            <w:r w:rsidR="00C90CF0">
              <w:rPr>
                <w:lang w:val="es-ES_tradnl"/>
              </w:rPr>
              <w:t>Migragorios</w:t>
            </w:r>
            <w:r>
              <w:rPr>
                <w:spacing w:val="60"/>
                <w:sz w:val="17"/>
                <w:lang w:val="es-ES_tradnl"/>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31</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right" w:leader="dot" w:pos="9245"/>
              </w:tabs>
              <w:spacing w:after="120"/>
              <w:ind w:left="1300"/>
              <w:rPr>
                <w:spacing w:val="60"/>
                <w:sz w:val="17"/>
                <w:lang w:val="es-ES_tradnl"/>
              </w:rPr>
            </w:pPr>
            <w:r>
              <w:rPr>
                <w:lang w:val="es-ES_tradnl"/>
              </w:rPr>
              <w:t>Mujeres empresarias</w:t>
            </w:r>
            <w:r>
              <w:rPr>
                <w:spacing w:val="60"/>
                <w:sz w:val="17"/>
                <w:lang w:val="es-ES_tradnl"/>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32</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right" w:leader="dot" w:pos="9245"/>
              </w:tabs>
              <w:spacing w:after="120"/>
              <w:ind w:left="950"/>
              <w:rPr>
                <w:spacing w:val="60"/>
                <w:sz w:val="17"/>
                <w:lang w:val="es-ES_tradnl"/>
              </w:rPr>
            </w:pPr>
            <w:r>
              <w:rPr>
                <w:lang w:val="es-ES_tradnl"/>
              </w:rPr>
              <w:t>Artículo 12: Salud</w:t>
            </w:r>
            <w:r>
              <w:rPr>
                <w:spacing w:val="60"/>
                <w:sz w:val="17"/>
                <w:lang w:val="es-ES_tradnl"/>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34</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300"/>
              <w:rPr>
                <w:spacing w:val="60"/>
                <w:sz w:val="17"/>
              </w:rPr>
            </w:pPr>
            <w:r w:rsidRPr="00DC5BAB">
              <w:t>Vacuna contra el VPH para prevenir el cáncer cervical</w:t>
            </w:r>
            <w:r>
              <w:rPr>
                <w:spacing w:val="60"/>
                <w:sz w:val="17"/>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34</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right" w:leader="dot" w:pos="9245"/>
              </w:tabs>
              <w:spacing w:after="120"/>
              <w:ind w:left="1300"/>
              <w:rPr>
                <w:spacing w:val="60"/>
                <w:sz w:val="17"/>
              </w:rPr>
            </w:pPr>
            <w:r w:rsidRPr="00DC5BAB">
              <w:t>Fecundidad</w:t>
            </w:r>
            <w:r>
              <w:rPr>
                <w:spacing w:val="60"/>
                <w:sz w:val="17"/>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34</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right" w:leader="dot" w:pos="9245"/>
              </w:tabs>
              <w:spacing w:after="120"/>
              <w:ind w:left="1300"/>
              <w:rPr>
                <w:spacing w:val="60"/>
                <w:sz w:val="17"/>
              </w:rPr>
            </w:pPr>
            <w:r w:rsidRPr="00DC5BAB">
              <w:t>Servicios de maternidad</w:t>
            </w:r>
            <w:r>
              <w:rPr>
                <w:spacing w:val="60"/>
                <w:sz w:val="17"/>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34</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right" w:leader="dot" w:pos="9245"/>
              </w:tabs>
              <w:spacing w:after="120"/>
              <w:ind w:left="1300"/>
              <w:rPr>
                <w:spacing w:val="60"/>
                <w:sz w:val="17"/>
              </w:rPr>
            </w:pPr>
            <w:r w:rsidRPr="00DC5BAB">
              <w:t>Derecho al aborto</w:t>
            </w:r>
            <w:r>
              <w:rPr>
                <w:spacing w:val="60"/>
                <w:sz w:val="17"/>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34</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right" w:leader="dot" w:pos="9245"/>
              </w:tabs>
              <w:spacing w:after="120"/>
              <w:ind w:left="1300"/>
              <w:rPr>
                <w:spacing w:val="60"/>
                <w:sz w:val="17"/>
              </w:rPr>
            </w:pPr>
            <w:r w:rsidRPr="00DC5BAB">
              <w:t>Paquetes de prevención</w:t>
            </w:r>
            <w:r>
              <w:rPr>
                <w:spacing w:val="60"/>
                <w:sz w:val="17"/>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35</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left" w:pos="3500"/>
                <w:tab w:val="right" w:leader="dot" w:pos="9245"/>
              </w:tabs>
              <w:spacing w:after="120"/>
              <w:ind w:left="1300"/>
              <w:rPr>
                <w:spacing w:val="60"/>
                <w:sz w:val="17"/>
              </w:rPr>
            </w:pPr>
            <w:r w:rsidRPr="00DC5BAB">
              <w:t>Esperanza de vida en 2012</w:t>
            </w:r>
            <w:r>
              <w:rPr>
                <w:spacing w:val="60"/>
                <w:sz w:val="17"/>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35</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left" w:pos="3500"/>
                <w:tab w:val="right" w:leader="dot" w:pos="9245"/>
              </w:tabs>
              <w:spacing w:after="120"/>
              <w:ind w:left="1300"/>
              <w:rPr>
                <w:spacing w:val="60"/>
                <w:sz w:val="17"/>
              </w:rPr>
            </w:pPr>
            <w:r w:rsidRPr="00DC5BAB">
              <w:t>El hábito de fumar tabaco</w:t>
            </w:r>
            <w:r>
              <w:rPr>
                <w:spacing w:val="60"/>
                <w:sz w:val="17"/>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36</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300"/>
              <w:rPr>
                <w:spacing w:val="60"/>
                <w:sz w:val="17"/>
              </w:rPr>
            </w:pPr>
            <w:r w:rsidRPr="00DC5BAB">
              <w:t>Salud y prevención para las mujeres extranjeras</w:t>
            </w:r>
            <w:r>
              <w:rPr>
                <w:spacing w:val="60"/>
                <w:sz w:val="17"/>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36</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right" w:leader="dot" w:pos="9245"/>
              </w:tabs>
              <w:spacing w:after="120"/>
              <w:ind w:left="1300"/>
              <w:rPr>
                <w:spacing w:val="60"/>
                <w:sz w:val="17"/>
              </w:rPr>
            </w:pPr>
            <w:r w:rsidRPr="00DC5BAB">
              <w:t>VIH/SIDA</w:t>
            </w:r>
            <w:r>
              <w:rPr>
                <w:spacing w:val="60"/>
                <w:sz w:val="17"/>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36</w:t>
            </w:r>
          </w:p>
        </w:tc>
      </w:tr>
      <w:tr w:rsidR="00DC5BAB" w:rsidRPr="000C2BB3" w:rsidTr="00FB6061">
        <w:tblPrEx>
          <w:tblCellMar>
            <w:top w:w="0" w:type="dxa"/>
            <w:bottom w:w="0" w:type="dxa"/>
          </w:tblCellMar>
        </w:tblPrEx>
        <w:tc>
          <w:tcPr>
            <w:tcW w:w="9110" w:type="dxa"/>
            <w:gridSpan w:val="3"/>
            <w:shd w:val="clear" w:color="auto" w:fill="auto"/>
          </w:tcPr>
          <w:p w:rsidR="00DC5BAB" w:rsidRPr="00DC5BAB" w:rsidRDefault="00DC5BAB" w:rsidP="00DC5BAB">
            <w:pPr>
              <w:tabs>
                <w:tab w:val="right" w:pos="1080"/>
                <w:tab w:val="left" w:pos="1300"/>
                <w:tab w:val="left" w:pos="1740"/>
                <w:tab w:val="left" w:pos="2180"/>
                <w:tab w:val="left" w:pos="2620"/>
                <w:tab w:val="left" w:pos="3060"/>
                <w:tab w:val="right" w:leader="dot" w:pos="9245"/>
              </w:tabs>
              <w:spacing w:after="120"/>
              <w:ind w:left="1300"/>
              <w:rPr>
                <w:spacing w:val="60"/>
                <w:sz w:val="17"/>
              </w:rPr>
            </w:pPr>
            <w:r w:rsidRPr="00DC5BAB">
              <w:t>Violencia contra la mujer</w:t>
            </w:r>
            <w:r>
              <w:rPr>
                <w:spacing w:val="60"/>
                <w:sz w:val="17"/>
              </w:rPr>
              <w:tab/>
            </w:r>
          </w:p>
        </w:tc>
        <w:tc>
          <w:tcPr>
            <w:tcW w:w="792" w:type="dxa"/>
            <w:shd w:val="clear" w:color="auto" w:fill="auto"/>
            <w:vAlign w:val="bottom"/>
          </w:tcPr>
          <w:p w:rsidR="00DC5BAB" w:rsidRDefault="00335505" w:rsidP="00FB6061">
            <w:pPr>
              <w:spacing w:after="120"/>
              <w:jc w:val="right"/>
              <w:rPr>
                <w:lang w:val="es-ES_tradnl"/>
              </w:rPr>
            </w:pPr>
            <w:r>
              <w:rPr>
                <w:lang w:val="es-ES_tradnl"/>
              </w:rPr>
              <w:t>3</w:t>
            </w:r>
            <w:r w:rsidR="00323D21">
              <w:rPr>
                <w:lang w:val="es-ES_tradnl"/>
              </w:rPr>
              <w:t>7</w:t>
            </w:r>
          </w:p>
        </w:tc>
      </w:tr>
      <w:tr w:rsidR="00335505" w:rsidRPr="000C2BB3" w:rsidTr="00FB6061">
        <w:tblPrEx>
          <w:tblCellMar>
            <w:top w:w="0" w:type="dxa"/>
            <w:bottom w:w="0" w:type="dxa"/>
          </w:tblCellMar>
        </w:tblPrEx>
        <w:tc>
          <w:tcPr>
            <w:tcW w:w="9110" w:type="dxa"/>
            <w:gridSpan w:val="3"/>
            <w:shd w:val="clear" w:color="auto" w:fill="auto"/>
          </w:tcPr>
          <w:p w:rsidR="00335505" w:rsidRPr="00EA0AB9" w:rsidRDefault="00335505" w:rsidP="00335505">
            <w:pPr>
              <w:tabs>
                <w:tab w:val="right" w:pos="1080"/>
                <w:tab w:val="left" w:pos="1300"/>
                <w:tab w:val="left" w:pos="1740"/>
                <w:tab w:val="left" w:pos="2180"/>
                <w:tab w:val="left" w:pos="2620"/>
                <w:tab w:val="left" w:pos="3060"/>
                <w:tab w:val="right" w:leader="dot" w:pos="9245"/>
              </w:tabs>
              <w:spacing w:after="120"/>
              <w:ind w:left="950"/>
            </w:pPr>
            <w:r>
              <w:t>Artículo 13: La igualdad entre los géneros en otras esferas de la vida financiera y social</w:t>
            </w:r>
            <w:r>
              <w:rPr>
                <w:spacing w:val="60"/>
                <w:sz w:val="17"/>
              </w:rPr>
              <w:tab/>
            </w:r>
          </w:p>
        </w:tc>
        <w:tc>
          <w:tcPr>
            <w:tcW w:w="792" w:type="dxa"/>
            <w:shd w:val="clear" w:color="auto" w:fill="auto"/>
            <w:vAlign w:val="bottom"/>
          </w:tcPr>
          <w:p w:rsidR="00335505" w:rsidRPr="006719B4" w:rsidRDefault="00335505" w:rsidP="00FB6061">
            <w:pPr>
              <w:spacing w:after="120"/>
              <w:jc w:val="right"/>
            </w:pPr>
            <w:r>
              <w:t>39</w:t>
            </w:r>
          </w:p>
        </w:tc>
      </w:tr>
      <w:tr w:rsidR="006719B4" w:rsidRPr="000C2BB3" w:rsidTr="00FB6061">
        <w:tblPrEx>
          <w:tblCellMar>
            <w:top w:w="0" w:type="dxa"/>
            <w:bottom w:w="0" w:type="dxa"/>
          </w:tblCellMar>
        </w:tblPrEx>
        <w:tc>
          <w:tcPr>
            <w:tcW w:w="9110" w:type="dxa"/>
            <w:gridSpan w:val="3"/>
            <w:shd w:val="clear" w:color="auto" w:fill="auto"/>
          </w:tcPr>
          <w:p w:rsidR="006719B4" w:rsidRPr="006719B4" w:rsidRDefault="006719B4" w:rsidP="00335505">
            <w:pPr>
              <w:pStyle w:val="TOC3"/>
              <w:rPr>
                <w:rStyle w:val="Hyperlink"/>
                <w:noProof/>
                <w:spacing w:val="60"/>
                <w:sz w:val="17"/>
              </w:rPr>
            </w:pPr>
            <w:r w:rsidRPr="00EA0AB9">
              <w:t>El derecho a prestaciones familiares</w:t>
            </w:r>
            <w:r>
              <w:rPr>
                <w:spacing w:val="60"/>
                <w:sz w:val="17"/>
              </w:rPr>
              <w:tab/>
            </w:r>
          </w:p>
        </w:tc>
        <w:tc>
          <w:tcPr>
            <w:tcW w:w="792" w:type="dxa"/>
            <w:shd w:val="clear" w:color="auto" w:fill="auto"/>
            <w:vAlign w:val="bottom"/>
          </w:tcPr>
          <w:p w:rsidR="006719B4" w:rsidRPr="006719B4" w:rsidRDefault="00335505" w:rsidP="00FB6061">
            <w:pPr>
              <w:spacing w:after="120"/>
              <w:jc w:val="right"/>
            </w:pPr>
            <w:r>
              <w:t>39</w:t>
            </w:r>
          </w:p>
        </w:tc>
      </w:tr>
      <w:tr w:rsidR="006719B4" w:rsidRPr="000C2BB3" w:rsidTr="00FB6061">
        <w:tblPrEx>
          <w:tblCellMar>
            <w:top w:w="0" w:type="dxa"/>
            <w:bottom w:w="0" w:type="dxa"/>
          </w:tblCellMar>
        </w:tblPrEx>
        <w:tc>
          <w:tcPr>
            <w:tcW w:w="9110" w:type="dxa"/>
            <w:gridSpan w:val="3"/>
            <w:shd w:val="clear" w:color="auto" w:fill="auto"/>
          </w:tcPr>
          <w:p w:rsidR="006719B4" w:rsidRPr="00335505" w:rsidRDefault="006719B4" w:rsidP="00335505">
            <w:pPr>
              <w:pStyle w:val="TOC3"/>
              <w:tabs>
                <w:tab w:val="clear" w:pos="3060"/>
                <w:tab w:val="clear" w:pos="3500"/>
                <w:tab w:val="right" w:pos="1080"/>
                <w:tab w:val="left" w:pos="1300"/>
                <w:tab w:val="left" w:pos="1740"/>
                <w:tab w:val="left" w:pos="2180"/>
                <w:tab w:val="left" w:pos="2620"/>
                <w:tab w:val="right" w:leader="dot" w:pos="9245"/>
              </w:tabs>
              <w:rPr>
                <w:spacing w:val="60"/>
                <w:sz w:val="17"/>
              </w:rPr>
            </w:pPr>
            <w:r w:rsidRPr="00EA0AB9">
              <w:t>Asignación familiar</w:t>
            </w:r>
            <w:r>
              <w:rPr>
                <w:spacing w:val="60"/>
                <w:sz w:val="17"/>
              </w:rPr>
              <w:tab/>
            </w:r>
            <w:r w:rsidR="00335505">
              <w:rPr>
                <w:spacing w:val="60"/>
                <w:sz w:val="17"/>
              </w:rPr>
              <w:tab/>
            </w:r>
          </w:p>
        </w:tc>
        <w:tc>
          <w:tcPr>
            <w:tcW w:w="792" w:type="dxa"/>
            <w:shd w:val="clear" w:color="auto" w:fill="auto"/>
            <w:vAlign w:val="bottom"/>
          </w:tcPr>
          <w:p w:rsidR="006719B4" w:rsidRPr="006719B4" w:rsidRDefault="00335505" w:rsidP="00FB6061">
            <w:pPr>
              <w:spacing w:after="120"/>
              <w:jc w:val="right"/>
            </w:pPr>
            <w:r>
              <w:t>40</w:t>
            </w:r>
          </w:p>
        </w:tc>
      </w:tr>
      <w:tr w:rsidR="006719B4" w:rsidRPr="000C2BB3" w:rsidTr="00FB6061">
        <w:tblPrEx>
          <w:tblCellMar>
            <w:top w:w="0" w:type="dxa"/>
            <w:bottom w:w="0" w:type="dxa"/>
          </w:tblCellMar>
        </w:tblPrEx>
        <w:tc>
          <w:tcPr>
            <w:tcW w:w="9110" w:type="dxa"/>
            <w:gridSpan w:val="3"/>
            <w:shd w:val="clear" w:color="auto" w:fill="auto"/>
          </w:tcPr>
          <w:p w:rsidR="006719B4" w:rsidRPr="006719B4" w:rsidRDefault="006719B4" w:rsidP="00335505">
            <w:pPr>
              <w:pStyle w:val="TOC3"/>
              <w:rPr>
                <w:spacing w:val="60"/>
                <w:sz w:val="17"/>
              </w:rPr>
            </w:pPr>
            <w:r w:rsidRPr="00EA0AB9">
              <w:t>Prestación por hijos a cargo</w:t>
            </w:r>
            <w:r>
              <w:rPr>
                <w:spacing w:val="60"/>
                <w:sz w:val="17"/>
              </w:rPr>
              <w:tab/>
            </w:r>
          </w:p>
        </w:tc>
        <w:tc>
          <w:tcPr>
            <w:tcW w:w="792" w:type="dxa"/>
            <w:shd w:val="clear" w:color="auto" w:fill="auto"/>
            <w:vAlign w:val="bottom"/>
          </w:tcPr>
          <w:p w:rsidR="006719B4" w:rsidRPr="006719B4" w:rsidRDefault="00335505" w:rsidP="00FB6061">
            <w:pPr>
              <w:spacing w:after="120"/>
              <w:jc w:val="right"/>
            </w:pPr>
            <w:r>
              <w:t>40</w:t>
            </w:r>
          </w:p>
        </w:tc>
      </w:tr>
      <w:tr w:rsidR="006719B4" w:rsidRPr="000C2BB3" w:rsidTr="00FB6061">
        <w:tblPrEx>
          <w:tblCellMar>
            <w:top w:w="0" w:type="dxa"/>
            <w:bottom w:w="0" w:type="dxa"/>
          </w:tblCellMar>
        </w:tblPrEx>
        <w:tc>
          <w:tcPr>
            <w:tcW w:w="9110" w:type="dxa"/>
            <w:gridSpan w:val="3"/>
            <w:shd w:val="clear" w:color="auto" w:fill="auto"/>
          </w:tcPr>
          <w:p w:rsidR="006719B4" w:rsidRPr="006719B4" w:rsidRDefault="006719B4" w:rsidP="006719B4">
            <w:pPr>
              <w:tabs>
                <w:tab w:val="right" w:pos="1080"/>
                <w:tab w:val="left" w:pos="1300"/>
                <w:tab w:val="left" w:pos="1740"/>
                <w:tab w:val="left" w:pos="2180"/>
                <w:tab w:val="left" w:pos="2620"/>
                <w:tab w:val="left" w:pos="3060"/>
                <w:tab w:val="right" w:leader="dot" w:pos="9245"/>
              </w:tabs>
              <w:spacing w:after="120"/>
              <w:ind w:left="950"/>
              <w:rPr>
                <w:spacing w:val="60"/>
                <w:sz w:val="17"/>
              </w:rPr>
            </w:pPr>
            <w:r w:rsidRPr="0038237D">
              <w:t>Artículo 14: La mujer ru</w:t>
            </w:r>
            <w:r>
              <w:t>ral</w:t>
            </w:r>
            <w:r>
              <w:rPr>
                <w:spacing w:val="60"/>
                <w:sz w:val="17"/>
              </w:rPr>
              <w:tab/>
            </w:r>
          </w:p>
        </w:tc>
        <w:tc>
          <w:tcPr>
            <w:tcW w:w="792" w:type="dxa"/>
            <w:shd w:val="clear" w:color="auto" w:fill="auto"/>
            <w:vAlign w:val="bottom"/>
          </w:tcPr>
          <w:p w:rsidR="006719B4" w:rsidRPr="006719B4" w:rsidRDefault="00A8676F" w:rsidP="00FB6061">
            <w:pPr>
              <w:spacing w:after="120"/>
              <w:jc w:val="right"/>
            </w:pPr>
            <w:r>
              <w:t>40</w:t>
            </w:r>
          </w:p>
        </w:tc>
      </w:tr>
      <w:tr w:rsidR="006719B4" w:rsidRPr="000C2BB3" w:rsidTr="00FB6061">
        <w:tblPrEx>
          <w:tblCellMar>
            <w:top w:w="0" w:type="dxa"/>
            <w:bottom w:w="0" w:type="dxa"/>
          </w:tblCellMar>
        </w:tblPrEx>
        <w:tc>
          <w:tcPr>
            <w:tcW w:w="9110" w:type="dxa"/>
            <w:gridSpan w:val="3"/>
            <w:shd w:val="clear" w:color="auto" w:fill="auto"/>
          </w:tcPr>
          <w:p w:rsidR="006719B4" w:rsidRPr="006719B4" w:rsidRDefault="006719B4" w:rsidP="006719B4">
            <w:pPr>
              <w:tabs>
                <w:tab w:val="right" w:pos="1080"/>
                <w:tab w:val="left" w:pos="1300"/>
                <w:tab w:val="right" w:leader="dot" w:pos="9245"/>
              </w:tabs>
              <w:spacing w:after="120"/>
              <w:ind w:left="475"/>
              <w:rPr>
                <w:spacing w:val="60"/>
                <w:sz w:val="17"/>
              </w:rPr>
            </w:pPr>
            <w:r>
              <w:t xml:space="preserve">Capítulo 4: </w:t>
            </w:r>
            <w:r w:rsidRPr="006719B4">
              <w:t>La capacidad jurídica y el matrimonio y la familia</w:t>
            </w:r>
            <w:r>
              <w:rPr>
                <w:spacing w:val="60"/>
                <w:sz w:val="17"/>
              </w:rPr>
              <w:tab/>
            </w:r>
          </w:p>
        </w:tc>
        <w:tc>
          <w:tcPr>
            <w:tcW w:w="792" w:type="dxa"/>
            <w:shd w:val="clear" w:color="auto" w:fill="auto"/>
            <w:vAlign w:val="bottom"/>
          </w:tcPr>
          <w:p w:rsidR="006719B4" w:rsidRPr="006719B4" w:rsidRDefault="00A8676F" w:rsidP="00FB6061">
            <w:pPr>
              <w:spacing w:after="120"/>
              <w:jc w:val="right"/>
            </w:pPr>
            <w:r>
              <w:t>41</w:t>
            </w:r>
          </w:p>
        </w:tc>
      </w:tr>
      <w:tr w:rsidR="006719B4" w:rsidRPr="000C2BB3" w:rsidTr="00FB6061">
        <w:tblPrEx>
          <w:tblCellMar>
            <w:top w:w="0" w:type="dxa"/>
            <w:bottom w:w="0" w:type="dxa"/>
          </w:tblCellMar>
        </w:tblPrEx>
        <w:tc>
          <w:tcPr>
            <w:tcW w:w="9110" w:type="dxa"/>
            <w:gridSpan w:val="3"/>
            <w:shd w:val="clear" w:color="auto" w:fill="auto"/>
          </w:tcPr>
          <w:p w:rsidR="006719B4" w:rsidRPr="006719B4" w:rsidRDefault="006719B4" w:rsidP="006719B4">
            <w:pPr>
              <w:tabs>
                <w:tab w:val="right" w:pos="1080"/>
                <w:tab w:val="left" w:pos="1300"/>
                <w:tab w:val="left" w:pos="1740"/>
                <w:tab w:val="left" w:pos="2180"/>
                <w:tab w:val="left" w:pos="2620"/>
                <w:tab w:val="left" w:pos="3060"/>
                <w:tab w:val="left" w:pos="3500"/>
                <w:tab w:val="right" w:leader="dot" w:pos="9245"/>
              </w:tabs>
              <w:spacing w:after="120"/>
              <w:ind w:left="950"/>
              <w:rPr>
                <w:spacing w:val="60"/>
                <w:sz w:val="17"/>
              </w:rPr>
            </w:pPr>
            <w:r>
              <w:t>Artículo 15: La capacidad jurídica</w:t>
            </w:r>
            <w:r>
              <w:rPr>
                <w:spacing w:val="60"/>
                <w:sz w:val="17"/>
              </w:rPr>
              <w:tab/>
            </w:r>
          </w:p>
        </w:tc>
        <w:tc>
          <w:tcPr>
            <w:tcW w:w="792" w:type="dxa"/>
            <w:shd w:val="clear" w:color="auto" w:fill="auto"/>
            <w:vAlign w:val="bottom"/>
          </w:tcPr>
          <w:p w:rsidR="006719B4" w:rsidRPr="006719B4" w:rsidRDefault="00A8676F" w:rsidP="00FB6061">
            <w:pPr>
              <w:spacing w:after="120"/>
              <w:jc w:val="right"/>
            </w:pPr>
            <w:r>
              <w:t>41</w:t>
            </w:r>
          </w:p>
        </w:tc>
      </w:tr>
      <w:tr w:rsidR="006719B4" w:rsidRPr="000C2BB3" w:rsidTr="00FB6061">
        <w:tblPrEx>
          <w:tblCellMar>
            <w:top w:w="0" w:type="dxa"/>
            <w:bottom w:w="0" w:type="dxa"/>
          </w:tblCellMar>
        </w:tblPrEx>
        <w:tc>
          <w:tcPr>
            <w:tcW w:w="9110" w:type="dxa"/>
            <w:gridSpan w:val="3"/>
            <w:shd w:val="clear" w:color="auto" w:fill="auto"/>
          </w:tcPr>
          <w:p w:rsidR="006719B4" w:rsidRPr="006719B4" w:rsidRDefault="006719B4" w:rsidP="006719B4">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950"/>
              <w:rPr>
                <w:spacing w:val="60"/>
                <w:sz w:val="17"/>
              </w:rPr>
            </w:pPr>
            <w:r>
              <w:t>Artículo 16: El matrimonio y las relaciones familiares</w:t>
            </w:r>
            <w:r>
              <w:rPr>
                <w:spacing w:val="60"/>
                <w:sz w:val="17"/>
              </w:rPr>
              <w:tab/>
            </w:r>
          </w:p>
        </w:tc>
        <w:tc>
          <w:tcPr>
            <w:tcW w:w="792" w:type="dxa"/>
            <w:shd w:val="clear" w:color="auto" w:fill="auto"/>
            <w:vAlign w:val="bottom"/>
          </w:tcPr>
          <w:p w:rsidR="006719B4" w:rsidRPr="006719B4" w:rsidRDefault="00A8676F" w:rsidP="00FB6061">
            <w:pPr>
              <w:spacing w:after="120"/>
              <w:jc w:val="right"/>
            </w:pPr>
            <w:r>
              <w:t>41</w:t>
            </w:r>
          </w:p>
        </w:tc>
      </w:tr>
      <w:tr w:rsidR="006719B4" w:rsidRPr="000C2BB3" w:rsidTr="00FB6061">
        <w:tblPrEx>
          <w:tblCellMar>
            <w:top w:w="0" w:type="dxa"/>
            <w:bottom w:w="0" w:type="dxa"/>
          </w:tblCellMar>
        </w:tblPrEx>
        <w:tc>
          <w:tcPr>
            <w:tcW w:w="9110" w:type="dxa"/>
            <w:gridSpan w:val="3"/>
            <w:shd w:val="clear" w:color="auto" w:fill="auto"/>
          </w:tcPr>
          <w:p w:rsidR="006719B4" w:rsidRPr="000F3CD5" w:rsidRDefault="000F3CD5" w:rsidP="000F3CD5">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left="1300"/>
              <w:rPr>
                <w:spacing w:val="60"/>
                <w:sz w:val="17"/>
              </w:rPr>
            </w:pPr>
            <w:r>
              <w:t>El control social entre los inmigrantes jóvenes constituye un fenómeno generalizado</w:t>
            </w:r>
            <w:r>
              <w:rPr>
                <w:spacing w:val="60"/>
                <w:sz w:val="17"/>
              </w:rPr>
              <w:tab/>
            </w:r>
          </w:p>
        </w:tc>
        <w:tc>
          <w:tcPr>
            <w:tcW w:w="792" w:type="dxa"/>
            <w:shd w:val="clear" w:color="auto" w:fill="auto"/>
            <w:vAlign w:val="bottom"/>
          </w:tcPr>
          <w:p w:rsidR="006719B4" w:rsidRPr="006719B4" w:rsidRDefault="00A8676F" w:rsidP="00FB6061">
            <w:pPr>
              <w:spacing w:after="120"/>
              <w:jc w:val="right"/>
            </w:pPr>
            <w:r>
              <w:t>41</w:t>
            </w:r>
          </w:p>
        </w:tc>
      </w:tr>
      <w:tr w:rsidR="000F3CD5" w:rsidRPr="000C2BB3" w:rsidTr="00FB6061">
        <w:tblPrEx>
          <w:tblCellMar>
            <w:top w:w="0" w:type="dxa"/>
            <w:bottom w:w="0" w:type="dxa"/>
          </w:tblCellMar>
        </w:tblPrEx>
        <w:tc>
          <w:tcPr>
            <w:tcW w:w="9110" w:type="dxa"/>
            <w:gridSpan w:val="3"/>
            <w:shd w:val="clear" w:color="auto" w:fill="auto"/>
          </w:tcPr>
          <w:p w:rsidR="000F3CD5" w:rsidRPr="000F3CD5" w:rsidRDefault="000F3CD5" w:rsidP="000F3CD5">
            <w:pPr>
              <w:tabs>
                <w:tab w:val="right" w:pos="1080"/>
                <w:tab w:val="right" w:leader="dot" w:pos="9245"/>
              </w:tabs>
              <w:spacing w:after="120"/>
              <w:ind w:left="475"/>
              <w:rPr>
                <w:spacing w:val="60"/>
                <w:sz w:val="17"/>
              </w:rPr>
            </w:pPr>
            <w:r>
              <w:t>Anexos**</w:t>
            </w:r>
          </w:p>
        </w:tc>
        <w:tc>
          <w:tcPr>
            <w:tcW w:w="792" w:type="dxa"/>
            <w:shd w:val="clear" w:color="auto" w:fill="auto"/>
            <w:vAlign w:val="bottom"/>
          </w:tcPr>
          <w:p w:rsidR="000F3CD5" w:rsidRPr="006719B4" w:rsidRDefault="000F3CD5" w:rsidP="00FB6061">
            <w:pPr>
              <w:spacing w:after="120"/>
              <w:jc w:val="right"/>
            </w:pPr>
          </w:p>
        </w:tc>
      </w:tr>
    </w:tbl>
    <w:p w:rsidR="00FB6061" w:rsidRPr="000C2BB3" w:rsidRDefault="00FB6061" w:rsidP="00FB6061"/>
    <w:p w:rsidR="000F3CD5" w:rsidRPr="000F3CD5" w:rsidRDefault="000F3CD5" w:rsidP="000F3CD5">
      <w:pPr>
        <w:framePr w:w="9792" w:h="432" w:hSpace="180" w:wrap="around" w:hAnchor="page" w:x="1210" w:yAlign="bottom"/>
        <w:spacing w:line="240" w:lineRule="auto"/>
        <w:rPr>
          <w:sz w:val="10"/>
        </w:rPr>
      </w:pPr>
    </w:p>
    <w:p w:rsidR="000F3CD5" w:rsidRPr="000F3CD5" w:rsidRDefault="000F3CD5" w:rsidP="000F3CD5">
      <w:pPr>
        <w:framePr w:w="9792" w:h="432" w:hSpace="180" w:wrap="around" w:hAnchor="page" w:x="1210" w:yAlign="bottom"/>
        <w:spacing w:line="240" w:lineRule="auto"/>
        <w:rPr>
          <w:sz w:val="6"/>
        </w:rPr>
      </w:pPr>
      <w:r w:rsidRPr="000F3CD5">
        <w:rPr>
          <w:noProof/>
          <w:w w:val="100"/>
          <w:sz w:val="6"/>
          <w:lang w:val="en-US"/>
        </w:rPr>
        <w:pict>
          <v:line id="_x0000_s1592" style="position:absolute;z-index:6;mso-position-horizontal-relative:page" from="108pt,-1pt" to="180pt,-1pt" strokeweight=".25pt">
            <w10:wrap anchorx="page"/>
          </v:line>
        </w:pict>
      </w:r>
    </w:p>
    <w:p w:rsidR="000F3CD5" w:rsidRPr="000F3CD5" w:rsidRDefault="000F3CD5" w:rsidP="000F3CD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0F3CD5">
        <w:rPr>
          <w:sz w:val="17"/>
        </w:rPr>
        <w:t>Los anexos del presente documento pueden consultarse en los archivos de la secretaría.</w:t>
      </w:r>
    </w:p>
    <w:p w:rsidR="00FB6061" w:rsidRDefault="00FB6061" w:rsidP="00FB6061">
      <w:pPr>
        <w:rPr>
          <w:lang w:val="es-ES_tradnl"/>
        </w:rPr>
      </w:pPr>
      <w:r>
        <w:rPr>
          <w:lang w:val="es-ES_tradnl"/>
        </w:rPr>
        <w:t xml:space="preserve"> </w:t>
      </w:r>
    </w:p>
    <w:p w:rsidR="00FB6061" w:rsidRDefault="00FB6061" w:rsidP="00FB6061">
      <w:pPr>
        <w:rPr>
          <w:lang w:val="es-ES_tradnl"/>
        </w:rPr>
      </w:pPr>
    </w:p>
    <w:p w:rsidR="0038237D" w:rsidRPr="00EA0AB9" w:rsidRDefault="00F44BE6" w:rsidP="000F3C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Pr>
          <w:lang w:val="es-ES_tradnl"/>
        </w:rPr>
        <w:br w:type="page"/>
      </w:r>
      <w:r w:rsidR="0038237D" w:rsidRPr="00CB7DCA">
        <w:rPr>
          <w:szCs w:val="24"/>
        </w:rPr>
        <w:tab/>
      </w:r>
      <w:r w:rsidR="0038237D" w:rsidRPr="00CB7DCA">
        <w:rPr>
          <w:szCs w:val="24"/>
        </w:rPr>
        <w:tab/>
      </w:r>
      <w:r w:rsidR="0038237D" w:rsidRPr="00EA0AB9">
        <w:rPr>
          <w:lang w:val="es-ES_tradnl" w:eastAsia="es-ES"/>
        </w:rPr>
        <w:t>Introducción</w:t>
      </w:r>
    </w:p>
    <w:bookmarkEnd w:id="1"/>
    <w:bookmarkEnd w:id="2"/>
    <w:bookmarkEnd w:id="3"/>
    <w:bookmarkEnd w:id="4"/>
    <w:bookmarkEnd w:id="5"/>
    <w:p w:rsidR="000B2D56" w:rsidRPr="000B2D56" w:rsidRDefault="000B2D56" w:rsidP="000B2D56">
      <w:pPr>
        <w:pStyle w:val="SingleTxtG"/>
        <w:spacing w:after="0" w:line="120" w:lineRule="exact"/>
        <w:rPr>
          <w:sz w:val="10"/>
          <w:lang w:val="es-ES_tradnl"/>
        </w:rPr>
      </w:pPr>
    </w:p>
    <w:p w:rsidR="000B2D56" w:rsidRPr="000B2D56" w:rsidRDefault="000B2D56" w:rsidP="000B2D56">
      <w:pPr>
        <w:pStyle w:val="SingleTxtG"/>
        <w:spacing w:after="0" w:line="120" w:lineRule="exact"/>
        <w:rPr>
          <w:sz w:val="10"/>
          <w:lang w:val="es-ES_tradnl"/>
        </w:rPr>
      </w:pPr>
    </w:p>
    <w:p w:rsidR="0038237D" w:rsidRPr="00EA0AB9" w:rsidRDefault="000B2D56" w:rsidP="000B2D56">
      <w:pPr>
        <w:pStyle w:val="SingleTxt"/>
        <w:suppressAutoHyphens/>
        <w:rPr>
          <w:lang w:val="es-ES_tradnl"/>
        </w:rPr>
      </w:pPr>
      <w:r>
        <w:rPr>
          <w:lang w:val="es-ES_tradnl"/>
        </w:rPr>
        <w:tab/>
      </w:r>
      <w:r w:rsidR="0038237D" w:rsidRPr="00EA0AB9">
        <w:rPr>
          <w:lang w:val="es-ES_tradnl"/>
        </w:rPr>
        <w:t>La Convención sobre la Eliminación de Todas las Formas de Discriminación contra la Mujer, aprobada por la Asamblea General de las Naciones Unidas el 18 de diciembre de 1979, entró en vigor en Dinamarca el 21 de mayo de 1983. El cumplimiento de las obligaciones establecidas en los artículos de la Convención incumbe al Gobierno, pero no se podría lograr sin la participación de las instituciones, organizaciones, grupos y personas que se ocupan de la esfera de la igualdad entre los géneros.</w:t>
      </w:r>
    </w:p>
    <w:p w:rsidR="0038237D" w:rsidRDefault="000B2D56" w:rsidP="000B2D56">
      <w:pPr>
        <w:pStyle w:val="SingleTxt"/>
        <w:suppressAutoHyphens/>
        <w:rPr>
          <w:lang w:val="es-ES_tradnl"/>
        </w:rPr>
      </w:pPr>
      <w:r>
        <w:rPr>
          <w:lang w:val="es-ES_tradnl"/>
        </w:rPr>
        <w:tab/>
      </w:r>
      <w:r w:rsidR="0038237D" w:rsidRPr="00EA0AB9">
        <w:rPr>
          <w:lang w:val="es-ES_tradnl"/>
        </w:rPr>
        <w:t>Cada capítulo corresponde a las diferentes partes de la Convención y, como es habitual, se invitó a las ONG danesas a hacer comentarios sobre el informe. Estos comentarios figuran al final del informe, ya que las ONG han solicitado expresamente que sus informes se remitan a la comisión como anexos del informe principal.</w:t>
      </w:r>
    </w:p>
    <w:p w:rsidR="000F3CD5" w:rsidRPr="000F3CD5" w:rsidRDefault="000F3CD5" w:rsidP="000F3CD5">
      <w:pPr>
        <w:pStyle w:val="SingleTxt"/>
        <w:suppressAutoHyphens/>
        <w:spacing w:after="0" w:line="120" w:lineRule="exact"/>
        <w:rPr>
          <w:sz w:val="10"/>
          <w:lang w:val="es-ES_tradnl"/>
        </w:rPr>
      </w:pPr>
    </w:p>
    <w:p w:rsidR="000B2D56" w:rsidRPr="000B2D56" w:rsidRDefault="000B2D56" w:rsidP="000B2D56">
      <w:pPr>
        <w:pStyle w:val="SingleTxt"/>
        <w:suppressAutoHyphens/>
        <w:spacing w:after="0" w:line="120" w:lineRule="exact"/>
        <w:rPr>
          <w:sz w:val="10"/>
          <w:lang w:val="es-ES_tradnl"/>
        </w:rPr>
      </w:pPr>
    </w:p>
    <w:p w:rsidR="0038237D" w:rsidRPr="00EA0AB9" w:rsidRDefault="0038237D" w:rsidP="000F3C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Groenlandia y las Islas Feroe</w:t>
      </w:r>
    </w:p>
    <w:p w:rsidR="000B2D56" w:rsidRDefault="000F3CD5" w:rsidP="000B2D56">
      <w:pPr>
        <w:pStyle w:val="SingleTxt"/>
        <w:suppressAutoHyphens/>
        <w:spacing w:after="0" w:line="120" w:lineRule="exact"/>
        <w:rPr>
          <w:sz w:val="10"/>
          <w:lang w:val="es-ES_tradnl"/>
        </w:rPr>
      </w:pPr>
      <w:bookmarkStart w:id="6" w:name="_Toc199929034"/>
      <w:bookmarkStart w:id="7" w:name="_Toc348513705"/>
      <w:bookmarkStart w:id="8" w:name="_Toc360096810"/>
      <w:r>
        <w:rPr>
          <w:sz w:val="10"/>
          <w:lang w:val="es-ES_tradnl"/>
        </w:rPr>
        <w:t xml:space="preserve"> </w:t>
      </w:r>
    </w:p>
    <w:p w:rsidR="000F3CD5" w:rsidRPr="000F3CD5" w:rsidRDefault="000F3CD5" w:rsidP="000F3CD5">
      <w:pPr>
        <w:pStyle w:val="SingleTxt"/>
        <w:suppressAutoHyphens/>
        <w:spacing w:after="0" w:line="120" w:lineRule="exact"/>
        <w:rPr>
          <w:sz w:val="10"/>
          <w:lang w:val="es-ES_tradnl"/>
        </w:rPr>
      </w:pPr>
      <w:r>
        <w:rPr>
          <w:lang w:val="es-ES_tradnl"/>
        </w:rPr>
        <w:t xml:space="preserve"> </w:t>
      </w:r>
    </w:p>
    <w:p w:rsidR="0038237D" w:rsidRPr="00EA0AB9" w:rsidRDefault="000B2D56" w:rsidP="000B2D56">
      <w:pPr>
        <w:pStyle w:val="SingleTxt"/>
        <w:suppressAutoHyphens/>
        <w:rPr>
          <w:lang w:val="es-ES_tradnl"/>
        </w:rPr>
      </w:pPr>
      <w:r>
        <w:rPr>
          <w:lang w:val="es-ES_tradnl"/>
        </w:rPr>
        <w:tab/>
      </w:r>
      <w:r w:rsidR="0038237D" w:rsidRPr="00EA0AB9">
        <w:rPr>
          <w:lang w:val="es-ES_tradnl"/>
        </w:rPr>
        <w:t>Como partes del Reino de Dinamarca, Groenlandia y las Islas Feroe son territorios autónomos.</w:t>
      </w:r>
    </w:p>
    <w:p w:rsidR="0038237D" w:rsidRPr="00EA0AB9" w:rsidRDefault="000B2D56" w:rsidP="000B2D56">
      <w:pPr>
        <w:pStyle w:val="SingleTxt"/>
        <w:suppressAutoHyphens/>
        <w:rPr>
          <w:lang w:val="es-ES_tradnl"/>
        </w:rPr>
      </w:pPr>
      <w:bookmarkStart w:id="9" w:name="_Toc199929035"/>
      <w:bookmarkStart w:id="10" w:name="_Toc348513706"/>
      <w:bookmarkStart w:id="11" w:name="_Toc360096811"/>
      <w:bookmarkEnd w:id="6"/>
      <w:bookmarkEnd w:id="7"/>
      <w:bookmarkEnd w:id="8"/>
      <w:r>
        <w:rPr>
          <w:lang w:val="es-ES_tradnl"/>
        </w:rPr>
        <w:tab/>
      </w:r>
      <w:r w:rsidR="0038237D" w:rsidRPr="00EA0AB9">
        <w:rPr>
          <w:lang w:val="es-ES_tradnl"/>
        </w:rPr>
        <w:t>Las secciones del presente informe relativas a las esferas de responsabilidad asumidas por Groenlandia y las Islas Feroe han sido preparadas por las autoridades de Groenlandia y las Islas Feroe y figuran en el anexo A1 y el anexo B1, respectivamente.</w:t>
      </w:r>
    </w:p>
    <w:bookmarkEnd w:id="9"/>
    <w:bookmarkEnd w:id="10"/>
    <w:bookmarkEnd w:id="11"/>
    <w:p w:rsidR="0038237D" w:rsidRDefault="000B2D56" w:rsidP="000B2D56">
      <w:pPr>
        <w:pStyle w:val="SingleTxt"/>
        <w:suppressAutoHyphens/>
        <w:rPr>
          <w:lang w:val="es-ES_tradnl"/>
        </w:rPr>
      </w:pPr>
      <w:r>
        <w:rPr>
          <w:lang w:val="es-ES_tradnl"/>
        </w:rPr>
        <w:tab/>
      </w:r>
      <w:r w:rsidR="0038237D" w:rsidRPr="00EA0AB9">
        <w:rPr>
          <w:lang w:val="es-ES_tradnl"/>
        </w:rPr>
        <w:t xml:space="preserve">El anexo A (A2) sobre el acuerdo de autonomía de Groenlandia ha sido preparado por las autoridades de Groenlandia y Dinamarca. </w:t>
      </w:r>
    </w:p>
    <w:p w:rsidR="000B2D56" w:rsidRPr="000B2D56" w:rsidRDefault="000B2D56" w:rsidP="000B2D56">
      <w:pPr>
        <w:pStyle w:val="SingleTxt"/>
        <w:suppressAutoHyphens/>
        <w:spacing w:after="0" w:line="120" w:lineRule="exact"/>
        <w:rPr>
          <w:sz w:val="10"/>
          <w:lang w:val="es-ES_tradnl"/>
        </w:rPr>
      </w:pPr>
    </w:p>
    <w:p w:rsidR="000B2D56" w:rsidRPr="000B2D56" w:rsidRDefault="000B2D56" w:rsidP="000B2D56">
      <w:pPr>
        <w:pStyle w:val="SingleTxt"/>
        <w:suppressAutoHyphens/>
        <w:spacing w:after="0" w:line="120" w:lineRule="exact"/>
        <w:rPr>
          <w:sz w:val="10"/>
          <w:lang w:val="es-ES_tradnl"/>
        </w:rPr>
      </w:pPr>
    </w:p>
    <w:p w:rsidR="0038237D" w:rsidRDefault="000B2D56" w:rsidP="000B2D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4" w:hanging="1267"/>
      </w:pPr>
      <w:r>
        <w:tab/>
      </w:r>
      <w:r w:rsidR="0038237D" w:rsidRPr="00EA0AB9">
        <w:tab/>
        <w:t>Capítulo 1: Marco de la labor de promoción de la igualdad</w:t>
      </w:r>
    </w:p>
    <w:p w:rsidR="000B2D56" w:rsidRPr="000B2D56" w:rsidRDefault="000B2D56" w:rsidP="000B2D56">
      <w:pPr>
        <w:pStyle w:val="SingleTxt"/>
        <w:spacing w:after="0" w:line="120" w:lineRule="exact"/>
        <w:rPr>
          <w:sz w:val="10"/>
        </w:rPr>
      </w:pPr>
    </w:p>
    <w:p w:rsidR="000B2D56" w:rsidRPr="000B2D56" w:rsidRDefault="000B2D56" w:rsidP="000B2D56">
      <w:pPr>
        <w:pStyle w:val="SingleTxt"/>
        <w:spacing w:after="0" w:line="120" w:lineRule="exact"/>
        <w:rPr>
          <w:sz w:val="10"/>
        </w:rPr>
      </w:pPr>
    </w:p>
    <w:p w:rsidR="0038237D" w:rsidRPr="000739A7" w:rsidRDefault="000B2D56" w:rsidP="000B2D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8237D" w:rsidRPr="000739A7">
        <w:tab/>
        <w:t>Artículo 1: Fundamento</w:t>
      </w:r>
    </w:p>
    <w:p w:rsidR="000B2D56" w:rsidRPr="000B2D56" w:rsidRDefault="000B2D56" w:rsidP="000B2D56">
      <w:pPr>
        <w:pStyle w:val="SingleTxt"/>
        <w:suppressAutoHyphens/>
        <w:spacing w:after="0" w:line="120" w:lineRule="exact"/>
        <w:rPr>
          <w:sz w:val="10"/>
          <w:lang w:val="es-ES_tradnl"/>
        </w:rPr>
      </w:pPr>
      <w:bookmarkStart w:id="12" w:name="_Toc348513708"/>
      <w:bookmarkStart w:id="13" w:name="_Toc199929060"/>
      <w:bookmarkStart w:id="14" w:name="_Toc348513707"/>
      <w:bookmarkStart w:id="15" w:name="_Toc360096812"/>
    </w:p>
    <w:p w:rsidR="000B2D56" w:rsidRPr="000B2D56" w:rsidRDefault="000B2D56" w:rsidP="000B2D56">
      <w:pPr>
        <w:pStyle w:val="SingleTxt"/>
        <w:suppressAutoHyphens/>
        <w:spacing w:after="0" w:line="120" w:lineRule="exact"/>
        <w:rPr>
          <w:sz w:val="10"/>
          <w:lang w:val="es-ES_tradnl"/>
        </w:rPr>
      </w:pPr>
    </w:p>
    <w:p w:rsidR="0038237D" w:rsidRPr="00EA0AB9" w:rsidRDefault="000B2D56" w:rsidP="000B2D56">
      <w:pPr>
        <w:pStyle w:val="SingleTxt"/>
        <w:suppressAutoHyphens/>
        <w:rPr>
          <w:lang w:val="es-ES_tradnl"/>
        </w:rPr>
      </w:pPr>
      <w:r>
        <w:rPr>
          <w:lang w:val="es-ES_tradnl"/>
        </w:rPr>
        <w:tab/>
      </w:r>
      <w:r w:rsidR="0038237D" w:rsidRPr="00EA0AB9">
        <w:rPr>
          <w:lang w:val="es-ES_tradnl"/>
        </w:rPr>
        <w:t>La igualdad entre los géneros es un elemento central de la democracia de Dinamarca y un principio básico de la política danesa. Es un elemento basado en el respeto a los derechos humanos y en las libertades fundamentales en todas las áreas de la sociedad: en las esferas política, económica, social, cultural y civil.</w:t>
      </w:r>
    </w:p>
    <w:bookmarkEnd w:id="12"/>
    <w:bookmarkEnd w:id="13"/>
    <w:bookmarkEnd w:id="14"/>
    <w:bookmarkEnd w:id="15"/>
    <w:p w:rsidR="0038237D" w:rsidRPr="00EA0AB9" w:rsidRDefault="000B2D56" w:rsidP="000B2D56">
      <w:pPr>
        <w:pStyle w:val="SingleTxt"/>
        <w:suppressAutoHyphens/>
        <w:rPr>
          <w:lang w:val="es-ES_tradnl"/>
        </w:rPr>
      </w:pPr>
      <w:r>
        <w:rPr>
          <w:lang w:val="es-ES_tradnl"/>
        </w:rPr>
        <w:tab/>
      </w:r>
      <w:r w:rsidR="0038237D" w:rsidRPr="00EA0AB9">
        <w:rPr>
          <w:lang w:val="es-ES_tradnl"/>
        </w:rPr>
        <w:t xml:space="preserve">Dinamarca trata de conseguir la igualdad de género, tanto </w:t>
      </w:r>
      <w:r w:rsidR="0038237D" w:rsidRPr="00EA0AB9">
        <w:rPr>
          <w:i/>
          <w:lang w:val="es-ES_tradnl"/>
        </w:rPr>
        <w:t>de jure</w:t>
      </w:r>
      <w:r w:rsidR="0038237D" w:rsidRPr="00EA0AB9">
        <w:rPr>
          <w:lang w:val="es-ES_tradnl"/>
        </w:rPr>
        <w:t xml:space="preserve"> como </w:t>
      </w:r>
      <w:r w:rsidR="0038237D" w:rsidRPr="00EA0AB9">
        <w:rPr>
          <w:i/>
          <w:lang w:val="es-ES_tradnl"/>
        </w:rPr>
        <w:t>de facto</w:t>
      </w:r>
      <w:r w:rsidR="0038237D" w:rsidRPr="00EA0AB9">
        <w:rPr>
          <w:lang w:val="es-ES_tradnl"/>
        </w:rPr>
        <w:t>, para las mujeres y los hombres, que tienen los mismos derechos, obligaciones y oportunidades en todos los ámbitos de la sociedad. Así se afirma claramente en la Ley de Dinamarca sobre igualdad entre los géneros, en cuyo artículo 1 se dispone que el propósito de esta Ley es promover la igualdad de género, con inclusión de la igualdad de integración e influencia y la igualdad de género en todas las funciones de la sociedad sobre la base de la igualdad de la condición jurídica y social de la mujer y el hombre. El objetivo de esta Ley es contrarrestar la discriminación directa e indirecta por razón de género así como combatir el acoso sexual.</w:t>
      </w:r>
    </w:p>
    <w:p w:rsidR="0038237D" w:rsidRPr="00EA0AB9" w:rsidRDefault="000B2D56" w:rsidP="000B2D56">
      <w:pPr>
        <w:pStyle w:val="SingleTxt"/>
        <w:suppressAutoHyphens/>
        <w:rPr>
          <w:lang w:val="es-ES_tradnl"/>
        </w:rPr>
      </w:pPr>
      <w:r>
        <w:rPr>
          <w:lang w:val="es-ES_tradnl"/>
        </w:rPr>
        <w:tab/>
      </w:r>
      <w:r w:rsidR="0038237D" w:rsidRPr="00EA0AB9">
        <w:rPr>
          <w:lang w:val="es-ES_tradnl"/>
        </w:rPr>
        <w:t>El interés nacional por la igualdad de género es reflejo de los compromisos internacionales que Dinamarca ha asumido en relación con la ratificación de la Convención sobre la Eliminación de Todas las Formas de Discriminación contra la Mujer y otros documentos de las Naciones Unidas, como la Plataforma de Acción de Beijing.</w:t>
      </w:r>
    </w:p>
    <w:p w:rsidR="000D4F95" w:rsidRPr="000D4F95" w:rsidRDefault="000D4F95" w:rsidP="000D4F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16" w:name="_Toc360096813"/>
    </w:p>
    <w:p w:rsidR="000D4F95" w:rsidRPr="000D4F95" w:rsidRDefault="000D4F95" w:rsidP="000D4F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8237D" w:rsidRPr="000739A7" w:rsidRDefault="0038237D" w:rsidP="000D4F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39A7">
        <w:tab/>
      </w:r>
      <w:r w:rsidRPr="000739A7">
        <w:tab/>
        <w:t xml:space="preserve">Artículo 2: Constitución y legislación </w:t>
      </w:r>
    </w:p>
    <w:bookmarkEnd w:id="16"/>
    <w:p w:rsidR="000B2D56" w:rsidRPr="000B2D56" w:rsidRDefault="000B2D56" w:rsidP="000B2D56">
      <w:pPr>
        <w:pStyle w:val="SingleTxt"/>
        <w:suppressAutoHyphens/>
        <w:spacing w:after="0" w:line="120" w:lineRule="exact"/>
        <w:rPr>
          <w:sz w:val="10"/>
          <w:lang w:val="es-ES_tradnl"/>
        </w:rPr>
      </w:pPr>
    </w:p>
    <w:p w:rsidR="000B2D56" w:rsidRPr="000B2D56" w:rsidRDefault="000B2D56" w:rsidP="000B2D56">
      <w:pPr>
        <w:pStyle w:val="SingleTxt"/>
        <w:suppressAutoHyphens/>
        <w:spacing w:after="0" w:line="120" w:lineRule="exact"/>
        <w:rPr>
          <w:sz w:val="10"/>
          <w:lang w:val="es-ES_tradnl"/>
        </w:rPr>
      </w:pPr>
    </w:p>
    <w:p w:rsidR="0038237D" w:rsidRPr="00EA0AB9" w:rsidRDefault="000B2D56" w:rsidP="000B2D56">
      <w:pPr>
        <w:pStyle w:val="SingleTxt"/>
        <w:suppressAutoHyphens/>
        <w:rPr>
          <w:lang w:val="es-ES_tradnl"/>
        </w:rPr>
      </w:pPr>
      <w:r>
        <w:rPr>
          <w:lang w:val="es-ES_tradnl"/>
        </w:rPr>
        <w:tab/>
      </w:r>
      <w:r w:rsidR="0038237D" w:rsidRPr="00EA0AB9">
        <w:rPr>
          <w:lang w:val="es-ES_tradnl"/>
        </w:rPr>
        <w:t>A lo largo de los años, Dinamarca ha aprobado diversas leyes con el fin de empoderar a las mujeres. Por ejemplo, ya en 1857, se concedió a las mujeres solteras de más de 25 años de edad igualdad de derechos en relación con la mayoría de edad y la herencia. En 1908, se concedió a las mujeres el derecho de voto en las elecciones municipales y, en 1915, el sufragio universal. Las mujeres casadas tenían pleno control sobre sus propios salarios ya en 1880. Las mujeres danesas podían ejercer sin restricciones sus derechos sexuales y reproductivos. Los anticonceptivos se legalizaron en 1880. En 1966 se comercializó la píldora anticonceptiva. El aborto se legalizó en 1973. Dinamarca dispone de leyes que prohíben la discriminación por razón del género y leyes que fomentan la igualdad entre los géneros y la igualdad de oportunidades. En 1976, Dinamarca se dotó de una ley sobre la igualdad de remuneración. La primera ley sobre la igualdad de trato en el empleo se presentó en 1978, mientras que la legislación sobre la igualdad de género fuera del mercado laboral se presentó en 2000. Esta ley sigue en vigor y se aplica tanto a las autoridades públicas como a las empresas privadas.</w:t>
      </w:r>
    </w:p>
    <w:p w:rsidR="0038237D" w:rsidRPr="00EA0AB9" w:rsidRDefault="000B2D56" w:rsidP="000B2D56">
      <w:pPr>
        <w:pStyle w:val="SingleTxt"/>
        <w:suppressAutoHyphens/>
        <w:rPr>
          <w:lang w:val="es-ES_tradnl"/>
        </w:rPr>
      </w:pPr>
      <w:r>
        <w:rPr>
          <w:lang w:val="es-ES_tradnl"/>
        </w:rPr>
        <w:tab/>
      </w:r>
      <w:r w:rsidR="0038237D" w:rsidRPr="00EA0AB9">
        <w:rPr>
          <w:lang w:val="es-ES_tradnl"/>
        </w:rPr>
        <w:t>Por consiguiente, puede afirmarse que, hoy en día, existe la igualdad formal para todos, salvo en el caso del alistamiento, que en la actualidad se aplica únicamente a los hombres. No obstante, las mujeres tienen acceso al ejército desde 1973.</w:t>
      </w:r>
    </w:p>
    <w:p w:rsidR="0038237D" w:rsidRPr="00EA0AB9" w:rsidRDefault="000B2D56" w:rsidP="000B2D56">
      <w:pPr>
        <w:pStyle w:val="SingleTxt"/>
        <w:suppressAutoHyphens/>
        <w:rPr>
          <w:lang w:val="es-ES_tradnl"/>
        </w:rPr>
      </w:pPr>
      <w:r>
        <w:rPr>
          <w:lang w:val="es-ES_tradnl"/>
        </w:rPr>
        <w:tab/>
      </w:r>
      <w:r w:rsidR="0038237D" w:rsidRPr="00EA0AB9">
        <w:rPr>
          <w:lang w:val="es-ES_tradnl"/>
        </w:rPr>
        <w:t>A fin de garantizar la plena igualdad formal en el futuro, toda legislación nueva debe examinarse desde el punto de vista de la igualdad de género para evitar la discriminación directa o indirecta por motivos de sexo.</w:t>
      </w:r>
    </w:p>
    <w:p w:rsidR="000B2D56" w:rsidRPr="000B2D56" w:rsidRDefault="000B2D56" w:rsidP="000B2D56">
      <w:pPr>
        <w:pStyle w:val="SingleTxt"/>
        <w:suppressAutoHyphens/>
        <w:spacing w:after="0" w:line="120" w:lineRule="exact"/>
        <w:rPr>
          <w:sz w:val="10"/>
        </w:rPr>
      </w:pPr>
    </w:p>
    <w:p w:rsidR="000B2D56" w:rsidRPr="000B2D56" w:rsidRDefault="000B2D56" w:rsidP="000B2D56">
      <w:pPr>
        <w:pStyle w:val="SingleTxt"/>
        <w:suppressAutoHyphens/>
        <w:spacing w:after="0" w:line="120" w:lineRule="exact"/>
        <w:rPr>
          <w:sz w:val="10"/>
        </w:rPr>
      </w:pPr>
    </w:p>
    <w:p w:rsidR="0038237D" w:rsidRPr="000739A7" w:rsidRDefault="0038237D" w:rsidP="000B2D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99" w:hanging="1267"/>
      </w:pPr>
      <w:r w:rsidRPr="000739A7">
        <w:tab/>
      </w:r>
      <w:r w:rsidRPr="000739A7">
        <w:tab/>
        <w:t>Artículo 3: Derechos humanos básicos y libertades fundamentales</w:t>
      </w:r>
    </w:p>
    <w:p w:rsidR="000B2D56" w:rsidRPr="000B2D56" w:rsidRDefault="000B2D56" w:rsidP="000B2D56">
      <w:pPr>
        <w:pStyle w:val="SingleTxt"/>
        <w:suppressAutoHyphens/>
        <w:spacing w:after="0" w:line="120" w:lineRule="exact"/>
        <w:rPr>
          <w:sz w:val="10"/>
          <w:lang w:val="es-ES_tradnl"/>
        </w:rPr>
      </w:pPr>
    </w:p>
    <w:p w:rsidR="000B2D56" w:rsidRPr="000B2D56" w:rsidRDefault="000B2D56" w:rsidP="000B2D56">
      <w:pPr>
        <w:pStyle w:val="SingleTxt"/>
        <w:suppressAutoHyphens/>
        <w:spacing w:after="0" w:line="120" w:lineRule="exact"/>
        <w:rPr>
          <w:sz w:val="10"/>
          <w:lang w:val="es-ES_tradnl"/>
        </w:rPr>
      </w:pPr>
    </w:p>
    <w:p w:rsidR="0038237D" w:rsidRPr="00EA0AB9" w:rsidRDefault="000B2D56" w:rsidP="000B2D56">
      <w:pPr>
        <w:pStyle w:val="SingleTxt"/>
        <w:suppressAutoHyphens/>
        <w:rPr>
          <w:lang w:val="es-ES_tradnl"/>
        </w:rPr>
      </w:pPr>
      <w:r>
        <w:rPr>
          <w:lang w:val="es-ES_tradnl"/>
        </w:rPr>
        <w:tab/>
      </w:r>
      <w:r w:rsidR="0038237D" w:rsidRPr="00EA0AB9">
        <w:rPr>
          <w:lang w:val="es-ES_tradnl"/>
        </w:rPr>
        <w:t xml:space="preserve">Todos los ciudadanos, tanto mujeres como hombres, deben tener igualdad de oportunidades para alcanzar sus objetivos en la vida y ni el género ni ningún otro factor deben convertirse en un obstáculo para alcanzar dichos objetivos. Mediante diversos actos jurídicos, se han garantizado los derechos de las mujeres a participar en la sociedad y a decidir libremente sobre su vida y sus derechos sexuales y reproductivos. No obstante, a pesar de los esfuerzos desplegados, las mujeres continúan afrontando dificultades en sus vidas, como la violencia doméstica, la trata, la falta de igualdad de remuneración y la representación insuficiente en la adopción de decisiones en la gestión. Además, debido a las funciones asignadas tradicionalmente a cada género y a las expectativas estereotipadas en función del género, las niñas, los niños, las mujeres y los hombres todavía tienden a adoptar decisiones basadas en el género en relación con, por ejemplo, la educación, la carrera y el ámbito doméstico, que pueden limitar el pleno uso de sus competencias. </w:t>
      </w:r>
    </w:p>
    <w:p w:rsidR="0038237D" w:rsidRPr="00EA0AB9" w:rsidRDefault="000B2D56" w:rsidP="000B2D56">
      <w:pPr>
        <w:pStyle w:val="SingleTxt"/>
        <w:suppressAutoHyphens/>
        <w:rPr>
          <w:lang w:val="es-ES_tradnl"/>
        </w:rPr>
      </w:pPr>
      <w:r>
        <w:rPr>
          <w:lang w:val="es-ES_tradnl"/>
        </w:rPr>
        <w:tab/>
      </w:r>
      <w:r w:rsidR="0038237D" w:rsidRPr="00EA0AB9">
        <w:rPr>
          <w:lang w:val="es-ES_tradnl"/>
        </w:rPr>
        <w:t xml:space="preserve">Por este motivo, el Gobierno se ha comprometido a fomentar nuevos avances en la igualdad entre los géneros a fin de promover la igualdad </w:t>
      </w:r>
      <w:r w:rsidR="0038237D" w:rsidRPr="00EA0AB9">
        <w:rPr>
          <w:i/>
          <w:lang w:val="es-ES_tradnl"/>
        </w:rPr>
        <w:t>de facto</w:t>
      </w:r>
      <w:r w:rsidR="0038237D" w:rsidRPr="00EA0AB9">
        <w:rPr>
          <w:lang w:val="es-ES_tradnl"/>
        </w:rPr>
        <w:t xml:space="preserve"> para todos y ha emprendido diversas actividades, con las que ha conseguido, entre otros, los resultados que se exponen a continuación. </w:t>
      </w:r>
    </w:p>
    <w:p w:rsidR="0038237D" w:rsidRPr="00EA0AB9" w:rsidRDefault="000B2D56" w:rsidP="000B2D56">
      <w:pPr>
        <w:pStyle w:val="SingleTxt"/>
        <w:suppressAutoHyphens/>
        <w:rPr>
          <w:lang w:val="es-ES_tradnl"/>
        </w:rPr>
      </w:pPr>
      <w:r>
        <w:rPr>
          <w:lang w:val="es-ES_tradnl"/>
        </w:rPr>
        <w:tab/>
      </w:r>
      <w:r w:rsidR="0038237D" w:rsidRPr="00EA0AB9">
        <w:rPr>
          <w:lang w:val="es-ES_tradnl"/>
        </w:rPr>
        <w:t>Se ha producido una disminución significativa del número de mujeres víctimas de la violencia doméstica durante los últimos diez años y la opinión pública en relación con la violencia doméstica ha cambiado; ya no se considera un asunto privado, sino una preocupación pública (véase el artículo 12). Además, se ha instrumentado con éxito la estructura institucional para el apoyo y la identificación de las víctimas de la trata (véase el artículo 6).</w:t>
      </w:r>
    </w:p>
    <w:p w:rsidR="0038237D" w:rsidRPr="00EA0AB9" w:rsidRDefault="000B2D56" w:rsidP="000B2D56">
      <w:pPr>
        <w:pStyle w:val="SingleTxt"/>
        <w:suppressAutoHyphens/>
        <w:rPr>
          <w:lang w:val="es-ES_tradnl"/>
        </w:rPr>
      </w:pPr>
      <w:r>
        <w:rPr>
          <w:lang w:val="es-ES_tradnl"/>
        </w:rPr>
        <w:tab/>
      </w:r>
      <w:r w:rsidR="0038237D" w:rsidRPr="00EA0AB9">
        <w:rPr>
          <w:lang w:val="es-ES_tradnl"/>
        </w:rPr>
        <w:t>La libertad básica también consiste en tener iguales oportunidades en la vida. El control social o las funciones asignadas tradicionalmente a cada género y las percepciones de lo que pueden hacer mujeres y hombres no deberían limitar sus oportunidades. Por este motivo, el Gobierno ha emprendido una serie de actividades para promover unas opciones educativas menos basadas en el género, así como campañas y debates sobre los estereotipos de género (véase el artículo 5).</w:t>
      </w:r>
    </w:p>
    <w:p w:rsidR="0038237D" w:rsidRPr="00EA0AB9" w:rsidRDefault="000B2D56" w:rsidP="000B2D56">
      <w:pPr>
        <w:pStyle w:val="SingleTxt"/>
        <w:suppressAutoHyphens/>
        <w:rPr>
          <w:lang w:val="es-ES_tradnl"/>
        </w:rPr>
      </w:pPr>
      <w:bookmarkStart w:id="17" w:name="_Toc360096814"/>
      <w:bookmarkStart w:id="18" w:name="_Toc348513709"/>
      <w:bookmarkStart w:id="19" w:name="_Toc349720575"/>
      <w:r>
        <w:rPr>
          <w:lang w:val="es-ES_tradnl"/>
        </w:rPr>
        <w:tab/>
      </w:r>
      <w:r w:rsidR="0038237D" w:rsidRPr="00EA0AB9">
        <w:rPr>
          <w:lang w:val="es-ES_tradnl"/>
        </w:rPr>
        <w:t xml:space="preserve">El Gobierno ha puesto en marcha por tercera vez la denominada “Campaña de derechos”, dirigida a las mujeres y los hombres pertenecientes a minorías, dado que la aceptación por parte de los hombres de la igualdad entre los géneros es un requisito previo importante para la mejora de la igualdad de las mujeres. El objetivo es informarles de sus derechos y posibilidades en relación con el trabajo, la familia, la economía y la salud, y que las mujeres y los hombres puedan utilizar la información para hacer frente a los obstáculos a la igualdad entre los géneros con los que tropiezan en su vida, incluidas las expectativas de sus familias con respecto a las funciones y los valores. Una evaluación de la segunda campaña demostró que la campaña proporcionó información útil a las mujeres que participaron en esta. </w:t>
      </w:r>
    </w:p>
    <w:bookmarkEnd w:id="17"/>
    <w:bookmarkEnd w:id="18"/>
    <w:bookmarkEnd w:id="19"/>
    <w:p w:rsidR="0038237D" w:rsidRPr="00EA0AB9" w:rsidRDefault="000B2D56" w:rsidP="000B2D56">
      <w:pPr>
        <w:pStyle w:val="SingleTxt"/>
        <w:suppressAutoHyphens/>
        <w:rPr>
          <w:lang w:val="es-ES_tradnl"/>
        </w:rPr>
      </w:pPr>
      <w:r>
        <w:rPr>
          <w:lang w:val="es-ES_tradnl"/>
        </w:rPr>
        <w:tab/>
      </w:r>
      <w:r w:rsidR="0038237D" w:rsidRPr="00EA0AB9">
        <w:rPr>
          <w:lang w:val="es-ES_tradnl"/>
        </w:rPr>
        <w:t>Se ha producido un cambio considerable en la división del trabajo entre las mujeres y los hombres a nivel doméstico. Estudios sobre la utilización del tiempo demuestran que, en 1964, las mujeres dedicaban 4 horas más que los hombres a las tareas domésticas cada día, mientras que la diferencia en 2009 era de 45 minutos. Esto permite a las mujeres participar con mayor libertad y a tiempo completo en el mercado laboral.</w:t>
      </w:r>
    </w:p>
    <w:p w:rsidR="0038237D" w:rsidRPr="00EA0AB9" w:rsidRDefault="000B2D56" w:rsidP="000B2D56">
      <w:pPr>
        <w:pStyle w:val="SingleTxt"/>
        <w:suppressAutoHyphens/>
        <w:rPr>
          <w:b/>
          <w:lang w:val="es-ES_tradnl"/>
        </w:rPr>
      </w:pPr>
      <w:r>
        <w:rPr>
          <w:lang w:val="es-ES_tradnl"/>
        </w:rPr>
        <w:tab/>
      </w:r>
      <w:r w:rsidR="0038237D" w:rsidRPr="00EA0AB9">
        <w:rPr>
          <w:lang w:val="es-ES_tradnl"/>
        </w:rPr>
        <w:t>Dinamarca participa plenamente en el seguimiento continuo de la UE de la Plataforma de Acción de Beijing mediante la aprobación de las conclusiones del Consejo, incluso durante las presidencias danesas de la UE; en 2012, mediante las conclusiones del Consejo sobre la esfera de especial preocupación K (La mujer y el medio ambiente) y, en 2002, sobre la esfera de especial preocupación D (La violencia contra la mujer).</w:t>
      </w:r>
      <w:r w:rsidR="0038237D">
        <w:rPr>
          <w:lang w:val="es-ES_tradnl"/>
        </w:rPr>
        <w:t xml:space="preserve"> </w:t>
      </w:r>
      <w:r w:rsidR="0038237D" w:rsidRPr="00EA0AB9">
        <w:rPr>
          <w:lang w:val="es-ES_tradnl"/>
        </w:rPr>
        <w:t xml:space="preserve">Estas últimas conclusiones dieron origen a siete indicadores que, hasta la fecha, han constituido el ámbito de tres encuestas nacionales de seguimiento sobre la violencia contra la mujer (cada cuatro años) en Dinamarca. </w:t>
      </w:r>
    </w:p>
    <w:p w:rsidR="0038237D" w:rsidRPr="00EA0AB9" w:rsidRDefault="000B2D56" w:rsidP="000B2D56">
      <w:pPr>
        <w:pStyle w:val="SingleTxt"/>
        <w:suppressAutoHyphens/>
        <w:rPr>
          <w:lang w:val="es-ES_tradnl"/>
        </w:rPr>
      </w:pPr>
      <w:r>
        <w:rPr>
          <w:lang w:val="es-ES_tradnl"/>
        </w:rPr>
        <w:tab/>
      </w:r>
      <w:r w:rsidR="0038237D" w:rsidRPr="00EA0AB9">
        <w:rPr>
          <w:lang w:val="es-ES_tradnl"/>
        </w:rPr>
        <w:t xml:space="preserve">El Gobierno está convencido de que no se puede alcanzar la igualdad entre los géneros sin la inclusión de los hombres, como asociados para el empoderamiento de la mujer y como agentes importantes para la eliminación de la discriminación por razón del género entre los hombres. Por este motivo, se ha procurado crear grupos masculinos y redes masculinas a fin de definir de qué modo se puede incluir a los hombres en esta labor. </w:t>
      </w:r>
    </w:p>
    <w:p w:rsidR="000B2D56" w:rsidRPr="000B2D56" w:rsidRDefault="000B2D56" w:rsidP="000B2D56">
      <w:pPr>
        <w:pStyle w:val="SingleTxt"/>
        <w:suppressAutoHyphens/>
        <w:spacing w:after="0" w:line="120" w:lineRule="exact"/>
        <w:rPr>
          <w:sz w:val="10"/>
          <w:lang w:val="es-ES_tradnl"/>
        </w:rPr>
      </w:pPr>
    </w:p>
    <w:p w:rsidR="0038237D" w:rsidRPr="00EA0AB9" w:rsidRDefault="00346468" w:rsidP="000B2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sidR="0038237D">
        <w:rPr>
          <w:lang w:val="es-ES_tradnl"/>
        </w:rPr>
        <w:tab/>
      </w:r>
      <w:r w:rsidR="0038237D">
        <w:rPr>
          <w:lang w:val="es-ES_tradnl"/>
        </w:rPr>
        <w:tab/>
      </w:r>
      <w:r w:rsidR="0038237D" w:rsidRPr="00EA0AB9">
        <w:rPr>
          <w:lang w:val="es-ES_tradnl"/>
        </w:rPr>
        <w:t>Igualdad entre los géneros en el sector público</w:t>
      </w:r>
    </w:p>
    <w:p w:rsidR="000B2D56" w:rsidRPr="000B2D56" w:rsidRDefault="000B2D56" w:rsidP="000B2D56">
      <w:pPr>
        <w:pStyle w:val="SingleTxt"/>
        <w:suppressAutoHyphens/>
        <w:spacing w:after="0" w:line="120" w:lineRule="exact"/>
        <w:rPr>
          <w:sz w:val="10"/>
          <w:lang w:val="es-ES_tradnl"/>
        </w:rPr>
      </w:pPr>
      <w:bookmarkStart w:id="20" w:name="_Toc348513711"/>
      <w:bookmarkStart w:id="21" w:name="_Toc349720577"/>
      <w:bookmarkStart w:id="22" w:name="_Toc360096816"/>
      <w:bookmarkStart w:id="23" w:name="_Toc348513710"/>
      <w:bookmarkStart w:id="24" w:name="_Toc360096815"/>
    </w:p>
    <w:p w:rsidR="0038237D" w:rsidRPr="00EA0AB9" w:rsidRDefault="000B2D56" w:rsidP="000B2D56">
      <w:pPr>
        <w:pStyle w:val="SingleTxt"/>
        <w:suppressAutoHyphens/>
        <w:rPr>
          <w:lang w:val="es-ES_tradnl"/>
        </w:rPr>
      </w:pPr>
      <w:r>
        <w:rPr>
          <w:lang w:val="es-ES_tradnl"/>
        </w:rPr>
        <w:tab/>
      </w:r>
      <w:r w:rsidR="0038237D" w:rsidRPr="00EA0AB9">
        <w:rPr>
          <w:lang w:val="es-ES_tradnl"/>
        </w:rPr>
        <w:t xml:space="preserve">Desde 2000, en el artículo 4 de la Ley sobre la igualdad de género se establece que las autoridades públicas, en su ámbito, trabajarán por la igualdad entre los géneros e integrarán dicha igualdad en toda la planificación y administración. De los informes sobre la igualdad entre los géneros, que las autoridades estatales y locales están obligadas a presentar bianualmente al Ministro de Igualdad entre los Géneros, se desprende que las autoridades han obtenido resultados positivos. Entre 2009 y 2011, el número de Directoras Generales en las instituciones estatales (con más de 50 empleados) aumentó en 11 puntos porcentuales (del 14% al 25%), en las regiones, en 5 puntos porcentuales (del 19% al 24%), y en los municipios, en 2 puntos porcentuales (del 23% al 25%). </w:t>
      </w:r>
    </w:p>
    <w:bookmarkEnd w:id="20"/>
    <w:bookmarkEnd w:id="21"/>
    <w:bookmarkEnd w:id="22"/>
    <w:bookmarkEnd w:id="23"/>
    <w:bookmarkEnd w:id="24"/>
    <w:p w:rsidR="0038237D" w:rsidRPr="00EA0AB9" w:rsidRDefault="000B2D56" w:rsidP="000B2D56">
      <w:pPr>
        <w:pStyle w:val="SingleTxt"/>
        <w:suppressAutoHyphens/>
        <w:rPr>
          <w:lang w:val="es-ES_tradnl"/>
        </w:rPr>
      </w:pPr>
      <w:r>
        <w:rPr>
          <w:lang w:val="es-ES_tradnl"/>
        </w:rPr>
        <w:tab/>
      </w:r>
      <w:r w:rsidR="0038237D" w:rsidRPr="00EA0AB9">
        <w:rPr>
          <w:lang w:val="es-ES_tradnl"/>
        </w:rPr>
        <w:t xml:space="preserve">En cuanto a la incorporación de la perspectiva de género en las iniciativas y los servicios relacionados con los ciudadanos, todos los ministerios han desarrollado políticas de igualdad entre los géneros en sus respectivos ámbitos como resultado del plan de acción interministerial sobre la incorporación de la perspectiva de género 2007-2011. Aun así, las autoridades a nivel estatal y especialmente local se enfrentan a dificultades con la incorporación de la perspectiva de género en los servicios relacionados con los ciudadanos, y a principios de 2013 el Gobierno lanzó una nueva estrategia para la incorporación de la perspectiva de género en las iniciativas de las autoridades públicas. La estrategia contiene tres enfoques. </w:t>
      </w:r>
    </w:p>
    <w:p w:rsidR="0038237D" w:rsidRDefault="000B2D56" w:rsidP="000B2D56">
      <w:pPr>
        <w:pStyle w:val="SingleTxt"/>
        <w:suppressAutoHyphens/>
        <w:rPr>
          <w:lang w:val="es-ES_tradnl"/>
        </w:rPr>
      </w:pPr>
      <w:r w:rsidRPr="000B2D56">
        <w:rPr>
          <w:lang w:val="es-ES_tradnl"/>
        </w:rPr>
        <w:tab/>
      </w:r>
      <w:r w:rsidR="0038237D" w:rsidRPr="00EA0AB9">
        <w:rPr>
          <w:u w:val="single"/>
          <w:lang w:val="es-ES_tradnl"/>
        </w:rPr>
        <w:t>Mejoras en las evaluaciones de la igualdad entre los géneros</w:t>
      </w:r>
      <w:r w:rsidR="0038237D" w:rsidRPr="00EA0AB9">
        <w:rPr>
          <w:lang w:val="es-ES_tradnl"/>
        </w:rPr>
        <w:t xml:space="preserve">; un enfoque más sistemático de la evaluación de la igualdad entre los géneros en los proyectos de leyes y otras iniciativas relacionadas con los ciudadanos en el Estado y las municipios, y una composición más equilibrada entre mujeres y hombres en las empresas e instituciones públicas. </w:t>
      </w:r>
      <w:r w:rsidR="0038237D" w:rsidRPr="00EA0AB9">
        <w:rPr>
          <w:u w:val="single"/>
          <w:lang w:val="es-ES_tradnl"/>
        </w:rPr>
        <w:t>Mejoras en la orientación y la difusión de conocimientos</w:t>
      </w:r>
      <w:r w:rsidR="0038237D" w:rsidRPr="00EA0AB9">
        <w:rPr>
          <w:lang w:val="es-ES_tradnl"/>
        </w:rPr>
        <w:t xml:space="preserve">; nuevo sitio web mejorado (con buenas prácticas y herramientas de incorporación de la perspectiva de género), orientación profesional sobre las evaluaciones de la igualdad entre los géneros, establecimiento de una nueva red interministerial y una encuesta nórdica sobre las mejores prácticas. </w:t>
      </w:r>
      <w:r w:rsidR="0038237D" w:rsidRPr="00EA0AB9">
        <w:rPr>
          <w:u w:val="single"/>
          <w:lang w:val="es-ES_tradnl"/>
        </w:rPr>
        <w:t>Mejoras en la supervisión</w:t>
      </w:r>
      <w:r w:rsidR="0038237D" w:rsidRPr="00EA0AB9">
        <w:rPr>
          <w:lang w:val="es-ES_tradnl"/>
        </w:rPr>
        <w:t xml:space="preserve">; un concepto mejorado y simplificado para la elaboración de los informes sobre la igualdad entre los géneros, que permite que sea más sencillo para las autoridades utilizar los informes como herramientas para supervisar y mejorar las medidas relativas a la igualdad entre los géneros, así como para supervisar los esfuerzos de las autoridades tendentes a lograr que un mayor número de mujeres ocupe puestos de gestión. </w:t>
      </w:r>
    </w:p>
    <w:p w:rsidR="000B2D56" w:rsidRPr="000B2D56" w:rsidRDefault="000B2D56" w:rsidP="000B2D56">
      <w:pPr>
        <w:pStyle w:val="SingleTxt"/>
        <w:suppressAutoHyphens/>
        <w:spacing w:after="0" w:line="120" w:lineRule="exact"/>
        <w:rPr>
          <w:sz w:val="10"/>
          <w:lang w:val="es-ES_tradnl"/>
        </w:rPr>
      </w:pPr>
    </w:p>
    <w:p w:rsidR="000B2D56" w:rsidRPr="000B2D56" w:rsidRDefault="000B2D56" w:rsidP="000B2D56">
      <w:pPr>
        <w:pStyle w:val="SingleTxt"/>
        <w:suppressAutoHyphens/>
        <w:spacing w:after="0" w:line="120" w:lineRule="exact"/>
        <w:rPr>
          <w:sz w:val="10"/>
          <w:lang w:val="es-ES_tradnl"/>
        </w:rPr>
      </w:pPr>
    </w:p>
    <w:p w:rsidR="0038237D" w:rsidRDefault="0038237D" w:rsidP="000B2D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39A7">
        <w:tab/>
      </w:r>
      <w:r w:rsidRPr="000739A7">
        <w:tab/>
        <w:t xml:space="preserve">Artículo 4: Órganos para la igualdad y medidas especiales </w:t>
      </w:r>
    </w:p>
    <w:p w:rsidR="000B2D56" w:rsidRPr="000B2D56" w:rsidRDefault="000B2D56" w:rsidP="000B2D56">
      <w:pPr>
        <w:pStyle w:val="SingleTxt"/>
        <w:spacing w:after="0" w:line="120" w:lineRule="exact"/>
        <w:rPr>
          <w:sz w:val="10"/>
        </w:rPr>
      </w:pPr>
    </w:p>
    <w:p w:rsidR="000B2D56" w:rsidRPr="000B2D56" w:rsidRDefault="000B2D56" w:rsidP="000B2D56">
      <w:pPr>
        <w:pStyle w:val="SingleTxt"/>
        <w:spacing w:after="0" w:line="120" w:lineRule="exact"/>
        <w:rPr>
          <w:sz w:val="10"/>
        </w:rPr>
      </w:pPr>
    </w:p>
    <w:p w:rsidR="0038237D" w:rsidRPr="00EA0AB9" w:rsidRDefault="0038237D" w:rsidP="000B2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25" w:name="_Toc348513712"/>
      <w:bookmarkStart w:id="26" w:name="_Toc349720578"/>
      <w:bookmarkStart w:id="27" w:name="_Toc360096817"/>
      <w:r>
        <w:rPr>
          <w:lang w:val="es-ES_tradnl"/>
        </w:rPr>
        <w:tab/>
      </w:r>
      <w:r>
        <w:rPr>
          <w:lang w:val="es-ES_tradnl"/>
        </w:rPr>
        <w:tab/>
      </w:r>
      <w:r w:rsidRPr="00EA0AB9">
        <w:rPr>
          <w:lang w:val="es-ES_tradnl"/>
        </w:rPr>
        <w:t>Ministro de Igualdad entre los Géneros</w:t>
      </w:r>
    </w:p>
    <w:p w:rsidR="000B2D56" w:rsidRPr="000B2D56" w:rsidRDefault="000B2D56" w:rsidP="000B2D56">
      <w:pPr>
        <w:pStyle w:val="SingleTxt"/>
        <w:suppressAutoHyphens/>
        <w:spacing w:after="0" w:line="120" w:lineRule="exact"/>
        <w:rPr>
          <w:sz w:val="10"/>
          <w:lang w:val="es-ES_tradnl"/>
        </w:rPr>
      </w:pPr>
      <w:bookmarkStart w:id="28" w:name="_Toc348513713"/>
      <w:bookmarkStart w:id="29" w:name="_Toc349720579"/>
      <w:bookmarkStart w:id="30" w:name="_Toc360096818"/>
      <w:bookmarkEnd w:id="25"/>
      <w:bookmarkEnd w:id="26"/>
      <w:bookmarkEnd w:id="27"/>
    </w:p>
    <w:p w:rsidR="0038237D" w:rsidRPr="00EA0AB9" w:rsidRDefault="000B2D56" w:rsidP="000B2D56">
      <w:pPr>
        <w:pStyle w:val="SingleTxt"/>
        <w:suppressAutoHyphens/>
        <w:rPr>
          <w:lang w:val="es-ES_tradnl"/>
        </w:rPr>
      </w:pPr>
      <w:r>
        <w:rPr>
          <w:lang w:val="es-ES_tradnl"/>
        </w:rPr>
        <w:tab/>
      </w:r>
      <w:r w:rsidR="0038237D" w:rsidRPr="00EA0AB9">
        <w:rPr>
          <w:lang w:val="es-ES_tradnl"/>
        </w:rPr>
        <w:t>El Ministro de Igualdad entre los Géneros coordina la labor gubernamental relacionada con la igualdad de género entre el hombre y la mujer. Los distintos ministros se encargan de la igualdad de género en sus respectivos ámbitos, tanto en lo que respecta a las iniciativas especiales como a las de carácter general.</w:t>
      </w:r>
    </w:p>
    <w:bookmarkEnd w:id="28"/>
    <w:bookmarkEnd w:id="29"/>
    <w:bookmarkEnd w:id="30"/>
    <w:p w:rsidR="0038237D" w:rsidRPr="00EA0AB9" w:rsidRDefault="000B2D56" w:rsidP="000B2D56">
      <w:pPr>
        <w:pStyle w:val="SingleTxt"/>
        <w:suppressAutoHyphens/>
        <w:rPr>
          <w:lang w:val="es-ES_tradnl"/>
        </w:rPr>
      </w:pPr>
      <w:r>
        <w:rPr>
          <w:lang w:val="es-ES_tradnl"/>
        </w:rPr>
        <w:tab/>
      </w:r>
      <w:r w:rsidR="0038237D" w:rsidRPr="00EA0AB9">
        <w:rPr>
          <w:lang w:val="es-ES_tradnl"/>
        </w:rPr>
        <w:t>El Ministro de Igualdad entre los Géneros se encarga, entre otras cosas, de: elaborar la política gubernamental sobre la igualdad de género, hacer hincapié en las áreas de acción especiales, coordinar los esfuerzos de igualdad de género en el Gobierno y aplicar la estrategia de incorporación de la perspectiva de género, desempeñar actividades nacionales en relación con la UE, los países nórdicos, las Naciones Unidas y el Consejo de Europa, realizar tareas internacionales en relación con los países nórdicos, la UE y las Naciones Unidas, elaborar un informe anual y una perspectiva y plan de acción para la igualdad de género con destino al Folketing (Parlamento), recopilar informes sobre la igualdad de género presentados por instituciones estatales y municipios, representar los puntos de vista sobre la igualdad de género en los comités competentes, administrar la Ley sobre la igualdad de género y supervisar la composición por género de los consejos, juntas y comités, ofrecer servicios de secretaría a los actuales grupos de trabajo interministeriales, etc.</w:t>
      </w:r>
      <w:r w:rsidR="0038237D">
        <w:rPr>
          <w:lang w:val="es-ES_tradnl"/>
        </w:rPr>
        <w:t xml:space="preserve"> </w:t>
      </w:r>
    </w:p>
    <w:p w:rsidR="000B2D56" w:rsidRPr="000B2D56" w:rsidRDefault="000B2D56" w:rsidP="000B2D56">
      <w:pPr>
        <w:pStyle w:val="SingleTxt"/>
        <w:suppressAutoHyphens/>
        <w:spacing w:after="0" w:line="120" w:lineRule="exact"/>
        <w:rPr>
          <w:sz w:val="10"/>
          <w:lang w:val="es-ES_tradnl"/>
        </w:rPr>
      </w:pPr>
    </w:p>
    <w:p w:rsidR="0038237D" w:rsidRPr="00EA0AB9" w:rsidRDefault="0038237D" w:rsidP="000B2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 xml:space="preserve">Ministerio de Igualdad entre los Géneros </w:t>
      </w:r>
    </w:p>
    <w:p w:rsidR="000B2D56" w:rsidRPr="000B2D56" w:rsidRDefault="000B2D56" w:rsidP="000B2D56">
      <w:pPr>
        <w:pStyle w:val="SingleTxtG"/>
        <w:spacing w:after="0" w:line="120" w:lineRule="exact"/>
        <w:rPr>
          <w:sz w:val="10"/>
          <w:lang w:val="es-ES_tradnl"/>
        </w:rPr>
      </w:pPr>
      <w:bookmarkStart w:id="31" w:name="_Toc348513714"/>
      <w:bookmarkStart w:id="32" w:name="_Toc349720580"/>
      <w:bookmarkStart w:id="33" w:name="_Toc360096819"/>
    </w:p>
    <w:p w:rsidR="0038237D" w:rsidRPr="00EA0AB9" w:rsidRDefault="000B2D56" w:rsidP="000B2D56">
      <w:pPr>
        <w:pStyle w:val="SingleTxt"/>
        <w:suppressAutoHyphens/>
        <w:rPr>
          <w:lang w:val="es-ES_tradnl"/>
        </w:rPr>
      </w:pPr>
      <w:r>
        <w:rPr>
          <w:lang w:val="es-ES_tradnl"/>
        </w:rPr>
        <w:tab/>
      </w:r>
      <w:r w:rsidR="0038237D" w:rsidRPr="00EA0AB9">
        <w:rPr>
          <w:lang w:val="es-ES_tradnl"/>
        </w:rPr>
        <w:t>El Ministerio de Igualdad entre los Géneros desempeña la función de secretaría del Ministro de Igualdad entre los Géneros, prestando servicio al Ministro en las diferentes actividades enumeradas anteriormente. El Ministerio cuenta con 16 funcionarios. La financiación para el funcionamiento del Departamento para la Igualdad entre los Géneros se asigna en la Ley de finanzas y presupuesto. En 2012, se asignó un total de 14 millones de coronas danesas. Además, el Departamento para la Igualdad entre los Géneros administra los fondos asignados para el plan de acción encaminado a combatir la trata de mujeres en el período comprendido entre 2011 y 2014 (85,6 millones de coronas danesas), los fondos para el plan de acción encaminado a combatir la violencia en las relaciones de pareja en el período comprendido entre 2009 y 2012 (35 millones de coronas danesas), así como los 8 millones de coronas danesas asignados para promover la igualdad de género entre hombres y mujeres de origen étnico no danés, correspondientes al período comprendido entre 2009 y 2013. Recientemente, se han asignado otros 20 millones de coronas danesas para el período 2010-2013 para prestar apoyo a los proyectos locales que promueven la igualdad de género.</w:t>
      </w:r>
    </w:p>
    <w:bookmarkEnd w:id="31"/>
    <w:bookmarkEnd w:id="32"/>
    <w:bookmarkEnd w:id="33"/>
    <w:p w:rsidR="000B2D56" w:rsidRPr="000B2D56" w:rsidRDefault="000B2D56" w:rsidP="000B2D56">
      <w:pPr>
        <w:pStyle w:val="SingleTxt"/>
        <w:suppressAutoHyphens/>
        <w:spacing w:after="0" w:line="120" w:lineRule="exact"/>
        <w:rPr>
          <w:sz w:val="10"/>
          <w:lang w:val="es-ES_tradnl"/>
        </w:rPr>
      </w:pPr>
    </w:p>
    <w:p w:rsidR="0038237D" w:rsidRPr="00EA0AB9" w:rsidRDefault="0038237D" w:rsidP="000B2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Junta para la Igualdad de Trato</w:t>
      </w:r>
    </w:p>
    <w:p w:rsidR="000B2D56" w:rsidRPr="000B2D56" w:rsidRDefault="000B2D56" w:rsidP="000B2D56">
      <w:pPr>
        <w:pStyle w:val="SingleTxtG"/>
        <w:spacing w:after="0" w:line="120" w:lineRule="exact"/>
        <w:rPr>
          <w:sz w:val="10"/>
          <w:lang w:val="es-ES_tradnl"/>
        </w:rPr>
      </w:pPr>
      <w:bookmarkStart w:id="34" w:name="_Hlt379977678"/>
    </w:p>
    <w:p w:rsidR="0038237D" w:rsidRPr="00EA0AB9" w:rsidRDefault="000B2D56" w:rsidP="000B2D56">
      <w:pPr>
        <w:pStyle w:val="SingleTxt"/>
        <w:suppressAutoHyphens/>
        <w:rPr>
          <w:lang w:val="es-ES_tradnl"/>
        </w:rPr>
      </w:pPr>
      <w:r>
        <w:rPr>
          <w:lang w:val="es-ES_tradnl"/>
        </w:rPr>
        <w:tab/>
      </w:r>
      <w:r w:rsidR="0038237D" w:rsidRPr="00EA0AB9">
        <w:rPr>
          <w:lang w:val="es-ES_tradnl"/>
        </w:rPr>
        <w:t xml:space="preserve">La Junta para la Igualdad de Trato se ocupa de las denuncias relacionadas con la discriminación por motivos de género, raza, color, religión o creencias, opinión política, orientación sexual, edad, discapacidad u origen nacional, social o étnico. La jurisdicción de la Junta se basa en </w:t>
      </w:r>
      <w:hyperlink r:id="rId15" w:history="1">
        <w:r w:rsidR="0038237D" w:rsidRPr="00D51A6A">
          <w:rPr>
            <w:rStyle w:val="Hyperlink"/>
            <w:lang w:val="es-ES_tradnl"/>
          </w:rPr>
          <w:t>la Ley núm. 387, de 27 de mayo de 2008, sobre la Junta para la Igualdad de Trato.</w:t>
        </w:r>
      </w:hyperlink>
      <w:r w:rsidR="0038237D" w:rsidRPr="00D51A6A">
        <w:rPr>
          <w:lang w:val="es-ES_tradnl"/>
        </w:rPr>
        <w:t xml:space="preserve"> </w:t>
      </w:r>
      <w:r w:rsidR="0038237D" w:rsidRPr="00EA0AB9">
        <w:rPr>
          <w:lang w:val="es-ES_tradnl"/>
        </w:rPr>
        <w:t xml:space="preserve">La Junta adopta las decisiones sobre la base de </w:t>
      </w:r>
      <w:hyperlink r:id="rId16" w:history="1">
        <w:r w:rsidR="0038237D" w:rsidRPr="00D51A6A">
          <w:rPr>
            <w:rStyle w:val="Hyperlink"/>
            <w:lang w:val="es-ES_tradnl"/>
          </w:rPr>
          <w:t>esta legislación</w:t>
        </w:r>
      </w:hyperlink>
      <w:r w:rsidR="0038237D" w:rsidRPr="00D51A6A">
        <w:rPr>
          <w:lang w:val="es-ES_tradnl"/>
        </w:rPr>
        <w:t>.</w:t>
      </w:r>
      <w:r w:rsidR="0038237D" w:rsidRPr="00EA0AB9">
        <w:rPr>
          <w:lang w:val="es-ES_tradnl"/>
        </w:rPr>
        <w:t xml:space="preserve"> Cualquier ciudadano puede presentar una denuncia ante la Junta para la Igualdad de Trato. Las decisiones adoptadas por la Junta son definitivas y vinculantes para ambas partes. En determinadas situaciones, la Junta puede decidir que el demandante tiene derecho a una indemnización (por ejemplo, en el caso de un despido no justificado). La Junta para la Igualdad de Trato basa sus decisiones en la información por escrito recibida del demandante, de la parte demandada (la persona o el hecho que es objeto de la denuncia) y de la secretaría. La Junta publica sus decisiones de forma anónima.</w:t>
      </w:r>
    </w:p>
    <w:bookmarkEnd w:id="34"/>
    <w:p w:rsidR="0038237D" w:rsidRPr="00EA0AB9" w:rsidRDefault="000B2D56" w:rsidP="000B2D56">
      <w:pPr>
        <w:pStyle w:val="SingleTxt"/>
        <w:suppressAutoHyphens/>
        <w:rPr>
          <w:lang w:val="es-ES_tradnl"/>
        </w:rPr>
      </w:pPr>
      <w:r>
        <w:rPr>
          <w:lang w:val="es-ES_tradnl"/>
        </w:rPr>
        <w:tab/>
      </w:r>
      <w:r w:rsidR="0038237D" w:rsidRPr="00EA0AB9">
        <w:rPr>
          <w:lang w:val="es-ES_tradnl"/>
        </w:rPr>
        <w:t>La Junta está compuesta por tres jueces que forman la presidencia y nueve miembros licenciados en Derecho. Todos los miembros de la Junta son nombrados por el Ministro de Empleo. Todos ellos poseen conocimientos especializados sobre la reglamentación del mercado laboral y la discriminación.</w:t>
      </w:r>
    </w:p>
    <w:p w:rsidR="000B2D56" w:rsidRPr="000B2D56" w:rsidRDefault="000B2D56" w:rsidP="000B2D56">
      <w:pPr>
        <w:pStyle w:val="SingleTxt"/>
        <w:suppressAutoHyphens/>
        <w:spacing w:after="0" w:line="120" w:lineRule="exact"/>
        <w:rPr>
          <w:sz w:val="10"/>
          <w:lang w:val="es-ES_tradnl"/>
        </w:rPr>
      </w:pPr>
      <w:bookmarkStart w:id="35" w:name="_Toc348513715"/>
      <w:bookmarkStart w:id="36" w:name="_Toc349720581"/>
      <w:bookmarkStart w:id="37" w:name="_Toc360096820"/>
    </w:p>
    <w:p w:rsidR="0038237D" w:rsidRPr="00EA0AB9" w:rsidRDefault="00745E63" w:rsidP="000B2D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sidR="0038237D">
        <w:rPr>
          <w:lang w:val="es-ES_tradnl"/>
        </w:rPr>
        <w:tab/>
      </w:r>
      <w:r w:rsidR="0038237D">
        <w:rPr>
          <w:lang w:val="es-ES_tradnl"/>
        </w:rPr>
        <w:tab/>
      </w:r>
      <w:r w:rsidR="0038237D" w:rsidRPr="00EA0AB9">
        <w:rPr>
          <w:lang w:val="es-ES_tradnl"/>
        </w:rPr>
        <w:t>Instituto Danés de Derechos Humanos</w:t>
      </w:r>
    </w:p>
    <w:p w:rsidR="000B2D56" w:rsidRPr="000B2D56" w:rsidRDefault="000B2D56" w:rsidP="000B2D56">
      <w:pPr>
        <w:pStyle w:val="SingleTxtG"/>
        <w:spacing w:after="0" w:line="120" w:lineRule="exact"/>
        <w:rPr>
          <w:sz w:val="10"/>
          <w:lang w:val="es-ES_tradnl"/>
        </w:rPr>
      </w:pPr>
      <w:bookmarkStart w:id="38" w:name="_Toc348513716"/>
      <w:bookmarkStart w:id="39" w:name="_Toc349720582"/>
      <w:bookmarkStart w:id="40" w:name="_Toc360096821"/>
      <w:bookmarkEnd w:id="35"/>
      <w:bookmarkEnd w:id="36"/>
      <w:bookmarkEnd w:id="37"/>
    </w:p>
    <w:p w:rsidR="0038237D" w:rsidRPr="00EA0AB9" w:rsidRDefault="000B2D56" w:rsidP="000B2D56">
      <w:pPr>
        <w:pStyle w:val="SingleTxt"/>
        <w:suppressAutoHyphens/>
        <w:rPr>
          <w:lang w:val="es-ES_tradnl"/>
        </w:rPr>
      </w:pPr>
      <w:r>
        <w:rPr>
          <w:lang w:val="es-ES_tradnl"/>
        </w:rPr>
        <w:tab/>
      </w:r>
      <w:r w:rsidR="0038237D" w:rsidRPr="00EA0AB9">
        <w:rPr>
          <w:lang w:val="es-ES_tradnl"/>
        </w:rPr>
        <w:t>El Instituto Danés de Derechos Humanos ha sido nombrado recientemente por el Parlamento de Dinamarca como organismo de promoción de la igualdad en relación con el género. Esto significa que, de ahora en adelante, el Instituto Danés de Derechos Humanos tiene el mandato de fomentar, evaluar, supervisar y apoyar la igualdad de trato entre mujeres y hombres sin discriminación por motivos de género. Toda persona que considere que ha sido discriminada debido a su sexo puede ponerse en contacto con el Instituto Danés de Derechos Humanos para solicitar orientación y asistencia.</w:t>
      </w:r>
    </w:p>
    <w:bookmarkEnd w:id="38"/>
    <w:bookmarkEnd w:id="39"/>
    <w:bookmarkEnd w:id="40"/>
    <w:p w:rsidR="0038237D" w:rsidRPr="00EA0AB9" w:rsidRDefault="00D51A6A" w:rsidP="00D51A6A">
      <w:pPr>
        <w:pStyle w:val="SingleTxt"/>
        <w:suppressAutoHyphens/>
        <w:rPr>
          <w:lang w:val="es-ES_tradnl"/>
        </w:rPr>
      </w:pPr>
      <w:r>
        <w:rPr>
          <w:lang w:val="es-ES_tradnl"/>
        </w:rPr>
        <w:tab/>
      </w:r>
      <w:r w:rsidR="0038237D" w:rsidRPr="00EA0AB9">
        <w:rPr>
          <w:lang w:val="es-ES_tradnl"/>
        </w:rPr>
        <w:t>La competencia del Instituto Danés de Derechos Humanos para abarcar la igualdad de trato en relación con el género queda establecida por una nueva ley fundacional: la enmienda a la ley que rige el establecimiento del Centro Danés sobre Estudios Internacionales y Derechos Humanos. La ley estipula que el Instituto Danés de Derechos Humanos debe fomentar, evaluar y supervisar la igualdad de trato entre mujeres y hombres sin discriminación por motivos de género, incluida la prestación de asistencia a las víctimas de la discriminación para que sus denuncias sean atendidas, teniendo debidamente en cuenta los derechos de las víctimas, las asociaciones, las organizaciones y otras personas jurídicas a iniciar análisis independientes sobre la discriminación y a publicar informes y formular recomendaciones sobre cuestiones relacionadas con la discriminación.</w:t>
      </w:r>
    </w:p>
    <w:p w:rsidR="00D51A6A" w:rsidRPr="00D51A6A" w:rsidRDefault="00D51A6A" w:rsidP="00D51A6A">
      <w:pPr>
        <w:pStyle w:val="SingleTxt"/>
        <w:suppressAutoHyphens/>
        <w:spacing w:after="0" w:line="120" w:lineRule="exact"/>
        <w:rPr>
          <w:sz w:val="10"/>
          <w:lang w:val="es-ES_tradnl"/>
        </w:rPr>
      </w:pPr>
    </w:p>
    <w:p w:rsidR="0038237D" w:rsidRPr="00EA0AB9" w:rsidRDefault="0038237D" w:rsidP="00D51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 xml:space="preserve">Centro Danés de Información sobre la Mujer y el Género (KVINFO) </w:t>
      </w:r>
    </w:p>
    <w:p w:rsidR="00D51A6A" w:rsidRPr="00D51A6A" w:rsidRDefault="00D51A6A" w:rsidP="00D51A6A">
      <w:pPr>
        <w:pStyle w:val="SingleTxt"/>
        <w:suppressAutoHyphens/>
        <w:spacing w:after="0" w:line="120" w:lineRule="exact"/>
        <w:rPr>
          <w:sz w:val="10"/>
          <w:lang w:val="es-ES_tradnl"/>
        </w:rPr>
      </w:pPr>
    </w:p>
    <w:p w:rsidR="0038237D" w:rsidRPr="00EA0AB9" w:rsidRDefault="00D51A6A" w:rsidP="00D51A6A">
      <w:pPr>
        <w:pStyle w:val="SingleTxt"/>
        <w:suppressAutoHyphens/>
        <w:rPr>
          <w:lang w:val="es-ES_tradnl"/>
        </w:rPr>
      </w:pPr>
      <w:r>
        <w:rPr>
          <w:lang w:val="es-ES_tradnl"/>
        </w:rPr>
        <w:tab/>
      </w:r>
      <w:r w:rsidR="0038237D" w:rsidRPr="00EA0AB9">
        <w:rPr>
          <w:lang w:val="es-ES_tradnl"/>
        </w:rPr>
        <w:t>El Centro Danés de Información sobre la Mujer y el Género (KVINFO) es un centro nacional de información, documentación y cultura que comunica los resultados de los estudios sobre el género a un público general amplio. El KVINFO transmite conocimientos sobre la importancia de las diferencias de género y trata de hacer visibles los conocimientos, la experiencia y la competencia de la mujer. El núcleo de las actividades del centro es la biblioteca, que goza de reconocimiento como biblioteca de investigación. Además, el KVINFO ha establecido una base de datos especializados que contiene el historial profesional de más de 1.100 mujeres expertas. La base de datos es un instrumento para encontrar mujeres altamente calificadas en todas las esferas de conocimiento de la sociedad.</w:t>
      </w:r>
    </w:p>
    <w:p w:rsidR="00D51A6A" w:rsidRPr="00D51A6A" w:rsidRDefault="00D51A6A" w:rsidP="00D51A6A">
      <w:pPr>
        <w:pStyle w:val="SingleTxt"/>
        <w:suppressAutoHyphens/>
        <w:spacing w:after="0" w:line="120" w:lineRule="exact"/>
        <w:rPr>
          <w:sz w:val="10"/>
          <w:lang w:val="es-ES_tradnl"/>
        </w:rPr>
      </w:pPr>
      <w:bookmarkStart w:id="41" w:name="_Toc348513717"/>
      <w:bookmarkStart w:id="42" w:name="_Toc360096822"/>
    </w:p>
    <w:p w:rsidR="0038237D" w:rsidRPr="00EA0AB9" w:rsidRDefault="0038237D" w:rsidP="00D51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Organizaciones no gubernamentales</w:t>
      </w:r>
    </w:p>
    <w:bookmarkEnd w:id="41"/>
    <w:bookmarkEnd w:id="42"/>
    <w:p w:rsidR="00D51A6A" w:rsidRPr="00D51A6A" w:rsidRDefault="00D51A6A" w:rsidP="00D51A6A">
      <w:pPr>
        <w:pStyle w:val="SingleTxtG"/>
        <w:spacing w:after="0" w:line="120" w:lineRule="exact"/>
        <w:rPr>
          <w:sz w:val="10"/>
          <w:lang w:val="es-ES_tradnl"/>
        </w:rPr>
      </w:pPr>
    </w:p>
    <w:p w:rsidR="0038237D" w:rsidRPr="00EA0AB9" w:rsidRDefault="00D51A6A" w:rsidP="00D51A6A">
      <w:pPr>
        <w:pStyle w:val="SingleTxt"/>
        <w:suppressAutoHyphens/>
        <w:rPr>
          <w:lang w:val="es-ES_tradnl"/>
        </w:rPr>
      </w:pPr>
      <w:r>
        <w:rPr>
          <w:lang w:val="es-ES_tradnl"/>
        </w:rPr>
        <w:tab/>
      </w:r>
      <w:r w:rsidR="0038237D" w:rsidRPr="00EA0AB9">
        <w:rPr>
          <w:lang w:val="es-ES_tradnl"/>
        </w:rPr>
        <w:t xml:space="preserve">Dinamarca tiene una larga tradición de participación activa de las organizaciones no gubernamentales (ONG) en la labor de promoción de la igualdad de género, en particular la Sociedad de Mujeres Danesas y el Consejo de la Mujer de Dinamarca. Este última es una organización amplia que integra a 46 sociedades y organizaciones de mujeres con un total de más de 1 millón de miembros; tratan de garantizar los derechos e influencia de la mujer en todos los lugares de la sociedad. </w:t>
      </w:r>
    </w:p>
    <w:p w:rsidR="0038237D" w:rsidRPr="00EA0AB9" w:rsidRDefault="00D51A6A" w:rsidP="00D51A6A">
      <w:pPr>
        <w:pStyle w:val="SingleTxt"/>
        <w:suppressAutoHyphens/>
        <w:rPr>
          <w:lang w:val="es-ES_tradnl"/>
        </w:rPr>
      </w:pPr>
      <w:r>
        <w:rPr>
          <w:lang w:val="es-ES_tradnl"/>
        </w:rPr>
        <w:tab/>
      </w:r>
      <w:r w:rsidR="0038237D" w:rsidRPr="00EA0AB9">
        <w:rPr>
          <w:lang w:val="es-ES_tradnl"/>
        </w:rPr>
        <w:t>La función primaria de las mencionadas ONG es fiscalizar las iniciativas y políticas públicas, así como participar activamente en el debate público a fin de promover la igualdad de género entre la mujer y el hombre, lo que implica también la difusión de conocimientos relativos a la Convención sobre la Eliminación de Todas las Formas de Discriminación contra la Mujer.</w:t>
      </w:r>
      <w:r w:rsidR="0038237D">
        <w:rPr>
          <w:lang w:val="es-ES_tradnl"/>
        </w:rPr>
        <w:t xml:space="preserve"> </w:t>
      </w:r>
    </w:p>
    <w:p w:rsidR="0038237D" w:rsidRPr="00EA0AB9" w:rsidRDefault="00D51A6A" w:rsidP="00D51A6A">
      <w:pPr>
        <w:pStyle w:val="SingleTxt"/>
        <w:suppressAutoHyphens/>
        <w:rPr>
          <w:lang w:val="es-ES_tradnl"/>
        </w:rPr>
      </w:pPr>
      <w:r>
        <w:rPr>
          <w:lang w:val="es-ES_tradnl"/>
        </w:rPr>
        <w:tab/>
      </w:r>
      <w:r w:rsidR="0038237D" w:rsidRPr="00EA0AB9">
        <w:rPr>
          <w:lang w:val="es-ES_tradnl"/>
        </w:rPr>
        <w:t>Las ONG y los expertos intervienen con frecuencia en las consultas acerca de nuevas iniciativas del Gobierno, por ejemplo, propuestas de nuevas leyes, planes de acción, etc. Por lo general, se considera que la inclusión y la cooperación entre las ONG y el Gobierno son muy importantes y sumamente beneficiosas.</w:t>
      </w:r>
    </w:p>
    <w:p w:rsidR="00D51A6A" w:rsidRPr="00D51A6A" w:rsidRDefault="00D51A6A" w:rsidP="00D51A6A">
      <w:pPr>
        <w:pStyle w:val="SingleTxt"/>
        <w:suppressAutoHyphens/>
        <w:spacing w:after="0" w:line="120" w:lineRule="exact"/>
        <w:rPr>
          <w:sz w:val="10"/>
        </w:rPr>
      </w:pPr>
    </w:p>
    <w:p w:rsidR="00D51A6A" w:rsidRPr="00D51A6A" w:rsidRDefault="00D51A6A" w:rsidP="00D51A6A">
      <w:pPr>
        <w:pStyle w:val="SingleTxt"/>
        <w:suppressAutoHyphens/>
        <w:spacing w:after="0" w:line="120" w:lineRule="exact"/>
        <w:rPr>
          <w:sz w:val="10"/>
        </w:rPr>
      </w:pPr>
    </w:p>
    <w:p w:rsidR="0038237D" w:rsidRPr="00575FAC" w:rsidRDefault="0038237D" w:rsidP="00D51A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pPr>
      <w:r w:rsidRPr="000739A7">
        <w:tab/>
      </w:r>
      <w:r w:rsidRPr="000739A7">
        <w:tab/>
        <w:t xml:space="preserve">Artículo 5: Prioridades. </w:t>
      </w:r>
      <w:r w:rsidRPr="00575FAC">
        <w:t>Estereotipos en materia de funciones de género y participación</w:t>
      </w:r>
    </w:p>
    <w:p w:rsidR="00D51A6A" w:rsidRPr="00D51A6A" w:rsidRDefault="00D51A6A" w:rsidP="00D51A6A">
      <w:pPr>
        <w:pStyle w:val="SingleTxt"/>
        <w:suppressAutoHyphens/>
        <w:spacing w:after="0" w:line="120" w:lineRule="exact"/>
        <w:rPr>
          <w:sz w:val="10"/>
          <w:lang w:val="es-ES_tradnl"/>
        </w:rPr>
      </w:pPr>
    </w:p>
    <w:p w:rsidR="00D51A6A" w:rsidRPr="00D51A6A" w:rsidRDefault="00D51A6A" w:rsidP="00D51A6A">
      <w:pPr>
        <w:pStyle w:val="SingleTxt"/>
        <w:suppressAutoHyphens/>
        <w:spacing w:after="0" w:line="120" w:lineRule="exact"/>
        <w:rPr>
          <w:sz w:val="10"/>
          <w:lang w:val="es-ES_tradnl"/>
        </w:rPr>
      </w:pPr>
    </w:p>
    <w:p w:rsidR="0038237D" w:rsidRPr="00EA0AB9" w:rsidRDefault="00D51A6A" w:rsidP="00D51A6A">
      <w:pPr>
        <w:pStyle w:val="SingleTxt"/>
        <w:suppressAutoHyphens/>
        <w:rPr>
          <w:lang w:val="es-ES_tradnl"/>
        </w:rPr>
      </w:pPr>
      <w:r>
        <w:rPr>
          <w:lang w:val="es-ES_tradnl"/>
        </w:rPr>
        <w:tab/>
      </w:r>
      <w:r w:rsidR="0038237D" w:rsidRPr="00EA0AB9">
        <w:rPr>
          <w:lang w:val="es-ES_tradnl"/>
        </w:rPr>
        <w:t>El Gobierno ha dado prioridad a una serie de cuestiones, como la violencia doméstica, la trata, el control social, la participación de la mujer en la gestión, los hombres y la igualdad entre los géneros, las mujeres y los hombres migrantes, los jóvenes y la igualdad entre los géneros, la segregación del mercado laboral y la desigualdad salarial por razón de género (los planes de acción anuales, las prioridades y las actividades concretas pueden consultarse aquí: http://miliki.dk/english).</w:t>
      </w:r>
    </w:p>
    <w:p w:rsidR="0038237D" w:rsidRPr="00EA0AB9" w:rsidRDefault="00D51A6A" w:rsidP="00D51A6A">
      <w:pPr>
        <w:pStyle w:val="SingleTxt"/>
        <w:suppressAutoHyphens/>
        <w:rPr>
          <w:lang w:val="es-ES_tradnl"/>
        </w:rPr>
      </w:pPr>
      <w:r>
        <w:rPr>
          <w:lang w:val="es-ES_tradnl"/>
        </w:rPr>
        <w:tab/>
      </w:r>
      <w:r w:rsidR="0038237D" w:rsidRPr="00EA0AB9">
        <w:rPr>
          <w:lang w:val="es-ES_tradnl"/>
        </w:rPr>
        <w:t xml:space="preserve">En los últimos años, se ha hecho cada vez más hincapié en la cuestión de las opciones educativas basadas en el género elegidas por las jóvenes y los jóvenes. Estas opciones forman parte de un patrón todavía bastante tradicional de expectativas basadas en el género y de papeles asignados a cada género. El Gobierno es consciente de la importancia de acabar con estos patrones y permitir así que el individuo adopte sus propias decisiones sobre la base de las competencias y no del género, a fin de que las mujeres puedan participar plenamente en todas las esferas de la sociedad. </w:t>
      </w:r>
    </w:p>
    <w:p w:rsidR="0038237D" w:rsidRPr="00EA0AB9" w:rsidRDefault="00D51A6A" w:rsidP="00D51A6A">
      <w:pPr>
        <w:pStyle w:val="SingleTxt"/>
        <w:suppressAutoHyphens/>
        <w:rPr>
          <w:lang w:val="es-ES_tradnl"/>
        </w:rPr>
      </w:pPr>
      <w:r>
        <w:rPr>
          <w:lang w:val="es-ES_tradnl"/>
        </w:rPr>
        <w:tab/>
      </w:r>
      <w:r w:rsidR="0038237D" w:rsidRPr="00EA0AB9">
        <w:rPr>
          <w:lang w:val="es-ES_tradnl"/>
        </w:rPr>
        <w:t xml:space="preserve">Se han emprendido diferentes iniciativas; a continuación se citan algunos ejemplos de proyectos. </w:t>
      </w:r>
    </w:p>
    <w:p w:rsidR="0038237D" w:rsidRPr="00EA0AB9" w:rsidRDefault="00D51A6A" w:rsidP="00D51A6A">
      <w:pPr>
        <w:pStyle w:val="SingleTxt"/>
        <w:suppressAutoHyphens/>
        <w:rPr>
          <w:lang w:val="es-ES_tradnl"/>
        </w:rPr>
      </w:pPr>
      <w:bookmarkStart w:id="43" w:name="_Toc348513718"/>
      <w:bookmarkStart w:id="44" w:name="_Toc360096823"/>
      <w:bookmarkStart w:id="45" w:name="_Hlt348526148"/>
      <w:bookmarkStart w:id="46" w:name="_Hlt348526149"/>
      <w:r>
        <w:rPr>
          <w:lang w:val="es-ES_tradnl"/>
        </w:rPr>
        <w:tab/>
      </w:r>
      <w:r w:rsidR="0038237D" w:rsidRPr="00EA0AB9">
        <w:rPr>
          <w:lang w:val="es-ES_tradnl"/>
        </w:rPr>
        <w:t xml:space="preserve">En 2011, se puso en marcha el proyecto piloto "Más Niñas en las Ciencias Naturales y la Tecnología". Una evaluación externa del proyecto piloto concluyó que el proyecto había logrado involucrar a las niñas, y el 78% de ellas respondió que el proyecto había cambiado positivamente su opinión sobre la posibilidad de cursar una carrera en los campos técnicos o las ciencias naturales. </w:t>
      </w:r>
    </w:p>
    <w:bookmarkEnd w:id="43"/>
    <w:bookmarkEnd w:id="44"/>
    <w:bookmarkEnd w:id="45"/>
    <w:bookmarkEnd w:id="46"/>
    <w:p w:rsidR="0038237D" w:rsidRPr="00EA0AB9" w:rsidRDefault="00D51A6A" w:rsidP="00D51A6A">
      <w:pPr>
        <w:pStyle w:val="SingleTxt"/>
        <w:suppressAutoHyphens/>
        <w:rPr>
          <w:lang w:val="es-ES_tradnl"/>
        </w:rPr>
      </w:pPr>
      <w:r>
        <w:rPr>
          <w:lang w:val="es-ES_tradnl"/>
        </w:rPr>
        <w:tab/>
      </w:r>
      <w:r w:rsidR="0038237D" w:rsidRPr="00EA0AB9">
        <w:rPr>
          <w:lang w:val="es-ES_tradnl"/>
        </w:rPr>
        <w:t xml:space="preserve">En 2012, se pusieron en marcha diez proyectos diferentes sobre la igualdad entre los géneros en el sistema educativo. Los proyectos contribuirán a prevenir la segregación de las opciones educativas en función del género y aportarán conocimientos sobre cómo mantener a más niños en el sistema educativo. </w:t>
      </w:r>
    </w:p>
    <w:p w:rsidR="0038237D" w:rsidRPr="00EA0AB9" w:rsidRDefault="00D51A6A" w:rsidP="00D51A6A">
      <w:pPr>
        <w:pStyle w:val="SingleTxt"/>
        <w:suppressAutoHyphens/>
        <w:rPr>
          <w:lang w:val="es-ES_tradnl"/>
        </w:rPr>
      </w:pPr>
      <w:bookmarkStart w:id="47" w:name="_Hlt379985204"/>
      <w:r>
        <w:rPr>
          <w:lang w:val="es-ES_tradnl"/>
        </w:rPr>
        <w:tab/>
      </w:r>
      <w:r w:rsidR="0038237D" w:rsidRPr="00EA0AB9">
        <w:rPr>
          <w:lang w:val="es-ES_tradnl"/>
        </w:rPr>
        <w:t xml:space="preserve">En el marco de la presidencia danesa del Consejo de la Unión Europea en 2012, se prestó especial atención al problema de la segregación por razón de género de las opciones educativas y la creciente deserción de niños del sistema educativo. La cuestión se presentó en el Consejo, con la aprobación de una conclusión. Además, el 16 de mayo de 2012, expertos de diferentes países europeos se reunieron en Copenhague para asistir a un seminario celebrado y organizado por la presidencia danesa del Consejo de la Unión Europea. Se presentó ante el Consejo de la Unión Europea un documento que incluía un resumen de las recomendaciones y que puede consultarse en </w:t>
      </w:r>
      <w:hyperlink r:id="rId17" w:history="1">
        <w:r w:rsidR="0038237D" w:rsidRPr="00575FAC">
          <w:rPr>
            <w:rStyle w:val="Hyperlink"/>
            <w:lang w:val="es-ES_tradnl"/>
          </w:rPr>
          <w:t>http://miliki.dk/ligestilling/nyheder/nyhed-om-ligestilling/artikel/anbefalinger-om-det-koensopdelte-uddannelsesvalg/</w:t>
        </w:r>
      </w:hyperlink>
      <w:r w:rsidR="0038237D" w:rsidRPr="00EA0AB9">
        <w:rPr>
          <w:lang w:val="es-ES_tradnl"/>
        </w:rPr>
        <w:t>.</w:t>
      </w:r>
    </w:p>
    <w:bookmarkEnd w:id="47"/>
    <w:p w:rsidR="0038237D" w:rsidRPr="00EA0AB9" w:rsidRDefault="00D51A6A" w:rsidP="00D51A6A">
      <w:pPr>
        <w:pStyle w:val="SingleTxt"/>
        <w:suppressAutoHyphens/>
        <w:rPr>
          <w:rFonts w:ascii="Courier New" w:hAnsi="Courier New"/>
          <w:lang w:val="es-ES_tradnl"/>
        </w:rPr>
      </w:pPr>
      <w:r>
        <w:rPr>
          <w:lang w:val="es-ES_tradnl"/>
        </w:rPr>
        <w:tab/>
      </w:r>
      <w:r w:rsidR="0038237D" w:rsidRPr="00EA0AB9">
        <w:rPr>
          <w:lang w:val="es-ES_tradnl"/>
        </w:rPr>
        <w:t xml:space="preserve">En 2011, se puso en marcha el sitio web </w:t>
      </w:r>
      <w:r w:rsidR="00323D21">
        <w:rPr>
          <w:lang w:val="es-ES_tradnl"/>
        </w:rPr>
        <w:t>“</w:t>
      </w:r>
      <w:r w:rsidR="0038237D" w:rsidRPr="00EA0AB9">
        <w:rPr>
          <w:lang w:val="es-ES_tradnl"/>
        </w:rPr>
        <w:t>el futuro es tuyo.dk</w:t>
      </w:r>
      <w:r w:rsidR="00323D21">
        <w:rPr>
          <w:lang w:val="es-ES_tradnl"/>
        </w:rPr>
        <w:t>”</w:t>
      </w:r>
      <w:r w:rsidR="0038237D" w:rsidRPr="00EA0AB9">
        <w:rPr>
          <w:lang w:val="es-ES_tradnl"/>
        </w:rPr>
        <w:t xml:space="preserve"> como parte de una campaña centrada en acabar con la segregación de las opciones educativas en función del género. El sitio está dirigido a los estudiantes de enseñanza primaria que están a punto de tomar sus primeras decisiones respecto a su educación y ocupación en el futuro. El sitio utiliza modelos de conducta y presenta a jóvenes, tanto hombres como mujeres, que han elegido opciones educativas no tradicionales y están satisfechos con ello. El sitio web puede consultarse en</w:t>
      </w:r>
      <w:r w:rsidR="0038237D" w:rsidRPr="00575FAC">
        <w:rPr>
          <w:lang w:val="es-ES_tradnl"/>
        </w:rPr>
        <w:t xml:space="preserve"> </w:t>
      </w:r>
      <w:hyperlink r:id="rId18" w:history="1">
        <w:r w:rsidR="0038237D" w:rsidRPr="00575FAC">
          <w:rPr>
            <w:rStyle w:val="Hyperlink"/>
            <w:lang w:val="es-ES_tradnl"/>
          </w:rPr>
          <w:t>www.fremtidenerdin.dk</w:t>
        </w:r>
      </w:hyperlink>
      <w:r w:rsidR="0038237D" w:rsidRPr="00575FAC">
        <w:rPr>
          <w:lang w:val="es-ES_tradnl"/>
        </w:rPr>
        <w:t>.</w:t>
      </w:r>
    </w:p>
    <w:p w:rsidR="0038237D" w:rsidRPr="00EA0AB9" w:rsidRDefault="00D51A6A" w:rsidP="00D51A6A">
      <w:pPr>
        <w:pStyle w:val="SingleTxt"/>
        <w:suppressAutoHyphens/>
        <w:rPr>
          <w:lang w:val="es-ES_tradnl"/>
        </w:rPr>
      </w:pPr>
      <w:r>
        <w:rPr>
          <w:lang w:val="es-ES_tradnl"/>
        </w:rPr>
        <w:tab/>
      </w:r>
      <w:r w:rsidR="0038237D" w:rsidRPr="00EA0AB9">
        <w:rPr>
          <w:lang w:val="es-ES_tradnl"/>
        </w:rPr>
        <w:t xml:space="preserve">En 2011, se puso en marcha el sitio web </w:t>
      </w:r>
      <w:r w:rsidR="0038237D">
        <w:rPr>
          <w:lang w:val="es-ES_tradnl"/>
        </w:rPr>
        <w:t>“</w:t>
      </w:r>
      <w:r w:rsidR="0038237D" w:rsidRPr="00EA0AB9">
        <w:rPr>
          <w:lang w:val="es-ES_tradnl"/>
        </w:rPr>
        <w:t>cambia de trabajo.dk</w:t>
      </w:r>
      <w:r w:rsidR="0038237D">
        <w:rPr>
          <w:lang w:val="es-ES_tradnl"/>
        </w:rPr>
        <w:t>”</w:t>
      </w:r>
      <w:r w:rsidR="0038237D" w:rsidRPr="00EA0AB9">
        <w:rPr>
          <w:lang w:val="es-ES_tradnl"/>
        </w:rPr>
        <w:t xml:space="preserve"> como parte de una campaña centrada en acabar con la segregación del mercado de trabajo en función del género. El sitio incluye recomendaciones y herramientas para los profesionales y los encargados de adoptar decisiones sobre cómo acabar con la segregación del mercado de trabajo en función del género, además de cómo volver a emplear y contratar a hombres desempleados en ámbitos dominados tradicionalmente por las mujeres.</w:t>
      </w:r>
      <w:r w:rsidR="0038237D">
        <w:rPr>
          <w:lang w:val="es-ES_tradnl"/>
        </w:rPr>
        <w:t xml:space="preserve"> </w:t>
      </w:r>
      <w:r w:rsidR="0038237D" w:rsidRPr="00EA0AB9">
        <w:rPr>
          <w:lang w:val="es-ES_tradnl"/>
        </w:rPr>
        <w:t xml:space="preserve">El sitio web puede consultarse en </w:t>
      </w:r>
      <w:hyperlink r:id="rId19" w:history="1">
        <w:r w:rsidR="0038237D" w:rsidRPr="00575FAC">
          <w:rPr>
            <w:rStyle w:val="Hyperlink"/>
            <w:lang w:val="es-ES_tradnl"/>
          </w:rPr>
          <w:t>www.skiftjob.dk</w:t>
        </w:r>
      </w:hyperlink>
      <w:r w:rsidR="0038237D" w:rsidRPr="00575FAC">
        <w:rPr>
          <w:lang w:val="es-ES_tradnl"/>
        </w:rPr>
        <w:t xml:space="preserve">. </w:t>
      </w:r>
    </w:p>
    <w:p w:rsidR="00D51A6A" w:rsidRPr="00D51A6A" w:rsidRDefault="00D51A6A" w:rsidP="00D51A6A">
      <w:pPr>
        <w:pStyle w:val="SingleTxt"/>
        <w:suppressAutoHyphens/>
        <w:spacing w:after="0" w:line="120" w:lineRule="exact"/>
        <w:rPr>
          <w:sz w:val="10"/>
        </w:rPr>
      </w:pPr>
      <w:bookmarkStart w:id="48" w:name="_Toc348513720"/>
      <w:bookmarkStart w:id="49" w:name="_Toc349720586"/>
      <w:bookmarkStart w:id="50" w:name="_Toc360096825"/>
    </w:p>
    <w:p w:rsidR="00D51A6A" w:rsidRPr="00D51A6A" w:rsidRDefault="00D51A6A" w:rsidP="00D51A6A">
      <w:pPr>
        <w:pStyle w:val="SingleTxt"/>
        <w:suppressAutoHyphens/>
        <w:spacing w:after="0" w:line="120" w:lineRule="exact"/>
        <w:rPr>
          <w:sz w:val="10"/>
        </w:rPr>
      </w:pPr>
    </w:p>
    <w:p w:rsidR="0038237D" w:rsidRDefault="0038237D" w:rsidP="006E37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151"/>
        </w:tabs>
        <w:ind w:left="1267" w:right="1699" w:hanging="1267"/>
      </w:pPr>
      <w:r w:rsidRPr="000739A7">
        <w:tab/>
      </w:r>
      <w:r w:rsidRPr="000739A7">
        <w:tab/>
        <w:t xml:space="preserve">Artículo 6: Cuestiones especiales. </w:t>
      </w:r>
      <w:r w:rsidRPr="00031D58">
        <w:t xml:space="preserve">Prostitución, trata de personas y código de conducta </w:t>
      </w:r>
    </w:p>
    <w:p w:rsidR="00D51A6A" w:rsidRPr="00D51A6A" w:rsidRDefault="00D51A6A" w:rsidP="00D51A6A">
      <w:pPr>
        <w:pStyle w:val="SingleTxt"/>
        <w:spacing w:after="0" w:line="120" w:lineRule="exact"/>
        <w:rPr>
          <w:sz w:val="10"/>
        </w:rPr>
      </w:pPr>
    </w:p>
    <w:p w:rsidR="00D51A6A" w:rsidRPr="00D51A6A" w:rsidRDefault="00D51A6A" w:rsidP="00D51A6A">
      <w:pPr>
        <w:pStyle w:val="SingleTxt"/>
        <w:spacing w:after="0" w:line="120" w:lineRule="exact"/>
        <w:rPr>
          <w:sz w:val="10"/>
        </w:rPr>
      </w:pPr>
    </w:p>
    <w:bookmarkEnd w:id="48"/>
    <w:bookmarkEnd w:id="49"/>
    <w:bookmarkEnd w:id="50"/>
    <w:p w:rsidR="0038237D" w:rsidRPr="00EA0AB9" w:rsidRDefault="0038237D" w:rsidP="00D51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Prostitución</w:t>
      </w:r>
    </w:p>
    <w:p w:rsidR="00D51A6A" w:rsidRPr="00D51A6A" w:rsidRDefault="00D51A6A" w:rsidP="00D51A6A">
      <w:pPr>
        <w:pStyle w:val="SingleTxt"/>
        <w:suppressAutoHyphens/>
        <w:spacing w:after="0" w:line="120" w:lineRule="exact"/>
        <w:rPr>
          <w:sz w:val="10"/>
          <w:lang w:val="es-ES_tradnl"/>
        </w:rPr>
      </w:pPr>
    </w:p>
    <w:p w:rsidR="0038237D" w:rsidRPr="00EA0AB9" w:rsidRDefault="00D51A6A" w:rsidP="00D51A6A">
      <w:pPr>
        <w:pStyle w:val="SingleTxt"/>
        <w:suppressAutoHyphens/>
        <w:rPr>
          <w:lang w:val="es-ES_tradnl"/>
        </w:rPr>
      </w:pPr>
      <w:r>
        <w:rPr>
          <w:lang w:val="es-ES_tradnl"/>
        </w:rPr>
        <w:tab/>
      </w:r>
      <w:r w:rsidR="0038237D" w:rsidRPr="00EA0AB9">
        <w:rPr>
          <w:lang w:val="es-ES_tradnl"/>
        </w:rPr>
        <w:t>Para obtener una descripción general de la cuestión de la prostitución, consúltese el séptimo informe periódico de Dinamarca.</w:t>
      </w:r>
    </w:p>
    <w:p w:rsidR="0038237D" w:rsidRPr="00EA0AB9" w:rsidRDefault="006E3781" w:rsidP="006E3781">
      <w:pPr>
        <w:pStyle w:val="SingleTxt"/>
        <w:suppressAutoHyphens/>
        <w:rPr>
          <w:lang w:val="es-ES_tradnl"/>
        </w:rPr>
      </w:pPr>
      <w:r>
        <w:rPr>
          <w:lang w:val="es-ES_tradnl"/>
        </w:rPr>
        <w:tab/>
      </w:r>
      <w:r w:rsidR="0038237D" w:rsidRPr="00EA0AB9">
        <w:rPr>
          <w:lang w:val="es-ES_tradnl"/>
        </w:rPr>
        <w:t xml:space="preserve">Como se menciona en el séptimo informe periódico, en 2005 se estableció el Centro de Competencia para la Prostitución, como parte del plan de acción gubernamental </w:t>
      </w:r>
      <w:r w:rsidR="0038237D">
        <w:rPr>
          <w:lang w:val="es-ES_tradnl"/>
        </w:rPr>
        <w:t>“</w:t>
      </w:r>
      <w:r w:rsidR="0038237D" w:rsidRPr="00EA0AB9">
        <w:rPr>
          <w:lang w:val="es-ES_tradnl"/>
        </w:rPr>
        <w:t>Una nueva vida</w:t>
      </w:r>
      <w:r w:rsidR="0038237D">
        <w:rPr>
          <w:lang w:val="es-ES_tradnl"/>
        </w:rPr>
        <w:t>”</w:t>
      </w:r>
      <w:r w:rsidR="0038237D" w:rsidRPr="00EA0AB9">
        <w:rPr>
          <w:lang w:val="es-ES_tradnl"/>
        </w:rPr>
        <w:t xml:space="preserve">, que inició un planteamiento holístico de la prostitución. En 2011, las iniciativas del Centro de Competencia para la Prostitución se incluyeron en la guía de la Ley sobre los servicios sociales, que regula las actividades del trabajo social en Dinamarca. Las iniciativas en el ámbito de la prostitución se incluyen todavía en uno de los siguientes cinco tipos de intervención: 1) Apoyo social y atención médica a las personas que ejercen la prostitución, 2) Producción de conocimientos, 3) Elaboración de métodos dentro del trabajo social, 4) Asesoramiento y orientación para los municipios y 5) Formación en el servicio para los profesionales que trabajan con jóvenes vulnerables. </w:t>
      </w:r>
    </w:p>
    <w:p w:rsidR="006E3781" w:rsidRPr="006E3781" w:rsidRDefault="006E3781" w:rsidP="006E3781">
      <w:pPr>
        <w:pStyle w:val="SingleTxt"/>
        <w:suppressAutoHyphens/>
        <w:spacing w:after="0" w:line="120" w:lineRule="exact"/>
        <w:rPr>
          <w:sz w:val="10"/>
          <w:lang w:val="es-ES_tradnl"/>
        </w:rPr>
      </w:pPr>
    </w:p>
    <w:p w:rsidR="0038237D" w:rsidRPr="00EA0AB9" w:rsidRDefault="0038237D" w:rsidP="006E3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w:t>
      </w:r>
      <w:r w:rsidRPr="00EA0AB9">
        <w:rPr>
          <w:lang w:val="es-ES_tradnl"/>
        </w:rPr>
        <w:t>Salir de la prostitución</w:t>
      </w:r>
      <w:r>
        <w:rPr>
          <w:lang w:val="es-ES_tradnl"/>
        </w:rPr>
        <w:t>”</w:t>
      </w:r>
      <w:r w:rsidRPr="00EA0AB9">
        <w:rPr>
          <w:lang w:val="es-ES_tradnl"/>
        </w:rPr>
        <w:t xml:space="preserve"> 2012-2015</w:t>
      </w:r>
    </w:p>
    <w:p w:rsidR="006E3781" w:rsidRPr="006E3781" w:rsidRDefault="006E3781" w:rsidP="006E3781">
      <w:pPr>
        <w:pStyle w:val="SingleTxtG"/>
        <w:spacing w:after="0" w:line="120" w:lineRule="exact"/>
        <w:rPr>
          <w:sz w:val="10"/>
          <w:lang w:val="es-ES_tradnl"/>
        </w:rPr>
      </w:pPr>
      <w:bookmarkStart w:id="51" w:name="_Toc348513722"/>
      <w:bookmarkStart w:id="52" w:name="_Toc349720588"/>
      <w:bookmarkStart w:id="53" w:name="_Toc360096827"/>
      <w:bookmarkStart w:id="54" w:name="_Toc348513721"/>
      <w:bookmarkStart w:id="55" w:name="_Toc349720587"/>
      <w:bookmarkStart w:id="56" w:name="_Toc360096826"/>
    </w:p>
    <w:p w:rsidR="0038237D" w:rsidRPr="00EA0AB9" w:rsidRDefault="006E3781" w:rsidP="006E3781">
      <w:pPr>
        <w:pStyle w:val="SingleTxt"/>
        <w:suppressAutoHyphens/>
        <w:rPr>
          <w:lang w:val="es-ES_tradnl"/>
        </w:rPr>
      </w:pPr>
      <w:r>
        <w:rPr>
          <w:lang w:val="es-ES_tradnl"/>
        </w:rPr>
        <w:tab/>
      </w:r>
      <w:r w:rsidR="0038237D">
        <w:rPr>
          <w:lang w:val="es-ES_tradnl"/>
        </w:rPr>
        <w:t>“</w:t>
      </w:r>
      <w:r w:rsidR="0038237D" w:rsidRPr="00EA0AB9">
        <w:rPr>
          <w:lang w:val="es-ES_tradnl"/>
        </w:rPr>
        <w:t>Salir de la prostitución</w:t>
      </w:r>
      <w:r w:rsidR="0038237D">
        <w:rPr>
          <w:lang w:val="es-ES_tradnl"/>
        </w:rPr>
        <w:t>”</w:t>
      </w:r>
      <w:r w:rsidR="0038237D" w:rsidRPr="00EA0AB9">
        <w:rPr>
          <w:lang w:val="es-ES_tradnl"/>
        </w:rPr>
        <w:t xml:space="preserve"> es un proyecto cuatrienal que se prevé llevar a cabo en los cuatro municipios más grandes de Dinamarca. El proyecto constituye el primer intento de desarrollar una estrategia amplia de apoyo a las personas que quieren dejar la prostitución. Se basa en los conocimientos existentes, y los efectos del proyecto se miden de forma sistemática. </w:t>
      </w:r>
    </w:p>
    <w:bookmarkEnd w:id="51"/>
    <w:bookmarkEnd w:id="52"/>
    <w:bookmarkEnd w:id="53"/>
    <w:bookmarkEnd w:id="54"/>
    <w:bookmarkEnd w:id="55"/>
    <w:bookmarkEnd w:id="56"/>
    <w:p w:rsidR="0038237D" w:rsidRPr="00EA0AB9" w:rsidRDefault="006E3781" w:rsidP="006E3781">
      <w:pPr>
        <w:pStyle w:val="SingleTxt"/>
        <w:suppressAutoHyphens/>
        <w:rPr>
          <w:lang w:val="es-ES_tradnl"/>
        </w:rPr>
      </w:pPr>
      <w:r>
        <w:rPr>
          <w:lang w:val="es-ES_tradnl"/>
        </w:rPr>
        <w:tab/>
      </w:r>
      <w:r w:rsidR="0038237D" w:rsidRPr="00EA0AB9">
        <w:rPr>
          <w:lang w:val="es-ES_tradnl"/>
        </w:rPr>
        <w:t>A nivel municipal, el objetivo del proyecto es i) apoyar a las personas que desean abandonar la prostitución para que puedan llevar una vida al margen de la prostitución y ii)</w:t>
      </w:r>
      <w:r w:rsidR="0038237D">
        <w:rPr>
          <w:lang w:val="es-ES_tradnl"/>
        </w:rPr>
        <w:t> </w:t>
      </w:r>
      <w:r w:rsidR="0038237D" w:rsidRPr="00EA0AB9">
        <w:rPr>
          <w:lang w:val="es-ES_tradnl"/>
        </w:rPr>
        <w:t>apoyar a las personas especialmente vulnerables que ejercen la prostitución a fin de mejorar sus actuales condiciones de vida.</w:t>
      </w:r>
      <w:r w:rsidR="0038237D">
        <w:rPr>
          <w:lang w:val="es-ES_tradnl"/>
        </w:rPr>
        <w:t xml:space="preserve"> </w:t>
      </w:r>
      <w:r w:rsidR="0038237D" w:rsidRPr="00EA0AB9">
        <w:rPr>
          <w:lang w:val="es-ES_tradnl"/>
        </w:rPr>
        <w:t>El grupo destinatario debe participar en el modelo Critical Time Intervention (CTI). El CTI es una iniciativa holística, multidisciplinaria y adaptada individualmente que tiene por objeto prestar apoyo a las personas que ejercen la prostitución. El apoyo se divide en fases centradas en el tratamiento, así como en actividades sociales y relacionadas con el empleo, como la adquisición de una vivienda adecuada, el apoyo social individual, el tratamiento, así como la estabilización financiera y el asesoramiento sobre cómo hacer frente a las deudas, etc.</w:t>
      </w:r>
    </w:p>
    <w:p w:rsidR="0038237D" w:rsidRPr="00EA0AB9" w:rsidRDefault="006E3781" w:rsidP="006E3781">
      <w:pPr>
        <w:pStyle w:val="SingleTxt"/>
        <w:suppressAutoHyphens/>
        <w:rPr>
          <w:lang w:val="es-ES_tradnl"/>
        </w:rPr>
      </w:pPr>
      <w:r>
        <w:rPr>
          <w:lang w:val="es-ES_tradnl"/>
        </w:rPr>
        <w:tab/>
      </w:r>
      <w:r w:rsidR="0038237D" w:rsidRPr="00EA0AB9">
        <w:rPr>
          <w:lang w:val="es-ES_tradnl"/>
        </w:rPr>
        <w:t xml:space="preserve">A cada usuario se le asigna un gestor, que presta apoyo al usuario del CTI a lo largo de todo el proceso. </w:t>
      </w:r>
    </w:p>
    <w:p w:rsidR="0038237D" w:rsidRPr="00EA0AB9" w:rsidRDefault="006E3781" w:rsidP="006E3781">
      <w:pPr>
        <w:pStyle w:val="SingleTxt"/>
        <w:suppressAutoHyphens/>
        <w:rPr>
          <w:lang w:val="es-ES_tradnl"/>
        </w:rPr>
      </w:pPr>
      <w:r>
        <w:rPr>
          <w:lang w:val="es-ES_tradnl"/>
        </w:rPr>
        <w:tab/>
      </w:r>
      <w:r w:rsidR="0038237D" w:rsidRPr="00EA0AB9">
        <w:rPr>
          <w:lang w:val="es-ES_tradnl"/>
        </w:rPr>
        <w:t>Se han asignado 46 millones de coronas danesas al proyecto.</w:t>
      </w:r>
    </w:p>
    <w:p w:rsidR="0038237D" w:rsidRPr="00EA0AB9" w:rsidRDefault="0038237D" w:rsidP="006E3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Fondo de recursos psicológicos</w:t>
      </w:r>
    </w:p>
    <w:p w:rsidR="006E3781" w:rsidRPr="006E3781" w:rsidRDefault="006E3781" w:rsidP="006E3781">
      <w:pPr>
        <w:pStyle w:val="SingleTxt"/>
        <w:suppressAutoHyphens/>
        <w:spacing w:after="0" w:line="120" w:lineRule="exact"/>
        <w:rPr>
          <w:sz w:val="10"/>
          <w:lang w:val="es-ES_tradnl"/>
        </w:rPr>
      </w:pPr>
    </w:p>
    <w:p w:rsidR="0038237D" w:rsidRPr="00EA0AB9" w:rsidRDefault="006E3781" w:rsidP="006E3781">
      <w:pPr>
        <w:pStyle w:val="SingleTxt"/>
        <w:suppressAutoHyphens/>
        <w:rPr>
          <w:lang w:val="es-ES_tradnl"/>
        </w:rPr>
      </w:pPr>
      <w:r>
        <w:rPr>
          <w:lang w:val="es-ES_tradnl"/>
        </w:rPr>
        <w:tab/>
      </w:r>
      <w:r w:rsidR="0038237D" w:rsidRPr="00EA0AB9">
        <w:rPr>
          <w:lang w:val="es-ES_tradnl"/>
        </w:rPr>
        <w:t>En cuanto a la petición del Comité para la Eliminación de la Discriminación contra la Mujer de establecer programas de apoyo y de rehabilitación social en 2007, 26 mujeres fueron tratadas por un psicólogo. En 2012, 37 mujeres fueron tratadas por un psicólogo durante un total de 11 horas en cada caso (para obtener más detalles, consúltese el séptimo informe periódico de Dinamarca).</w:t>
      </w:r>
    </w:p>
    <w:p w:rsidR="006E3781" w:rsidRPr="006E3781" w:rsidRDefault="006E3781" w:rsidP="006E3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38237D" w:rsidRPr="00EA0AB9" w:rsidRDefault="0038237D" w:rsidP="006E3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Falta de datos sobre la prostitución desglosados por género</w:t>
      </w:r>
    </w:p>
    <w:p w:rsidR="006E3781" w:rsidRPr="006E3781" w:rsidRDefault="006E3781" w:rsidP="006E3781">
      <w:pPr>
        <w:pStyle w:val="SingleTxt"/>
        <w:suppressAutoHyphens/>
        <w:spacing w:after="0" w:line="120" w:lineRule="exact"/>
        <w:rPr>
          <w:sz w:val="10"/>
          <w:lang w:val="es-ES_tradnl"/>
        </w:rPr>
      </w:pPr>
    </w:p>
    <w:p w:rsidR="0038237D" w:rsidRPr="00EA0AB9" w:rsidRDefault="006E3781" w:rsidP="006E3781">
      <w:pPr>
        <w:pStyle w:val="SingleTxt"/>
        <w:suppressAutoHyphens/>
        <w:rPr>
          <w:lang w:val="es-ES_tradnl"/>
        </w:rPr>
      </w:pPr>
      <w:r>
        <w:rPr>
          <w:lang w:val="es-ES_tradnl"/>
        </w:rPr>
        <w:tab/>
      </w:r>
      <w:r w:rsidR="0038237D" w:rsidRPr="00EA0AB9">
        <w:rPr>
          <w:lang w:val="es-ES_tradnl"/>
        </w:rPr>
        <w:t xml:space="preserve">Para obtener una descripción detallada de los diferentes tipos de prostitución en Dinamarca, consúltese el séptimo informe periódico de Dinamarca. </w:t>
      </w:r>
    </w:p>
    <w:p w:rsidR="0038237D" w:rsidRPr="00EA0AB9" w:rsidRDefault="007508E8" w:rsidP="007508E8">
      <w:pPr>
        <w:pStyle w:val="SingleTxt"/>
        <w:suppressAutoHyphens/>
        <w:rPr>
          <w:lang w:val="es-ES_tradnl"/>
        </w:rPr>
      </w:pPr>
      <w:r>
        <w:rPr>
          <w:lang w:val="es-ES_tradnl"/>
        </w:rPr>
        <w:tab/>
      </w:r>
      <w:r w:rsidR="0038237D" w:rsidRPr="00EA0AB9">
        <w:rPr>
          <w:lang w:val="es-ES_tradnl"/>
        </w:rPr>
        <w:t>En 2011, el Centro Nacional de Investigación para el Bienestar llevó a cabo un estudio sobre la prostitución en Dinamarca. El estudio incluye, entre otras cosas, un número estimado de las personas que ejercen la prostitución:</w:t>
      </w:r>
    </w:p>
    <w:p w:rsidR="0038237D" w:rsidRPr="00EA0AB9" w:rsidRDefault="007508E8" w:rsidP="007508E8">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1.633 personas ejercían la prostitución en centros de masaje;</w:t>
      </w:r>
    </w:p>
    <w:p w:rsidR="0038237D" w:rsidRPr="00EA0AB9" w:rsidRDefault="007508E8" w:rsidP="007508E8">
      <w:pPr>
        <w:pStyle w:val="SingleTxt"/>
        <w:tabs>
          <w:tab w:val="right" w:pos="1685"/>
        </w:tabs>
        <w:suppressAutoHyphens/>
        <w:ind w:left="1742" w:hanging="475"/>
        <w:rPr>
          <w:lang w:val="es-ES_tradnl"/>
        </w:rPr>
      </w:pPr>
      <w:bookmarkStart w:id="57" w:name="_Toc348513723"/>
      <w:bookmarkStart w:id="58" w:name="_Toc349720589"/>
      <w:bookmarkStart w:id="59" w:name="_Toc360096828"/>
      <w:r>
        <w:rPr>
          <w:lang w:val="es-ES_tradnl"/>
        </w:rPr>
        <w:tab/>
        <w:t>•</w:t>
      </w:r>
      <w:r>
        <w:rPr>
          <w:lang w:val="es-ES_tradnl"/>
        </w:rPr>
        <w:tab/>
      </w:r>
      <w:r w:rsidR="0038237D" w:rsidRPr="00EA0AB9">
        <w:rPr>
          <w:lang w:val="es-ES_tradnl"/>
        </w:rPr>
        <w:t>595 personas de origen extranjero ejercían la prostitución en la calle;</w:t>
      </w:r>
    </w:p>
    <w:p w:rsidR="0038237D" w:rsidRPr="00EA0AB9" w:rsidRDefault="007508E8" w:rsidP="007508E8">
      <w:pPr>
        <w:pStyle w:val="SingleTxt"/>
        <w:tabs>
          <w:tab w:val="right" w:pos="1685"/>
        </w:tabs>
        <w:suppressAutoHyphens/>
        <w:ind w:left="1742" w:hanging="475"/>
        <w:rPr>
          <w:lang w:val="es-ES_tradnl"/>
        </w:rPr>
      </w:pPr>
      <w:bookmarkStart w:id="60" w:name="_Toc348513724"/>
      <w:bookmarkStart w:id="61" w:name="_Toc349720590"/>
      <w:bookmarkStart w:id="62" w:name="_Toc360096829"/>
      <w:bookmarkEnd w:id="57"/>
      <w:bookmarkEnd w:id="58"/>
      <w:bookmarkEnd w:id="59"/>
      <w:r>
        <w:rPr>
          <w:lang w:val="es-ES_tradnl"/>
        </w:rPr>
        <w:tab/>
        <w:t>•</w:t>
      </w:r>
      <w:r>
        <w:rPr>
          <w:lang w:val="es-ES_tradnl"/>
        </w:rPr>
        <w:tab/>
      </w:r>
      <w:r w:rsidR="0038237D" w:rsidRPr="00EA0AB9">
        <w:rPr>
          <w:lang w:val="es-ES_tradnl"/>
        </w:rPr>
        <w:t>903 mujeres ejercían la prostitución como servicio de acompañamiento.</w:t>
      </w:r>
    </w:p>
    <w:bookmarkEnd w:id="60"/>
    <w:bookmarkEnd w:id="61"/>
    <w:bookmarkEnd w:id="62"/>
    <w:p w:rsidR="0038237D" w:rsidRPr="00EA0AB9" w:rsidRDefault="007508E8" w:rsidP="007508E8">
      <w:pPr>
        <w:pStyle w:val="SingleTxt"/>
        <w:suppressAutoHyphens/>
        <w:rPr>
          <w:lang w:val="es-ES_tradnl"/>
        </w:rPr>
      </w:pPr>
      <w:r>
        <w:rPr>
          <w:lang w:val="es-ES_tradnl"/>
        </w:rPr>
        <w:tab/>
      </w:r>
      <w:r w:rsidR="0038237D" w:rsidRPr="00EA0AB9">
        <w:rPr>
          <w:lang w:val="es-ES_tradnl"/>
        </w:rPr>
        <w:t xml:space="preserve">No ha sido posible realizar una estimación razonable de todos los subgrupos. Dado que el método contable ha cambiado desde el último recuento, estas cifras no pueden compararse con las estimaciones de años anteriores. </w:t>
      </w:r>
    </w:p>
    <w:p w:rsidR="007508E8" w:rsidRPr="007508E8" w:rsidRDefault="007508E8" w:rsidP="007508E8">
      <w:pPr>
        <w:pStyle w:val="SingleTxt"/>
        <w:suppressAutoHyphens/>
        <w:spacing w:after="0" w:line="120" w:lineRule="exact"/>
        <w:rPr>
          <w:sz w:val="10"/>
          <w:lang w:val="es-ES_tradnl"/>
        </w:rPr>
      </w:pPr>
    </w:p>
    <w:p w:rsidR="0038237D" w:rsidRPr="00EA0AB9" w:rsidRDefault="007508E8" w:rsidP="0075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38237D" w:rsidRPr="00EA0AB9">
        <w:rPr>
          <w:lang w:val="es-ES_tradnl"/>
        </w:rPr>
        <w:t>Código de conducta</w:t>
      </w:r>
    </w:p>
    <w:p w:rsidR="007508E8" w:rsidRPr="007508E8" w:rsidRDefault="007508E8" w:rsidP="007508E8">
      <w:pPr>
        <w:pStyle w:val="SingleTxt"/>
        <w:suppressAutoHyphens/>
        <w:spacing w:after="0" w:line="120" w:lineRule="exact"/>
        <w:rPr>
          <w:sz w:val="10"/>
          <w:lang w:val="es-ES_tradnl"/>
        </w:rPr>
      </w:pPr>
    </w:p>
    <w:p w:rsidR="0038237D" w:rsidRPr="00EA0AB9" w:rsidRDefault="007508E8" w:rsidP="007508E8">
      <w:pPr>
        <w:pStyle w:val="SingleTxt"/>
        <w:suppressAutoHyphens/>
        <w:rPr>
          <w:lang w:val="es-ES_tradnl"/>
        </w:rPr>
      </w:pPr>
      <w:r>
        <w:rPr>
          <w:lang w:val="es-ES_tradnl"/>
        </w:rPr>
        <w:tab/>
      </w:r>
      <w:r w:rsidR="0038237D" w:rsidRPr="00EA0AB9">
        <w:rPr>
          <w:lang w:val="es-ES_tradnl"/>
        </w:rPr>
        <w:t>A comienzos de 2004, las Fuerzas Armadas de Dinamarca aplicaron un código de conducta. El objetivo del código es orientar al personal que participa en operaciones internacionales sobre la manera en que debe relacionarse con la población de los países de destino y respetar sus normas y costumbres especiales. El código de conducta se aplica al personal tanto cuando está de misión como cuando está de permiso. En el código de conducta se afirma que la relación sexual con las prostitutas no es aconsejable o no está permitida (según la legislación del país en cuestión). Además, se informa al personal que la relación sexual con prostitutas contribuye al establecimiento o mantenimiento de condiciones que muchas veces son completamente inaceptables para las prostitutas. Todo ello con independencia de si la legislación del país en cuestión permite o prohíbe la relación sexual con prostitutas. Además, están prohibidos los acuerdos privados (incluida la relación sexual) en la zona de operaciones con personas de la sociedad local. Normalmente, la violación de esta norma significa la repatriación.</w:t>
      </w:r>
    </w:p>
    <w:p w:rsidR="007508E8" w:rsidRPr="007508E8" w:rsidRDefault="007508E8" w:rsidP="007508E8">
      <w:pPr>
        <w:pStyle w:val="SingleTxt"/>
        <w:suppressAutoHyphens/>
        <w:spacing w:after="0" w:line="120" w:lineRule="exact"/>
        <w:rPr>
          <w:sz w:val="10"/>
          <w:lang w:val="es-ES_tradnl"/>
        </w:rPr>
      </w:pPr>
    </w:p>
    <w:p w:rsidR="0038237D" w:rsidRPr="00EA0AB9" w:rsidRDefault="007508E8" w:rsidP="0075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38237D">
        <w:rPr>
          <w:lang w:val="es-ES_tradnl"/>
        </w:rPr>
        <w:tab/>
      </w:r>
      <w:r w:rsidR="0038237D" w:rsidRPr="00EA0AB9">
        <w:rPr>
          <w:lang w:val="es-ES_tradnl"/>
        </w:rPr>
        <w:t>Trata</w:t>
      </w:r>
    </w:p>
    <w:p w:rsidR="007508E8" w:rsidRPr="007508E8" w:rsidRDefault="007508E8" w:rsidP="007508E8">
      <w:pPr>
        <w:pStyle w:val="SingleTxt"/>
        <w:suppressAutoHyphens/>
        <w:spacing w:after="0" w:line="120" w:lineRule="exact"/>
        <w:rPr>
          <w:sz w:val="10"/>
          <w:lang w:val="es-ES_tradnl"/>
        </w:rPr>
      </w:pPr>
    </w:p>
    <w:p w:rsidR="0038237D" w:rsidRPr="00EA0AB9" w:rsidRDefault="007508E8" w:rsidP="007508E8">
      <w:pPr>
        <w:pStyle w:val="SingleTxt"/>
        <w:suppressAutoHyphens/>
        <w:rPr>
          <w:lang w:val="es-ES_tradnl"/>
        </w:rPr>
      </w:pPr>
      <w:r>
        <w:rPr>
          <w:lang w:val="es-ES_tradnl"/>
        </w:rPr>
        <w:tab/>
      </w:r>
      <w:r w:rsidR="0038237D" w:rsidRPr="00EA0AB9">
        <w:rPr>
          <w:lang w:val="es-ES_tradnl"/>
        </w:rPr>
        <w:t xml:space="preserve">Para el Gobierno danés, la trata de mujeres y niñas es una esfera de gran prioridad. El Gobierno tiene un enfoque holístico respecto a la trata, que se centra principalmente en la prevención en Dinamarca y a nivel internacional, la identificación y protección de las víctimas y el enjuiciamiento y castigo de los tratantes. </w:t>
      </w:r>
    </w:p>
    <w:p w:rsidR="0038237D" w:rsidRPr="00EA0AB9" w:rsidRDefault="007508E8" w:rsidP="007508E8">
      <w:pPr>
        <w:pStyle w:val="SingleTxt"/>
        <w:suppressAutoHyphens/>
        <w:rPr>
          <w:lang w:val="es-ES_tradnl"/>
        </w:rPr>
      </w:pPr>
      <w:r>
        <w:rPr>
          <w:lang w:val="es-ES_tradnl"/>
        </w:rPr>
        <w:tab/>
      </w:r>
      <w:r w:rsidR="0038237D" w:rsidRPr="00EA0AB9">
        <w:rPr>
          <w:lang w:val="es-ES_tradnl"/>
        </w:rPr>
        <w:t>En 2010, se llevó a cabo una evaluación externa del segundo Plan de Acción nacional (2007-2010). La evaluación concluyó que se han realizado avances considerables en la respuesta general de Dinamarca contra la trata desde 2007. Se ha desarrollado un sistema institucional efectivo y se ha puesto en marcha un gran número de actividades. En general, la evaluación considera que la aplicación del Plan de Acción se ha caracterizado por un aporte común, coordinado y específico de numerosos agentes, incluidas las organizaciones sociales y la policía, y actualmente los diferentes agentes están familiarizados con sus respectivos papeles y responsabilidades y con los indicadores de la trata. Junto con el grupo de trabajo interministerial y los grupos de referencia regionales, el Centro contra la Trata de Personas (CMM) ha contribuido a la eficacia de la coordinación, la difusión de conocimientos y el empoderamiento de las organizaciones contribuyentes.</w:t>
      </w:r>
    </w:p>
    <w:p w:rsidR="0038237D" w:rsidRPr="00EA0AB9" w:rsidRDefault="007508E8" w:rsidP="007508E8">
      <w:pPr>
        <w:pStyle w:val="SingleTxt"/>
        <w:suppressAutoHyphens/>
        <w:rPr>
          <w:lang w:val="es-ES_tradnl"/>
        </w:rPr>
      </w:pPr>
      <w:r>
        <w:rPr>
          <w:lang w:val="es-ES_tradnl"/>
        </w:rPr>
        <w:tab/>
      </w:r>
      <w:r w:rsidR="0038237D" w:rsidRPr="00EA0AB9">
        <w:rPr>
          <w:lang w:val="es-ES_tradnl"/>
        </w:rPr>
        <w:t>Sobre la base de la evaluación, en junio de 2011 se puso en marcha el tercer Plan de Acción nacional para luchar contra la trata de personas (2011-2014). El Plan de Acción garantiza que se siga mejorando la identificación de las víctimas, especialmente dentro del grupo de mujeres extranjeras que ejercen la prostitución.</w:t>
      </w:r>
    </w:p>
    <w:p w:rsidR="0038237D" w:rsidRPr="00EA0AB9" w:rsidRDefault="007508E8" w:rsidP="007508E8">
      <w:pPr>
        <w:pStyle w:val="SingleTxt"/>
        <w:suppressAutoHyphens/>
        <w:rPr>
          <w:lang w:val="es-ES_tradnl"/>
        </w:rPr>
      </w:pPr>
      <w:bookmarkStart w:id="63" w:name="_Toc348513725"/>
      <w:bookmarkStart w:id="64" w:name="_Toc349720591"/>
      <w:bookmarkStart w:id="65" w:name="_Toc360096830"/>
      <w:r>
        <w:rPr>
          <w:lang w:val="es-ES_tradnl"/>
        </w:rPr>
        <w:tab/>
      </w:r>
      <w:r w:rsidR="0038237D" w:rsidRPr="00EA0AB9">
        <w:rPr>
          <w:lang w:val="es-ES_tradnl"/>
        </w:rPr>
        <w:t>Como parte de las actividades de extensión, se han establecido puntos de encuentro con clínicas de salud en tres partes diferentes de Dinamarca. Otra importante medida adoptada son las directrices para el enjuiciamiento, que se pusieron en marcha en junio de 2012, en relación con cuándo pueden retirarse los cargos contra las víctimas de la trata por violaciones que están relacionadas con el hecho de que las personas en cuestión han sido objeto de trata; por ejemplo, la falsificación de documentos en relación con los papeles de entrada en el país.</w:t>
      </w:r>
      <w:r w:rsidR="0038237D">
        <w:rPr>
          <w:lang w:val="es-ES_tradnl"/>
        </w:rPr>
        <w:t xml:space="preserve"> </w:t>
      </w:r>
    </w:p>
    <w:bookmarkEnd w:id="63"/>
    <w:bookmarkEnd w:id="64"/>
    <w:bookmarkEnd w:id="65"/>
    <w:p w:rsidR="0038237D" w:rsidRPr="00EA0AB9" w:rsidRDefault="007508E8" w:rsidP="007508E8">
      <w:pPr>
        <w:pStyle w:val="SingleTxt"/>
        <w:suppressAutoHyphens/>
        <w:rPr>
          <w:lang w:val="es-ES_tradnl"/>
        </w:rPr>
      </w:pPr>
      <w:r>
        <w:rPr>
          <w:lang w:val="es-ES_tradnl"/>
        </w:rPr>
        <w:tab/>
      </w:r>
      <w:r w:rsidR="0038237D" w:rsidRPr="00EA0AB9">
        <w:rPr>
          <w:lang w:val="es-ES_tradnl"/>
        </w:rPr>
        <w:t>En 2009, una encuesta mostró que el 82% de la población es consciente de la existencia de la trata de mujeres en Dinamarca y que el 66% se pondría en contacto con la policía si tuviese alguna sospecha relacionada con la trata.</w:t>
      </w:r>
      <w:r w:rsidR="0038237D">
        <w:rPr>
          <w:lang w:val="es-ES_tradnl"/>
        </w:rPr>
        <w:t xml:space="preserve"> </w:t>
      </w:r>
      <w:r w:rsidR="0038237D" w:rsidRPr="00EA0AB9">
        <w:rPr>
          <w:lang w:val="es-ES_tradnl"/>
        </w:rPr>
        <w:t>En 2011, se llevó a cabo una campaña dirigida a jóvenes clientes de servicios sexuales (de entre 18 y 25 años de edad) y clientes potenciales.</w:t>
      </w:r>
      <w:r w:rsidR="0038237D">
        <w:rPr>
          <w:lang w:val="es-ES_tradnl"/>
        </w:rPr>
        <w:t xml:space="preserve"> </w:t>
      </w:r>
      <w:r w:rsidR="0038237D" w:rsidRPr="00EA0AB9">
        <w:rPr>
          <w:lang w:val="es-ES_tradnl"/>
        </w:rPr>
        <w:t xml:space="preserve">La campaña, denominada “Ud med bagmændene” (Adiós, tratantes), se realizó a través de las redes sociales, Internet y actividades relacionadas con la prensa. </w:t>
      </w:r>
    </w:p>
    <w:p w:rsidR="0038237D" w:rsidRPr="00EA0AB9" w:rsidRDefault="007508E8" w:rsidP="007508E8">
      <w:pPr>
        <w:pStyle w:val="SingleTxt"/>
        <w:suppressAutoHyphens/>
        <w:rPr>
          <w:lang w:val="es-ES_tradnl"/>
        </w:rPr>
      </w:pPr>
      <w:r>
        <w:rPr>
          <w:lang w:val="es-ES_tradnl"/>
        </w:rPr>
        <w:tab/>
      </w:r>
      <w:r w:rsidR="0038237D" w:rsidRPr="00EA0AB9">
        <w:rPr>
          <w:lang w:val="es-ES_tradnl"/>
        </w:rPr>
        <w:t xml:space="preserve">El Gobierno está elaborando actualmente un mapa de la demanda de prostitución en Dinamarca, centrándose especialmente en la trata de personas. El mapa se finalizará durante la primavera de 2013; en función de los resultados, se pondrán en marcha nuevas actividades de campaña a fin de reducir la demanda. </w:t>
      </w:r>
    </w:p>
    <w:p w:rsidR="0038237D" w:rsidRPr="00EA0AB9" w:rsidRDefault="007508E8" w:rsidP="007508E8">
      <w:pPr>
        <w:pStyle w:val="SingleTxt"/>
        <w:suppressAutoHyphens/>
        <w:rPr>
          <w:lang w:val="es-ES_tradnl"/>
        </w:rPr>
      </w:pPr>
      <w:r>
        <w:rPr>
          <w:lang w:val="es-ES_tradnl"/>
        </w:rPr>
        <w:tab/>
      </w:r>
      <w:r w:rsidR="0038237D" w:rsidRPr="00EA0AB9">
        <w:rPr>
          <w:lang w:val="es-ES_tradnl"/>
        </w:rPr>
        <w:t xml:space="preserve">En marzo de 2012, se aumentó de 8 a 10 años de prisión la pena máxima para la trata en la disposición específica sobre la trata (artículo 262a) del Código Penal de Dinamarca y se amplió la definición de la trata para que incluyese la trata para delitos menores. </w:t>
      </w:r>
    </w:p>
    <w:p w:rsidR="00CC062C" w:rsidRPr="00CC062C" w:rsidRDefault="00CC062C" w:rsidP="00CC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38237D" w:rsidRPr="00EA0AB9" w:rsidRDefault="0038237D" w:rsidP="00750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Legislación</w:t>
      </w:r>
    </w:p>
    <w:p w:rsidR="007508E8" w:rsidRPr="007508E8" w:rsidRDefault="007508E8" w:rsidP="007508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38237D" w:rsidRPr="00EA0AB9" w:rsidRDefault="0038237D" w:rsidP="007508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 xml:space="preserve">Plazo de reflexión </w:t>
      </w:r>
    </w:p>
    <w:p w:rsidR="007508E8" w:rsidRPr="007508E8" w:rsidRDefault="007508E8" w:rsidP="007508E8">
      <w:pPr>
        <w:pStyle w:val="SingleTxt"/>
        <w:suppressAutoHyphens/>
        <w:spacing w:after="0" w:line="120" w:lineRule="exact"/>
        <w:rPr>
          <w:sz w:val="10"/>
          <w:lang w:val="es-ES_tradnl"/>
        </w:rPr>
      </w:pPr>
    </w:p>
    <w:p w:rsidR="0038237D" w:rsidRPr="00EA0AB9" w:rsidRDefault="007508E8" w:rsidP="007508E8">
      <w:pPr>
        <w:pStyle w:val="SingleTxt"/>
        <w:suppressAutoHyphens/>
        <w:rPr>
          <w:lang w:val="es-ES_tradnl"/>
        </w:rPr>
      </w:pPr>
      <w:r>
        <w:rPr>
          <w:lang w:val="es-ES_tradnl"/>
        </w:rPr>
        <w:tab/>
      </w:r>
      <w:r w:rsidR="0038237D" w:rsidRPr="00EA0AB9">
        <w:rPr>
          <w:lang w:val="es-ES_tradnl"/>
        </w:rPr>
        <w:t>Como se afirma en el séptimo informe periódico de Dinamarca sobre la aplicación de la Convención sobre la Eliminación de Todas las Formas de Discriminación contra la Mujer, del artículo 33 14) de la Ley de extranjería de Dinamarca se desprende que se concede un plazo de restablecimiento y reflexión de 30 días a las presuntas víctimas de la trata que no tengan permiso para permanecer en Dinamarca y, por lo tanto, deban abandonar el país. El plazo de reflexión puede prolongarse hasta un total de 100 días en caso de que existan razones especiales en ese sentido o si el extranjero acepta una oferta de preparación del retorno a su país de origen y coopera en los esfuerzos de planificación de su retorno.</w:t>
      </w:r>
      <w:r w:rsidR="0038237D">
        <w:rPr>
          <w:lang w:val="es-ES_tradnl"/>
        </w:rPr>
        <w:t xml:space="preserve"> </w:t>
      </w:r>
    </w:p>
    <w:p w:rsidR="0038237D" w:rsidRPr="00EA0AB9" w:rsidRDefault="007508E8" w:rsidP="007508E8">
      <w:pPr>
        <w:pStyle w:val="SingleTxt"/>
        <w:suppressAutoHyphens/>
        <w:rPr>
          <w:lang w:val="es-ES_tradnl"/>
        </w:rPr>
      </w:pPr>
      <w:r>
        <w:rPr>
          <w:lang w:val="es-ES_tradnl"/>
        </w:rPr>
        <w:tab/>
      </w:r>
      <w:r w:rsidR="0038237D" w:rsidRPr="00EA0AB9">
        <w:rPr>
          <w:lang w:val="es-ES_tradnl"/>
        </w:rPr>
        <w:t xml:space="preserve">Como parte del acuerdo del Gobierno con el partido Enhedslisten sobre el proyecto de ley de finanzas de 2013, se decidió ampliar el período de 100 días hasta un total de 120 días. El objetivo de esta ampliación es mejorar la planificación del retorno de la víctima a su país de origen. El 30 de enero de 2013 se presentó al Parlamento danés un proyecto de ley que, entre otras cosas, servirá para aplicar este acuerdo. </w:t>
      </w:r>
    </w:p>
    <w:p w:rsidR="007508E8" w:rsidRPr="007508E8" w:rsidRDefault="007508E8" w:rsidP="007508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38237D" w:rsidRPr="00EA0AB9" w:rsidRDefault="0038237D" w:rsidP="007508E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Normas especiales relativas a la expulsión</w:t>
      </w:r>
    </w:p>
    <w:p w:rsidR="007508E8" w:rsidRPr="007508E8" w:rsidRDefault="007508E8" w:rsidP="007508E8">
      <w:pPr>
        <w:pStyle w:val="SingleTxtG"/>
        <w:spacing w:after="0" w:line="120" w:lineRule="exact"/>
        <w:rPr>
          <w:sz w:val="10"/>
          <w:lang w:val="es-ES_tradnl"/>
        </w:rPr>
      </w:pPr>
    </w:p>
    <w:p w:rsidR="0038237D" w:rsidRPr="00EA0AB9" w:rsidRDefault="007508E8" w:rsidP="007508E8">
      <w:pPr>
        <w:pStyle w:val="SingleTxt"/>
        <w:suppressAutoHyphens/>
        <w:rPr>
          <w:lang w:val="es-ES_tradnl"/>
        </w:rPr>
      </w:pPr>
      <w:r>
        <w:rPr>
          <w:lang w:val="es-ES_tradnl"/>
        </w:rPr>
        <w:tab/>
      </w:r>
      <w:r w:rsidR="0038237D" w:rsidRPr="00EA0AB9">
        <w:rPr>
          <w:lang w:val="es-ES_tradnl"/>
        </w:rPr>
        <w:t>En general, la permanencia ilegal en Dinamarca es motivo de expulsión y de prohibición de ingreso durante un período de tiempo especificado. A menudo, las víctimas de la trata identificadas residen de forma ilegal en Dinamarca. A propósito de estos casos, según se desprende del artículo 26a de la Ley de extranjería de Dinamarca, debe prestarse especial atención a si las circunstancias que normalmente darían lugar a expulsión están relacionadas con el hecho de que la persona ha sido objeto de trata y si este hecho va en contra de la expulsión.</w:t>
      </w:r>
      <w:r w:rsidR="0038237D">
        <w:rPr>
          <w:lang w:val="es-ES_tradnl"/>
        </w:rPr>
        <w:t xml:space="preserve"> </w:t>
      </w:r>
    </w:p>
    <w:p w:rsidR="00231989" w:rsidRPr="00231989" w:rsidRDefault="00231989" w:rsidP="00231989">
      <w:pPr>
        <w:pStyle w:val="SingleTxt"/>
        <w:suppressAutoHyphens/>
        <w:spacing w:after="0" w:line="120" w:lineRule="exact"/>
        <w:rPr>
          <w:sz w:val="10"/>
          <w:lang w:val="es-ES_tradnl"/>
        </w:rPr>
      </w:pPr>
    </w:p>
    <w:p w:rsidR="0038237D" w:rsidRPr="00EA0AB9" w:rsidRDefault="0038237D" w:rsidP="002319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Permiso de residencia</w:t>
      </w:r>
    </w:p>
    <w:p w:rsidR="00231989" w:rsidRPr="00231989" w:rsidRDefault="00231989" w:rsidP="00231989">
      <w:pPr>
        <w:pStyle w:val="SingleTxt"/>
        <w:suppressAutoHyphens/>
        <w:spacing w:after="0" w:line="120" w:lineRule="exact"/>
        <w:rPr>
          <w:sz w:val="10"/>
          <w:lang w:val="es-ES_tradnl"/>
        </w:rPr>
      </w:pPr>
      <w:bookmarkStart w:id="66" w:name="_Toc199929061"/>
      <w:bookmarkStart w:id="67" w:name="_Toc348513727"/>
      <w:bookmarkStart w:id="68" w:name="_Toc360096832"/>
      <w:bookmarkStart w:id="69" w:name="_Toc348513726"/>
      <w:bookmarkStart w:id="70" w:name="_Toc360096831"/>
    </w:p>
    <w:p w:rsidR="0038237D" w:rsidRPr="00EA0AB9" w:rsidRDefault="00231989" w:rsidP="00231989">
      <w:pPr>
        <w:pStyle w:val="SingleTxt"/>
        <w:suppressAutoHyphens/>
        <w:rPr>
          <w:lang w:val="es-ES_tradnl"/>
        </w:rPr>
      </w:pPr>
      <w:r>
        <w:rPr>
          <w:lang w:val="es-ES_tradnl"/>
        </w:rPr>
        <w:tab/>
      </w:r>
      <w:r w:rsidR="0038237D" w:rsidRPr="00EA0AB9">
        <w:rPr>
          <w:lang w:val="es-ES_tradnl"/>
        </w:rPr>
        <w:t xml:space="preserve">Como se afirma en el séptimo informe periódico de Dinamarca, no se puede conceder un permiso de residencia únicamente por el hecho de que un extranjero haya sido objeto de trata, de acuerdo con la Ley de extranjería de Dinamarca. Así, un extranjero objeto de trata que corre el riesgo de ser perseguido en su país de origen puede recibir asilo, si entra en el ámbito de las disposiciones de la Convención sobre el Estatuto de los Refugiados, de 28 de julio de 1951 (véase el artículo 7 1) de la Ley de extranjería de Dinamarca, sobre el estatuto de la Convención), o si corre el riesgo, en caso de regresar a su país de origen, de ser condenado a muerte o de ser sometido a torturas o a tratamiento o castigo inhumanos o degradantes (véase el artículo 7 2) de la Ley de extranjería, sobre el estatuto de protección). </w:t>
      </w:r>
    </w:p>
    <w:bookmarkEnd w:id="66"/>
    <w:bookmarkEnd w:id="67"/>
    <w:bookmarkEnd w:id="68"/>
    <w:bookmarkEnd w:id="69"/>
    <w:bookmarkEnd w:id="70"/>
    <w:p w:rsidR="0038237D" w:rsidRPr="00EA0AB9" w:rsidRDefault="00231989" w:rsidP="00231989">
      <w:pPr>
        <w:pStyle w:val="SingleTxt"/>
        <w:suppressAutoHyphens/>
        <w:rPr>
          <w:lang w:val="es-ES_tradnl"/>
        </w:rPr>
      </w:pPr>
      <w:r>
        <w:rPr>
          <w:lang w:val="es-ES_tradnl"/>
        </w:rPr>
        <w:tab/>
      </w:r>
      <w:r w:rsidR="0038237D" w:rsidRPr="00EA0AB9">
        <w:rPr>
          <w:lang w:val="es-ES_tradnl"/>
        </w:rPr>
        <w:t>Se puede conceder un permiso de residencia por razones humanitarias si hay consideraciones humanitarias significativas que lo justifiquen; por ejemplo, si la persona en cuestión padece una enfermedad física o psicológica grave. También se puede conceder un permiso de residencia si existen razones excepcionales en ese sentido. Además de esto, se pueden conceder permisos de residencia temporal a extranjeros que han sido objeto de trata, si la permanencia de dichas personas en Dinamarca es necesaria en relación con investigaciones criminales o procesos penales. El proyecto de ley mencionado anteriormente, que se presentó el 30 de enero de 2013, también supone una disposición independiente de la Ley de extranjería sobre esta cuestión, a fin de aclarar las normas.</w:t>
      </w:r>
    </w:p>
    <w:p w:rsidR="0038237D" w:rsidRPr="00EA0AB9" w:rsidRDefault="00231989" w:rsidP="00231989">
      <w:pPr>
        <w:pStyle w:val="SingleTxt"/>
        <w:suppressAutoHyphens/>
        <w:rPr>
          <w:lang w:val="es-ES_tradnl"/>
        </w:rPr>
      </w:pPr>
      <w:r>
        <w:rPr>
          <w:lang w:val="es-ES_tradnl"/>
        </w:rPr>
        <w:tab/>
      </w:r>
      <w:r w:rsidR="0038237D" w:rsidRPr="00EA0AB9">
        <w:rPr>
          <w:lang w:val="es-ES_tradnl"/>
        </w:rPr>
        <w:t xml:space="preserve">En referencia a la observación final 33 del Comité, el Ministerio señala que las solicitudes de asilo relacionadas con abusos o violencia por razón de género se evaluarán con arreglo al artículo 7 de la Ley de extranjería de Dinamarca (véase más arriba), del mismo modo que cualquier otra solicitud de asilo. Una parte integrante de la evaluación de la solicitud de asilo consiste en determinar si un extranjero ha sido objeto de abusos o violencia por razón de género de un modo tal que sea necesaria la protección de acuerdo con esta disposición. </w:t>
      </w:r>
      <w:r w:rsidR="0038237D" w:rsidRPr="00EA0AB9">
        <w:t>El que la protección sea o no necesaria en un caso determinado depende de la situación y las circunstancias concretas del caso, y la solicitud de asilo se evalúa de forma específica en cada caso a partir de esta información.</w:t>
      </w:r>
      <w:r w:rsidR="0038237D" w:rsidRPr="00EA0AB9">
        <w:rPr>
          <w:lang w:val="es-ES_tradnl"/>
        </w:rPr>
        <w:t xml:space="preserve"> </w:t>
      </w:r>
    </w:p>
    <w:p w:rsidR="00231989" w:rsidRPr="00231989" w:rsidRDefault="00231989" w:rsidP="00231989">
      <w:pPr>
        <w:pStyle w:val="SingleTxt"/>
        <w:suppressAutoHyphens/>
        <w:spacing w:after="0" w:line="120" w:lineRule="exact"/>
        <w:rPr>
          <w:sz w:val="10"/>
          <w:lang w:val="es-ES_tradnl"/>
        </w:rPr>
      </w:pPr>
    </w:p>
    <w:p w:rsidR="0038237D" w:rsidRPr="00EA0AB9" w:rsidRDefault="0038237D" w:rsidP="002319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Regreso voluntario asistido</w:t>
      </w:r>
    </w:p>
    <w:p w:rsidR="00231989" w:rsidRPr="00231989" w:rsidRDefault="00231989" w:rsidP="00231989">
      <w:pPr>
        <w:pStyle w:val="SingleTxt"/>
        <w:suppressAutoHyphens/>
        <w:spacing w:after="0" w:line="120" w:lineRule="exact"/>
        <w:rPr>
          <w:sz w:val="10"/>
          <w:lang w:val="es-ES_tradnl"/>
        </w:rPr>
      </w:pPr>
      <w:bookmarkStart w:id="71" w:name="_Toc348513728"/>
      <w:bookmarkStart w:id="72" w:name="_Toc349720594"/>
      <w:bookmarkStart w:id="73" w:name="_Toc360096833"/>
    </w:p>
    <w:p w:rsidR="0038237D" w:rsidRPr="00EA0AB9" w:rsidRDefault="00231989" w:rsidP="00231989">
      <w:pPr>
        <w:pStyle w:val="SingleTxt"/>
        <w:suppressAutoHyphens/>
        <w:rPr>
          <w:lang w:val="es-ES_tradnl"/>
        </w:rPr>
      </w:pPr>
      <w:r>
        <w:rPr>
          <w:lang w:val="es-ES_tradnl"/>
        </w:rPr>
        <w:tab/>
      </w:r>
      <w:r w:rsidR="0038237D" w:rsidRPr="00EA0AB9">
        <w:rPr>
          <w:lang w:val="es-ES_tradnl"/>
        </w:rPr>
        <w:t xml:space="preserve">A las presuntas víctimas de la trata que deban abandonar Dinamarca por no cumplir las condiciones para obtener el permiso de residencia o por no haberlo solicitado se les ofrece la posibilidad de prepararle su retorno. El ofrecimiento tiene la finalidad de facilitarles un nuevo comienzo al regresar a su país de origen. Este ofrecimiento está vinculado a la ampliación del plazo de reflexión mencionada anteriormente e incluirá actividades durante la permanencia en Dinamarca y en el país de origen. </w:t>
      </w:r>
    </w:p>
    <w:p w:rsidR="0038237D" w:rsidRPr="00EA0AB9" w:rsidRDefault="00231989" w:rsidP="00231989">
      <w:pPr>
        <w:pStyle w:val="SingleTxt"/>
        <w:suppressAutoHyphens/>
        <w:rPr>
          <w:lang w:val="es-ES_tradnl"/>
        </w:rPr>
      </w:pPr>
      <w:bookmarkStart w:id="74" w:name="_Toc348513729"/>
      <w:bookmarkStart w:id="75" w:name="_Toc349720595"/>
      <w:bookmarkStart w:id="76" w:name="_Toc360096834"/>
      <w:bookmarkEnd w:id="71"/>
      <w:bookmarkEnd w:id="72"/>
      <w:bookmarkEnd w:id="73"/>
      <w:r>
        <w:rPr>
          <w:lang w:val="es-ES_tradnl"/>
        </w:rPr>
        <w:tab/>
      </w:r>
      <w:r w:rsidR="0038237D" w:rsidRPr="00EA0AB9">
        <w:rPr>
          <w:lang w:val="es-ES_tradnl"/>
        </w:rPr>
        <w:t xml:space="preserve">Las autoridades danesas han colaborado desde 2008 con la Organización Internacional para las Migraciones (OIM) para prestar asistencia a los migrantes vulnerables en su regreso voluntario. Para obtener más información sobre el acuerdo con la OIM, consúltese el séptimo informe periódico de Dinamarca. En el marco del proyecto, la OIM supervisa, en la medida de lo posible, el proceso de reintegración de las víctimas de la trata. Con el objetivo de analizar los puntos fuertes y los puntos débiles del programa de retorno, el Ministerio de Justicia de Dinamarca publicó una evaluación del programa en el otoño de 2012. Uno de los resultados de esta evaluación es que el período de reintegración ofrecido a las víctimas de la trata se ampliará de tres a seis meses desde principios de 2013. El período de reintegración en el caso de los niños sigue siendo el mismo (hasta seis meses). </w:t>
      </w:r>
    </w:p>
    <w:bookmarkEnd w:id="74"/>
    <w:bookmarkEnd w:id="75"/>
    <w:bookmarkEnd w:id="76"/>
    <w:p w:rsidR="00231989" w:rsidRPr="00231989" w:rsidRDefault="00231989" w:rsidP="00231989">
      <w:pPr>
        <w:pStyle w:val="SingleTxt"/>
        <w:suppressAutoHyphens/>
        <w:spacing w:after="0" w:line="120" w:lineRule="exact"/>
        <w:rPr>
          <w:sz w:val="10"/>
        </w:rPr>
      </w:pPr>
    </w:p>
    <w:p w:rsidR="00231989" w:rsidRPr="00231989" w:rsidRDefault="00231989" w:rsidP="00231989">
      <w:pPr>
        <w:pStyle w:val="SingleTxt"/>
        <w:suppressAutoHyphens/>
        <w:spacing w:after="0" w:line="120" w:lineRule="exact"/>
        <w:rPr>
          <w:sz w:val="10"/>
        </w:rPr>
      </w:pPr>
    </w:p>
    <w:p w:rsidR="0038237D" w:rsidRPr="00A10466" w:rsidRDefault="0038237D" w:rsidP="002319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0466">
        <w:tab/>
      </w:r>
      <w:r w:rsidRPr="00A10466">
        <w:tab/>
        <w:t>Capítulo 2: Vida pública</w:t>
      </w:r>
    </w:p>
    <w:p w:rsidR="00231989" w:rsidRPr="00231989" w:rsidRDefault="00231989" w:rsidP="00231989">
      <w:pPr>
        <w:pStyle w:val="SingleTxt"/>
        <w:suppressAutoHyphens/>
        <w:spacing w:after="0" w:line="120" w:lineRule="exact"/>
        <w:rPr>
          <w:sz w:val="10"/>
        </w:rPr>
      </w:pPr>
    </w:p>
    <w:p w:rsidR="00231989" w:rsidRPr="00231989" w:rsidRDefault="00231989" w:rsidP="00231989">
      <w:pPr>
        <w:pStyle w:val="SingleTxt"/>
        <w:suppressAutoHyphens/>
        <w:spacing w:after="0" w:line="120" w:lineRule="exact"/>
        <w:rPr>
          <w:sz w:val="10"/>
        </w:rPr>
      </w:pPr>
    </w:p>
    <w:p w:rsidR="0038237D" w:rsidRPr="000739A7" w:rsidRDefault="0038237D" w:rsidP="002319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39A7">
        <w:tab/>
      </w:r>
      <w:r w:rsidRPr="000739A7">
        <w:tab/>
        <w:t>Artículo 7: Derechos políticos y participación</w:t>
      </w:r>
    </w:p>
    <w:p w:rsidR="00231989" w:rsidRPr="00231989" w:rsidRDefault="00231989" w:rsidP="00231989">
      <w:pPr>
        <w:pStyle w:val="SingleTxt"/>
        <w:suppressAutoHyphens/>
        <w:spacing w:after="0" w:line="120" w:lineRule="exact"/>
        <w:rPr>
          <w:sz w:val="10"/>
          <w:lang w:val="es-ES_tradnl"/>
        </w:rPr>
      </w:pPr>
    </w:p>
    <w:p w:rsidR="00231989" w:rsidRPr="00231989" w:rsidRDefault="00231989" w:rsidP="00231989">
      <w:pPr>
        <w:pStyle w:val="SingleTxt"/>
        <w:suppressAutoHyphens/>
        <w:spacing w:after="0" w:line="120" w:lineRule="exact"/>
        <w:rPr>
          <w:sz w:val="10"/>
          <w:lang w:val="es-ES_tradnl"/>
        </w:rPr>
      </w:pPr>
    </w:p>
    <w:p w:rsidR="0038237D" w:rsidRPr="00EA0AB9" w:rsidRDefault="0038237D" w:rsidP="002319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La mujer en la política</w:t>
      </w:r>
    </w:p>
    <w:p w:rsidR="00231989" w:rsidRPr="00231989" w:rsidRDefault="00231989" w:rsidP="00231989">
      <w:pPr>
        <w:pStyle w:val="SingleTxt"/>
        <w:suppressAutoHyphens/>
        <w:spacing w:after="0" w:line="120" w:lineRule="exact"/>
        <w:rPr>
          <w:sz w:val="10"/>
          <w:lang w:val="es-ES_tradnl"/>
        </w:rPr>
      </w:pPr>
    </w:p>
    <w:p w:rsidR="0038237D" w:rsidRPr="00EA0AB9" w:rsidRDefault="00231989" w:rsidP="00231989">
      <w:pPr>
        <w:pStyle w:val="SingleTxt"/>
        <w:suppressAutoHyphens/>
        <w:rPr>
          <w:lang w:val="es-ES_tradnl"/>
        </w:rPr>
      </w:pPr>
      <w:r>
        <w:rPr>
          <w:lang w:val="es-ES_tradnl"/>
        </w:rPr>
        <w:tab/>
      </w:r>
      <w:r w:rsidR="0038237D" w:rsidRPr="00EA0AB9">
        <w:rPr>
          <w:lang w:val="es-ES_tradnl"/>
        </w:rPr>
        <w:t xml:space="preserve">En Dinamarca, las mujeres y los hombres gozan de los mismos </w:t>
      </w:r>
      <w:r w:rsidR="0038237D" w:rsidRPr="00EA0AB9">
        <w:rPr>
          <w:i/>
          <w:lang w:val="es-ES_tradnl"/>
        </w:rPr>
        <w:t>derechos políticos</w:t>
      </w:r>
      <w:r w:rsidR="0038237D" w:rsidRPr="00EA0AB9">
        <w:rPr>
          <w:lang w:val="es-ES_tradnl"/>
        </w:rPr>
        <w:t xml:space="preserve"> (para obtener más información sobre el sistema electoral de Dinamarca, véase el séptimo informe periódico). Después de las </w:t>
      </w:r>
      <w:r w:rsidR="0038237D" w:rsidRPr="00EA0AB9">
        <w:rPr>
          <w:i/>
          <w:lang w:val="es-ES_tradnl"/>
        </w:rPr>
        <w:t xml:space="preserve">elecciones legislativas </w:t>
      </w:r>
      <w:r w:rsidR="0038237D" w:rsidRPr="00EA0AB9">
        <w:rPr>
          <w:lang w:val="es-ES_tradnl"/>
        </w:rPr>
        <w:t xml:space="preserve">de 2011, las mujeres representaban aproximadamente el 39% del Parlamento nacional (68 de 175 escaños). Los presidentes de los tres partidos que forman el Gobierno son mujeres y hay 11 ministras (48%) de un total de 23 ministros. En las elecciones a los gobiernos locales de 2009, la proporción de mujeres en los concejos municipales alcanzó aproximadamente el 32% (partiendo de una proporción estable de un 27% desde mediados de los años ochenta) y el número de alcaldesas aumentó de 8 a 12 de un total de 98. En los </w:t>
      </w:r>
      <w:r w:rsidR="0038237D" w:rsidRPr="00EA0AB9">
        <w:rPr>
          <w:i/>
          <w:lang w:val="es-ES_tradnl"/>
        </w:rPr>
        <w:t>consejos regionales</w:t>
      </w:r>
      <w:r w:rsidR="0038237D" w:rsidRPr="00EA0AB9">
        <w:rPr>
          <w:lang w:val="es-ES_tradnl"/>
        </w:rPr>
        <w:t xml:space="preserve">, las mujeres representaban el 35% después de las elecciones de 2009. En las elecciones al </w:t>
      </w:r>
      <w:r w:rsidR="0038237D" w:rsidRPr="00EA0AB9">
        <w:rPr>
          <w:i/>
          <w:lang w:val="es-ES_tradnl"/>
        </w:rPr>
        <w:t>Parlamento Europeo</w:t>
      </w:r>
      <w:r w:rsidR="0038237D" w:rsidRPr="00EA0AB9">
        <w:rPr>
          <w:lang w:val="es-ES_tradnl"/>
        </w:rPr>
        <w:t xml:space="preserve"> de 2009, el 46% de los 13 daneses elegidos eran mujeres (37,5% en 2004). </w:t>
      </w:r>
    </w:p>
    <w:p w:rsidR="00231989" w:rsidRPr="00231989" w:rsidRDefault="00231989" w:rsidP="00231989">
      <w:pPr>
        <w:pStyle w:val="SingleTxt"/>
        <w:suppressAutoHyphens/>
        <w:spacing w:after="0" w:line="120" w:lineRule="exact"/>
        <w:rPr>
          <w:sz w:val="10"/>
          <w:lang w:val="es-ES_tradnl"/>
        </w:rPr>
      </w:pPr>
    </w:p>
    <w:p w:rsidR="0038237D" w:rsidRPr="00EA0AB9" w:rsidRDefault="0038237D" w:rsidP="002319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66" w:hanging="1267"/>
        <w:rPr>
          <w:lang w:val="es-ES_tradnl"/>
        </w:rPr>
      </w:pPr>
      <w:r>
        <w:rPr>
          <w:lang w:val="es-ES_tradnl"/>
        </w:rPr>
        <w:tab/>
      </w:r>
      <w:r>
        <w:rPr>
          <w:lang w:val="es-ES_tradnl"/>
        </w:rPr>
        <w:tab/>
      </w:r>
      <w:r w:rsidRPr="00EA0AB9">
        <w:rPr>
          <w:lang w:val="es-ES_tradnl"/>
        </w:rPr>
        <w:t>La mujer en los comités, comisiones, juntas, etc., de las autoridades estatales y locales</w:t>
      </w:r>
    </w:p>
    <w:p w:rsidR="00231989" w:rsidRPr="00231989" w:rsidRDefault="00231989" w:rsidP="00231989">
      <w:pPr>
        <w:pStyle w:val="SingleTxt"/>
        <w:suppressAutoHyphens/>
        <w:spacing w:after="0" w:line="120" w:lineRule="exact"/>
        <w:rPr>
          <w:sz w:val="10"/>
          <w:lang w:val="es-ES_tradnl"/>
        </w:rPr>
      </w:pPr>
    </w:p>
    <w:p w:rsidR="0038237D" w:rsidRPr="00EA0AB9" w:rsidRDefault="00231989" w:rsidP="00231989">
      <w:pPr>
        <w:pStyle w:val="SingleTxt"/>
        <w:suppressAutoHyphens/>
        <w:rPr>
          <w:lang w:val="es-ES_tradnl"/>
        </w:rPr>
      </w:pPr>
      <w:r w:rsidRPr="00231989">
        <w:rPr>
          <w:spacing w:val="2"/>
          <w:lang w:val="es-ES_tradnl"/>
        </w:rPr>
        <w:tab/>
      </w:r>
      <w:r w:rsidR="0038237D" w:rsidRPr="00231989">
        <w:rPr>
          <w:spacing w:val="2"/>
          <w:lang w:val="es-ES_tradnl"/>
        </w:rPr>
        <w:t>Como se describe en el séptimo informe periódico, en los artículos 8 y 9 de la Ley sobre la igualdad de género se estipula que los comités públicos, las comisiones y organismos semejantes establecidos por un ministro deben contar con un número igual de mujeres y hombres. La proporción de mujeres en los comités nuevamente establecidos del sector estatal era del 44% en 2009, del 39% en 2010 y del 42% en 2011</w:t>
      </w:r>
      <w:r w:rsidR="0038237D" w:rsidRPr="00EA0AB9">
        <w:rPr>
          <w:lang w:val="es-ES_tradnl"/>
        </w:rPr>
        <w:t xml:space="preserve">. </w:t>
      </w:r>
    </w:p>
    <w:p w:rsidR="0038237D" w:rsidRDefault="00231989" w:rsidP="00231989">
      <w:pPr>
        <w:pStyle w:val="SingleTxt"/>
        <w:suppressAutoHyphens/>
        <w:rPr>
          <w:lang w:val="es-ES_tradnl"/>
        </w:rPr>
      </w:pPr>
      <w:r>
        <w:rPr>
          <w:lang w:val="es-ES_tradnl"/>
        </w:rPr>
        <w:tab/>
      </w:r>
      <w:r w:rsidR="0038237D" w:rsidRPr="00EA0AB9">
        <w:rPr>
          <w:lang w:val="es-ES_tradnl"/>
        </w:rPr>
        <w:t>Como se describe también en el séptimo informe periódico, de acuerdo con el artículo 10a de la Ley sobre la igualdad de género, los municipios y regiones deben proponer un número igual de mujeres y hombres para los consejos, juntas, comités, etc. A continuación se presenta la proporción de mujeres (en porcentaje) en los comités, consejos, etc., desde 2007.</w:t>
      </w:r>
    </w:p>
    <w:p w:rsidR="00231989" w:rsidRPr="00231989" w:rsidRDefault="00231989" w:rsidP="00231989">
      <w:pPr>
        <w:pStyle w:val="SingleTxt"/>
        <w:suppressAutoHyphens/>
        <w:spacing w:after="0" w:line="120" w:lineRule="exact"/>
        <w:rPr>
          <w:sz w:val="10"/>
          <w:lang w:val="es-ES_tradnl"/>
        </w:rPr>
      </w:pPr>
    </w:p>
    <w:p w:rsidR="00231989" w:rsidRPr="00231989" w:rsidRDefault="00231989" w:rsidP="00231989">
      <w:pPr>
        <w:pStyle w:val="SingleTxt"/>
        <w:suppressAutoHyphens/>
        <w:spacing w:after="0" w:line="120" w:lineRule="exact"/>
        <w:rPr>
          <w:sz w:val="10"/>
          <w:lang w:val="es-ES_tradnl"/>
        </w:rPr>
      </w:pPr>
    </w:p>
    <w:tbl>
      <w:tblPr>
        <w:tblW w:w="7370" w:type="dxa"/>
        <w:tblInd w:w="1267" w:type="dxa"/>
        <w:tblCellMar>
          <w:left w:w="0" w:type="dxa"/>
          <w:right w:w="0" w:type="dxa"/>
        </w:tblCellMar>
        <w:tblLook w:val="04A0"/>
      </w:tblPr>
      <w:tblGrid>
        <w:gridCol w:w="2309"/>
        <w:gridCol w:w="1687"/>
        <w:gridCol w:w="1687"/>
        <w:gridCol w:w="1687"/>
      </w:tblGrid>
      <w:tr w:rsidR="0038237D" w:rsidRPr="00231989" w:rsidTr="00231989">
        <w:trPr>
          <w:trHeight w:val="240"/>
          <w:tblHeader/>
        </w:trPr>
        <w:tc>
          <w:tcPr>
            <w:tcW w:w="2309" w:type="dxa"/>
            <w:tcBorders>
              <w:top w:val="single" w:sz="4" w:space="0" w:color="auto"/>
              <w:bottom w:val="single" w:sz="12" w:space="0" w:color="auto"/>
            </w:tcBorders>
            <w:shd w:val="clear" w:color="auto" w:fill="auto"/>
            <w:vAlign w:val="bottom"/>
          </w:tcPr>
          <w:p w:rsidR="0038237D" w:rsidRPr="00231989" w:rsidRDefault="0038237D" w:rsidP="00231989">
            <w:pPr>
              <w:pStyle w:val="SingleTxtG"/>
              <w:spacing w:before="80" w:after="80" w:line="160" w:lineRule="exact"/>
              <w:ind w:left="0" w:right="40"/>
              <w:jc w:val="left"/>
              <w:rPr>
                <w:i/>
                <w:spacing w:val="4"/>
                <w:w w:val="103"/>
                <w:sz w:val="14"/>
                <w:szCs w:val="18"/>
                <w:lang w:val="es-ES_tradnl"/>
              </w:rPr>
            </w:pPr>
          </w:p>
        </w:tc>
        <w:tc>
          <w:tcPr>
            <w:tcW w:w="1687" w:type="dxa"/>
            <w:tcBorders>
              <w:top w:val="single" w:sz="4" w:space="0" w:color="auto"/>
              <w:bottom w:val="single" w:sz="12" w:space="0" w:color="auto"/>
            </w:tcBorders>
            <w:shd w:val="clear" w:color="auto" w:fill="auto"/>
            <w:vAlign w:val="bottom"/>
          </w:tcPr>
          <w:p w:rsidR="0038237D" w:rsidRPr="00231989" w:rsidRDefault="0038237D" w:rsidP="00231989">
            <w:pPr>
              <w:pStyle w:val="SingleTxtG"/>
              <w:spacing w:before="80" w:after="80" w:line="160" w:lineRule="exact"/>
              <w:ind w:left="113" w:right="40"/>
              <w:jc w:val="right"/>
              <w:rPr>
                <w:i/>
                <w:spacing w:val="4"/>
                <w:w w:val="103"/>
                <w:sz w:val="14"/>
                <w:szCs w:val="16"/>
                <w:lang w:val="es-ES_tradnl"/>
              </w:rPr>
            </w:pPr>
            <w:r w:rsidRPr="00231989">
              <w:rPr>
                <w:i/>
                <w:spacing w:val="4"/>
                <w:w w:val="103"/>
                <w:sz w:val="14"/>
                <w:szCs w:val="16"/>
                <w:lang w:val="es-ES_tradnl"/>
              </w:rPr>
              <w:t>2007</w:t>
            </w:r>
          </w:p>
        </w:tc>
        <w:tc>
          <w:tcPr>
            <w:tcW w:w="1687" w:type="dxa"/>
            <w:tcBorders>
              <w:top w:val="single" w:sz="4" w:space="0" w:color="auto"/>
              <w:bottom w:val="single" w:sz="12" w:space="0" w:color="auto"/>
            </w:tcBorders>
            <w:shd w:val="clear" w:color="auto" w:fill="auto"/>
            <w:vAlign w:val="bottom"/>
          </w:tcPr>
          <w:p w:rsidR="0038237D" w:rsidRPr="00231989" w:rsidRDefault="0038237D" w:rsidP="00231989">
            <w:pPr>
              <w:pStyle w:val="SingleTxtG"/>
              <w:spacing w:before="80" w:after="80" w:line="160" w:lineRule="exact"/>
              <w:ind w:left="113" w:right="40"/>
              <w:jc w:val="right"/>
              <w:rPr>
                <w:i/>
                <w:spacing w:val="4"/>
                <w:w w:val="103"/>
                <w:sz w:val="14"/>
                <w:szCs w:val="16"/>
                <w:lang w:val="es-ES_tradnl"/>
              </w:rPr>
            </w:pPr>
            <w:r w:rsidRPr="00231989">
              <w:rPr>
                <w:i/>
                <w:spacing w:val="4"/>
                <w:w w:val="103"/>
                <w:sz w:val="14"/>
                <w:szCs w:val="16"/>
                <w:lang w:val="es-ES_tradnl"/>
              </w:rPr>
              <w:t>2009</w:t>
            </w:r>
          </w:p>
        </w:tc>
        <w:tc>
          <w:tcPr>
            <w:tcW w:w="1687" w:type="dxa"/>
            <w:tcBorders>
              <w:top w:val="single" w:sz="4" w:space="0" w:color="auto"/>
              <w:bottom w:val="single" w:sz="12" w:space="0" w:color="auto"/>
            </w:tcBorders>
            <w:shd w:val="clear" w:color="auto" w:fill="auto"/>
            <w:vAlign w:val="bottom"/>
          </w:tcPr>
          <w:p w:rsidR="0038237D" w:rsidRPr="00231989" w:rsidRDefault="0038237D" w:rsidP="00231989">
            <w:pPr>
              <w:pStyle w:val="SingleTxtG"/>
              <w:spacing w:before="80" w:after="80" w:line="160" w:lineRule="exact"/>
              <w:ind w:left="113" w:right="40"/>
              <w:jc w:val="right"/>
              <w:rPr>
                <w:i/>
                <w:spacing w:val="4"/>
                <w:w w:val="103"/>
                <w:sz w:val="14"/>
                <w:szCs w:val="16"/>
                <w:lang w:val="es-ES_tradnl"/>
              </w:rPr>
            </w:pPr>
            <w:r w:rsidRPr="00231989">
              <w:rPr>
                <w:i/>
                <w:spacing w:val="4"/>
                <w:w w:val="103"/>
                <w:sz w:val="14"/>
                <w:szCs w:val="16"/>
                <w:lang w:val="es-ES_tradnl"/>
              </w:rPr>
              <w:t>2011</w:t>
            </w:r>
          </w:p>
        </w:tc>
      </w:tr>
      <w:tr w:rsidR="00231989" w:rsidRPr="00231989" w:rsidTr="00231989">
        <w:trPr>
          <w:trHeight w:hRule="exact" w:val="115"/>
          <w:tblHeader/>
        </w:trPr>
        <w:tc>
          <w:tcPr>
            <w:tcW w:w="2309" w:type="dxa"/>
            <w:tcBorders>
              <w:top w:val="single" w:sz="12" w:space="0" w:color="auto"/>
            </w:tcBorders>
            <w:shd w:val="clear" w:color="auto" w:fill="auto"/>
            <w:vAlign w:val="bottom"/>
          </w:tcPr>
          <w:p w:rsidR="00231989" w:rsidRPr="00231989" w:rsidRDefault="00231989" w:rsidP="00231989">
            <w:pPr>
              <w:pStyle w:val="SingleTxtG"/>
              <w:spacing w:before="40" w:after="40" w:line="210" w:lineRule="exact"/>
              <w:ind w:left="0" w:right="40"/>
              <w:jc w:val="left"/>
              <w:rPr>
                <w:spacing w:val="4"/>
                <w:w w:val="103"/>
                <w:sz w:val="17"/>
                <w:szCs w:val="18"/>
                <w:lang w:val="es-ES_tradnl"/>
              </w:rPr>
            </w:pPr>
          </w:p>
        </w:tc>
        <w:tc>
          <w:tcPr>
            <w:tcW w:w="1687" w:type="dxa"/>
            <w:tcBorders>
              <w:top w:val="single" w:sz="12" w:space="0" w:color="auto"/>
            </w:tcBorders>
            <w:shd w:val="clear" w:color="auto" w:fill="auto"/>
            <w:vAlign w:val="bottom"/>
          </w:tcPr>
          <w:p w:rsidR="00231989" w:rsidRPr="00231989" w:rsidRDefault="00231989" w:rsidP="00231989">
            <w:pPr>
              <w:pStyle w:val="SingleTxtG"/>
              <w:spacing w:before="40" w:after="40" w:line="210" w:lineRule="exact"/>
              <w:ind w:left="113" w:right="40"/>
              <w:jc w:val="right"/>
              <w:rPr>
                <w:spacing w:val="4"/>
                <w:w w:val="103"/>
                <w:sz w:val="17"/>
                <w:szCs w:val="18"/>
                <w:lang w:val="es-ES_tradnl"/>
              </w:rPr>
            </w:pPr>
          </w:p>
        </w:tc>
        <w:tc>
          <w:tcPr>
            <w:tcW w:w="1687" w:type="dxa"/>
            <w:tcBorders>
              <w:top w:val="single" w:sz="12" w:space="0" w:color="auto"/>
            </w:tcBorders>
            <w:shd w:val="clear" w:color="auto" w:fill="auto"/>
            <w:vAlign w:val="bottom"/>
          </w:tcPr>
          <w:p w:rsidR="00231989" w:rsidRPr="00231989" w:rsidRDefault="00231989" w:rsidP="00231989">
            <w:pPr>
              <w:pStyle w:val="SingleTxtG"/>
              <w:spacing w:before="40" w:after="40" w:line="210" w:lineRule="exact"/>
              <w:ind w:left="113" w:right="40"/>
              <w:jc w:val="right"/>
              <w:rPr>
                <w:spacing w:val="4"/>
                <w:w w:val="103"/>
                <w:sz w:val="17"/>
                <w:szCs w:val="18"/>
                <w:lang w:val="es-ES_tradnl"/>
              </w:rPr>
            </w:pPr>
          </w:p>
        </w:tc>
        <w:tc>
          <w:tcPr>
            <w:tcW w:w="1687" w:type="dxa"/>
            <w:tcBorders>
              <w:top w:val="single" w:sz="12" w:space="0" w:color="auto"/>
            </w:tcBorders>
            <w:shd w:val="clear" w:color="auto" w:fill="auto"/>
            <w:vAlign w:val="bottom"/>
          </w:tcPr>
          <w:p w:rsidR="00231989" w:rsidRPr="00231989" w:rsidRDefault="00231989" w:rsidP="00231989">
            <w:pPr>
              <w:pStyle w:val="SingleTxtG"/>
              <w:spacing w:before="40" w:after="40" w:line="210" w:lineRule="exact"/>
              <w:ind w:left="113" w:right="40"/>
              <w:jc w:val="right"/>
              <w:rPr>
                <w:spacing w:val="4"/>
                <w:w w:val="103"/>
                <w:sz w:val="17"/>
                <w:szCs w:val="18"/>
                <w:lang w:val="es-ES_tradnl"/>
              </w:rPr>
            </w:pPr>
          </w:p>
        </w:tc>
      </w:tr>
      <w:tr w:rsidR="0038237D" w:rsidRPr="00231989" w:rsidTr="00231989">
        <w:trPr>
          <w:trHeight w:val="240"/>
        </w:trPr>
        <w:tc>
          <w:tcPr>
            <w:tcW w:w="2309" w:type="dxa"/>
            <w:shd w:val="clear" w:color="auto" w:fill="auto"/>
            <w:vAlign w:val="bottom"/>
          </w:tcPr>
          <w:p w:rsidR="0038237D" w:rsidRPr="00231989" w:rsidRDefault="0038237D" w:rsidP="00231989">
            <w:pPr>
              <w:pStyle w:val="SingleTxtG"/>
              <w:tabs>
                <w:tab w:val="left" w:pos="288"/>
                <w:tab w:val="left" w:pos="576"/>
                <w:tab w:val="left" w:pos="864"/>
                <w:tab w:val="left" w:pos="1152"/>
              </w:tabs>
              <w:spacing w:before="40" w:after="40" w:line="210" w:lineRule="exact"/>
              <w:ind w:left="0" w:right="40"/>
              <w:jc w:val="left"/>
              <w:rPr>
                <w:spacing w:val="4"/>
                <w:w w:val="103"/>
                <w:sz w:val="17"/>
                <w:szCs w:val="18"/>
                <w:lang w:val="es-ES_tradnl"/>
              </w:rPr>
            </w:pPr>
            <w:r w:rsidRPr="00231989">
              <w:rPr>
                <w:spacing w:val="4"/>
                <w:w w:val="103"/>
                <w:sz w:val="17"/>
                <w:szCs w:val="18"/>
                <w:lang w:val="es-ES_tradnl"/>
              </w:rPr>
              <w:t>Municipios</w:t>
            </w:r>
          </w:p>
        </w:tc>
        <w:tc>
          <w:tcPr>
            <w:tcW w:w="1687" w:type="dxa"/>
            <w:shd w:val="clear" w:color="auto" w:fill="auto"/>
            <w:vAlign w:val="bottom"/>
          </w:tcPr>
          <w:p w:rsidR="0038237D" w:rsidRPr="00231989" w:rsidRDefault="0038237D" w:rsidP="00231989">
            <w:pPr>
              <w:pStyle w:val="SingleTxtG"/>
              <w:tabs>
                <w:tab w:val="left" w:pos="288"/>
                <w:tab w:val="left" w:pos="576"/>
                <w:tab w:val="left" w:pos="864"/>
                <w:tab w:val="left" w:pos="1152"/>
              </w:tabs>
              <w:spacing w:before="40" w:after="40" w:line="210" w:lineRule="exact"/>
              <w:ind w:left="113" w:right="40"/>
              <w:jc w:val="right"/>
              <w:rPr>
                <w:spacing w:val="4"/>
                <w:w w:val="103"/>
                <w:sz w:val="17"/>
                <w:szCs w:val="18"/>
                <w:lang w:val="es-ES_tradnl"/>
              </w:rPr>
            </w:pPr>
            <w:r w:rsidRPr="00231989">
              <w:rPr>
                <w:spacing w:val="4"/>
                <w:w w:val="103"/>
                <w:sz w:val="17"/>
                <w:szCs w:val="18"/>
                <w:lang w:val="es-ES_tradnl"/>
              </w:rPr>
              <w:t>34%</w:t>
            </w:r>
          </w:p>
        </w:tc>
        <w:tc>
          <w:tcPr>
            <w:tcW w:w="1687" w:type="dxa"/>
            <w:shd w:val="clear" w:color="auto" w:fill="auto"/>
            <w:vAlign w:val="bottom"/>
          </w:tcPr>
          <w:p w:rsidR="0038237D" w:rsidRPr="00231989" w:rsidRDefault="0038237D" w:rsidP="00231989">
            <w:pPr>
              <w:pStyle w:val="SingleTxtG"/>
              <w:tabs>
                <w:tab w:val="left" w:pos="288"/>
                <w:tab w:val="left" w:pos="576"/>
                <w:tab w:val="left" w:pos="864"/>
                <w:tab w:val="left" w:pos="1152"/>
              </w:tabs>
              <w:spacing w:before="40" w:after="40" w:line="210" w:lineRule="exact"/>
              <w:ind w:left="113" w:right="40"/>
              <w:jc w:val="right"/>
              <w:rPr>
                <w:spacing w:val="4"/>
                <w:w w:val="103"/>
                <w:sz w:val="17"/>
                <w:szCs w:val="18"/>
                <w:lang w:val="es-ES_tradnl"/>
              </w:rPr>
            </w:pPr>
            <w:r w:rsidRPr="00231989">
              <w:rPr>
                <w:spacing w:val="4"/>
                <w:w w:val="103"/>
                <w:sz w:val="17"/>
                <w:szCs w:val="18"/>
                <w:lang w:val="es-ES_tradnl"/>
              </w:rPr>
              <w:t>30%</w:t>
            </w:r>
          </w:p>
        </w:tc>
        <w:tc>
          <w:tcPr>
            <w:tcW w:w="1687" w:type="dxa"/>
            <w:shd w:val="clear" w:color="auto" w:fill="auto"/>
            <w:vAlign w:val="bottom"/>
          </w:tcPr>
          <w:p w:rsidR="0038237D" w:rsidRPr="00231989" w:rsidRDefault="0038237D" w:rsidP="00231989">
            <w:pPr>
              <w:pStyle w:val="SingleTxtG"/>
              <w:tabs>
                <w:tab w:val="left" w:pos="288"/>
                <w:tab w:val="left" w:pos="576"/>
                <w:tab w:val="left" w:pos="864"/>
                <w:tab w:val="left" w:pos="1152"/>
              </w:tabs>
              <w:spacing w:before="40" w:after="40" w:line="210" w:lineRule="exact"/>
              <w:ind w:left="113" w:right="40"/>
              <w:jc w:val="right"/>
              <w:rPr>
                <w:spacing w:val="4"/>
                <w:w w:val="103"/>
                <w:sz w:val="17"/>
                <w:szCs w:val="18"/>
                <w:lang w:val="es-ES_tradnl"/>
              </w:rPr>
            </w:pPr>
            <w:r w:rsidRPr="00231989">
              <w:rPr>
                <w:spacing w:val="4"/>
                <w:w w:val="103"/>
                <w:sz w:val="17"/>
                <w:szCs w:val="18"/>
                <w:lang w:val="es-ES_tradnl"/>
              </w:rPr>
              <w:t>34%</w:t>
            </w:r>
          </w:p>
        </w:tc>
      </w:tr>
      <w:tr w:rsidR="0038237D" w:rsidRPr="00231989" w:rsidTr="00231989">
        <w:trPr>
          <w:trHeight w:val="240"/>
        </w:trPr>
        <w:tc>
          <w:tcPr>
            <w:tcW w:w="2309" w:type="dxa"/>
            <w:tcBorders>
              <w:bottom w:val="single" w:sz="12" w:space="0" w:color="auto"/>
            </w:tcBorders>
            <w:shd w:val="clear" w:color="auto" w:fill="auto"/>
            <w:vAlign w:val="bottom"/>
          </w:tcPr>
          <w:p w:rsidR="0038237D" w:rsidRPr="00231989" w:rsidRDefault="0038237D" w:rsidP="00231989">
            <w:pPr>
              <w:pStyle w:val="SingleTxtG"/>
              <w:tabs>
                <w:tab w:val="left" w:pos="288"/>
                <w:tab w:val="left" w:pos="576"/>
                <w:tab w:val="left" w:pos="864"/>
                <w:tab w:val="left" w:pos="1152"/>
              </w:tabs>
              <w:spacing w:before="40" w:after="40" w:line="210" w:lineRule="exact"/>
              <w:ind w:left="0" w:right="40"/>
              <w:jc w:val="left"/>
              <w:rPr>
                <w:spacing w:val="4"/>
                <w:w w:val="103"/>
                <w:sz w:val="17"/>
                <w:szCs w:val="18"/>
                <w:lang w:val="es-ES_tradnl"/>
              </w:rPr>
            </w:pPr>
            <w:r w:rsidRPr="00231989">
              <w:rPr>
                <w:spacing w:val="4"/>
                <w:w w:val="103"/>
                <w:sz w:val="17"/>
                <w:szCs w:val="18"/>
                <w:lang w:val="es-ES_tradnl"/>
              </w:rPr>
              <w:t>Regiones</w:t>
            </w:r>
          </w:p>
        </w:tc>
        <w:tc>
          <w:tcPr>
            <w:tcW w:w="1687" w:type="dxa"/>
            <w:tcBorders>
              <w:bottom w:val="single" w:sz="12" w:space="0" w:color="auto"/>
            </w:tcBorders>
            <w:shd w:val="clear" w:color="auto" w:fill="auto"/>
            <w:vAlign w:val="bottom"/>
          </w:tcPr>
          <w:p w:rsidR="0038237D" w:rsidRPr="00231989" w:rsidRDefault="0038237D" w:rsidP="00231989">
            <w:pPr>
              <w:pStyle w:val="SingleTxtG"/>
              <w:tabs>
                <w:tab w:val="left" w:pos="288"/>
                <w:tab w:val="left" w:pos="576"/>
                <w:tab w:val="left" w:pos="864"/>
                <w:tab w:val="left" w:pos="1152"/>
              </w:tabs>
              <w:spacing w:before="40" w:after="40" w:line="210" w:lineRule="exact"/>
              <w:ind w:left="113" w:right="40"/>
              <w:jc w:val="right"/>
              <w:rPr>
                <w:spacing w:val="4"/>
                <w:w w:val="103"/>
                <w:sz w:val="17"/>
                <w:szCs w:val="18"/>
                <w:lang w:val="es-ES_tradnl"/>
              </w:rPr>
            </w:pPr>
            <w:r w:rsidRPr="00231989">
              <w:rPr>
                <w:spacing w:val="4"/>
                <w:w w:val="103"/>
                <w:sz w:val="17"/>
                <w:szCs w:val="18"/>
                <w:lang w:val="es-ES_tradnl"/>
              </w:rPr>
              <w:t>28%</w:t>
            </w:r>
          </w:p>
        </w:tc>
        <w:tc>
          <w:tcPr>
            <w:tcW w:w="1687" w:type="dxa"/>
            <w:tcBorders>
              <w:bottom w:val="single" w:sz="12" w:space="0" w:color="auto"/>
            </w:tcBorders>
            <w:shd w:val="clear" w:color="auto" w:fill="auto"/>
            <w:vAlign w:val="bottom"/>
          </w:tcPr>
          <w:p w:rsidR="0038237D" w:rsidRPr="00231989" w:rsidRDefault="0038237D" w:rsidP="00231989">
            <w:pPr>
              <w:pStyle w:val="SingleTxtG"/>
              <w:tabs>
                <w:tab w:val="left" w:pos="288"/>
                <w:tab w:val="left" w:pos="576"/>
                <w:tab w:val="left" w:pos="864"/>
                <w:tab w:val="left" w:pos="1152"/>
              </w:tabs>
              <w:spacing w:before="40" w:after="40" w:line="210" w:lineRule="exact"/>
              <w:ind w:left="113" w:right="40"/>
              <w:jc w:val="right"/>
              <w:rPr>
                <w:spacing w:val="4"/>
                <w:w w:val="103"/>
                <w:sz w:val="17"/>
                <w:szCs w:val="18"/>
                <w:lang w:val="es-ES_tradnl"/>
              </w:rPr>
            </w:pPr>
            <w:r w:rsidRPr="00231989">
              <w:rPr>
                <w:spacing w:val="4"/>
                <w:w w:val="103"/>
                <w:sz w:val="17"/>
                <w:szCs w:val="18"/>
                <w:lang w:val="es-ES_tradnl"/>
              </w:rPr>
              <w:t>44%</w:t>
            </w:r>
          </w:p>
        </w:tc>
        <w:tc>
          <w:tcPr>
            <w:tcW w:w="1687" w:type="dxa"/>
            <w:tcBorders>
              <w:bottom w:val="single" w:sz="12" w:space="0" w:color="auto"/>
            </w:tcBorders>
            <w:shd w:val="clear" w:color="auto" w:fill="auto"/>
            <w:vAlign w:val="bottom"/>
          </w:tcPr>
          <w:p w:rsidR="0038237D" w:rsidRPr="00231989" w:rsidRDefault="0038237D" w:rsidP="00231989">
            <w:pPr>
              <w:pStyle w:val="SingleTxtG"/>
              <w:tabs>
                <w:tab w:val="left" w:pos="288"/>
                <w:tab w:val="left" w:pos="576"/>
                <w:tab w:val="left" w:pos="864"/>
                <w:tab w:val="left" w:pos="1152"/>
              </w:tabs>
              <w:spacing w:before="40" w:after="40" w:line="210" w:lineRule="exact"/>
              <w:ind w:left="113" w:right="40"/>
              <w:jc w:val="right"/>
              <w:rPr>
                <w:spacing w:val="4"/>
                <w:w w:val="103"/>
                <w:sz w:val="17"/>
                <w:szCs w:val="18"/>
                <w:lang w:val="es-ES_tradnl"/>
              </w:rPr>
            </w:pPr>
            <w:r w:rsidRPr="00231989">
              <w:rPr>
                <w:spacing w:val="4"/>
                <w:w w:val="103"/>
                <w:sz w:val="17"/>
                <w:szCs w:val="18"/>
                <w:lang w:val="es-ES_tradnl"/>
              </w:rPr>
              <w:t>45%</w:t>
            </w:r>
          </w:p>
        </w:tc>
      </w:tr>
    </w:tbl>
    <w:p w:rsidR="00231989" w:rsidRPr="00231989" w:rsidRDefault="00231989" w:rsidP="00231989">
      <w:pPr>
        <w:pStyle w:val="SingleTxtG"/>
        <w:suppressAutoHyphens w:val="0"/>
        <w:spacing w:after="0" w:line="120" w:lineRule="exact"/>
        <w:ind w:firstLine="170"/>
        <w:jc w:val="left"/>
        <w:rPr>
          <w:i/>
          <w:sz w:val="10"/>
          <w:szCs w:val="18"/>
          <w:lang w:val="es-ES" w:eastAsia="es-ES"/>
        </w:rPr>
      </w:pPr>
      <w:bookmarkStart w:id="77" w:name="_Toc348513731"/>
      <w:bookmarkStart w:id="78" w:name="_Toc349720597"/>
      <w:bookmarkStart w:id="79" w:name="_Toc360096835"/>
    </w:p>
    <w:p w:rsidR="0038237D" w:rsidRPr="00BA1EAC" w:rsidRDefault="0038237D" w:rsidP="00231989">
      <w:pPr>
        <w:pStyle w:val="FootnoteText"/>
        <w:tabs>
          <w:tab w:val="clear" w:pos="418"/>
          <w:tab w:val="right" w:pos="1476"/>
          <w:tab w:val="left" w:pos="1548"/>
          <w:tab w:val="right" w:pos="1836"/>
          <w:tab w:val="left" w:pos="1908"/>
        </w:tabs>
        <w:ind w:left="1548" w:right="1267" w:hanging="288"/>
        <w:rPr>
          <w:lang w:eastAsia="es-ES"/>
        </w:rPr>
      </w:pPr>
      <w:r w:rsidRPr="00BA1EAC">
        <w:rPr>
          <w:i/>
          <w:lang w:eastAsia="es-ES"/>
        </w:rPr>
        <w:t xml:space="preserve">Fuente: </w:t>
      </w:r>
      <w:r w:rsidRPr="00BA1EAC">
        <w:rPr>
          <w:lang w:eastAsia="es-ES"/>
        </w:rPr>
        <w:t xml:space="preserve">Informes bianuales sobre la igualdad de género de municipios y regiones. </w:t>
      </w:r>
    </w:p>
    <w:p w:rsidR="00231989" w:rsidRPr="00231989" w:rsidRDefault="00231989" w:rsidP="00231989">
      <w:pPr>
        <w:pStyle w:val="SingleTxt"/>
        <w:suppressAutoHyphens/>
        <w:spacing w:after="0" w:line="120" w:lineRule="exact"/>
        <w:rPr>
          <w:sz w:val="10"/>
          <w:lang w:val="es-ES_tradnl"/>
        </w:rPr>
      </w:pPr>
      <w:bookmarkStart w:id="80" w:name="_Toc348513732"/>
      <w:bookmarkStart w:id="81" w:name="_Toc349720598"/>
      <w:bookmarkStart w:id="82" w:name="_Toc360096836"/>
      <w:bookmarkEnd w:id="77"/>
      <w:bookmarkEnd w:id="78"/>
      <w:bookmarkEnd w:id="79"/>
    </w:p>
    <w:p w:rsidR="00231989" w:rsidRPr="00231989" w:rsidRDefault="00231989" w:rsidP="00231989">
      <w:pPr>
        <w:pStyle w:val="SingleTxt"/>
        <w:suppressAutoHyphens/>
        <w:spacing w:after="0" w:line="120" w:lineRule="exact"/>
        <w:rPr>
          <w:sz w:val="10"/>
          <w:lang w:val="es-ES_tradnl"/>
        </w:rPr>
      </w:pPr>
    </w:p>
    <w:p w:rsidR="0038237D" w:rsidRPr="00EA0AB9" w:rsidRDefault="0038237D" w:rsidP="002319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La mujer en la gestión y en las juntas de dirección</w:t>
      </w:r>
    </w:p>
    <w:p w:rsidR="00231989" w:rsidRPr="00231989" w:rsidRDefault="00231989" w:rsidP="00231989">
      <w:pPr>
        <w:pStyle w:val="SingleTxt"/>
        <w:suppressAutoHyphens/>
        <w:spacing w:after="0" w:line="120" w:lineRule="exact"/>
        <w:rPr>
          <w:sz w:val="10"/>
        </w:rPr>
      </w:pPr>
      <w:bookmarkStart w:id="83" w:name="_Toc348513733"/>
      <w:bookmarkStart w:id="84" w:name="_Toc349720599"/>
      <w:bookmarkStart w:id="85" w:name="_Toc360096837"/>
      <w:bookmarkStart w:id="86" w:name="PCAStart"/>
      <w:bookmarkEnd w:id="80"/>
      <w:bookmarkEnd w:id="81"/>
      <w:bookmarkEnd w:id="82"/>
    </w:p>
    <w:p w:rsidR="0038237D" w:rsidRPr="00EA0AB9" w:rsidRDefault="00231989" w:rsidP="00231989">
      <w:pPr>
        <w:pStyle w:val="SingleTxt"/>
        <w:suppressAutoHyphens/>
        <w:rPr>
          <w:lang w:val="es-ES_tradnl"/>
        </w:rPr>
      </w:pPr>
      <w:r>
        <w:tab/>
      </w:r>
      <w:r w:rsidR="0038237D" w:rsidRPr="00EA0AB9">
        <w:t>El Gobierno está decidido a lograr que un mayor número de mujeres ocupe puestos de gestión, ya que las mujeres siguen estando insuficientemente representadas en los altos cargos empresariales y en las juntas de dirección en el sector público y en el privado.</w:t>
      </w:r>
      <w:r w:rsidR="0038237D" w:rsidRPr="00EA0AB9">
        <w:rPr>
          <w:lang w:val="es-ES_tradnl"/>
        </w:rPr>
        <w:t xml:space="preserve"> La proporción de Directoras Generales en las empresas privadas es solo del 6,5% y la proporción de mujeres en las juntas de dirección de las principales empresas que cotizan en bolsa se sitúa por debajo del 12%. Durante los últimos diez años, los esfuerzos por mejorar el acceso de la mujer a los puestos de gestión y a las juntas de las empresas se han basado en diversas iniciativas voluntarias.</w:t>
      </w:r>
      <w:r w:rsidR="0038237D">
        <w:rPr>
          <w:lang w:val="es-ES_tradnl"/>
        </w:rPr>
        <w:t xml:space="preserve"> </w:t>
      </w:r>
    </w:p>
    <w:bookmarkEnd w:id="83"/>
    <w:bookmarkEnd w:id="84"/>
    <w:bookmarkEnd w:id="85"/>
    <w:bookmarkEnd w:id="86"/>
    <w:p w:rsidR="0038237D" w:rsidRPr="00EA0AB9" w:rsidRDefault="00231989" w:rsidP="00231989">
      <w:pPr>
        <w:pStyle w:val="SingleTxt"/>
        <w:suppressAutoHyphens/>
        <w:rPr>
          <w:lang w:val="es-ES_tradnl"/>
        </w:rPr>
      </w:pPr>
      <w:r>
        <w:rPr>
          <w:lang w:val="es-ES_tradnl"/>
        </w:rPr>
        <w:tab/>
      </w:r>
      <w:r w:rsidR="0038237D" w:rsidRPr="00EA0AB9">
        <w:rPr>
          <w:lang w:val="es-ES_tradnl"/>
        </w:rPr>
        <w:t xml:space="preserve">La Ministra de la Igualdad entre los Géneros, en colaboración con la Confederación de Industrias Danesas, creó </w:t>
      </w:r>
      <w:r w:rsidR="0038237D" w:rsidRPr="00EA0AB9">
        <w:rPr>
          <w:u w:val="single"/>
          <w:lang w:val="es-ES_tradnl"/>
        </w:rPr>
        <w:t>tres cuerpos de embajadores para promover la presencia de la mujer en puestos de gestión (2007-2011)</w:t>
      </w:r>
      <w:r w:rsidR="0038237D" w:rsidRPr="00EA0AB9">
        <w:rPr>
          <w:lang w:val="es-ES_tradnl"/>
        </w:rPr>
        <w:t xml:space="preserve">. Los cuerpos estaban formados por altos directivos de grandes empresas danesas bien conocidas. </w:t>
      </w:r>
      <w:r w:rsidR="0038237D" w:rsidRPr="00EA0AB9">
        <w:rPr>
          <w:u w:val="single"/>
          <w:lang w:val="es-ES_tradnl"/>
        </w:rPr>
        <w:t>La Carta para promover la presencia de la mujer en puestos de gestión entre 2008 y enero de 2013</w:t>
      </w:r>
      <w:r w:rsidR="0038237D" w:rsidRPr="00EA0AB9">
        <w:rPr>
          <w:lang w:val="es-ES_tradnl"/>
        </w:rPr>
        <w:t xml:space="preserve">: las evaluaciones de la carta en 2010 y 2011 demuestran que algunas de las empresas trabajan muy en serio en la elaboración de políticas y el establecimiento de objetivos y cifras objetivo en relación con el aumento del número de mujeres en los puestos de gestión. </w:t>
      </w:r>
      <w:r w:rsidR="0038237D" w:rsidRPr="00EA0AB9">
        <w:rPr>
          <w:u w:val="single"/>
          <w:lang w:val="es-ES_tradnl"/>
        </w:rPr>
        <w:t>La Operación Reacción en Cadena (ORC) entre 2010 y enero de 2013</w:t>
      </w:r>
      <w:r w:rsidR="0038237D" w:rsidRPr="00EA0AB9">
        <w:rPr>
          <w:lang w:val="es-ES_tradnl"/>
        </w:rPr>
        <w:t xml:space="preserve">, con la finalidad de lograr que un mayor número de mujeres ocupen puestos en las juntas de dirección de las principales empresas que cotizan en bolsa de Dinamarca. Cincuenta y cinco empresas de gran prestigio han firmado la ORC. Las cifras de diciembre de 2011 mostraban que en el 34% de estas empresas ha aumentado el número de mujeres miembros de las juntas de dirección. </w:t>
      </w:r>
      <w:r w:rsidR="0038237D" w:rsidRPr="00EA0AB9">
        <w:rPr>
          <w:u w:val="single"/>
          <w:lang w:val="es-ES_tradnl"/>
        </w:rPr>
        <w:t>Un Comité Danés sobre la Gobernanza de la Empresa</w:t>
      </w:r>
      <w:r w:rsidR="0038237D" w:rsidRPr="00EA0AB9">
        <w:rPr>
          <w:lang w:val="es-ES_tradnl"/>
        </w:rPr>
        <w:t xml:space="preserve"> ha presentado recomendaciones sobre la gobernanza de la empresa para promover la diversidad en las juntas de dirección, también en relación con el género. </w:t>
      </w:r>
    </w:p>
    <w:p w:rsidR="0038237D" w:rsidRPr="00EA0AB9" w:rsidRDefault="0038237D"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1" w:hanging="1267"/>
        <w:rPr>
          <w:lang w:val="es-ES_tradnl"/>
        </w:rPr>
      </w:pPr>
      <w:r>
        <w:rPr>
          <w:lang w:val="es-ES_tradnl"/>
        </w:rPr>
        <w:tab/>
      </w:r>
      <w:r>
        <w:rPr>
          <w:lang w:val="es-ES_tradnl"/>
        </w:rPr>
        <w:tab/>
      </w:r>
      <w:r w:rsidRPr="00EA0AB9">
        <w:rPr>
          <w:lang w:val="es-ES_tradnl"/>
        </w:rPr>
        <w:t>Nueva legislación en relación con la mujer en las juntas de dirección y los puestos de gestión de las empresas</w:t>
      </w:r>
    </w:p>
    <w:p w:rsidR="00231989" w:rsidRPr="00231989" w:rsidRDefault="00231989" w:rsidP="00231989">
      <w:pPr>
        <w:pStyle w:val="SingleTxt"/>
        <w:suppressAutoHyphens/>
        <w:spacing w:after="0" w:line="120" w:lineRule="exact"/>
        <w:rPr>
          <w:sz w:val="10"/>
          <w:lang w:val="es-ES_tradnl"/>
        </w:rPr>
      </w:pPr>
      <w:bookmarkStart w:id="87" w:name="_Toc348513735"/>
      <w:bookmarkStart w:id="88" w:name="_Toc360096839"/>
      <w:bookmarkStart w:id="89" w:name="_Toc199929065"/>
      <w:bookmarkStart w:id="90" w:name="_Toc348513734"/>
      <w:bookmarkStart w:id="91" w:name="_Toc360096838"/>
    </w:p>
    <w:p w:rsidR="0038237D" w:rsidRPr="00EA0AB9" w:rsidRDefault="0060345A" w:rsidP="00231989">
      <w:pPr>
        <w:pStyle w:val="SingleTxt"/>
        <w:suppressAutoHyphens/>
        <w:rPr>
          <w:lang w:val="es-ES_tradnl"/>
        </w:rPr>
      </w:pPr>
      <w:r>
        <w:rPr>
          <w:lang w:val="es-ES_tradnl"/>
        </w:rPr>
        <w:tab/>
      </w:r>
      <w:r w:rsidR="0038237D" w:rsidRPr="00EA0AB9">
        <w:rPr>
          <w:lang w:val="es-ES_tradnl"/>
        </w:rPr>
        <w:t>El enfoque voluntario ha tenido una influencia positiva en el desarrollo en Dinamarca, pero todavía queda margen de mejora; en consecuencia, el 14 de diciembre de 2012 se aprobó en el Parlamento el proyecto de ley del Gobierno para aumentar la presencia de la mujer en las juntas de dirección y los puestos de gestión de las empresas. El modelo consta de cuatro elementos, dirigidos tanto a las empresas del sector privado como a las empresas del sector público:</w:t>
      </w:r>
      <w:r w:rsidR="0038237D">
        <w:rPr>
          <w:lang w:val="es-ES_tradnl"/>
        </w:rPr>
        <w:t xml:space="preserve"> </w:t>
      </w:r>
      <w:r w:rsidR="0038237D" w:rsidRPr="00EA0AB9">
        <w:rPr>
          <w:lang w:val="es-ES_tradnl"/>
        </w:rPr>
        <w:t xml:space="preserve">1) Las aproximadamente 1.100 empresas más grandes están obligadas a fijar una </w:t>
      </w:r>
      <w:r w:rsidR="0038237D" w:rsidRPr="00EA0AB9">
        <w:rPr>
          <w:i/>
          <w:lang w:val="es-ES_tradnl"/>
        </w:rPr>
        <w:t>cifra objetivo</w:t>
      </w:r>
      <w:r w:rsidR="0038237D" w:rsidRPr="00EA0AB9">
        <w:rPr>
          <w:lang w:val="es-ES_tradnl"/>
        </w:rPr>
        <w:t xml:space="preserve"> con respecto a la proporción del género insuficientemente representado en el órgano de gestión superior (junta de directores o similar); 2) Las aproximadamente 1.100 empresas más grandes deben disponer de una </w:t>
      </w:r>
      <w:r w:rsidR="0038237D" w:rsidRPr="00EA0AB9">
        <w:rPr>
          <w:i/>
          <w:lang w:val="es-ES_tradnl"/>
        </w:rPr>
        <w:t xml:space="preserve">política </w:t>
      </w:r>
      <w:r w:rsidR="0038237D" w:rsidRPr="00EA0AB9">
        <w:rPr>
          <w:lang w:val="es-ES_tradnl"/>
        </w:rPr>
        <w:t xml:space="preserve">para incrementar la proporción del género insuficientemente representado en los niveles de gestión de las empresas en general; 3) Las empresas deben </w:t>
      </w:r>
      <w:r w:rsidR="0038237D" w:rsidRPr="00EA0AB9">
        <w:rPr>
          <w:i/>
          <w:lang w:val="es-ES_tradnl"/>
        </w:rPr>
        <w:t>informar</w:t>
      </w:r>
      <w:r w:rsidR="0038237D" w:rsidRPr="00EA0AB9">
        <w:rPr>
          <w:lang w:val="es-ES_tradnl"/>
        </w:rPr>
        <w:t xml:space="preserve"> sobre el grado de cumplimiento del objetivo establecido en el informe anual, incluyendo, en su caso, las razones por las que no han logrado alcanzar el objetivo establecido. Además, las empresas deben explicar en el informe anual la política, cómo se aplica y qué resultados se han conseguido. Si no lo hacen, pueden recibir una multa; 4) Independientemente de su tamaño, las empresas estatales deben fijar objetivos y elaborar una política para incrementar el porcentaje de mujeres en los puestos de gestión. Se alienta a las autoridades locales y regionales a preparar directrices comunes sobre cómo incrementar el porcentaje de mujeres en los puestos de gestión a nivel regional o local.</w:t>
      </w:r>
    </w:p>
    <w:bookmarkEnd w:id="87"/>
    <w:bookmarkEnd w:id="88"/>
    <w:bookmarkEnd w:id="89"/>
    <w:bookmarkEnd w:id="90"/>
    <w:bookmarkEnd w:id="91"/>
    <w:p w:rsidR="0060345A" w:rsidRPr="0060345A" w:rsidRDefault="0060345A" w:rsidP="0060345A">
      <w:pPr>
        <w:pStyle w:val="SingleTxt"/>
        <w:suppressAutoHyphens/>
        <w:spacing w:after="0" w:line="120" w:lineRule="exact"/>
        <w:rPr>
          <w:sz w:val="10"/>
          <w:lang w:val="es-ES_tradnl"/>
        </w:rPr>
      </w:pPr>
    </w:p>
    <w:p w:rsidR="0038237D" w:rsidRPr="00EA0AB9" w:rsidRDefault="0038237D" w:rsidP="006034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La mujer en las Fuerzas Armadas</w:t>
      </w:r>
    </w:p>
    <w:p w:rsidR="0060345A" w:rsidRPr="0060345A" w:rsidRDefault="0060345A" w:rsidP="0060345A">
      <w:pPr>
        <w:pStyle w:val="SingleTxt"/>
        <w:suppressAutoHyphens/>
        <w:spacing w:after="0" w:line="120" w:lineRule="exact"/>
        <w:rPr>
          <w:sz w:val="10"/>
          <w:lang w:val="es-ES_tradnl"/>
        </w:rPr>
      </w:pPr>
    </w:p>
    <w:p w:rsidR="0038237D" w:rsidRPr="00EA0AB9" w:rsidRDefault="0060345A" w:rsidP="0060345A">
      <w:pPr>
        <w:pStyle w:val="SingleTxt"/>
        <w:suppressAutoHyphens/>
        <w:rPr>
          <w:lang w:val="es-ES_tradnl"/>
        </w:rPr>
      </w:pPr>
      <w:r>
        <w:rPr>
          <w:lang w:val="es-ES_tradnl"/>
        </w:rPr>
        <w:tab/>
      </w:r>
      <w:r w:rsidR="0038237D" w:rsidRPr="00EA0AB9">
        <w:rPr>
          <w:lang w:val="es-ES_tradnl"/>
        </w:rPr>
        <w:t>Desde 2006, se invita a las jóvenes de 18 años a participar en el Día de las Fuerzas Armadas junto con los jóvenes de la misma edad (para obtener más información, consúltese el séptimo informe periódico). La iniciativa ha demostrado ser una manera eficaz de mejorar el reclutamiento de mujeres para el servicio militar. En 2007, 419 de los 6.119 alistados eran mujeres, lo que representa un aumento del 100% con respecto a 2006. Del mismo modo, se observa un aumento significativo de las mujeres que solicitaron el alistamiento en 2012, concretamente, 879 mujeres de un total de 4.901 alistados. El interés en el reclutamiento y la retención de las mujeres en las Fuerzas Armadas se puso de relieve con la publicación, en abril de 2011, de la Política sobre Diversidad del Ministerio de Defensa, que establece una serie de iniciativas para retener a las mujeres en las Fuerzas Armadas, entre las que se incluyen la sensibilización sobre los niveles de gestión, la elaboración de planes de acción y análisis de las posibilidades de las trayectorias profesionales diferenciadas. Cabe esperar que estas iniciativas mejoren el reclutamiento y la retención de las mujeres en las Fuerzas Armadas.</w:t>
      </w:r>
    </w:p>
    <w:p w:rsidR="0060345A" w:rsidRPr="0060345A" w:rsidRDefault="0060345A" w:rsidP="0060345A">
      <w:pPr>
        <w:pStyle w:val="SingleTxt"/>
        <w:suppressAutoHyphens/>
        <w:spacing w:after="0" w:line="120" w:lineRule="exact"/>
        <w:rPr>
          <w:sz w:val="10"/>
        </w:rPr>
      </w:pPr>
    </w:p>
    <w:p w:rsidR="0060345A" w:rsidRPr="0060345A" w:rsidRDefault="0060345A" w:rsidP="0060345A">
      <w:pPr>
        <w:pStyle w:val="SingleTxt"/>
        <w:suppressAutoHyphens/>
        <w:spacing w:after="0" w:line="120" w:lineRule="exact"/>
        <w:rPr>
          <w:sz w:val="10"/>
        </w:rPr>
      </w:pPr>
    </w:p>
    <w:p w:rsidR="0038237D" w:rsidRPr="000739A7" w:rsidRDefault="0038237D" w:rsidP="006034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39A7">
        <w:tab/>
      </w:r>
      <w:r w:rsidRPr="000739A7">
        <w:tab/>
        <w:t>Artículo 8: Representación del Gobierno. Embajadoras</w:t>
      </w:r>
    </w:p>
    <w:p w:rsidR="0060345A" w:rsidRPr="0060345A" w:rsidRDefault="0060345A" w:rsidP="0060345A">
      <w:pPr>
        <w:pStyle w:val="SingleTxt"/>
        <w:suppressAutoHyphens/>
        <w:spacing w:after="0" w:line="120" w:lineRule="exact"/>
        <w:rPr>
          <w:sz w:val="10"/>
          <w:lang w:val="es-ES_tradnl"/>
        </w:rPr>
      </w:pPr>
    </w:p>
    <w:p w:rsidR="0060345A" w:rsidRPr="0060345A" w:rsidRDefault="0060345A" w:rsidP="0060345A">
      <w:pPr>
        <w:pStyle w:val="SingleTxt"/>
        <w:suppressAutoHyphens/>
        <w:spacing w:after="0" w:line="120" w:lineRule="exact"/>
        <w:rPr>
          <w:sz w:val="10"/>
          <w:lang w:val="es-ES_tradnl"/>
        </w:rPr>
      </w:pPr>
    </w:p>
    <w:p w:rsidR="0038237D" w:rsidRPr="00EA0AB9" w:rsidRDefault="0060345A" w:rsidP="0060345A">
      <w:pPr>
        <w:pStyle w:val="SingleTxt"/>
        <w:suppressAutoHyphens/>
        <w:rPr>
          <w:lang w:val="es-ES_tradnl"/>
        </w:rPr>
      </w:pPr>
      <w:r>
        <w:rPr>
          <w:lang w:val="es-ES_tradnl"/>
        </w:rPr>
        <w:tab/>
      </w:r>
      <w:r w:rsidR="0038237D" w:rsidRPr="00EA0AB9">
        <w:rPr>
          <w:lang w:val="es-ES_tradnl"/>
        </w:rPr>
        <w:t xml:space="preserve">Las mujeres tienen los mismos derechos y oportunidades que los hombres de representar al Gobierno danés en el plano internacional. El Ministerio de Relaciones Exteriores cuenta con 2.540 empleados (incluyendo todas las categorías de personal, por ejemplo, también los auxiliares estudiantiles a tiempo parcial), 855 de los cuales trabajan en Copenhague. Si se descuenta el personal contratado localmente, el Ministerio de Relaciones Exteriores cuenta con 1.281 empleados. En enero de 2013, las mujeres representaban el 49% de todo el personal no contratado localmente. Setecientos diez miembros del personal no contratado localmente (excluyendo al personal directivo) tenían un título académico. El 42% de estos miembros del personal eran mujeres. </w:t>
      </w:r>
    </w:p>
    <w:p w:rsidR="0038237D" w:rsidRPr="00EA0AB9" w:rsidRDefault="0060345A" w:rsidP="0060345A">
      <w:pPr>
        <w:pStyle w:val="SingleTxt"/>
        <w:suppressAutoHyphens/>
        <w:rPr>
          <w:lang w:val="es-ES_tradnl"/>
        </w:rPr>
      </w:pPr>
      <w:r>
        <w:rPr>
          <w:lang w:val="es-ES_tradnl"/>
        </w:rPr>
        <w:tab/>
      </w:r>
      <w:r w:rsidR="0038237D" w:rsidRPr="00EA0AB9">
        <w:rPr>
          <w:lang w:val="es-ES_tradnl"/>
        </w:rPr>
        <w:t>El número de mujeres en cargos superiores está aumentando de forma constante. Entre el personal directivo (jefe de departamento o embajador), la proporción de mujeres ha pasado del 19% en 2007 al 24% en 2013. En la última ronda de nombramiento de embajadores y jefes de departamento, el 30% de los puestos fueron para mujeres. Sin embargo, únicamente el 18% de los solicitantes eran mujeres.</w:t>
      </w:r>
    </w:p>
    <w:p w:rsidR="0060345A" w:rsidRPr="0060345A" w:rsidRDefault="0060345A" w:rsidP="0060345A">
      <w:pPr>
        <w:pStyle w:val="SingleTxt"/>
        <w:suppressAutoHyphens/>
        <w:spacing w:after="0" w:line="120" w:lineRule="exact"/>
        <w:rPr>
          <w:sz w:val="10"/>
        </w:rPr>
      </w:pPr>
      <w:bookmarkStart w:id="92" w:name="AJSTART"/>
      <w:bookmarkStart w:id="93" w:name="_Toc349720602"/>
      <w:bookmarkStart w:id="94" w:name="_Toc360096840"/>
    </w:p>
    <w:p w:rsidR="0060345A" w:rsidRPr="0060345A" w:rsidRDefault="0060345A" w:rsidP="0060345A">
      <w:pPr>
        <w:pStyle w:val="SingleTxt"/>
        <w:suppressAutoHyphens/>
        <w:spacing w:after="0" w:line="120" w:lineRule="exact"/>
        <w:rPr>
          <w:sz w:val="10"/>
        </w:rPr>
      </w:pPr>
    </w:p>
    <w:p w:rsidR="0038237D" w:rsidRPr="000739A7" w:rsidRDefault="0060345A" w:rsidP="006034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8237D" w:rsidRPr="000739A7">
        <w:t>Artículo 9: Ciudadanía/Nacionalidad</w:t>
      </w:r>
    </w:p>
    <w:p w:rsidR="0060345A" w:rsidRPr="0060345A" w:rsidRDefault="0060345A" w:rsidP="0060345A">
      <w:pPr>
        <w:pStyle w:val="SingleTxt"/>
        <w:suppressAutoHyphens/>
        <w:spacing w:after="0" w:line="120" w:lineRule="exact"/>
        <w:rPr>
          <w:sz w:val="10"/>
          <w:lang w:val="es-ES_tradnl"/>
        </w:rPr>
      </w:pPr>
      <w:bookmarkStart w:id="95" w:name="_Toc348513738"/>
      <w:bookmarkStart w:id="96" w:name="_Toc349720604"/>
      <w:bookmarkStart w:id="97" w:name="_Toc360096842"/>
      <w:bookmarkStart w:id="98" w:name="_Toc348513737"/>
      <w:bookmarkStart w:id="99" w:name="_Toc349720603"/>
      <w:bookmarkStart w:id="100" w:name="_Toc360096841"/>
      <w:bookmarkEnd w:id="92"/>
      <w:bookmarkEnd w:id="93"/>
      <w:bookmarkEnd w:id="94"/>
    </w:p>
    <w:p w:rsidR="0060345A" w:rsidRPr="0060345A" w:rsidRDefault="0060345A" w:rsidP="0060345A">
      <w:pPr>
        <w:pStyle w:val="SingleTxt"/>
        <w:suppressAutoHyphens/>
        <w:spacing w:after="0" w:line="120" w:lineRule="exact"/>
        <w:rPr>
          <w:sz w:val="10"/>
          <w:lang w:val="es-ES_tradnl"/>
        </w:rPr>
      </w:pPr>
    </w:p>
    <w:p w:rsidR="0038237D" w:rsidRPr="00EA0AB9" w:rsidRDefault="0060345A" w:rsidP="0060345A">
      <w:pPr>
        <w:pStyle w:val="SingleTxt"/>
        <w:suppressAutoHyphens/>
        <w:rPr>
          <w:lang w:val="es-ES_tradnl"/>
        </w:rPr>
      </w:pPr>
      <w:r>
        <w:rPr>
          <w:lang w:val="es-ES_tradnl"/>
        </w:rPr>
        <w:tab/>
      </w:r>
      <w:r w:rsidR="0038237D" w:rsidRPr="00EA0AB9">
        <w:rPr>
          <w:lang w:val="es-ES_tradnl"/>
        </w:rPr>
        <w:t>Como se afirma en informes anteriores, la Ley de la nacionalidad danesa está en total conformidad con el artículo 9 de la Convención. Así, las normas sobre nacionalidad de Dinamarca no incluyen disposiciones relativas a la pérdida automática de la nacionalidad al contraer matrimonio o en el caso de que el cónyuge cambie de nacionalidad. Además, no hace distinción alguna entre mujeres y hombres en relación con la pérdida de la nacionalidad danesa.</w:t>
      </w:r>
    </w:p>
    <w:bookmarkEnd w:id="95"/>
    <w:bookmarkEnd w:id="96"/>
    <w:bookmarkEnd w:id="97"/>
    <w:bookmarkEnd w:id="98"/>
    <w:bookmarkEnd w:id="99"/>
    <w:bookmarkEnd w:id="100"/>
    <w:p w:rsidR="0038237D" w:rsidRPr="00EA0AB9" w:rsidRDefault="0060345A" w:rsidP="0060345A">
      <w:pPr>
        <w:pStyle w:val="SingleTxt"/>
        <w:suppressAutoHyphens/>
        <w:rPr>
          <w:lang w:val="es-ES_tradnl"/>
        </w:rPr>
      </w:pPr>
      <w:r>
        <w:rPr>
          <w:lang w:val="es-ES_tradnl"/>
        </w:rPr>
        <w:tab/>
      </w:r>
      <w:r w:rsidR="0038237D" w:rsidRPr="00EA0AB9">
        <w:rPr>
          <w:lang w:val="es-ES_tradnl"/>
        </w:rPr>
        <w:t>En relación con el párrafo 2, un niño adquirirá la nacionalidad danesa si ha nacido de padre danés o de madre danesa. Si los padres no están casados en el momento del nacimiento y únicamente el padre es danés, el niño solo adquirirá la nacionalidad danesa si ha nacido en Dinamarca.</w:t>
      </w:r>
    </w:p>
    <w:p w:rsidR="0060345A" w:rsidRPr="0060345A" w:rsidRDefault="0060345A" w:rsidP="006034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0345A" w:rsidRPr="0060345A" w:rsidRDefault="0060345A" w:rsidP="006034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8237D" w:rsidRDefault="0038237D" w:rsidP="006034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1EAC">
        <w:tab/>
      </w:r>
      <w:r w:rsidRPr="00BA1EAC">
        <w:tab/>
        <w:t>Capítulo 3: Educación</w:t>
      </w:r>
    </w:p>
    <w:p w:rsidR="0060345A" w:rsidRPr="0060345A" w:rsidRDefault="0060345A" w:rsidP="0060345A">
      <w:pPr>
        <w:pStyle w:val="SingleTxt"/>
        <w:suppressAutoHyphens/>
        <w:spacing w:after="0" w:line="120" w:lineRule="exact"/>
        <w:rPr>
          <w:sz w:val="10"/>
        </w:rPr>
      </w:pPr>
    </w:p>
    <w:p w:rsidR="0060345A" w:rsidRPr="0060345A" w:rsidRDefault="0060345A" w:rsidP="0060345A">
      <w:pPr>
        <w:pStyle w:val="SingleTxt"/>
        <w:suppressAutoHyphens/>
        <w:spacing w:after="0" w:line="120" w:lineRule="exact"/>
        <w:rPr>
          <w:sz w:val="10"/>
        </w:rPr>
      </w:pPr>
    </w:p>
    <w:p w:rsidR="0038237D" w:rsidRPr="000739A7" w:rsidRDefault="0038237D" w:rsidP="006034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39A7">
        <w:tab/>
      </w:r>
      <w:r w:rsidRPr="000739A7">
        <w:tab/>
        <w:t>Artículo 10: El sistema educativo y el género en general</w:t>
      </w:r>
    </w:p>
    <w:p w:rsidR="0060345A" w:rsidRPr="0060345A" w:rsidRDefault="0060345A" w:rsidP="0060345A">
      <w:pPr>
        <w:pStyle w:val="SingleTxt"/>
        <w:suppressAutoHyphens/>
        <w:spacing w:after="0" w:line="120" w:lineRule="exact"/>
        <w:rPr>
          <w:sz w:val="10"/>
          <w:lang w:val="es-ES_tradnl"/>
        </w:rPr>
      </w:pPr>
    </w:p>
    <w:p w:rsidR="0060345A" w:rsidRPr="0060345A" w:rsidRDefault="0060345A" w:rsidP="0060345A">
      <w:pPr>
        <w:pStyle w:val="SingleTxt"/>
        <w:suppressAutoHyphens/>
        <w:spacing w:after="0" w:line="120" w:lineRule="exact"/>
        <w:rPr>
          <w:sz w:val="10"/>
          <w:lang w:val="es-ES_tradnl"/>
        </w:rPr>
      </w:pPr>
    </w:p>
    <w:p w:rsidR="0038237D" w:rsidRPr="00EA0AB9" w:rsidRDefault="0038237D" w:rsidP="006034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El sistema educativo y el género en general</w:t>
      </w:r>
    </w:p>
    <w:p w:rsidR="0060345A" w:rsidRPr="0060345A" w:rsidRDefault="0060345A" w:rsidP="0060345A">
      <w:pPr>
        <w:pStyle w:val="SingleTxt"/>
        <w:suppressAutoHyphens/>
        <w:spacing w:after="0" w:line="120" w:lineRule="exact"/>
        <w:rPr>
          <w:sz w:val="10"/>
          <w:lang w:val="es-ES_tradnl"/>
        </w:rPr>
      </w:pPr>
    </w:p>
    <w:p w:rsidR="0038237D" w:rsidRPr="00EA0AB9" w:rsidRDefault="0060345A" w:rsidP="0060345A">
      <w:pPr>
        <w:pStyle w:val="SingleTxt"/>
        <w:suppressAutoHyphens/>
        <w:rPr>
          <w:lang w:val="es-ES_tradnl"/>
        </w:rPr>
      </w:pPr>
      <w:r>
        <w:rPr>
          <w:lang w:val="es-ES_tradnl"/>
        </w:rPr>
        <w:tab/>
      </w:r>
      <w:r w:rsidR="0038237D" w:rsidRPr="00EA0AB9">
        <w:rPr>
          <w:lang w:val="es-ES_tradnl"/>
        </w:rPr>
        <w:t xml:space="preserve">En el sector educativo, el requisito previo general es la igualdad, con independencia del género y el origen étnico. Todas las oportunidades educativas están abiertas a todos los ciudadanos. Las mujeres obtienen mejores resultados que los hombres en el sistema educativo de Dinamarca (gráfico 1). Se espera que el 88% de las mujeres que se graduaron en la escuela primaria de Dinamarca en 2011 consigan una calificación profesional. En el caso de los hombres, se espera que lo haga el 81%. Independientemente del origen étnico, las mujeres obtienen mejores resultados que los hombres a la hora de lograr una calificación profesional. </w:t>
      </w:r>
    </w:p>
    <w:p w:rsidR="00DA206B" w:rsidRPr="00DA206B" w:rsidRDefault="00DA206B" w:rsidP="00DA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eastAsia="es-ES"/>
        </w:rPr>
      </w:pPr>
    </w:p>
    <w:p w:rsidR="00DA206B" w:rsidRPr="00DA206B" w:rsidRDefault="00DA206B" w:rsidP="00DA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eastAsia="es-ES"/>
        </w:rPr>
      </w:pPr>
    </w:p>
    <w:p w:rsidR="0038237D" w:rsidRPr="00555EFD" w:rsidRDefault="00DA206B" w:rsidP="00555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eastAsia="es-ES"/>
        </w:rPr>
      </w:pPr>
      <w:r>
        <w:rPr>
          <w:lang w:val="es-ES_tradnl" w:eastAsia="es-ES"/>
        </w:rPr>
        <w:br w:type="page"/>
      </w:r>
      <w:r w:rsidR="00555EFD">
        <w:rPr>
          <w:lang w:val="es-ES_tradnl" w:eastAsia="es-ES"/>
        </w:rPr>
        <w:tab/>
      </w:r>
      <w:r w:rsidR="00555EFD">
        <w:rPr>
          <w:lang w:val="es-ES_tradnl" w:eastAsia="es-ES"/>
        </w:rPr>
        <w:tab/>
      </w:r>
      <w:r w:rsidR="0038237D" w:rsidRPr="00555EFD">
        <w:rPr>
          <w:b w:val="0"/>
          <w:lang w:val="es-ES_tradnl" w:eastAsia="es-ES"/>
        </w:rPr>
        <w:t>Gráfico 1</w:t>
      </w:r>
    </w:p>
    <w:p w:rsidR="0038237D" w:rsidRDefault="00555EFD" w:rsidP="00555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rPr>
          <w:lang w:val="es-ES_tradnl" w:eastAsia="es-ES"/>
        </w:rPr>
      </w:pPr>
      <w:r>
        <w:rPr>
          <w:lang w:val="es-ES_tradnl" w:eastAsia="es-ES"/>
        </w:rPr>
        <w:tab/>
      </w:r>
      <w:r>
        <w:rPr>
          <w:lang w:val="es-ES_tradnl" w:eastAsia="es-ES"/>
        </w:rPr>
        <w:tab/>
      </w:r>
      <w:r w:rsidR="0038237D" w:rsidRPr="00BA1EAC">
        <w:rPr>
          <w:lang w:val="es-ES_tradnl" w:eastAsia="es-ES"/>
        </w:rPr>
        <w:t>Calificaciones educativas finales previstas para una cohorte de jóvenes de noveno curso, por género, 2011</w:t>
      </w:r>
    </w:p>
    <w:p w:rsidR="00555EFD" w:rsidRPr="00555EFD" w:rsidRDefault="00555EFD" w:rsidP="00555EFD">
      <w:pPr>
        <w:pStyle w:val="SingleTxt"/>
        <w:spacing w:after="0" w:line="120" w:lineRule="exact"/>
        <w:rPr>
          <w:sz w:val="10"/>
          <w:lang w:val="es-ES_tradnl" w:eastAsia="es-ES"/>
        </w:rPr>
      </w:pPr>
    </w:p>
    <w:p w:rsidR="00555EFD" w:rsidRPr="00555EFD" w:rsidRDefault="00555EFD" w:rsidP="00555EFD">
      <w:pPr>
        <w:pStyle w:val="SingleTxt"/>
        <w:spacing w:after="0" w:line="120" w:lineRule="exact"/>
        <w:rPr>
          <w:sz w:val="10"/>
          <w:lang w:val="es-ES_tradnl" w:eastAsia="es-ES"/>
        </w:rPr>
      </w:pPr>
    </w:p>
    <w:p w:rsidR="00CC062C" w:rsidRPr="00CC062C" w:rsidRDefault="00CC062C" w:rsidP="00CC062C">
      <w:pPr>
        <w:pStyle w:val="SingleTxtG"/>
        <w:spacing w:after="0" w:line="120" w:lineRule="exact"/>
        <w:rPr>
          <w:b/>
          <w:sz w:val="10"/>
          <w:szCs w:val="24"/>
          <w:lang w:val="es-ES_tradnl"/>
        </w:rPr>
      </w:pPr>
    </w:p>
    <w:bookmarkStart w:id="101" w:name="_Toc348513739"/>
    <w:bookmarkStart w:id="102" w:name="_Toc349720605"/>
    <w:bookmarkStart w:id="103" w:name="_Toc360096843"/>
    <w:p w:rsidR="00DA206B" w:rsidRDefault="00DA206B" w:rsidP="0038237D">
      <w:pPr>
        <w:pStyle w:val="SingleTxtG"/>
        <w:suppressAutoHyphens w:val="0"/>
        <w:spacing w:before="120" w:after="240"/>
        <w:ind w:firstLine="170"/>
        <w:jc w:val="left"/>
        <w:rPr>
          <w:i/>
          <w:sz w:val="18"/>
          <w:szCs w:val="18"/>
          <w:lang w:val="es-ES" w:eastAsia="es-ES"/>
        </w:rPr>
      </w:pPr>
      <w:r>
        <w:rPr>
          <w:i/>
          <w:noProof/>
          <w:sz w:val="18"/>
          <w:szCs w:val="18"/>
          <w:lang w:val="en-US"/>
        </w:rPr>
      </w:r>
      <w:r w:rsidRPr="00DA206B">
        <w:rPr>
          <w:i/>
          <w:sz w:val="18"/>
          <w:szCs w:val="18"/>
          <w:lang w:val="es-ES" w:eastAsia="es-ES"/>
        </w:rPr>
        <w:pict>
          <v:group id="_x0000_s1556" editas="canvas" style="width:376.2pt;height:225pt;mso-position-horizontal-relative:char;mso-position-vertical-relative:line" coordorigin="2329,2702" coordsize="7524,4500">
            <o:lock v:ext="edit" aspectratio="t"/>
            <v:shape id="_x0000_s1557" type="#_x0000_t75" style="position:absolute;left:2329;top:2702;width:7524;height:4500" o:preferrelative="f">
              <v:fill o:detectmouseclick="t"/>
              <v:path o:extrusionok="t" o:connecttype="none"/>
              <o:lock v:ext="edit" text="t"/>
            </v:shape>
            <v:rect id="_x0000_s1558" style="position:absolute;left:2329;top:2702;width:7524;height:4500" stroked="f"/>
            <v:rect id="_x0000_s1559" style="position:absolute;left:3126;top:3434;width:6496;height:2993" stroked="f"/>
            <v:shape id="_x0000_s1560" style="position:absolute;left:3126;top:3427;width:6496;height:2708" coordsize="6218,2601" path="m,2587r6218,l6218,2601,,2601r,-14xm,2298r6218,l6218,2313,,2313r,-15xm,2013r6218,l6218,2027,,2027r,-14xm,1725r6218,l6218,1739,,1739r,-14xm,1436r6218,l6218,1451,,1451r,-15xm,1151r6218,l6218,1165,,1165r,-14xm,862r6218,l6218,877,,877,,862xm,574r6218,l6218,589,,589,,574xm,288r6218,l6218,303,,303,,288xm,l6218,r,15l,15,,xe" fillcolor="#868686" strokecolor="#868686" strokeweight=".25pt">
              <v:stroke joinstyle="bevel"/>
              <v:path arrowok="t"/>
              <o:lock v:ext="edit" verticies="t"/>
            </v:shape>
            <v:shape id="_x0000_s1561" style="position:absolute;left:3590;top:4007;width:4951;height:2420" coordsize="4739,2325" path="m,l593,r,2325l,2325,,xm2072,812r593,l2665,2325r-593,l2072,812xm4147,1513r592,l4739,2325r-592,l4147,1513xe" fillcolor="#4f81bd" stroked="f">
              <v:path arrowok="t"/>
              <o:lock v:ext="edit" verticies="t"/>
            </v:shape>
            <v:shape id="_x0000_s1562" style="position:absolute;left:4209;top:3794;width:4949;height:2633" coordsize="4737,2529" path="m,l591,r,2529l,2529,,xm2072,637r593,l2665,2529r-593,l2072,637xm4146,1893r591,l4737,2529r-591,l4146,1893xe" fillcolor="#c0504d" stroked="f">
              <v:path arrowok="t"/>
              <o:lock v:ext="edit" verticies="t"/>
            </v:shape>
            <v:rect id="_x0000_s1563" style="position:absolute;left:3119;top:3434;width:14;height:2993" fillcolor="#868686" strokecolor="#868686" strokeweight="6e-5mm">
              <v:stroke joinstyle="bevel"/>
            </v:rect>
            <v:shape id="_x0000_s1564" style="position:absolute;left:3058;top:3427;width:68;height:3008" coordsize="65,2889" path="m,2875r65,l65,2889r-65,l,2875xm,2587r65,l65,2601r-65,l,2587xm,2298r65,l65,2313r-65,l,2298xm,2013r65,l65,2027r-65,l,2013xm,1725r65,l65,1739r-65,l,1725xm,1436r65,l65,1451r-65,l,1436xm,1151r65,l65,1165r-65,l,1151xm,862r65,l65,877,,877,,862xm,574r65,l65,589,,589,,574xm,288r65,l65,303,,303,,288xm,l65,r,15l,15,,xe" fillcolor="#868686" strokecolor="#868686" strokeweight="6e-5mm">
              <v:stroke joinstyle="bevel"/>
              <v:path arrowok="t"/>
              <o:lock v:ext="edit" verticies="t"/>
            </v:shape>
            <v:rect id="_x0000_s1565" style="position:absolute;left:3126;top:6420;width:6496;height:15" fillcolor="#868686" strokecolor="#868686" strokeweight="6e-5mm">
              <v:stroke joinstyle="bevel"/>
            </v:rect>
            <v:shape id="_x0000_s1566" style="position:absolute;left:3119;top:6427;width:6510;height:65" coordsize="6232,62" path="m14,r,62l,62,,,14,xm2086,r,62l2072,62r,-62l2086,xm4161,r,62l4146,62r,-62l4161,xm6232,r,62l6218,62r,-62l6232,xe" fillcolor="#868686" strokecolor="#868686" strokeweight="6e-5mm">
              <v:stroke joinstyle="bevel"/>
              <v:path arrowok="t"/>
              <o:lock v:ext="edit" verticies="t"/>
            </v:shape>
            <v:rect id="_x0000_s1567" style="position:absolute;left:3721;top:4100;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81%</w:t>
                    </w:r>
                  </w:p>
                </w:txbxContent>
              </v:textbox>
            </v:rect>
            <v:rect id="_x0000_s1568" style="position:absolute;left:5886;top:4947;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53%</w:t>
                    </w:r>
                  </w:p>
                </w:txbxContent>
              </v:textbox>
            </v:rect>
            <v:rect id="_x0000_s1569" style="position:absolute;left:8052;top:5677;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28%</w:t>
                    </w:r>
                  </w:p>
                </w:txbxContent>
              </v:textbox>
            </v:rect>
            <v:rect id="_x0000_s1570" style="position:absolute;left:4339;top:3888;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88%</w:t>
                    </w:r>
                  </w:p>
                </w:txbxContent>
              </v:textbox>
            </v:rect>
            <v:rect id="_x0000_s1571" style="position:absolute;left:6505;top:4552;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66%</w:t>
                    </w:r>
                  </w:p>
                </w:txbxContent>
              </v:textbox>
            </v:rect>
            <v:rect id="_x0000_s1572" style="position:absolute;left:8671;top:5860;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22%</w:t>
                    </w:r>
                  </w:p>
                </w:txbxContent>
              </v:textbox>
            </v:rect>
            <v:rect id="_x0000_s1573" style="position:absolute;left:2628;top:6288;width:260;height:480;mso-wrap-style:none" filled="f" stroked="f">
              <v:textbox style="mso-fit-shape-to-text:t" inset="0,0,0,0">
                <w:txbxContent>
                  <w:p w:rsidR="00DD3299" w:rsidRDefault="00DD3299" w:rsidP="00DA206B">
                    <w:r>
                      <w:rPr>
                        <w:rFonts w:ascii="Calibri" w:hAnsi="Calibri" w:cs="Calibri"/>
                        <w:color w:val="000000"/>
                      </w:rPr>
                      <w:t>0%</w:t>
                    </w:r>
                  </w:p>
                </w:txbxContent>
              </v:textbox>
            </v:rect>
            <v:rect id="_x0000_s1574" style="position:absolute;left:2572;top:5989;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10%</w:t>
                    </w:r>
                  </w:p>
                </w:txbxContent>
              </v:textbox>
            </v:rect>
            <v:rect id="_x0000_s1575" style="position:absolute;left:2572;top:5690;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20%</w:t>
                    </w:r>
                  </w:p>
                </w:txbxContent>
              </v:textbox>
            </v:rect>
            <v:rect id="_x0000_s1576" style="position:absolute;left:2538;top:5402;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30%</w:t>
                    </w:r>
                  </w:p>
                </w:txbxContent>
              </v:textbox>
            </v:rect>
            <v:rect id="_x0000_s1577" style="position:absolute;left:2572;top:5092;width:368;height:480;mso-wrap-style:none" filled="f" stroked="f">
              <v:textbox style="mso-fit-shape-to-text:t" inset="0,0,0,0">
                <w:txbxContent>
                  <w:p w:rsidR="00DD3299" w:rsidRDefault="00DD3299" w:rsidP="00DA206B">
                    <w:r>
                      <w:rPr>
                        <w:rFonts w:ascii="Calibri" w:hAnsi="Calibri" w:cs="Calibri"/>
                        <w:color w:val="000000"/>
                      </w:rPr>
                      <w:t>40%</w:t>
                    </w:r>
                  </w:p>
                </w:txbxContent>
              </v:textbox>
            </v:rect>
            <v:rect id="_x0000_s1578" style="position:absolute;left:2572;top:4793;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50%</w:t>
                    </w:r>
                  </w:p>
                </w:txbxContent>
              </v:textbox>
            </v:rect>
            <v:rect id="_x0000_s1579" style="position:absolute;left:2572;top:4494;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60%</w:t>
                    </w:r>
                  </w:p>
                </w:txbxContent>
              </v:textbox>
            </v:rect>
            <v:rect id="_x0000_s1580" style="position:absolute;left:2572;top:4194;width:324;height:480;mso-wrap-style:none" filled="f" stroked="f">
              <v:textbox style="mso-fit-shape-to-text:t" inset="0,0,0,0">
                <w:txbxContent>
                  <w:p w:rsidR="00DD3299" w:rsidRDefault="00DD3299" w:rsidP="00DA206B">
                    <w:r w:rsidRPr="00555EFD">
                      <w:rPr>
                        <w:color w:val="000000"/>
                        <w:sz w:val="16"/>
                        <w:szCs w:val="16"/>
                      </w:rPr>
                      <w:t>70</w:t>
                    </w:r>
                    <w:r>
                      <w:rPr>
                        <w:rFonts w:ascii="Calibri" w:hAnsi="Calibri" w:cs="Calibri"/>
                        <w:color w:val="000000"/>
                      </w:rPr>
                      <w:t>%</w:t>
                    </w:r>
                  </w:p>
                </w:txbxContent>
              </v:textbox>
            </v:rect>
            <v:rect id="_x0000_s1581" style="position:absolute;left:2572;top:3895;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80%</w:t>
                    </w:r>
                  </w:p>
                </w:txbxContent>
              </v:textbox>
            </v:rect>
            <v:rect id="_x0000_s1582" style="position:absolute;left:2572;top:3596;width:314;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90%</w:t>
                    </w:r>
                  </w:p>
                </w:txbxContent>
              </v:textbox>
            </v:rect>
            <v:rect id="_x0000_s1583" style="position:absolute;left:2467;top:3297;width:401;height:480;mso-wrap-style:none" filled="f" stroked="f">
              <v:textbox style="mso-fit-shape-to-text:t" inset="0,0,0,0">
                <w:txbxContent>
                  <w:p w:rsidR="00DD3299" w:rsidRPr="00555EFD" w:rsidRDefault="00DD3299" w:rsidP="00DA206B">
                    <w:pPr>
                      <w:rPr>
                        <w:color w:val="000000"/>
                        <w:sz w:val="16"/>
                        <w:szCs w:val="16"/>
                      </w:rPr>
                    </w:pPr>
                    <w:r w:rsidRPr="00555EFD">
                      <w:rPr>
                        <w:color w:val="000000"/>
                        <w:sz w:val="16"/>
                        <w:szCs w:val="16"/>
                      </w:rPr>
                      <w:t>100%</w:t>
                    </w:r>
                  </w:p>
                </w:txbxContent>
              </v:textbox>
            </v:rect>
            <v:rect id="_x0000_s1584" style="position:absolute;left:3209;top:6560;width:1993;height:255" filled="f" stroked="f">
              <v:textbox inset="0,0,0,0">
                <w:txbxContent>
                  <w:p w:rsidR="00DD3299" w:rsidRPr="0095592D" w:rsidRDefault="00DD3299" w:rsidP="00DA206B">
                    <w:pPr>
                      <w:jc w:val="center"/>
                      <w:rPr>
                        <w:rFonts w:ascii="Calibri" w:hAnsi="Calibri" w:cs="Calibri"/>
                      </w:rPr>
                    </w:pPr>
                    <w:r w:rsidRPr="00555EFD">
                      <w:rPr>
                        <w:color w:val="000000"/>
                        <w:sz w:val="16"/>
                        <w:szCs w:val="16"/>
                      </w:rPr>
                      <w:t>Calificación</w:t>
                    </w:r>
                    <w:r w:rsidRPr="0095592D">
                      <w:rPr>
                        <w:rFonts w:ascii="Calibri" w:hAnsi="Calibri" w:cs="Calibri"/>
                        <w:color w:val="000000"/>
                        <w:lang w:val="es-ES_tradnl"/>
                      </w:rPr>
                      <w:t xml:space="preserve"> </w:t>
                    </w:r>
                    <w:r w:rsidRPr="00555EFD">
                      <w:rPr>
                        <w:color w:val="000000"/>
                        <w:sz w:val="16"/>
                        <w:szCs w:val="16"/>
                      </w:rPr>
                      <w:t>profesional</w:t>
                    </w:r>
                  </w:p>
                </w:txbxContent>
              </v:textbox>
            </v:rect>
            <v:rect id="_x0000_s1585" style="position:absolute;left:5529;top:6560;width:1809;height:255" filled="f" stroked="f">
              <v:textbox inset="0,0,0,0">
                <w:txbxContent>
                  <w:p w:rsidR="00DD3299" w:rsidRPr="00555EFD" w:rsidRDefault="00DD3299" w:rsidP="00DA206B">
                    <w:pPr>
                      <w:jc w:val="center"/>
                      <w:rPr>
                        <w:color w:val="000000"/>
                        <w:sz w:val="16"/>
                        <w:szCs w:val="16"/>
                      </w:rPr>
                    </w:pPr>
                    <w:r w:rsidRPr="00555EFD">
                      <w:rPr>
                        <w:color w:val="000000"/>
                        <w:sz w:val="16"/>
                        <w:szCs w:val="16"/>
                      </w:rPr>
                      <w:t>Educación superior</w:t>
                    </w:r>
                  </w:p>
                </w:txbxContent>
              </v:textbox>
            </v:rect>
            <v:rect id="_x0000_s1586" style="position:absolute;left:8027;top:6560;width:863;height:480;mso-wrap-style:none" filled="f" stroked="f">
              <v:textbox style="mso-fit-shape-to-text:t" inset="0,0,0,0">
                <w:txbxContent>
                  <w:p w:rsidR="00DD3299" w:rsidRPr="0095592D" w:rsidRDefault="00DD3299" w:rsidP="00DA206B">
                    <w:pPr>
                      <w:jc w:val="center"/>
                      <w:rPr>
                        <w:rFonts w:ascii="Calibri" w:hAnsi="Calibri" w:cs="Calibri"/>
                      </w:rPr>
                    </w:pPr>
                    <w:r w:rsidRPr="00555EFD">
                      <w:rPr>
                        <w:color w:val="000000"/>
                        <w:sz w:val="16"/>
                        <w:szCs w:val="16"/>
                      </w:rPr>
                      <w:t>Educación y</w:t>
                    </w:r>
                  </w:p>
                </w:txbxContent>
              </v:textbox>
            </v:rect>
            <v:rect id="_x0000_s1587" style="position:absolute;left:7486;top:6814;width:2040;height:240" filled="f" stroked="f">
              <v:textbox style="mso-fit-shape-to-text:t" inset="0,0,0,0">
                <w:txbxContent>
                  <w:p w:rsidR="00DD3299" w:rsidRPr="00555EFD" w:rsidRDefault="00DD3299" w:rsidP="00DA206B">
                    <w:pPr>
                      <w:jc w:val="center"/>
                      <w:rPr>
                        <w:color w:val="000000"/>
                        <w:sz w:val="16"/>
                        <w:szCs w:val="16"/>
                      </w:rPr>
                    </w:pPr>
                    <w:r w:rsidRPr="00555EFD">
                      <w:rPr>
                        <w:color w:val="000000"/>
                        <w:sz w:val="16"/>
                        <w:szCs w:val="16"/>
                      </w:rPr>
                      <w:t>formación profesional</w:t>
                    </w:r>
                  </w:p>
                </w:txbxContent>
              </v:textbox>
            </v:rect>
            <v:rect id="_x0000_s1588" style="position:absolute;left:5202;top:2957;width:116;height:115" fillcolor="#4f81bd" stroked="f"/>
            <v:rect id="_x0000_s1589" style="position:absolute;left:5369;top:2877;width:894;height:240" filled="f" stroked="f">
              <v:textbox style="mso-fit-shape-to-text:t" inset="0,0,0,0">
                <w:txbxContent>
                  <w:p w:rsidR="00DD3299" w:rsidRPr="00BF7C1C" w:rsidRDefault="00DD3299" w:rsidP="00DA206B">
                    <w:pPr>
                      <w:rPr>
                        <w:lang w:val="en-US"/>
                      </w:rPr>
                    </w:pPr>
                    <w:r w:rsidRPr="00CC062C">
                      <w:rPr>
                        <w:color w:val="000000"/>
                        <w:lang w:val="en-US"/>
                      </w:rPr>
                      <w:t>Hombres</w:t>
                    </w:r>
                  </w:p>
                </w:txbxContent>
              </v:textbox>
            </v:rect>
            <v:rect id="_x0000_s1590" style="position:absolute;left:6410;top:2957;width:116;height:115" fillcolor="#c0504d" stroked="f"/>
            <v:rect id="_x0000_s1591" style="position:absolute;left:6576;top:2877;width:703;height:480;mso-wrap-style:none" filled="f" stroked="f">
              <v:textbox style="mso-fit-shape-to-text:t" inset="0,0,0,0">
                <w:txbxContent>
                  <w:p w:rsidR="00DD3299" w:rsidRPr="00BF7C1C" w:rsidRDefault="00DD3299" w:rsidP="00DA206B">
                    <w:pPr>
                      <w:rPr>
                        <w:lang w:val="en-US"/>
                      </w:rPr>
                    </w:pPr>
                    <w:r w:rsidRPr="00CC062C">
                      <w:rPr>
                        <w:color w:val="000000"/>
                        <w:lang w:val="en-US"/>
                      </w:rPr>
                      <w:t>Mujeres</w:t>
                    </w:r>
                  </w:p>
                </w:txbxContent>
              </v:textbox>
            </v:rect>
            <w10:anchorlock/>
          </v:group>
        </w:pict>
      </w:r>
    </w:p>
    <w:p w:rsidR="0038237D" w:rsidRPr="00BA1EAC" w:rsidRDefault="0038237D" w:rsidP="0038237D">
      <w:pPr>
        <w:pStyle w:val="SingleTxtG"/>
        <w:suppressAutoHyphens w:val="0"/>
        <w:spacing w:before="120" w:after="240"/>
        <w:ind w:firstLine="170"/>
        <w:jc w:val="left"/>
        <w:rPr>
          <w:sz w:val="18"/>
          <w:szCs w:val="18"/>
          <w:lang w:val="es-ES" w:eastAsia="es-ES"/>
        </w:rPr>
      </w:pPr>
      <w:r w:rsidRPr="00BA1EAC">
        <w:rPr>
          <w:i/>
          <w:sz w:val="18"/>
          <w:szCs w:val="18"/>
          <w:lang w:val="es-ES" w:eastAsia="es-ES"/>
        </w:rPr>
        <w:t xml:space="preserve">Fuente: </w:t>
      </w:r>
      <w:r w:rsidRPr="00BA1EAC">
        <w:rPr>
          <w:sz w:val="18"/>
          <w:szCs w:val="18"/>
          <w:lang w:val="es-ES" w:eastAsia="es-ES"/>
        </w:rPr>
        <w:t>Ministerio de Infancia y Educación (Profilmodellen 2011).</w:t>
      </w:r>
    </w:p>
    <w:p w:rsidR="0038237D" w:rsidRPr="00EA0AB9" w:rsidRDefault="0038237D"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04" w:name="_Toc348513740"/>
      <w:bookmarkStart w:id="105" w:name="_Toc349720606"/>
      <w:bookmarkStart w:id="106" w:name="_Toc360096844"/>
      <w:bookmarkEnd w:id="101"/>
      <w:bookmarkEnd w:id="102"/>
      <w:bookmarkEnd w:id="103"/>
      <w:r>
        <w:rPr>
          <w:lang w:val="es-ES_tradnl"/>
        </w:rPr>
        <w:tab/>
      </w:r>
      <w:r>
        <w:rPr>
          <w:lang w:val="es-ES_tradnl"/>
        </w:rPr>
        <w:tab/>
      </w:r>
      <w:r w:rsidRPr="00EA0AB9">
        <w:rPr>
          <w:lang w:val="es-ES_tradnl"/>
        </w:rPr>
        <w:t>Guardería</w:t>
      </w:r>
    </w:p>
    <w:bookmarkEnd w:id="104"/>
    <w:bookmarkEnd w:id="105"/>
    <w:bookmarkEnd w:id="106"/>
    <w:p w:rsidR="000D4F95" w:rsidRPr="000D4F95" w:rsidRDefault="000D4F95" w:rsidP="000D4F95">
      <w:pPr>
        <w:pStyle w:val="SingleTxtG"/>
        <w:spacing w:after="0" w:line="120" w:lineRule="exact"/>
        <w:rPr>
          <w:sz w:val="10"/>
          <w:lang w:val="es-ES_tradnl"/>
        </w:rPr>
      </w:pPr>
    </w:p>
    <w:p w:rsidR="0038237D" w:rsidRPr="00EA0AB9" w:rsidRDefault="000D4F95" w:rsidP="000D4F95">
      <w:pPr>
        <w:pStyle w:val="SingleTxt"/>
        <w:suppressAutoHyphens/>
        <w:rPr>
          <w:lang w:val="es-ES_tradnl"/>
        </w:rPr>
      </w:pPr>
      <w:r>
        <w:rPr>
          <w:lang w:val="es-ES_tradnl"/>
        </w:rPr>
        <w:tab/>
      </w:r>
      <w:r w:rsidR="0038237D" w:rsidRPr="00EA0AB9">
        <w:rPr>
          <w:lang w:val="es-ES_tradnl"/>
        </w:rPr>
        <w:t>Todos los niños de Dinamarca tienen igualdad de acceso a los servicios de guardería y tienen derecho a una plaza de guardería desde las 26 semanas de edad hasta el inicio de la escuela. Los padres obtienen un subsidio del municipio para el pago de la guardería. El servicio garantizado de guardería de jornada completa permite a los padres participar en el mercado laboral mientras tienen hijos pequeños y, de ese modo, apoya las oportunidades tanto de las mujeres como de los hombres en el mercado laboral. Existe una distribución equitativa del género dentro del sistema de guarderías. El 83,1% de los niños de entre 0 y 5</w:t>
      </w:r>
      <w:r w:rsidR="0038237D">
        <w:rPr>
          <w:lang w:val="es-ES_tradnl"/>
        </w:rPr>
        <w:t> </w:t>
      </w:r>
      <w:r w:rsidR="0038237D" w:rsidRPr="00EA0AB9">
        <w:rPr>
          <w:lang w:val="es-ES_tradnl"/>
        </w:rPr>
        <w:t>años de edad y el 82,7% de las niñas están inscritos en la guardería</w:t>
      </w:r>
      <w:r w:rsidR="0038237D" w:rsidRPr="00EA0AB9">
        <w:rPr>
          <w:rStyle w:val="FootnoteReference"/>
          <w:sz w:val="24"/>
          <w:szCs w:val="24"/>
          <w:lang w:val="es-ES_tradnl"/>
        </w:rPr>
        <w:footnoteReference w:id="1"/>
      </w:r>
      <w:r w:rsidR="0038237D" w:rsidRPr="00EA0AB9">
        <w:rPr>
          <w:lang w:val="es-ES_tradnl"/>
        </w:rPr>
        <w:t xml:space="preserve">. La distribución del género se basa en el 96% de los niños inscritos en la guardería, de los que sí conocemos el género. Hay menos inmigrantes y descendientes de países no occidentales que niños de origen danés en el grupo de edad de 0 a 9 años inscritos en el sistema de guarderías (14 puntos porcentuales menos). </w:t>
      </w:r>
    </w:p>
    <w:p w:rsidR="0038237D" w:rsidRPr="00EA0AB9" w:rsidRDefault="000D4F95" w:rsidP="000D4F95">
      <w:pPr>
        <w:pStyle w:val="SingleTxt"/>
        <w:suppressAutoHyphens/>
        <w:rPr>
          <w:lang w:val="es-ES_tradnl"/>
        </w:rPr>
      </w:pPr>
      <w:r>
        <w:rPr>
          <w:lang w:val="es-ES_tradnl"/>
        </w:rPr>
        <w:tab/>
      </w:r>
      <w:r w:rsidR="0038237D" w:rsidRPr="00EA0AB9">
        <w:rPr>
          <w:lang w:val="es-ES_tradnl"/>
        </w:rPr>
        <w:t>Todas las guarderías deben elaborar un currículo educativo que describa los objetivos locales de la guardería en relación con el aprendizaje de los niños. El currículo educativo debe contribuir a garantizar que todas las guarderías se centren en el potencial y las aptitudes de cada niño, independientemente de, por ejemplo, su género.</w:t>
      </w:r>
    </w:p>
    <w:p w:rsidR="0038237D" w:rsidRPr="00EA0AB9" w:rsidRDefault="0038237D"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07" w:name="_Toc348513741"/>
      <w:bookmarkStart w:id="108" w:name="_Toc349720607"/>
      <w:bookmarkStart w:id="109" w:name="_Toc360096845"/>
      <w:r>
        <w:rPr>
          <w:lang w:val="es-ES_tradnl"/>
        </w:rPr>
        <w:tab/>
      </w:r>
      <w:r>
        <w:rPr>
          <w:lang w:val="es-ES_tradnl"/>
        </w:rPr>
        <w:tab/>
      </w:r>
      <w:r w:rsidRPr="00EA0AB9">
        <w:rPr>
          <w:lang w:val="es-ES_tradnl"/>
        </w:rPr>
        <w:t>Educación primaria y secundaria inferior</w:t>
      </w:r>
    </w:p>
    <w:bookmarkEnd w:id="107"/>
    <w:bookmarkEnd w:id="108"/>
    <w:bookmarkEnd w:id="109"/>
    <w:p w:rsidR="000D4F95" w:rsidRPr="000D4F95" w:rsidRDefault="000D4F95" w:rsidP="000D4F95">
      <w:pPr>
        <w:pStyle w:val="SingleTxtG"/>
        <w:spacing w:after="0" w:line="120" w:lineRule="exact"/>
        <w:rPr>
          <w:sz w:val="10"/>
          <w:lang w:val="es-ES_tradnl"/>
        </w:rPr>
      </w:pPr>
    </w:p>
    <w:p w:rsidR="0038237D" w:rsidRPr="00EA0AB9" w:rsidRDefault="000D4F95" w:rsidP="000D4F95">
      <w:pPr>
        <w:pStyle w:val="SingleTxt"/>
        <w:suppressAutoHyphens/>
        <w:rPr>
          <w:lang w:val="es-ES_tradnl"/>
        </w:rPr>
      </w:pPr>
      <w:r>
        <w:rPr>
          <w:lang w:val="es-ES_tradnl"/>
        </w:rPr>
        <w:tab/>
      </w:r>
      <w:r w:rsidR="0038237D" w:rsidRPr="00EA0AB9">
        <w:rPr>
          <w:lang w:val="es-ES_tradnl"/>
        </w:rPr>
        <w:t xml:space="preserve">En la educación primaria y secundaria inferior, existe una distribución equitativa por género. En el año escolar 2011/2012, el 51,3% de los alumnos eran niños y el 48,7% eran niñas. Los resultados obtenidos por las niñas en los exámenes obligatorios del verano de 2012 para los alumnos que finalizaron la </w:t>
      </w:r>
      <w:r w:rsidR="00C90CF0">
        <w:rPr>
          <w:lang w:val="es-ES_tradnl"/>
        </w:rPr>
        <w:t>“</w:t>
      </w:r>
      <w:r w:rsidR="0038237D" w:rsidRPr="00EA0AB9">
        <w:rPr>
          <w:lang w:val="es-ES_tradnl"/>
        </w:rPr>
        <w:t>Folkeskole</w:t>
      </w:r>
      <w:r w:rsidR="00C90CF0">
        <w:rPr>
          <w:lang w:val="es-ES_tradnl"/>
        </w:rPr>
        <w:t>”</w:t>
      </w:r>
      <w:r w:rsidR="0038237D" w:rsidRPr="00EA0AB9">
        <w:rPr>
          <w:lang w:val="es-ES_tradnl"/>
        </w:rPr>
        <w:t xml:space="preserve"> (escuela pública) fueron, en promedio, mejores que los de los niños (con una diferencia de 0,6 puntos). </w:t>
      </w:r>
    </w:p>
    <w:p w:rsidR="0038237D" w:rsidRPr="00EA0AB9" w:rsidRDefault="000D4F95" w:rsidP="000D4F95">
      <w:pPr>
        <w:pStyle w:val="SingleTxt"/>
        <w:suppressAutoHyphens/>
        <w:rPr>
          <w:lang w:val="es-ES_tradnl"/>
        </w:rPr>
      </w:pPr>
      <w:r>
        <w:rPr>
          <w:lang w:val="es-ES_tradnl"/>
        </w:rPr>
        <w:tab/>
      </w:r>
      <w:r w:rsidR="0038237D" w:rsidRPr="00EA0AB9">
        <w:rPr>
          <w:lang w:val="es-ES_tradnl"/>
        </w:rPr>
        <w:t xml:space="preserve">Los objetivos de la Folkeskole son, entre otros, reducir y prevenir los estereotipos de género. En la cláusula sobre los objetivos de la Ley de la Folkeskole se establece que la enseñanza en la escuela y su vida cotidiana deben basarse en la libertad intelectual, la igualdad y la democracia, y que la escuela preparará a los alumnos para los derechos y deberes en una sociedad basada en estos valores. </w:t>
      </w:r>
    </w:p>
    <w:p w:rsidR="0038237D" w:rsidRPr="00EA0AB9" w:rsidRDefault="000D4F95" w:rsidP="000D4F95">
      <w:pPr>
        <w:pStyle w:val="SingleTxt"/>
        <w:suppressAutoHyphens/>
        <w:rPr>
          <w:lang w:val="es-ES_tradnl"/>
        </w:rPr>
      </w:pPr>
      <w:r>
        <w:rPr>
          <w:lang w:val="es-ES_tradnl"/>
        </w:rPr>
        <w:tab/>
      </w:r>
      <w:r w:rsidR="0038237D" w:rsidRPr="00EA0AB9">
        <w:rPr>
          <w:lang w:val="es-ES_tradnl"/>
        </w:rPr>
        <w:t xml:space="preserve">La enseñanza de las distintas materias de la Folkeskole, en particular los estudios sociales, la historia, así como los estudios relacionados con la salud, la sexualidad y los conocimientos de la familia, se propone, entre otras cosas, capacitar a los alumnos para relacionarse y examinar las funciones y estereotipos de género y la igualdad. Por ejemplo, el sufragio femenino es uno de los 29 acontecimientos que deben abarcar obligatoriamente los estudios de historia, sobre la base de que la enseñanza debería abarcar la igualdad de género de forma más general. Los objetivos de aprendizaje vinculantes, tanto para los estudios sociales como para la historia, incluyen los principios de la igualdad en general, que constituirán un punto de partida para los debates sobre la igualdad en contextos específicos, incluida la igualdad de género. En los estudios relacionados con la salud, la sexualidad y los conocimientos de la familia, los objetivos de aprendizaje obligatorios incluyen aprender los efectos de los estereotipos de género sobre las personas y capacitar a los alumnos para entender y formarse una opinión fundamentada acerca de la influencia que ejercen, por ejemplo, las normas culturales, los medios de comunicación y otros compañeros sobre la identidad, los papeles asignados a cada género y la sexualidad. </w:t>
      </w:r>
    </w:p>
    <w:p w:rsidR="000D4F95" w:rsidRPr="000D4F95" w:rsidRDefault="000D4F95"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38237D" w:rsidRPr="00EA0AB9" w:rsidRDefault="0038237D"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Opciones educativas basadas en los estereotipos de género</w:t>
      </w:r>
    </w:p>
    <w:p w:rsidR="000D4F95" w:rsidRPr="000D4F95" w:rsidRDefault="000D4F95" w:rsidP="000D4F95">
      <w:pPr>
        <w:pStyle w:val="SingleTxt"/>
        <w:suppressAutoHyphens/>
        <w:spacing w:after="0" w:line="120" w:lineRule="exact"/>
        <w:rPr>
          <w:sz w:val="10"/>
          <w:lang w:val="es-ES_tradnl"/>
        </w:rPr>
      </w:pPr>
      <w:bookmarkStart w:id="110" w:name="_Toc348513742"/>
      <w:bookmarkStart w:id="111" w:name="_Toc349720608"/>
      <w:bookmarkStart w:id="112" w:name="_Toc360096846"/>
    </w:p>
    <w:p w:rsidR="0038237D" w:rsidRPr="00EA0AB9" w:rsidRDefault="000D4F95" w:rsidP="000D4F95">
      <w:pPr>
        <w:pStyle w:val="SingleTxt"/>
        <w:suppressAutoHyphens/>
        <w:rPr>
          <w:lang w:val="es-ES_tradnl"/>
        </w:rPr>
      </w:pPr>
      <w:r>
        <w:rPr>
          <w:lang w:val="es-ES_tradnl"/>
        </w:rPr>
        <w:tab/>
      </w:r>
      <w:r w:rsidR="0038237D" w:rsidRPr="00EA0AB9">
        <w:rPr>
          <w:lang w:val="es-ES_tradnl"/>
        </w:rPr>
        <w:t>En Dinamarca, la proporción de niñas y niños que emprenden un ciclo largo de educación superior es semejante en ambos casos, y se observa una tendencia a que sea mayor el número de niñas que de niños que se incorporan al sistema educativo. No obstante, las decisiones de las niñas y los niños sobre sus estudios están claramente segregadas en función del género. Por ello, en 2011, la Ministra de Igualdad entre los Géneros puso en marcha el sitio web fremtidenerdin.dk con el fin de llamar la atención sobre las elecciones educativas basadas en el género, que permitiría a los jóvenes tener en cuenta sus competencias más que su género cuando toman una decisión sobre su educación y sobre el empleo.</w:t>
      </w:r>
    </w:p>
    <w:bookmarkEnd w:id="110"/>
    <w:bookmarkEnd w:id="111"/>
    <w:bookmarkEnd w:id="112"/>
    <w:p w:rsidR="0038237D" w:rsidRPr="00EA0AB9" w:rsidRDefault="000D4F95" w:rsidP="000D4F95">
      <w:pPr>
        <w:pStyle w:val="SingleTxt"/>
        <w:suppressAutoHyphens/>
        <w:rPr>
          <w:lang w:val="es-ES_tradnl"/>
        </w:rPr>
      </w:pPr>
      <w:r>
        <w:rPr>
          <w:lang w:val="es-ES_tradnl"/>
        </w:rPr>
        <w:tab/>
      </w:r>
      <w:r w:rsidR="0038237D" w:rsidRPr="00EA0AB9">
        <w:rPr>
          <w:lang w:val="es-ES_tradnl"/>
        </w:rPr>
        <w:t>La influencia e importancia para la carrera profesional y la orientación educativa de los valores culturales, incluidos los aspectos de género, también forman parte del currículo educativo del asesor de orientación profesional.</w:t>
      </w:r>
    </w:p>
    <w:p w:rsidR="0038237D" w:rsidRPr="00EA0AB9" w:rsidRDefault="000D4F95" w:rsidP="000D4F95">
      <w:pPr>
        <w:pStyle w:val="SingleTxt"/>
        <w:suppressAutoHyphens/>
        <w:rPr>
          <w:lang w:val="es-ES_tradnl"/>
        </w:rPr>
      </w:pPr>
      <w:r>
        <w:rPr>
          <w:lang w:val="es-ES_tradnl"/>
        </w:rPr>
        <w:tab/>
      </w:r>
      <w:r w:rsidR="0038237D" w:rsidRPr="00EA0AB9">
        <w:rPr>
          <w:lang w:val="es-ES_tradnl"/>
        </w:rPr>
        <w:t xml:space="preserve">El Gobierno ha financiado diez proyectos diferentes en 2012 y 2013 sobre cómo conseguir que más niños completen su educación y cómo reducir las opciones educativas segregadas en función del género. En 2011, el Gobierno llevó a feliz término el proyecto piloto </w:t>
      </w:r>
      <w:r w:rsidR="00C90CF0">
        <w:rPr>
          <w:lang w:val="es-ES_tradnl"/>
        </w:rPr>
        <w:t>“</w:t>
      </w:r>
      <w:r w:rsidR="0038237D" w:rsidRPr="00EA0AB9">
        <w:rPr>
          <w:lang w:val="es-ES_tradnl"/>
        </w:rPr>
        <w:t>Más Niñas en las Ciencias Naturales y la Tecnología</w:t>
      </w:r>
      <w:r w:rsidR="00C90CF0">
        <w:rPr>
          <w:lang w:val="es-ES_tradnl"/>
        </w:rPr>
        <w:t>”</w:t>
      </w:r>
      <w:r w:rsidR="0038237D" w:rsidRPr="00EA0AB9">
        <w:rPr>
          <w:lang w:val="es-ES_tradnl"/>
        </w:rPr>
        <w:t xml:space="preserve">, en el que las niñas del sistema de educación secundaria inferior participaron en una feria de formación en la que pudieron conseguir contratos de prácticas con empresas importantes en los campos técnicos o las ciencias naturales. Una evaluación externa del proyecto piloto concluyó que el proyecto había logrado involucrar a las niñas, y el 78% de ellas respondió que el proyecto había cambiado positivamente su opinión sobre la posibilidad de cursar una carrera en los campos técnicos o las ciencias naturales. </w:t>
      </w:r>
    </w:p>
    <w:p w:rsidR="000D4F95" w:rsidRPr="000D4F95" w:rsidRDefault="000D4F95"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bookmarkStart w:id="113" w:name="_Toc348513743"/>
      <w:bookmarkStart w:id="114" w:name="_Toc349720609"/>
      <w:bookmarkStart w:id="115" w:name="_Toc360096847"/>
    </w:p>
    <w:p w:rsidR="0038237D" w:rsidRPr="00EA0AB9" w:rsidRDefault="0038237D"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 xml:space="preserve">Educación secundaria superior general </w:t>
      </w:r>
    </w:p>
    <w:p w:rsidR="000D4F95" w:rsidRPr="000D4F95" w:rsidRDefault="000D4F95" w:rsidP="000D4F95">
      <w:pPr>
        <w:pStyle w:val="SingleTxt"/>
        <w:suppressAutoHyphens/>
        <w:spacing w:after="0" w:line="120" w:lineRule="exact"/>
        <w:rPr>
          <w:sz w:val="10"/>
          <w:lang w:val="es-ES_tradnl"/>
        </w:rPr>
      </w:pPr>
      <w:bookmarkStart w:id="116" w:name="_Toc348513744"/>
      <w:bookmarkStart w:id="117" w:name="_Toc349720610"/>
      <w:bookmarkStart w:id="118" w:name="_Toc360096848"/>
      <w:bookmarkEnd w:id="113"/>
      <w:bookmarkEnd w:id="114"/>
      <w:bookmarkEnd w:id="115"/>
    </w:p>
    <w:p w:rsidR="0038237D" w:rsidRPr="00EA0AB9" w:rsidRDefault="0038237D" w:rsidP="000D4F95">
      <w:pPr>
        <w:pStyle w:val="SingleTxt"/>
        <w:suppressAutoHyphens/>
        <w:rPr>
          <w:lang w:val="es-ES_tradnl"/>
        </w:rPr>
      </w:pPr>
      <w:r w:rsidRPr="00EA0AB9">
        <w:rPr>
          <w:lang w:val="es-ES_tradnl"/>
        </w:rPr>
        <w:t xml:space="preserve">La educación secundaria superior general en Dinamarca comprende cuatro programas diferentes que preparan a los graduados para la educación superior. La relación general entre hombres y mujeres graduados era de 44:56 en 2011. Sin embargo, hay otras relaciones entre hombres y mujeres que son bastante diferentes. Las perspectivas de los programas STX y HF son muy amplias y cuentan con una relación aproximada entre hombres y mujeres de 41:59 y 38:62, respectivamente, mientras que el programa HHX tiene una perspectiva comercial y una relación entre hombres y mujeres graduados de 53:47, y el programa HTX tiene una perspectiva técnica y una relación entre hombres y mujeres graduados de 76:24. </w:t>
      </w:r>
    </w:p>
    <w:bookmarkEnd w:id="116"/>
    <w:bookmarkEnd w:id="117"/>
    <w:bookmarkEnd w:id="118"/>
    <w:p w:rsidR="0038237D" w:rsidRPr="00EA0AB9" w:rsidRDefault="000D4F95" w:rsidP="000D4F95">
      <w:pPr>
        <w:pStyle w:val="SingleTxt"/>
        <w:suppressAutoHyphens/>
        <w:rPr>
          <w:lang w:val="es-ES_tradnl"/>
        </w:rPr>
      </w:pPr>
      <w:r>
        <w:rPr>
          <w:lang w:val="es-ES_tradnl"/>
        </w:rPr>
        <w:tab/>
      </w:r>
      <w:r w:rsidR="0038237D" w:rsidRPr="00EA0AB9">
        <w:rPr>
          <w:lang w:val="es-ES_tradnl"/>
        </w:rPr>
        <w:t xml:space="preserve">Como parte de los cambios estructurales introducidos en el programa STX en 2004, se creó un curso obligatorio básico sobre ciencias naturales. Este curso, </w:t>
      </w:r>
      <w:r w:rsidR="00C90CF0">
        <w:rPr>
          <w:lang w:val="es-ES_tradnl"/>
        </w:rPr>
        <w:t>“</w:t>
      </w:r>
      <w:r w:rsidR="0038237D" w:rsidRPr="00EA0AB9">
        <w:rPr>
          <w:lang w:val="es-ES_tradnl"/>
        </w:rPr>
        <w:t>naturvidenskabeligt grundforløb</w:t>
      </w:r>
      <w:r w:rsidR="00C90CF0">
        <w:rPr>
          <w:lang w:val="es-ES_tradnl"/>
        </w:rPr>
        <w:t>”</w:t>
      </w:r>
      <w:r w:rsidR="0038237D" w:rsidRPr="00EA0AB9">
        <w:rPr>
          <w:lang w:val="es-ES_tradnl"/>
        </w:rPr>
        <w:t xml:space="preserve">, ha sido decisivo a la hora de cambiar la introducción de las niñas a las ciencias, como consecuencia de lo cual se ha incrementado el número de niñas que se gradúan en materias científicas. Las estadísticas han mostrado un aumento del 8% en el número de estudiantes que se gradúan con el nivel más alto de matemáticas y física y química al menos en el nivel estándar (2007-2011). Este incremento general del número de graduados en ciencias se ha producido sin dejar de lado a las niñas, ya que la distribución entre los sexos se mantiene en un nivel similar. Los profesores han resultado ser la principal influencia en la elección educativa de las mujeres. El objetivo, por lo tanto, es reforzar todavía más </w:t>
      </w:r>
      <w:r w:rsidR="00C90CF0">
        <w:rPr>
          <w:lang w:val="es-ES_tradnl"/>
        </w:rPr>
        <w:t>“</w:t>
      </w:r>
      <w:r w:rsidR="0038237D" w:rsidRPr="00EA0AB9">
        <w:rPr>
          <w:lang w:val="es-ES_tradnl"/>
        </w:rPr>
        <w:t>naturvidenskabeligt grundforløb</w:t>
      </w:r>
      <w:r w:rsidR="00C90CF0">
        <w:rPr>
          <w:lang w:val="es-ES_tradnl"/>
        </w:rPr>
        <w:t>”</w:t>
      </w:r>
      <w:r w:rsidR="0038237D" w:rsidRPr="00EA0AB9">
        <w:rPr>
          <w:lang w:val="es-ES_tradnl"/>
        </w:rPr>
        <w:t xml:space="preserve"> a fin de crear el mejor entorno posible para lograr una distribución equitativa del género en la educación científica.</w:t>
      </w:r>
    </w:p>
    <w:p w:rsidR="000D4F95" w:rsidRPr="000D4F95" w:rsidRDefault="000D4F95" w:rsidP="000D4F95">
      <w:pPr>
        <w:pStyle w:val="H23G"/>
        <w:spacing w:before="0" w:after="0" w:line="120" w:lineRule="exact"/>
        <w:rPr>
          <w:sz w:val="10"/>
          <w:lang w:val="es-ES_tradnl"/>
        </w:rPr>
      </w:pPr>
    </w:p>
    <w:p w:rsidR="0038237D" w:rsidRPr="00EA0AB9" w:rsidRDefault="000D4F95"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38237D" w:rsidRPr="00EA0AB9">
        <w:rPr>
          <w:lang w:val="es-ES_tradnl"/>
        </w:rPr>
        <w:t>Educación y formación profesional</w:t>
      </w:r>
    </w:p>
    <w:p w:rsidR="000D4F95" w:rsidRPr="000D4F95" w:rsidRDefault="000D4F95" w:rsidP="000D4F95">
      <w:pPr>
        <w:pStyle w:val="SingleTxtG"/>
        <w:spacing w:after="0" w:line="120" w:lineRule="exact"/>
        <w:rPr>
          <w:sz w:val="10"/>
          <w:lang w:val="es-ES_tradnl"/>
        </w:rPr>
      </w:pPr>
    </w:p>
    <w:p w:rsidR="0038237D" w:rsidRPr="00EA0AB9" w:rsidRDefault="000D4F95" w:rsidP="000D4F95">
      <w:pPr>
        <w:pStyle w:val="SingleTxt"/>
        <w:suppressAutoHyphens/>
        <w:rPr>
          <w:lang w:val="es-ES_tradnl"/>
        </w:rPr>
      </w:pPr>
      <w:r>
        <w:rPr>
          <w:lang w:val="es-ES_tradnl"/>
        </w:rPr>
        <w:tab/>
      </w:r>
      <w:r w:rsidR="0038237D" w:rsidRPr="00EA0AB9">
        <w:rPr>
          <w:lang w:val="es-ES_tradnl"/>
        </w:rPr>
        <w:t xml:space="preserve">En Dinamarca, las mujeres y los hombres gozan de igualdad de acceso a la educación y formación profesional, que se centra en cada uno de los alumnos para garantizar altas tasas de finalización, independientemente del género. Todos los alumnos tienen acceso a becas, a prácticas remuneradas y al reembolso de los gastos de viajes, además de a los internados, con independencia también de su género. La educación varía entre la educación escolar y el empleo en una empresa. La formación profesional es un reflejo del mercado laboral; por lo tanto, algunos cursos de educación y formación profesional atraen a más alumnos de un género que del otro. Sin embargo, a ningún alumno se le impide elegir una educación específica por razones de género. La relación entre hombres y mujeres es casi equitativa en la educación y formación profesional. Desde 2008, todos los centros de educación y formación profesional han elaborado un plan de acción anual a fin de aumentar la tasa de finalización tanto entre mujeres como entre hombres. </w:t>
      </w:r>
    </w:p>
    <w:p w:rsidR="00CC062C" w:rsidRPr="00CC062C" w:rsidRDefault="00CC062C" w:rsidP="00CC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38237D" w:rsidRPr="00EA0AB9" w:rsidRDefault="0038237D"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Acceso a la educación superior</w:t>
      </w:r>
    </w:p>
    <w:p w:rsidR="000D4F95" w:rsidRPr="000D4F95" w:rsidRDefault="000D4F95" w:rsidP="000D4F95">
      <w:pPr>
        <w:pStyle w:val="SingleTxt"/>
        <w:suppressAutoHyphens/>
        <w:spacing w:after="0" w:line="120" w:lineRule="exact"/>
        <w:rPr>
          <w:sz w:val="10"/>
          <w:lang w:val="es-ES_tradnl"/>
        </w:rPr>
      </w:pPr>
    </w:p>
    <w:p w:rsidR="0038237D" w:rsidRPr="00EA0AB9" w:rsidRDefault="000D4F95" w:rsidP="000D4F95">
      <w:pPr>
        <w:pStyle w:val="SingleTxt"/>
        <w:suppressAutoHyphens/>
        <w:rPr>
          <w:lang w:val="es-ES_tradnl"/>
        </w:rPr>
      </w:pPr>
      <w:r>
        <w:rPr>
          <w:lang w:val="es-ES_tradnl"/>
        </w:rPr>
        <w:tab/>
      </w:r>
      <w:r w:rsidR="0038237D" w:rsidRPr="00EA0AB9">
        <w:rPr>
          <w:lang w:val="es-ES_tradnl"/>
        </w:rPr>
        <w:t>En Dinamarca, la admisión en la enseñanza superior se basa en las calificaciones de los solicitantes. La admisión de los solicitantes se realiza a través de un sistema de dos cuotas: la cuota 1 y la cuota 2. En la cuota 1, la aceptación se basa en la calificación media general obtenida en la educación secundaria superior. En la cuota 2, se selecciona a los solicitantes mediante una evaluación basada en las calificaciones individuales pertinentes del solicitante. El género no constituye una calificación específica y a las instituciones educativas no se les permite seleccionar a los solicitantes en función de su género.</w:t>
      </w:r>
      <w:r w:rsidR="0038237D">
        <w:rPr>
          <w:lang w:val="es-ES_tradnl"/>
        </w:rPr>
        <w:t xml:space="preserve"> </w:t>
      </w:r>
    </w:p>
    <w:p w:rsidR="0038237D" w:rsidRPr="00EA0AB9" w:rsidRDefault="000D4F95" w:rsidP="000D4F95">
      <w:pPr>
        <w:pStyle w:val="SingleTxt"/>
        <w:suppressAutoHyphens/>
        <w:rPr>
          <w:lang w:val="es-ES_tradnl"/>
        </w:rPr>
      </w:pPr>
      <w:r>
        <w:rPr>
          <w:lang w:val="es-ES_tradnl"/>
        </w:rPr>
        <w:tab/>
      </w:r>
      <w:r w:rsidR="0038237D" w:rsidRPr="00EA0AB9">
        <w:rPr>
          <w:lang w:val="es-ES_tradnl"/>
        </w:rPr>
        <w:t>Como se muestra en el cuadro 1, la mayoría de los nuevos alumnos de los programas de educación superior de Dinamarca son mujeres.</w:t>
      </w:r>
    </w:p>
    <w:p w:rsidR="000D4F95" w:rsidRPr="000D4F95" w:rsidRDefault="000D4F95" w:rsidP="000D4F95">
      <w:pPr>
        <w:pStyle w:val="Heading1"/>
        <w:keepNext/>
        <w:suppressAutoHyphens w:val="0"/>
        <w:spacing w:line="120" w:lineRule="exact"/>
        <w:ind w:right="1134"/>
        <w:jc w:val="both"/>
        <w:rPr>
          <w:rFonts w:cs="Arial"/>
          <w:bCs/>
          <w:sz w:val="10"/>
          <w:szCs w:val="32"/>
          <w:lang w:val="es-ES_tradnl" w:eastAsia="es-ES"/>
        </w:rPr>
      </w:pPr>
    </w:p>
    <w:p w:rsidR="0038237D" w:rsidRPr="000D4F95" w:rsidRDefault="000D4F95"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eastAsia="es-ES"/>
        </w:rPr>
      </w:pPr>
      <w:r>
        <w:rPr>
          <w:lang w:val="es-ES_tradnl" w:eastAsia="es-ES"/>
        </w:rPr>
        <w:tab/>
      </w:r>
      <w:r>
        <w:rPr>
          <w:lang w:val="es-ES_tradnl" w:eastAsia="es-ES"/>
        </w:rPr>
        <w:tab/>
      </w:r>
      <w:r w:rsidR="0038237D" w:rsidRPr="000D4F95">
        <w:rPr>
          <w:b w:val="0"/>
          <w:lang w:val="es-ES_tradnl" w:eastAsia="es-ES"/>
        </w:rPr>
        <w:t>Cuadro 1</w:t>
      </w:r>
    </w:p>
    <w:p w:rsidR="0038237D" w:rsidRPr="00BA1EAC" w:rsidRDefault="000D4F95" w:rsidP="000D4F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Pr>
          <w:lang w:val="es-ES_tradnl" w:eastAsia="es-ES"/>
        </w:rPr>
        <w:tab/>
      </w:r>
      <w:r>
        <w:rPr>
          <w:lang w:val="es-ES_tradnl" w:eastAsia="es-ES"/>
        </w:rPr>
        <w:tab/>
      </w:r>
      <w:r w:rsidR="0038237D" w:rsidRPr="00164552">
        <w:rPr>
          <w:lang w:val="es-ES_tradnl" w:eastAsia="es-ES"/>
        </w:rPr>
        <w:t>Nuevos alumnos de la educación superior por género y origen, 2005-2011</w:t>
      </w:r>
    </w:p>
    <w:p w:rsidR="000D4F95" w:rsidRPr="000D4F95" w:rsidRDefault="000D4F95" w:rsidP="000D4F95">
      <w:pPr>
        <w:pStyle w:val="SingleTxt"/>
        <w:suppressAutoHyphens/>
        <w:spacing w:after="0" w:line="120" w:lineRule="exact"/>
        <w:rPr>
          <w:sz w:val="10"/>
          <w:lang w:val="es-ES_tradnl" w:eastAsia="es-ES"/>
        </w:rPr>
      </w:pPr>
    </w:p>
    <w:p w:rsidR="000E4D28" w:rsidRPr="000E4D28" w:rsidRDefault="000E4D28" w:rsidP="000E4D28">
      <w:pPr>
        <w:pStyle w:val="SingleTxt"/>
        <w:suppressAutoHyphens/>
        <w:spacing w:after="0" w:line="120" w:lineRule="exact"/>
        <w:rPr>
          <w:sz w:val="10"/>
          <w:lang w:val="es-ES_tradnl" w:eastAsia="es-ES"/>
        </w:rPr>
      </w:pPr>
    </w:p>
    <w:tbl>
      <w:tblPr>
        <w:tblW w:w="8613" w:type="dxa"/>
        <w:tblInd w:w="1260" w:type="dxa"/>
        <w:tblLayout w:type="fixed"/>
        <w:tblCellMar>
          <w:left w:w="0" w:type="dxa"/>
          <w:right w:w="0" w:type="dxa"/>
        </w:tblCellMar>
        <w:tblLook w:val="0000"/>
      </w:tblPr>
      <w:tblGrid>
        <w:gridCol w:w="957"/>
        <w:gridCol w:w="1284"/>
        <w:gridCol w:w="873"/>
        <w:gridCol w:w="714"/>
        <w:gridCol w:w="957"/>
        <w:gridCol w:w="957"/>
        <w:gridCol w:w="957"/>
        <w:gridCol w:w="957"/>
        <w:gridCol w:w="957"/>
      </w:tblGrid>
      <w:tr w:rsidR="00323D21" w:rsidRPr="000E4D28" w:rsidTr="00323D21">
        <w:tblPrEx>
          <w:tblCellMar>
            <w:top w:w="0" w:type="dxa"/>
            <w:bottom w:w="0" w:type="dxa"/>
          </w:tblCellMar>
        </w:tblPrEx>
        <w:trPr>
          <w:tblHeader/>
        </w:trPr>
        <w:tc>
          <w:tcPr>
            <w:tcW w:w="957" w:type="dxa"/>
            <w:tcBorders>
              <w:top w:val="single" w:sz="4" w:space="0" w:color="auto"/>
              <w:bottom w:val="single" w:sz="12" w:space="0" w:color="auto"/>
            </w:tcBorders>
            <w:shd w:val="clear" w:color="auto" w:fill="auto"/>
            <w:vAlign w:val="bottom"/>
          </w:tcPr>
          <w:p w:rsidR="00323D21" w:rsidRPr="000E4D28" w:rsidRDefault="00323D21" w:rsidP="00323D21">
            <w:pPr>
              <w:pStyle w:val="SingleTxtG"/>
              <w:spacing w:before="80" w:after="80" w:line="160" w:lineRule="exact"/>
              <w:ind w:left="0" w:right="40"/>
              <w:jc w:val="left"/>
              <w:rPr>
                <w:i/>
                <w:sz w:val="14"/>
                <w:szCs w:val="14"/>
                <w:lang w:val="es-ES_tradnl"/>
              </w:rPr>
            </w:pPr>
            <w:r w:rsidRPr="000E4D28">
              <w:rPr>
                <w:i/>
                <w:sz w:val="14"/>
                <w:szCs w:val="14"/>
                <w:lang w:val="es-ES_tradnl"/>
              </w:rPr>
              <w:t>Género</w:t>
            </w:r>
          </w:p>
        </w:tc>
        <w:tc>
          <w:tcPr>
            <w:tcW w:w="1284" w:type="dxa"/>
            <w:tcBorders>
              <w:top w:val="single" w:sz="4" w:space="0" w:color="auto"/>
              <w:bottom w:val="single" w:sz="12" w:space="0" w:color="auto"/>
            </w:tcBorders>
            <w:shd w:val="clear" w:color="auto" w:fill="auto"/>
            <w:vAlign w:val="bottom"/>
          </w:tcPr>
          <w:p w:rsidR="00323D21" w:rsidRPr="000E4D28" w:rsidRDefault="00323D21" w:rsidP="00323D21">
            <w:pPr>
              <w:pStyle w:val="SingleTxtG"/>
              <w:spacing w:before="80" w:after="80" w:line="160" w:lineRule="exact"/>
              <w:ind w:left="113" w:right="40"/>
              <w:jc w:val="left"/>
              <w:rPr>
                <w:i/>
                <w:sz w:val="14"/>
                <w:szCs w:val="14"/>
                <w:lang w:val="es-ES_tradnl"/>
              </w:rPr>
            </w:pPr>
            <w:r w:rsidRPr="000E4D28">
              <w:rPr>
                <w:i/>
                <w:sz w:val="14"/>
                <w:szCs w:val="14"/>
                <w:lang w:val="es-ES_tradnl"/>
              </w:rPr>
              <w:t>Origen</w:t>
            </w:r>
          </w:p>
        </w:tc>
        <w:tc>
          <w:tcPr>
            <w:tcW w:w="873" w:type="dxa"/>
            <w:tcBorders>
              <w:top w:val="single" w:sz="4" w:space="0" w:color="auto"/>
              <w:bottom w:val="single" w:sz="12" w:space="0" w:color="auto"/>
            </w:tcBorders>
            <w:shd w:val="clear" w:color="auto" w:fill="auto"/>
            <w:vAlign w:val="bottom"/>
          </w:tcPr>
          <w:p w:rsidR="00323D21" w:rsidRPr="000E4D28" w:rsidRDefault="00323D21" w:rsidP="00323D21">
            <w:pPr>
              <w:pStyle w:val="SingleTxtG"/>
              <w:spacing w:before="80" w:after="80" w:line="160" w:lineRule="exact"/>
              <w:ind w:left="113" w:right="40"/>
              <w:jc w:val="right"/>
              <w:rPr>
                <w:bCs/>
                <w:i/>
                <w:sz w:val="14"/>
                <w:szCs w:val="14"/>
                <w:lang w:val="es-ES_tradnl"/>
              </w:rPr>
            </w:pPr>
            <w:r w:rsidRPr="000E4D28">
              <w:rPr>
                <w:bCs/>
                <w:i/>
                <w:sz w:val="14"/>
                <w:szCs w:val="14"/>
                <w:lang w:val="es-ES_tradnl"/>
              </w:rPr>
              <w:t>2005</w:t>
            </w:r>
          </w:p>
        </w:tc>
        <w:tc>
          <w:tcPr>
            <w:tcW w:w="714" w:type="dxa"/>
            <w:tcBorders>
              <w:top w:val="single" w:sz="4" w:space="0" w:color="auto"/>
              <w:bottom w:val="single" w:sz="12" w:space="0" w:color="auto"/>
            </w:tcBorders>
            <w:shd w:val="clear" w:color="auto" w:fill="auto"/>
            <w:vAlign w:val="bottom"/>
          </w:tcPr>
          <w:p w:rsidR="00323D21" w:rsidRPr="000E4D28" w:rsidRDefault="00323D21" w:rsidP="00323D21">
            <w:pPr>
              <w:pStyle w:val="SingleTxtG"/>
              <w:spacing w:before="80" w:after="80" w:line="160" w:lineRule="exact"/>
              <w:ind w:left="113" w:right="40"/>
              <w:jc w:val="right"/>
              <w:rPr>
                <w:bCs/>
                <w:i/>
                <w:sz w:val="14"/>
                <w:szCs w:val="14"/>
                <w:lang w:val="es-ES_tradnl"/>
              </w:rPr>
            </w:pPr>
            <w:r w:rsidRPr="000E4D28">
              <w:rPr>
                <w:bCs/>
                <w:i/>
                <w:sz w:val="14"/>
                <w:szCs w:val="14"/>
                <w:lang w:val="es-ES_tradnl"/>
              </w:rPr>
              <w:t>2006</w:t>
            </w:r>
          </w:p>
        </w:tc>
        <w:tc>
          <w:tcPr>
            <w:tcW w:w="957" w:type="dxa"/>
            <w:tcBorders>
              <w:top w:val="single" w:sz="4" w:space="0" w:color="auto"/>
              <w:bottom w:val="single" w:sz="12" w:space="0" w:color="auto"/>
            </w:tcBorders>
            <w:shd w:val="clear" w:color="auto" w:fill="auto"/>
            <w:vAlign w:val="bottom"/>
          </w:tcPr>
          <w:p w:rsidR="00323D21" w:rsidRPr="000E4D28" w:rsidRDefault="00323D21" w:rsidP="00323D21">
            <w:pPr>
              <w:pStyle w:val="SingleTxtG"/>
              <w:spacing w:before="80" w:after="80" w:line="160" w:lineRule="exact"/>
              <w:ind w:left="113" w:right="40"/>
              <w:jc w:val="right"/>
              <w:rPr>
                <w:bCs/>
                <w:i/>
                <w:sz w:val="14"/>
                <w:szCs w:val="14"/>
                <w:lang w:val="es-ES_tradnl"/>
              </w:rPr>
            </w:pPr>
            <w:r w:rsidRPr="000E4D28">
              <w:rPr>
                <w:bCs/>
                <w:i/>
                <w:sz w:val="14"/>
                <w:szCs w:val="14"/>
                <w:lang w:val="es-ES_tradnl"/>
              </w:rPr>
              <w:t>2007</w:t>
            </w:r>
          </w:p>
        </w:tc>
        <w:tc>
          <w:tcPr>
            <w:tcW w:w="957" w:type="dxa"/>
            <w:tcBorders>
              <w:top w:val="single" w:sz="4" w:space="0" w:color="auto"/>
              <w:bottom w:val="single" w:sz="12" w:space="0" w:color="auto"/>
            </w:tcBorders>
            <w:shd w:val="clear" w:color="auto" w:fill="auto"/>
            <w:vAlign w:val="bottom"/>
          </w:tcPr>
          <w:p w:rsidR="00323D21" w:rsidRPr="000E4D28" w:rsidRDefault="00323D21" w:rsidP="00323D21">
            <w:pPr>
              <w:pStyle w:val="SingleTxtG"/>
              <w:spacing w:before="80" w:after="80" w:line="160" w:lineRule="exact"/>
              <w:ind w:left="113" w:right="40"/>
              <w:jc w:val="right"/>
              <w:rPr>
                <w:bCs/>
                <w:i/>
                <w:sz w:val="14"/>
                <w:szCs w:val="14"/>
                <w:lang w:val="es-ES_tradnl"/>
              </w:rPr>
            </w:pPr>
            <w:r w:rsidRPr="000E4D28">
              <w:rPr>
                <w:bCs/>
                <w:i/>
                <w:sz w:val="14"/>
                <w:szCs w:val="14"/>
                <w:lang w:val="es-ES_tradnl"/>
              </w:rPr>
              <w:t>2008</w:t>
            </w:r>
          </w:p>
        </w:tc>
        <w:tc>
          <w:tcPr>
            <w:tcW w:w="957" w:type="dxa"/>
            <w:tcBorders>
              <w:top w:val="single" w:sz="4" w:space="0" w:color="auto"/>
              <w:bottom w:val="single" w:sz="12" w:space="0" w:color="auto"/>
            </w:tcBorders>
            <w:shd w:val="clear" w:color="auto" w:fill="auto"/>
            <w:vAlign w:val="bottom"/>
          </w:tcPr>
          <w:p w:rsidR="00323D21" w:rsidRPr="000E4D28" w:rsidRDefault="00323D21" w:rsidP="00323D21">
            <w:pPr>
              <w:pStyle w:val="SingleTxtG"/>
              <w:spacing w:before="80" w:after="80" w:line="160" w:lineRule="exact"/>
              <w:ind w:left="113" w:right="40"/>
              <w:jc w:val="right"/>
              <w:rPr>
                <w:bCs/>
                <w:i/>
                <w:sz w:val="14"/>
                <w:szCs w:val="14"/>
                <w:lang w:val="es-ES_tradnl"/>
              </w:rPr>
            </w:pPr>
            <w:r w:rsidRPr="000E4D28">
              <w:rPr>
                <w:bCs/>
                <w:i/>
                <w:sz w:val="14"/>
                <w:szCs w:val="14"/>
                <w:lang w:val="es-ES_tradnl"/>
              </w:rPr>
              <w:t>2009</w:t>
            </w:r>
          </w:p>
        </w:tc>
        <w:tc>
          <w:tcPr>
            <w:tcW w:w="957" w:type="dxa"/>
            <w:tcBorders>
              <w:top w:val="single" w:sz="4" w:space="0" w:color="auto"/>
              <w:bottom w:val="single" w:sz="12" w:space="0" w:color="auto"/>
            </w:tcBorders>
            <w:shd w:val="clear" w:color="auto" w:fill="auto"/>
            <w:vAlign w:val="bottom"/>
          </w:tcPr>
          <w:p w:rsidR="00323D21" w:rsidRPr="000E4D28" w:rsidRDefault="00323D21" w:rsidP="00323D21">
            <w:pPr>
              <w:pStyle w:val="SingleTxtG"/>
              <w:spacing w:before="80" w:after="80" w:line="160" w:lineRule="exact"/>
              <w:ind w:left="113" w:right="40"/>
              <w:jc w:val="right"/>
              <w:rPr>
                <w:bCs/>
                <w:i/>
                <w:sz w:val="14"/>
                <w:szCs w:val="14"/>
                <w:lang w:val="es-ES_tradnl"/>
              </w:rPr>
            </w:pPr>
            <w:r w:rsidRPr="000E4D28">
              <w:rPr>
                <w:bCs/>
                <w:i/>
                <w:sz w:val="14"/>
                <w:szCs w:val="14"/>
                <w:lang w:val="es-ES_tradnl"/>
              </w:rPr>
              <w:t>2010</w:t>
            </w:r>
          </w:p>
        </w:tc>
        <w:tc>
          <w:tcPr>
            <w:tcW w:w="957" w:type="dxa"/>
            <w:tcBorders>
              <w:top w:val="single" w:sz="4" w:space="0" w:color="auto"/>
              <w:bottom w:val="single" w:sz="12" w:space="0" w:color="auto"/>
            </w:tcBorders>
            <w:shd w:val="clear" w:color="auto" w:fill="auto"/>
            <w:vAlign w:val="bottom"/>
          </w:tcPr>
          <w:p w:rsidR="00323D21" w:rsidRPr="000E4D28" w:rsidRDefault="00323D21" w:rsidP="00323D21">
            <w:pPr>
              <w:pStyle w:val="SingleTxtG"/>
              <w:spacing w:before="80" w:after="80" w:line="160" w:lineRule="exact"/>
              <w:ind w:left="113" w:right="40"/>
              <w:jc w:val="right"/>
              <w:rPr>
                <w:bCs/>
                <w:i/>
                <w:sz w:val="14"/>
                <w:szCs w:val="14"/>
                <w:lang w:val="es-ES_tradnl"/>
              </w:rPr>
            </w:pPr>
            <w:r w:rsidRPr="000E4D28">
              <w:rPr>
                <w:bCs/>
                <w:i/>
                <w:sz w:val="14"/>
                <w:szCs w:val="14"/>
                <w:lang w:val="es-ES_tradnl"/>
              </w:rPr>
              <w:t>2011</w:t>
            </w:r>
          </w:p>
        </w:tc>
      </w:tr>
      <w:tr w:rsidR="00323D21" w:rsidRPr="000D4F95" w:rsidTr="00323D21">
        <w:tblPrEx>
          <w:tblCellMar>
            <w:top w:w="0" w:type="dxa"/>
            <w:bottom w:w="0" w:type="dxa"/>
          </w:tblCellMar>
        </w:tblPrEx>
        <w:trPr>
          <w:trHeight w:hRule="exact" w:val="115"/>
          <w:tblHeader/>
        </w:trPr>
        <w:tc>
          <w:tcPr>
            <w:tcW w:w="957" w:type="dxa"/>
            <w:tcBorders>
              <w:top w:val="single" w:sz="12" w:space="0" w:color="auto"/>
            </w:tcBorders>
            <w:shd w:val="clear" w:color="auto" w:fill="auto"/>
            <w:vAlign w:val="bottom"/>
          </w:tcPr>
          <w:p w:rsidR="00323D21" w:rsidRPr="000D4F95" w:rsidRDefault="00323D21" w:rsidP="00323D21">
            <w:pPr>
              <w:tabs>
                <w:tab w:val="left" w:pos="288"/>
                <w:tab w:val="left" w:pos="576"/>
                <w:tab w:val="left" w:pos="864"/>
                <w:tab w:val="left" w:pos="1152"/>
              </w:tabs>
              <w:spacing w:before="40" w:after="40" w:line="210" w:lineRule="exact"/>
              <w:ind w:right="40"/>
              <w:rPr>
                <w:kern w:val="0"/>
                <w:sz w:val="17"/>
                <w:lang w:val="es-ES_tradnl" w:eastAsia="es-ES"/>
              </w:rPr>
            </w:pPr>
          </w:p>
        </w:tc>
        <w:tc>
          <w:tcPr>
            <w:tcW w:w="1284" w:type="dxa"/>
            <w:tcBorders>
              <w:top w:val="single" w:sz="12" w:space="0" w:color="auto"/>
            </w:tcBorders>
            <w:shd w:val="clear" w:color="auto" w:fill="auto"/>
            <w:vAlign w:val="bottom"/>
          </w:tcPr>
          <w:p w:rsidR="00323D21" w:rsidRPr="000D4F95" w:rsidRDefault="00323D21" w:rsidP="00323D21">
            <w:pPr>
              <w:tabs>
                <w:tab w:val="left" w:pos="288"/>
                <w:tab w:val="left" w:pos="576"/>
                <w:tab w:val="left" w:pos="864"/>
                <w:tab w:val="left" w:pos="1152"/>
              </w:tabs>
              <w:spacing w:before="40" w:after="40" w:line="210" w:lineRule="exact"/>
              <w:ind w:right="40"/>
              <w:rPr>
                <w:kern w:val="0"/>
                <w:sz w:val="17"/>
                <w:lang w:val="es-ES_tradnl" w:eastAsia="es-ES"/>
              </w:rPr>
            </w:pPr>
          </w:p>
        </w:tc>
        <w:tc>
          <w:tcPr>
            <w:tcW w:w="873" w:type="dxa"/>
            <w:tcBorders>
              <w:top w:val="single" w:sz="12" w:space="0" w:color="auto"/>
            </w:tcBorders>
            <w:shd w:val="clear" w:color="auto" w:fill="auto"/>
            <w:vAlign w:val="bottom"/>
          </w:tcPr>
          <w:p w:rsidR="00323D21" w:rsidRPr="000D4F95" w:rsidRDefault="00323D21" w:rsidP="00323D21">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714" w:type="dxa"/>
            <w:tcBorders>
              <w:top w:val="single" w:sz="12" w:space="0" w:color="auto"/>
            </w:tcBorders>
            <w:shd w:val="clear" w:color="auto" w:fill="auto"/>
            <w:vAlign w:val="bottom"/>
          </w:tcPr>
          <w:p w:rsidR="00323D21" w:rsidRPr="000D4F95" w:rsidRDefault="00323D21" w:rsidP="00323D21">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957" w:type="dxa"/>
            <w:tcBorders>
              <w:top w:val="single" w:sz="12" w:space="0" w:color="auto"/>
            </w:tcBorders>
            <w:shd w:val="clear" w:color="auto" w:fill="auto"/>
            <w:vAlign w:val="bottom"/>
          </w:tcPr>
          <w:p w:rsidR="00323D21" w:rsidRPr="000D4F95" w:rsidRDefault="00323D21" w:rsidP="00323D21">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957" w:type="dxa"/>
            <w:tcBorders>
              <w:top w:val="single" w:sz="12" w:space="0" w:color="auto"/>
            </w:tcBorders>
            <w:shd w:val="clear" w:color="auto" w:fill="auto"/>
            <w:vAlign w:val="bottom"/>
          </w:tcPr>
          <w:p w:rsidR="00323D21" w:rsidRPr="000D4F95" w:rsidRDefault="00323D21" w:rsidP="00323D21">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957" w:type="dxa"/>
            <w:tcBorders>
              <w:top w:val="single" w:sz="12" w:space="0" w:color="auto"/>
            </w:tcBorders>
            <w:shd w:val="clear" w:color="auto" w:fill="auto"/>
            <w:vAlign w:val="bottom"/>
          </w:tcPr>
          <w:p w:rsidR="00323D21" w:rsidRPr="000D4F95" w:rsidRDefault="00323D21" w:rsidP="00323D21">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957" w:type="dxa"/>
            <w:tcBorders>
              <w:top w:val="single" w:sz="12" w:space="0" w:color="auto"/>
            </w:tcBorders>
            <w:shd w:val="clear" w:color="auto" w:fill="auto"/>
            <w:vAlign w:val="bottom"/>
          </w:tcPr>
          <w:p w:rsidR="00323D21" w:rsidRPr="000D4F95" w:rsidRDefault="00323D21" w:rsidP="00323D21">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957" w:type="dxa"/>
            <w:tcBorders>
              <w:top w:val="single" w:sz="12" w:space="0" w:color="auto"/>
            </w:tcBorders>
            <w:shd w:val="clear" w:color="auto" w:fill="auto"/>
            <w:vAlign w:val="bottom"/>
          </w:tcPr>
          <w:p w:rsidR="00323D21" w:rsidRPr="000D4F95" w:rsidRDefault="00323D21" w:rsidP="00323D21">
            <w:pPr>
              <w:tabs>
                <w:tab w:val="left" w:pos="288"/>
                <w:tab w:val="left" w:pos="576"/>
                <w:tab w:val="left" w:pos="864"/>
                <w:tab w:val="left" w:pos="1152"/>
              </w:tabs>
              <w:spacing w:before="40" w:after="40" w:line="210" w:lineRule="exact"/>
              <w:ind w:right="40"/>
              <w:jc w:val="right"/>
              <w:rPr>
                <w:kern w:val="0"/>
                <w:sz w:val="17"/>
                <w:lang w:val="es-ES_tradnl" w:eastAsia="es-ES"/>
              </w:rPr>
            </w:pPr>
          </w:p>
        </w:tc>
      </w:tr>
      <w:tr w:rsidR="00323D21" w:rsidRPr="001B27F2" w:rsidTr="00323D21">
        <w:tblPrEx>
          <w:tblCellMar>
            <w:top w:w="0" w:type="dxa"/>
            <w:bottom w:w="0" w:type="dxa"/>
          </w:tblCellMar>
        </w:tblPrEx>
        <w:tc>
          <w:tcPr>
            <w:tcW w:w="957" w:type="dxa"/>
            <w:shd w:val="clear" w:color="auto" w:fill="auto"/>
            <w:vAlign w:val="bottom"/>
          </w:tcPr>
          <w:p w:rsidR="00323D21" w:rsidRPr="001B27F2" w:rsidRDefault="00323D21" w:rsidP="00323D21">
            <w:pPr>
              <w:pStyle w:val="SingleTxtG"/>
              <w:spacing w:before="40" w:after="40" w:line="210" w:lineRule="exact"/>
              <w:ind w:left="0" w:right="40"/>
              <w:jc w:val="left"/>
              <w:rPr>
                <w:sz w:val="17"/>
                <w:szCs w:val="17"/>
                <w:lang w:val="es-ES_tradnl"/>
              </w:rPr>
            </w:pPr>
            <w:r w:rsidRPr="001B27F2">
              <w:rPr>
                <w:sz w:val="17"/>
                <w:szCs w:val="17"/>
                <w:lang w:val="es-ES_tradnl"/>
              </w:rPr>
              <w:t>Hombres</w:t>
            </w:r>
          </w:p>
        </w:tc>
        <w:tc>
          <w:tcPr>
            <w:tcW w:w="1284" w:type="dxa"/>
            <w:shd w:val="clear" w:color="auto" w:fill="auto"/>
            <w:vAlign w:val="bottom"/>
          </w:tcPr>
          <w:p w:rsidR="00323D21" w:rsidRPr="001B27F2" w:rsidRDefault="00323D21" w:rsidP="00323D21">
            <w:pPr>
              <w:pStyle w:val="SingleTxtG"/>
              <w:spacing w:before="40" w:after="40" w:line="210" w:lineRule="exact"/>
              <w:ind w:left="113" w:right="40"/>
              <w:jc w:val="left"/>
              <w:rPr>
                <w:sz w:val="17"/>
                <w:szCs w:val="17"/>
                <w:lang w:val="es-ES_tradnl"/>
              </w:rPr>
            </w:pPr>
            <w:r w:rsidRPr="001B27F2">
              <w:rPr>
                <w:sz w:val="17"/>
                <w:szCs w:val="17"/>
                <w:lang w:val="es-ES_tradnl"/>
              </w:rPr>
              <w:t>Origen danés</w:t>
            </w:r>
          </w:p>
        </w:tc>
        <w:tc>
          <w:tcPr>
            <w:tcW w:w="873" w:type="dxa"/>
            <w:shd w:val="clear" w:color="auto" w:fill="auto"/>
            <w:vAlign w:val="bottom"/>
          </w:tcPr>
          <w:p w:rsidR="00323D21" w:rsidRPr="001B27F2" w:rsidRDefault="00323D21" w:rsidP="00323D21">
            <w:pPr>
              <w:pStyle w:val="SingleTxtG"/>
              <w:spacing w:before="40" w:after="40" w:line="210" w:lineRule="exact"/>
              <w:ind w:left="113" w:right="40"/>
              <w:jc w:val="right"/>
              <w:rPr>
                <w:sz w:val="17"/>
                <w:szCs w:val="17"/>
                <w:lang w:val="es-ES_tradnl"/>
              </w:rPr>
            </w:pPr>
            <w:r w:rsidRPr="001B27F2">
              <w:rPr>
                <w:sz w:val="17"/>
                <w:szCs w:val="17"/>
                <w:lang w:val="es-ES_tradnl"/>
              </w:rPr>
              <w:t>22</w:t>
            </w:r>
            <w:r w:rsidR="00C530DF">
              <w:rPr>
                <w:sz w:val="17"/>
                <w:szCs w:val="17"/>
                <w:lang w:val="es-ES_tradnl"/>
              </w:rPr>
              <w:t xml:space="preserve"> </w:t>
            </w:r>
            <w:r w:rsidRPr="001B27F2">
              <w:rPr>
                <w:sz w:val="17"/>
                <w:szCs w:val="17"/>
                <w:lang w:val="es-ES_tradnl"/>
              </w:rPr>
              <w:t>257</w:t>
            </w:r>
          </w:p>
        </w:tc>
        <w:tc>
          <w:tcPr>
            <w:tcW w:w="714" w:type="dxa"/>
            <w:shd w:val="clear" w:color="auto" w:fill="auto"/>
            <w:vAlign w:val="bottom"/>
          </w:tcPr>
          <w:p w:rsidR="00323D21" w:rsidRPr="001B27F2" w:rsidRDefault="00323D21" w:rsidP="00323D21">
            <w:pPr>
              <w:pStyle w:val="SingleTxtG"/>
              <w:spacing w:before="40" w:after="40" w:line="210" w:lineRule="exact"/>
              <w:ind w:left="113" w:right="40"/>
              <w:jc w:val="right"/>
              <w:rPr>
                <w:sz w:val="17"/>
                <w:szCs w:val="17"/>
                <w:lang w:val="es-ES_tradnl"/>
              </w:rPr>
            </w:pPr>
            <w:r w:rsidRPr="001B27F2">
              <w:rPr>
                <w:sz w:val="17"/>
                <w:szCs w:val="17"/>
                <w:lang w:val="es-ES_tradnl"/>
              </w:rPr>
              <w:t>21</w:t>
            </w:r>
            <w:r w:rsidR="00C530DF">
              <w:rPr>
                <w:sz w:val="17"/>
                <w:szCs w:val="17"/>
                <w:lang w:val="es-ES_tradnl"/>
              </w:rPr>
              <w:t xml:space="preserve"> </w:t>
            </w:r>
            <w:r w:rsidRPr="001B27F2">
              <w:rPr>
                <w:sz w:val="17"/>
                <w:szCs w:val="17"/>
                <w:lang w:val="es-ES_tradnl"/>
              </w:rPr>
              <w:t>433</w:t>
            </w:r>
          </w:p>
        </w:tc>
        <w:tc>
          <w:tcPr>
            <w:tcW w:w="957" w:type="dxa"/>
            <w:shd w:val="clear" w:color="auto" w:fill="auto"/>
            <w:vAlign w:val="bottom"/>
          </w:tcPr>
          <w:p w:rsidR="00323D21" w:rsidRPr="001B27F2" w:rsidRDefault="00323D21" w:rsidP="00323D21">
            <w:pPr>
              <w:pStyle w:val="SingleTxtG"/>
              <w:spacing w:before="40" w:after="40" w:line="210" w:lineRule="exact"/>
              <w:ind w:left="113" w:right="40"/>
              <w:jc w:val="right"/>
              <w:rPr>
                <w:sz w:val="17"/>
                <w:szCs w:val="17"/>
                <w:lang w:val="es-ES_tradnl"/>
              </w:rPr>
            </w:pPr>
            <w:r w:rsidRPr="001B27F2">
              <w:rPr>
                <w:sz w:val="17"/>
                <w:szCs w:val="17"/>
                <w:lang w:val="es-ES_tradnl"/>
              </w:rPr>
              <w:t>22</w:t>
            </w:r>
            <w:r w:rsidR="00C530DF">
              <w:rPr>
                <w:sz w:val="17"/>
                <w:szCs w:val="17"/>
                <w:lang w:val="es-ES_tradnl"/>
              </w:rPr>
              <w:t xml:space="preserve"> </w:t>
            </w:r>
            <w:r w:rsidRPr="001B27F2">
              <w:rPr>
                <w:sz w:val="17"/>
                <w:szCs w:val="17"/>
                <w:lang w:val="es-ES_tradnl"/>
              </w:rPr>
              <w:t>051</w:t>
            </w:r>
          </w:p>
        </w:tc>
        <w:tc>
          <w:tcPr>
            <w:tcW w:w="957" w:type="dxa"/>
            <w:shd w:val="clear" w:color="auto" w:fill="auto"/>
            <w:vAlign w:val="bottom"/>
          </w:tcPr>
          <w:p w:rsidR="00323D21" w:rsidRPr="001B27F2" w:rsidRDefault="00323D21" w:rsidP="00323D21">
            <w:pPr>
              <w:pStyle w:val="SingleTxtG"/>
              <w:spacing w:before="40" w:after="40" w:line="210" w:lineRule="exact"/>
              <w:ind w:left="113" w:right="40"/>
              <w:jc w:val="right"/>
              <w:rPr>
                <w:sz w:val="17"/>
                <w:szCs w:val="17"/>
                <w:lang w:val="es-ES_tradnl"/>
              </w:rPr>
            </w:pPr>
            <w:r w:rsidRPr="001B27F2">
              <w:rPr>
                <w:sz w:val="17"/>
                <w:szCs w:val="17"/>
                <w:lang w:val="es-ES_tradnl"/>
              </w:rPr>
              <w:t>21</w:t>
            </w:r>
            <w:r w:rsidR="00C530DF">
              <w:rPr>
                <w:sz w:val="17"/>
                <w:szCs w:val="17"/>
                <w:lang w:val="es-ES_tradnl"/>
              </w:rPr>
              <w:t xml:space="preserve"> </w:t>
            </w:r>
            <w:r w:rsidRPr="001B27F2">
              <w:rPr>
                <w:sz w:val="17"/>
                <w:szCs w:val="17"/>
                <w:lang w:val="es-ES_tradnl"/>
              </w:rPr>
              <w:t>370</w:t>
            </w:r>
          </w:p>
        </w:tc>
        <w:tc>
          <w:tcPr>
            <w:tcW w:w="957" w:type="dxa"/>
            <w:shd w:val="clear" w:color="auto" w:fill="auto"/>
            <w:vAlign w:val="bottom"/>
          </w:tcPr>
          <w:p w:rsidR="00323D21" w:rsidRPr="001B27F2" w:rsidRDefault="00323D21" w:rsidP="00323D21">
            <w:pPr>
              <w:pStyle w:val="SingleTxtG"/>
              <w:spacing w:before="40" w:after="40" w:line="210" w:lineRule="exact"/>
              <w:ind w:left="113" w:right="40"/>
              <w:jc w:val="right"/>
              <w:rPr>
                <w:sz w:val="17"/>
                <w:szCs w:val="17"/>
                <w:lang w:val="es-ES_tradnl"/>
              </w:rPr>
            </w:pPr>
            <w:r w:rsidRPr="001B27F2">
              <w:rPr>
                <w:sz w:val="17"/>
                <w:szCs w:val="17"/>
                <w:lang w:val="es-ES_tradnl"/>
              </w:rPr>
              <w:t>24</w:t>
            </w:r>
            <w:r w:rsidR="00C530DF">
              <w:rPr>
                <w:sz w:val="17"/>
                <w:szCs w:val="17"/>
                <w:lang w:val="es-ES_tradnl"/>
              </w:rPr>
              <w:t xml:space="preserve"> </w:t>
            </w:r>
            <w:r w:rsidRPr="001B27F2">
              <w:rPr>
                <w:sz w:val="17"/>
                <w:szCs w:val="17"/>
                <w:lang w:val="es-ES_tradnl"/>
              </w:rPr>
              <w:t>425</w:t>
            </w:r>
          </w:p>
        </w:tc>
        <w:tc>
          <w:tcPr>
            <w:tcW w:w="957" w:type="dxa"/>
            <w:shd w:val="clear" w:color="auto" w:fill="auto"/>
            <w:vAlign w:val="bottom"/>
          </w:tcPr>
          <w:p w:rsidR="00323D21" w:rsidRPr="001B27F2" w:rsidRDefault="00323D21" w:rsidP="00323D21">
            <w:pPr>
              <w:pStyle w:val="SingleTxtG"/>
              <w:spacing w:before="40" w:after="40" w:line="210" w:lineRule="exact"/>
              <w:ind w:left="113" w:right="40"/>
              <w:jc w:val="right"/>
              <w:rPr>
                <w:sz w:val="17"/>
                <w:szCs w:val="17"/>
                <w:lang w:val="es-ES_tradnl"/>
              </w:rPr>
            </w:pPr>
            <w:r w:rsidRPr="001B27F2">
              <w:rPr>
                <w:sz w:val="17"/>
                <w:szCs w:val="17"/>
                <w:lang w:val="es-ES_tradnl"/>
              </w:rPr>
              <w:t>28</w:t>
            </w:r>
            <w:r w:rsidR="00C530DF">
              <w:rPr>
                <w:sz w:val="17"/>
                <w:szCs w:val="17"/>
                <w:lang w:val="es-ES_tradnl"/>
              </w:rPr>
              <w:t xml:space="preserve"> </w:t>
            </w:r>
            <w:r w:rsidRPr="001B27F2">
              <w:rPr>
                <w:sz w:val="17"/>
                <w:szCs w:val="17"/>
                <w:lang w:val="es-ES_tradnl"/>
              </w:rPr>
              <w:t>145</w:t>
            </w:r>
          </w:p>
        </w:tc>
        <w:tc>
          <w:tcPr>
            <w:tcW w:w="957" w:type="dxa"/>
            <w:shd w:val="clear" w:color="auto" w:fill="auto"/>
            <w:vAlign w:val="bottom"/>
          </w:tcPr>
          <w:p w:rsidR="00323D21" w:rsidRPr="001B27F2" w:rsidRDefault="00323D21" w:rsidP="00323D21">
            <w:pPr>
              <w:pStyle w:val="SingleTxtG"/>
              <w:spacing w:before="40" w:after="40" w:line="210" w:lineRule="exact"/>
              <w:ind w:left="113" w:right="40"/>
              <w:jc w:val="right"/>
              <w:rPr>
                <w:sz w:val="17"/>
                <w:szCs w:val="17"/>
                <w:lang w:val="es-ES_tradnl"/>
              </w:rPr>
            </w:pPr>
            <w:r w:rsidRPr="001B27F2">
              <w:rPr>
                <w:sz w:val="17"/>
                <w:szCs w:val="17"/>
                <w:lang w:val="es-ES_tradnl"/>
              </w:rPr>
              <w:t>29</w:t>
            </w:r>
            <w:r w:rsidR="00C530DF">
              <w:rPr>
                <w:sz w:val="17"/>
                <w:szCs w:val="17"/>
                <w:lang w:val="es-ES_tradnl"/>
              </w:rPr>
              <w:t xml:space="preserve"> </w:t>
            </w:r>
            <w:r w:rsidRPr="001B27F2">
              <w:rPr>
                <w:sz w:val="17"/>
                <w:szCs w:val="17"/>
                <w:lang w:val="es-ES_tradnl"/>
              </w:rPr>
              <w:t>636</w:t>
            </w:r>
          </w:p>
        </w:tc>
      </w:tr>
      <w:tr w:rsidR="00323D21" w:rsidRPr="001B27F2" w:rsidTr="00323D21">
        <w:tblPrEx>
          <w:tblCellMar>
            <w:top w:w="0" w:type="dxa"/>
            <w:bottom w:w="0" w:type="dxa"/>
          </w:tblCellMar>
        </w:tblPrEx>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0" w:right="40"/>
              <w:jc w:val="left"/>
              <w:rPr>
                <w:sz w:val="17"/>
                <w:szCs w:val="17"/>
                <w:lang w:val="es-ES_tradnl"/>
              </w:rPr>
            </w:pPr>
          </w:p>
        </w:tc>
        <w:tc>
          <w:tcPr>
            <w:tcW w:w="1284"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left"/>
              <w:rPr>
                <w:sz w:val="17"/>
                <w:szCs w:val="17"/>
                <w:lang w:val="es-ES_tradnl"/>
              </w:rPr>
            </w:pPr>
            <w:r w:rsidRPr="001B27F2">
              <w:rPr>
                <w:sz w:val="17"/>
                <w:szCs w:val="17"/>
                <w:lang w:val="es-ES_tradnl"/>
              </w:rPr>
              <w:t>Inmigrantes y descendientes</w:t>
            </w:r>
          </w:p>
        </w:tc>
        <w:tc>
          <w:tcPr>
            <w:tcW w:w="873"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3</w:t>
            </w:r>
            <w:r w:rsidR="00C530DF">
              <w:rPr>
                <w:sz w:val="17"/>
                <w:szCs w:val="17"/>
                <w:lang w:val="es-ES_tradnl"/>
              </w:rPr>
              <w:t xml:space="preserve"> </w:t>
            </w:r>
            <w:r w:rsidRPr="001B27F2">
              <w:rPr>
                <w:sz w:val="17"/>
                <w:szCs w:val="17"/>
                <w:lang w:val="es-ES_tradnl"/>
              </w:rPr>
              <w:t>913</w:t>
            </w:r>
          </w:p>
        </w:tc>
        <w:tc>
          <w:tcPr>
            <w:tcW w:w="714"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3</w:t>
            </w:r>
            <w:r w:rsidR="00C530DF">
              <w:rPr>
                <w:sz w:val="17"/>
                <w:szCs w:val="17"/>
                <w:lang w:val="es-ES_tradnl"/>
              </w:rPr>
              <w:t xml:space="preserve"> </w:t>
            </w:r>
            <w:r w:rsidRPr="001B27F2">
              <w:rPr>
                <w:sz w:val="17"/>
                <w:szCs w:val="17"/>
                <w:lang w:val="es-ES_tradnl"/>
              </w:rPr>
              <w:t>713</w:t>
            </w:r>
          </w:p>
        </w:tc>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4</w:t>
            </w:r>
            <w:r w:rsidR="00C530DF">
              <w:rPr>
                <w:sz w:val="17"/>
                <w:szCs w:val="17"/>
                <w:lang w:val="es-ES_tradnl"/>
              </w:rPr>
              <w:t xml:space="preserve"> </w:t>
            </w:r>
            <w:r w:rsidRPr="001B27F2">
              <w:rPr>
                <w:sz w:val="17"/>
                <w:szCs w:val="17"/>
                <w:lang w:val="es-ES_tradnl"/>
              </w:rPr>
              <w:t>328</w:t>
            </w:r>
          </w:p>
        </w:tc>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4</w:t>
            </w:r>
            <w:r w:rsidR="00C530DF">
              <w:rPr>
                <w:sz w:val="17"/>
                <w:szCs w:val="17"/>
                <w:lang w:val="es-ES_tradnl"/>
              </w:rPr>
              <w:t xml:space="preserve"> </w:t>
            </w:r>
            <w:r w:rsidRPr="001B27F2">
              <w:rPr>
                <w:sz w:val="17"/>
                <w:szCs w:val="17"/>
                <w:lang w:val="es-ES_tradnl"/>
              </w:rPr>
              <w:t>970</w:t>
            </w:r>
          </w:p>
        </w:tc>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5</w:t>
            </w:r>
            <w:r w:rsidR="00C530DF">
              <w:rPr>
                <w:sz w:val="17"/>
                <w:szCs w:val="17"/>
                <w:lang w:val="es-ES_tradnl"/>
              </w:rPr>
              <w:t xml:space="preserve"> </w:t>
            </w:r>
            <w:r w:rsidRPr="001B27F2">
              <w:rPr>
                <w:sz w:val="17"/>
                <w:szCs w:val="17"/>
                <w:lang w:val="es-ES_tradnl"/>
              </w:rPr>
              <w:t>881</w:t>
            </w:r>
          </w:p>
        </w:tc>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6</w:t>
            </w:r>
            <w:r w:rsidR="00C530DF">
              <w:rPr>
                <w:sz w:val="17"/>
                <w:szCs w:val="17"/>
                <w:lang w:val="es-ES_tradnl"/>
              </w:rPr>
              <w:t xml:space="preserve"> </w:t>
            </w:r>
            <w:r w:rsidRPr="001B27F2">
              <w:rPr>
                <w:sz w:val="17"/>
                <w:szCs w:val="17"/>
                <w:lang w:val="es-ES_tradnl"/>
              </w:rPr>
              <w:t>585</w:t>
            </w:r>
          </w:p>
        </w:tc>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6</w:t>
            </w:r>
            <w:r w:rsidR="00C530DF">
              <w:rPr>
                <w:sz w:val="17"/>
                <w:szCs w:val="17"/>
                <w:lang w:val="es-ES_tradnl"/>
              </w:rPr>
              <w:t xml:space="preserve"> </w:t>
            </w:r>
            <w:r w:rsidRPr="001B27F2">
              <w:rPr>
                <w:sz w:val="17"/>
                <w:szCs w:val="17"/>
                <w:lang w:val="es-ES_tradnl"/>
              </w:rPr>
              <w:t>551</w:t>
            </w:r>
          </w:p>
        </w:tc>
      </w:tr>
      <w:tr w:rsidR="00323D21" w:rsidRPr="00323D21" w:rsidTr="00323D21">
        <w:tblPrEx>
          <w:tblCellMar>
            <w:top w:w="0" w:type="dxa"/>
            <w:bottom w:w="0" w:type="dxa"/>
          </w:tblCellMar>
        </w:tblPrEx>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0" w:right="40"/>
              <w:jc w:val="left"/>
              <w:rPr>
                <w:b/>
                <w:sz w:val="17"/>
                <w:szCs w:val="17"/>
                <w:lang w:val="es-ES_tradnl"/>
              </w:rPr>
            </w:pPr>
          </w:p>
        </w:tc>
        <w:tc>
          <w:tcPr>
            <w:tcW w:w="1284"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left"/>
              <w:rPr>
                <w:b/>
                <w:sz w:val="17"/>
                <w:szCs w:val="17"/>
                <w:lang w:val="es-ES_tradnl"/>
              </w:rPr>
            </w:pPr>
            <w:r w:rsidRPr="00323D21">
              <w:rPr>
                <w:b/>
                <w:sz w:val="17"/>
                <w:szCs w:val="17"/>
                <w:lang w:val="es-ES_tradnl"/>
              </w:rPr>
              <w:tab/>
              <w:t>Total</w:t>
            </w:r>
          </w:p>
        </w:tc>
        <w:tc>
          <w:tcPr>
            <w:tcW w:w="873"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26</w:t>
            </w:r>
            <w:r w:rsidR="00C530DF">
              <w:rPr>
                <w:b/>
                <w:sz w:val="17"/>
                <w:szCs w:val="17"/>
                <w:lang w:val="es-ES_tradnl"/>
              </w:rPr>
              <w:t xml:space="preserve"> </w:t>
            </w:r>
            <w:r w:rsidRPr="00323D21">
              <w:rPr>
                <w:b/>
                <w:sz w:val="17"/>
                <w:szCs w:val="17"/>
                <w:lang w:val="es-ES_tradnl"/>
              </w:rPr>
              <w:t>685</w:t>
            </w:r>
          </w:p>
        </w:tc>
        <w:tc>
          <w:tcPr>
            <w:tcW w:w="714"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25</w:t>
            </w:r>
            <w:r w:rsidR="00C530DF">
              <w:rPr>
                <w:b/>
                <w:sz w:val="17"/>
                <w:szCs w:val="17"/>
                <w:lang w:val="es-ES_tradnl"/>
              </w:rPr>
              <w:t xml:space="preserve"> </w:t>
            </w:r>
            <w:r w:rsidRPr="00323D21">
              <w:rPr>
                <w:b/>
                <w:sz w:val="17"/>
                <w:szCs w:val="17"/>
                <w:lang w:val="es-ES_tradnl"/>
              </w:rPr>
              <w:t>619</w:t>
            </w:r>
          </w:p>
        </w:tc>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26</w:t>
            </w:r>
            <w:r w:rsidR="00C530DF">
              <w:rPr>
                <w:b/>
                <w:sz w:val="17"/>
                <w:szCs w:val="17"/>
                <w:lang w:val="es-ES_tradnl"/>
              </w:rPr>
              <w:t xml:space="preserve"> </w:t>
            </w:r>
            <w:r w:rsidRPr="00323D21">
              <w:rPr>
                <w:b/>
                <w:sz w:val="17"/>
                <w:szCs w:val="17"/>
                <w:lang w:val="es-ES_tradnl"/>
              </w:rPr>
              <w:t>850</w:t>
            </w:r>
          </w:p>
        </w:tc>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26</w:t>
            </w:r>
            <w:r w:rsidR="00C530DF">
              <w:rPr>
                <w:b/>
                <w:sz w:val="17"/>
                <w:szCs w:val="17"/>
                <w:lang w:val="es-ES_tradnl"/>
              </w:rPr>
              <w:t xml:space="preserve"> </w:t>
            </w:r>
            <w:r w:rsidRPr="00323D21">
              <w:rPr>
                <w:b/>
                <w:sz w:val="17"/>
                <w:szCs w:val="17"/>
                <w:lang w:val="es-ES_tradnl"/>
              </w:rPr>
              <w:t>907</w:t>
            </w:r>
          </w:p>
        </w:tc>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30</w:t>
            </w:r>
            <w:r w:rsidR="00C530DF">
              <w:rPr>
                <w:b/>
                <w:sz w:val="17"/>
                <w:szCs w:val="17"/>
                <w:lang w:val="es-ES_tradnl"/>
              </w:rPr>
              <w:t xml:space="preserve"> </w:t>
            </w:r>
            <w:r w:rsidRPr="00323D21">
              <w:rPr>
                <w:b/>
                <w:sz w:val="17"/>
                <w:szCs w:val="17"/>
                <w:lang w:val="es-ES_tradnl"/>
              </w:rPr>
              <w:t>990</w:t>
            </w:r>
          </w:p>
        </w:tc>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35</w:t>
            </w:r>
            <w:r w:rsidR="00C530DF">
              <w:rPr>
                <w:b/>
                <w:sz w:val="17"/>
                <w:szCs w:val="17"/>
                <w:lang w:val="es-ES_tradnl"/>
              </w:rPr>
              <w:t xml:space="preserve"> </w:t>
            </w:r>
            <w:r w:rsidRPr="00323D21">
              <w:rPr>
                <w:b/>
                <w:sz w:val="17"/>
                <w:szCs w:val="17"/>
                <w:lang w:val="es-ES_tradnl"/>
              </w:rPr>
              <w:t>671</w:t>
            </w:r>
          </w:p>
        </w:tc>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37</w:t>
            </w:r>
            <w:r w:rsidR="00C530DF">
              <w:rPr>
                <w:b/>
                <w:sz w:val="17"/>
                <w:szCs w:val="17"/>
                <w:lang w:val="es-ES_tradnl"/>
              </w:rPr>
              <w:t xml:space="preserve"> </w:t>
            </w:r>
            <w:r w:rsidRPr="00323D21">
              <w:rPr>
                <w:b/>
                <w:sz w:val="17"/>
                <w:szCs w:val="17"/>
                <w:lang w:val="es-ES_tradnl"/>
              </w:rPr>
              <w:t>883</w:t>
            </w:r>
          </w:p>
        </w:tc>
      </w:tr>
      <w:tr w:rsidR="00323D21" w:rsidRPr="001B27F2" w:rsidTr="00323D21">
        <w:tblPrEx>
          <w:tblCellMar>
            <w:top w:w="0" w:type="dxa"/>
            <w:bottom w:w="0" w:type="dxa"/>
          </w:tblCellMar>
        </w:tblPrEx>
        <w:tc>
          <w:tcPr>
            <w:tcW w:w="957" w:type="dxa"/>
            <w:tcBorders>
              <w:top w:val="single" w:sz="4" w:space="0" w:color="auto"/>
            </w:tcBorders>
            <w:shd w:val="clear" w:color="auto" w:fill="auto"/>
            <w:vAlign w:val="bottom"/>
          </w:tcPr>
          <w:p w:rsidR="00323D21" w:rsidRPr="001B27F2" w:rsidRDefault="00323D21" w:rsidP="00323D21">
            <w:pPr>
              <w:pStyle w:val="SingleTxtG"/>
              <w:spacing w:before="81" w:after="40" w:line="210" w:lineRule="exact"/>
              <w:ind w:left="0" w:right="40"/>
              <w:jc w:val="left"/>
              <w:rPr>
                <w:sz w:val="17"/>
                <w:szCs w:val="17"/>
                <w:lang w:val="es-ES_tradnl"/>
              </w:rPr>
            </w:pPr>
            <w:r w:rsidRPr="001B27F2">
              <w:rPr>
                <w:sz w:val="17"/>
                <w:szCs w:val="17"/>
                <w:lang w:val="es-ES_tradnl"/>
              </w:rPr>
              <w:t>Mujeres</w:t>
            </w:r>
          </w:p>
        </w:tc>
        <w:tc>
          <w:tcPr>
            <w:tcW w:w="1284" w:type="dxa"/>
            <w:tcBorders>
              <w:top w:val="single" w:sz="4" w:space="0" w:color="auto"/>
            </w:tcBorders>
            <w:shd w:val="clear" w:color="auto" w:fill="auto"/>
            <w:vAlign w:val="bottom"/>
          </w:tcPr>
          <w:p w:rsidR="00323D21" w:rsidRPr="001B27F2" w:rsidRDefault="00323D21" w:rsidP="00323D21">
            <w:pPr>
              <w:pStyle w:val="SingleTxtG"/>
              <w:spacing w:before="81" w:after="40" w:line="210" w:lineRule="exact"/>
              <w:ind w:left="113" w:right="40"/>
              <w:jc w:val="left"/>
              <w:rPr>
                <w:sz w:val="17"/>
                <w:szCs w:val="17"/>
                <w:lang w:val="es-ES_tradnl"/>
              </w:rPr>
            </w:pPr>
            <w:r w:rsidRPr="001B27F2">
              <w:rPr>
                <w:sz w:val="17"/>
                <w:szCs w:val="17"/>
                <w:lang w:val="es-ES_tradnl"/>
              </w:rPr>
              <w:t>Origen danés</w:t>
            </w:r>
          </w:p>
        </w:tc>
        <w:tc>
          <w:tcPr>
            <w:tcW w:w="873" w:type="dxa"/>
            <w:tcBorders>
              <w:top w:val="single" w:sz="4" w:space="0" w:color="auto"/>
            </w:tcBorders>
            <w:shd w:val="clear" w:color="auto" w:fill="auto"/>
            <w:vAlign w:val="bottom"/>
          </w:tcPr>
          <w:p w:rsidR="00323D21" w:rsidRPr="001B27F2" w:rsidRDefault="00323D21" w:rsidP="00323D21">
            <w:pPr>
              <w:pStyle w:val="SingleTxtG"/>
              <w:spacing w:before="81" w:after="40" w:line="210" w:lineRule="exact"/>
              <w:ind w:left="113" w:right="40"/>
              <w:jc w:val="right"/>
              <w:rPr>
                <w:sz w:val="17"/>
                <w:szCs w:val="17"/>
                <w:lang w:val="es-ES_tradnl"/>
              </w:rPr>
            </w:pPr>
            <w:r w:rsidRPr="001B27F2">
              <w:rPr>
                <w:sz w:val="17"/>
                <w:szCs w:val="17"/>
                <w:lang w:val="es-ES_tradnl"/>
              </w:rPr>
              <w:t>28</w:t>
            </w:r>
            <w:r w:rsidR="00C530DF">
              <w:rPr>
                <w:sz w:val="17"/>
                <w:szCs w:val="17"/>
                <w:lang w:val="es-ES_tradnl"/>
              </w:rPr>
              <w:t xml:space="preserve"> </w:t>
            </w:r>
            <w:r w:rsidRPr="001B27F2">
              <w:rPr>
                <w:sz w:val="17"/>
                <w:szCs w:val="17"/>
                <w:lang w:val="es-ES_tradnl"/>
              </w:rPr>
              <w:t>550</w:t>
            </w:r>
          </w:p>
        </w:tc>
        <w:tc>
          <w:tcPr>
            <w:tcW w:w="714" w:type="dxa"/>
            <w:tcBorders>
              <w:top w:val="single" w:sz="4" w:space="0" w:color="auto"/>
            </w:tcBorders>
            <w:shd w:val="clear" w:color="auto" w:fill="auto"/>
            <w:vAlign w:val="bottom"/>
          </w:tcPr>
          <w:p w:rsidR="00323D21" w:rsidRPr="001B27F2" w:rsidRDefault="00323D21" w:rsidP="00323D21">
            <w:pPr>
              <w:pStyle w:val="SingleTxtG"/>
              <w:spacing w:before="81" w:after="40" w:line="210" w:lineRule="exact"/>
              <w:ind w:left="113" w:right="40"/>
              <w:jc w:val="right"/>
              <w:rPr>
                <w:sz w:val="17"/>
                <w:szCs w:val="17"/>
                <w:lang w:val="es-ES_tradnl"/>
              </w:rPr>
            </w:pPr>
            <w:r w:rsidRPr="001B27F2">
              <w:rPr>
                <w:sz w:val="17"/>
                <w:szCs w:val="17"/>
                <w:lang w:val="es-ES_tradnl"/>
              </w:rPr>
              <w:t>29</w:t>
            </w:r>
            <w:r w:rsidR="00C530DF">
              <w:rPr>
                <w:sz w:val="17"/>
                <w:szCs w:val="17"/>
                <w:lang w:val="es-ES_tradnl"/>
              </w:rPr>
              <w:t xml:space="preserve"> </w:t>
            </w:r>
            <w:r w:rsidRPr="001B27F2">
              <w:rPr>
                <w:sz w:val="17"/>
                <w:szCs w:val="17"/>
                <w:lang w:val="es-ES_tradnl"/>
              </w:rPr>
              <w:t>082</w:t>
            </w:r>
          </w:p>
        </w:tc>
        <w:tc>
          <w:tcPr>
            <w:tcW w:w="957" w:type="dxa"/>
            <w:tcBorders>
              <w:top w:val="single" w:sz="4" w:space="0" w:color="auto"/>
            </w:tcBorders>
            <w:shd w:val="clear" w:color="auto" w:fill="auto"/>
            <w:vAlign w:val="bottom"/>
          </w:tcPr>
          <w:p w:rsidR="00323D21" w:rsidRPr="001B27F2" w:rsidRDefault="00323D21" w:rsidP="00323D21">
            <w:pPr>
              <w:pStyle w:val="SingleTxtG"/>
              <w:spacing w:before="81" w:after="40" w:line="210" w:lineRule="exact"/>
              <w:ind w:left="113" w:right="40"/>
              <w:jc w:val="right"/>
              <w:rPr>
                <w:sz w:val="17"/>
                <w:szCs w:val="17"/>
                <w:lang w:val="es-ES_tradnl"/>
              </w:rPr>
            </w:pPr>
            <w:r w:rsidRPr="001B27F2">
              <w:rPr>
                <w:sz w:val="17"/>
                <w:szCs w:val="17"/>
                <w:lang w:val="es-ES_tradnl"/>
              </w:rPr>
              <w:t>29</w:t>
            </w:r>
            <w:r w:rsidR="00C530DF">
              <w:rPr>
                <w:sz w:val="17"/>
                <w:szCs w:val="17"/>
                <w:lang w:val="es-ES_tradnl"/>
              </w:rPr>
              <w:t xml:space="preserve"> </w:t>
            </w:r>
            <w:r w:rsidRPr="001B27F2">
              <w:rPr>
                <w:sz w:val="17"/>
                <w:szCs w:val="17"/>
                <w:lang w:val="es-ES_tradnl"/>
              </w:rPr>
              <w:t>806</w:t>
            </w:r>
          </w:p>
        </w:tc>
        <w:tc>
          <w:tcPr>
            <w:tcW w:w="957" w:type="dxa"/>
            <w:tcBorders>
              <w:top w:val="single" w:sz="4" w:space="0" w:color="auto"/>
            </w:tcBorders>
            <w:shd w:val="clear" w:color="auto" w:fill="auto"/>
            <w:vAlign w:val="bottom"/>
          </w:tcPr>
          <w:p w:rsidR="00323D21" w:rsidRPr="001B27F2" w:rsidRDefault="00323D21" w:rsidP="00323D21">
            <w:pPr>
              <w:pStyle w:val="SingleTxtG"/>
              <w:spacing w:before="81" w:after="40" w:line="210" w:lineRule="exact"/>
              <w:ind w:left="113" w:right="40"/>
              <w:jc w:val="right"/>
              <w:rPr>
                <w:sz w:val="17"/>
                <w:szCs w:val="17"/>
                <w:lang w:val="es-ES_tradnl"/>
              </w:rPr>
            </w:pPr>
            <w:r w:rsidRPr="001B27F2">
              <w:rPr>
                <w:sz w:val="17"/>
                <w:szCs w:val="17"/>
                <w:lang w:val="es-ES_tradnl"/>
              </w:rPr>
              <w:t>27</w:t>
            </w:r>
            <w:r w:rsidR="00C530DF">
              <w:rPr>
                <w:sz w:val="17"/>
                <w:szCs w:val="17"/>
                <w:lang w:val="es-ES_tradnl"/>
              </w:rPr>
              <w:t xml:space="preserve"> </w:t>
            </w:r>
            <w:r w:rsidRPr="001B27F2">
              <w:rPr>
                <w:sz w:val="17"/>
                <w:szCs w:val="17"/>
                <w:lang w:val="es-ES_tradnl"/>
              </w:rPr>
              <w:t>971</w:t>
            </w:r>
          </w:p>
        </w:tc>
        <w:tc>
          <w:tcPr>
            <w:tcW w:w="957" w:type="dxa"/>
            <w:tcBorders>
              <w:top w:val="single" w:sz="4" w:space="0" w:color="auto"/>
            </w:tcBorders>
            <w:shd w:val="clear" w:color="auto" w:fill="auto"/>
            <w:vAlign w:val="bottom"/>
          </w:tcPr>
          <w:p w:rsidR="00323D21" w:rsidRPr="001B27F2" w:rsidRDefault="00323D21" w:rsidP="00323D21">
            <w:pPr>
              <w:pStyle w:val="SingleTxtG"/>
              <w:spacing w:before="81" w:after="40" w:line="210" w:lineRule="exact"/>
              <w:ind w:left="113" w:right="40"/>
              <w:jc w:val="right"/>
              <w:rPr>
                <w:sz w:val="17"/>
                <w:szCs w:val="17"/>
                <w:lang w:val="es-ES_tradnl"/>
              </w:rPr>
            </w:pPr>
            <w:r w:rsidRPr="001B27F2">
              <w:rPr>
                <w:sz w:val="17"/>
                <w:szCs w:val="17"/>
                <w:lang w:val="es-ES_tradnl"/>
              </w:rPr>
              <w:t>31</w:t>
            </w:r>
            <w:r w:rsidR="00C530DF">
              <w:rPr>
                <w:sz w:val="17"/>
                <w:szCs w:val="17"/>
                <w:lang w:val="es-ES_tradnl"/>
              </w:rPr>
              <w:t xml:space="preserve"> </w:t>
            </w:r>
            <w:r w:rsidRPr="001B27F2">
              <w:rPr>
                <w:sz w:val="17"/>
                <w:szCs w:val="17"/>
                <w:lang w:val="es-ES_tradnl"/>
              </w:rPr>
              <w:t>606</w:t>
            </w:r>
          </w:p>
        </w:tc>
        <w:tc>
          <w:tcPr>
            <w:tcW w:w="957" w:type="dxa"/>
            <w:tcBorders>
              <w:top w:val="single" w:sz="4" w:space="0" w:color="auto"/>
            </w:tcBorders>
            <w:shd w:val="clear" w:color="auto" w:fill="auto"/>
            <w:vAlign w:val="bottom"/>
          </w:tcPr>
          <w:p w:rsidR="00323D21" w:rsidRPr="001B27F2" w:rsidRDefault="00323D21" w:rsidP="00323D21">
            <w:pPr>
              <w:pStyle w:val="SingleTxtG"/>
              <w:spacing w:before="81" w:after="40" w:line="210" w:lineRule="exact"/>
              <w:ind w:left="113" w:right="40"/>
              <w:jc w:val="right"/>
              <w:rPr>
                <w:sz w:val="17"/>
                <w:szCs w:val="17"/>
                <w:lang w:val="es-ES_tradnl"/>
              </w:rPr>
            </w:pPr>
            <w:r w:rsidRPr="001B27F2">
              <w:rPr>
                <w:sz w:val="17"/>
                <w:szCs w:val="17"/>
                <w:lang w:val="es-ES_tradnl"/>
              </w:rPr>
              <w:t>34</w:t>
            </w:r>
            <w:r w:rsidR="00C530DF">
              <w:rPr>
                <w:sz w:val="17"/>
                <w:szCs w:val="17"/>
                <w:lang w:val="es-ES_tradnl"/>
              </w:rPr>
              <w:t xml:space="preserve"> </w:t>
            </w:r>
            <w:r w:rsidRPr="001B27F2">
              <w:rPr>
                <w:sz w:val="17"/>
                <w:szCs w:val="17"/>
                <w:lang w:val="es-ES_tradnl"/>
              </w:rPr>
              <w:t>928</w:t>
            </w:r>
          </w:p>
        </w:tc>
        <w:tc>
          <w:tcPr>
            <w:tcW w:w="957" w:type="dxa"/>
            <w:tcBorders>
              <w:top w:val="single" w:sz="4" w:space="0" w:color="auto"/>
            </w:tcBorders>
            <w:shd w:val="clear" w:color="auto" w:fill="auto"/>
            <w:vAlign w:val="bottom"/>
          </w:tcPr>
          <w:p w:rsidR="00323D21" w:rsidRPr="001B27F2" w:rsidRDefault="00323D21" w:rsidP="00323D21">
            <w:pPr>
              <w:pStyle w:val="SingleTxtG"/>
              <w:spacing w:before="81" w:after="40" w:line="210" w:lineRule="exact"/>
              <w:ind w:left="113" w:right="40"/>
              <w:jc w:val="right"/>
              <w:rPr>
                <w:sz w:val="17"/>
                <w:szCs w:val="17"/>
                <w:lang w:val="es-ES_tradnl"/>
              </w:rPr>
            </w:pPr>
            <w:r w:rsidRPr="001B27F2">
              <w:rPr>
                <w:sz w:val="17"/>
                <w:szCs w:val="17"/>
                <w:lang w:val="es-ES_tradnl"/>
              </w:rPr>
              <w:t>36</w:t>
            </w:r>
            <w:r w:rsidR="00C530DF">
              <w:rPr>
                <w:sz w:val="17"/>
                <w:szCs w:val="17"/>
                <w:lang w:val="es-ES_tradnl"/>
              </w:rPr>
              <w:t xml:space="preserve"> </w:t>
            </w:r>
            <w:r w:rsidRPr="001B27F2">
              <w:rPr>
                <w:sz w:val="17"/>
                <w:szCs w:val="17"/>
                <w:lang w:val="es-ES_tradnl"/>
              </w:rPr>
              <w:t>447</w:t>
            </w:r>
          </w:p>
        </w:tc>
      </w:tr>
      <w:tr w:rsidR="00323D21" w:rsidRPr="001B27F2" w:rsidTr="00323D21">
        <w:tblPrEx>
          <w:tblCellMar>
            <w:top w:w="0" w:type="dxa"/>
            <w:bottom w:w="0" w:type="dxa"/>
          </w:tblCellMar>
        </w:tblPrEx>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0" w:right="40"/>
              <w:jc w:val="left"/>
              <w:rPr>
                <w:sz w:val="17"/>
                <w:szCs w:val="17"/>
                <w:lang w:val="es-ES_tradnl"/>
              </w:rPr>
            </w:pPr>
          </w:p>
        </w:tc>
        <w:tc>
          <w:tcPr>
            <w:tcW w:w="1284"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left"/>
              <w:rPr>
                <w:sz w:val="17"/>
                <w:szCs w:val="17"/>
                <w:lang w:val="es-ES_tradnl"/>
              </w:rPr>
            </w:pPr>
            <w:r w:rsidRPr="001B27F2">
              <w:rPr>
                <w:sz w:val="17"/>
                <w:szCs w:val="17"/>
                <w:lang w:val="es-ES_tradnl"/>
              </w:rPr>
              <w:t>Inmigrantes y descendientes</w:t>
            </w:r>
          </w:p>
        </w:tc>
        <w:tc>
          <w:tcPr>
            <w:tcW w:w="873"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4</w:t>
            </w:r>
            <w:r w:rsidR="00C530DF">
              <w:rPr>
                <w:sz w:val="17"/>
                <w:szCs w:val="17"/>
                <w:lang w:val="es-ES_tradnl"/>
              </w:rPr>
              <w:t xml:space="preserve"> </w:t>
            </w:r>
            <w:r w:rsidRPr="001B27F2">
              <w:rPr>
                <w:sz w:val="17"/>
                <w:szCs w:val="17"/>
                <w:lang w:val="es-ES_tradnl"/>
              </w:rPr>
              <w:t>629</w:t>
            </w:r>
          </w:p>
        </w:tc>
        <w:tc>
          <w:tcPr>
            <w:tcW w:w="714"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4</w:t>
            </w:r>
            <w:r w:rsidR="00C530DF">
              <w:rPr>
                <w:sz w:val="17"/>
                <w:szCs w:val="17"/>
                <w:lang w:val="es-ES_tradnl"/>
              </w:rPr>
              <w:t xml:space="preserve"> </w:t>
            </w:r>
            <w:r w:rsidRPr="001B27F2">
              <w:rPr>
                <w:sz w:val="17"/>
                <w:szCs w:val="17"/>
                <w:lang w:val="es-ES_tradnl"/>
              </w:rPr>
              <w:t>695</w:t>
            </w:r>
          </w:p>
        </w:tc>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5</w:t>
            </w:r>
            <w:r w:rsidR="00C530DF">
              <w:rPr>
                <w:sz w:val="17"/>
                <w:szCs w:val="17"/>
                <w:lang w:val="es-ES_tradnl"/>
              </w:rPr>
              <w:t xml:space="preserve"> </w:t>
            </w:r>
            <w:r w:rsidRPr="001B27F2">
              <w:rPr>
                <w:sz w:val="17"/>
                <w:szCs w:val="17"/>
                <w:lang w:val="es-ES_tradnl"/>
              </w:rPr>
              <w:t>451</w:t>
            </w:r>
          </w:p>
        </w:tc>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5</w:t>
            </w:r>
            <w:r w:rsidR="00C530DF">
              <w:rPr>
                <w:sz w:val="17"/>
                <w:szCs w:val="17"/>
                <w:lang w:val="es-ES_tradnl"/>
              </w:rPr>
              <w:t xml:space="preserve"> </w:t>
            </w:r>
            <w:r w:rsidRPr="001B27F2">
              <w:rPr>
                <w:sz w:val="17"/>
                <w:szCs w:val="17"/>
                <w:lang w:val="es-ES_tradnl"/>
              </w:rPr>
              <w:t>899</w:t>
            </w:r>
          </w:p>
        </w:tc>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7</w:t>
            </w:r>
            <w:r w:rsidR="00C530DF">
              <w:rPr>
                <w:sz w:val="17"/>
                <w:szCs w:val="17"/>
                <w:lang w:val="es-ES_tradnl"/>
              </w:rPr>
              <w:t xml:space="preserve"> </w:t>
            </w:r>
            <w:r w:rsidRPr="001B27F2">
              <w:rPr>
                <w:sz w:val="17"/>
                <w:szCs w:val="17"/>
                <w:lang w:val="es-ES_tradnl"/>
              </w:rPr>
              <w:t>166</w:t>
            </w:r>
          </w:p>
        </w:tc>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7</w:t>
            </w:r>
            <w:r w:rsidR="00C530DF">
              <w:rPr>
                <w:sz w:val="17"/>
                <w:szCs w:val="17"/>
                <w:lang w:val="es-ES_tradnl"/>
              </w:rPr>
              <w:t xml:space="preserve"> </w:t>
            </w:r>
            <w:r w:rsidRPr="001B27F2">
              <w:rPr>
                <w:sz w:val="17"/>
                <w:szCs w:val="17"/>
                <w:lang w:val="es-ES_tradnl"/>
              </w:rPr>
              <w:t>925</w:t>
            </w:r>
          </w:p>
        </w:tc>
        <w:tc>
          <w:tcPr>
            <w:tcW w:w="957" w:type="dxa"/>
            <w:tcBorders>
              <w:bottom w:val="single" w:sz="4" w:space="0" w:color="auto"/>
            </w:tcBorders>
            <w:shd w:val="clear" w:color="auto" w:fill="auto"/>
            <w:vAlign w:val="bottom"/>
          </w:tcPr>
          <w:p w:rsidR="00323D21" w:rsidRPr="001B27F2" w:rsidRDefault="00323D21" w:rsidP="00323D21">
            <w:pPr>
              <w:pStyle w:val="SingleTxtG"/>
              <w:spacing w:before="40" w:after="81" w:line="210" w:lineRule="exact"/>
              <w:ind w:left="113" w:right="40"/>
              <w:jc w:val="right"/>
              <w:rPr>
                <w:sz w:val="17"/>
                <w:szCs w:val="17"/>
                <w:lang w:val="es-ES_tradnl"/>
              </w:rPr>
            </w:pPr>
            <w:r w:rsidRPr="001B27F2">
              <w:rPr>
                <w:sz w:val="17"/>
                <w:szCs w:val="17"/>
                <w:lang w:val="es-ES_tradnl"/>
              </w:rPr>
              <w:t>7</w:t>
            </w:r>
            <w:r w:rsidR="00C530DF">
              <w:rPr>
                <w:sz w:val="17"/>
                <w:szCs w:val="17"/>
                <w:lang w:val="es-ES_tradnl"/>
              </w:rPr>
              <w:t xml:space="preserve"> </w:t>
            </w:r>
            <w:r w:rsidRPr="001B27F2">
              <w:rPr>
                <w:sz w:val="17"/>
                <w:szCs w:val="17"/>
                <w:lang w:val="es-ES_tradnl"/>
              </w:rPr>
              <w:t>698</w:t>
            </w:r>
          </w:p>
        </w:tc>
      </w:tr>
      <w:tr w:rsidR="00323D21" w:rsidRPr="00323D21" w:rsidTr="00323D21">
        <w:tblPrEx>
          <w:tblCellMar>
            <w:top w:w="0" w:type="dxa"/>
            <w:bottom w:w="0" w:type="dxa"/>
          </w:tblCellMar>
        </w:tblPrEx>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0" w:right="40"/>
              <w:jc w:val="left"/>
              <w:rPr>
                <w:b/>
                <w:sz w:val="17"/>
                <w:szCs w:val="17"/>
                <w:lang w:val="es-ES_tradnl"/>
              </w:rPr>
            </w:pPr>
          </w:p>
        </w:tc>
        <w:tc>
          <w:tcPr>
            <w:tcW w:w="1284"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left"/>
              <w:rPr>
                <w:b/>
                <w:sz w:val="17"/>
                <w:szCs w:val="17"/>
                <w:lang w:val="es-ES_tradnl"/>
              </w:rPr>
            </w:pPr>
            <w:r w:rsidRPr="00323D21">
              <w:rPr>
                <w:b/>
                <w:sz w:val="17"/>
                <w:szCs w:val="17"/>
                <w:lang w:val="es-ES_tradnl"/>
              </w:rPr>
              <w:tab/>
              <w:t>Total</w:t>
            </w:r>
          </w:p>
        </w:tc>
        <w:tc>
          <w:tcPr>
            <w:tcW w:w="873"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33</w:t>
            </w:r>
            <w:r w:rsidR="00C530DF">
              <w:rPr>
                <w:b/>
                <w:sz w:val="17"/>
                <w:szCs w:val="17"/>
                <w:lang w:val="es-ES_tradnl"/>
              </w:rPr>
              <w:t xml:space="preserve"> </w:t>
            </w:r>
            <w:r w:rsidRPr="00323D21">
              <w:rPr>
                <w:b/>
                <w:sz w:val="17"/>
                <w:szCs w:val="17"/>
                <w:lang w:val="es-ES_tradnl"/>
              </w:rPr>
              <w:t>680</w:t>
            </w:r>
          </w:p>
        </w:tc>
        <w:tc>
          <w:tcPr>
            <w:tcW w:w="714"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34</w:t>
            </w:r>
            <w:r w:rsidR="00C530DF">
              <w:rPr>
                <w:b/>
                <w:sz w:val="17"/>
                <w:szCs w:val="17"/>
                <w:lang w:val="es-ES_tradnl"/>
              </w:rPr>
              <w:t xml:space="preserve"> </w:t>
            </w:r>
            <w:r w:rsidRPr="00323D21">
              <w:rPr>
                <w:b/>
                <w:sz w:val="17"/>
                <w:szCs w:val="17"/>
                <w:lang w:val="es-ES_tradnl"/>
              </w:rPr>
              <w:t>323</w:t>
            </w:r>
          </w:p>
        </w:tc>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35</w:t>
            </w:r>
            <w:r w:rsidR="00C530DF">
              <w:rPr>
                <w:b/>
                <w:sz w:val="17"/>
                <w:szCs w:val="17"/>
                <w:lang w:val="es-ES_tradnl"/>
              </w:rPr>
              <w:t xml:space="preserve"> </w:t>
            </w:r>
            <w:r w:rsidRPr="00323D21">
              <w:rPr>
                <w:b/>
                <w:sz w:val="17"/>
                <w:szCs w:val="17"/>
                <w:lang w:val="es-ES_tradnl"/>
              </w:rPr>
              <w:t>850</w:t>
            </w:r>
          </w:p>
        </w:tc>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34</w:t>
            </w:r>
            <w:r w:rsidR="00C530DF">
              <w:rPr>
                <w:b/>
                <w:sz w:val="17"/>
                <w:szCs w:val="17"/>
                <w:lang w:val="es-ES_tradnl"/>
              </w:rPr>
              <w:t xml:space="preserve"> </w:t>
            </w:r>
            <w:r w:rsidRPr="00323D21">
              <w:rPr>
                <w:b/>
                <w:sz w:val="17"/>
                <w:szCs w:val="17"/>
                <w:lang w:val="es-ES_tradnl"/>
              </w:rPr>
              <w:t>585</w:t>
            </w:r>
          </w:p>
        </w:tc>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39</w:t>
            </w:r>
            <w:r w:rsidR="00C530DF">
              <w:rPr>
                <w:b/>
                <w:sz w:val="17"/>
                <w:szCs w:val="17"/>
                <w:lang w:val="es-ES_tradnl"/>
              </w:rPr>
              <w:t xml:space="preserve"> </w:t>
            </w:r>
            <w:r w:rsidRPr="00323D21">
              <w:rPr>
                <w:b/>
                <w:sz w:val="17"/>
                <w:szCs w:val="17"/>
                <w:lang w:val="es-ES_tradnl"/>
              </w:rPr>
              <w:t>670</w:t>
            </w:r>
          </w:p>
        </w:tc>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43</w:t>
            </w:r>
            <w:r w:rsidR="00C530DF">
              <w:rPr>
                <w:b/>
                <w:sz w:val="17"/>
                <w:szCs w:val="17"/>
                <w:lang w:val="es-ES_tradnl"/>
              </w:rPr>
              <w:t xml:space="preserve"> </w:t>
            </w:r>
            <w:r w:rsidRPr="00323D21">
              <w:rPr>
                <w:b/>
                <w:sz w:val="17"/>
                <w:szCs w:val="17"/>
                <w:lang w:val="es-ES_tradnl"/>
              </w:rPr>
              <w:t>924</w:t>
            </w:r>
          </w:p>
        </w:tc>
        <w:tc>
          <w:tcPr>
            <w:tcW w:w="957" w:type="dxa"/>
            <w:tcBorders>
              <w:top w:val="single" w:sz="4" w:space="0" w:color="auto"/>
              <w:bottom w:val="single" w:sz="4" w:space="0" w:color="auto"/>
            </w:tcBorders>
            <w:shd w:val="clear" w:color="auto" w:fill="auto"/>
            <w:vAlign w:val="bottom"/>
          </w:tcPr>
          <w:p w:rsidR="00323D21" w:rsidRPr="00323D21" w:rsidRDefault="00323D21" w:rsidP="00323D21">
            <w:pPr>
              <w:pStyle w:val="SingleTxtG"/>
              <w:spacing w:before="81" w:after="81" w:line="210" w:lineRule="exact"/>
              <w:ind w:left="113" w:right="40"/>
              <w:jc w:val="right"/>
              <w:rPr>
                <w:b/>
                <w:sz w:val="17"/>
                <w:szCs w:val="17"/>
                <w:lang w:val="es-ES_tradnl"/>
              </w:rPr>
            </w:pPr>
            <w:r w:rsidRPr="00323D21">
              <w:rPr>
                <w:b/>
                <w:sz w:val="17"/>
                <w:szCs w:val="17"/>
                <w:lang w:val="es-ES_tradnl"/>
              </w:rPr>
              <w:t>45</w:t>
            </w:r>
            <w:r w:rsidR="00C530DF">
              <w:rPr>
                <w:b/>
                <w:sz w:val="17"/>
                <w:szCs w:val="17"/>
                <w:lang w:val="es-ES_tradnl"/>
              </w:rPr>
              <w:t xml:space="preserve"> </w:t>
            </w:r>
            <w:r w:rsidRPr="00323D21">
              <w:rPr>
                <w:b/>
                <w:sz w:val="17"/>
                <w:szCs w:val="17"/>
                <w:lang w:val="es-ES_tradnl"/>
              </w:rPr>
              <w:t>902</w:t>
            </w:r>
          </w:p>
        </w:tc>
      </w:tr>
      <w:tr w:rsidR="00323D21" w:rsidRPr="001B27F2" w:rsidTr="00323D21">
        <w:tblPrEx>
          <w:tblCellMar>
            <w:top w:w="0" w:type="dxa"/>
            <w:bottom w:w="0" w:type="dxa"/>
          </w:tblCellMar>
        </w:tblPrEx>
        <w:tc>
          <w:tcPr>
            <w:tcW w:w="957" w:type="dxa"/>
            <w:tcBorders>
              <w:top w:val="single" w:sz="4" w:space="0" w:color="auto"/>
              <w:bottom w:val="single" w:sz="4" w:space="0" w:color="auto"/>
            </w:tcBorders>
            <w:shd w:val="clear" w:color="auto" w:fill="auto"/>
            <w:vAlign w:val="bottom"/>
          </w:tcPr>
          <w:p w:rsidR="00323D21" w:rsidRPr="001B27F2" w:rsidRDefault="00323D21" w:rsidP="00323D21">
            <w:pPr>
              <w:pStyle w:val="SingleTxtG"/>
              <w:spacing w:before="81" w:after="81" w:line="210" w:lineRule="exact"/>
              <w:ind w:left="0" w:right="40"/>
              <w:jc w:val="left"/>
              <w:rPr>
                <w:sz w:val="17"/>
                <w:szCs w:val="17"/>
                <w:lang w:val="es-ES_tradnl"/>
              </w:rPr>
            </w:pPr>
          </w:p>
        </w:tc>
        <w:tc>
          <w:tcPr>
            <w:tcW w:w="1284" w:type="dxa"/>
            <w:tcBorders>
              <w:top w:val="single" w:sz="4" w:space="0" w:color="auto"/>
              <w:bottom w:val="single" w:sz="4" w:space="0" w:color="auto"/>
            </w:tcBorders>
            <w:shd w:val="clear" w:color="auto" w:fill="auto"/>
            <w:vAlign w:val="bottom"/>
          </w:tcPr>
          <w:p w:rsidR="00323D21" w:rsidRPr="001B27F2" w:rsidRDefault="00323D21" w:rsidP="00323D21">
            <w:pPr>
              <w:pStyle w:val="SingleTxtG"/>
              <w:spacing w:before="81" w:after="81" w:line="210" w:lineRule="exact"/>
              <w:ind w:left="113" w:right="40"/>
              <w:jc w:val="left"/>
              <w:rPr>
                <w:sz w:val="17"/>
                <w:szCs w:val="17"/>
                <w:lang w:val="es-ES_tradnl"/>
              </w:rPr>
            </w:pPr>
            <w:r w:rsidRPr="001B27F2">
              <w:rPr>
                <w:sz w:val="17"/>
                <w:szCs w:val="17"/>
                <w:lang w:val="es-ES_tradnl"/>
              </w:rPr>
              <w:t xml:space="preserve">Porcentaje de mujeres </w:t>
            </w:r>
          </w:p>
        </w:tc>
        <w:tc>
          <w:tcPr>
            <w:tcW w:w="873" w:type="dxa"/>
            <w:tcBorders>
              <w:top w:val="single" w:sz="4" w:space="0" w:color="auto"/>
              <w:bottom w:val="single" w:sz="4" w:space="0" w:color="auto"/>
            </w:tcBorders>
            <w:shd w:val="clear" w:color="auto" w:fill="auto"/>
            <w:vAlign w:val="bottom"/>
          </w:tcPr>
          <w:p w:rsidR="00323D21" w:rsidRPr="001B27F2" w:rsidRDefault="00323D21" w:rsidP="00323D21">
            <w:pPr>
              <w:pStyle w:val="SingleTxtG"/>
              <w:spacing w:before="81" w:after="81" w:line="210" w:lineRule="exact"/>
              <w:ind w:left="113" w:right="40"/>
              <w:jc w:val="right"/>
              <w:rPr>
                <w:sz w:val="17"/>
                <w:szCs w:val="17"/>
                <w:lang w:val="es-ES_tradnl"/>
              </w:rPr>
            </w:pPr>
            <w:r w:rsidRPr="001B27F2">
              <w:rPr>
                <w:sz w:val="17"/>
                <w:szCs w:val="17"/>
                <w:lang w:val="es-ES_tradnl"/>
              </w:rPr>
              <w:t>55</w:t>
            </w:r>
            <w:r w:rsidR="00FB6ED3">
              <w:rPr>
                <w:sz w:val="17"/>
                <w:szCs w:val="17"/>
                <w:lang w:val="es-ES_tradnl"/>
              </w:rPr>
              <w:t>,</w:t>
            </w:r>
            <w:r w:rsidRPr="001B27F2">
              <w:rPr>
                <w:sz w:val="17"/>
                <w:szCs w:val="17"/>
                <w:lang w:val="es-ES_tradnl"/>
              </w:rPr>
              <w:t>8%</w:t>
            </w:r>
          </w:p>
        </w:tc>
        <w:tc>
          <w:tcPr>
            <w:tcW w:w="714" w:type="dxa"/>
            <w:tcBorders>
              <w:top w:val="single" w:sz="4" w:space="0" w:color="auto"/>
              <w:bottom w:val="single" w:sz="4" w:space="0" w:color="auto"/>
            </w:tcBorders>
            <w:shd w:val="clear" w:color="auto" w:fill="auto"/>
            <w:vAlign w:val="bottom"/>
          </w:tcPr>
          <w:p w:rsidR="00323D21" w:rsidRPr="001B27F2" w:rsidRDefault="00323D21" w:rsidP="00323D21">
            <w:pPr>
              <w:pStyle w:val="SingleTxtG"/>
              <w:spacing w:before="81" w:after="81" w:line="210" w:lineRule="exact"/>
              <w:ind w:left="113" w:right="40"/>
              <w:jc w:val="right"/>
              <w:rPr>
                <w:sz w:val="17"/>
                <w:szCs w:val="17"/>
                <w:lang w:val="es-ES_tradnl"/>
              </w:rPr>
            </w:pPr>
            <w:r w:rsidRPr="001B27F2">
              <w:rPr>
                <w:sz w:val="17"/>
                <w:szCs w:val="17"/>
                <w:lang w:val="es-ES_tradnl"/>
              </w:rPr>
              <w:t>57</w:t>
            </w:r>
            <w:r w:rsidR="00FB6ED3">
              <w:rPr>
                <w:sz w:val="17"/>
                <w:szCs w:val="17"/>
                <w:lang w:val="es-ES_tradnl"/>
              </w:rPr>
              <w:t>,</w:t>
            </w:r>
            <w:r w:rsidRPr="001B27F2">
              <w:rPr>
                <w:sz w:val="17"/>
                <w:szCs w:val="17"/>
                <w:lang w:val="es-ES_tradnl"/>
              </w:rPr>
              <w:t>3%</w:t>
            </w:r>
          </w:p>
        </w:tc>
        <w:tc>
          <w:tcPr>
            <w:tcW w:w="957" w:type="dxa"/>
            <w:tcBorders>
              <w:top w:val="single" w:sz="4" w:space="0" w:color="auto"/>
              <w:bottom w:val="single" w:sz="4" w:space="0" w:color="auto"/>
            </w:tcBorders>
            <w:shd w:val="clear" w:color="auto" w:fill="auto"/>
            <w:vAlign w:val="bottom"/>
          </w:tcPr>
          <w:p w:rsidR="00323D21" w:rsidRPr="001B27F2" w:rsidRDefault="00323D21" w:rsidP="00323D21">
            <w:pPr>
              <w:pStyle w:val="SingleTxtG"/>
              <w:spacing w:before="81" w:after="81" w:line="210" w:lineRule="exact"/>
              <w:ind w:left="113" w:right="40"/>
              <w:jc w:val="right"/>
              <w:rPr>
                <w:sz w:val="17"/>
                <w:szCs w:val="17"/>
                <w:lang w:val="es-ES_tradnl"/>
              </w:rPr>
            </w:pPr>
            <w:r w:rsidRPr="001B27F2">
              <w:rPr>
                <w:sz w:val="17"/>
                <w:szCs w:val="17"/>
                <w:lang w:val="es-ES_tradnl"/>
              </w:rPr>
              <w:t>57</w:t>
            </w:r>
            <w:r w:rsidR="00FB6ED3">
              <w:rPr>
                <w:sz w:val="17"/>
                <w:szCs w:val="17"/>
                <w:lang w:val="es-ES_tradnl"/>
              </w:rPr>
              <w:t>,</w:t>
            </w:r>
            <w:r w:rsidRPr="001B27F2">
              <w:rPr>
                <w:sz w:val="17"/>
                <w:szCs w:val="17"/>
                <w:lang w:val="es-ES_tradnl"/>
              </w:rPr>
              <w:t>2%</w:t>
            </w:r>
          </w:p>
        </w:tc>
        <w:tc>
          <w:tcPr>
            <w:tcW w:w="957" w:type="dxa"/>
            <w:tcBorders>
              <w:top w:val="single" w:sz="4" w:space="0" w:color="auto"/>
              <w:bottom w:val="single" w:sz="4" w:space="0" w:color="auto"/>
            </w:tcBorders>
            <w:shd w:val="clear" w:color="auto" w:fill="auto"/>
            <w:vAlign w:val="bottom"/>
          </w:tcPr>
          <w:p w:rsidR="00323D21" w:rsidRPr="001B27F2" w:rsidRDefault="00323D21" w:rsidP="00323D21">
            <w:pPr>
              <w:pStyle w:val="SingleTxtG"/>
              <w:spacing w:before="81" w:after="81" w:line="210" w:lineRule="exact"/>
              <w:ind w:left="113" w:right="40"/>
              <w:jc w:val="right"/>
              <w:rPr>
                <w:sz w:val="17"/>
                <w:szCs w:val="17"/>
                <w:lang w:val="es-ES_tradnl"/>
              </w:rPr>
            </w:pPr>
            <w:r w:rsidRPr="001B27F2">
              <w:rPr>
                <w:sz w:val="17"/>
                <w:szCs w:val="17"/>
                <w:lang w:val="es-ES_tradnl"/>
              </w:rPr>
              <w:t>56</w:t>
            </w:r>
            <w:r w:rsidR="00FB6ED3">
              <w:rPr>
                <w:sz w:val="17"/>
                <w:szCs w:val="17"/>
                <w:lang w:val="es-ES_tradnl"/>
              </w:rPr>
              <w:t>,</w:t>
            </w:r>
            <w:r w:rsidRPr="001B27F2">
              <w:rPr>
                <w:sz w:val="17"/>
                <w:szCs w:val="17"/>
                <w:lang w:val="es-ES_tradnl"/>
              </w:rPr>
              <w:t>2%</w:t>
            </w:r>
          </w:p>
        </w:tc>
        <w:tc>
          <w:tcPr>
            <w:tcW w:w="957" w:type="dxa"/>
            <w:tcBorders>
              <w:top w:val="single" w:sz="4" w:space="0" w:color="auto"/>
              <w:bottom w:val="single" w:sz="4" w:space="0" w:color="auto"/>
            </w:tcBorders>
            <w:shd w:val="clear" w:color="auto" w:fill="auto"/>
            <w:vAlign w:val="bottom"/>
          </w:tcPr>
          <w:p w:rsidR="00323D21" w:rsidRPr="001B27F2" w:rsidRDefault="00323D21" w:rsidP="00323D21">
            <w:pPr>
              <w:pStyle w:val="SingleTxtG"/>
              <w:spacing w:before="81" w:after="81" w:line="210" w:lineRule="exact"/>
              <w:ind w:left="113" w:right="40"/>
              <w:jc w:val="right"/>
              <w:rPr>
                <w:sz w:val="17"/>
                <w:szCs w:val="17"/>
                <w:lang w:val="es-ES_tradnl"/>
              </w:rPr>
            </w:pPr>
            <w:r w:rsidRPr="001B27F2">
              <w:rPr>
                <w:sz w:val="17"/>
                <w:szCs w:val="17"/>
                <w:lang w:val="es-ES_tradnl"/>
              </w:rPr>
              <w:t>56</w:t>
            </w:r>
            <w:r w:rsidR="00FB6ED3">
              <w:rPr>
                <w:sz w:val="17"/>
                <w:szCs w:val="17"/>
                <w:lang w:val="es-ES_tradnl"/>
              </w:rPr>
              <w:t>,</w:t>
            </w:r>
            <w:r w:rsidRPr="001B27F2">
              <w:rPr>
                <w:sz w:val="17"/>
                <w:szCs w:val="17"/>
                <w:lang w:val="es-ES_tradnl"/>
              </w:rPr>
              <w:t>1%</w:t>
            </w:r>
          </w:p>
        </w:tc>
        <w:tc>
          <w:tcPr>
            <w:tcW w:w="957" w:type="dxa"/>
            <w:tcBorders>
              <w:top w:val="single" w:sz="4" w:space="0" w:color="auto"/>
              <w:bottom w:val="single" w:sz="4" w:space="0" w:color="auto"/>
            </w:tcBorders>
            <w:shd w:val="clear" w:color="auto" w:fill="auto"/>
            <w:vAlign w:val="bottom"/>
          </w:tcPr>
          <w:p w:rsidR="00323D21" w:rsidRPr="001B27F2" w:rsidRDefault="00323D21" w:rsidP="00323D21">
            <w:pPr>
              <w:pStyle w:val="SingleTxtG"/>
              <w:spacing w:before="81" w:after="81" w:line="210" w:lineRule="exact"/>
              <w:ind w:left="113" w:right="40"/>
              <w:jc w:val="right"/>
              <w:rPr>
                <w:sz w:val="17"/>
                <w:szCs w:val="17"/>
                <w:lang w:val="es-ES_tradnl"/>
              </w:rPr>
            </w:pPr>
            <w:r w:rsidRPr="001B27F2">
              <w:rPr>
                <w:sz w:val="17"/>
                <w:szCs w:val="17"/>
                <w:lang w:val="es-ES_tradnl"/>
              </w:rPr>
              <w:t>55</w:t>
            </w:r>
            <w:r w:rsidR="00FB6ED3">
              <w:rPr>
                <w:sz w:val="17"/>
                <w:szCs w:val="17"/>
                <w:lang w:val="es-ES_tradnl"/>
              </w:rPr>
              <w:t>,</w:t>
            </w:r>
            <w:r w:rsidRPr="001B27F2">
              <w:rPr>
                <w:sz w:val="17"/>
                <w:szCs w:val="17"/>
                <w:lang w:val="es-ES_tradnl"/>
              </w:rPr>
              <w:t>2%</w:t>
            </w:r>
          </w:p>
        </w:tc>
        <w:tc>
          <w:tcPr>
            <w:tcW w:w="957" w:type="dxa"/>
            <w:tcBorders>
              <w:top w:val="single" w:sz="4" w:space="0" w:color="auto"/>
              <w:bottom w:val="single" w:sz="4" w:space="0" w:color="auto"/>
            </w:tcBorders>
            <w:shd w:val="clear" w:color="auto" w:fill="auto"/>
            <w:vAlign w:val="bottom"/>
          </w:tcPr>
          <w:p w:rsidR="00323D21" w:rsidRPr="001B27F2" w:rsidRDefault="00323D21" w:rsidP="00323D21">
            <w:pPr>
              <w:pStyle w:val="SingleTxtG"/>
              <w:spacing w:before="81" w:after="81" w:line="210" w:lineRule="exact"/>
              <w:ind w:left="113" w:right="40"/>
              <w:jc w:val="right"/>
              <w:rPr>
                <w:sz w:val="17"/>
                <w:szCs w:val="17"/>
                <w:lang w:val="es-ES_tradnl"/>
              </w:rPr>
            </w:pPr>
            <w:r w:rsidRPr="001B27F2">
              <w:rPr>
                <w:sz w:val="17"/>
                <w:szCs w:val="17"/>
                <w:lang w:val="es-ES_tradnl"/>
              </w:rPr>
              <w:t>54</w:t>
            </w:r>
            <w:r w:rsidR="00FB6ED3">
              <w:rPr>
                <w:sz w:val="17"/>
                <w:szCs w:val="17"/>
                <w:lang w:val="es-ES_tradnl"/>
              </w:rPr>
              <w:t>,</w:t>
            </w:r>
            <w:r w:rsidRPr="001B27F2">
              <w:rPr>
                <w:sz w:val="17"/>
                <w:szCs w:val="17"/>
                <w:lang w:val="es-ES_tradnl"/>
              </w:rPr>
              <w:t>8%</w:t>
            </w:r>
          </w:p>
        </w:tc>
      </w:tr>
      <w:tr w:rsidR="00323D21" w:rsidRPr="00CC062C" w:rsidTr="00323D21">
        <w:tblPrEx>
          <w:tblCellMar>
            <w:top w:w="0" w:type="dxa"/>
            <w:bottom w:w="0" w:type="dxa"/>
          </w:tblCellMar>
        </w:tblPrEx>
        <w:tc>
          <w:tcPr>
            <w:tcW w:w="957" w:type="dxa"/>
            <w:tcBorders>
              <w:top w:val="single" w:sz="4" w:space="0" w:color="auto"/>
              <w:bottom w:val="single" w:sz="12" w:space="0" w:color="auto"/>
            </w:tcBorders>
            <w:shd w:val="clear" w:color="auto" w:fill="auto"/>
            <w:vAlign w:val="bottom"/>
          </w:tcPr>
          <w:p w:rsidR="00323D21" w:rsidRPr="00CC062C" w:rsidRDefault="00323D21" w:rsidP="00323D21">
            <w:pPr>
              <w:pStyle w:val="SingleTxtG"/>
              <w:spacing w:before="81" w:after="81" w:line="210" w:lineRule="exact"/>
              <w:ind w:left="94" w:right="43"/>
              <w:jc w:val="left"/>
              <w:rPr>
                <w:b/>
                <w:sz w:val="17"/>
                <w:szCs w:val="17"/>
                <w:lang w:val="es-ES_tradnl"/>
              </w:rPr>
            </w:pPr>
            <w:r w:rsidRPr="00CC062C">
              <w:rPr>
                <w:b/>
                <w:sz w:val="17"/>
                <w:szCs w:val="17"/>
                <w:lang w:val="es-ES_tradnl"/>
              </w:rPr>
              <w:t>Total</w:t>
            </w:r>
          </w:p>
        </w:tc>
        <w:tc>
          <w:tcPr>
            <w:tcW w:w="1284" w:type="dxa"/>
            <w:tcBorders>
              <w:top w:val="single" w:sz="4" w:space="0" w:color="auto"/>
              <w:bottom w:val="single" w:sz="12" w:space="0" w:color="auto"/>
            </w:tcBorders>
            <w:shd w:val="clear" w:color="auto" w:fill="auto"/>
            <w:vAlign w:val="bottom"/>
          </w:tcPr>
          <w:p w:rsidR="00323D21" w:rsidRPr="00CC062C" w:rsidRDefault="00323D21" w:rsidP="00323D21">
            <w:pPr>
              <w:pStyle w:val="SingleTxtG"/>
              <w:spacing w:before="81" w:after="81" w:line="210" w:lineRule="exact"/>
              <w:ind w:left="113" w:right="40"/>
              <w:jc w:val="left"/>
              <w:rPr>
                <w:b/>
                <w:sz w:val="17"/>
                <w:szCs w:val="17"/>
                <w:lang w:val="es-ES_tradnl"/>
              </w:rPr>
            </w:pPr>
          </w:p>
        </w:tc>
        <w:tc>
          <w:tcPr>
            <w:tcW w:w="873" w:type="dxa"/>
            <w:tcBorders>
              <w:top w:val="single" w:sz="4" w:space="0" w:color="auto"/>
              <w:bottom w:val="single" w:sz="12" w:space="0" w:color="auto"/>
            </w:tcBorders>
            <w:shd w:val="clear" w:color="auto" w:fill="auto"/>
            <w:vAlign w:val="bottom"/>
          </w:tcPr>
          <w:p w:rsidR="00323D21" w:rsidRPr="00CC062C" w:rsidRDefault="00323D21" w:rsidP="00323D21">
            <w:pPr>
              <w:pStyle w:val="SingleTxtG"/>
              <w:spacing w:before="81" w:after="81" w:line="210" w:lineRule="exact"/>
              <w:ind w:left="113" w:right="40"/>
              <w:jc w:val="right"/>
              <w:rPr>
                <w:b/>
                <w:sz w:val="17"/>
                <w:szCs w:val="17"/>
                <w:lang w:val="es-ES_tradnl"/>
              </w:rPr>
            </w:pPr>
            <w:r w:rsidRPr="00CC062C">
              <w:rPr>
                <w:b/>
                <w:sz w:val="17"/>
                <w:szCs w:val="17"/>
                <w:lang w:val="es-ES_tradnl"/>
              </w:rPr>
              <w:t>60</w:t>
            </w:r>
            <w:r w:rsidR="00C530DF">
              <w:rPr>
                <w:b/>
                <w:sz w:val="17"/>
                <w:szCs w:val="17"/>
                <w:lang w:val="es-ES_tradnl"/>
              </w:rPr>
              <w:t xml:space="preserve"> </w:t>
            </w:r>
            <w:r w:rsidRPr="00CC062C">
              <w:rPr>
                <w:b/>
                <w:sz w:val="17"/>
                <w:szCs w:val="17"/>
                <w:lang w:val="es-ES_tradnl"/>
              </w:rPr>
              <w:t>365</w:t>
            </w:r>
          </w:p>
        </w:tc>
        <w:tc>
          <w:tcPr>
            <w:tcW w:w="714" w:type="dxa"/>
            <w:tcBorders>
              <w:top w:val="single" w:sz="4" w:space="0" w:color="auto"/>
              <w:bottom w:val="single" w:sz="12" w:space="0" w:color="auto"/>
            </w:tcBorders>
            <w:shd w:val="clear" w:color="auto" w:fill="auto"/>
            <w:vAlign w:val="bottom"/>
          </w:tcPr>
          <w:p w:rsidR="00323D21" w:rsidRPr="00CC062C" w:rsidRDefault="00323D21" w:rsidP="00323D21">
            <w:pPr>
              <w:pStyle w:val="SingleTxtG"/>
              <w:spacing w:before="81" w:after="81" w:line="210" w:lineRule="exact"/>
              <w:ind w:left="113" w:right="40"/>
              <w:jc w:val="right"/>
              <w:rPr>
                <w:b/>
                <w:sz w:val="17"/>
                <w:szCs w:val="17"/>
                <w:lang w:val="es-ES_tradnl"/>
              </w:rPr>
            </w:pPr>
            <w:r w:rsidRPr="00CC062C">
              <w:rPr>
                <w:b/>
                <w:sz w:val="17"/>
                <w:szCs w:val="17"/>
                <w:lang w:val="es-ES_tradnl"/>
              </w:rPr>
              <w:t>59</w:t>
            </w:r>
            <w:r w:rsidR="00C530DF">
              <w:rPr>
                <w:b/>
                <w:sz w:val="17"/>
                <w:szCs w:val="17"/>
                <w:lang w:val="es-ES_tradnl"/>
              </w:rPr>
              <w:t xml:space="preserve"> </w:t>
            </w:r>
            <w:r w:rsidRPr="00CC062C">
              <w:rPr>
                <w:b/>
                <w:sz w:val="17"/>
                <w:szCs w:val="17"/>
                <w:lang w:val="es-ES_tradnl"/>
              </w:rPr>
              <w:t>942</w:t>
            </w:r>
          </w:p>
        </w:tc>
        <w:tc>
          <w:tcPr>
            <w:tcW w:w="957" w:type="dxa"/>
            <w:tcBorders>
              <w:top w:val="single" w:sz="4" w:space="0" w:color="auto"/>
              <w:bottom w:val="single" w:sz="12" w:space="0" w:color="auto"/>
            </w:tcBorders>
            <w:shd w:val="clear" w:color="auto" w:fill="auto"/>
            <w:vAlign w:val="bottom"/>
          </w:tcPr>
          <w:p w:rsidR="00323D21" w:rsidRPr="00CC062C" w:rsidRDefault="00323D21" w:rsidP="00323D21">
            <w:pPr>
              <w:pStyle w:val="SingleTxtG"/>
              <w:spacing w:before="81" w:after="81" w:line="210" w:lineRule="exact"/>
              <w:ind w:left="113" w:right="40"/>
              <w:jc w:val="right"/>
              <w:rPr>
                <w:b/>
                <w:sz w:val="17"/>
                <w:szCs w:val="17"/>
                <w:lang w:val="es-ES_tradnl"/>
              </w:rPr>
            </w:pPr>
            <w:r w:rsidRPr="00CC062C">
              <w:rPr>
                <w:b/>
                <w:sz w:val="17"/>
                <w:szCs w:val="17"/>
                <w:lang w:val="es-ES_tradnl"/>
              </w:rPr>
              <w:t>62</w:t>
            </w:r>
            <w:r w:rsidR="00C530DF">
              <w:rPr>
                <w:b/>
                <w:sz w:val="17"/>
                <w:szCs w:val="17"/>
                <w:lang w:val="es-ES_tradnl"/>
              </w:rPr>
              <w:t xml:space="preserve"> </w:t>
            </w:r>
            <w:r w:rsidRPr="00CC062C">
              <w:rPr>
                <w:b/>
                <w:sz w:val="17"/>
                <w:szCs w:val="17"/>
                <w:lang w:val="es-ES_tradnl"/>
              </w:rPr>
              <w:t>700</w:t>
            </w:r>
          </w:p>
        </w:tc>
        <w:tc>
          <w:tcPr>
            <w:tcW w:w="957" w:type="dxa"/>
            <w:tcBorders>
              <w:top w:val="single" w:sz="4" w:space="0" w:color="auto"/>
              <w:bottom w:val="single" w:sz="12" w:space="0" w:color="auto"/>
            </w:tcBorders>
            <w:shd w:val="clear" w:color="auto" w:fill="auto"/>
            <w:vAlign w:val="bottom"/>
          </w:tcPr>
          <w:p w:rsidR="00323D21" w:rsidRPr="00CC062C" w:rsidRDefault="00323D21" w:rsidP="00323D21">
            <w:pPr>
              <w:pStyle w:val="SingleTxtG"/>
              <w:spacing w:before="81" w:after="81" w:line="210" w:lineRule="exact"/>
              <w:ind w:left="113" w:right="40"/>
              <w:jc w:val="right"/>
              <w:rPr>
                <w:b/>
                <w:sz w:val="17"/>
                <w:szCs w:val="17"/>
                <w:lang w:val="es-ES_tradnl"/>
              </w:rPr>
            </w:pPr>
            <w:r w:rsidRPr="00CC062C">
              <w:rPr>
                <w:b/>
                <w:sz w:val="17"/>
                <w:szCs w:val="17"/>
                <w:lang w:val="es-ES_tradnl"/>
              </w:rPr>
              <w:t>61</w:t>
            </w:r>
            <w:r w:rsidR="00C530DF">
              <w:rPr>
                <w:b/>
                <w:sz w:val="17"/>
                <w:szCs w:val="17"/>
                <w:lang w:val="es-ES_tradnl"/>
              </w:rPr>
              <w:t xml:space="preserve"> </w:t>
            </w:r>
            <w:r w:rsidRPr="00CC062C">
              <w:rPr>
                <w:b/>
                <w:sz w:val="17"/>
                <w:szCs w:val="17"/>
                <w:lang w:val="es-ES_tradnl"/>
              </w:rPr>
              <w:t>492</w:t>
            </w:r>
          </w:p>
        </w:tc>
        <w:tc>
          <w:tcPr>
            <w:tcW w:w="957" w:type="dxa"/>
            <w:tcBorders>
              <w:top w:val="single" w:sz="4" w:space="0" w:color="auto"/>
              <w:bottom w:val="single" w:sz="12" w:space="0" w:color="auto"/>
            </w:tcBorders>
            <w:shd w:val="clear" w:color="auto" w:fill="auto"/>
            <w:vAlign w:val="bottom"/>
          </w:tcPr>
          <w:p w:rsidR="00323D21" w:rsidRPr="00CC062C" w:rsidRDefault="00323D21" w:rsidP="00323D21">
            <w:pPr>
              <w:pStyle w:val="SingleTxtG"/>
              <w:spacing w:before="81" w:after="81" w:line="210" w:lineRule="exact"/>
              <w:ind w:left="113" w:right="40"/>
              <w:jc w:val="right"/>
              <w:rPr>
                <w:b/>
                <w:sz w:val="17"/>
                <w:szCs w:val="17"/>
                <w:lang w:val="es-ES_tradnl"/>
              </w:rPr>
            </w:pPr>
            <w:r w:rsidRPr="00CC062C">
              <w:rPr>
                <w:b/>
                <w:sz w:val="17"/>
                <w:szCs w:val="17"/>
                <w:lang w:val="es-ES_tradnl"/>
              </w:rPr>
              <w:t>70</w:t>
            </w:r>
            <w:r w:rsidR="00C530DF">
              <w:rPr>
                <w:b/>
                <w:sz w:val="17"/>
                <w:szCs w:val="17"/>
                <w:lang w:val="es-ES_tradnl"/>
              </w:rPr>
              <w:t xml:space="preserve"> </w:t>
            </w:r>
            <w:r w:rsidRPr="00CC062C">
              <w:rPr>
                <w:b/>
                <w:sz w:val="17"/>
                <w:szCs w:val="17"/>
                <w:lang w:val="es-ES_tradnl"/>
              </w:rPr>
              <w:t>660</w:t>
            </w:r>
          </w:p>
        </w:tc>
        <w:tc>
          <w:tcPr>
            <w:tcW w:w="957" w:type="dxa"/>
            <w:tcBorders>
              <w:top w:val="single" w:sz="4" w:space="0" w:color="auto"/>
              <w:bottom w:val="single" w:sz="12" w:space="0" w:color="auto"/>
            </w:tcBorders>
            <w:shd w:val="clear" w:color="auto" w:fill="auto"/>
            <w:vAlign w:val="bottom"/>
          </w:tcPr>
          <w:p w:rsidR="00323D21" w:rsidRPr="00CC062C" w:rsidRDefault="00323D21" w:rsidP="00323D21">
            <w:pPr>
              <w:pStyle w:val="SingleTxtG"/>
              <w:spacing w:before="81" w:after="81" w:line="210" w:lineRule="exact"/>
              <w:ind w:left="113" w:right="40"/>
              <w:jc w:val="right"/>
              <w:rPr>
                <w:b/>
                <w:sz w:val="17"/>
                <w:szCs w:val="17"/>
                <w:lang w:val="es-ES_tradnl"/>
              </w:rPr>
            </w:pPr>
            <w:r w:rsidRPr="00CC062C">
              <w:rPr>
                <w:b/>
                <w:sz w:val="17"/>
                <w:szCs w:val="17"/>
                <w:lang w:val="es-ES_tradnl"/>
              </w:rPr>
              <w:t>79</w:t>
            </w:r>
            <w:r w:rsidR="00C530DF">
              <w:rPr>
                <w:b/>
                <w:sz w:val="17"/>
                <w:szCs w:val="17"/>
                <w:lang w:val="es-ES_tradnl"/>
              </w:rPr>
              <w:t xml:space="preserve"> </w:t>
            </w:r>
            <w:r w:rsidRPr="00CC062C">
              <w:rPr>
                <w:b/>
                <w:sz w:val="17"/>
                <w:szCs w:val="17"/>
                <w:lang w:val="es-ES_tradnl"/>
              </w:rPr>
              <w:t>595</w:t>
            </w:r>
          </w:p>
        </w:tc>
        <w:tc>
          <w:tcPr>
            <w:tcW w:w="957" w:type="dxa"/>
            <w:tcBorders>
              <w:top w:val="single" w:sz="4" w:space="0" w:color="auto"/>
              <w:bottom w:val="single" w:sz="12" w:space="0" w:color="auto"/>
            </w:tcBorders>
            <w:shd w:val="clear" w:color="auto" w:fill="auto"/>
            <w:vAlign w:val="bottom"/>
          </w:tcPr>
          <w:p w:rsidR="00323D21" w:rsidRPr="00CC062C" w:rsidRDefault="00323D21" w:rsidP="00323D21">
            <w:pPr>
              <w:pStyle w:val="SingleTxtG"/>
              <w:spacing w:before="81" w:after="81" w:line="210" w:lineRule="exact"/>
              <w:ind w:left="113" w:right="40"/>
              <w:jc w:val="right"/>
              <w:rPr>
                <w:b/>
                <w:sz w:val="17"/>
                <w:szCs w:val="17"/>
                <w:lang w:val="es-ES_tradnl"/>
              </w:rPr>
            </w:pPr>
            <w:r w:rsidRPr="00CC062C">
              <w:rPr>
                <w:b/>
                <w:sz w:val="17"/>
                <w:szCs w:val="17"/>
                <w:lang w:val="es-ES_tradnl"/>
              </w:rPr>
              <w:t>83</w:t>
            </w:r>
            <w:r w:rsidR="00C530DF">
              <w:rPr>
                <w:b/>
                <w:sz w:val="17"/>
                <w:szCs w:val="17"/>
                <w:lang w:val="es-ES_tradnl"/>
              </w:rPr>
              <w:t xml:space="preserve"> </w:t>
            </w:r>
            <w:r w:rsidRPr="00CC062C">
              <w:rPr>
                <w:b/>
                <w:sz w:val="17"/>
                <w:szCs w:val="17"/>
                <w:lang w:val="es-ES_tradnl"/>
              </w:rPr>
              <w:t>785</w:t>
            </w:r>
          </w:p>
        </w:tc>
      </w:tr>
    </w:tbl>
    <w:p w:rsidR="000E4D28" w:rsidRPr="000E4D28" w:rsidRDefault="000E4D28" w:rsidP="000E4D28">
      <w:pPr>
        <w:pStyle w:val="SingleTxt"/>
        <w:suppressAutoHyphens/>
        <w:spacing w:after="0" w:line="120" w:lineRule="exact"/>
        <w:rPr>
          <w:sz w:val="10"/>
          <w:lang w:val="es-ES_tradnl" w:eastAsia="es-ES"/>
        </w:rPr>
      </w:pPr>
    </w:p>
    <w:p w:rsidR="0038237D" w:rsidRPr="0029152F" w:rsidRDefault="0038237D" w:rsidP="000E4D28">
      <w:pPr>
        <w:pStyle w:val="FootnoteText"/>
        <w:tabs>
          <w:tab w:val="clear" w:pos="418"/>
          <w:tab w:val="right" w:pos="1476"/>
          <w:tab w:val="left" w:pos="1548"/>
          <w:tab w:val="right" w:pos="1836"/>
          <w:tab w:val="left" w:pos="1908"/>
        </w:tabs>
        <w:ind w:left="1548" w:hanging="288"/>
        <w:rPr>
          <w:lang w:eastAsia="es-ES"/>
        </w:rPr>
      </w:pPr>
      <w:bookmarkStart w:id="119" w:name="_Toc348513745"/>
      <w:bookmarkStart w:id="120" w:name="_Toc349720611"/>
      <w:bookmarkStart w:id="121" w:name="_Toc360096849"/>
      <w:r w:rsidRPr="0029152F">
        <w:rPr>
          <w:i/>
          <w:lang w:eastAsia="es-ES"/>
        </w:rPr>
        <w:t xml:space="preserve">Fuente: </w:t>
      </w:r>
      <w:r w:rsidRPr="0029152F">
        <w:rPr>
          <w:lang w:eastAsia="es-ES"/>
        </w:rPr>
        <w:t>Ministerio de Ciencia, Innovación y Educación Superior, sobre la base de los datos de Estadísticas Dinamarca.</w:t>
      </w:r>
    </w:p>
    <w:bookmarkEnd w:id="119"/>
    <w:bookmarkEnd w:id="120"/>
    <w:bookmarkEnd w:id="121"/>
    <w:p w:rsidR="000E4D28" w:rsidRPr="000E4D28" w:rsidRDefault="000E4D28" w:rsidP="000E4D28">
      <w:pPr>
        <w:pStyle w:val="FootnoteText"/>
        <w:tabs>
          <w:tab w:val="clear" w:pos="418"/>
          <w:tab w:val="right" w:pos="1476"/>
          <w:tab w:val="left" w:pos="1548"/>
          <w:tab w:val="right" w:pos="1836"/>
          <w:tab w:val="left" w:pos="1908"/>
        </w:tabs>
        <w:spacing w:line="120" w:lineRule="exact"/>
        <w:ind w:left="1548" w:hanging="288"/>
        <w:rPr>
          <w:i/>
          <w:sz w:val="10"/>
          <w:lang w:eastAsia="es-ES"/>
        </w:rPr>
      </w:pPr>
    </w:p>
    <w:p w:rsidR="0038237D" w:rsidRPr="0029152F" w:rsidRDefault="0038237D" w:rsidP="000E4D28">
      <w:pPr>
        <w:pStyle w:val="FootnoteText"/>
        <w:tabs>
          <w:tab w:val="clear" w:pos="418"/>
          <w:tab w:val="right" w:pos="1476"/>
          <w:tab w:val="left" w:pos="1548"/>
          <w:tab w:val="right" w:pos="1836"/>
          <w:tab w:val="left" w:pos="1908"/>
        </w:tabs>
        <w:ind w:left="1548" w:hanging="288"/>
        <w:rPr>
          <w:lang w:eastAsia="es-ES"/>
        </w:rPr>
      </w:pPr>
      <w:r w:rsidRPr="0029152F">
        <w:rPr>
          <w:i/>
          <w:lang w:eastAsia="es-ES"/>
        </w:rPr>
        <w:t xml:space="preserve">Nota: </w:t>
      </w:r>
      <w:r w:rsidRPr="0029152F">
        <w:rPr>
          <w:lang w:eastAsia="es-ES"/>
        </w:rPr>
        <w:t>Se desconoce el origen de un pequeño número de estudiantes. Se han incluido en el total.</w:t>
      </w:r>
    </w:p>
    <w:p w:rsidR="000E4D28" w:rsidRPr="000E4D28" w:rsidRDefault="000E4D28" w:rsidP="000E4D28">
      <w:pPr>
        <w:pStyle w:val="SingleTxtG"/>
        <w:spacing w:after="0" w:line="120" w:lineRule="exact"/>
        <w:rPr>
          <w:sz w:val="10"/>
          <w:lang w:val="es-ES_tradnl"/>
        </w:rPr>
      </w:pPr>
    </w:p>
    <w:p w:rsidR="000E4D28" w:rsidRPr="000E4D28" w:rsidRDefault="000E4D28" w:rsidP="000E4D28">
      <w:pPr>
        <w:pStyle w:val="SingleTxtG"/>
        <w:spacing w:after="0" w:line="120" w:lineRule="exact"/>
        <w:rPr>
          <w:sz w:val="10"/>
          <w:lang w:val="es-ES_tradnl"/>
        </w:rPr>
      </w:pPr>
    </w:p>
    <w:p w:rsidR="0038237D" w:rsidRPr="00EA0AB9" w:rsidRDefault="000E4D28" w:rsidP="000E4D28">
      <w:pPr>
        <w:pStyle w:val="SingleTxt"/>
        <w:suppressAutoHyphens/>
        <w:rPr>
          <w:lang w:val="es-ES_tradnl"/>
        </w:rPr>
      </w:pPr>
      <w:r>
        <w:rPr>
          <w:lang w:val="es-ES_tradnl"/>
        </w:rPr>
        <w:tab/>
      </w:r>
      <w:r w:rsidR="0038237D" w:rsidRPr="00EA0AB9">
        <w:rPr>
          <w:lang w:val="es-ES_tradnl"/>
        </w:rPr>
        <w:t>En algunos programas de educación superior existe un desequilibrio entre los géneros. Las mujeres están excesivamente representadas en los programas de educación relacionados con el bienestar, como los programas de enfermería y enseñanza infantil. Los hombres están excesivamente representados en las ciencias técnicas. No existe una estrategia nacional ni iniciativas para garantizar que el género insuficientemente representado solicite su admisión en programas específicos. Sin embargo, las instituciones educativas pueden decidir llevar a cabo campañas de información específicas.</w:t>
      </w:r>
    </w:p>
    <w:p w:rsidR="000E4D28" w:rsidRPr="000E4D28" w:rsidRDefault="0038237D" w:rsidP="000E4D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r>
        <w:rPr>
          <w:lang w:val="es-ES_tradnl"/>
        </w:rPr>
        <w:tab/>
      </w:r>
      <w:r>
        <w:rPr>
          <w:lang w:val="es-ES_tradnl"/>
        </w:rPr>
        <w:tab/>
      </w:r>
    </w:p>
    <w:p w:rsidR="0038237D" w:rsidRPr="00EA0AB9" w:rsidRDefault="000E4D28" w:rsidP="000E4D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38237D" w:rsidRPr="00EA0AB9">
        <w:rPr>
          <w:lang w:val="es-ES_tradnl"/>
        </w:rPr>
        <w:t>Finalización de la educación superior</w:t>
      </w:r>
    </w:p>
    <w:p w:rsidR="000E4D28" w:rsidRPr="000E4D28" w:rsidRDefault="000E4D28" w:rsidP="000E4D28">
      <w:pPr>
        <w:pStyle w:val="SingleTxtG"/>
        <w:spacing w:after="0" w:line="120" w:lineRule="exact"/>
        <w:rPr>
          <w:sz w:val="10"/>
          <w:lang w:val="es-ES_tradnl"/>
        </w:rPr>
      </w:pPr>
    </w:p>
    <w:p w:rsidR="0038237D" w:rsidRPr="00EA0AB9" w:rsidRDefault="000E4D28" w:rsidP="000E4D28">
      <w:pPr>
        <w:pStyle w:val="SingleTxt"/>
        <w:suppressAutoHyphens/>
        <w:rPr>
          <w:lang w:val="es-ES_tradnl"/>
        </w:rPr>
      </w:pPr>
      <w:r>
        <w:rPr>
          <w:lang w:val="es-ES_tradnl"/>
        </w:rPr>
        <w:tab/>
      </w:r>
      <w:r w:rsidR="0038237D" w:rsidRPr="00EA0AB9">
        <w:rPr>
          <w:lang w:val="es-ES_tradnl"/>
        </w:rPr>
        <w:t xml:space="preserve">Más hombres que mujeres abandonan los programas de educación superior. Las iniciativas de las instituciones para garantizar que un mayor número de estudiantes finalice su programa de educación superior van dirigidas tanto a mujeres como a hombres. Las mujeres de origen étnico no danés finalizan los programas de educación superior al mismo nivel que otras mujeres danesas. El número de hombres de origen étnico no danés admitidos en los programas de educación superior es inferior al de otros hombres daneses, y las tasas de finalización de los hombres de origen étnico no danés también son inferiores a las de otros hombres daneses. </w:t>
      </w:r>
    </w:p>
    <w:p w:rsidR="000E4D28" w:rsidRPr="000E4D28" w:rsidRDefault="000E4D28" w:rsidP="000E4D28">
      <w:pPr>
        <w:pStyle w:val="Heading1"/>
        <w:keepNext/>
        <w:suppressAutoHyphens w:val="0"/>
        <w:spacing w:line="120" w:lineRule="exact"/>
        <w:ind w:right="1134"/>
        <w:jc w:val="both"/>
        <w:rPr>
          <w:rFonts w:cs="Arial"/>
          <w:bCs/>
          <w:sz w:val="10"/>
          <w:szCs w:val="32"/>
          <w:lang w:val="es-ES_tradnl" w:eastAsia="es-ES"/>
        </w:rPr>
      </w:pPr>
    </w:p>
    <w:p w:rsidR="000E4D28" w:rsidRPr="000E4D28" w:rsidRDefault="000E4D28" w:rsidP="000E4D28">
      <w:pPr>
        <w:pStyle w:val="Heading1"/>
        <w:keepNext/>
        <w:suppressAutoHyphens w:val="0"/>
        <w:spacing w:line="120" w:lineRule="exact"/>
        <w:ind w:right="1134"/>
        <w:jc w:val="both"/>
        <w:rPr>
          <w:rFonts w:cs="Arial"/>
          <w:bCs/>
          <w:sz w:val="10"/>
          <w:szCs w:val="32"/>
          <w:lang w:val="es-ES_tradnl" w:eastAsia="es-ES"/>
        </w:rPr>
      </w:pPr>
    </w:p>
    <w:p w:rsidR="0038237D" w:rsidRPr="000E4D28" w:rsidRDefault="000E4D28" w:rsidP="000E4D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eastAsia="es-ES"/>
        </w:rPr>
      </w:pPr>
      <w:r>
        <w:rPr>
          <w:lang w:val="es-ES_tradnl" w:eastAsia="es-ES"/>
        </w:rPr>
        <w:tab/>
      </w:r>
      <w:r w:rsidRPr="000E4D28">
        <w:rPr>
          <w:b w:val="0"/>
          <w:lang w:val="es-ES_tradnl" w:eastAsia="es-ES"/>
        </w:rPr>
        <w:tab/>
      </w:r>
      <w:r w:rsidR="0038237D" w:rsidRPr="000E4D28">
        <w:rPr>
          <w:b w:val="0"/>
          <w:lang w:val="es-ES_tradnl" w:eastAsia="es-ES"/>
        </w:rPr>
        <w:t>Cuadro 2</w:t>
      </w:r>
    </w:p>
    <w:p w:rsidR="0038237D" w:rsidRDefault="000E4D28" w:rsidP="000E4D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Pr>
          <w:lang w:val="es-ES_tradnl" w:eastAsia="es-ES"/>
        </w:rPr>
        <w:tab/>
      </w:r>
      <w:r>
        <w:rPr>
          <w:lang w:val="es-ES_tradnl" w:eastAsia="es-ES"/>
        </w:rPr>
        <w:tab/>
      </w:r>
      <w:r w:rsidR="0038237D" w:rsidRPr="0029152F">
        <w:rPr>
          <w:lang w:val="es-ES_tradnl" w:eastAsia="es-ES"/>
        </w:rPr>
        <w:t>Tasas de deserción de la educación superior por género y origen, 2005-2011</w:t>
      </w:r>
    </w:p>
    <w:p w:rsidR="000E4D28" w:rsidRPr="000E4D28" w:rsidRDefault="000E4D28" w:rsidP="000E4D28">
      <w:pPr>
        <w:pStyle w:val="SingleTxt"/>
        <w:suppressAutoHyphens/>
        <w:spacing w:after="0" w:line="120" w:lineRule="exact"/>
        <w:rPr>
          <w:sz w:val="10"/>
          <w:lang w:val="es-ES_tradnl" w:eastAsia="es-ES"/>
        </w:rPr>
      </w:pPr>
    </w:p>
    <w:p w:rsidR="000E4D28" w:rsidRPr="000E4D28" w:rsidRDefault="000E4D28" w:rsidP="000E4D28">
      <w:pPr>
        <w:pStyle w:val="SingleTxt"/>
        <w:suppressAutoHyphens/>
        <w:spacing w:after="0" w:line="120" w:lineRule="exact"/>
        <w:rPr>
          <w:sz w:val="10"/>
          <w:lang w:val="es-ES_tradnl" w:eastAsia="es-ES"/>
        </w:rPr>
      </w:pPr>
    </w:p>
    <w:tbl>
      <w:tblPr>
        <w:tblW w:w="8613" w:type="dxa"/>
        <w:tblInd w:w="1260" w:type="dxa"/>
        <w:tblLayout w:type="fixed"/>
        <w:tblCellMar>
          <w:left w:w="0" w:type="dxa"/>
          <w:right w:w="0" w:type="dxa"/>
        </w:tblCellMar>
        <w:tblLook w:val="0000"/>
      </w:tblPr>
      <w:tblGrid>
        <w:gridCol w:w="957"/>
        <w:gridCol w:w="1284"/>
        <w:gridCol w:w="873"/>
        <w:gridCol w:w="714"/>
        <w:gridCol w:w="957"/>
        <w:gridCol w:w="957"/>
        <w:gridCol w:w="957"/>
        <w:gridCol w:w="957"/>
        <w:gridCol w:w="957"/>
      </w:tblGrid>
      <w:tr w:rsidR="000E4D28" w:rsidRPr="000E4D28" w:rsidTr="00306B1E">
        <w:tblPrEx>
          <w:tblCellMar>
            <w:top w:w="0" w:type="dxa"/>
            <w:bottom w:w="0" w:type="dxa"/>
          </w:tblCellMar>
        </w:tblPrEx>
        <w:trPr>
          <w:tblHeader/>
        </w:trPr>
        <w:tc>
          <w:tcPr>
            <w:tcW w:w="957" w:type="dxa"/>
            <w:tcBorders>
              <w:top w:val="single" w:sz="4" w:space="0" w:color="auto"/>
              <w:bottom w:val="single" w:sz="12" w:space="0" w:color="auto"/>
            </w:tcBorders>
            <w:shd w:val="clear" w:color="auto" w:fill="auto"/>
            <w:vAlign w:val="bottom"/>
          </w:tcPr>
          <w:p w:rsidR="000E4D28" w:rsidRPr="000E4D28" w:rsidRDefault="000E4D28" w:rsidP="00306B1E">
            <w:pPr>
              <w:pStyle w:val="SingleTxtG"/>
              <w:spacing w:before="80" w:after="80" w:line="160" w:lineRule="exact"/>
              <w:ind w:left="0" w:right="40"/>
              <w:jc w:val="left"/>
              <w:rPr>
                <w:i/>
                <w:sz w:val="14"/>
                <w:szCs w:val="14"/>
                <w:lang w:val="es-ES_tradnl"/>
              </w:rPr>
            </w:pPr>
            <w:r w:rsidRPr="000E4D28">
              <w:rPr>
                <w:i/>
                <w:sz w:val="14"/>
                <w:szCs w:val="14"/>
                <w:lang w:val="es-ES_tradnl"/>
              </w:rPr>
              <w:t>Género</w:t>
            </w:r>
          </w:p>
        </w:tc>
        <w:tc>
          <w:tcPr>
            <w:tcW w:w="1284" w:type="dxa"/>
            <w:tcBorders>
              <w:top w:val="single" w:sz="4" w:space="0" w:color="auto"/>
              <w:bottom w:val="single" w:sz="12" w:space="0" w:color="auto"/>
            </w:tcBorders>
            <w:shd w:val="clear" w:color="auto" w:fill="auto"/>
            <w:vAlign w:val="bottom"/>
          </w:tcPr>
          <w:p w:rsidR="000E4D28" w:rsidRPr="000E4D28" w:rsidRDefault="000E4D28" w:rsidP="000E4D28">
            <w:pPr>
              <w:pStyle w:val="SingleTxtG"/>
              <w:spacing w:before="80" w:after="80" w:line="160" w:lineRule="exact"/>
              <w:ind w:left="113" w:right="40"/>
              <w:jc w:val="left"/>
              <w:rPr>
                <w:i/>
                <w:sz w:val="14"/>
                <w:szCs w:val="14"/>
                <w:lang w:val="es-ES_tradnl"/>
              </w:rPr>
            </w:pPr>
            <w:r w:rsidRPr="000E4D28">
              <w:rPr>
                <w:i/>
                <w:sz w:val="14"/>
                <w:szCs w:val="14"/>
                <w:lang w:val="es-ES_tradnl"/>
              </w:rPr>
              <w:t>Origen</w:t>
            </w:r>
          </w:p>
        </w:tc>
        <w:tc>
          <w:tcPr>
            <w:tcW w:w="873" w:type="dxa"/>
            <w:tcBorders>
              <w:top w:val="single" w:sz="4" w:space="0" w:color="auto"/>
              <w:bottom w:val="single" w:sz="12" w:space="0" w:color="auto"/>
            </w:tcBorders>
            <w:shd w:val="clear" w:color="auto" w:fill="auto"/>
            <w:vAlign w:val="bottom"/>
          </w:tcPr>
          <w:p w:rsidR="000E4D28" w:rsidRPr="000E4D28" w:rsidRDefault="000E4D28" w:rsidP="00306B1E">
            <w:pPr>
              <w:pStyle w:val="SingleTxtG"/>
              <w:spacing w:before="80" w:after="80" w:line="160" w:lineRule="exact"/>
              <w:ind w:left="113" w:right="40"/>
              <w:jc w:val="right"/>
              <w:rPr>
                <w:bCs/>
                <w:i/>
                <w:sz w:val="14"/>
                <w:szCs w:val="14"/>
                <w:lang w:val="es-ES_tradnl"/>
              </w:rPr>
            </w:pPr>
            <w:r w:rsidRPr="000E4D28">
              <w:rPr>
                <w:bCs/>
                <w:i/>
                <w:sz w:val="14"/>
                <w:szCs w:val="14"/>
                <w:lang w:val="es-ES_tradnl"/>
              </w:rPr>
              <w:t>2005</w:t>
            </w:r>
          </w:p>
        </w:tc>
        <w:tc>
          <w:tcPr>
            <w:tcW w:w="714" w:type="dxa"/>
            <w:tcBorders>
              <w:top w:val="single" w:sz="4" w:space="0" w:color="auto"/>
              <w:bottom w:val="single" w:sz="12" w:space="0" w:color="auto"/>
            </w:tcBorders>
            <w:shd w:val="clear" w:color="auto" w:fill="auto"/>
            <w:vAlign w:val="bottom"/>
          </w:tcPr>
          <w:p w:rsidR="000E4D28" w:rsidRPr="000E4D28" w:rsidRDefault="000E4D28" w:rsidP="00306B1E">
            <w:pPr>
              <w:pStyle w:val="SingleTxtG"/>
              <w:spacing w:before="80" w:after="80" w:line="160" w:lineRule="exact"/>
              <w:ind w:left="113" w:right="40"/>
              <w:jc w:val="right"/>
              <w:rPr>
                <w:bCs/>
                <w:i/>
                <w:sz w:val="14"/>
                <w:szCs w:val="14"/>
                <w:lang w:val="es-ES_tradnl"/>
              </w:rPr>
            </w:pPr>
            <w:r w:rsidRPr="000E4D28">
              <w:rPr>
                <w:bCs/>
                <w:i/>
                <w:sz w:val="14"/>
                <w:szCs w:val="14"/>
                <w:lang w:val="es-ES_tradnl"/>
              </w:rPr>
              <w:t>2006</w:t>
            </w:r>
          </w:p>
        </w:tc>
        <w:tc>
          <w:tcPr>
            <w:tcW w:w="957" w:type="dxa"/>
            <w:tcBorders>
              <w:top w:val="single" w:sz="4" w:space="0" w:color="auto"/>
              <w:bottom w:val="single" w:sz="12" w:space="0" w:color="auto"/>
            </w:tcBorders>
            <w:shd w:val="clear" w:color="auto" w:fill="auto"/>
            <w:vAlign w:val="bottom"/>
          </w:tcPr>
          <w:p w:rsidR="000E4D28" w:rsidRPr="000E4D28" w:rsidRDefault="000E4D28" w:rsidP="00306B1E">
            <w:pPr>
              <w:pStyle w:val="SingleTxtG"/>
              <w:spacing w:before="80" w:after="80" w:line="160" w:lineRule="exact"/>
              <w:ind w:left="113" w:right="40"/>
              <w:jc w:val="right"/>
              <w:rPr>
                <w:bCs/>
                <w:i/>
                <w:sz w:val="14"/>
                <w:szCs w:val="14"/>
                <w:lang w:val="es-ES_tradnl"/>
              </w:rPr>
            </w:pPr>
            <w:r w:rsidRPr="000E4D28">
              <w:rPr>
                <w:bCs/>
                <w:i/>
                <w:sz w:val="14"/>
                <w:szCs w:val="14"/>
                <w:lang w:val="es-ES_tradnl"/>
              </w:rPr>
              <w:t>2007</w:t>
            </w:r>
          </w:p>
        </w:tc>
        <w:tc>
          <w:tcPr>
            <w:tcW w:w="957" w:type="dxa"/>
            <w:tcBorders>
              <w:top w:val="single" w:sz="4" w:space="0" w:color="auto"/>
              <w:bottom w:val="single" w:sz="12" w:space="0" w:color="auto"/>
            </w:tcBorders>
            <w:shd w:val="clear" w:color="auto" w:fill="auto"/>
            <w:vAlign w:val="bottom"/>
          </w:tcPr>
          <w:p w:rsidR="000E4D28" w:rsidRPr="000E4D28" w:rsidRDefault="000E4D28" w:rsidP="00306B1E">
            <w:pPr>
              <w:pStyle w:val="SingleTxtG"/>
              <w:spacing w:before="80" w:after="80" w:line="160" w:lineRule="exact"/>
              <w:ind w:left="113" w:right="40"/>
              <w:jc w:val="right"/>
              <w:rPr>
                <w:bCs/>
                <w:i/>
                <w:sz w:val="14"/>
                <w:szCs w:val="14"/>
                <w:lang w:val="es-ES_tradnl"/>
              </w:rPr>
            </w:pPr>
            <w:r w:rsidRPr="000E4D28">
              <w:rPr>
                <w:bCs/>
                <w:i/>
                <w:sz w:val="14"/>
                <w:szCs w:val="14"/>
                <w:lang w:val="es-ES_tradnl"/>
              </w:rPr>
              <w:t>2008</w:t>
            </w:r>
          </w:p>
        </w:tc>
        <w:tc>
          <w:tcPr>
            <w:tcW w:w="957" w:type="dxa"/>
            <w:tcBorders>
              <w:top w:val="single" w:sz="4" w:space="0" w:color="auto"/>
              <w:bottom w:val="single" w:sz="12" w:space="0" w:color="auto"/>
            </w:tcBorders>
            <w:shd w:val="clear" w:color="auto" w:fill="auto"/>
            <w:vAlign w:val="bottom"/>
          </w:tcPr>
          <w:p w:rsidR="000E4D28" w:rsidRPr="000E4D28" w:rsidRDefault="000E4D28" w:rsidP="00306B1E">
            <w:pPr>
              <w:pStyle w:val="SingleTxtG"/>
              <w:spacing w:before="80" w:after="80" w:line="160" w:lineRule="exact"/>
              <w:ind w:left="113" w:right="40"/>
              <w:jc w:val="right"/>
              <w:rPr>
                <w:bCs/>
                <w:i/>
                <w:sz w:val="14"/>
                <w:szCs w:val="14"/>
                <w:lang w:val="es-ES_tradnl"/>
              </w:rPr>
            </w:pPr>
            <w:r w:rsidRPr="000E4D28">
              <w:rPr>
                <w:bCs/>
                <w:i/>
                <w:sz w:val="14"/>
                <w:szCs w:val="14"/>
                <w:lang w:val="es-ES_tradnl"/>
              </w:rPr>
              <w:t>2009</w:t>
            </w:r>
          </w:p>
        </w:tc>
        <w:tc>
          <w:tcPr>
            <w:tcW w:w="957" w:type="dxa"/>
            <w:tcBorders>
              <w:top w:val="single" w:sz="4" w:space="0" w:color="auto"/>
              <w:bottom w:val="single" w:sz="12" w:space="0" w:color="auto"/>
            </w:tcBorders>
            <w:shd w:val="clear" w:color="auto" w:fill="auto"/>
            <w:vAlign w:val="bottom"/>
          </w:tcPr>
          <w:p w:rsidR="000E4D28" w:rsidRPr="000E4D28" w:rsidRDefault="000E4D28" w:rsidP="00306B1E">
            <w:pPr>
              <w:pStyle w:val="SingleTxtG"/>
              <w:spacing w:before="80" w:after="80" w:line="160" w:lineRule="exact"/>
              <w:ind w:left="113" w:right="40"/>
              <w:jc w:val="right"/>
              <w:rPr>
                <w:bCs/>
                <w:i/>
                <w:sz w:val="14"/>
                <w:szCs w:val="14"/>
                <w:lang w:val="es-ES_tradnl"/>
              </w:rPr>
            </w:pPr>
            <w:r w:rsidRPr="000E4D28">
              <w:rPr>
                <w:bCs/>
                <w:i/>
                <w:sz w:val="14"/>
                <w:szCs w:val="14"/>
                <w:lang w:val="es-ES_tradnl"/>
              </w:rPr>
              <w:t>2010</w:t>
            </w:r>
          </w:p>
        </w:tc>
        <w:tc>
          <w:tcPr>
            <w:tcW w:w="957" w:type="dxa"/>
            <w:tcBorders>
              <w:top w:val="single" w:sz="4" w:space="0" w:color="auto"/>
              <w:bottom w:val="single" w:sz="12" w:space="0" w:color="auto"/>
            </w:tcBorders>
            <w:shd w:val="clear" w:color="auto" w:fill="auto"/>
            <w:vAlign w:val="bottom"/>
          </w:tcPr>
          <w:p w:rsidR="000E4D28" w:rsidRPr="000E4D28" w:rsidRDefault="000E4D28" w:rsidP="00306B1E">
            <w:pPr>
              <w:pStyle w:val="SingleTxtG"/>
              <w:spacing w:before="80" w:after="80" w:line="160" w:lineRule="exact"/>
              <w:ind w:left="113" w:right="40"/>
              <w:jc w:val="right"/>
              <w:rPr>
                <w:bCs/>
                <w:i/>
                <w:sz w:val="14"/>
                <w:szCs w:val="14"/>
                <w:lang w:val="es-ES_tradnl"/>
              </w:rPr>
            </w:pPr>
            <w:r w:rsidRPr="000E4D28">
              <w:rPr>
                <w:bCs/>
                <w:i/>
                <w:sz w:val="14"/>
                <w:szCs w:val="14"/>
                <w:lang w:val="es-ES_tradnl"/>
              </w:rPr>
              <w:t>2011</w:t>
            </w:r>
          </w:p>
        </w:tc>
      </w:tr>
      <w:tr w:rsidR="000E4D28" w:rsidRPr="000D4F95" w:rsidTr="00306B1E">
        <w:tblPrEx>
          <w:tblCellMar>
            <w:top w:w="0" w:type="dxa"/>
            <w:bottom w:w="0" w:type="dxa"/>
          </w:tblCellMar>
        </w:tblPrEx>
        <w:trPr>
          <w:trHeight w:hRule="exact" w:val="115"/>
          <w:tblHeader/>
        </w:trPr>
        <w:tc>
          <w:tcPr>
            <w:tcW w:w="957" w:type="dxa"/>
            <w:tcBorders>
              <w:top w:val="single" w:sz="12" w:space="0" w:color="auto"/>
            </w:tcBorders>
            <w:shd w:val="clear" w:color="auto" w:fill="auto"/>
            <w:vAlign w:val="bottom"/>
          </w:tcPr>
          <w:p w:rsidR="000E4D28" w:rsidRPr="000D4F95" w:rsidRDefault="000E4D28" w:rsidP="00306B1E">
            <w:pPr>
              <w:tabs>
                <w:tab w:val="left" w:pos="288"/>
                <w:tab w:val="left" w:pos="576"/>
                <w:tab w:val="left" w:pos="864"/>
                <w:tab w:val="left" w:pos="1152"/>
              </w:tabs>
              <w:spacing w:before="40" w:after="40" w:line="210" w:lineRule="exact"/>
              <w:ind w:right="40"/>
              <w:rPr>
                <w:kern w:val="0"/>
                <w:sz w:val="17"/>
                <w:lang w:val="es-ES_tradnl" w:eastAsia="es-ES"/>
              </w:rPr>
            </w:pPr>
          </w:p>
        </w:tc>
        <w:tc>
          <w:tcPr>
            <w:tcW w:w="1284" w:type="dxa"/>
            <w:tcBorders>
              <w:top w:val="single" w:sz="12" w:space="0" w:color="auto"/>
            </w:tcBorders>
            <w:shd w:val="clear" w:color="auto" w:fill="auto"/>
            <w:vAlign w:val="bottom"/>
          </w:tcPr>
          <w:p w:rsidR="000E4D28" w:rsidRPr="000D4F95" w:rsidRDefault="000E4D28" w:rsidP="000E4D28">
            <w:pPr>
              <w:tabs>
                <w:tab w:val="left" w:pos="288"/>
                <w:tab w:val="left" w:pos="576"/>
                <w:tab w:val="left" w:pos="864"/>
                <w:tab w:val="left" w:pos="1152"/>
              </w:tabs>
              <w:spacing w:before="40" w:after="40" w:line="210" w:lineRule="exact"/>
              <w:ind w:right="40"/>
              <w:rPr>
                <w:kern w:val="0"/>
                <w:sz w:val="17"/>
                <w:lang w:val="es-ES_tradnl" w:eastAsia="es-ES"/>
              </w:rPr>
            </w:pPr>
          </w:p>
        </w:tc>
        <w:tc>
          <w:tcPr>
            <w:tcW w:w="873" w:type="dxa"/>
            <w:tcBorders>
              <w:top w:val="single" w:sz="12" w:space="0" w:color="auto"/>
            </w:tcBorders>
            <w:shd w:val="clear" w:color="auto" w:fill="auto"/>
            <w:vAlign w:val="bottom"/>
          </w:tcPr>
          <w:p w:rsidR="000E4D28" w:rsidRPr="000D4F95" w:rsidRDefault="000E4D28" w:rsidP="00306B1E">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714" w:type="dxa"/>
            <w:tcBorders>
              <w:top w:val="single" w:sz="12" w:space="0" w:color="auto"/>
            </w:tcBorders>
            <w:shd w:val="clear" w:color="auto" w:fill="auto"/>
            <w:vAlign w:val="bottom"/>
          </w:tcPr>
          <w:p w:rsidR="000E4D28" w:rsidRPr="000D4F95" w:rsidRDefault="000E4D28" w:rsidP="00306B1E">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957" w:type="dxa"/>
            <w:tcBorders>
              <w:top w:val="single" w:sz="12" w:space="0" w:color="auto"/>
            </w:tcBorders>
            <w:shd w:val="clear" w:color="auto" w:fill="auto"/>
            <w:vAlign w:val="bottom"/>
          </w:tcPr>
          <w:p w:rsidR="000E4D28" w:rsidRPr="000D4F95" w:rsidRDefault="000E4D28" w:rsidP="00306B1E">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957" w:type="dxa"/>
            <w:tcBorders>
              <w:top w:val="single" w:sz="12" w:space="0" w:color="auto"/>
            </w:tcBorders>
            <w:shd w:val="clear" w:color="auto" w:fill="auto"/>
            <w:vAlign w:val="bottom"/>
          </w:tcPr>
          <w:p w:rsidR="000E4D28" w:rsidRPr="000D4F95" w:rsidRDefault="000E4D28" w:rsidP="00306B1E">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957" w:type="dxa"/>
            <w:tcBorders>
              <w:top w:val="single" w:sz="12" w:space="0" w:color="auto"/>
            </w:tcBorders>
            <w:shd w:val="clear" w:color="auto" w:fill="auto"/>
            <w:vAlign w:val="bottom"/>
          </w:tcPr>
          <w:p w:rsidR="000E4D28" w:rsidRPr="000D4F95" w:rsidRDefault="000E4D28" w:rsidP="00306B1E">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957" w:type="dxa"/>
            <w:tcBorders>
              <w:top w:val="single" w:sz="12" w:space="0" w:color="auto"/>
            </w:tcBorders>
            <w:shd w:val="clear" w:color="auto" w:fill="auto"/>
            <w:vAlign w:val="bottom"/>
          </w:tcPr>
          <w:p w:rsidR="000E4D28" w:rsidRPr="000D4F95" w:rsidRDefault="000E4D28" w:rsidP="00306B1E">
            <w:pPr>
              <w:tabs>
                <w:tab w:val="left" w:pos="288"/>
                <w:tab w:val="left" w:pos="576"/>
                <w:tab w:val="left" w:pos="864"/>
                <w:tab w:val="left" w:pos="1152"/>
              </w:tabs>
              <w:spacing w:before="40" w:after="40" w:line="210" w:lineRule="exact"/>
              <w:ind w:right="40"/>
              <w:jc w:val="right"/>
              <w:rPr>
                <w:kern w:val="0"/>
                <w:sz w:val="17"/>
                <w:lang w:val="es-ES_tradnl" w:eastAsia="es-ES"/>
              </w:rPr>
            </w:pPr>
          </w:p>
        </w:tc>
        <w:tc>
          <w:tcPr>
            <w:tcW w:w="957" w:type="dxa"/>
            <w:tcBorders>
              <w:top w:val="single" w:sz="12" w:space="0" w:color="auto"/>
            </w:tcBorders>
            <w:shd w:val="clear" w:color="auto" w:fill="auto"/>
            <w:vAlign w:val="bottom"/>
          </w:tcPr>
          <w:p w:rsidR="000E4D28" w:rsidRPr="000D4F95" w:rsidRDefault="000E4D28" w:rsidP="00306B1E">
            <w:pPr>
              <w:tabs>
                <w:tab w:val="left" w:pos="288"/>
                <w:tab w:val="left" w:pos="576"/>
                <w:tab w:val="left" w:pos="864"/>
                <w:tab w:val="left" w:pos="1152"/>
              </w:tabs>
              <w:spacing w:before="40" w:after="40" w:line="210" w:lineRule="exact"/>
              <w:ind w:right="40"/>
              <w:jc w:val="right"/>
              <w:rPr>
                <w:kern w:val="0"/>
                <w:sz w:val="17"/>
                <w:lang w:val="es-ES_tradnl" w:eastAsia="es-ES"/>
              </w:rPr>
            </w:pPr>
          </w:p>
        </w:tc>
      </w:tr>
      <w:tr w:rsidR="000E4D28" w:rsidRPr="000E4D28" w:rsidTr="00306B1E">
        <w:tblPrEx>
          <w:tblCellMar>
            <w:top w:w="0" w:type="dxa"/>
            <w:bottom w:w="0" w:type="dxa"/>
          </w:tblCellMar>
        </w:tblPrEx>
        <w:tc>
          <w:tcPr>
            <w:tcW w:w="957" w:type="dxa"/>
            <w:shd w:val="clear" w:color="auto" w:fill="auto"/>
          </w:tcPr>
          <w:p w:rsidR="000E4D28" w:rsidRPr="000E4D28" w:rsidRDefault="000E4D28" w:rsidP="000E4D28">
            <w:pPr>
              <w:pStyle w:val="SingleTxtG"/>
              <w:suppressAutoHyphens w:val="0"/>
              <w:spacing w:before="40" w:after="40" w:line="210" w:lineRule="exact"/>
              <w:ind w:left="0" w:right="0"/>
              <w:jc w:val="left"/>
              <w:rPr>
                <w:sz w:val="17"/>
                <w:szCs w:val="17"/>
                <w:lang w:val="es-ES_tradnl"/>
              </w:rPr>
            </w:pPr>
            <w:r w:rsidRPr="000E4D28">
              <w:rPr>
                <w:sz w:val="17"/>
                <w:szCs w:val="17"/>
                <w:lang w:val="es-ES_tradnl"/>
              </w:rPr>
              <w:t>Hombres</w:t>
            </w:r>
          </w:p>
        </w:tc>
        <w:tc>
          <w:tcPr>
            <w:tcW w:w="1284"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left"/>
              <w:rPr>
                <w:sz w:val="17"/>
                <w:szCs w:val="17"/>
                <w:lang w:val="es-ES_tradnl"/>
              </w:rPr>
            </w:pPr>
            <w:r w:rsidRPr="000E4D28">
              <w:rPr>
                <w:sz w:val="17"/>
                <w:szCs w:val="17"/>
                <w:lang w:val="es-ES_tradnl"/>
              </w:rPr>
              <w:t>Origen danés</w:t>
            </w:r>
          </w:p>
        </w:tc>
        <w:tc>
          <w:tcPr>
            <w:tcW w:w="873"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20,0%</w:t>
            </w:r>
          </w:p>
        </w:tc>
        <w:tc>
          <w:tcPr>
            <w:tcW w:w="714"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19,0%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14,0%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20,0%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20,0%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21,0%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21,0%</w:t>
            </w:r>
          </w:p>
        </w:tc>
      </w:tr>
      <w:tr w:rsidR="000E4D28" w:rsidRPr="000E4D28" w:rsidTr="00306B1E">
        <w:tblPrEx>
          <w:tblCellMar>
            <w:top w:w="0" w:type="dxa"/>
            <w:bottom w:w="0" w:type="dxa"/>
          </w:tblCellMar>
        </w:tblPrEx>
        <w:tc>
          <w:tcPr>
            <w:tcW w:w="957" w:type="dxa"/>
            <w:shd w:val="clear" w:color="auto" w:fill="auto"/>
          </w:tcPr>
          <w:p w:rsidR="000E4D28" w:rsidRPr="000E4D28" w:rsidRDefault="000E4D28" w:rsidP="000E4D28">
            <w:pPr>
              <w:pStyle w:val="SingleTxtG"/>
              <w:suppressAutoHyphens w:val="0"/>
              <w:spacing w:before="40" w:after="40" w:line="210" w:lineRule="exact"/>
              <w:ind w:left="0" w:right="0"/>
              <w:jc w:val="left"/>
              <w:rPr>
                <w:sz w:val="17"/>
                <w:szCs w:val="17"/>
                <w:lang w:val="es-ES_tradnl"/>
              </w:rPr>
            </w:pPr>
          </w:p>
        </w:tc>
        <w:tc>
          <w:tcPr>
            <w:tcW w:w="1284"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left"/>
              <w:rPr>
                <w:sz w:val="17"/>
                <w:szCs w:val="17"/>
                <w:lang w:val="es-ES_tradnl"/>
              </w:rPr>
            </w:pPr>
            <w:r w:rsidRPr="000E4D28">
              <w:rPr>
                <w:sz w:val="17"/>
                <w:szCs w:val="17"/>
                <w:lang w:val="es-ES_tradnl"/>
              </w:rPr>
              <w:t>Descendientes de inmigrantes</w:t>
            </w:r>
          </w:p>
        </w:tc>
        <w:tc>
          <w:tcPr>
            <w:tcW w:w="873"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23,0%</w:t>
            </w:r>
          </w:p>
        </w:tc>
        <w:tc>
          <w:tcPr>
            <w:tcW w:w="714"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23,0%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17,0%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26,0%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27,0%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27,0%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27,0%</w:t>
            </w:r>
          </w:p>
        </w:tc>
      </w:tr>
      <w:tr w:rsidR="000E4D28" w:rsidRPr="000E4D28" w:rsidTr="00323D21">
        <w:tblPrEx>
          <w:tblCellMar>
            <w:top w:w="0" w:type="dxa"/>
            <w:bottom w:w="0" w:type="dxa"/>
          </w:tblCellMar>
        </w:tblPrEx>
        <w:tc>
          <w:tcPr>
            <w:tcW w:w="957" w:type="dxa"/>
            <w:tcBorders>
              <w:bottom w:val="single" w:sz="4" w:space="0" w:color="auto"/>
            </w:tcBorders>
            <w:shd w:val="clear" w:color="auto" w:fill="auto"/>
          </w:tcPr>
          <w:p w:rsidR="000E4D28" w:rsidRPr="000E4D28" w:rsidRDefault="000E4D28" w:rsidP="00323D21">
            <w:pPr>
              <w:pStyle w:val="SingleTxtG"/>
              <w:suppressAutoHyphens w:val="0"/>
              <w:spacing w:before="40" w:after="81" w:line="210" w:lineRule="exact"/>
              <w:ind w:left="0" w:right="0"/>
              <w:jc w:val="left"/>
              <w:rPr>
                <w:sz w:val="17"/>
                <w:szCs w:val="17"/>
                <w:lang w:val="es-ES_tradnl"/>
              </w:rPr>
            </w:pPr>
          </w:p>
        </w:tc>
        <w:tc>
          <w:tcPr>
            <w:tcW w:w="1284"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left"/>
              <w:rPr>
                <w:sz w:val="17"/>
                <w:szCs w:val="17"/>
                <w:lang w:val="es-ES_tradnl"/>
              </w:rPr>
            </w:pPr>
            <w:r w:rsidRPr="000E4D28">
              <w:rPr>
                <w:sz w:val="17"/>
                <w:szCs w:val="17"/>
                <w:lang w:val="es-ES_tradnl"/>
              </w:rPr>
              <w:t>Inmigrantes</w:t>
            </w:r>
          </w:p>
        </w:tc>
        <w:tc>
          <w:tcPr>
            <w:tcW w:w="873"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34,0%</w:t>
            </w:r>
          </w:p>
        </w:tc>
        <w:tc>
          <w:tcPr>
            <w:tcW w:w="714"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33,0%</w:t>
            </w:r>
          </w:p>
        </w:tc>
        <w:tc>
          <w:tcPr>
            <w:tcW w:w="957"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29,0%</w:t>
            </w:r>
          </w:p>
        </w:tc>
        <w:tc>
          <w:tcPr>
            <w:tcW w:w="957"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35,0%</w:t>
            </w:r>
          </w:p>
        </w:tc>
        <w:tc>
          <w:tcPr>
            <w:tcW w:w="957"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34,0%</w:t>
            </w:r>
          </w:p>
        </w:tc>
        <w:tc>
          <w:tcPr>
            <w:tcW w:w="957"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32,0%</w:t>
            </w:r>
          </w:p>
        </w:tc>
        <w:tc>
          <w:tcPr>
            <w:tcW w:w="957"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32,0%</w:t>
            </w:r>
          </w:p>
        </w:tc>
      </w:tr>
      <w:tr w:rsidR="000E4D28" w:rsidRPr="00323D21" w:rsidTr="000E4D28">
        <w:tblPrEx>
          <w:tblCellMar>
            <w:top w:w="0" w:type="dxa"/>
            <w:bottom w:w="0" w:type="dxa"/>
          </w:tblCellMar>
        </w:tblPrEx>
        <w:tc>
          <w:tcPr>
            <w:tcW w:w="957" w:type="dxa"/>
            <w:tcBorders>
              <w:top w:val="single" w:sz="4" w:space="0" w:color="auto"/>
              <w:bottom w:val="single" w:sz="4" w:space="0" w:color="auto"/>
            </w:tcBorders>
            <w:shd w:val="clear" w:color="auto" w:fill="auto"/>
          </w:tcPr>
          <w:p w:rsidR="000E4D28" w:rsidRPr="00323D21" w:rsidRDefault="000E4D28" w:rsidP="00323D21">
            <w:pPr>
              <w:pStyle w:val="SingleTxtG"/>
              <w:suppressAutoHyphens w:val="0"/>
              <w:spacing w:before="81" w:after="81" w:line="210" w:lineRule="exact"/>
              <w:ind w:left="0" w:right="0"/>
              <w:jc w:val="left"/>
              <w:rPr>
                <w:b/>
                <w:sz w:val="17"/>
                <w:szCs w:val="17"/>
                <w:lang w:val="es-ES_tradnl"/>
              </w:rPr>
            </w:pPr>
          </w:p>
        </w:tc>
        <w:tc>
          <w:tcPr>
            <w:tcW w:w="1284"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left"/>
              <w:rPr>
                <w:b/>
                <w:sz w:val="17"/>
                <w:szCs w:val="17"/>
                <w:lang w:val="es-ES_tradnl"/>
              </w:rPr>
            </w:pPr>
            <w:r w:rsidRPr="00323D21">
              <w:rPr>
                <w:b/>
                <w:sz w:val="17"/>
                <w:szCs w:val="17"/>
                <w:lang w:val="es-ES_tradnl"/>
              </w:rPr>
              <w:tab/>
              <w:t>Total</w:t>
            </w:r>
          </w:p>
        </w:tc>
        <w:tc>
          <w:tcPr>
            <w:tcW w:w="873"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21,0%</w:t>
            </w:r>
          </w:p>
        </w:tc>
        <w:tc>
          <w:tcPr>
            <w:tcW w:w="714"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20,0%</w:t>
            </w:r>
          </w:p>
        </w:tc>
        <w:tc>
          <w:tcPr>
            <w:tcW w:w="957"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15,0%</w:t>
            </w:r>
          </w:p>
        </w:tc>
        <w:tc>
          <w:tcPr>
            <w:tcW w:w="957"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22,0%</w:t>
            </w:r>
          </w:p>
        </w:tc>
        <w:tc>
          <w:tcPr>
            <w:tcW w:w="957"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22,0%</w:t>
            </w:r>
          </w:p>
        </w:tc>
        <w:tc>
          <w:tcPr>
            <w:tcW w:w="957"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22,0%</w:t>
            </w:r>
          </w:p>
        </w:tc>
        <w:tc>
          <w:tcPr>
            <w:tcW w:w="957"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22,0%</w:t>
            </w:r>
          </w:p>
        </w:tc>
      </w:tr>
      <w:tr w:rsidR="000E4D28" w:rsidRPr="000E4D28" w:rsidTr="000E4D28">
        <w:tblPrEx>
          <w:tblCellMar>
            <w:top w:w="0" w:type="dxa"/>
            <w:bottom w:w="0" w:type="dxa"/>
          </w:tblCellMar>
        </w:tblPrEx>
        <w:tc>
          <w:tcPr>
            <w:tcW w:w="957" w:type="dxa"/>
            <w:tcBorders>
              <w:top w:val="single" w:sz="4" w:space="0" w:color="auto"/>
            </w:tcBorders>
            <w:shd w:val="clear" w:color="auto" w:fill="auto"/>
          </w:tcPr>
          <w:p w:rsidR="000E4D28" w:rsidRPr="000E4D28" w:rsidRDefault="000E4D28" w:rsidP="00323D21">
            <w:pPr>
              <w:pStyle w:val="SingleTxtG"/>
              <w:suppressAutoHyphens w:val="0"/>
              <w:spacing w:before="81" w:after="40" w:line="210" w:lineRule="exact"/>
              <w:ind w:left="0" w:right="0"/>
              <w:jc w:val="left"/>
              <w:rPr>
                <w:sz w:val="17"/>
                <w:szCs w:val="17"/>
                <w:lang w:val="es-ES_tradnl"/>
              </w:rPr>
            </w:pPr>
            <w:r w:rsidRPr="000E4D28">
              <w:rPr>
                <w:sz w:val="17"/>
                <w:szCs w:val="17"/>
                <w:lang w:val="es-ES_tradnl"/>
              </w:rPr>
              <w:t>Mujeres</w:t>
            </w:r>
          </w:p>
        </w:tc>
        <w:tc>
          <w:tcPr>
            <w:tcW w:w="1284" w:type="dxa"/>
            <w:tcBorders>
              <w:top w:val="single" w:sz="4" w:space="0" w:color="auto"/>
            </w:tcBorders>
            <w:shd w:val="clear" w:color="auto" w:fill="auto"/>
            <w:vAlign w:val="bottom"/>
          </w:tcPr>
          <w:p w:rsidR="000E4D28" w:rsidRPr="000E4D28" w:rsidRDefault="000E4D28" w:rsidP="00323D21">
            <w:pPr>
              <w:pStyle w:val="SingleTxtG"/>
              <w:suppressAutoHyphens w:val="0"/>
              <w:spacing w:before="81" w:after="40" w:line="210" w:lineRule="exact"/>
              <w:ind w:left="113" w:right="0"/>
              <w:jc w:val="left"/>
              <w:rPr>
                <w:sz w:val="17"/>
                <w:szCs w:val="17"/>
                <w:lang w:val="es-ES_tradnl"/>
              </w:rPr>
            </w:pPr>
            <w:r w:rsidRPr="000E4D28">
              <w:rPr>
                <w:sz w:val="17"/>
                <w:szCs w:val="17"/>
                <w:lang w:val="es-ES_tradnl"/>
              </w:rPr>
              <w:t>Origen danés</w:t>
            </w:r>
          </w:p>
        </w:tc>
        <w:tc>
          <w:tcPr>
            <w:tcW w:w="873" w:type="dxa"/>
            <w:tcBorders>
              <w:top w:val="single" w:sz="4" w:space="0" w:color="auto"/>
            </w:tcBorders>
            <w:shd w:val="clear" w:color="auto" w:fill="auto"/>
            <w:vAlign w:val="bottom"/>
          </w:tcPr>
          <w:p w:rsidR="000E4D28" w:rsidRPr="000E4D28" w:rsidRDefault="000E4D28" w:rsidP="00323D21">
            <w:pPr>
              <w:pStyle w:val="SingleTxtG"/>
              <w:suppressAutoHyphens w:val="0"/>
              <w:spacing w:before="81" w:after="40" w:line="210" w:lineRule="exact"/>
              <w:ind w:left="113" w:right="0"/>
              <w:jc w:val="right"/>
              <w:rPr>
                <w:sz w:val="17"/>
                <w:szCs w:val="17"/>
                <w:lang w:val="es-ES_tradnl"/>
              </w:rPr>
            </w:pPr>
            <w:r w:rsidRPr="000E4D28">
              <w:rPr>
                <w:sz w:val="17"/>
                <w:szCs w:val="17"/>
                <w:lang w:val="es-ES_tradnl"/>
              </w:rPr>
              <w:t>17,0%</w:t>
            </w:r>
          </w:p>
        </w:tc>
        <w:tc>
          <w:tcPr>
            <w:tcW w:w="714" w:type="dxa"/>
            <w:tcBorders>
              <w:top w:val="single" w:sz="4" w:space="0" w:color="auto"/>
            </w:tcBorders>
            <w:shd w:val="clear" w:color="auto" w:fill="auto"/>
            <w:vAlign w:val="bottom"/>
          </w:tcPr>
          <w:p w:rsidR="000E4D28" w:rsidRPr="000E4D28" w:rsidRDefault="000E4D28" w:rsidP="00323D21">
            <w:pPr>
              <w:pStyle w:val="SingleTxtG"/>
              <w:suppressAutoHyphens w:val="0"/>
              <w:spacing w:before="81" w:after="40" w:line="210" w:lineRule="exact"/>
              <w:ind w:left="113" w:right="0"/>
              <w:jc w:val="right"/>
              <w:rPr>
                <w:sz w:val="17"/>
                <w:szCs w:val="17"/>
                <w:lang w:val="es-ES_tradnl"/>
              </w:rPr>
            </w:pPr>
            <w:r w:rsidRPr="000E4D28">
              <w:rPr>
                <w:sz w:val="17"/>
                <w:szCs w:val="17"/>
                <w:lang w:val="es-ES_tradnl"/>
              </w:rPr>
              <w:t>17,0%</w:t>
            </w:r>
          </w:p>
        </w:tc>
        <w:tc>
          <w:tcPr>
            <w:tcW w:w="957" w:type="dxa"/>
            <w:tcBorders>
              <w:top w:val="single" w:sz="4" w:space="0" w:color="auto"/>
            </w:tcBorders>
            <w:shd w:val="clear" w:color="auto" w:fill="auto"/>
            <w:vAlign w:val="bottom"/>
          </w:tcPr>
          <w:p w:rsidR="000E4D28" w:rsidRPr="000E4D28" w:rsidRDefault="000E4D28" w:rsidP="00323D21">
            <w:pPr>
              <w:pStyle w:val="SingleTxtG"/>
              <w:suppressAutoHyphens w:val="0"/>
              <w:spacing w:before="81" w:after="40" w:line="210" w:lineRule="exact"/>
              <w:ind w:left="113" w:right="0"/>
              <w:jc w:val="right"/>
              <w:rPr>
                <w:sz w:val="17"/>
                <w:szCs w:val="17"/>
                <w:lang w:val="es-ES_tradnl"/>
              </w:rPr>
            </w:pPr>
            <w:r w:rsidRPr="000E4D28">
              <w:rPr>
                <w:sz w:val="17"/>
                <w:szCs w:val="17"/>
                <w:lang w:val="es-ES_tradnl"/>
              </w:rPr>
              <w:t>17,0%</w:t>
            </w:r>
          </w:p>
        </w:tc>
        <w:tc>
          <w:tcPr>
            <w:tcW w:w="957" w:type="dxa"/>
            <w:tcBorders>
              <w:top w:val="single" w:sz="4" w:space="0" w:color="auto"/>
            </w:tcBorders>
            <w:shd w:val="clear" w:color="auto" w:fill="auto"/>
            <w:vAlign w:val="bottom"/>
          </w:tcPr>
          <w:p w:rsidR="000E4D28" w:rsidRPr="000E4D28" w:rsidRDefault="000E4D28" w:rsidP="00323D21">
            <w:pPr>
              <w:pStyle w:val="SingleTxtG"/>
              <w:suppressAutoHyphens w:val="0"/>
              <w:spacing w:before="81" w:after="40" w:line="210" w:lineRule="exact"/>
              <w:ind w:left="113" w:right="0"/>
              <w:jc w:val="right"/>
              <w:rPr>
                <w:sz w:val="17"/>
                <w:szCs w:val="17"/>
                <w:lang w:val="es-ES_tradnl"/>
              </w:rPr>
            </w:pPr>
            <w:r w:rsidRPr="000E4D28">
              <w:rPr>
                <w:sz w:val="17"/>
                <w:szCs w:val="17"/>
                <w:lang w:val="es-ES_tradnl"/>
              </w:rPr>
              <w:t>20,0%</w:t>
            </w:r>
          </w:p>
        </w:tc>
        <w:tc>
          <w:tcPr>
            <w:tcW w:w="957" w:type="dxa"/>
            <w:tcBorders>
              <w:top w:val="single" w:sz="4" w:space="0" w:color="auto"/>
            </w:tcBorders>
            <w:shd w:val="clear" w:color="auto" w:fill="auto"/>
            <w:vAlign w:val="bottom"/>
          </w:tcPr>
          <w:p w:rsidR="000E4D28" w:rsidRPr="000E4D28" w:rsidRDefault="000E4D28" w:rsidP="00323D21">
            <w:pPr>
              <w:pStyle w:val="SingleTxtG"/>
              <w:suppressAutoHyphens w:val="0"/>
              <w:spacing w:before="81" w:after="40" w:line="210" w:lineRule="exact"/>
              <w:ind w:left="113" w:right="0"/>
              <w:jc w:val="right"/>
              <w:rPr>
                <w:sz w:val="17"/>
                <w:szCs w:val="17"/>
                <w:lang w:val="es-ES_tradnl"/>
              </w:rPr>
            </w:pPr>
            <w:r w:rsidRPr="000E4D28">
              <w:rPr>
                <w:sz w:val="17"/>
                <w:szCs w:val="17"/>
                <w:lang w:val="es-ES_tradnl"/>
              </w:rPr>
              <w:t>19,0%</w:t>
            </w:r>
          </w:p>
        </w:tc>
        <w:tc>
          <w:tcPr>
            <w:tcW w:w="957" w:type="dxa"/>
            <w:tcBorders>
              <w:top w:val="single" w:sz="4" w:space="0" w:color="auto"/>
            </w:tcBorders>
            <w:shd w:val="clear" w:color="auto" w:fill="auto"/>
            <w:vAlign w:val="bottom"/>
          </w:tcPr>
          <w:p w:rsidR="000E4D28" w:rsidRPr="000E4D28" w:rsidRDefault="000E4D28" w:rsidP="00323D21">
            <w:pPr>
              <w:pStyle w:val="SingleTxtG"/>
              <w:suppressAutoHyphens w:val="0"/>
              <w:spacing w:before="81" w:after="40" w:line="210" w:lineRule="exact"/>
              <w:ind w:left="113" w:right="0"/>
              <w:jc w:val="right"/>
              <w:rPr>
                <w:sz w:val="17"/>
                <w:szCs w:val="17"/>
                <w:lang w:val="es-ES_tradnl"/>
              </w:rPr>
            </w:pPr>
            <w:r w:rsidRPr="000E4D28">
              <w:rPr>
                <w:sz w:val="17"/>
                <w:szCs w:val="17"/>
                <w:lang w:val="es-ES_tradnl"/>
              </w:rPr>
              <w:t>19,0%</w:t>
            </w:r>
          </w:p>
        </w:tc>
        <w:tc>
          <w:tcPr>
            <w:tcW w:w="957" w:type="dxa"/>
            <w:tcBorders>
              <w:top w:val="single" w:sz="4" w:space="0" w:color="auto"/>
            </w:tcBorders>
            <w:shd w:val="clear" w:color="auto" w:fill="auto"/>
            <w:vAlign w:val="bottom"/>
          </w:tcPr>
          <w:p w:rsidR="000E4D28" w:rsidRPr="000E4D28" w:rsidRDefault="000E4D28" w:rsidP="00323D21">
            <w:pPr>
              <w:pStyle w:val="SingleTxtG"/>
              <w:suppressAutoHyphens w:val="0"/>
              <w:spacing w:before="81" w:after="40" w:line="210" w:lineRule="exact"/>
              <w:ind w:left="113" w:right="0"/>
              <w:jc w:val="right"/>
              <w:rPr>
                <w:sz w:val="17"/>
                <w:szCs w:val="17"/>
                <w:lang w:val="es-ES_tradnl"/>
              </w:rPr>
            </w:pPr>
            <w:r w:rsidRPr="000E4D28">
              <w:rPr>
                <w:sz w:val="17"/>
                <w:szCs w:val="17"/>
                <w:lang w:val="es-ES_tradnl"/>
              </w:rPr>
              <w:t>19,0%</w:t>
            </w:r>
          </w:p>
        </w:tc>
      </w:tr>
      <w:tr w:rsidR="000E4D28" w:rsidRPr="000E4D28" w:rsidTr="00306B1E">
        <w:tblPrEx>
          <w:tblCellMar>
            <w:top w:w="0" w:type="dxa"/>
            <w:bottom w:w="0" w:type="dxa"/>
          </w:tblCellMar>
        </w:tblPrEx>
        <w:tc>
          <w:tcPr>
            <w:tcW w:w="957" w:type="dxa"/>
            <w:shd w:val="clear" w:color="auto" w:fill="auto"/>
          </w:tcPr>
          <w:p w:rsidR="000E4D28" w:rsidRPr="000E4D28" w:rsidRDefault="000E4D28" w:rsidP="000E4D28">
            <w:pPr>
              <w:pStyle w:val="SingleTxtG"/>
              <w:suppressAutoHyphens w:val="0"/>
              <w:spacing w:before="40" w:after="40" w:line="210" w:lineRule="exact"/>
              <w:ind w:left="0" w:right="0"/>
              <w:jc w:val="left"/>
              <w:rPr>
                <w:sz w:val="17"/>
                <w:szCs w:val="17"/>
                <w:lang w:val="es-ES_tradnl"/>
              </w:rPr>
            </w:pPr>
          </w:p>
        </w:tc>
        <w:tc>
          <w:tcPr>
            <w:tcW w:w="1284"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left"/>
              <w:rPr>
                <w:sz w:val="17"/>
                <w:szCs w:val="17"/>
                <w:lang w:val="es-ES_tradnl"/>
              </w:rPr>
            </w:pPr>
            <w:r w:rsidRPr="000E4D28">
              <w:rPr>
                <w:sz w:val="17"/>
                <w:szCs w:val="17"/>
                <w:lang w:val="es-ES_tradnl"/>
              </w:rPr>
              <w:t>Descendientes de inmigrantes</w:t>
            </w:r>
          </w:p>
        </w:tc>
        <w:tc>
          <w:tcPr>
            <w:tcW w:w="873"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18,0%</w:t>
            </w:r>
          </w:p>
        </w:tc>
        <w:tc>
          <w:tcPr>
            <w:tcW w:w="714"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17,0%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20,0%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24,0%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22,0%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23,0%</w:t>
            </w:r>
          </w:p>
        </w:tc>
        <w:tc>
          <w:tcPr>
            <w:tcW w:w="957" w:type="dxa"/>
            <w:shd w:val="clear" w:color="auto" w:fill="auto"/>
            <w:vAlign w:val="bottom"/>
          </w:tcPr>
          <w:p w:rsidR="000E4D28" w:rsidRPr="000E4D28" w:rsidRDefault="000E4D28" w:rsidP="000E4D28">
            <w:pPr>
              <w:pStyle w:val="SingleTxtG"/>
              <w:suppressAutoHyphens w:val="0"/>
              <w:spacing w:before="40" w:after="40" w:line="210" w:lineRule="exact"/>
              <w:ind w:left="113" w:right="0"/>
              <w:jc w:val="right"/>
              <w:rPr>
                <w:sz w:val="17"/>
                <w:szCs w:val="17"/>
                <w:lang w:val="es-ES_tradnl"/>
              </w:rPr>
            </w:pPr>
            <w:r w:rsidRPr="000E4D28">
              <w:rPr>
                <w:sz w:val="17"/>
                <w:szCs w:val="17"/>
                <w:lang w:val="es-ES_tradnl"/>
              </w:rPr>
              <w:t>22,0%</w:t>
            </w:r>
          </w:p>
        </w:tc>
      </w:tr>
      <w:tr w:rsidR="000E4D28" w:rsidRPr="000E4D28" w:rsidTr="00323D21">
        <w:tblPrEx>
          <w:tblCellMar>
            <w:top w:w="0" w:type="dxa"/>
            <w:bottom w:w="0" w:type="dxa"/>
          </w:tblCellMar>
        </w:tblPrEx>
        <w:tc>
          <w:tcPr>
            <w:tcW w:w="957" w:type="dxa"/>
            <w:tcBorders>
              <w:bottom w:val="single" w:sz="4" w:space="0" w:color="auto"/>
            </w:tcBorders>
            <w:shd w:val="clear" w:color="auto" w:fill="auto"/>
          </w:tcPr>
          <w:p w:rsidR="000E4D28" w:rsidRPr="000E4D28" w:rsidRDefault="000E4D28" w:rsidP="00323D21">
            <w:pPr>
              <w:pStyle w:val="SingleTxtG"/>
              <w:suppressAutoHyphens w:val="0"/>
              <w:spacing w:before="40" w:after="81" w:line="210" w:lineRule="exact"/>
              <w:ind w:left="0" w:right="0"/>
              <w:jc w:val="left"/>
              <w:rPr>
                <w:sz w:val="17"/>
                <w:szCs w:val="17"/>
                <w:lang w:val="es-ES_tradnl"/>
              </w:rPr>
            </w:pPr>
          </w:p>
        </w:tc>
        <w:tc>
          <w:tcPr>
            <w:tcW w:w="1284"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left"/>
              <w:rPr>
                <w:sz w:val="17"/>
                <w:szCs w:val="17"/>
                <w:lang w:val="es-ES_tradnl"/>
              </w:rPr>
            </w:pPr>
            <w:r w:rsidRPr="000E4D28">
              <w:rPr>
                <w:sz w:val="17"/>
                <w:szCs w:val="17"/>
                <w:lang w:val="es-ES_tradnl"/>
              </w:rPr>
              <w:t>Inmigrantes</w:t>
            </w:r>
          </w:p>
        </w:tc>
        <w:tc>
          <w:tcPr>
            <w:tcW w:w="873"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27,0%</w:t>
            </w:r>
          </w:p>
        </w:tc>
        <w:tc>
          <w:tcPr>
            <w:tcW w:w="714"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26,0%</w:t>
            </w:r>
          </w:p>
        </w:tc>
        <w:tc>
          <w:tcPr>
            <w:tcW w:w="957"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26,0%</w:t>
            </w:r>
          </w:p>
        </w:tc>
        <w:tc>
          <w:tcPr>
            <w:tcW w:w="957"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29,0%</w:t>
            </w:r>
          </w:p>
        </w:tc>
        <w:tc>
          <w:tcPr>
            <w:tcW w:w="957"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28,0%</w:t>
            </w:r>
          </w:p>
        </w:tc>
        <w:tc>
          <w:tcPr>
            <w:tcW w:w="957"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27,0%</w:t>
            </w:r>
          </w:p>
        </w:tc>
        <w:tc>
          <w:tcPr>
            <w:tcW w:w="957" w:type="dxa"/>
            <w:tcBorders>
              <w:bottom w:val="single" w:sz="4" w:space="0" w:color="auto"/>
            </w:tcBorders>
            <w:shd w:val="clear" w:color="auto" w:fill="auto"/>
            <w:vAlign w:val="bottom"/>
          </w:tcPr>
          <w:p w:rsidR="000E4D28" w:rsidRPr="000E4D28" w:rsidRDefault="000E4D28" w:rsidP="00323D21">
            <w:pPr>
              <w:pStyle w:val="SingleTxtG"/>
              <w:suppressAutoHyphens w:val="0"/>
              <w:spacing w:before="40" w:after="81" w:line="210" w:lineRule="exact"/>
              <w:ind w:left="113" w:right="0"/>
              <w:jc w:val="right"/>
              <w:rPr>
                <w:sz w:val="17"/>
                <w:szCs w:val="17"/>
                <w:lang w:val="es-ES_tradnl"/>
              </w:rPr>
            </w:pPr>
            <w:r w:rsidRPr="000E4D28">
              <w:rPr>
                <w:sz w:val="17"/>
                <w:szCs w:val="17"/>
                <w:lang w:val="es-ES_tradnl"/>
              </w:rPr>
              <w:t>27,0%</w:t>
            </w:r>
          </w:p>
        </w:tc>
      </w:tr>
      <w:tr w:rsidR="000E4D28" w:rsidRPr="00323D21" w:rsidTr="00323D21">
        <w:tblPrEx>
          <w:tblCellMar>
            <w:top w:w="0" w:type="dxa"/>
            <w:bottom w:w="0" w:type="dxa"/>
          </w:tblCellMar>
        </w:tblPrEx>
        <w:tc>
          <w:tcPr>
            <w:tcW w:w="957" w:type="dxa"/>
            <w:tcBorders>
              <w:top w:val="single" w:sz="4" w:space="0" w:color="auto"/>
              <w:bottom w:val="single" w:sz="4" w:space="0" w:color="auto"/>
            </w:tcBorders>
            <w:shd w:val="clear" w:color="auto" w:fill="auto"/>
          </w:tcPr>
          <w:p w:rsidR="000E4D28" w:rsidRPr="00323D21" w:rsidRDefault="000E4D28" w:rsidP="00323D21">
            <w:pPr>
              <w:pStyle w:val="SingleTxtG"/>
              <w:suppressAutoHyphens w:val="0"/>
              <w:spacing w:before="81" w:after="81" w:line="210" w:lineRule="exact"/>
              <w:ind w:left="0" w:right="0"/>
              <w:jc w:val="left"/>
              <w:rPr>
                <w:b/>
                <w:sz w:val="17"/>
                <w:szCs w:val="17"/>
                <w:lang w:val="es-ES_tradnl"/>
              </w:rPr>
            </w:pPr>
          </w:p>
        </w:tc>
        <w:tc>
          <w:tcPr>
            <w:tcW w:w="1284"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left"/>
              <w:rPr>
                <w:b/>
                <w:sz w:val="17"/>
                <w:szCs w:val="17"/>
                <w:lang w:val="es-ES_tradnl"/>
              </w:rPr>
            </w:pPr>
            <w:r w:rsidRPr="00323D21">
              <w:rPr>
                <w:b/>
                <w:sz w:val="17"/>
                <w:szCs w:val="17"/>
                <w:lang w:val="es-ES_tradnl"/>
              </w:rPr>
              <w:tab/>
              <w:t>Total</w:t>
            </w:r>
          </w:p>
        </w:tc>
        <w:tc>
          <w:tcPr>
            <w:tcW w:w="873"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18,0%</w:t>
            </w:r>
          </w:p>
        </w:tc>
        <w:tc>
          <w:tcPr>
            <w:tcW w:w="714"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18,0%</w:t>
            </w:r>
          </w:p>
        </w:tc>
        <w:tc>
          <w:tcPr>
            <w:tcW w:w="957"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17,0%</w:t>
            </w:r>
          </w:p>
        </w:tc>
        <w:tc>
          <w:tcPr>
            <w:tcW w:w="957"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21,0%</w:t>
            </w:r>
          </w:p>
        </w:tc>
        <w:tc>
          <w:tcPr>
            <w:tcW w:w="957"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20,0%</w:t>
            </w:r>
          </w:p>
        </w:tc>
        <w:tc>
          <w:tcPr>
            <w:tcW w:w="957"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20,0%</w:t>
            </w:r>
          </w:p>
        </w:tc>
        <w:tc>
          <w:tcPr>
            <w:tcW w:w="957" w:type="dxa"/>
            <w:tcBorders>
              <w:top w:val="single" w:sz="4" w:space="0" w:color="auto"/>
              <w:bottom w:val="single" w:sz="4"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20,0%</w:t>
            </w:r>
          </w:p>
        </w:tc>
      </w:tr>
      <w:tr w:rsidR="000E4D28" w:rsidRPr="00323D21" w:rsidTr="000E4D28">
        <w:tblPrEx>
          <w:tblCellMar>
            <w:top w:w="0" w:type="dxa"/>
            <w:bottom w:w="0" w:type="dxa"/>
          </w:tblCellMar>
        </w:tblPrEx>
        <w:tc>
          <w:tcPr>
            <w:tcW w:w="957" w:type="dxa"/>
            <w:tcBorders>
              <w:top w:val="single" w:sz="4" w:space="0" w:color="auto"/>
              <w:bottom w:val="single" w:sz="12" w:space="0" w:color="auto"/>
            </w:tcBorders>
            <w:shd w:val="clear" w:color="auto" w:fill="auto"/>
          </w:tcPr>
          <w:p w:rsidR="000E4D28" w:rsidRPr="00323D21" w:rsidRDefault="000E4D28" w:rsidP="00323D21">
            <w:pPr>
              <w:pStyle w:val="SingleTxtG"/>
              <w:suppressAutoHyphens w:val="0"/>
              <w:spacing w:before="81" w:after="81" w:line="210" w:lineRule="exact"/>
              <w:ind w:left="0" w:right="0"/>
              <w:jc w:val="left"/>
              <w:rPr>
                <w:b/>
                <w:sz w:val="17"/>
                <w:szCs w:val="17"/>
                <w:lang w:val="es-ES_tradnl"/>
              </w:rPr>
            </w:pPr>
            <w:r w:rsidRPr="00323D21">
              <w:rPr>
                <w:b/>
                <w:sz w:val="17"/>
                <w:szCs w:val="17"/>
                <w:lang w:val="es-ES_tradnl"/>
              </w:rPr>
              <w:tab/>
              <w:t>Total</w:t>
            </w:r>
          </w:p>
        </w:tc>
        <w:tc>
          <w:tcPr>
            <w:tcW w:w="1284" w:type="dxa"/>
            <w:tcBorders>
              <w:top w:val="single" w:sz="4" w:space="0" w:color="auto"/>
              <w:bottom w:val="single" w:sz="12"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left"/>
              <w:rPr>
                <w:b/>
                <w:sz w:val="17"/>
                <w:szCs w:val="17"/>
                <w:lang w:val="es-ES_tradnl"/>
              </w:rPr>
            </w:pPr>
          </w:p>
        </w:tc>
        <w:tc>
          <w:tcPr>
            <w:tcW w:w="873" w:type="dxa"/>
            <w:tcBorders>
              <w:top w:val="single" w:sz="4" w:space="0" w:color="auto"/>
              <w:bottom w:val="single" w:sz="12"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20,0%</w:t>
            </w:r>
          </w:p>
        </w:tc>
        <w:tc>
          <w:tcPr>
            <w:tcW w:w="714" w:type="dxa"/>
            <w:tcBorders>
              <w:top w:val="single" w:sz="4" w:space="0" w:color="auto"/>
              <w:bottom w:val="single" w:sz="12"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19,0%</w:t>
            </w:r>
          </w:p>
        </w:tc>
        <w:tc>
          <w:tcPr>
            <w:tcW w:w="957" w:type="dxa"/>
            <w:tcBorders>
              <w:top w:val="single" w:sz="4" w:space="0" w:color="auto"/>
              <w:bottom w:val="single" w:sz="12"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16,0%</w:t>
            </w:r>
          </w:p>
        </w:tc>
        <w:tc>
          <w:tcPr>
            <w:tcW w:w="957" w:type="dxa"/>
            <w:tcBorders>
              <w:top w:val="single" w:sz="4" w:space="0" w:color="auto"/>
              <w:bottom w:val="single" w:sz="12"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22,0%</w:t>
            </w:r>
          </w:p>
        </w:tc>
        <w:tc>
          <w:tcPr>
            <w:tcW w:w="957" w:type="dxa"/>
            <w:tcBorders>
              <w:top w:val="single" w:sz="4" w:space="0" w:color="auto"/>
              <w:bottom w:val="single" w:sz="12"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21,0%</w:t>
            </w:r>
          </w:p>
        </w:tc>
        <w:tc>
          <w:tcPr>
            <w:tcW w:w="957" w:type="dxa"/>
            <w:tcBorders>
              <w:top w:val="single" w:sz="4" w:space="0" w:color="auto"/>
              <w:bottom w:val="single" w:sz="12"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21,0%</w:t>
            </w:r>
          </w:p>
        </w:tc>
        <w:tc>
          <w:tcPr>
            <w:tcW w:w="957" w:type="dxa"/>
            <w:tcBorders>
              <w:top w:val="single" w:sz="4" w:space="0" w:color="auto"/>
              <w:bottom w:val="single" w:sz="12" w:space="0" w:color="auto"/>
            </w:tcBorders>
            <w:shd w:val="clear" w:color="auto" w:fill="auto"/>
            <w:vAlign w:val="bottom"/>
          </w:tcPr>
          <w:p w:rsidR="000E4D28" w:rsidRPr="00323D21" w:rsidRDefault="000E4D28" w:rsidP="00323D21">
            <w:pPr>
              <w:pStyle w:val="SingleTxtG"/>
              <w:suppressAutoHyphens w:val="0"/>
              <w:spacing w:before="81" w:after="81" w:line="210" w:lineRule="exact"/>
              <w:ind w:left="113" w:right="0"/>
              <w:jc w:val="right"/>
              <w:rPr>
                <w:b/>
                <w:sz w:val="17"/>
                <w:szCs w:val="17"/>
                <w:lang w:val="es-ES_tradnl"/>
              </w:rPr>
            </w:pPr>
            <w:r w:rsidRPr="00323D21">
              <w:rPr>
                <w:b/>
                <w:sz w:val="17"/>
                <w:szCs w:val="17"/>
                <w:lang w:val="es-ES_tradnl"/>
              </w:rPr>
              <w:t>21,0%</w:t>
            </w:r>
          </w:p>
        </w:tc>
      </w:tr>
    </w:tbl>
    <w:p w:rsidR="000E4D28" w:rsidRPr="000E4D28" w:rsidRDefault="000E4D28" w:rsidP="000E4D28">
      <w:pPr>
        <w:pStyle w:val="SingleTxt"/>
        <w:suppressAutoHyphens/>
        <w:spacing w:after="0" w:line="120" w:lineRule="exact"/>
        <w:rPr>
          <w:sz w:val="10"/>
          <w:lang w:val="es-ES_tradnl" w:eastAsia="es-ES"/>
        </w:rPr>
      </w:pPr>
    </w:p>
    <w:p w:rsidR="0038237D" w:rsidRPr="002E3232" w:rsidRDefault="0038237D" w:rsidP="000E4D28">
      <w:pPr>
        <w:pStyle w:val="FootnoteText"/>
        <w:tabs>
          <w:tab w:val="clear" w:pos="418"/>
          <w:tab w:val="right" w:pos="1476"/>
          <w:tab w:val="left" w:pos="1548"/>
          <w:tab w:val="right" w:pos="1836"/>
          <w:tab w:val="left" w:pos="1908"/>
        </w:tabs>
        <w:ind w:left="1548" w:hanging="288"/>
        <w:rPr>
          <w:lang w:eastAsia="es-ES"/>
        </w:rPr>
      </w:pPr>
      <w:bookmarkStart w:id="122" w:name="_Toc360096850"/>
      <w:bookmarkStart w:id="123" w:name="_Toc348513746"/>
      <w:bookmarkStart w:id="124" w:name="_Toc349720612"/>
      <w:r w:rsidRPr="002E3232">
        <w:rPr>
          <w:i/>
          <w:lang w:eastAsia="es-ES"/>
        </w:rPr>
        <w:t xml:space="preserve">Fuente: </w:t>
      </w:r>
      <w:r w:rsidRPr="002E3232">
        <w:rPr>
          <w:lang w:eastAsia="es-ES"/>
        </w:rPr>
        <w:t>Ministerio de Ciencia, Innovación y Educación Superior, sobre la base de los datos de Estadísticas Dinamarca.</w:t>
      </w:r>
    </w:p>
    <w:bookmarkEnd w:id="122"/>
    <w:bookmarkEnd w:id="123"/>
    <w:bookmarkEnd w:id="124"/>
    <w:p w:rsidR="000E4D28" w:rsidRPr="000E4D28" w:rsidRDefault="000E4D28" w:rsidP="000E4D28">
      <w:pPr>
        <w:pStyle w:val="SingleTxtG"/>
        <w:spacing w:after="0" w:line="120" w:lineRule="exact"/>
        <w:rPr>
          <w:sz w:val="10"/>
          <w:lang w:val="es-ES_tradnl"/>
        </w:rPr>
      </w:pPr>
    </w:p>
    <w:p w:rsidR="000E4D28" w:rsidRPr="000E4D28" w:rsidRDefault="000E4D28" w:rsidP="000E4D28">
      <w:pPr>
        <w:pStyle w:val="SingleTxtG"/>
        <w:spacing w:after="0" w:line="120" w:lineRule="exact"/>
        <w:rPr>
          <w:sz w:val="10"/>
          <w:lang w:val="es-ES_tradnl"/>
        </w:rPr>
      </w:pPr>
    </w:p>
    <w:p w:rsidR="0038237D" w:rsidRPr="00EA0AB9" w:rsidRDefault="000E4D28" w:rsidP="000E4D28">
      <w:pPr>
        <w:pStyle w:val="SingleTxt"/>
        <w:suppressAutoHyphens/>
        <w:rPr>
          <w:lang w:val="es-ES_tradnl"/>
        </w:rPr>
      </w:pPr>
      <w:r>
        <w:rPr>
          <w:lang w:val="es-ES_tradnl"/>
        </w:rPr>
        <w:tab/>
      </w:r>
      <w:r w:rsidR="0038237D" w:rsidRPr="00EA0AB9">
        <w:rPr>
          <w:lang w:val="es-ES_tradnl"/>
        </w:rPr>
        <w:t>Los estudiantes tienen derecho a recibir apoyo financiero público para seguir estudiando, independientemente de su condición social. Si los estudiantes tienen un hijo durante sus estudios o poco antes de iniciarlos, pueden obtener un apoyo financiero especial. Una madre puede obtener apoyo adicional durante un año y un padre puede obtener apoyo adicional durante medio año.</w:t>
      </w:r>
    </w:p>
    <w:p w:rsidR="000E4D28" w:rsidRPr="000E4D28" w:rsidRDefault="000E4D28" w:rsidP="000E4D28">
      <w:pPr>
        <w:pStyle w:val="SingleTxt"/>
        <w:suppressAutoHyphens/>
        <w:spacing w:after="0" w:line="120" w:lineRule="exact"/>
        <w:rPr>
          <w:sz w:val="10"/>
          <w:lang w:val="es-ES_tradnl"/>
        </w:rPr>
      </w:pPr>
    </w:p>
    <w:p w:rsidR="0038237D" w:rsidRPr="00EA0AB9" w:rsidRDefault="000E4D28" w:rsidP="000E4D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38237D" w:rsidRPr="00EA0AB9">
        <w:rPr>
          <w:lang w:val="es-ES_tradnl"/>
        </w:rPr>
        <w:t>La mujer en los círculos académicos</w:t>
      </w:r>
    </w:p>
    <w:p w:rsidR="000E4D28" w:rsidRPr="000E4D28" w:rsidRDefault="000E4D28" w:rsidP="000E4D28">
      <w:pPr>
        <w:pStyle w:val="SingleTxt"/>
        <w:suppressAutoHyphens/>
        <w:spacing w:after="0" w:line="120" w:lineRule="exact"/>
        <w:rPr>
          <w:sz w:val="10"/>
          <w:lang w:val="es-ES_tradnl"/>
        </w:rPr>
      </w:pPr>
    </w:p>
    <w:p w:rsidR="0038237D" w:rsidRPr="00EA0AB9" w:rsidRDefault="000E4D28" w:rsidP="000E4D28">
      <w:pPr>
        <w:pStyle w:val="SingleTxt"/>
        <w:suppressAutoHyphens/>
        <w:rPr>
          <w:lang w:val="es-ES_tradnl"/>
        </w:rPr>
      </w:pPr>
      <w:r>
        <w:rPr>
          <w:lang w:val="es-ES_tradnl"/>
        </w:rPr>
        <w:tab/>
      </w:r>
      <w:r w:rsidR="0038237D" w:rsidRPr="00EA0AB9">
        <w:rPr>
          <w:lang w:val="es-ES_tradnl"/>
        </w:rPr>
        <w:t xml:space="preserve">La igualdad entre los géneros sigue teniendo gran prioridad en el mundo de la investigación en Dinamarca. A este respecto, el antiguo Ministerio de Ciencia, Tecnología e Innovación organizó una mesa redonda sobre la mujer y la investigación en 2009, en la que participaron universidades e instituciones de investigación de Dinamarca. El debate dio como resultado diversas iniciativas específicas y un folleto informativo sobre las </w:t>
      </w:r>
      <w:r w:rsidR="00C90CF0">
        <w:rPr>
          <w:lang w:val="es-ES_tradnl"/>
        </w:rPr>
        <w:t>“</w:t>
      </w:r>
      <w:r w:rsidR="0038237D" w:rsidRPr="00EA0AB9">
        <w:rPr>
          <w:lang w:val="es-ES_tradnl"/>
        </w:rPr>
        <w:t>mejores prácticas</w:t>
      </w:r>
      <w:r w:rsidR="00C90CF0">
        <w:rPr>
          <w:lang w:val="es-ES_tradnl"/>
        </w:rPr>
        <w:t>”</w:t>
      </w:r>
      <w:r w:rsidR="0038237D" w:rsidRPr="00EA0AB9">
        <w:rPr>
          <w:lang w:val="es-ES_tradnl"/>
        </w:rPr>
        <w:t xml:space="preserve"> que sirven de aliento e inspiración a otras instituciones. Hoy en día, todas las universidades danesas cuentan con iniciativas similares de igualdad entre los géneros, específicas de cada universidad.</w:t>
      </w:r>
    </w:p>
    <w:p w:rsidR="00CC062C" w:rsidRPr="00CC062C" w:rsidRDefault="00CC062C" w:rsidP="00CC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eastAsia="es-ES"/>
        </w:rPr>
      </w:pPr>
    </w:p>
    <w:p w:rsidR="00CC062C" w:rsidRPr="00CC062C" w:rsidRDefault="00CC062C" w:rsidP="00CC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eastAsia="es-ES"/>
        </w:rPr>
      </w:pPr>
    </w:p>
    <w:p w:rsidR="0038237D" w:rsidRPr="000E4D28" w:rsidRDefault="00F96BFC" w:rsidP="000E4D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eastAsia="es-ES"/>
        </w:rPr>
      </w:pPr>
      <w:r>
        <w:rPr>
          <w:b w:val="0"/>
          <w:lang w:val="es-ES_tradnl" w:eastAsia="es-ES"/>
        </w:rPr>
        <w:br w:type="page"/>
      </w:r>
      <w:r w:rsidR="0038237D" w:rsidRPr="000E4D28">
        <w:rPr>
          <w:b w:val="0"/>
          <w:lang w:val="es-ES_tradnl" w:eastAsia="es-ES"/>
        </w:rPr>
        <w:t>Cuadro 3</w:t>
      </w:r>
    </w:p>
    <w:p w:rsidR="0038237D" w:rsidRDefault="000E4D28" w:rsidP="001B27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796"/>
        <w:rPr>
          <w:lang w:val="es-ES_tradnl" w:eastAsia="es-ES"/>
        </w:rPr>
      </w:pPr>
      <w:r>
        <w:rPr>
          <w:lang w:val="es-ES_tradnl" w:eastAsia="es-ES"/>
        </w:rPr>
        <w:tab/>
      </w:r>
      <w:r w:rsidR="0038237D" w:rsidRPr="002E3232">
        <w:rPr>
          <w:lang w:val="es-ES_tradnl" w:eastAsia="es-ES"/>
        </w:rPr>
        <w:t>Número de profesores, profesores asociados y profesores auxiliares o posdoctorados en las universidades de Dinamarca en 2000, 2006, 2009 y 2011, por género y nivel de nombramiento</w:t>
      </w:r>
    </w:p>
    <w:p w:rsidR="000E4D28" w:rsidRPr="000E4D28" w:rsidRDefault="000E4D28" w:rsidP="000E4D28">
      <w:pPr>
        <w:pStyle w:val="SingleTxt"/>
        <w:suppressAutoHyphens/>
        <w:spacing w:after="0" w:line="120" w:lineRule="exact"/>
        <w:rPr>
          <w:sz w:val="10"/>
          <w:lang w:val="es-ES_tradnl" w:eastAsia="es-ES"/>
        </w:rPr>
      </w:pPr>
    </w:p>
    <w:p w:rsidR="000E4D28" w:rsidRPr="000E4D28" w:rsidRDefault="000E4D28" w:rsidP="000E4D28">
      <w:pPr>
        <w:pStyle w:val="SingleTxt"/>
        <w:suppressAutoHyphens/>
        <w:spacing w:after="0" w:line="120" w:lineRule="exact"/>
        <w:rPr>
          <w:sz w:val="10"/>
          <w:lang w:val="es-ES_tradnl" w:eastAsia="es-ES"/>
        </w:rPr>
      </w:pPr>
    </w:p>
    <w:tbl>
      <w:tblPr>
        <w:tblW w:w="9873" w:type="dxa"/>
        <w:tblBorders>
          <w:top w:val="single" w:sz="4" w:space="0" w:color="auto"/>
        </w:tblBorders>
        <w:tblLayout w:type="fixed"/>
        <w:tblCellMar>
          <w:left w:w="0" w:type="dxa"/>
          <w:right w:w="0" w:type="dxa"/>
        </w:tblCellMar>
        <w:tblLook w:val="0020"/>
      </w:tblPr>
      <w:tblGrid>
        <w:gridCol w:w="1129"/>
        <w:gridCol w:w="671"/>
        <w:gridCol w:w="648"/>
        <w:gridCol w:w="972"/>
        <w:gridCol w:w="694"/>
        <w:gridCol w:w="716"/>
        <w:gridCol w:w="822"/>
        <w:gridCol w:w="666"/>
        <w:gridCol w:w="624"/>
        <w:gridCol w:w="840"/>
        <w:gridCol w:w="714"/>
        <w:gridCol w:w="621"/>
        <w:gridCol w:w="756"/>
      </w:tblGrid>
      <w:tr w:rsidR="0038237D" w:rsidRPr="000E4D28" w:rsidTr="001B27F2">
        <w:trPr>
          <w:trHeight w:val="240"/>
          <w:tblHeader/>
        </w:trPr>
        <w:tc>
          <w:tcPr>
            <w:tcW w:w="1129" w:type="dxa"/>
            <w:tcBorders>
              <w:top w:val="single" w:sz="4" w:space="0" w:color="auto"/>
              <w:bottom w:val="nil"/>
            </w:tcBorders>
            <w:shd w:val="clear" w:color="auto" w:fill="auto"/>
            <w:vAlign w:val="bottom"/>
          </w:tcPr>
          <w:p w:rsidR="0038237D" w:rsidRPr="000E4D28" w:rsidRDefault="0038237D" w:rsidP="000E4D28">
            <w:pPr>
              <w:pStyle w:val="SingleTxtG"/>
              <w:suppressAutoHyphens w:val="0"/>
              <w:spacing w:before="80" w:after="80" w:line="160" w:lineRule="exact"/>
              <w:ind w:left="0" w:right="0"/>
              <w:jc w:val="left"/>
              <w:rPr>
                <w:bCs/>
                <w:i/>
                <w:sz w:val="14"/>
                <w:szCs w:val="14"/>
                <w:lang w:val="es-ES_tradnl"/>
              </w:rPr>
            </w:pPr>
          </w:p>
        </w:tc>
        <w:tc>
          <w:tcPr>
            <w:tcW w:w="2291" w:type="dxa"/>
            <w:gridSpan w:val="3"/>
            <w:tcBorders>
              <w:top w:val="single" w:sz="4" w:space="0" w:color="auto"/>
              <w:bottom w:val="single" w:sz="4"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center"/>
              <w:rPr>
                <w:bCs/>
                <w:i/>
                <w:sz w:val="14"/>
                <w:szCs w:val="14"/>
                <w:lang w:val="es-ES_tradnl"/>
              </w:rPr>
            </w:pPr>
            <w:r w:rsidRPr="000E4D28">
              <w:rPr>
                <w:bCs/>
                <w:i/>
                <w:sz w:val="14"/>
                <w:szCs w:val="14"/>
                <w:lang w:val="es-ES_tradnl"/>
              </w:rPr>
              <w:t>2000</w:t>
            </w:r>
          </w:p>
        </w:tc>
        <w:tc>
          <w:tcPr>
            <w:tcW w:w="2232" w:type="dxa"/>
            <w:gridSpan w:val="3"/>
            <w:tcBorders>
              <w:top w:val="single" w:sz="4" w:space="0" w:color="auto"/>
              <w:bottom w:val="single" w:sz="4"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center"/>
              <w:rPr>
                <w:bCs/>
                <w:i/>
                <w:sz w:val="14"/>
                <w:szCs w:val="14"/>
                <w:lang w:val="es-ES_tradnl"/>
              </w:rPr>
            </w:pPr>
            <w:r w:rsidRPr="000E4D28">
              <w:rPr>
                <w:bCs/>
                <w:i/>
                <w:sz w:val="14"/>
                <w:szCs w:val="14"/>
                <w:lang w:val="es-ES_tradnl"/>
              </w:rPr>
              <w:t>2006</w:t>
            </w:r>
          </w:p>
        </w:tc>
        <w:tc>
          <w:tcPr>
            <w:tcW w:w="2130" w:type="dxa"/>
            <w:gridSpan w:val="3"/>
            <w:tcBorders>
              <w:top w:val="single" w:sz="4" w:space="0" w:color="auto"/>
              <w:bottom w:val="single" w:sz="4"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center"/>
              <w:rPr>
                <w:bCs/>
                <w:i/>
                <w:sz w:val="14"/>
                <w:szCs w:val="14"/>
                <w:lang w:val="es-ES_tradnl"/>
              </w:rPr>
            </w:pPr>
            <w:r w:rsidRPr="000E4D28">
              <w:rPr>
                <w:bCs/>
                <w:i/>
                <w:sz w:val="14"/>
                <w:szCs w:val="14"/>
                <w:lang w:val="es-ES_tradnl"/>
              </w:rPr>
              <w:t>2009</w:t>
            </w:r>
          </w:p>
        </w:tc>
        <w:tc>
          <w:tcPr>
            <w:tcW w:w="2091" w:type="dxa"/>
            <w:gridSpan w:val="3"/>
            <w:tcBorders>
              <w:top w:val="single" w:sz="4" w:space="0" w:color="auto"/>
              <w:bottom w:val="single" w:sz="4"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center"/>
              <w:rPr>
                <w:bCs/>
                <w:i/>
                <w:sz w:val="14"/>
                <w:szCs w:val="14"/>
                <w:lang w:val="es-ES_tradnl"/>
              </w:rPr>
            </w:pPr>
            <w:r w:rsidRPr="000E4D28">
              <w:rPr>
                <w:bCs/>
                <w:i/>
                <w:sz w:val="14"/>
                <w:szCs w:val="14"/>
                <w:lang w:val="es-ES_tradnl"/>
              </w:rPr>
              <w:t>2011</w:t>
            </w:r>
          </w:p>
        </w:tc>
      </w:tr>
      <w:tr w:rsidR="0038237D" w:rsidRPr="000E4D28" w:rsidTr="00F96BFC">
        <w:trPr>
          <w:trHeight w:val="240"/>
        </w:trPr>
        <w:tc>
          <w:tcPr>
            <w:tcW w:w="1129" w:type="dxa"/>
            <w:tcBorders>
              <w:top w:val="nil"/>
              <w:bottom w:val="single" w:sz="12" w:space="0" w:color="auto"/>
            </w:tcBorders>
            <w:shd w:val="clear" w:color="auto" w:fill="auto"/>
          </w:tcPr>
          <w:p w:rsidR="0038237D" w:rsidRPr="000E4D28" w:rsidRDefault="0038237D" w:rsidP="000E4D28">
            <w:pPr>
              <w:pStyle w:val="SingleTxtG"/>
              <w:suppressAutoHyphens w:val="0"/>
              <w:spacing w:before="80" w:after="80" w:line="160" w:lineRule="exact"/>
              <w:ind w:left="0" w:right="0"/>
              <w:jc w:val="left"/>
              <w:rPr>
                <w:sz w:val="14"/>
                <w:szCs w:val="14"/>
                <w:lang w:val="es-ES_tradnl"/>
              </w:rPr>
            </w:pPr>
          </w:p>
        </w:tc>
        <w:tc>
          <w:tcPr>
            <w:tcW w:w="671" w:type="dxa"/>
            <w:tcBorders>
              <w:top w:val="single" w:sz="4" w:space="0" w:color="auto"/>
              <w:bottom w:val="single" w:sz="12"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right"/>
              <w:rPr>
                <w:i/>
                <w:sz w:val="14"/>
                <w:szCs w:val="14"/>
                <w:lang w:val="es-ES_tradnl"/>
              </w:rPr>
            </w:pPr>
            <w:r w:rsidRPr="000E4D28">
              <w:rPr>
                <w:i/>
                <w:sz w:val="14"/>
                <w:szCs w:val="14"/>
                <w:lang w:val="es-ES_tradnl"/>
              </w:rPr>
              <w:t>Hombres</w:t>
            </w:r>
          </w:p>
        </w:tc>
        <w:tc>
          <w:tcPr>
            <w:tcW w:w="648" w:type="dxa"/>
            <w:tcBorders>
              <w:top w:val="single" w:sz="4" w:space="0" w:color="auto"/>
              <w:bottom w:val="single" w:sz="12"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right"/>
              <w:rPr>
                <w:i/>
                <w:sz w:val="14"/>
                <w:szCs w:val="14"/>
                <w:lang w:val="es-ES_tradnl"/>
              </w:rPr>
            </w:pPr>
            <w:r w:rsidRPr="000E4D28">
              <w:rPr>
                <w:i/>
                <w:sz w:val="14"/>
                <w:szCs w:val="14"/>
                <w:lang w:val="es-ES_tradnl"/>
              </w:rPr>
              <w:t>Mujeres</w:t>
            </w:r>
          </w:p>
        </w:tc>
        <w:tc>
          <w:tcPr>
            <w:tcW w:w="972" w:type="dxa"/>
            <w:tcBorders>
              <w:top w:val="single" w:sz="4" w:space="0" w:color="auto"/>
              <w:bottom w:val="single" w:sz="12" w:space="0" w:color="auto"/>
            </w:tcBorders>
            <w:shd w:val="clear" w:color="auto" w:fill="auto"/>
            <w:vAlign w:val="bottom"/>
          </w:tcPr>
          <w:p w:rsidR="0038237D" w:rsidRPr="000E4D28" w:rsidRDefault="00C90CF0" w:rsidP="000E4D28">
            <w:pPr>
              <w:pStyle w:val="SingleTxtG"/>
              <w:suppressAutoHyphens w:val="0"/>
              <w:spacing w:before="80" w:after="80" w:line="160" w:lineRule="exact"/>
              <w:ind w:left="113" w:right="0"/>
              <w:jc w:val="right"/>
              <w:rPr>
                <w:i/>
                <w:sz w:val="14"/>
                <w:szCs w:val="14"/>
                <w:lang w:val="es-ES_tradnl"/>
              </w:rPr>
            </w:pPr>
            <w:r>
              <w:rPr>
                <w:i/>
                <w:sz w:val="14"/>
                <w:szCs w:val="14"/>
                <w:lang w:val="es-ES_tradnl"/>
              </w:rPr>
              <w:t>Porcentaje</w:t>
            </w:r>
            <w:r w:rsidR="001B27F2">
              <w:rPr>
                <w:i/>
                <w:sz w:val="14"/>
                <w:szCs w:val="14"/>
                <w:lang w:val="es-ES_tradnl"/>
              </w:rPr>
              <w:br/>
              <w:t>Mujeres</w:t>
            </w:r>
            <w:r w:rsidR="0038237D" w:rsidRPr="000E4D28">
              <w:rPr>
                <w:i/>
                <w:sz w:val="14"/>
                <w:szCs w:val="14"/>
                <w:lang w:val="es-ES_tradnl"/>
              </w:rPr>
              <w:t xml:space="preserve"> </w:t>
            </w:r>
          </w:p>
        </w:tc>
        <w:tc>
          <w:tcPr>
            <w:tcW w:w="694" w:type="dxa"/>
            <w:tcBorders>
              <w:top w:val="single" w:sz="4" w:space="0" w:color="auto"/>
              <w:bottom w:val="single" w:sz="12"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right"/>
              <w:rPr>
                <w:i/>
                <w:sz w:val="14"/>
                <w:szCs w:val="14"/>
                <w:lang w:val="es-ES_tradnl"/>
              </w:rPr>
            </w:pPr>
            <w:r w:rsidRPr="000E4D28">
              <w:rPr>
                <w:i/>
                <w:sz w:val="14"/>
                <w:szCs w:val="14"/>
                <w:lang w:val="es-ES_tradnl"/>
              </w:rPr>
              <w:t>Hombres</w:t>
            </w:r>
          </w:p>
        </w:tc>
        <w:tc>
          <w:tcPr>
            <w:tcW w:w="716" w:type="dxa"/>
            <w:tcBorders>
              <w:top w:val="single" w:sz="4" w:space="0" w:color="auto"/>
              <w:bottom w:val="single" w:sz="12"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right"/>
              <w:rPr>
                <w:i/>
                <w:sz w:val="14"/>
                <w:szCs w:val="14"/>
                <w:lang w:val="es-ES_tradnl"/>
              </w:rPr>
            </w:pPr>
            <w:r w:rsidRPr="000E4D28">
              <w:rPr>
                <w:i/>
                <w:sz w:val="14"/>
                <w:szCs w:val="14"/>
                <w:lang w:val="es-ES_tradnl"/>
              </w:rPr>
              <w:t>Mujeres</w:t>
            </w:r>
          </w:p>
        </w:tc>
        <w:tc>
          <w:tcPr>
            <w:tcW w:w="822" w:type="dxa"/>
            <w:tcBorders>
              <w:top w:val="single" w:sz="4" w:space="0" w:color="auto"/>
              <w:bottom w:val="single" w:sz="12" w:space="0" w:color="auto"/>
            </w:tcBorders>
            <w:shd w:val="clear" w:color="auto" w:fill="auto"/>
            <w:vAlign w:val="bottom"/>
          </w:tcPr>
          <w:p w:rsidR="0038237D" w:rsidRPr="000E4D28" w:rsidRDefault="00C90CF0" w:rsidP="001B27F2">
            <w:pPr>
              <w:pStyle w:val="SingleTxtG"/>
              <w:suppressAutoHyphens w:val="0"/>
              <w:spacing w:before="80" w:after="80" w:line="160" w:lineRule="exact"/>
              <w:ind w:left="113" w:right="0"/>
              <w:jc w:val="right"/>
              <w:rPr>
                <w:i/>
                <w:sz w:val="14"/>
                <w:szCs w:val="14"/>
                <w:lang w:val="es-ES_tradnl"/>
              </w:rPr>
            </w:pPr>
            <w:r>
              <w:rPr>
                <w:i/>
                <w:sz w:val="14"/>
                <w:szCs w:val="14"/>
                <w:lang w:val="es-ES_tradnl"/>
              </w:rPr>
              <w:t>Porcentaje</w:t>
            </w:r>
            <w:r w:rsidR="001B27F2">
              <w:rPr>
                <w:i/>
                <w:sz w:val="14"/>
                <w:szCs w:val="14"/>
                <w:lang w:val="es-ES_tradnl"/>
              </w:rPr>
              <w:br/>
              <w:t>Mujeres</w:t>
            </w:r>
            <w:r w:rsidR="0038237D" w:rsidRPr="000E4D28">
              <w:rPr>
                <w:i/>
                <w:sz w:val="14"/>
                <w:szCs w:val="14"/>
                <w:lang w:val="es-ES_tradnl"/>
              </w:rPr>
              <w:t xml:space="preserve"> </w:t>
            </w:r>
          </w:p>
        </w:tc>
        <w:tc>
          <w:tcPr>
            <w:tcW w:w="666" w:type="dxa"/>
            <w:tcBorders>
              <w:top w:val="single" w:sz="4" w:space="0" w:color="auto"/>
              <w:bottom w:val="single" w:sz="12"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right"/>
              <w:rPr>
                <w:i/>
                <w:sz w:val="14"/>
                <w:szCs w:val="14"/>
                <w:lang w:val="es-ES_tradnl"/>
              </w:rPr>
            </w:pPr>
            <w:r w:rsidRPr="000E4D28">
              <w:rPr>
                <w:i/>
                <w:sz w:val="14"/>
                <w:szCs w:val="14"/>
                <w:lang w:val="es-ES_tradnl"/>
              </w:rPr>
              <w:t>Hombres</w:t>
            </w:r>
          </w:p>
        </w:tc>
        <w:tc>
          <w:tcPr>
            <w:tcW w:w="624" w:type="dxa"/>
            <w:tcBorders>
              <w:top w:val="single" w:sz="4" w:space="0" w:color="auto"/>
              <w:bottom w:val="single" w:sz="12"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right"/>
              <w:rPr>
                <w:i/>
                <w:sz w:val="14"/>
                <w:szCs w:val="14"/>
                <w:lang w:val="es-ES_tradnl"/>
              </w:rPr>
            </w:pPr>
            <w:r w:rsidRPr="000E4D28">
              <w:rPr>
                <w:i/>
                <w:sz w:val="14"/>
                <w:szCs w:val="14"/>
                <w:lang w:val="es-ES_tradnl"/>
              </w:rPr>
              <w:t>Mujeres</w:t>
            </w:r>
          </w:p>
        </w:tc>
        <w:tc>
          <w:tcPr>
            <w:tcW w:w="840" w:type="dxa"/>
            <w:tcBorders>
              <w:top w:val="single" w:sz="4" w:space="0" w:color="auto"/>
              <w:bottom w:val="single" w:sz="12" w:space="0" w:color="auto"/>
            </w:tcBorders>
            <w:shd w:val="clear" w:color="auto" w:fill="auto"/>
            <w:vAlign w:val="bottom"/>
          </w:tcPr>
          <w:p w:rsidR="0038237D" w:rsidRPr="000E4D28" w:rsidRDefault="00C90CF0" w:rsidP="001B27F2">
            <w:pPr>
              <w:pStyle w:val="SingleTxtG"/>
              <w:suppressAutoHyphens w:val="0"/>
              <w:spacing w:before="80" w:after="80" w:line="160" w:lineRule="exact"/>
              <w:ind w:left="113" w:right="0"/>
              <w:jc w:val="right"/>
              <w:rPr>
                <w:i/>
                <w:sz w:val="14"/>
                <w:szCs w:val="14"/>
                <w:lang w:val="es-ES_tradnl"/>
              </w:rPr>
            </w:pPr>
            <w:r>
              <w:rPr>
                <w:i/>
                <w:sz w:val="14"/>
                <w:szCs w:val="14"/>
                <w:lang w:val="es-ES_tradnl"/>
              </w:rPr>
              <w:t>Porcentaje Mujeres</w:t>
            </w:r>
            <w:r w:rsidR="0038237D" w:rsidRPr="000E4D28">
              <w:rPr>
                <w:i/>
                <w:sz w:val="14"/>
                <w:szCs w:val="14"/>
                <w:lang w:val="es-ES_tradnl"/>
              </w:rPr>
              <w:t xml:space="preserve"> </w:t>
            </w:r>
          </w:p>
        </w:tc>
        <w:tc>
          <w:tcPr>
            <w:tcW w:w="714" w:type="dxa"/>
            <w:tcBorders>
              <w:top w:val="single" w:sz="4" w:space="0" w:color="auto"/>
              <w:bottom w:val="single" w:sz="12"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right"/>
              <w:rPr>
                <w:i/>
                <w:sz w:val="14"/>
                <w:szCs w:val="14"/>
                <w:lang w:val="es-ES_tradnl"/>
              </w:rPr>
            </w:pPr>
            <w:r w:rsidRPr="000E4D28">
              <w:rPr>
                <w:i/>
                <w:sz w:val="14"/>
                <w:szCs w:val="14"/>
                <w:lang w:val="es-ES_tradnl"/>
              </w:rPr>
              <w:t>Hombres</w:t>
            </w:r>
          </w:p>
        </w:tc>
        <w:tc>
          <w:tcPr>
            <w:tcW w:w="621" w:type="dxa"/>
            <w:tcBorders>
              <w:top w:val="single" w:sz="4" w:space="0" w:color="auto"/>
              <w:bottom w:val="single" w:sz="12" w:space="0" w:color="auto"/>
            </w:tcBorders>
            <w:shd w:val="clear" w:color="auto" w:fill="auto"/>
            <w:vAlign w:val="bottom"/>
          </w:tcPr>
          <w:p w:rsidR="0038237D" w:rsidRPr="000E4D28" w:rsidRDefault="0038237D" w:rsidP="000E4D28">
            <w:pPr>
              <w:pStyle w:val="SingleTxtG"/>
              <w:suppressAutoHyphens w:val="0"/>
              <w:spacing w:before="80" w:after="80" w:line="160" w:lineRule="exact"/>
              <w:ind w:left="113" w:right="0"/>
              <w:jc w:val="right"/>
              <w:rPr>
                <w:i/>
                <w:sz w:val="14"/>
                <w:szCs w:val="14"/>
                <w:lang w:val="es-ES_tradnl"/>
              </w:rPr>
            </w:pPr>
            <w:r w:rsidRPr="000E4D28">
              <w:rPr>
                <w:i/>
                <w:sz w:val="14"/>
                <w:szCs w:val="14"/>
                <w:lang w:val="es-ES_tradnl"/>
              </w:rPr>
              <w:t>Mujeres</w:t>
            </w:r>
          </w:p>
        </w:tc>
        <w:tc>
          <w:tcPr>
            <w:tcW w:w="756" w:type="dxa"/>
            <w:tcBorders>
              <w:top w:val="single" w:sz="4" w:space="0" w:color="auto"/>
              <w:bottom w:val="single" w:sz="12" w:space="0" w:color="auto"/>
            </w:tcBorders>
            <w:shd w:val="clear" w:color="auto" w:fill="auto"/>
            <w:vAlign w:val="bottom"/>
          </w:tcPr>
          <w:p w:rsidR="0038237D" w:rsidRPr="000E4D28" w:rsidRDefault="00C90CF0" w:rsidP="001B27F2">
            <w:pPr>
              <w:pStyle w:val="SingleTxtG"/>
              <w:suppressAutoHyphens w:val="0"/>
              <w:spacing w:before="80" w:after="80" w:line="160" w:lineRule="exact"/>
              <w:ind w:left="113" w:right="0"/>
              <w:jc w:val="right"/>
              <w:rPr>
                <w:i/>
                <w:sz w:val="14"/>
                <w:szCs w:val="14"/>
                <w:lang w:val="es-ES_tradnl"/>
              </w:rPr>
            </w:pPr>
            <w:r>
              <w:rPr>
                <w:i/>
                <w:sz w:val="14"/>
                <w:szCs w:val="14"/>
                <w:lang w:val="es-ES_tradnl"/>
              </w:rPr>
              <w:t>Porcentaje</w:t>
            </w:r>
            <w:r w:rsidR="001B27F2">
              <w:rPr>
                <w:i/>
                <w:sz w:val="14"/>
                <w:szCs w:val="14"/>
                <w:lang w:val="es-ES_tradnl"/>
              </w:rPr>
              <w:br/>
              <w:t>Mujeres</w:t>
            </w:r>
            <w:r w:rsidR="0038237D" w:rsidRPr="000E4D28">
              <w:rPr>
                <w:i/>
                <w:sz w:val="14"/>
                <w:szCs w:val="14"/>
                <w:lang w:val="es-ES_tradnl"/>
              </w:rPr>
              <w:t xml:space="preserve">. </w:t>
            </w:r>
          </w:p>
        </w:tc>
      </w:tr>
      <w:tr w:rsidR="0038237D" w:rsidRPr="000E4D28" w:rsidTr="00F96BFC">
        <w:trPr>
          <w:trHeight w:val="240"/>
        </w:trPr>
        <w:tc>
          <w:tcPr>
            <w:tcW w:w="1129" w:type="dxa"/>
            <w:tcBorders>
              <w:top w:val="single" w:sz="12" w:space="0" w:color="auto"/>
            </w:tcBorders>
            <w:shd w:val="clear" w:color="auto" w:fill="auto"/>
          </w:tcPr>
          <w:p w:rsidR="0038237D" w:rsidRPr="000E4D28" w:rsidRDefault="0038237D" w:rsidP="0038237D">
            <w:pPr>
              <w:pStyle w:val="SingleTxtG"/>
              <w:suppressAutoHyphens w:val="0"/>
              <w:spacing w:before="80" w:after="80" w:line="200" w:lineRule="exact"/>
              <w:ind w:left="0" w:right="0"/>
              <w:jc w:val="left"/>
              <w:rPr>
                <w:sz w:val="17"/>
                <w:szCs w:val="17"/>
                <w:lang w:val="es-ES_tradnl"/>
              </w:rPr>
            </w:pPr>
            <w:r w:rsidRPr="000E4D28">
              <w:rPr>
                <w:sz w:val="17"/>
                <w:szCs w:val="17"/>
                <w:lang w:val="es-ES_tradnl"/>
              </w:rPr>
              <w:t>Profesor</w:t>
            </w:r>
          </w:p>
        </w:tc>
        <w:tc>
          <w:tcPr>
            <w:tcW w:w="671"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941</w:t>
            </w:r>
          </w:p>
        </w:tc>
        <w:tc>
          <w:tcPr>
            <w:tcW w:w="648"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74</w:t>
            </w:r>
          </w:p>
        </w:tc>
        <w:tc>
          <w:tcPr>
            <w:tcW w:w="972"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 xml:space="preserve">7,3 </w:t>
            </w:r>
          </w:p>
        </w:tc>
        <w:tc>
          <w:tcPr>
            <w:tcW w:w="694"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w:t>
            </w:r>
            <w:r w:rsidR="00FB6ED3">
              <w:rPr>
                <w:sz w:val="17"/>
                <w:szCs w:val="17"/>
                <w:lang w:val="es-ES_tradnl"/>
              </w:rPr>
              <w:t xml:space="preserve"> </w:t>
            </w:r>
            <w:r w:rsidRPr="000E4D28">
              <w:rPr>
                <w:sz w:val="17"/>
                <w:szCs w:val="17"/>
                <w:lang w:val="es-ES_tradnl"/>
              </w:rPr>
              <w:t>200</w:t>
            </w:r>
          </w:p>
        </w:tc>
        <w:tc>
          <w:tcPr>
            <w:tcW w:w="716"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162</w:t>
            </w:r>
          </w:p>
        </w:tc>
        <w:tc>
          <w:tcPr>
            <w:tcW w:w="822"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11,9</w:t>
            </w:r>
          </w:p>
        </w:tc>
        <w:tc>
          <w:tcPr>
            <w:tcW w:w="666"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w:t>
            </w:r>
            <w:r w:rsidR="00FB6ED3">
              <w:rPr>
                <w:sz w:val="17"/>
                <w:szCs w:val="17"/>
                <w:lang w:val="es-ES_tradnl"/>
              </w:rPr>
              <w:t xml:space="preserve"> </w:t>
            </w:r>
            <w:r w:rsidRPr="000E4D28">
              <w:rPr>
                <w:sz w:val="17"/>
                <w:szCs w:val="17"/>
                <w:lang w:val="es-ES_tradnl"/>
              </w:rPr>
              <w:t>428</w:t>
            </w:r>
          </w:p>
        </w:tc>
        <w:tc>
          <w:tcPr>
            <w:tcW w:w="624"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262</w:t>
            </w:r>
          </w:p>
        </w:tc>
        <w:tc>
          <w:tcPr>
            <w:tcW w:w="840"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15,5</w:t>
            </w:r>
          </w:p>
        </w:tc>
        <w:tc>
          <w:tcPr>
            <w:tcW w:w="714"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w:t>
            </w:r>
            <w:r w:rsidR="00FB6ED3">
              <w:rPr>
                <w:sz w:val="17"/>
                <w:szCs w:val="17"/>
                <w:lang w:val="es-ES_tradnl"/>
              </w:rPr>
              <w:t xml:space="preserve"> </w:t>
            </w:r>
            <w:r w:rsidRPr="000E4D28">
              <w:rPr>
                <w:sz w:val="17"/>
                <w:szCs w:val="17"/>
                <w:lang w:val="es-ES_tradnl"/>
              </w:rPr>
              <w:t>516</w:t>
            </w:r>
          </w:p>
        </w:tc>
        <w:tc>
          <w:tcPr>
            <w:tcW w:w="621"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294</w:t>
            </w:r>
          </w:p>
        </w:tc>
        <w:tc>
          <w:tcPr>
            <w:tcW w:w="756" w:type="dxa"/>
            <w:tcBorders>
              <w:top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16,2</w:t>
            </w:r>
          </w:p>
        </w:tc>
      </w:tr>
      <w:tr w:rsidR="0038237D" w:rsidRPr="000E4D28" w:rsidTr="00F96BFC">
        <w:trPr>
          <w:trHeight w:val="240"/>
        </w:trPr>
        <w:tc>
          <w:tcPr>
            <w:tcW w:w="1129" w:type="dxa"/>
            <w:shd w:val="clear" w:color="auto" w:fill="auto"/>
          </w:tcPr>
          <w:p w:rsidR="0038237D" w:rsidRPr="000E4D28" w:rsidRDefault="0038237D" w:rsidP="0038237D">
            <w:pPr>
              <w:pStyle w:val="SingleTxtG"/>
              <w:suppressAutoHyphens w:val="0"/>
              <w:spacing w:before="80" w:after="80" w:line="200" w:lineRule="exact"/>
              <w:ind w:left="0" w:right="0"/>
              <w:jc w:val="left"/>
              <w:rPr>
                <w:sz w:val="17"/>
                <w:szCs w:val="17"/>
                <w:lang w:val="es-ES_tradnl"/>
              </w:rPr>
            </w:pPr>
            <w:r w:rsidRPr="000E4D28">
              <w:rPr>
                <w:sz w:val="17"/>
                <w:szCs w:val="17"/>
                <w:lang w:val="es-ES_tradnl"/>
              </w:rPr>
              <w:t>Prof. asoc.</w:t>
            </w:r>
          </w:p>
        </w:tc>
        <w:tc>
          <w:tcPr>
            <w:tcW w:w="671"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2</w:t>
            </w:r>
            <w:r w:rsidR="00FB6ED3">
              <w:rPr>
                <w:sz w:val="17"/>
                <w:szCs w:val="17"/>
                <w:lang w:val="es-ES_tradnl"/>
              </w:rPr>
              <w:t xml:space="preserve"> </w:t>
            </w:r>
            <w:r w:rsidRPr="000E4D28">
              <w:rPr>
                <w:sz w:val="17"/>
                <w:szCs w:val="17"/>
                <w:lang w:val="es-ES_tradnl"/>
              </w:rPr>
              <w:t>927</w:t>
            </w:r>
          </w:p>
        </w:tc>
        <w:tc>
          <w:tcPr>
            <w:tcW w:w="648"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817</w:t>
            </w:r>
          </w:p>
        </w:tc>
        <w:tc>
          <w:tcPr>
            <w:tcW w:w="972"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21,8</w:t>
            </w:r>
          </w:p>
        </w:tc>
        <w:tc>
          <w:tcPr>
            <w:tcW w:w="694"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2</w:t>
            </w:r>
            <w:r w:rsidR="00FB6ED3">
              <w:rPr>
                <w:sz w:val="17"/>
                <w:szCs w:val="17"/>
                <w:lang w:val="es-ES_tradnl"/>
              </w:rPr>
              <w:t xml:space="preserve"> </w:t>
            </w:r>
            <w:r w:rsidRPr="000E4D28">
              <w:rPr>
                <w:sz w:val="17"/>
                <w:szCs w:val="17"/>
                <w:lang w:val="es-ES_tradnl"/>
              </w:rPr>
              <w:t>708</w:t>
            </w:r>
          </w:p>
        </w:tc>
        <w:tc>
          <w:tcPr>
            <w:tcW w:w="716"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907</w:t>
            </w:r>
          </w:p>
        </w:tc>
        <w:tc>
          <w:tcPr>
            <w:tcW w:w="822"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25,1</w:t>
            </w:r>
          </w:p>
        </w:tc>
        <w:tc>
          <w:tcPr>
            <w:tcW w:w="666"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2</w:t>
            </w:r>
            <w:r w:rsidR="00FB6ED3">
              <w:rPr>
                <w:sz w:val="17"/>
                <w:szCs w:val="17"/>
                <w:lang w:val="es-ES_tradnl"/>
              </w:rPr>
              <w:t xml:space="preserve"> </w:t>
            </w:r>
            <w:r w:rsidRPr="000E4D28">
              <w:rPr>
                <w:sz w:val="17"/>
                <w:szCs w:val="17"/>
                <w:lang w:val="es-ES_tradnl"/>
              </w:rPr>
              <w:t>959</w:t>
            </w:r>
          </w:p>
        </w:tc>
        <w:tc>
          <w:tcPr>
            <w:tcW w:w="624"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w:t>
            </w:r>
            <w:r w:rsidR="00FB6ED3">
              <w:rPr>
                <w:sz w:val="17"/>
                <w:szCs w:val="17"/>
                <w:lang w:val="es-ES_tradnl"/>
              </w:rPr>
              <w:t xml:space="preserve"> </w:t>
            </w:r>
            <w:r w:rsidRPr="000E4D28">
              <w:rPr>
                <w:sz w:val="17"/>
                <w:szCs w:val="17"/>
                <w:lang w:val="es-ES_tradnl"/>
              </w:rPr>
              <w:t>188</w:t>
            </w:r>
          </w:p>
        </w:tc>
        <w:tc>
          <w:tcPr>
            <w:tcW w:w="840"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28,6</w:t>
            </w:r>
          </w:p>
        </w:tc>
        <w:tc>
          <w:tcPr>
            <w:tcW w:w="714"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3</w:t>
            </w:r>
            <w:r w:rsidR="00FB6ED3">
              <w:rPr>
                <w:sz w:val="17"/>
                <w:szCs w:val="17"/>
                <w:lang w:val="es-ES_tradnl"/>
              </w:rPr>
              <w:t xml:space="preserve"> </w:t>
            </w:r>
            <w:r w:rsidRPr="000E4D28">
              <w:rPr>
                <w:sz w:val="17"/>
                <w:szCs w:val="17"/>
                <w:lang w:val="es-ES_tradnl"/>
              </w:rPr>
              <w:t>051</w:t>
            </w:r>
          </w:p>
        </w:tc>
        <w:tc>
          <w:tcPr>
            <w:tcW w:w="621"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w:t>
            </w:r>
            <w:r w:rsidR="00FB6ED3">
              <w:rPr>
                <w:sz w:val="17"/>
                <w:szCs w:val="17"/>
                <w:lang w:val="es-ES_tradnl"/>
              </w:rPr>
              <w:t xml:space="preserve"> </w:t>
            </w:r>
            <w:r w:rsidRPr="000E4D28">
              <w:rPr>
                <w:sz w:val="17"/>
                <w:szCs w:val="17"/>
                <w:lang w:val="es-ES_tradnl"/>
              </w:rPr>
              <w:t>218</w:t>
            </w:r>
          </w:p>
        </w:tc>
        <w:tc>
          <w:tcPr>
            <w:tcW w:w="756" w:type="dxa"/>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28,5</w:t>
            </w:r>
          </w:p>
        </w:tc>
      </w:tr>
      <w:tr w:rsidR="0038237D" w:rsidRPr="000E4D28" w:rsidTr="00F96BFC">
        <w:trPr>
          <w:trHeight w:val="240"/>
        </w:trPr>
        <w:tc>
          <w:tcPr>
            <w:tcW w:w="1129" w:type="dxa"/>
            <w:tcBorders>
              <w:bottom w:val="single" w:sz="4" w:space="0" w:color="auto"/>
            </w:tcBorders>
            <w:shd w:val="clear" w:color="auto" w:fill="auto"/>
          </w:tcPr>
          <w:p w:rsidR="0038237D" w:rsidRPr="000E4D28" w:rsidRDefault="001B27F2" w:rsidP="0038237D">
            <w:pPr>
              <w:pStyle w:val="SingleTxtG"/>
              <w:suppressAutoHyphens w:val="0"/>
              <w:spacing w:before="80" w:after="80" w:line="200" w:lineRule="exact"/>
              <w:ind w:left="0" w:right="0"/>
              <w:jc w:val="left"/>
              <w:rPr>
                <w:sz w:val="17"/>
                <w:szCs w:val="17"/>
                <w:lang w:val="es-ES_tradnl"/>
              </w:rPr>
            </w:pPr>
            <w:r>
              <w:rPr>
                <w:sz w:val="17"/>
                <w:szCs w:val="17"/>
                <w:lang w:val="es-ES_tradnl"/>
              </w:rPr>
              <w:t>Prof. aux.</w:t>
            </w:r>
            <w:r w:rsidR="0038237D" w:rsidRPr="000E4D28">
              <w:rPr>
                <w:sz w:val="17"/>
                <w:szCs w:val="17"/>
                <w:lang w:val="es-ES_tradnl"/>
              </w:rPr>
              <w:t>/ posdoctorado</w:t>
            </w:r>
          </w:p>
        </w:tc>
        <w:tc>
          <w:tcPr>
            <w:tcW w:w="671"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768</w:t>
            </w:r>
          </w:p>
        </w:tc>
        <w:tc>
          <w:tcPr>
            <w:tcW w:w="648"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432</w:t>
            </w:r>
          </w:p>
        </w:tc>
        <w:tc>
          <w:tcPr>
            <w:tcW w:w="972"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36,0</w:t>
            </w:r>
          </w:p>
        </w:tc>
        <w:tc>
          <w:tcPr>
            <w:tcW w:w="694"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w:t>
            </w:r>
            <w:r w:rsidR="00FB6ED3">
              <w:rPr>
                <w:sz w:val="17"/>
                <w:szCs w:val="17"/>
                <w:lang w:val="es-ES_tradnl"/>
              </w:rPr>
              <w:t xml:space="preserve"> </w:t>
            </w:r>
            <w:r w:rsidRPr="000E4D28">
              <w:rPr>
                <w:sz w:val="17"/>
                <w:szCs w:val="17"/>
                <w:lang w:val="es-ES_tradnl"/>
              </w:rPr>
              <w:t>119</w:t>
            </w:r>
          </w:p>
        </w:tc>
        <w:tc>
          <w:tcPr>
            <w:tcW w:w="716"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738</w:t>
            </w:r>
          </w:p>
        </w:tc>
        <w:tc>
          <w:tcPr>
            <w:tcW w:w="822"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39,7</w:t>
            </w:r>
          </w:p>
        </w:tc>
        <w:tc>
          <w:tcPr>
            <w:tcW w:w="666"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w:t>
            </w:r>
            <w:r w:rsidR="00FB6ED3">
              <w:rPr>
                <w:sz w:val="17"/>
                <w:szCs w:val="17"/>
                <w:lang w:val="es-ES_tradnl"/>
              </w:rPr>
              <w:t xml:space="preserve"> </w:t>
            </w:r>
            <w:r w:rsidRPr="000E4D28">
              <w:rPr>
                <w:sz w:val="17"/>
                <w:szCs w:val="17"/>
                <w:lang w:val="es-ES_tradnl"/>
              </w:rPr>
              <w:t>642</w:t>
            </w:r>
          </w:p>
        </w:tc>
        <w:tc>
          <w:tcPr>
            <w:tcW w:w="624"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983</w:t>
            </w:r>
          </w:p>
        </w:tc>
        <w:tc>
          <w:tcPr>
            <w:tcW w:w="840"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37,4</w:t>
            </w:r>
          </w:p>
        </w:tc>
        <w:tc>
          <w:tcPr>
            <w:tcW w:w="714"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w:t>
            </w:r>
            <w:r w:rsidR="00FB6ED3">
              <w:rPr>
                <w:sz w:val="17"/>
                <w:szCs w:val="17"/>
                <w:lang w:val="es-ES_tradnl"/>
              </w:rPr>
              <w:t xml:space="preserve"> </w:t>
            </w:r>
            <w:r w:rsidRPr="000E4D28">
              <w:rPr>
                <w:sz w:val="17"/>
                <w:szCs w:val="17"/>
                <w:lang w:val="es-ES_tradnl"/>
              </w:rPr>
              <w:t>783</w:t>
            </w:r>
          </w:p>
        </w:tc>
        <w:tc>
          <w:tcPr>
            <w:tcW w:w="621"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1</w:t>
            </w:r>
            <w:r w:rsidR="00FB6ED3">
              <w:rPr>
                <w:sz w:val="17"/>
                <w:szCs w:val="17"/>
                <w:lang w:val="es-ES_tradnl"/>
              </w:rPr>
              <w:t xml:space="preserve"> </w:t>
            </w:r>
            <w:r w:rsidRPr="000E4D28">
              <w:rPr>
                <w:sz w:val="17"/>
                <w:szCs w:val="17"/>
                <w:lang w:val="es-ES_tradnl"/>
              </w:rPr>
              <w:t>216</w:t>
            </w:r>
          </w:p>
        </w:tc>
        <w:tc>
          <w:tcPr>
            <w:tcW w:w="756" w:type="dxa"/>
            <w:tcBorders>
              <w:bottom w:val="single" w:sz="4"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sz w:val="17"/>
                <w:szCs w:val="17"/>
                <w:lang w:val="es-ES_tradnl"/>
              </w:rPr>
            </w:pPr>
            <w:r w:rsidRPr="000E4D28">
              <w:rPr>
                <w:sz w:val="17"/>
                <w:szCs w:val="17"/>
                <w:lang w:val="es-ES_tradnl"/>
              </w:rPr>
              <w:t>40,5</w:t>
            </w:r>
          </w:p>
        </w:tc>
      </w:tr>
      <w:tr w:rsidR="0038237D" w:rsidRPr="000E4D28" w:rsidTr="00F96BFC">
        <w:trPr>
          <w:trHeight w:val="240"/>
        </w:trPr>
        <w:tc>
          <w:tcPr>
            <w:tcW w:w="1129" w:type="dxa"/>
            <w:tcBorders>
              <w:top w:val="single" w:sz="4" w:space="0" w:color="auto"/>
              <w:bottom w:val="single" w:sz="12" w:space="0" w:color="auto"/>
            </w:tcBorders>
            <w:shd w:val="clear" w:color="auto" w:fill="auto"/>
          </w:tcPr>
          <w:p w:rsidR="0038237D" w:rsidRPr="000E4D28" w:rsidRDefault="0038237D" w:rsidP="0038237D">
            <w:pPr>
              <w:pStyle w:val="SingleTxtG"/>
              <w:suppressAutoHyphens w:val="0"/>
              <w:spacing w:before="80" w:after="80" w:line="200" w:lineRule="exact"/>
              <w:ind w:left="0" w:right="0"/>
              <w:jc w:val="left"/>
              <w:rPr>
                <w:b/>
                <w:sz w:val="17"/>
                <w:szCs w:val="17"/>
                <w:lang w:val="es-ES_tradnl"/>
              </w:rPr>
            </w:pPr>
            <w:r w:rsidRPr="000E4D28">
              <w:rPr>
                <w:b/>
                <w:sz w:val="17"/>
                <w:szCs w:val="17"/>
                <w:lang w:val="es-ES_tradnl"/>
              </w:rPr>
              <w:t>Total</w:t>
            </w:r>
          </w:p>
        </w:tc>
        <w:tc>
          <w:tcPr>
            <w:tcW w:w="671"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4</w:t>
            </w:r>
            <w:r w:rsidR="00FB6ED3">
              <w:rPr>
                <w:b/>
                <w:sz w:val="17"/>
                <w:szCs w:val="17"/>
                <w:lang w:val="es-ES_tradnl"/>
              </w:rPr>
              <w:t xml:space="preserve"> </w:t>
            </w:r>
            <w:r w:rsidRPr="000E4D28">
              <w:rPr>
                <w:b/>
                <w:sz w:val="17"/>
                <w:szCs w:val="17"/>
                <w:lang w:val="es-ES_tradnl"/>
              </w:rPr>
              <w:t>636</w:t>
            </w:r>
          </w:p>
        </w:tc>
        <w:tc>
          <w:tcPr>
            <w:tcW w:w="648"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1</w:t>
            </w:r>
            <w:r w:rsidR="00FB6ED3">
              <w:rPr>
                <w:b/>
                <w:sz w:val="17"/>
                <w:szCs w:val="17"/>
                <w:lang w:val="es-ES_tradnl"/>
              </w:rPr>
              <w:t xml:space="preserve"> </w:t>
            </w:r>
            <w:r w:rsidRPr="000E4D28">
              <w:rPr>
                <w:b/>
                <w:sz w:val="17"/>
                <w:szCs w:val="17"/>
                <w:lang w:val="es-ES_tradnl"/>
              </w:rPr>
              <w:t>323</w:t>
            </w:r>
          </w:p>
        </w:tc>
        <w:tc>
          <w:tcPr>
            <w:tcW w:w="972"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22,2</w:t>
            </w:r>
          </w:p>
        </w:tc>
        <w:tc>
          <w:tcPr>
            <w:tcW w:w="694"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5</w:t>
            </w:r>
            <w:r w:rsidR="00FB6ED3">
              <w:rPr>
                <w:b/>
                <w:sz w:val="17"/>
                <w:szCs w:val="17"/>
                <w:lang w:val="es-ES_tradnl"/>
              </w:rPr>
              <w:t xml:space="preserve"> </w:t>
            </w:r>
            <w:r w:rsidRPr="000E4D28">
              <w:rPr>
                <w:b/>
                <w:sz w:val="17"/>
                <w:szCs w:val="17"/>
                <w:lang w:val="es-ES_tradnl"/>
              </w:rPr>
              <w:t>027</w:t>
            </w:r>
          </w:p>
        </w:tc>
        <w:tc>
          <w:tcPr>
            <w:tcW w:w="716"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1</w:t>
            </w:r>
            <w:r w:rsidR="00FB6ED3">
              <w:rPr>
                <w:b/>
                <w:sz w:val="17"/>
                <w:szCs w:val="17"/>
                <w:lang w:val="es-ES_tradnl"/>
              </w:rPr>
              <w:t xml:space="preserve"> </w:t>
            </w:r>
            <w:r w:rsidRPr="000E4D28">
              <w:rPr>
                <w:b/>
                <w:sz w:val="17"/>
                <w:szCs w:val="17"/>
                <w:lang w:val="es-ES_tradnl"/>
              </w:rPr>
              <w:t>807</w:t>
            </w:r>
          </w:p>
        </w:tc>
        <w:tc>
          <w:tcPr>
            <w:tcW w:w="822"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26,4</w:t>
            </w:r>
          </w:p>
        </w:tc>
        <w:tc>
          <w:tcPr>
            <w:tcW w:w="666"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6</w:t>
            </w:r>
            <w:r w:rsidR="00FB6ED3">
              <w:rPr>
                <w:b/>
                <w:sz w:val="17"/>
                <w:szCs w:val="17"/>
                <w:lang w:val="es-ES_tradnl"/>
              </w:rPr>
              <w:t xml:space="preserve"> </w:t>
            </w:r>
            <w:r w:rsidRPr="000E4D28">
              <w:rPr>
                <w:b/>
                <w:sz w:val="17"/>
                <w:szCs w:val="17"/>
                <w:lang w:val="es-ES_tradnl"/>
              </w:rPr>
              <w:t>029</w:t>
            </w:r>
          </w:p>
        </w:tc>
        <w:tc>
          <w:tcPr>
            <w:tcW w:w="624"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2</w:t>
            </w:r>
            <w:r w:rsidR="00FB6ED3">
              <w:rPr>
                <w:b/>
                <w:sz w:val="17"/>
                <w:szCs w:val="17"/>
                <w:lang w:val="es-ES_tradnl"/>
              </w:rPr>
              <w:t xml:space="preserve"> </w:t>
            </w:r>
            <w:r w:rsidRPr="000E4D28">
              <w:rPr>
                <w:b/>
                <w:sz w:val="17"/>
                <w:szCs w:val="17"/>
                <w:lang w:val="es-ES_tradnl"/>
              </w:rPr>
              <w:t>433</w:t>
            </w:r>
          </w:p>
        </w:tc>
        <w:tc>
          <w:tcPr>
            <w:tcW w:w="840"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28,8</w:t>
            </w:r>
          </w:p>
        </w:tc>
        <w:tc>
          <w:tcPr>
            <w:tcW w:w="714"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6</w:t>
            </w:r>
            <w:r w:rsidR="00FB6ED3">
              <w:rPr>
                <w:b/>
                <w:sz w:val="17"/>
                <w:szCs w:val="17"/>
                <w:lang w:val="es-ES_tradnl"/>
              </w:rPr>
              <w:t xml:space="preserve"> </w:t>
            </w:r>
            <w:r w:rsidRPr="000E4D28">
              <w:rPr>
                <w:b/>
                <w:sz w:val="17"/>
                <w:szCs w:val="17"/>
                <w:lang w:val="es-ES_tradnl"/>
              </w:rPr>
              <w:t>350</w:t>
            </w:r>
          </w:p>
        </w:tc>
        <w:tc>
          <w:tcPr>
            <w:tcW w:w="621"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2</w:t>
            </w:r>
            <w:r w:rsidR="00FB6ED3">
              <w:rPr>
                <w:b/>
                <w:sz w:val="17"/>
                <w:szCs w:val="17"/>
                <w:lang w:val="es-ES_tradnl"/>
              </w:rPr>
              <w:t xml:space="preserve"> </w:t>
            </w:r>
            <w:r w:rsidRPr="000E4D28">
              <w:rPr>
                <w:b/>
                <w:sz w:val="17"/>
                <w:szCs w:val="17"/>
                <w:lang w:val="es-ES_tradnl"/>
              </w:rPr>
              <w:t>728</w:t>
            </w:r>
          </w:p>
        </w:tc>
        <w:tc>
          <w:tcPr>
            <w:tcW w:w="756" w:type="dxa"/>
            <w:tcBorders>
              <w:top w:val="single" w:sz="4" w:space="0" w:color="auto"/>
              <w:bottom w:val="single" w:sz="12" w:space="0" w:color="auto"/>
            </w:tcBorders>
            <w:shd w:val="clear" w:color="auto" w:fill="auto"/>
            <w:vAlign w:val="bottom"/>
          </w:tcPr>
          <w:p w:rsidR="0038237D" w:rsidRPr="000E4D28" w:rsidRDefault="0038237D" w:rsidP="00FB6ED3">
            <w:pPr>
              <w:pStyle w:val="SingleTxtG"/>
              <w:suppressAutoHyphens w:val="0"/>
              <w:spacing w:before="80" w:after="80" w:line="200" w:lineRule="exact"/>
              <w:ind w:left="115" w:right="43"/>
              <w:jc w:val="right"/>
              <w:rPr>
                <w:b/>
                <w:sz w:val="17"/>
                <w:szCs w:val="17"/>
                <w:lang w:val="es-ES_tradnl"/>
              </w:rPr>
            </w:pPr>
            <w:r w:rsidRPr="000E4D28">
              <w:rPr>
                <w:b/>
                <w:sz w:val="17"/>
                <w:szCs w:val="17"/>
                <w:lang w:val="es-ES_tradnl"/>
              </w:rPr>
              <w:t>30,1</w:t>
            </w:r>
          </w:p>
        </w:tc>
      </w:tr>
    </w:tbl>
    <w:p w:rsidR="00CC062C" w:rsidRPr="00CC062C" w:rsidRDefault="00CC062C" w:rsidP="00CC062C">
      <w:pPr>
        <w:pStyle w:val="FootnoteText"/>
        <w:tabs>
          <w:tab w:val="clear" w:pos="418"/>
          <w:tab w:val="right" w:pos="216"/>
          <w:tab w:val="left" w:pos="288"/>
          <w:tab w:val="right" w:pos="576"/>
          <w:tab w:val="left" w:pos="648"/>
        </w:tabs>
        <w:spacing w:line="120" w:lineRule="exact"/>
        <w:ind w:left="288" w:hanging="288"/>
        <w:rPr>
          <w:sz w:val="10"/>
          <w:lang w:eastAsia="es-ES"/>
        </w:rPr>
      </w:pPr>
      <w:bookmarkStart w:id="125" w:name="_Toc348513747"/>
      <w:bookmarkStart w:id="126" w:name="_Toc349720613"/>
      <w:bookmarkStart w:id="127" w:name="_Toc360096851"/>
    </w:p>
    <w:p w:rsidR="0038237D" w:rsidRPr="00530C34" w:rsidRDefault="001D4FED" w:rsidP="001D4FED">
      <w:pPr>
        <w:pStyle w:val="FootnoteText"/>
        <w:tabs>
          <w:tab w:val="clear" w:pos="418"/>
          <w:tab w:val="right" w:pos="216"/>
          <w:tab w:val="left" w:pos="288"/>
          <w:tab w:val="right" w:pos="576"/>
          <w:tab w:val="left" w:pos="648"/>
        </w:tabs>
        <w:ind w:left="288" w:hanging="288"/>
        <w:rPr>
          <w:lang w:eastAsia="es-ES"/>
        </w:rPr>
      </w:pPr>
      <w:r>
        <w:rPr>
          <w:lang w:eastAsia="es-ES"/>
        </w:rPr>
        <w:tab/>
      </w:r>
      <w:r>
        <w:rPr>
          <w:lang w:eastAsia="es-ES"/>
        </w:rPr>
        <w:tab/>
      </w:r>
      <w:r w:rsidR="0038237D" w:rsidRPr="00530C34">
        <w:rPr>
          <w:lang w:eastAsia="es-ES"/>
        </w:rPr>
        <w:t>Los posdoctorados no se incluyen en el año 2000.</w:t>
      </w:r>
    </w:p>
    <w:bookmarkEnd w:id="125"/>
    <w:bookmarkEnd w:id="126"/>
    <w:bookmarkEnd w:id="127"/>
    <w:p w:rsidR="00CC062C" w:rsidRPr="00CC062C" w:rsidRDefault="00CC062C" w:rsidP="00CC062C">
      <w:pPr>
        <w:pStyle w:val="FootnoteText"/>
        <w:tabs>
          <w:tab w:val="clear" w:pos="418"/>
          <w:tab w:val="right" w:pos="216"/>
          <w:tab w:val="left" w:pos="288"/>
          <w:tab w:val="right" w:pos="576"/>
          <w:tab w:val="left" w:pos="648"/>
        </w:tabs>
        <w:spacing w:line="120" w:lineRule="exact"/>
        <w:ind w:left="288" w:hanging="288"/>
        <w:rPr>
          <w:sz w:val="10"/>
          <w:lang w:eastAsia="es-ES"/>
        </w:rPr>
      </w:pPr>
    </w:p>
    <w:p w:rsidR="0038237D" w:rsidRPr="00530C34" w:rsidRDefault="001D4FED" w:rsidP="001D4FED">
      <w:pPr>
        <w:pStyle w:val="FootnoteText"/>
        <w:tabs>
          <w:tab w:val="clear" w:pos="418"/>
          <w:tab w:val="right" w:pos="216"/>
          <w:tab w:val="left" w:pos="288"/>
          <w:tab w:val="right" w:pos="576"/>
          <w:tab w:val="left" w:pos="648"/>
        </w:tabs>
        <w:ind w:left="288" w:hanging="288"/>
        <w:rPr>
          <w:lang w:eastAsia="es-ES"/>
        </w:rPr>
      </w:pPr>
      <w:r>
        <w:rPr>
          <w:lang w:eastAsia="es-ES"/>
        </w:rPr>
        <w:tab/>
      </w:r>
      <w:r>
        <w:rPr>
          <w:lang w:eastAsia="es-ES"/>
        </w:rPr>
        <w:tab/>
      </w:r>
      <w:r w:rsidR="0038237D" w:rsidRPr="001D4FED">
        <w:rPr>
          <w:i/>
          <w:lang w:eastAsia="es-ES"/>
        </w:rPr>
        <w:t>Fuente</w:t>
      </w:r>
      <w:r w:rsidR="0038237D" w:rsidRPr="00530C34">
        <w:rPr>
          <w:lang w:eastAsia="es-ES"/>
        </w:rPr>
        <w:t>: Ministerio de Ciencia, Innovación y Educación Superior.</w:t>
      </w:r>
    </w:p>
    <w:p w:rsidR="001D4FED" w:rsidRPr="001D4FED" w:rsidRDefault="001D4FED" w:rsidP="001D4FED">
      <w:pPr>
        <w:pStyle w:val="SingleTxt"/>
        <w:suppressAutoHyphens/>
        <w:spacing w:after="0" w:line="120" w:lineRule="exact"/>
        <w:rPr>
          <w:sz w:val="10"/>
          <w:lang w:val="es-ES_tradnl"/>
        </w:rPr>
      </w:pPr>
    </w:p>
    <w:p w:rsidR="001D4FED" w:rsidRPr="001D4FED" w:rsidRDefault="001D4FED" w:rsidP="001D4FED">
      <w:pPr>
        <w:pStyle w:val="SingleTxt"/>
        <w:suppressAutoHyphens/>
        <w:spacing w:after="0" w:line="120" w:lineRule="exact"/>
        <w:rPr>
          <w:sz w:val="10"/>
          <w:lang w:val="es-ES_tradnl"/>
        </w:rPr>
      </w:pPr>
    </w:p>
    <w:p w:rsidR="0038237D" w:rsidRPr="00EA0AB9" w:rsidRDefault="0038237D" w:rsidP="00CC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CC062C">
        <w:rPr>
          <w:lang w:val="es-ES_tradnl"/>
        </w:rPr>
        <w:tab/>
      </w:r>
      <w:r w:rsidRPr="00EA0AB9">
        <w:rPr>
          <w:lang w:val="es-ES_tradnl"/>
        </w:rPr>
        <w:t>Financiación de la investigación</w:t>
      </w:r>
    </w:p>
    <w:p w:rsidR="001D4FED" w:rsidRPr="001D4FED" w:rsidRDefault="001D4FED" w:rsidP="001D4FED">
      <w:pPr>
        <w:pStyle w:val="SingleTxtG"/>
        <w:spacing w:after="0" w:line="120" w:lineRule="exact"/>
        <w:rPr>
          <w:sz w:val="10"/>
          <w:lang w:val="es-ES_tradnl"/>
        </w:rPr>
      </w:pPr>
    </w:p>
    <w:p w:rsidR="0038237D" w:rsidRPr="00EA0AB9" w:rsidRDefault="001D4FED" w:rsidP="00CC062C">
      <w:pPr>
        <w:pStyle w:val="SingleTxt"/>
        <w:suppressAutoHyphens/>
        <w:rPr>
          <w:lang w:val="es-ES_tradnl"/>
        </w:rPr>
      </w:pPr>
      <w:r>
        <w:rPr>
          <w:lang w:val="es-ES_tradnl"/>
        </w:rPr>
        <w:tab/>
      </w:r>
      <w:r w:rsidR="0038237D" w:rsidRPr="00EA0AB9">
        <w:rPr>
          <w:lang w:val="es-ES_tradnl"/>
        </w:rPr>
        <w:t xml:space="preserve">De 2008 a 2009, el Consejo Danés de Investigación Independiente dispuso de un instrumento denominado </w:t>
      </w:r>
      <w:r w:rsidR="00C90CF0">
        <w:rPr>
          <w:lang w:val="es-ES_tradnl"/>
        </w:rPr>
        <w:t>“</w:t>
      </w:r>
      <w:r w:rsidR="0038237D" w:rsidRPr="00EA0AB9">
        <w:rPr>
          <w:lang w:val="es-ES_tradnl"/>
        </w:rPr>
        <w:t>Mujeres líderes en investigación</w:t>
      </w:r>
      <w:r w:rsidR="00C90CF0">
        <w:rPr>
          <w:lang w:val="es-ES_tradnl"/>
        </w:rPr>
        <w:t>”</w:t>
      </w:r>
      <w:r w:rsidR="0038237D" w:rsidRPr="00EA0AB9">
        <w:rPr>
          <w:lang w:val="es-ES_tradnl"/>
        </w:rPr>
        <w:t>. Dicho instrumento iba dirigido a las mujeres de la categoría de profesor asociado, como mínimo. Después de esta iniciativa, el Consejo decidió centrarse en iniciativas dirigidas a las mujeres investigadoras en el programa Sapere Aude. La finalidad del programa es consolidar a los investigadores con talento, alentar a más mujeres a que se conviertan en líderes en investigación y también capacitar a los investigadores daneses para que puedan optar a las subvenciones europeas para investigadores de élite. El programa se puso en marcha en 2010 y continuará en 2013.</w:t>
      </w:r>
    </w:p>
    <w:p w:rsidR="0038237D" w:rsidRPr="00EA0AB9" w:rsidRDefault="0038237D" w:rsidP="00CC062C">
      <w:pPr>
        <w:pStyle w:val="SingleTxt"/>
        <w:suppressAutoHyphens/>
        <w:rPr>
          <w:lang w:val="es-ES_tradnl"/>
        </w:rPr>
      </w:pPr>
      <w:r w:rsidRPr="00EA0AB9">
        <w:rPr>
          <w:lang w:val="es-ES_tradnl"/>
        </w:rPr>
        <w:t>En marzo de 2013, el Consejo Danés de Investigación Independiente organizará una conferencia para los miembros del Consejo.</w:t>
      </w:r>
      <w:r>
        <w:rPr>
          <w:lang w:val="es-ES_tradnl"/>
        </w:rPr>
        <w:t xml:space="preserve"> </w:t>
      </w:r>
      <w:r w:rsidRPr="00EA0AB9">
        <w:rPr>
          <w:lang w:val="es-ES_tradnl"/>
        </w:rPr>
        <w:t xml:space="preserve">El tema de la conferencia es </w:t>
      </w:r>
      <w:r w:rsidR="00C90CF0">
        <w:rPr>
          <w:lang w:val="es-ES_tradnl"/>
        </w:rPr>
        <w:t>“</w:t>
      </w:r>
      <w:r w:rsidRPr="00EA0AB9">
        <w:rPr>
          <w:lang w:val="es-ES_tradnl"/>
        </w:rPr>
        <w:t>El género en la investigación</w:t>
      </w:r>
      <w:r w:rsidR="00C90CF0">
        <w:rPr>
          <w:lang w:val="es-ES_tradnl"/>
        </w:rPr>
        <w:t>”</w:t>
      </w:r>
      <w:r w:rsidRPr="00EA0AB9">
        <w:rPr>
          <w:lang w:val="es-ES_tradnl"/>
        </w:rPr>
        <w:t>. Uno de los elementos de esta conferencia es el seguimiento de las iniciativas del Consejo para las mujeres investigadoras durante el último decenio.</w:t>
      </w:r>
    </w:p>
    <w:p w:rsidR="005F6E6E" w:rsidRPr="005F6E6E" w:rsidRDefault="005F6E6E" w:rsidP="005F6E6E">
      <w:pPr>
        <w:pStyle w:val="SingleTxt"/>
        <w:suppressAutoHyphens/>
        <w:spacing w:after="0" w:line="120" w:lineRule="exact"/>
        <w:rPr>
          <w:sz w:val="10"/>
          <w:lang w:val="es-ES_tradnl" w:eastAsia="es-ES"/>
        </w:rPr>
      </w:pPr>
    </w:p>
    <w:p w:rsidR="005F6E6E" w:rsidRPr="005F6E6E" w:rsidRDefault="005F6E6E" w:rsidP="005F6E6E">
      <w:pPr>
        <w:pStyle w:val="SingleTxt"/>
        <w:suppressAutoHyphens/>
        <w:spacing w:after="0" w:line="120" w:lineRule="exact"/>
        <w:rPr>
          <w:sz w:val="10"/>
          <w:lang w:val="es-ES_tradnl" w:eastAsia="es-ES"/>
        </w:rPr>
      </w:pPr>
    </w:p>
    <w:p w:rsidR="0038237D" w:rsidRPr="005F6E6E" w:rsidRDefault="001D4FED" w:rsidP="005F6E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eastAsia="es-ES"/>
        </w:rPr>
      </w:pPr>
      <w:r>
        <w:rPr>
          <w:lang w:val="es-ES_tradnl" w:eastAsia="es-ES"/>
        </w:rPr>
        <w:tab/>
      </w:r>
      <w:r>
        <w:rPr>
          <w:lang w:val="es-ES_tradnl" w:eastAsia="es-ES"/>
        </w:rPr>
        <w:tab/>
      </w:r>
      <w:r w:rsidR="0038237D" w:rsidRPr="005F6E6E">
        <w:rPr>
          <w:b w:val="0"/>
          <w:lang w:val="es-ES_tradnl" w:eastAsia="es-ES"/>
        </w:rPr>
        <w:t>Cuadro 4</w:t>
      </w:r>
    </w:p>
    <w:p w:rsidR="0038237D" w:rsidRPr="00530C34" w:rsidRDefault="001D4FED" w:rsidP="001D4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Pr>
          <w:lang w:val="es-ES_tradnl" w:eastAsia="es-ES"/>
        </w:rPr>
        <w:tab/>
      </w:r>
      <w:r>
        <w:rPr>
          <w:lang w:val="es-ES_tradnl" w:eastAsia="es-ES"/>
        </w:rPr>
        <w:tab/>
      </w:r>
      <w:r w:rsidR="0038237D" w:rsidRPr="00530C34">
        <w:rPr>
          <w:lang w:val="es-ES_tradnl" w:eastAsia="es-ES"/>
        </w:rPr>
        <w:t>Tasas de éxito por género, 2005-2009 (porcentaje)</w:t>
      </w:r>
    </w:p>
    <w:p w:rsidR="001D4FED" w:rsidRPr="001D4FED" w:rsidRDefault="001D4FED" w:rsidP="001D4FED">
      <w:pPr>
        <w:pStyle w:val="SingleTxtG"/>
        <w:spacing w:after="0" w:line="120" w:lineRule="exact"/>
        <w:rPr>
          <w:sz w:val="10"/>
          <w:lang w:val="es-ES_tradnl" w:eastAsia="es-ES"/>
        </w:rPr>
      </w:pPr>
    </w:p>
    <w:p w:rsidR="001D4FED" w:rsidRPr="001D4FED" w:rsidRDefault="001D4FED" w:rsidP="001D4FED">
      <w:pPr>
        <w:pStyle w:val="SingleTxtG"/>
        <w:spacing w:after="0" w:line="120" w:lineRule="exact"/>
        <w:rPr>
          <w:sz w:val="10"/>
          <w:lang w:val="es-ES_tradnl" w:eastAsia="es-ES"/>
        </w:rPr>
      </w:pPr>
    </w:p>
    <w:tbl>
      <w:tblPr>
        <w:tblW w:w="8590" w:type="dxa"/>
        <w:tblInd w:w="1267" w:type="dxa"/>
        <w:tblBorders>
          <w:top w:val="single" w:sz="4" w:space="0" w:color="auto"/>
        </w:tblBorders>
        <w:tblLayout w:type="fixed"/>
        <w:tblCellMar>
          <w:left w:w="0" w:type="dxa"/>
          <w:right w:w="0" w:type="dxa"/>
        </w:tblCellMar>
        <w:tblLook w:val="00A0"/>
      </w:tblPr>
      <w:tblGrid>
        <w:gridCol w:w="3206"/>
        <w:gridCol w:w="1064"/>
        <w:gridCol w:w="576"/>
        <w:gridCol w:w="567"/>
        <w:gridCol w:w="567"/>
        <w:gridCol w:w="621"/>
        <w:gridCol w:w="522"/>
        <w:gridCol w:w="693"/>
        <w:gridCol w:w="774"/>
      </w:tblGrid>
      <w:tr w:rsidR="0038237D" w:rsidRPr="001D4FED" w:rsidTr="001D4FED">
        <w:trPr>
          <w:trHeight w:val="270"/>
          <w:tblHeader/>
        </w:trPr>
        <w:tc>
          <w:tcPr>
            <w:tcW w:w="3206" w:type="dxa"/>
            <w:tcBorders>
              <w:top w:val="single" w:sz="4" w:space="0" w:color="auto"/>
              <w:bottom w:val="single" w:sz="12" w:space="0" w:color="auto"/>
            </w:tcBorders>
            <w:shd w:val="clear" w:color="auto" w:fill="auto"/>
            <w:noWrap/>
            <w:vAlign w:val="bottom"/>
          </w:tcPr>
          <w:p w:rsidR="0038237D" w:rsidRPr="001D4FED" w:rsidRDefault="0038237D" w:rsidP="0038237D">
            <w:pPr>
              <w:suppressAutoHyphens w:val="0"/>
              <w:spacing w:before="80" w:after="80" w:line="200" w:lineRule="exact"/>
              <w:rPr>
                <w:sz w:val="14"/>
                <w:szCs w:val="14"/>
                <w:lang w:val="es-ES_tradnl"/>
              </w:rPr>
            </w:pPr>
            <w:r w:rsidRPr="001D4FED">
              <w:rPr>
                <w:i/>
                <w:sz w:val="14"/>
                <w:szCs w:val="14"/>
                <w:lang w:val="es-ES_tradnl"/>
              </w:rPr>
              <w:t>Consejo Danés de Investigación Independiente</w:t>
            </w:r>
            <w:r w:rsidRPr="001D4FED">
              <w:rPr>
                <w:b/>
                <w:i/>
                <w:sz w:val="14"/>
                <w:szCs w:val="14"/>
                <w:lang w:val="es-ES_tradnl"/>
              </w:rPr>
              <w:t xml:space="preserve"> </w:t>
            </w:r>
          </w:p>
        </w:tc>
        <w:tc>
          <w:tcPr>
            <w:tcW w:w="1064" w:type="dxa"/>
            <w:tcBorders>
              <w:top w:val="single" w:sz="4" w:space="0" w:color="auto"/>
              <w:bottom w:val="single" w:sz="12" w:space="0" w:color="auto"/>
            </w:tcBorders>
            <w:shd w:val="clear" w:color="auto" w:fill="auto"/>
            <w:noWrap/>
            <w:vAlign w:val="bottom"/>
          </w:tcPr>
          <w:p w:rsidR="0038237D" w:rsidRPr="001D4FED" w:rsidRDefault="0038237D" w:rsidP="00CC062C">
            <w:pPr>
              <w:suppressAutoHyphens w:val="0"/>
              <w:spacing w:before="80" w:after="80" w:line="160" w:lineRule="exact"/>
              <w:ind w:left="115"/>
              <w:rPr>
                <w:sz w:val="14"/>
                <w:szCs w:val="14"/>
                <w:lang w:val="es-ES_tradnl"/>
              </w:rPr>
            </w:pPr>
            <w:r w:rsidRPr="001D4FED">
              <w:rPr>
                <w:i/>
                <w:sz w:val="14"/>
                <w:szCs w:val="14"/>
                <w:lang w:val="es-ES_tradnl"/>
              </w:rPr>
              <w:t xml:space="preserve">Solicitante </w:t>
            </w:r>
            <w:r w:rsidR="001D4FED" w:rsidRPr="001D4FED">
              <w:rPr>
                <w:i/>
                <w:sz w:val="14"/>
                <w:szCs w:val="14"/>
                <w:lang w:val="es-ES_tradnl"/>
              </w:rPr>
              <w:br/>
            </w:r>
            <w:r w:rsidRPr="001D4FED">
              <w:rPr>
                <w:i/>
                <w:sz w:val="14"/>
                <w:szCs w:val="14"/>
                <w:lang w:val="es-ES_tradnl"/>
              </w:rPr>
              <w:t>principal</w:t>
            </w:r>
          </w:p>
        </w:tc>
        <w:tc>
          <w:tcPr>
            <w:tcW w:w="576" w:type="dxa"/>
            <w:tcBorders>
              <w:top w:val="single" w:sz="4" w:space="0" w:color="auto"/>
              <w:bottom w:val="single" w:sz="12" w:space="0" w:color="auto"/>
            </w:tcBorders>
            <w:shd w:val="clear" w:color="auto" w:fill="auto"/>
            <w:noWrap/>
            <w:vAlign w:val="bottom"/>
          </w:tcPr>
          <w:p w:rsidR="0038237D" w:rsidRPr="001D4FED" w:rsidRDefault="0038237D" w:rsidP="001D4FED">
            <w:pPr>
              <w:suppressAutoHyphens w:val="0"/>
              <w:spacing w:before="80" w:after="80" w:line="200" w:lineRule="exact"/>
              <w:ind w:left="113" w:right="43"/>
              <w:jc w:val="right"/>
              <w:rPr>
                <w:bCs/>
                <w:i/>
                <w:sz w:val="14"/>
                <w:szCs w:val="14"/>
                <w:lang w:val="es-ES_tradnl"/>
              </w:rPr>
            </w:pPr>
            <w:r w:rsidRPr="001D4FED">
              <w:rPr>
                <w:bCs/>
                <w:i/>
                <w:sz w:val="14"/>
                <w:szCs w:val="14"/>
                <w:lang w:val="es-ES_tradnl"/>
              </w:rPr>
              <w:t>2005</w:t>
            </w:r>
          </w:p>
        </w:tc>
        <w:tc>
          <w:tcPr>
            <w:tcW w:w="567" w:type="dxa"/>
            <w:tcBorders>
              <w:top w:val="single" w:sz="4" w:space="0" w:color="auto"/>
              <w:bottom w:val="single" w:sz="12" w:space="0" w:color="auto"/>
            </w:tcBorders>
            <w:shd w:val="clear" w:color="auto" w:fill="auto"/>
            <w:noWrap/>
            <w:vAlign w:val="bottom"/>
          </w:tcPr>
          <w:p w:rsidR="0038237D" w:rsidRPr="001D4FED" w:rsidRDefault="0038237D" w:rsidP="001D4FED">
            <w:pPr>
              <w:suppressAutoHyphens w:val="0"/>
              <w:spacing w:before="80" w:after="80" w:line="200" w:lineRule="exact"/>
              <w:ind w:left="113" w:right="43"/>
              <w:jc w:val="right"/>
              <w:rPr>
                <w:bCs/>
                <w:i/>
                <w:sz w:val="14"/>
                <w:szCs w:val="14"/>
                <w:lang w:val="es-ES_tradnl"/>
              </w:rPr>
            </w:pPr>
            <w:r w:rsidRPr="001D4FED">
              <w:rPr>
                <w:bCs/>
                <w:i/>
                <w:sz w:val="14"/>
                <w:szCs w:val="14"/>
                <w:lang w:val="es-ES_tradnl"/>
              </w:rPr>
              <w:t>2006</w:t>
            </w:r>
          </w:p>
        </w:tc>
        <w:tc>
          <w:tcPr>
            <w:tcW w:w="567" w:type="dxa"/>
            <w:tcBorders>
              <w:top w:val="single" w:sz="4" w:space="0" w:color="auto"/>
              <w:bottom w:val="single" w:sz="12" w:space="0" w:color="auto"/>
            </w:tcBorders>
            <w:shd w:val="clear" w:color="auto" w:fill="auto"/>
            <w:noWrap/>
            <w:vAlign w:val="bottom"/>
          </w:tcPr>
          <w:p w:rsidR="0038237D" w:rsidRPr="001D4FED" w:rsidRDefault="0038237D" w:rsidP="001D4FED">
            <w:pPr>
              <w:suppressAutoHyphens w:val="0"/>
              <w:spacing w:before="80" w:after="80" w:line="200" w:lineRule="exact"/>
              <w:ind w:left="113" w:right="43"/>
              <w:jc w:val="right"/>
              <w:rPr>
                <w:bCs/>
                <w:i/>
                <w:sz w:val="14"/>
                <w:szCs w:val="14"/>
                <w:lang w:val="es-ES_tradnl"/>
              </w:rPr>
            </w:pPr>
            <w:r w:rsidRPr="001D4FED">
              <w:rPr>
                <w:bCs/>
                <w:i/>
                <w:sz w:val="14"/>
                <w:szCs w:val="14"/>
                <w:lang w:val="es-ES_tradnl"/>
              </w:rPr>
              <w:t>2007</w:t>
            </w:r>
          </w:p>
        </w:tc>
        <w:tc>
          <w:tcPr>
            <w:tcW w:w="621" w:type="dxa"/>
            <w:tcBorders>
              <w:top w:val="single" w:sz="4" w:space="0" w:color="auto"/>
              <w:bottom w:val="single" w:sz="12" w:space="0" w:color="auto"/>
            </w:tcBorders>
            <w:shd w:val="clear" w:color="auto" w:fill="auto"/>
            <w:noWrap/>
            <w:vAlign w:val="bottom"/>
          </w:tcPr>
          <w:p w:rsidR="0038237D" w:rsidRPr="001D4FED" w:rsidRDefault="0038237D" w:rsidP="001D4FED">
            <w:pPr>
              <w:suppressAutoHyphens w:val="0"/>
              <w:spacing w:before="80" w:after="80" w:line="200" w:lineRule="exact"/>
              <w:ind w:left="113" w:right="43"/>
              <w:jc w:val="right"/>
              <w:rPr>
                <w:bCs/>
                <w:i/>
                <w:sz w:val="14"/>
                <w:szCs w:val="14"/>
                <w:lang w:val="es-ES_tradnl"/>
              </w:rPr>
            </w:pPr>
            <w:r w:rsidRPr="001D4FED">
              <w:rPr>
                <w:bCs/>
                <w:i/>
                <w:sz w:val="14"/>
                <w:szCs w:val="14"/>
                <w:lang w:val="es-ES_tradnl"/>
              </w:rPr>
              <w:t>2008</w:t>
            </w:r>
          </w:p>
        </w:tc>
        <w:tc>
          <w:tcPr>
            <w:tcW w:w="522" w:type="dxa"/>
            <w:tcBorders>
              <w:top w:val="single" w:sz="4" w:space="0" w:color="auto"/>
              <w:bottom w:val="single" w:sz="12" w:space="0" w:color="auto"/>
            </w:tcBorders>
            <w:shd w:val="clear" w:color="auto" w:fill="auto"/>
            <w:noWrap/>
            <w:vAlign w:val="bottom"/>
          </w:tcPr>
          <w:p w:rsidR="0038237D" w:rsidRPr="001D4FED" w:rsidRDefault="0038237D" w:rsidP="001D4FED">
            <w:pPr>
              <w:suppressAutoHyphens w:val="0"/>
              <w:spacing w:before="80" w:after="80" w:line="200" w:lineRule="exact"/>
              <w:ind w:left="113" w:right="43"/>
              <w:jc w:val="right"/>
              <w:rPr>
                <w:bCs/>
                <w:i/>
                <w:sz w:val="14"/>
                <w:szCs w:val="14"/>
                <w:lang w:val="es-ES_tradnl"/>
              </w:rPr>
            </w:pPr>
            <w:r w:rsidRPr="001D4FED">
              <w:rPr>
                <w:bCs/>
                <w:i/>
                <w:sz w:val="14"/>
                <w:szCs w:val="14"/>
                <w:lang w:val="es-ES_tradnl"/>
              </w:rPr>
              <w:t>2009</w:t>
            </w:r>
          </w:p>
        </w:tc>
        <w:tc>
          <w:tcPr>
            <w:tcW w:w="693" w:type="dxa"/>
            <w:tcBorders>
              <w:top w:val="single" w:sz="4" w:space="0" w:color="auto"/>
              <w:bottom w:val="single" w:sz="12" w:space="0" w:color="auto"/>
            </w:tcBorders>
            <w:shd w:val="clear" w:color="auto" w:fill="auto"/>
            <w:noWrap/>
            <w:vAlign w:val="bottom"/>
          </w:tcPr>
          <w:p w:rsidR="0038237D" w:rsidRPr="001D4FED" w:rsidRDefault="0038237D" w:rsidP="001D4FED">
            <w:pPr>
              <w:suppressAutoHyphens w:val="0"/>
              <w:spacing w:before="80" w:after="80" w:line="200" w:lineRule="exact"/>
              <w:ind w:left="113" w:right="43"/>
              <w:jc w:val="right"/>
              <w:rPr>
                <w:bCs/>
                <w:i/>
                <w:sz w:val="14"/>
                <w:szCs w:val="14"/>
                <w:lang w:val="es-ES_tradnl"/>
              </w:rPr>
            </w:pPr>
            <w:r w:rsidRPr="001D4FED">
              <w:rPr>
                <w:bCs/>
                <w:i/>
                <w:sz w:val="14"/>
                <w:szCs w:val="14"/>
                <w:lang w:val="es-ES_tradnl"/>
              </w:rPr>
              <w:t>2010</w:t>
            </w:r>
          </w:p>
        </w:tc>
        <w:tc>
          <w:tcPr>
            <w:tcW w:w="774" w:type="dxa"/>
            <w:tcBorders>
              <w:top w:val="single" w:sz="4" w:space="0" w:color="auto"/>
              <w:bottom w:val="single" w:sz="12" w:space="0" w:color="auto"/>
            </w:tcBorders>
            <w:shd w:val="clear" w:color="auto" w:fill="auto"/>
            <w:noWrap/>
            <w:vAlign w:val="bottom"/>
          </w:tcPr>
          <w:p w:rsidR="0038237D" w:rsidRPr="001D4FED" w:rsidRDefault="0038237D" w:rsidP="001D4FED">
            <w:pPr>
              <w:suppressAutoHyphens w:val="0"/>
              <w:spacing w:before="80" w:after="80" w:line="200" w:lineRule="exact"/>
              <w:ind w:left="113" w:right="43"/>
              <w:jc w:val="right"/>
              <w:rPr>
                <w:bCs/>
                <w:i/>
                <w:sz w:val="14"/>
                <w:szCs w:val="14"/>
                <w:lang w:val="es-ES_tradnl"/>
              </w:rPr>
            </w:pPr>
            <w:r w:rsidRPr="001D4FED">
              <w:rPr>
                <w:bCs/>
                <w:i/>
                <w:sz w:val="14"/>
                <w:szCs w:val="14"/>
                <w:lang w:val="es-ES_tradnl"/>
              </w:rPr>
              <w:t>2011</w:t>
            </w:r>
          </w:p>
        </w:tc>
      </w:tr>
      <w:tr w:rsidR="0038237D" w:rsidRPr="001D4FED" w:rsidTr="001D4FED">
        <w:trPr>
          <w:trHeight w:val="270"/>
        </w:trPr>
        <w:tc>
          <w:tcPr>
            <w:tcW w:w="3206" w:type="dxa"/>
            <w:tcBorders>
              <w:top w:val="single" w:sz="12" w:space="0" w:color="auto"/>
            </w:tcBorders>
            <w:shd w:val="clear" w:color="auto" w:fill="auto"/>
          </w:tcPr>
          <w:p w:rsidR="0038237D" w:rsidRPr="001D4FED" w:rsidRDefault="0038237D" w:rsidP="001D4FED">
            <w:pPr>
              <w:suppressAutoHyphens w:val="0"/>
              <w:spacing w:before="40" w:after="40" w:line="210" w:lineRule="exact"/>
              <w:rPr>
                <w:sz w:val="17"/>
                <w:szCs w:val="17"/>
                <w:lang w:val="es-ES_tradnl"/>
              </w:rPr>
            </w:pPr>
            <w:r w:rsidRPr="001D4FED">
              <w:rPr>
                <w:sz w:val="17"/>
                <w:szCs w:val="17"/>
                <w:lang w:val="es-ES_tradnl"/>
              </w:rPr>
              <w:t>Tasa de éxito según el número de solicitudes*</w:t>
            </w:r>
          </w:p>
        </w:tc>
        <w:tc>
          <w:tcPr>
            <w:tcW w:w="1064" w:type="dxa"/>
            <w:tcBorders>
              <w:top w:val="single" w:sz="12" w:space="0" w:color="auto"/>
            </w:tcBorders>
            <w:shd w:val="clear" w:color="auto" w:fill="auto"/>
            <w:noWrap/>
            <w:vAlign w:val="bottom"/>
          </w:tcPr>
          <w:p w:rsidR="0038237D" w:rsidRPr="001D4FED" w:rsidRDefault="0038237D" w:rsidP="001D4FED">
            <w:pPr>
              <w:suppressAutoHyphens w:val="0"/>
              <w:spacing w:before="40" w:after="40" w:line="210" w:lineRule="exact"/>
              <w:ind w:left="113"/>
              <w:rPr>
                <w:sz w:val="17"/>
                <w:szCs w:val="17"/>
                <w:lang w:val="es-ES_tradnl"/>
              </w:rPr>
            </w:pPr>
            <w:r w:rsidRPr="001D4FED">
              <w:rPr>
                <w:sz w:val="17"/>
                <w:szCs w:val="17"/>
                <w:lang w:val="es-ES_tradnl"/>
              </w:rPr>
              <w:t>Mujeres</w:t>
            </w:r>
          </w:p>
        </w:tc>
        <w:tc>
          <w:tcPr>
            <w:tcW w:w="576" w:type="dxa"/>
            <w:tcBorders>
              <w:top w:val="single" w:sz="12" w:space="0" w:color="auto"/>
            </w:tcBorders>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32</w:t>
            </w:r>
          </w:p>
        </w:tc>
        <w:tc>
          <w:tcPr>
            <w:tcW w:w="567" w:type="dxa"/>
            <w:tcBorders>
              <w:top w:val="single" w:sz="12" w:space="0" w:color="auto"/>
            </w:tcBorders>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32</w:t>
            </w:r>
          </w:p>
        </w:tc>
        <w:tc>
          <w:tcPr>
            <w:tcW w:w="567" w:type="dxa"/>
            <w:tcBorders>
              <w:top w:val="single" w:sz="12" w:space="0" w:color="auto"/>
            </w:tcBorders>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26</w:t>
            </w:r>
          </w:p>
        </w:tc>
        <w:tc>
          <w:tcPr>
            <w:tcW w:w="621" w:type="dxa"/>
            <w:tcBorders>
              <w:top w:val="single" w:sz="12" w:space="0" w:color="auto"/>
            </w:tcBorders>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24</w:t>
            </w:r>
          </w:p>
        </w:tc>
        <w:tc>
          <w:tcPr>
            <w:tcW w:w="522" w:type="dxa"/>
            <w:tcBorders>
              <w:top w:val="single" w:sz="12" w:space="0" w:color="auto"/>
            </w:tcBorders>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16</w:t>
            </w:r>
          </w:p>
        </w:tc>
        <w:tc>
          <w:tcPr>
            <w:tcW w:w="693" w:type="dxa"/>
            <w:tcBorders>
              <w:top w:val="single" w:sz="12" w:space="0" w:color="auto"/>
            </w:tcBorders>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15</w:t>
            </w:r>
          </w:p>
        </w:tc>
        <w:tc>
          <w:tcPr>
            <w:tcW w:w="774" w:type="dxa"/>
            <w:tcBorders>
              <w:top w:val="single" w:sz="12" w:space="0" w:color="auto"/>
            </w:tcBorders>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14</w:t>
            </w:r>
          </w:p>
        </w:tc>
      </w:tr>
      <w:tr w:rsidR="0038237D" w:rsidRPr="001D4FED" w:rsidTr="001D4FED">
        <w:trPr>
          <w:trHeight w:val="270"/>
        </w:trPr>
        <w:tc>
          <w:tcPr>
            <w:tcW w:w="3206" w:type="dxa"/>
            <w:shd w:val="clear" w:color="auto" w:fill="auto"/>
          </w:tcPr>
          <w:p w:rsidR="0038237D" w:rsidRPr="001D4FED" w:rsidRDefault="0038237D" w:rsidP="001D4FED">
            <w:pPr>
              <w:suppressAutoHyphens w:val="0"/>
              <w:spacing w:before="40" w:after="40" w:line="210" w:lineRule="exact"/>
              <w:rPr>
                <w:sz w:val="17"/>
                <w:szCs w:val="17"/>
                <w:lang w:val="es-ES_tradnl"/>
              </w:rPr>
            </w:pPr>
            <w:r w:rsidRPr="001D4FED">
              <w:rPr>
                <w:sz w:val="17"/>
                <w:szCs w:val="17"/>
                <w:lang w:val="es-ES_tradnl"/>
              </w:rPr>
              <w:t> </w:t>
            </w:r>
          </w:p>
        </w:tc>
        <w:tc>
          <w:tcPr>
            <w:tcW w:w="1064" w:type="dxa"/>
            <w:shd w:val="clear" w:color="auto" w:fill="auto"/>
            <w:noWrap/>
            <w:vAlign w:val="bottom"/>
          </w:tcPr>
          <w:p w:rsidR="0038237D" w:rsidRPr="001D4FED" w:rsidRDefault="0038237D" w:rsidP="001D4FED">
            <w:pPr>
              <w:suppressAutoHyphens w:val="0"/>
              <w:spacing w:before="40" w:after="40" w:line="210" w:lineRule="exact"/>
              <w:ind w:left="113"/>
              <w:rPr>
                <w:sz w:val="17"/>
                <w:szCs w:val="17"/>
                <w:lang w:val="es-ES_tradnl"/>
              </w:rPr>
            </w:pPr>
            <w:r w:rsidRPr="001D4FED">
              <w:rPr>
                <w:sz w:val="17"/>
                <w:szCs w:val="17"/>
                <w:lang w:val="es-ES_tradnl"/>
              </w:rPr>
              <w:t>Hombres</w:t>
            </w:r>
          </w:p>
        </w:tc>
        <w:tc>
          <w:tcPr>
            <w:tcW w:w="576"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35</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40</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33</w:t>
            </w:r>
          </w:p>
        </w:tc>
        <w:tc>
          <w:tcPr>
            <w:tcW w:w="621"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32</w:t>
            </w:r>
          </w:p>
        </w:tc>
        <w:tc>
          <w:tcPr>
            <w:tcW w:w="522"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20</w:t>
            </w:r>
          </w:p>
        </w:tc>
        <w:tc>
          <w:tcPr>
            <w:tcW w:w="693"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19</w:t>
            </w:r>
          </w:p>
        </w:tc>
        <w:tc>
          <w:tcPr>
            <w:tcW w:w="774"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16</w:t>
            </w:r>
          </w:p>
        </w:tc>
      </w:tr>
      <w:tr w:rsidR="0038237D" w:rsidRPr="001D4FED" w:rsidTr="001D4FED">
        <w:trPr>
          <w:trHeight w:val="270"/>
        </w:trPr>
        <w:tc>
          <w:tcPr>
            <w:tcW w:w="3206" w:type="dxa"/>
            <w:shd w:val="clear" w:color="auto" w:fill="auto"/>
          </w:tcPr>
          <w:p w:rsidR="0038237D" w:rsidRPr="001D4FED" w:rsidRDefault="0038237D" w:rsidP="001D4FED">
            <w:pPr>
              <w:suppressAutoHyphens w:val="0"/>
              <w:spacing w:before="40" w:after="40" w:line="210" w:lineRule="exact"/>
              <w:rPr>
                <w:sz w:val="17"/>
                <w:szCs w:val="17"/>
                <w:lang w:val="es-ES_tradnl"/>
              </w:rPr>
            </w:pPr>
            <w:r w:rsidRPr="001D4FED">
              <w:rPr>
                <w:sz w:val="17"/>
                <w:szCs w:val="17"/>
                <w:lang w:val="es-ES_tradnl"/>
              </w:rPr>
              <w:t xml:space="preserve">Tasa de éxito según el importe </w:t>
            </w:r>
            <w:r w:rsidR="001D4FED" w:rsidRPr="001D4FED">
              <w:rPr>
                <w:sz w:val="17"/>
                <w:szCs w:val="17"/>
                <w:lang w:val="es-ES_tradnl"/>
              </w:rPr>
              <w:br/>
              <w:t>solicitado</w:t>
            </w:r>
            <w:r w:rsidRPr="001D4FED">
              <w:rPr>
                <w:sz w:val="17"/>
                <w:szCs w:val="17"/>
                <w:lang w:val="es-ES_tradnl"/>
              </w:rPr>
              <w:t>**</w:t>
            </w:r>
          </w:p>
        </w:tc>
        <w:tc>
          <w:tcPr>
            <w:tcW w:w="1064" w:type="dxa"/>
            <w:shd w:val="clear" w:color="auto" w:fill="auto"/>
            <w:noWrap/>
            <w:vAlign w:val="bottom"/>
          </w:tcPr>
          <w:p w:rsidR="0038237D" w:rsidRPr="001D4FED" w:rsidRDefault="0038237D" w:rsidP="001D4FED">
            <w:pPr>
              <w:suppressAutoHyphens w:val="0"/>
              <w:spacing w:before="40" w:after="40" w:line="210" w:lineRule="exact"/>
              <w:ind w:left="113"/>
              <w:rPr>
                <w:sz w:val="17"/>
                <w:szCs w:val="17"/>
                <w:lang w:val="es-ES_tradnl"/>
              </w:rPr>
            </w:pPr>
            <w:r w:rsidRPr="001D4FED">
              <w:rPr>
                <w:sz w:val="17"/>
                <w:szCs w:val="17"/>
                <w:lang w:val="es-ES_tradnl"/>
              </w:rPr>
              <w:t>Mujeres</w:t>
            </w:r>
          </w:p>
        </w:tc>
        <w:tc>
          <w:tcPr>
            <w:tcW w:w="576"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15</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17</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14</w:t>
            </w:r>
          </w:p>
        </w:tc>
        <w:tc>
          <w:tcPr>
            <w:tcW w:w="621"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12</w:t>
            </w:r>
          </w:p>
        </w:tc>
        <w:tc>
          <w:tcPr>
            <w:tcW w:w="522"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9</w:t>
            </w:r>
          </w:p>
        </w:tc>
        <w:tc>
          <w:tcPr>
            <w:tcW w:w="693"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11</w:t>
            </w:r>
          </w:p>
        </w:tc>
        <w:tc>
          <w:tcPr>
            <w:tcW w:w="774"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10</w:t>
            </w:r>
          </w:p>
        </w:tc>
      </w:tr>
      <w:tr w:rsidR="0038237D" w:rsidRPr="001D4FED" w:rsidTr="001D4FED">
        <w:trPr>
          <w:trHeight w:val="270"/>
        </w:trPr>
        <w:tc>
          <w:tcPr>
            <w:tcW w:w="3206" w:type="dxa"/>
            <w:shd w:val="clear" w:color="auto" w:fill="auto"/>
          </w:tcPr>
          <w:p w:rsidR="0038237D" w:rsidRPr="001D4FED" w:rsidRDefault="0038237D" w:rsidP="001D4FED">
            <w:pPr>
              <w:suppressAutoHyphens w:val="0"/>
              <w:spacing w:before="40" w:after="40" w:line="210" w:lineRule="exact"/>
              <w:rPr>
                <w:sz w:val="17"/>
                <w:szCs w:val="17"/>
                <w:lang w:val="es-ES_tradnl"/>
              </w:rPr>
            </w:pPr>
            <w:r w:rsidRPr="001D4FED">
              <w:rPr>
                <w:sz w:val="17"/>
                <w:szCs w:val="17"/>
                <w:lang w:val="es-ES_tradnl"/>
              </w:rPr>
              <w:t> </w:t>
            </w:r>
          </w:p>
        </w:tc>
        <w:tc>
          <w:tcPr>
            <w:tcW w:w="1064" w:type="dxa"/>
            <w:shd w:val="clear" w:color="auto" w:fill="auto"/>
            <w:noWrap/>
            <w:vAlign w:val="bottom"/>
          </w:tcPr>
          <w:p w:rsidR="0038237D" w:rsidRPr="001D4FED" w:rsidRDefault="0038237D" w:rsidP="001D4FED">
            <w:pPr>
              <w:suppressAutoHyphens w:val="0"/>
              <w:spacing w:before="40" w:after="40" w:line="210" w:lineRule="exact"/>
              <w:ind w:left="113"/>
              <w:rPr>
                <w:sz w:val="17"/>
                <w:szCs w:val="17"/>
                <w:lang w:val="es-ES_tradnl"/>
              </w:rPr>
            </w:pPr>
            <w:r w:rsidRPr="001D4FED">
              <w:rPr>
                <w:sz w:val="17"/>
                <w:szCs w:val="17"/>
                <w:lang w:val="es-ES_tradnl"/>
              </w:rPr>
              <w:t>Hombres</w:t>
            </w:r>
          </w:p>
        </w:tc>
        <w:tc>
          <w:tcPr>
            <w:tcW w:w="576"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18</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21</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19</w:t>
            </w:r>
          </w:p>
        </w:tc>
        <w:tc>
          <w:tcPr>
            <w:tcW w:w="621"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16</w:t>
            </w:r>
          </w:p>
        </w:tc>
        <w:tc>
          <w:tcPr>
            <w:tcW w:w="522"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14</w:t>
            </w:r>
          </w:p>
        </w:tc>
        <w:tc>
          <w:tcPr>
            <w:tcW w:w="693"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14</w:t>
            </w:r>
          </w:p>
        </w:tc>
        <w:tc>
          <w:tcPr>
            <w:tcW w:w="774"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14</w:t>
            </w:r>
          </w:p>
        </w:tc>
      </w:tr>
      <w:tr w:rsidR="0038237D" w:rsidRPr="001D4FED" w:rsidTr="001D4FED">
        <w:trPr>
          <w:trHeight w:val="270"/>
        </w:trPr>
        <w:tc>
          <w:tcPr>
            <w:tcW w:w="3206" w:type="dxa"/>
            <w:shd w:val="clear" w:color="auto" w:fill="auto"/>
            <w:noWrap/>
          </w:tcPr>
          <w:p w:rsidR="0038237D" w:rsidRPr="001D4FED" w:rsidRDefault="0038237D" w:rsidP="001D4FED">
            <w:pPr>
              <w:suppressAutoHyphens w:val="0"/>
              <w:spacing w:before="40" w:after="40" w:line="210" w:lineRule="exact"/>
              <w:rPr>
                <w:sz w:val="17"/>
                <w:szCs w:val="17"/>
                <w:lang w:val="es-ES_tradnl"/>
              </w:rPr>
            </w:pPr>
            <w:r w:rsidRPr="001D4FED">
              <w:rPr>
                <w:sz w:val="17"/>
                <w:szCs w:val="17"/>
                <w:lang w:val="es-ES_tradnl"/>
              </w:rPr>
              <w:t>Consejo Danés de Investigación Estratégica</w:t>
            </w:r>
            <w:r w:rsidRPr="001D4FED">
              <w:rPr>
                <w:b/>
                <w:sz w:val="17"/>
                <w:szCs w:val="17"/>
                <w:lang w:val="es-ES_tradnl"/>
              </w:rPr>
              <w:t xml:space="preserve"> </w:t>
            </w:r>
          </w:p>
        </w:tc>
        <w:tc>
          <w:tcPr>
            <w:tcW w:w="1064" w:type="dxa"/>
            <w:shd w:val="clear" w:color="auto" w:fill="auto"/>
            <w:noWrap/>
            <w:vAlign w:val="bottom"/>
          </w:tcPr>
          <w:p w:rsidR="0038237D" w:rsidRPr="001D4FED" w:rsidRDefault="0038237D" w:rsidP="001D4FED">
            <w:pPr>
              <w:suppressAutoHyphens w:val="0"/>
              <w:spacing w:before="40" w:after="40" w:line="210" w:lineRule="exact"/>
              <w:ind w:left="113"/>
              <w:rPr>
                <w:sz w:val="17"/>
                <w:szCs w:val="17"/>
                <w:lang w:val="es-ES_tradnl"/>
              </w:rPr>
            </w:pPr>
            <w:r w:rsidRPr="001D4FED">
              <w:rPr>
                <w:bCs/>
                <w:sz w:val="17"/>
                <w:szCs w:val="17"/>
                <w:lang w:val="es-ES_tradnl"/>
              </w:rPr>
              <w:t> </w:t>
            </w:r>
          </w:p>
        </w:tc>
        <w:tc>
          <w:tcPr>
            <w:tcW w:w="576"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bCs/>
                <w:sz w:val="17"/>
                <w:szCs w:val="17"/>
                <w:lang w:val="es-ES_tradnl"/>
              </w:rPr>
              <w:t> </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bCs/>
                <w:sz w:val="17"/>
                <w:szCs w:val="17"/>
                <w:lang w:val="es-ES_tradnl"/>
              </w:rPr>
              <w:t> </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bCs/>
                <w:sz w:val="17"/>
                <w:szCs w:val="17"/>
                <w:lang w:val="es-ES_tradnl"/>
              </w:rPr>
              <w:t> </w:t>
            </w:r>
          </w:p>
        </w:tc>
        <w:tc>
          <w:tcPr>
            <w:tcW w:w="621"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bCs/>
                <w:sz w:val="17"/>
                <w:szCs w:val="17"/>
                <w:lang w:val="es-ES_tradnl"/>
              </w:rPr>
              <w:t> </w:t>
            </w:r>
          </w:p>
        </w:tc>
        <w:tc>
          <w:tcPr>
            <w:tcW w:w="522"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bCs/>
                <w:sz w:val="17"/>
                <w:szCs w:val="17"/>
                <w:lang w:val="es-ES_tradnl"/>
              </w:rPr>
              <w:t> </w:t>
            </w:r>
          </w:p>
        </w:tc>
        <w:tc>
          <w:tcPr>
            <w:tcW w:w="693"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bCs/>
                <w:sz w:val="17"/>
                <w:szCs w:val="17"/>
                <w:lang w:val="es-ES_tradnl"/>
              </w:rPr>
              <w:t> </w:t>
            </w:r>
          </w:p>
        </w:tc>
        <w:tc>
          <w:tcPr>
            <w:tcW w:w="774"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bCs/>
                <w:sz w:val="17"/>
                <w:szCs w:val="17"/>
                <w:lang w:val="es-ES_tradnl"/>
              </w:rPr>
              <w:t> </w:t>
            </w:r>
          </w:p>
        </w:tc>
      </w:tr>
      <w:tr w:rsidR="0038237D" w:rsidRPr="001D4FED" w:rsidTr="001D4FED">
        <w:trPr>
          <w:trHeight w:val="270"/>
        </w:trPr>
        <w:tc>
          <w:tcPr>
            <w:tcW w:w="3206" w:type="dxa"/>
            <w:shd w:val="clear" w:color="auto" w:fill="auto"/>
          </w:tcPr>
          <w:p w:rsidR="0038237D" w:rsidRPr="001D4FED" w:rsidRDefault="0038237D" w:rsidP="00F96BFC">
            <w:pPr>
              <w:keepNext/>
              <w:keepLines/>
              <w:suppressAutoHyphens w:val="0"/>
              <w:spacing w:before="40" w:after="40" w:line="210" w:lineRule="exact"/>
              <w:rPr>
                <w:sz w:val="17"/>
                <w:szCs w:val="17"/>
                <w:lang w:val="es-ES_tradnl"/>
              </w:rPr>
            </w:pPr>
            <w:r w:rsidRPr="001D4FED">
              <w:rPr>
                <w:sz w:val="17"/>
                <w:szCs w:val="17"/>
                <w:lang w:val="es-ES_tradnl"/>
              </w:rPr>
              <w:t>Tasa de éxito según el nú</w:t>
            </w:r>
            <w:r w:rsidR="001D4FED">
              <w:rPr>
                <w:sz w:val="17"/>
                <w:szCs w:val="17"/>
                <w:lang w:val="es-ES_tradnl"/>
              </w:rPr>
              <w:t>mero de solicitudes</w:t>
            </w:r>
            <w:r w:rsidRPr="001D4FED">
              <w:rPr>
                <w:sz w:val="17"/>
                <w:szCs w:val="17"/>
                <w:lang w:val="es-ES_tradnl"/>
              </w:rPr>
              <w:t>*</w:t>
            </w:r>
          </w:p>
        </w:tc>
        <w:tc>
          <w:tcPr>
            <w:tcW w:w="1064" w:type="dxa"/>
            <w:shd w:val="clear" w:color="auto" w:fill="auto"/>
            <w:noWrap/>
            <w:vAlign w:val="bottom"/>
          </w:tcPr>
          <w:p w:rsidR="0038237D" w:rsidRPr="001D4FED" w:rsidRDefault="0038237D" w:rsidP="00F96BFC">
            <w:pPr>
              <w:keepNext/>
              <w:keepLines/>
              <w:suppressAutoHyphens w:val="0"/>
              <w:spacing w:before="40" w:after="40" w:line="210" w:lineRule="exact"/>
              <w:ind w:left="113"/>
              <w:rPr>
                <w:sz w:val="17"/>
                <w:szCs w:val="17"/>
                <w:lang w:val="es-ES_tradnl"/>
              </w:rPr>
            </w:pPr>
            <w:r w:rsidRPr="001D4FED">
              <w:rPr>
                <w:sz w:val="17"/>
                <w:szCs w:val="17"/>
                <w:lang w:val="es-ES_tradnl"/>
              </w:rPr>
              <w:t>Mujeres</w:t>
            </w:r>
          </w:p>
        </w:tc>
        <w:tc>
          <w:tcPr>
            <w:tcW w:w="576" w:type="dxa"/>
            <w:shd w:val="clear" w:color="auto" w:fill="auto"/>
            <w:noWrap/>
            <w:vAlign w:val="bottom"/>
          </w:tcPr>
          <w:p w:rsidR="0038237D" w:rsidRPr="001D4FED" w:rsidRDefault="0038237D" w:rsidP="00F96BFC">
            <w:pPr>
              <w:keepNext/>
              <w:keepLines/>
              <w:suppressAutoHyphens w:val="0"/>
              <w:spacing w:before="40" w:after="40" w:line="210" w:lineRule="exact"/>
              <w:ind w:left="113" w:right="43"/>
              <w:jc w:val="right"/>
              <w:rPr>
                <w:sz w:val="17"/>
                <w:szCs w:val="17"/>
                <w:lang w:val="es-ES_tradnl"/>
              </w:rPr>
            </w:pPr>
            <w:r w:rsidRPr="001D4FED">
              <w:rPr>
                <w:sz w:val="17"/>
                <w:szCs w:val="17"/>
                <w:lang w:val="es-ES_tradnl"/>
              </w:rPr>
              <w:t>15</w:t>
            </w:r>
          </w:p>
        </w:tc>
        <w:tc>
          <w:tcPr>
            <w:tcW w:w="567" w:type="dxa"/>
            <w:shd w:val="clear" w:color="auto" w:fill="auto"/>
            <w:noWrap/>
            <w:vAlign w:val="bottom"/>
          </w:tcPr>
          <w:p w:rsidR="0038237D" w:rsidRPr="001D4FED" w:rsidRDefault="0038237D" w:rsidP="00F96BFC">
            <w:pPr>
              <w:keepNext/>
              <w:keepLines/>
              <w:suppressAutoHyphens w:val="0"/>
              <w:spacing w:before="40" w:after="40" w:line="210" w:lineRule="exact"/>
              <w:ind w:left="113" w:right="43"/>
              <w:jc w:val="right"/>
              <w:rPr>
                <w:sz w:val="17"/>
                <w:szCs w:val="17"/>
                <w:lang w:val="es-ES_tradnl"/>
              </w:rPr>
            </w:pPr>
            <w:r w:rsidRPr="001D4FED">
              <w:rPr>
                <w:sz w:val="17"/>
                <w:szCs w:val="17"/>
                <w:lang w:val="es-ES_tradnl"/>
              </w:rPr>
              <w:t>20</w:t>
            </w:r>
          </w:p>
        </w:tc>
        <w:tc>
          <w:tcPr>
            <w:tcW w:w="567" w:type="dxa"/>
            <w:shd w:val="clear" w:color="auto" w:fill="auto"/>
            <w:noWrap/>
            <w:vAlign w:val="bottom"/>
          </w:tcPr>
          <w:p w:rsidR="0038237D" w:rsidRPr="001D4FED" w:rsidRDefault="0038237D" w:rsidP="00F96BFC">
            <w:pPr>
              <w:keepNext/>
              <w:keepLines/>
              <w:suppressAutoHyphens w:val="0"/>
              <w:spacing w:before="40" w:after="40" w:line="210" w:lineRule="exact"/>
              <w:ind w:left="113" w:right="43"/>
              <w:jc w:val="right"/>
              <w:rPr>
                <w:sz w:val="17"/>
                <w:szCs w:val="17"/>
                <w:lang w:val="es-ES_tradnl"/>
              </w:rPr>
            </w:pPr>
            <w:r w:rsidRPr="001D4FED">
              <w:rPr>
                <w:sz w:val="17"/>
                <w:szCs w:val="17"/>
                <w:lang w:val="es-ES_tradnl"/>
              </w:rPr>
              <w:t>21</w:t>
            </w:r>
          </w:p>
        </w:tc>
        <w:tc>
          <w:tcPr>
            <w:tcW w:w="621" w:type="dxa"/>
            <w:shd w:val="clear" w:color="auto" w:fill="auto"/>
            <w:noWrap/>
            <w:vAlign w:val="bottom"/>
          </w:tcPr>
          <w:p w:rsidR="0038237D" w:rsidRPr="001D4FED" w:rsidRDefault="0038237D" w:rsidP="00F96BFC">
            <w:pPr>
              <w:keepNext/>
              <w:keepLines/>
              <w:suppressAutoHyphens w:val="0"/>
              <w:spacing w:before="40" w:after="40" w:line="210" w:lineRule="exact"/>
              <w:ind w:left="113" w:right="43"/>
              <w:jc w:val="right"/>
              <w:rPr>
                <w:sz w:val="17"/>
                <w:szCs w:val="17"/>
                <w:lang w:val="es-ES_tradnl"/>
              </w:rPr>
            </w:pPr>
            <w:r w:rsidRPr="001D4FED">
              <w:rPr>
                <w:sz w:val="17"/>
                <w:szCs w:val="17"/>
                <w:lang w:val="es-ES_tradnl"/>
              </w:rPr>
              <w:t>11</w:t>
            </w:r>
          </w:p>
        </w:tc>
        <w:tc>
          <w:tcPr>
            <w:tcW w:w="522" w:type="dxa"/>
            <w:shd w:val="clear" w:color="auto" w:fill="auto"/>
            <w:noWrap/>
            <w:vAlign w:val="bottom"/>
          </w:tcPr>
          <w:p w:rsidR="0038237D" w:rsidRPr="001D4FED" w:rsidRDefault="0038237D" w:rsidP="00F96BFC">
            <w:pPr>
              <w:keepNext/>
              <w:keepLines/>
              <w:suppressAutoHyphens w:val="0"/>
              <w:spacing w:before="40" w:after="40" w:line="210" w:lineRule="exact"/>
              <w:ind w:left="113" w:right="43"/>
              <w:jc w:val="right"/>
              <w:rPr>
                <w:sz w:val="17"/>
                <w:szCs w:val="17"/>
                <w:lang w:val="es-ES_tradnl"/>
              </w:rPr>
            </w:pPr>
            <w:r w:rsidRPr="001D4FED">
              <w:rPr>
                <w:sz w:val="17"/>
                <w:szCs w:val="17"/>
                <w:lang w:val="es-ES_tradnl"/>
              </w:rPr>
              <w:t>8</w:t>
            </w:r>
          </w:p>
        </w:tc>
        <w:tc>
          <w:tcPr>
            <w:tcW w:w="693" w:type="dxa"/>
            <w:shd w:val="clear" w:color="auto" w:fill="auto"/>
            <w:noWrap/>
            <w:vAlign w:val="bottom"/>
          </w:tcPr>
          <w:p w:rsidR="0038237D" w:rsidRPr="001D4FED" w:rsidRDefault="0038237D" w:rsidP="00F96BFC">
            <w:pPr>
              <w:keepNext/>
              <w:keepLines/>
              <w:suppressAutoHyphens w:val="0"/>
              <w:spacing w:before="40" w:after="40" w:line="210" w:lineRule="exact"/>
              <w:ind w:left="113" w:right="43"/>
              <w:jc w:val="right"/>
              <w:rPr>
                <w:sz w:val="17"/>
                <w:szCs w:val="17"/>
                <w:lang w:val="es-ES_tradnl"/>
              </w:rPr>
            </w:pPr>
            <w:r w:rsidRPr="001D4FED">
              <w:rPr>
                <w:sz w:val="17"/>
                <w:szCs w:val="17"/>
                <w:lang w:val="es-ES_tradnl"/>
              </w:rPr>
              <w:t>11</w:t>
            </w:r>
          </w:p>
        </w:tc>
        <w:tc>
          <w:tcPr>
            <w:tcW w:w="774" w:type="dxa"/>
            <w:shd w:val="clear" w:color="auto" w:fill="auto"/>
            <w:noWrap/>
            <w:vAlign w:val="bottom"/>
          </w:tcPr>
          <w:p w:rsidR="0038237D" w:rsidRPr="001D4FED" w:rsidRDefault="0038237D" w:rsidP="00F96BFC">
            <w:pPr>
              <w:keepNext/>
              <w:keepLines/>
              <w:suppressAutoHyphens w:val="0"/>
              <w:spacing w:before="40" w:after="40" w:line="210" w:lineRule="exact"/>
              <w:ind w:left="113" w:right="43"/>
              <w:jc w:val="right"/>
              <w:rPr>
                <w:sz w:val="17"/>
                <w:szCs w:val="17"/>
                <w:lang w:val="es-ES_tradnl"/>
              </w:rPr>
            </w:pPr>
            <w:r w:rsidRPr="001D4FED">
              <w:rPr>
                <w:sz w:val="17"/>
                <w:szCs w:val="17"/>
                <w:lang w:val="es-ES_tradnl"/>
              </w:rPr>
              <w:t>9</w:t>
            </w:r>
          </w:p>
        </w:tc>
      </w:tr>
      <w:tr w:rsidR="0038237D" w:rsidRPr="001D4FED" w:rsidTr="001D4FED">
        <w:trPr>
          <w:trHeight w:val="270"/>
        </w:trPr>
        <w:tc>
          <w:tcPr>
            <w:tcW w:w="3206" w:type="dxa"/>
            <w:shd w:val="clear" w:color="auto" w:fill="auto"/>
          </w:tcPr>
          <w:p w:rsidR="0038237D" w:rsidRPr="001D4FED" w:rsidRDefault="0038237D" w:rsidP="001D4FED">
            <w:pPr>
              <w:suppressAutoHyphens w:val="0"/>
              <w:spacing w:before="40" w:after="40" w:line="210" w:lineRule="exact"/>
              <w:rPr>
                <w:sz w:val="17"/>
                <w:szCs w:val="17"/>
                <w:lang w:val="es-ES_tradnl"/>
              </w:rPr>
            </w:pPr>
            <w:r w:rsidRPr="001D4FED">
              <w:rPr>
                <w:sz w:val="17"/>
                <w:szCs w:val="17"/>
                <w:lang w:val="es-ES_tradnl"/>
              </w:rPr>
              <w:t> </w:t>
            </w:r>
          </w:p>
        </w:tc>
        <w:tc>
          <w:tcPr>
            <w:tcW w:w="1064" w:type="dxa"/>
            <w:shd w:val="clear" w:color="auto" w:fill="auto"/>
            <w:noWrap/>
            <w:vAlign w:val="bottom"/>
          </w:tcPr>
          <w:p w:rsidR="0038237D" w:rsidRPr="001D4FED" w:rsidRDefault="0038237D" w:rsidP="001D4FED">
            <w:pPr>
              <w:suppressAutoHyphens w:val="0"/>
              <w:spacing w:before="40" w:after="40" w:line="210" w:lineRule="exact"/>
              <w:ind w:left="113"/>
              <w:rPr>
                <w:sz w:val="17"/>
                <w:szCs w:val="17"/>
                <w:lang w:val="es-ES_tradnl"/>
              </w:rPr>
            </w:pPr>
            <w:r w:rsidRPr="001D4FED">
              <w:rPr>
                <w:sz w:val="17"/>
                <w:szCs w:val="17"/>
                <w:lang w:val="es-ES_tradnl"/>
              </w:rPr>
              <w:t>Hombres</w:t>
            </w:r>
          </w:p>
        </w:tc>
        <w:tc>
          <w:tcPr>
            <w:tcW w:w="576"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23</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21</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30</w:t>
            </w:r>
          </w:p>
        </w:tc>
        <w:tc>
          <w:tcPr>
            <w:tcW w:w="621"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20</w:t>
            </w:r>
          </w:p>
        </w:tc>
        <w:tc>
          <w:tcPr>
            <w:tcW w:w="522"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17</w:t>
            </w:r>
          </w:p>
        </w:tc>
        <w:tc>
          <w:tcPr>
            <w:tcW w:w="693"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13</w:t>
            </w:r>
          </w:p>
        </w:tc>
        <w:tc>
          <w:tcPr>
            <w:tcW w:w="774"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15</w:t>
            </w:r>
          </w:p>
        </w:tc>
      </w:tr>
      <w:tr w:rsidR="0038237D" w:rsidRPr="001D4FED" w:rsidTr="001D4FED">
        <w:trPr>
          <w:trHeight w:val="270"/>
        </w:trPr>
        <w:tc>
          <w:tcPr>
            <w:tcW w:w="3206" w:type="dxa"/>
            <w:shd w:val="clear" w:color="auto" w:fill="auto"/>
          </w:tcPr>
          <w:p w:rsidR="0038237D" w:rsidRPr="001D4FED" w:rsidRDefault="0038237D" w:rsidP="001D4FED">
            <w:pPr>
              <w:suppressAutoHyphens w:val="0"/>
              <w:spacing w:before="40" w:after="40" w:line="210" w:lineRule="exact"/>
              <w:rPr>
                <w:sz w:val="17"/>
                <w:szCs w:val="17"/>
                <w:lang w:val="es-ES_tradnl"/>
              </w:rPr>
            </w:pPr>
            <w:r w:rsidRPr="001D4FED">
              <w:rPr>
                <w:sz w:val="17"/>
                <w:szCs w:val="17"/>
                <w:lang w:val="es-ES_tradnl"/>
              </w:rPr>
              <w:t xml:space="preserve">Tasa de éxito según el importe </w:t>
            </w:r>
            <w:r w:rsidR="001D4FED" w:rsidRPr="001D4FED">
              <w:rPr>
                <w:sz w:val="17"/>
                <w:szCs w:val="17"/>
                <w:lang w:val="es-ES_tradnl"/>
              </w:rPr>
              <w:br/>
            </w:r>
            <w:r w:rsidR="001D4FED">
              <w:rPr>
                <w:sz w:val="17"/>
                <w:szCs w:val="17"/>
                <w:lang w:val="es-ES_tradnl"/>
              </w:rPr>
              <w:t>solicitado</w:t>
            </w:r>
            <w:r w:rsidRPr="001D4FED">
              <w:rPr>
                <w:sz w:val="17"/>
                <w:szCs w:val="17"/>
                <w:lang w:val="es-ES_tradnl"/>
              </w:rPr>
              <w:t>**</w:t>
            </w:r>
          </w:p>
        </w:tc>
        <w:tc>
          <w:tcPr>
            <w:tcW w:w="1064" w:type="dxa"/>
            <w:shd w:val="clear" w:color="auto" w:fill="auto"/>
            <w:noWrap/>
            <w:vAlign w:val="bottom"/>
          </w:tcPr>
          <w:p w:rsidR="0038237D" w:rsidRPr="001D4FED" w:rsidRDefault="0038237D" w:rsidP="001D4FED">
            <w:pPr>
              <w:suppressAutoHyphens w:val="0"/>
              <w:spacing w:before="40" w:after="40" w:line="210" w:lineRule="exact"/>
              <w:ind w:left="113"/>
              <w:rPr>
                <w:sz w:val="17"/>
                <w:szCs w:val="17"/>
                <w:lang w:val="es-ES_tradnl"/>
              </w:rPr>
            </w:pPr>
            <w:r w:rsidRPr="001D4FED">
              <w:rPr>
                <w:sz w:val="17"/>
                <w:szCs w:val="17"/>
                <w:lang w:val="es-ES_tradnl"/>
              </w:rPr>
              <w:t>Mujeres</w:t>
            </w:r>
          </w:p>
        </w:tc>
        <w:tc>
          <w:tcPr>
            <w:tcW w:w="576"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10</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18</w:t>
            </w:r>
          </w:p>
        </w:tc>
        <w:tc>
          <w:tcPr>
            <w:tcW w:w="567"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21</w:t>
            </w:r>
          </w:p>
        </w:tc>
        <w:tc>
          <w:tcPr>
            <w:tcW w:w="621"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12</w:t>
            </w:r>
          </w:p>
        </w:tc>
        <w:tc>
          <w:tcPr>
            <w:tcW w:w="522"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6</w:t>
            </w:r>
          </w:p>
        </w:tc>
        <w:tc>
          <w:tcPr>
            <w:tcW w:w="693"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9</w:t>
            </w:r>
          </w:p>
        </w:tc>
        <w:tc>
          <w:tcPr>
            <w:tcW w:w="774" w:type="dxa"/>
            <w:shd w:val="clear" w:color="auto" w:fill="auto"/>
            <w:noWrap/>
            <w:vAlign w:val="bottom"/>
          </w:tcPr>
          <w:p w:rsidR="0038237D" w:rsidRPr="001D4FED" w:rsidRDefault="0038237D" w:rsidP="001D4FED">
            <w:pPr>
              <w:suppressAutoHyphens w:val="0"/>
              <w:spacing w:before="40" w:after="40" w:line="210" w:lineRule="exact"/>
              <w:ind w:left="113" w:right="43"/>
              <w:jc w:val="right"/>
              <w:rPr>
                <w:sz w:val="17"/>
                <w:szCs w:val="17"/>
                <w:lang w:val="es-ES_tradnl"/>
              </w:rPr>
            </w:pPr>
            <w:r w:rsidRPr="001D4FED">
              <w:rPr>
                <w:sz w:val="17"/>
                <w:szCs w:val="17"/>
                <w:lang w:val="es-ES_tradnl"/>
              </w:rPr>
              <w:t>9</w:t>
            </w:r>
          </w:p>
        </w:tc>
      </w:tr>
      <w:tr w:rsidR="0038237D" w:rsidRPr="00530C34" w:rsidTr="001D4FED">
        <w:trPr>
          <w:trHeight w:val="270"/>
        </w:trPr>
        <w:tc>
          <w:tcPr>
            <w:tcW w:w="3206" w:type="dxa"/>
            <w:tcBorders>
              <w:bottom w:val="single" w:sz="12" w:space="0" w:color="auto"/>
            </w:tcBorders>
            <w:shd w:val="clear" w:color="auto" w:fill="auto"/>
          </w:tcPr>
          <w:p w:rsidR="0038237D" w:rsidRPr="00530C34" w:rsidRDefault="0038237D" w:rsidP="001D4FED">
            <w:pPr>
              <w:suppressAutoHyphens w:val="0"/>
              <w:spacing w:before="40" w:after="40" w:line="210" w:lineRule="exact"/>
              <w:rPr>
                <w:sz w:val="18"/>
                <w:szCs w:val="18"/>
                <w:lang w:val="es-ES_tradnl"/>
              </w:rPr>
            </w:pPr>
            <w:r w:rsidRPr="00530C34">
              <w:rPr>
                <w:sz w:val="18"/>
                <w:szCs w:val="18"/>
                <w:lang w:val="es-ES_tradnl"/>
              </w:rPr>
              <w:t> </w:t>
            </w:r>
          </w:p>
        </w:tc>
        <w:tc>
          <w:tcPr>
            <w:tcW w:w="1064" w:type="dxa"/>
            <w:tcBorders>
              <w:bottom w:val="single" w:sz="12" w:space="0" w:color="auto"/>
            </w:tcBorders>
            <w:shd w:val="clear" w:color="auto" w:fill="auto"/>
            <w:noWrap/>
            <w:vAlign w:val="bottom"/>
          </w:tcPr>
          <w:p w:rsidR="0038237D" w:rsidRPr="00530C34" w:rsidRDefault="0038237D" w:rsidP="001D4FED">
            <w:pPr>
              <w:suppressAutoHyphens w:val="0"/>
              <w:spacing w:before="40" w:after="40" w:line="210" w:lineRule="exact"/>
              <w:ind w:left="113"/>
              <w:rPr>
                <w:sz w:val="18"/>
                <w:szCs w:val="18"/>
                <w:lang w:val="es-ES_tradnl"/>
              </w:rPr>
            </w:pPr>
            <w:r w:rsidRPr="00530C34">
              <w:rPr>
                <w:sz w:val="18"/>
                <w:szCs w:val="18"/>
                <w:lang w:val="es-ES_tradnl"/>
              </w:rPr>
              <w:t>Hombres</w:t>
            </w:r>
          </w:p>
        </w:tc>
        <w:tc>
          <w:tcPr>
            <w:tcW w:w="576" w:type="dxa"/>
            <w:tcBorders>
              <w:bottom w:val="single" w:sz="12" w:space="0" w:color="auto"/>
            </w:tcBorders>
            <w:shd w:val="clear" w:color="auto" w:fill="auto"/>
            <w:noWrap/>
            <w:vAlign w:val="bottom"/>
          </w:tcPr>
          <w:p w:rsidR="0038237D" w:rsidRPr="00530C34" w:rsidRDefault="0038237D" w:rsidP="001D4FED">
            <w:pPr>
              <w:suppressAutoHyphens w:val="0"/>
              <w:spacing w:before="40" w:after="40" w:line="210" w:lineRule="exact"/>
              <w:ind w:left="113" w:right="43"/>
              <w:jc w:val="right"/>
              <w:rPr>
                <w:sz w:val="18"/>
                <w:szCs w:val="18"/>
                <w:lang w:val="es-ES_tradnl"/>
              </w:rPr>
            </w:pPr>
            <w:r w:rsidRPr="00530C34">
              <w:rPr>
                <w:sz w:val="18"/>
                <w:szCs w:val="18"/>
                <w:lang w:val="es-ES_tradnl"/>
              </w:rPr>
              <w:t>17</w:t>
            </w:r>
          </w:p>
        </w:tc>
        <w:tc>
          <w:tcPr>
            <w:tcW w:w="567" w:type="dxa"/>
            <w:tcBorders>
              <w:bottom w:val="single" w:sz="12" w:space="0" w:color="auto"/>
            </w:tcBorders>
            <w:shd w:val="clear" w:color="auto" w:fill="auto"/>
            <w:noWrap/>
            <w:vAlign w:val="bottom"/>
          </w:tcPr>
          <w:p w:rsidR="0038237D" w:rsidRPr="00530C34" w:rsidRDefault="0038237D" w:rsidP="001D4FED">
            <w:pPr>
              <w:suppressAutoHyphens w:val="0"/>
              <w:spacing w:before="40" w:after="40" w:line="210" w:lineRule="exact"/>
              <w:ind w:left="113" w:right="43"/>
              <w:jc w:val="right"/>
              <w:rPr>
                <w:sz w:val="18"/>
                <w:szCs w:val="18"/>
                <w:lang w:val="es-ES_tradnl"/>
              </w:rPr>
            </w:pPr>
            <w:r w:rsidRPr="00530C34">
              <w:rPr>
                <w:sz w:val="18"/>
                <w:szCs w:val="18"/>
                <w:lang w:val="es-ES_tradnl"/>
              </w:rPr>
              <w:t>17</w:t>
            </w:r>
          </w:p>
        </w:tc>
        <w:tc>
          <w:tcPr>
            <w:tcW w:w="567" w:type="dxa"/>
            <w:tcBorders>
              <w:bottom w:val="single" w:sz="12" w:space="0" w:color="auto"/>
            </w:tcBorders>
            <w:shd w:val="clear" w:color="auto" w:fill="auto"/>
            <w:noWrap/>
            <w:vAlign w:val="bottom"/>
          </w:tcPr>
          <w:p w:rsidR="0038237D" w:rsidRPr="00530C34" w:rsidRDefault="0038237D" w:rsidP="001D4FED">
            <w:pPr>
              <w:suppressAutoHyphens w:val="0"/>
              <w:spacing w:before="40" w:after="40" w:line="210" w:lineRule="exact"/>
              <w:ind w:left="113" w:right="43"/>
              <w:jc w:val="right"/>
              <w:rPr>
                <w:sz w:val="18"/>
                <w:szCs w:val="18"/>
                <w:lang w:val="es-ES_tradnl"/>
              </w:rPr>
            </w:pPr>
            <w:r w:rsidRPr="00530C34">
              <w:rPr>
                <w:sz w:val="18"/>
                <w:szCs w:val="18"/>
                <w:lang w:val="es-ES_tradnl"/>
              </w:rPr>
              <w:t>26</w:t>
            </w:r>
          </w:p>
        </w:tc>
        <w:tc>
          <w:tcPr>
            <w:tcW w:w="621" w:type="dxa"/>
            <w:tcBorders>
              <w:bottom w:val="single" w:sz="12" w:space="0" w:color="auto"/>
            </w:tcBorders>
            <w:shd w:val="clear" w:color="auto" w:fill="auto"/>
            <w:noWrap/>
            <w:vAlign w:val="bottom"/>
          </w:tcPr>
          <w:p w:rsidR="0038237D" w:rsidRPr="00530C34" w:rsidRDefault="0038237D" w:rsidP="001D4FED">
            <w:pPr>
              <w:suppressAutoHyphens w:val="0"/>
              <w:spacing w:before="40" w:after="40" w:line="210" w:lineRule="exact"/>
              <w:ind w:left="113" w:right="43"/>
              <w:jc w:val="right"/>
              <w:rPr>
                <w:sz w:val="18"/>
                <w:szCs w:val="18"/>
                <w:lang w:val="es-ES_tradnl"/>
              </w:rPr>
            </w:pPr>
            <w:r w:rsidRPr="00530C34">
              <w:rPr>
                <w:sz w:val="18"/>
                <w:szCs w:val="18"/>
                <w:lang w:val="es-ES_tradnl"/>
              </w:rPr>
              <w:t>20</w:t>
            </w:r>
          </w:p>
        </w:tc>
        <w:tc>
          <w:tcPr>
            <w:tcW w:w="522" w:type="dxa"/>
            <w:tcBorders>
              <w:bottom w:val="single" w:sz="12" w:space="0" w:color="auto"/>
            </w:tcBorders>
            <w:shd w:val="clear" w:color="auto" w:fill="auto"/>
            <w:noWrap/>
            <w:vAlign w:val="bottom"/>
          </w:tcPr>
          <w:p w:rsidR="0038237D" w:rsidRPr="00530C34" w:rsidRDefault="0038237D" w:rsidP="001D4FED">
            <w:pPr>
              <w:suppressAutoHyphens w:val="0"/>
              <w:spacing w:before="40" w:after="40" w:line="210" w:lineRule="exact"/>
              <w:ind w:left="113" w:right="43"/>
              <w:jc w:val="right"/>
              <w:rPr>
                <w:sz w:val="18"/>
                <w:szCs w:val="18"/>
                <w:lang w:val="es-ES_tradnl"/>
              </w:rPr>
            </w:pPr>
            <w:r w:rsidRPr="00530C34">
              <w:rPr>
                <w:sz w:val="18"/>
                <w:szCs w:val="18"/>
                <w:lang w:val="es-ES_tradnl"/>
              </w:rPr>
              <w:t>19</w:t>
            </w:r>
          </w:p>
        </w:tc>
        <w:tc>
          <w:tcPr>
            <w:tcW w:w="693" w:type="dxa"/>
            <w:tcBorders>
              <w:bottom w:val="single" w:sz="12" w:space="0" w:color="auto"/>
            </w:tcBorders>
            <w:shd w:val="clear" w:color="auto" w:fill="auto"/>
            <w:noWrap/>
            <w:vAlign w:val="bottom"/>
          </w:tcPr>
          <w:p w:rsidR="0038237D" w:rsidRPr="00530C34" w:rsidRDefault="0038237D" w:rsidP="001D4FED">
            <w:pPr>
              <w:suppressAutoHyphens w:val="0"/>
              <w:spacing w:before="40" w:after="40" w:line="210" w:lineRule="exact"/>
              <w:ind w:left="113" w:right="43"/>
              <w:jc w:val="right"/>
              <w:rPr>
                <w:sz w:val="18"/>
                <w:szCs w:val="18"/>
                <w:lang w:val="es-ES_tradnl"/>
              </w:rPr>
            </w:pPr>
            <w:r w:rsidRPr="00530C34">
              <w:rPr>
                <w:sz w:val="18"/>
                <w:szCs w:val="18"/>
                <w:lang w:val="es-ES_tradnl"/>
              </w:rPr>
              <w:t>15</w:t>
            </w:r>
          </w:p>
        </w:tc>
        <w:tc>
          <w:tcPr>
            <w:tcW w:w="774" w:type="dxa"/>
            <w:tcBorders>
              <w:bottom w:val="single" w:sz="12" w:space="0" w:color="auto"/>
            </w:tcBorders>
            <w:shd w:val="clear" w:color="auto" w:fill="auto"/>
            <w:noWrap/>
            <w:vAlign w:val="bottom"/>
          </w:tcPr>
          <w:p w:rsidR="0038237D" w:rsidRPr="00530C34" w:rsidRDefault="0038237D" w:rsidP="001D4FED">
            <w:pPr>
              <w:suppressAutoHyphens w:val="0"/>
              <w:spacing w:before="40" w:after="40" w:line="210" w:lineRule="exact"/>
              <w:ind w:left="113" w:right="43"/>
              <w:jc w:val="right"/>
              <w:rPr>
                <w:sz w:val="18"/>
                <w:szCs w:val="18"/>
                <w:lang w:val="es-ES_tradnl"/>
              </w:rPr>
            </w:pPr>
            <w:r w:rsidRPr="00530C34">
              <w:rPr>
                <w:sz w:val="18"/>
                <w:szCs w:val="18"/>
                <w:lang w:val="es-ES_tradnl"/>
              </w:rPr>
              <w:t>14</w:t>
            </w:r>
          </w:p>
        </w:tc>
      </w:tr>
    </w:tbl>
    <w:p w:rsidR="001D4FED" w:rsidRPr="001D4FED" w:rsidRDefault="001D4FED" w:rsidP="001D4FED">
      <w:pPr>
        <w:pStyle w:val="FootnoteText"/>
        <w:tabs>
          <w:tab w:val="clear" w:pos="418"/>
          <w:tab w:val="right" w:pos="1476"/>
          <w:tab w:val="left" w:pos="1548"/>
          <w:tab w:val="right" w:pos="1836"/>
          <w:tab w:val="left" w:pos="1908"/>
        </w:tabs>
        <w:spacing w:line="120" w:lineRule="exact"/>
        <w:ind w:left="1548" w:hanging="288"/>
        <w:rPr>
          <w:sz w:val="10"/>
          <w:lang w:eastAsia="es-ES"/>
        </w:rPr>
      </w:pPr>
      <w:bookmarkStart w:id="128" w:name="_Toc199929078"/>
      <w:bookmarkStart w:id="129" w:name="_Toc348513748"/>
      <w:bookmarkStart w:id="130" w:name="_Toc349720614"/>
      <w:bookmarkStart w:id="131" w:name="_Toc360096852"/>
    </w:p>
    <w:p w:rsidR="001D4FED" w:rsidRPr="00522030" w:rsidRDefault="001D4FED" w:rsidP="001D4FED">
      <w:pPr>
        <w:pStyle w:val="FootnoteText"/>
        <w:tabs>
          <w:tab w:val="clear" w:pos="418"/>
          <w:tab w:val="right" w:pos="1476"/>
          <w:tab w:val="left" w:pos="1548"/>
          <w:tab w:val="right" w:pos="1836"/>
          <w:tab w:val="left" w:pos="1908"/>
        </w:tabs>
        <w:ind w:left="1548" w:hanging="288"/>
        <w:rPr>
          <w:lang w:eastAsia="es-ES"/>
        </w:rPr>
      </w:pPr>
      <w:r w:rsidRPr="00522030">
        <w:rPr>
          <w:i/>
          <w:lang w:eastAsia="es-ES"/>
        </w:rPr>
        <w:t xml:space="preserve">Fuente: </w:t>
      </w:r>
      <w:r w:rsidRPr="00522030">
        <w:rPr>
          <w:lang w:eastAsia="es-ES"/>
        </w:rPr>
        <w:t>Ministerio de Ciencia, Innovación y Educación Superior.</w:t>
      </w:r>
    </w:p>
    <w:p w:rsidR="001D4FED" w:rsidRPr="001D4FED" w:rsidRDefault="001D4FED" w:rsidP="001D4FED">
      <w:pPr>
        <w:pStyle w:val="SingleTxt"/>
        <w:suppressAutoHyphens/>
        <w:spacing w:after="0" w:line="120" w:lineRule="exact"/>
        <w:rPr>
          <w:sz w:val="10"/>
          <w:lang w:eastAsia="es-ES"/>
        </w:rPr>
      </w:pPr>
    </w:p>
    <w:p w:rsidR="0038237D" w:rsidRPr="00522030" w:rsidRDefault="001D4FED" w:rsidP="001D4FED">
      <w:pPr>
        <w:pStyle w:val="FootnoteText"/>
        <w:tabs>
          <w:tab w:val="clear" w:pos="418"/>
          <w:tab w:val="right" w:pos="1476"/>
          <w:tab w:val="left" w:pos="1548"/>
          <w:tab w:val="right" w:pos="1836"/>
          <w:tab w:val="left" w:pos="1908"/>
        </w:tabs>
        <w:ind w:left="1548" w:hanging="288"/>
        <w:rPr>
          <w:lang w:eastAsia="es-ES"/>
        </w:rPr>
      </w:pPr>
      <w:r>
        <w:rPr>
          <w:lang w:eastAsia="es-ES"/>
        </w:rPr>
        <w:tab/>
      </w:r>
      <w:r w:rsidRPr="00522030">
        <w:rPr>
          <w:lang w:eastAsia="es-ES"/>
        </w:rPr>
        <w:t>*</w:t>
      </w:r>
      <w:r>
        <w:rPr>
          <w:lang w:eastAsia="es-ES"/>
        </w:rPr>
        <w:tab/>
      </w:r>
      <w:r w:rsidR="0038237D" w:rsidRPr="00522030">
        <w:rPr>
          <w:lang w:eastAsia="es-ES"/>
        </w:rPr>
        <w:t>Número de subsidios dividido por el número de solicitudes</w:t>
      </w:r>
      <w:r>
        <w:rPr>
          <w:lang w:eastAsia="es-ES"/>
        </w:rPr>
        <w:t>.</w:t>
      </w:r>
    </w:p>
    <w:p w:rsidR="0038237D" w:rsidRPr="00522030" w:rsidRDefault="001D4FED" w:rsidP="001D4FED">
      <w:pPr>
        <w:pStyle w:val="FootnoteText"/>
        <w:tabs>
          <w:tab w:val="clear" w:pos="418"/>
          <w:tab w:val="right" w:pos="1476"/>
          <w:tab w:val="left" w:pos="1548"/>
          <w:tab w:val="right" w:pos="1836"/>
          <w:tab w:val="left" w:pos="1908"/>
        </w:tabs>
        <w:ind w:left="1548" w:hanging="288"/>
        <w:rPr>
          <w:lang w:eastAsia="es-ES"/>
        </w:rPr>
      </w:pPr>
      <w:bookmarkStart w:id="132" w:name="_Toc179876229"/>
      <w:bookmarkStart w:id="133" w:name="_Toc349720615"/>
      <w:bookmarkStart w:id="134" w:name="_Toc360096853"/>
      <w:bookmarkEnd w:id="128"/>
      <w:bookmarkEnd w:id="129"/>
      <w:bookmarkEnd w:id="130"/>
      <w:bookmarkEnd w:id="131"/>
      <w:r>
        <w:rPr>
          <w:lang w:eastAsia="es-ES"/>
        </w:rPr>
        <w:tab/>
      </w:r>
      <w:r w:rsidRPr="00522030">
        <w:rPr>
          <w:lang w:eastAsia="es-ES"/>
        </w:rPr>
        <w:t>**</w:t>
      </w:r>
      <w:r>
        <w:rPr>
          <w:lang w:eastAsia="es-ES"/>
        </w:rPr>
        <w:tab/>
      </w:r>
      <w:r w:rsidR="0038237D" w:rsidRPr="00522030">
        <w:rPr>
          <w:lang w:eastAsia="es-ES"/>
        </w:rPr>
        <w:t>El importe otorgado dividido por el importe solicitado</w:t>
      </w:r>
      <w:r>
        <w:rPr>
          <w:lang w:eastAsia="es-ES"/>
        </w:rPr>
        <w:t>.</w:t>
      </w:r>
    </w:p>
    <w:bookmarkEnd w:id="132"/>
    <w:bookmarkEnd w:id="133"/>
    <w:bookmarkEnd w:id="134"/>
    <w:p w:rsidR="001D4FED" w:rsidRPr="001D4FED" w:rsidRDefault="001D4FED" w:rsidP="001D4FED">
      <w:pPr>
        <w:pStyle w:val="SingleTxt"/>
        <w:suppressAutoHyphens/>
        <w:spacing w:after="0" w:line="120" w:lineRule="exact"/>
        <w:rPr>
          <w:sz w:val="10"/>
          <w:lang w:val="es-ES_tradnl"/>
        </w:rPr>
      </w:pPr>
    </w:p>
    <w:p w:rsidR="001D4FED" w:rsidRPr="001D4FED" w:rsidRDefault="001D4FED" w:rsidP="001D4FED">
      <w:pPr>
        <w:pStyle w:val="SingleTxt"/>
        <w:suppressAutoHyphens/>
        <w:spacing w:after="0" w:line="120" w:lineRule="exact"/>
        <w:rPr>
          <w:sz w:val="10"/>
          <w:lang w:val="es-ES_tradnl"/>
        </w:rPr>
      </w:pPr>
    </w:p>
    <w:p w:rsidR="001D4FED" w:rsidRPr="001D4FED" w:rsidRDefault="001D4FED" w:rsidP="001D4FED">
      <w:pPr>
        <w:pStyle w:val="SingleTxt"/>
        <w:suppressAutoHyphens/>
        <w:spacing w:after="0" w:line="120" w:lineRule="exact"/>
        <w:rPr>
          <w:sz w:val="10"/>
          <w:lang w:val="es-ES_tradnl"/>
        </w:rPr>
      </w:pPr>
    </w:p>
    <w:p w:rsidR="0038237D" w:rsidRPr="00EA0AB9" w:rsidRDefault="001D4FED" w:rsidP="001D4FED">
      <w:pPr>
        <w:pStyle w:val="SingleTxt"/>
        <w:suppressAutoHyphens/>
        <w:rPr>
          <w:lang w:val="es-ES_tradnl"/>
        </w:rPr>
      </w:pPr>
      <w:r>
        <w:rPr>
          <w:lang w:val="es-ES_tradnl"/>
        </w:rPr>
        <w:tab/>
      </w:r>
      <w:r w:rsidR="0038237D" w:rsidRPr="00EA0AB9">
        <w:rPr>
          <w:lang w:val="es-ES_tradnl"/>
        </w:rPr>
        <w:t>Como se muestra en el cuadro 4, la tasa de éxito de las mujeres solicitantes es inferior a la de los hombres en el Consejo Danés de Investigación Independiente y en el Consejo Danés de Investigación Estratégica. Además, hay menos mujeres que hombres que solicitan subsidios de investigación en los consejos. Menos de un tercio de los solicitantes son mujeres. Esto se corresponde aproximadamente con la proporción de mujeres entre el personal académico de las universidades danesas. Cabe señalar que hay un límite de edad para los doctorados en instrumentos específicos en las convocatorias para la presentación de solicitudes del Consejo.</w:t>
      </w:r>
      <w:r w:rsidR="0038237D">
        <w:rPr>
          <w:lang w:val="es-ES_tradnl"/>
        </w:rPr>
        <w:t xml:space="preserve"> </w:t>
      </w:r>
      <w:r w:rsidR="0038237D" w:rsidRPr="00EA0AB9">
        <w:rPr>
          <w:lang w:val="es-ES_tradnl"/>
        </w:rPr>
        <w:t>No obstante, la licencia de maternidad puede restarse del período con un factor de 1,5. De ese modo, un año de ausencia cuenta como 1,5 años de ausencia para tener en cuenta las dificultades que supone volver a la investigación después de haber tenido hijos.</w:t>
      </w:r>
    </w:p>
    <w:p w:rsidR="005054DB" w:rsidRPr="005054DB" w:rsidRDefault="005054DB" w:rsidP="005054DB">
      <w:pPr>
        <w:pStyle w:val="SingleTxt"/>
        <w:suppressAutoHyphens/>
        <w:spacing w:after="0" w:line="120" w:lineRule="exact"/>
        <w:rPr>
          <w:sz w:val="10"/>
        </w:rPr>
      </w:pPr>
    </w:p>
    <w:p w:rsidR="005054DB" w:rsidRPr="005054DB" w:rsidRDefault="005054DB" w:rsidP="005054DB">
      <w:pPr>
        <w:pStyle w:val="SingleTxt"/>
        <w:suppressAutoHyphens/>
        <w:spacing w:after="0" w:line="120" w:lineRule="exact"/>
        <w:rPr>
          <w:sz w:val="10"/>
        </w:rPr>
      </w:pPr>
    </w:p>
    <w:p w:rsidR="0038237D" w:rsidRPr="000739A7" w:rsidRDefault="0038237D" w:rsidP="001D4F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39A7">
        <w:tab/>
      </w:r>
      <w:r w:rsidRPr="000739A7">
        <w:tab/>
        <w:t>Artículo 11: La situación en el mercado de trabajo</w:t>
      </w:r>
    </w:p>
    <w:p w:rsidR="001D4FED" w:rsidRPr="001D4FED" w:rsidRDefault="001D4FED" w:rsidP="001D4FED">
      <w:pPr>
        <w:pStyle w:val="SingleTxt"/>
        <w:suppressAutoHyphens/>
        <w:spacing w:after="0" w:line="120" w:lineRule="exact"/>
        <w:rPr>
          <w:sz w:val="10"/>
          <w:lang w:val="es-ES_tradnl"/>
        </w:rPr>
      </w:pPr>
    </w:p>
    <w:p w:rsidR="001D4FED" w:rsidRPr="001D4FED" w:rsidRDefault="001D4FED" w:rsidP="001D4FED">
      <w:pPr>
        <w:pStyle w:val="SingleTxt"/>
        <w:suppressAutoHyphens/>
        <w:spacing w:after="0" w:line="120" w:lineRule="exact"/>
        <w:rPr>
          <w:sz w:val="10"/>
          <w:lang w:val="es-ES_tradnl"/>
        </w:rPr>
      </w:pPr>
    </w:p>
    <w:p w:rsidR="0038237D" w:rsidRPr="00EA0AB9" w:rsidRDefault="0038237D" w:rsidP="001D4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s-ES_tradnl"/>
        </w:rPr>
      </w:pPr>
      <w:r>
        <w:rPr>
          <w:lang w:val="es-ES_tradnl"/>
        </w:rPr>
        <w:tab/>
      </w:r>
      <w:r>
        <w:rPr>
          <w:lang w:val="es-ES_tradnl"/>
        </w:rPr>
        <w:tab/>
      </w:r>
      <w:r w:rsidRPr="00EA0AB9">
        <w:rPr>
          <w:lang w:val="es-ES_tradnl"/>
        </w:rPr>
        <w:t>Las mujeres en la fuerza de trabajo de Dinamarca</w:t>
      </w:r>
    </w:p>
    <w:p w:rsidR="001D4FED" w:rsidRPr="001D4FED" w:rsidRDefault="001D4FED" w:rsidP="001D4FED">
      <w:pPr>
        <w:pStyle w:val="SingleTxt"/>
        <w:suppressAutoHyphens/>
        <w:spacing w:after="0" w:line="120" w:lineRule="exact"/>
        <w:rPr>
          <w:sz w:val="10"/>
          <w:lang w:val="es-ES_tradnl"/>
        </w:rPr>
      </w:pPr>
    </w:p>
    <w:p w:rsidR="0038237D" w:rsidRPr="00EA0AB9" w:rsidRDefault="001D4FED" w:rsidP="001D4FED">
      <w:pPr>
        <w:pStyle w:val="SingleTxt"/>
        <w:suppressAutoHyphens/>
        <w:rPr>
          <w:lang w:val="es-ES_tradnl"/>
        </w:rPr>
      </w:pPr>
      <w:r>
        <w:rPr>
          <w:lang w:val="es-ES_tradnl"/>
        </w:rPr>
        <w:tab/>
      </w:r>
      <w:r w:rsidR="0038237D" w:rsidRPr="00EA0AB9">
        <w:rPr>
          <w:lang w:val="es-ES_tradnl"/>
        </w:rPr>
        <w:t>Las mujeres representan el 48% de toda la fuerza de trabajo. La tasa de participación de la mujer es inferior a la del hombre. La tasa de participación de la mujer era del 71,5% en 2011, frente a una tasa de participación del hombre del 75,7%. La diferencia entre la tasa de participación de la mujer y la del hombre se ha ido reduciendo de forma continua. En 2011, era del 4%; en 2006, del 6%.</w:t>
      </w:r>
    </w:p>
    <w:p w:rsidR="0038237D" w:rsidRPr="00EA0AB9" w:rsidRDefault="001D4FED" w:rsidP="001D4FED">
      <w:pPr>
        <w:pStyle w:val="SingleTxt"/>
        <w:suppressAutoHyphens/>
        <w:rPr>
          <w:lang w:val="es-ES_tradnl"/>
        </w:rPr>
      </w:pPr>
      <w:r>
        <w:rPr>
          <w:lang w:val="es-ES_tradnl"/>
        </w:rPr>
        <w:tab/>
      </w:r>
      <w:r w:rsidR="0038237D" w:rsidRPr="00EA0AB9">
        <w:rPr>
          <w:lang w:val="es-ES_tradnl"/>
        </w:rPr>
        <w:t xml:space="preserve">En 2011, la fuerza de trabajo, en que se incluyen todas las personas empleadas y desempleadas, sumó un total de 2,76 millones de personas a tiempo completo. De ese total, las mujeres eran 1,36 millones, es decir, el 48% de toda la fuerza de trabajo. </w:t>
      </w:r>
    </w:p>
    <w:p w:rsidR="001D4FED" w:rsidRPr="001D4FED" w:rsidRDefault="001D4FED" w:rsidP="001D4FED">
      <w:pPr>
        <w:pStyle w:val="SingleTxt"/>
        <w:suppressAutoHyphens/>
        <w:spacing w:after="0" w:line="120" w:lineRule="exact"/>
        <w:rPr>
          <w:sz w:val="10"/>
          <w:szCs w:val="24"/>
          <w:lang w:val="es-ES_tradnl"/>
        </w:rPr>
      </w:pPr>
    </w:p>
    <w:p w:rsidR="001D4FED" w:rsidRPr="001D4FED" w:rsidRDefault="001D4FED" w:rsidP="001D4FED">
      <w:pPr>
        <w:pStyle w:val="SingleTxt"/>
        <w:suppressAutoHyphens/>
        <w:spacing w:after="0" w:line="120" w:lineRule="exact"/>
        <w:rPr>
          <w:sz w:val="10"/>
          <w:szCs w:val="24"/>
          <w:lang w:val="es-ES_tradnl"/>
        </w:rPr>
      </w:pPr>
    </w:p>
    <w:p w:rsidR="0038237D" w:rsidRPr="00CC062C" w:rsidRDefault="001D4FED" w:rsidP="001D4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eastAsia="es-ES"/>
        </w:rPr>
      </w:pPr>
      <w:r>
        <w:rPr>
          <w:lang w:val="es-ES_tradnl" w:eastAsia="es-ES"/>
        </w:rPr>
        <w:tab/>
      </w:r>
      <w:r>
        <w:rPr>
          <w:lang w:val="es-ES_tradnl" w:eastAsia="es-ES"/>
        </w:rPr>
        <w:tab/>
      </w:r>
      <w:r w:rsidR="0038237D" w:rsidRPr="00CC062C">
        <w:rPr>
          <w:b w:val="0"/>
          <w:lang w:val="es-ES_tradnl" w:eastAsia="es-ES"/>
        </w:rPr>
        <w:t>Cuadro 1</w:t>
      </w:r>
    </w:p>
    <w:p w:rsidR="0038237D" w:rsidRDefault="001D4FED" w:rsidP="001D4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Pr>
          <w:lang w:val="es-ES_tradnl" w:eastAsia="es-ES"/>
        </w:rPr>
        <w:tab/>
      </w:r>
      <w:r>
        <w:rPr>
          <w:lang w:val="es-ES_tradnl" w:eastAsia="es-ES"/>
        </w:rPr>
        <w:tab/>
      </w:r>
      <w:r w:rsidR="0038237D" w:rsidRPr="00522030">
        <w:rPr>
          <w:lang w:val="es-ES_tradnl" w:eastAsia="es-ES"/>
        </w:rPr>
        <w:t>Tasa de participación por género, 2001-2011</w:t>
      </w:r>
    </w:p>
    <w:p w:rsidR="001D4FED" w:rsidRPr="001D4FED" w:rsidRDefault="001D4FED" w:rsidP="001D4FED">
      <w:pPr>
        <w:pStyle w:val="SingleTxt"/>
        <w:suppressAutoHyphens/>
        <w:spacing w:after="0" w:line="120" w:lineRule="exact"/>
        <w:rPr>
          <w:sz w:val="10"/>
          <w:lang w:val="es-ES_tradnl" w:eastAsia="es-ES"/>
        </w:rPr>
      </w:pPr>
    </w:p>
    <w:p w:rsidR="001D4FED" w:rsidRPr="001D4FED" w:rsidRDefault="001D4FED" w:rsidP="001D4FED">
      <w:pPr>
        <w:pStyle w:val="SingleTxt"/>
        <w:suppressAutoHyphens/>
        <w:spacing w:after="0" w:line="120" w:lineRule="exact"/>
        <w:rPr>
          <w:sz w:val="10"/>
          <w:lang w:val="es-ES_tradnl" w:eastAsia="es-ES"/>
        </w:rPr>
      </w:pPr>
    </w:p>
    <w:tbl>
      <w:tblPr>
        <w:tblW w:w="7211" w:type="dxa"/>
        <w:tblInd w:w="1267" w:type="dxa"/>
        <w:tblLayout w:type="fixed"/>
        <w:tblCellMar>
          <w:left w:w="0" w:type="dxa"/>
          <w:right w:w="0" w:type="dxa"/>
        </w:tblCellMar>
        <w:tblLook w:val="04A0"/>
      </w:tblPr>
      <w:tblGrid>
        <w:gridCol w:w="614"/>
        <w:gridCol w:w="702"/>
        <w:gridCol w:w="666"/>
        <w:gridCol w:w="639"/>
        <w:gridCol w:w="614"/>
        <w:gridCol w:w="614"/>
        <w:gridCol w:w="614"/>
        <w:gridCol w:w="614"/>
        <w:gridCol w:w="676"/>
        <w:gridCol w:w="684"/>
        <w:gridCol w:w="774"/>
      </w:tblGrid>
      <w:tr w:rsidR="00F96BFC" w:rsidRPr="001D4FED" w:rsidTr="00F96BFC">
        <w:tc>
          <w:tcPr>
            <w:tcW w:w="614"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2001</w:t>
            </w:r>
          </w:p>
        </w:tc>
        <w:tc>
          <w:tcPr>
            <w:tcW w:w="702"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2002</w:t>
            </w:r>
          </w:p>
        </w:tc>
        <w:tc>
          <w:tcPr>
            <w:tcW w:w="666"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2003</w:t>
            </w:r>
          </w:p>
        </w:tc>
        <w:tc>
          <w:tcPr>
            <w:tcW w:w="639"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2004</w:t>
            </w:r>
          </w:p>
        </w:tc>
        <w:tc>
          <w:tcPr>
            <w:tcW w:w="614"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2005</w:t>
            </w:r>
          </w:p>
        </w:tc>
        <w:tc>
          <w:tcPr>
            <w:tcW w:w="614"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2006</w:t>
            </w:r>
          </w:p>
        </w:tc>
        <w:tc>
          <w:tcPr>
            <w:tcW w:w="614"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2007</w:t>
            </w:r>
          </w:p>
        </w:tc>
        <w:tc>
          <w:tcPr>
            <w:tcW w:w="614"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2008</w:t>
            </w:r>
          </w:p>
        </w:tc>
        <w:tc>
          <w:tcPr>
            <w:tcW w:w="676"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2009</w:t>
            </w:r>
          </w:p>
        </w:tc>
        <w:tc>
          <w:tcPr>
            <w:tcW w:w="684"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2010</w:t>
            </w:r>
          </w:p>
        </w:tc>
        <w:tc>
          <w:tcPr>
            <w:tcW w:w="774" w:type="dxa"/>
            <w:tcBorders>
              <w:top w:val="single" w:sz="4" w:space="0" w:color="auto"/>
              <w:bottom w:val="single" w:sz="12" w:space="0" w:color="auto"/>
            </w:tcBorders>
            <w:shd w:val="clear" w:color="auto" w:fill="auto"/>
            <w:vAlign w:val="bottom"/>
          </w:tcPr>
          <w:p w:rsidR="00F96BFC" w:rsidRPr="001D4FED" w:rsidRDefault="00F96BFC" w:rsidP="001D4FED">
            <w:pPr>
              <w:spacing w:before="80" w:after="80" w:line="160" w:lineRule="exact"/>
              <w:jc w:val="right"/>
              <w:rPr>
                <w:i/>
                <w:sz w:val="14"/>
                <w:szCs w:val="14"/>
                <w:lang w:val="es-ES_tradnl"/>
              </w:rPr>
            </w:pPr>
            <w:r w:rsidRPr="001D4FED">
              <w:rPr>
                <w:i/>
                <w:sz w:val="14"/>
                <w:szCs w:val="14"/>
                <w:lang w:val="es-ES_tradnl"/>
              </w:rPr>
              <w:t>2011</w:t>
            </w:r>
          </w:p>
        </w:tc>
      </w:tr>
      <w:tr w:rsidR="00F96BFC" w:rsidRPr="001D4FED" w:rsidTr="00F96BFC">
        <w:tc>
          <w:tcPr>
            <w:tcW w:w="614"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82,9</w:t>
            </w:r>
          </w:p>
        </w:tc>
        <w:tc>
          <w:tcPr>
            <w:tcW w:w="702"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82,7</w:t>
            </w:r>
          </w:p>
        </w:tc>
        <w:tc>
          <w:tcPr>
            <w:tcW w:w="666"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81,6</w:t>
            </w:r>
          </w:p>
        </w:tc>
        <w:tc>
          <w:tcPr>
            <w:tcW w:w="639"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81,3</w:t>
            </w:r>
          </w:p>
        </w:tc>
        <w:tc>
          <w:tcPr>
            <w:tcW w:w="614"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81,0</w:t>
            </w:r>
          </w:p>
        </w:tc>
        <w:tc>
          <w:tcPr>
            <w:tcW w:w="614"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81,2</w:t>
            </w:r>
          </w:p>
        </w:tc>
        <w:tc>
          <w:tcPr>
            <w:tcW w:w="614"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81,8</w:t>
            </w:r>
          </w:p>
        </w:tc>
        <w:tc>
          <w:tcPr>
            <w:tcW w:w="614"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81,8</w:t>
            </w:r>
          </w:p>
        </w:tc>
        <w:tc>
          <w:tcPr>
            <w:tcW w:w="676"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78,9</w:t>
            </w:r>
          </w:p>
        </w:tc>
        <w:tc>
          <w:tcPr>
            <w:tcW w:w="684"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76,5</w:t>
            </w:r>
          </w:p>
        </w:tc>
        <w:tc>
          <w:tcPr>
            <w:tcW w:w="774" w:type="dxa"/>
            <w:tcBorders>
              <w:top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75,7</w:t>
            </w:r>
          </w:p>
        </w:tc>
      </w:tr>
      <w:tr w:rsidR="00F96BFC" w:rsidRPr="001D4FED" w:rsidTr="00F96BFC">
        <w:tc>
          <w:tcPr>
            <w:tcW w:w="614"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76,0</w:t>
            </w:r>
          </w:p>
        </w:tc>
        <w:tc>
          <w:tcPr>
            <w:tcW w:w="702"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76,2</w:t>
            </w:r>
          </w:p>
        </w:tc>
        <w:tc>
          <w:tcPr>
            <w:tcW w:w="666"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75,2</w:t>
            </w:r>
          </w:p>
        </w:tc>
        <w:tc>
          <w:tcPr>
            <w:tcW w:w="639"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75,3</w:t>
            </w:r>
          </w:p>
        </w:tc>
        <w:tc>
          <w:tcPr>
            <w:tcW w:w="614"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75,0</w:t>
            </w:r>
          </w:p>
        </w:tc>
        <w:tc>
          <w:tcPr>
            <w:tcW w:w="614"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75,3</w:t>
            </w:r>
          </w:p>
        </w:tc>
        <w:tc>
          <w:tcPr>
            <w:tcW w:w="614"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76,2</w:t>
            </w:r>
          </w:p>
        </w:tc>
        <w:tc>
          <w:tcPr>
            <w:tcW w:w="614"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76,3</w:t>
            </w:r>
          </w:p>
        </w:tc>
        <w:tc>
          <w:tcPr>
            <w:tcW w:w="676"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73,5</w:t>
            </w:r>
          </w:p>
        </w:tc>
        <w:tc>
          <w:tcPr>
            <w:tcW w:w="684"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72,4</w:t>
            </w:r>
          </w:p>
        </w:tc>
        <w:tc>
          <w:tcPr>
            <w:tcW w:w="774" w:type="dxa"/>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71,5</w:t>
            </w:r>
          </w:p>
        </w:tc>
      </w:tr>
      <w:tr w:rsidR="00F96BFC" w:rsidRPr="001D4FED" w:rsidTr="00F96BFC">
        <w:tc>
          <w:tcPr>
            <w:tcW w:w="614"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6,9</w:t>
            </w:r>
          </w:p>
        </w:tc>
        <w:tc>
          <w:tcPr>
            <w:tcW w:w="702"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6,5</w:t>
            </w:r>
          </w:p>
        </w:tc>
        <w:tc>
          <w:tcPr>
            <w:tcW w:w="666"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6,4</w:t>
            </w:r>
          </w:p>
        </w:tc>
        <w:tc>
          <w:tcPr>
            <w:tcW w:w="639"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6,0</w:t>
            </w:r>
          </w:p>
        </w:tc>
        <w:tc>
          <w:tcPr>
            <w:tcW w:w="614"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6,0</w:t>
            </w:r>
          </w:p>
        </w:tc>
        <w:tc>
          <w:tcPr>
            <w:tcW w:w="614"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5,9</w:t>
            </w:r>
          </w:p>
        </w:tc>
        <w:tc>
          <w:tcPr>
            <w:tcW w:w="614"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5,6</w:t>
            </w:r>
          </w:p>
        </w:tc>
        <w:tc>
          <w:tcPr>
            <w:tcW w:w="614"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5,5</w:t>
            </w:r>
          </w:p>
        </w:tc>
        <w:tc>
          <w:tcPr>
            <w:tcW w:w="676"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5,4</w:t>
            </w:r>
          </w:p>
        </w:tc>
        <w:tc>
          <w:tcPr>
            <w:tcW w:w="684"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4,1</w:t>
            </w:r>
          </w:p>
        </w:tc>
        <w:tc>
          <w:tcPr>
            <w:tcW w:w="774" w:type="dxa"/>
            <w:tcBorders>
              <w:bottom w:val="single" w:sz="12" w:space="0" w:color="auto"/>
            </w:tcBorders>
            <w:shd w:val="clear" w:color="auto" w:fill="auto"/>
            <w:vAlign w:val="bottom"/>
          </w:tcPr>
          <w:p w:rsidR="00F96BFC" w:rsidRPr="001D4FED" w:rsidRDefault="00F96BFC" w:rsidP="001D4FED">
            <w:pPr>
              <w:spacing w:before="40" w:after="40" w:line="210" w:lineRule="exact"/>
              <w:jc w:val="right"/>
              <w:rPr>
                <w:sz w:val="17"/>
                <w:szCs w:val="17"/>
                <w:lang w:val="es-ES_tradnl"/>
              </w:rPr>
            </w:pPr>
            <w:r w:rsidRPr="001D4FED">
              <w:rPr>
                <w:sz w:val="17"/>
                <w:szCs w:val="17"/>
                <w:lang w:val="es-ES_tradnl"/>
              </w:rPr>
              <w:t>4,2</w:t>
            </w:r>
          </w:p>
        </w:tc>
      </w:tr>
    </w:tbl>
    <w:p w:rsidR="0038237D" w:rsidRPr="00EA0AB9" w:rsidRDefault="001D4FED" w:rsidP="001D4FED">
      <w:pPr>
        <w:pStyle w:val="SingleTxt"/>
        <w:suppressAutoHyphens/>
        <w:rPr>
          <w:lang w:val="es-ES_tradnl"/>
        </w:rPr>
      </w:pPr>
      <w:r>
        <w:rPr>
          <w:lang w:val="es-ES_tradnl"/>
        </w:rPr>
        <w:tab/>
      </w:r>
      <w:r w:rsidR="0038237D" w:rsidRPr="00EA0AB9">
        <w:rPr>
          <w:lang w:val="es-ES_tradnl"/>
        </w:rPr>
        <w:t>La tasa de participación de las mujeres inmigrantes y pertenecientes a minorías étnicas es inferior a la de las mujeres de origen danés, pero está aumentando. En 2011, la tasa de participación de las mujeres inmigrantes y pertenecientes a minorías étnicas era del 50,8%. Las mujeres, independientemente de su origen étnico, obtienen mejores resultados que los hombres en el sistema educativo. Las mujeres pertenecientes a minorías étnicas siguen el éxito de las niñas de origen danés.</w:t>
      </w:r>
    </w:p>
    <w:p w:rsidR="001D4FED" w:rsidRPr="001D4FED" w:rsidRDefault="001D4FED" w:rsidP="001D4FED">
      <w:pPr>
        <w:pStyle w:val="SingleTxt"/>
        <w:suppressAutoHyphens/>
        <w:spacing w:after="0" w:line="120" w:lineRule="exact"/>
        <w:rPr>
          <w:sz w:val="10"/>
          <w:lang w:val="es-ES_tradnl"/>
        </w:rPr>
      </w:pPr>
    </w:p>
    <w:p w:rsidR="0038237D" w:rsidRPr="00EA0AB9" w:rsidRDefault="001D4FED" w:rsidP="001D4F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38237D" w:rsidRPr="00EA0AB9">
        <w:rPr>
          <w:lang w:val="es-ES_tradnl"/>
        </w:rPr>
        <w:t>Tasa de desempleo</w:t>
      </w:r>
    </w:p>
    <w:p w:rsidR="001D4FED" w:rsidRPr="001D4FED" w:rsidRDefault="001D4FED" w:rsidP="001D4FED">
      <w:pPr>
        <w:pStyle w:val="SingleTxt"/>
        <w:suppressAutoHyphens/>
        <w:spacing w:after="0" w:line="120" w:lineRule="exact"/>
        <w:rPr>
          <w:sz w:val="10"/>
          <w:lang w:val="es-ES_tradnl"/>
        </w:rPr>
      </w:pPr>
    </w:p>
    <w:p w:rsidR="0038237D" w:rsidRPr="00EA0AB9" w:rsidRDefault="001D4FED" w:rsidP="001D4FED">
      <w:pPr>
        <w:pStyle w:val="SingleTxt"/>
        <w:suppressAutoHyphens/>
        <w:rPr>
          <w:lang w:val="es-ES_tradnl"/>
        </w:rPr>
      </w:pPr>
      <w:r>
        <w:rPr>
          <w:lang w:val="es-ES_tradnl"/>
        </w:rPr>
        <w:tab/>
      </w:r>
      <w:r w:rsidR="0038237D" w:rsidRPr="00EA0AB9">
        <w:rPr>
          <w:lang w:val="es-ES_tradnl"/>
        </w:rPr>
        <w:t xml:space="preserve">La tasa de desempleo de la mujer ha sido inferior a la del hombre durante la crisis económica. No obstante, durante 2012, las tasas de desempleo del hombre y la mujer siguen una pauta semejante. </w:t>
      </w:r>
    </w:p>
    <w:p w:rsidR="001D4FED" w:rsidRPr="001D4FED" w:rsidRDefault="001D4FED" w:rsidP="001D4FED">
      <w:pPr>
        <w:pStyle w:val="SingleTxt"/>
        <w:suppressAutoHyphens/>
        <w:spacing w:after="0" w:line="120" w:lineRule="exact"/>
        <w:rPr>
          <w:sz w:val="10"/>
          <w:lang w:val="es-ES_tradnl" w:eastAsia="es-ES"/>
        </w:rPr>
      </w:pPr>
    </w:p>
    <w:p w:rsidR="001D4FED" w:rsidRPr="001D4FED" w:rsidRDefault="001D4FED" w:rsidP="001D4FED">
      <w:pPr>
        <w:pStyle w:val="SingleTxt"/>
        <w:suppressAutoHyphens/>
        <w:spacing w:after="0" w:line="120" w:lineRule="exact"/>
        <w:rPr>
          <w:sz w:val="10"/>
          <w:lang w:val="es-ES_tradnl" w:eastAsia="es-ES"/>
        </w:rPr>
      </w:pPr>
    </w:p>
    <w:p w:rsidR="0038237D" w:rsidRPr="001D4FED" w:rsidRDefault="001D4FED" w:rsidP="001D4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eastAsia="es-ES"/>
        </w:rPr>
      </w:pPr>
      <w:r>
        <w:rPr>
          <w:lang w:val="es-ES_tradnl" w:eastAsia="es-ES"/>
        </w:rPr>
        <w:tab/>
      </w:r>
      <w:r>
        <w:rPr>
          <w:lang w:val="es-ES_tradnl" w:eastAsia="es-ES"/>
        </w:rPr>
        <w:tab/>
      </w:r>
      <w:r w:rsidR="0038237D" w:rsidRPr="001D4FED">
        <w:rPr>
          <w:b w:val="0"/>
          <w:lang w:val="es-ES_tradnl" w:eastAsia="es-ES"/>
        </w:rPr>
        <w:t>Gráfico 1</w:t>
      </w:r>
    </w:p>
    <w:p w:rsidR="0038237D" w:rsidRDefault="001D4FED" w:rsidP="001D4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Pr>
          <w:lang w:val="es-ES_tradnl" w:eastAsia="es-ES"/>
        </w:rPr>
        <w:tab/>
      </w:r>
      <w:r>
        <w:rPr>
          <w:lang w:val="es-ES_tradnl" w:eastAsia="es-ES"/>
        </w:rPr>
        <w:tab/>
      </w:r>
      <w:r w:rsidR="00C90CF0" w:rsidRPr="00522030">
        <w:rPr>
          <w:lang w:val="es-ES_tradnl" w:eastAsia="es-ES"/>
        </w:rPr>
        <w:t>Porcentaje de la tasa de desempleo por género, ene</w:t>
      </w:r>
      <w:r w:rsidR="00C90CF0">
        <w:rPr>
          <w:lang w:val="es-ES_tradnl" w:eastAsia="es-ES"/>
        </w:rPr>
        <w:t>ro</w:t>
      </w:r>
      <w:r w:rsidR="00C90CF0" w:rsidRPr="00522030">
        <w:rPr>
          <w:lang w:val="es-ES_tradnl" w:eastAsia="es-ES"/>
        </w:rPr>
        <w:t xml:space="preserve"> </w:t>
      </w:r>
      <w:r w:rsidR="002430C1">
        <w:rPr>
          <w:lang w:val="es-ES_tradnl" w:eastAsia="es-ES"/>
        </w:rPr>
        <w:t>de 2007-</w:t>
      </w:r>
      <w:r w:rsidR="00C90CF0">
        <w:rPr>
          <w:lang w:val="es-ES_tradnl" w:eastAsia="es-ES"/>
        </w:rPr>
        <w:t>octubre de</w:t>
      </w:r>
      <w:r w:rsidR="0038237D" w:rsidRPr="00522030">
        <w:rPr>
          <w:lang w:val="es-ES_tradnl" w:eastAsia="es-ES"/>
        </w:rPr>
        <w:t xml:space="preserve"> 2012 </w:t>
      </w:r>
    </w:p>
    <w:p w:rsidR="001D4FED" w:rsidRPr="001D4FED" w:rsidRDefault="005054DB" w:rsidP="001D4FED">
      <w:pPr>
        <w:pStyle w:val="SingleTxtG"/>
        <w:spacing w:after="0" w:line="120" w:lineRule="exact"/>
        <w:rPr>
          <w:sz w:val="10"/>
          <w:lang w:val="es-ES_tradnl" w:eastAsia="es-ES"/>
        </w:rPr>
      </w:pPr>
      <w:r>
        <w:rPr>
          <w:noProof/>
          <w:sz w:val="10"/>
          <w:lang w:val="en-US"/>
        </w:rPr>
        <w:pict>
          <v:rect id="_x0000_s1549" style="position:absolute;left:0;text-align:left;margin-left:376.2pt;margin-top:13.9pt;width:36.4pt;height:24pt;z-index:7;mso-wrap-style:none" filled="f" stroked="f">
            <v:textbox style="mso-next-textbox:#_x0000_s1549;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Porcentaje</w:t>
                  </w:r>
                </w:p>
              </w:txbxContent>
            </v:textbox>
          </v:rect>
        </w:pict>
      </w:r>
      <w:r>
        <w:rPr>
          <w:noProof/>
          <w:sz w:val="10"/>
          <w:lang w:val="en-US"/>
        </w:rPr>
        <w:pict>
          <v:rect id="_x0000_s1550" style="position:absolute;left:0;text-align:left;margin-left:52.25pt;margin-top:12.5pt;width:36.4pt;height:24pt;z-index:8;mso-wrap-style:none" filled="f" stroked="f">
            <v:textbox style="mso-next-textbox:#_x0000_s1550;mso-fit-shape-to-text:t" inset="0,0,0,0">
              <w:txbxContent>
                <w:p w:rsidR="00DD3299" w:rsidRPr="00CC062C" w:rsidRDefault="00DD3299" w:rsidP="005F6E6E">
                  <w:pPr>
                    <w:rPr>
                      <w:sz w:val="19"/>
                    </w:rPr>
                  </w:pPr>
                  <w:r w:rsidRPr="005054DB">
                    <w:rPr>
                      <w:rFonts w:ascii="Arial" w:hAnsi="Arial" w:cs="Arial"/>
                      <w:color w:val="000000"/>
                      <w:sz w:val="14"/>
                      <w:szCs w:val="14"/>
                    </w:rPr>
                    <w:t>Porcentaje</w:t>
                  </w:r>
                </w:p>
              </w:txbxContent>
            </v:textbox>
          </v:rect>
        </w:pict>
      </w:r>
    </w:p>
    <w:p w:rsidR="005F6E6E" w:rsidRDefault="005F6E6E" w:rsidP="007D0469">
      <w:pPr>
        <w:pStyle w:val="SingleTxt"/>
        <w:suppressAutoHyphens/>
        <w:rPr>
          <w:lang w:val="es-ES_tradnl" w:eastAsia="es-ES"/>
        </w:rPr>
      </w:pPr>
      <w:r>
        <w:rPr>
          <w:noProof/>
          <w:w w:val="100"/>
          <w:lang w:val="en-US"/>
        </w:rPr>
        <w:pict>
          <v:group id="_x0000_s1312" editas="canvas" style="position:absolute;left:0;text-align:left;margin-left:62.7pt;margin-top:3pt;width:347.65pt;height:211.4pt;z-index:5" coordsize="7162,4350">
            <o:lock v:ext="edit" aspectratio="t"/>
            <v:shape id="_x0000_s1313" type="#_x0000_t75" style="position:absolute;width:7162;height:4350" o:preferrelative="f">
              <v:fill o:detectmouseclick="t"/>
              <v:path o:extrusionok="t" o:connecttype="none"/>
              <o:lock v:ext="edit" text="t"/>
            </v:shape>
            <v:shape id="_x0000_s1314" style="position:absolute;left:347;top:325;width:6335;height:3338" coordsize="6335,3338" path="m,l,,6328,r7,l6335,3331r-7,7l,3338r,-7l,xm8,3331r-8,l6328,3331r,l6328,r,7l,7,8,r,3331xe" fillcolor="gray" strokecolor="gray" strokeweight=".35pt">
              <v:path arrowok="t"/>
              <o:lock v:ext="edit" verticies="t"/>
            </v:shape>
            <v:rect id="_x0000_s1315" style="position:absolute;left:6675;top:325;width:7;height:3331" fillcolor="black" strokeweight=".35pt"/>
            <v:shape id="_x0000_s1316" style="position:absolute;left:6675;top:325;width:44;height:3338" coordsize="44,3338" path="m,3331r44,l44,3338r-44,l,3331xm,2917r44,l44,2925r-44,l,2917xm,2496r44,l44,2504r-44,l,2496xm,2083r44,l44,2090r-44,l,2083xm,1662r44,l44,1669r-44,l,1662xm,1248r44,l44,1256r-44,l,1248xm,835r44,l44,842,,842r,-7xm,414r44,l44,421,,421r,-7xm,l44,r,7l,7,,xe" fillcolor="black" strokeweight=".35pt">
              <v:path arrowok="t"/>
              <o:lock v:ext="edit" verticies="t"/>
            </v:shape>
            <v:rect id="_x0000_s1317" style="position:absolute;left:347;top:325;width:8;height:3331" fillcolor="black" strokeweight=".35pt"/>
            <v:shape id="_x0000_s1318" style="position:absolute;left:303;top:325;width:44;height:3338" coordsize="44,3338" path="m,3331r44,l44,3338r-44,l,3331xm,2917r44,l44,2925r-44,l,2917xm,2496r44,l44,2504r-44,l,2496xm,2083r44,l44,2090r-44,l,2083xm,1662r44,l44,1669r-44,l,1662xm,1248r44,l44,1256r-44,l,1248xm,835r44,l44,842,,842r,-7xm,414r44,l44,421,,421r,-7xm,l44,r,7l,7,,xe" fillcolor="black" strokeweight=".35pt">
              <v:path arrowok="t"/>
              <o:lock v:ext="edit" verticies="t"/>
            </v:shape>
            <v:rect id="_x0000_s1319" style="position:absolute;left:347;top:3656;width:6328;height:7" fillcolor="black" strokeweight=".35pt"/>
            <v:shape id="_x0000_s1320" style="position:absolute;left:347;top:3656;width:6246;height:44" coordsize="6246,44" path="m8,r,44l,44,,,8,xm281,r,44l274,44,274,r7,xm547,r,44l540,44,540,r7,xm821,r,44l813,44,813,r8,xm1094,r,44l1087,44r,-44l1094,xm1360,r,44l1353,44r,-44l1360,xm1634,r,44l1627,44r,-44l1634,xm1907,r,44l1900,44r,-44l1907,xm2181,r,44l2174,44r,-44l2181,xm2447,r,44l2440,44r,-44l2447,xm2720,r,44l2713,44r,-44l2720,xm2994,r,44l2987,44r,-44l2994,xm3260,r,44l3253,44r,-44l3260,xm3534,r,44l3526,44r,-44l3534,xm3807,r,44l3800,44r,-44l3807,xm4073,r,44l4066,44r,-44l4073,xm4347,r,44l4339,44r,-44l4347,xm4620,r,44l4613,44r,-44l4620,xm4894,r,44l4886,44r,-44l4894,xm5160,r,44l5152,44r,-44l5160,xm5433,r,44l5426,44r,-44l5433,xm5707,r,44l5699,44r,-44l5707,xm5973,r,44l5965,44r,-44l5973,xm6246,r,44l6239,44r,-44l6246,xe" fillcolor="black" strokeweight=".35pt">
              <v:path arrowok="t"/>
              <o:lock v:ext="edit" verticies="t"/>
            </v:shape>
            <v:shape id="_x0000_s1321" style="position:absolute;left:384;top:1440;width:111;height:67" coordsize="111,67" path="m15,r89,45l111,52r,7l104,67r-8,l8,22,,15,,8,8,r7,l15,xe" fillcolor="silver" strokecolor="silver" strokeweight=".35pt">
              <v:path arrowok="t"/>
            </v:shape>
            <v:shape id="_x0000_s1322" style="position:absolute;left:473;top:1485;width:118;height:110" coordsize="118,110" path="m22,r89,81l118,88r-7,15l104,110,89,103,,22,,14,,,7,,22,r,xe" fillcolor="silver" strokecolor="silver" strokeweight=".35pt">
              <v:path arrowok="t"/>
            </v:shape>
            <v:shape id="_x0000_s1323" style="position:absolute;left:562;top:1566;width:118;height:66" coordsize="118,66" path="m15,r96,44l118,51r,8l111,66r-8,l7,22,,15,,7,7,r8,l15,xe" fillcolor="silver" strokecolor="silver" strokeweight=".35pt">
              <v:path arrowok="t"/>
            </v:shape>
            <v:shape id="_x0000_s1324" style="position:absolute;left:658;top:1610;width:118;height:111" coordsize="118,111" path="m22,r89,81l118,89r-7,15l103,111,89,104,,22,,15,,,7,,22,r,xe" fillcolor="silver" strokecolor="silver" strokeweight=".35pt">
              <v:path arrowok="t"/>
            </v:shape>
            <v:shape id="_x0000_s1325" style="position:absolute;left:747;top:1691;width:118;height:111" coordsize="118,111" path="m22,r88,82l118,89r-8,15l103,111,88,104,,23,,15,,,7,,22,r,xe" fillcolor="silver" strokecolor="silver" strokeweight=".35pt">
              <v:path arrowok="t"/>
            </v:shape>
            <v:shape id="_x0000_s1326" style="position:absolute;left:835;top:1773;width:111;height:66" coordsize="111,66" path="m15,r89,44l111,51r,8l104,66r-8,l8,22,,14,,7,8,r7,l15,xe" fillcolor="silver" strokecolor="silver" strokeweight=".35pt">
              <v:path arrowok="t"/>
            </v:shape>
            <v:shape id="_x0000_s1327" style="position:absolute;left:924;top:1817;width:126;height:111" coordsize="126,111" path="m22,r96,81l126,89r-8,14l111,111,96,103,,22,,15,,,7,,22,r,xe" fillcolor="silver" strokecolor="silver" strokeweight=".35pt">
              <v:path arrowok="t"/>
            </v:shape>
            <v:shape id="_x0000_s1328" style="position:absolute;left:1020;top:1898;width:111;height:67" coordsize="111,67" path="m15,r89,44l111,52r,7l104,67r-8,l7,22,,15,,8,7,r8,l15,xe" fillcolor="silver" strokecolor="silver" strokeweight=".35pt">
              <v:path arrowok="t"/>
            </v:shape>
            <v:shape id="_x0000_s1329" style="position:absolute;left:1109;top:1942;width:118;height:111" coordsize="118,111" path="m22,r89,82l118,89r-7,15l103,111,88,104,,23,,15,,,7,,22,r,xe" fillcolor="silver" strokecolor="silver" strokeweight=".35pt">
              <v:path arrowok="t"/>
            </v:shape>
            <v:shape id="_x0000_s1330" style="position:absolute;left:1197;top:2024;width:119;height:110" coordsize="119,110" path="m23,r88,81l119,88r-8,15l104,110,89,103,,22,,14,,,8,,23,r,xe" fillcolor="silver" strokecolor="silver" strokeweight=".35pt">
              <v:path arrowok="t"/>
            </v:shape>
            <v:shape id="_x0000_s1331" style="position:absolute;left:1286;top:2106;width:111;height:65" coordsize="111,66" path="m15,r89,44l111,52r,7l104,66r-8,l8,22,,15,,7,8,r7,l15,xe" fillcolor="silver" strokecolor="silver" strokeweight=".35pt">
              <v:path arrowok="t"/>
            </v:shape>
            <v:shape id="_x0000_s1332" style="position:absolute;left:1375;top:2149;width:125;height:30" coordsize="125,30" path="m15,r96,l118,r7,15l118,22r-7,8l15,30,,22,,15,,,15,r,xe" fillcolor="silver" strokecolor="silver" strokeweight=".35pt">
              <v:path arrowok="t"/>
            </v:shape>
            <v:shape id="_x0000_s1333" style="position:absolute;left:1471;top:2149;width:118;height:111" coordsize="118,111" path="m22,r89,82l118,89r-7,15l103,111,89,104,,22,,15,,,7,,22,r,xe" fillcolor="silver" strokecolor="silver" strokeweight=".35pt">
              <v:path arrowok="t"/>
            </v:shape>
            <v:shape id="_x0000_s1334" style="position:absolute;left:1560;top:2231;width:118;height:110" coordsize="118,110" path="m22,r88,81l118,88r-8,15l103,110,88,103,,22,,14,,,7,,22,r,xe" fillcolor="silver" strokecolor="silver" strokeweight=".35pt">
              <v:path arrowok="t"/>
            </v:shape>
            <v:shape id="_x0000_s1335" style="position:absolute;left:1648;top:2312;width:119;height:118" coordsize="119,118" path="m22,r89,88l119,103r-8,8l104,118,89,111,,22,,15,,,15,r7,l22,xe" fillcolor="silver" strokecolor="silver" strokeweight=".35pt">
              <v:path arrowok="t"/>
            </v:shape>
            <v:shape id="_x0000_s1336" style="position:absolute;left:1737;top:2400;width:118;height:59" coordsize="118,59" path="m15,r96,37l118,45r,7l111,59r-8,l7,23,,15,,8,7,r8,l15,xe" fillcolor="silver" strokecolor="silver" strokeweight=".35pt">
              <v:path arrowok="t"/>
            </v:shape>
            <v:shape id="_x0000_s1337" style="position:absolute;left:1833;top:2437;width:111;height:67" coordsize="111,67" path="m15,r89,45l111,52r,7l104,67r-8,l7,22,,15,,8,7,r8,l15,xe" fillcolor="silver" strokecolor="silver" strokeweight=".35pt">
              <v:path arrowok="t"/>
            </v:shape>
            <v:shape id="_x0000_s1338" style="position:absolute;left:1922;top:2482;width:118;height:29" coordsize="118,29" path="m15,r88,l111,r7,14l111,22r-8,7l15,29,,22,,14,,,15,r,xe" fillcolor="silver" strokecolor="silver" strokeweight=".35pt">
              <v:path arrowok="t"/>
            </v:shape>
            <v:shape id="_x0000_s1339" style="position:absolute;left:2010;top:2482;width:119;height:29" coordsize="119,29" path="m15,r89,l111,r8,14l111,22r-7,7l15,29,,22,,14,,,15,r,xe" fillcolor="silver" strokecolor="silver" strokeweight=".35pt">
              <v:path arrowok="t"/>
            </v:shape>
            <v:shape id="_x0000_s1340" style="position:absolute;left:2099;top:2482;width:118;height:29" coordsize="118,29" path="m15,r89,l111,r7,14l111,22r-7,7l15,29,,22,,14,,,15,r,xe" fillcolor="silver" strokecolor="silver" strokeweight=".35pt">
              <v:path arrowok="t"/>
            </v:shape>
            <v:shape id="_x0000_s1341" style="position:absolute;left:2188;top:2482;width:126;height:29" coordsize="126,29" path="m15,r96,l118,r8,14l118,22r-7,7l15,29,,22,,14,,,15,r,xe" fillcolor="silver" strokecolor="silver" strokeweight=".35pt">
              <v:path arrowok="t"/>
            </v:shape>
            <v:shape id="_x0000_s1342" style="position:absolute;left:2284;top:2437;width:111;height:67" coordsize="111,67" path="m7,45l96,r7,l111,8r,7l103,22,15,67r-8,l,59,,52,7,45r,xe" fillcolor="silver" strokecolor="silver" strokeweight=".35pt">
              <v:path arrowok="t"/>
            </v:shape>
            <v:shape id="_x0000_s1343" style="position:absolute;left:2373;top:2400;width:111;height:59" coordsize="111,59" path="m7,37l96,r7,l111,8r,7l103,23,14,59r-7,l,52,,45,7,37r,xe" fillcolor="silver" strokecolor="silver" strokeweight=".35pt">
              <v:path arrowok="t"/>
            </v:shape>
            <v:shape id="_x0000_s1344" style="position:absolute;left:2461;top:2312;width:119;height:118" coordsize="119,118" path="m,88l89,r15,l111,r8,15l111,22,23,111r-8,7l,111r,-8l,88r,xe" fillcolor="silver" strokecolor="silver" strokeweight=".35pt">
              <v:path arrowok="t"/>
            </v:shape>
            <v:shape id="_x0000_s1345" style="position:absolute;left:2550;top:2231;width:126;height:110" coordsize="126,110" path="m,81l96,r15,l118,r8,14l118,22,22,103,7,110,,103,,88,,81r,xe" fillcolor="silver" strokecolor="silver" strokeweight=".35pt">
              <v:path arrowok="t"/>
            </v:shape>
            <v:shape id="_x0000_s1346" style="position:absolute;left:2646;top:2106;width:118;height:154" coordsize="118,155" path="m,126l89,r7,l111,r7,7l111,22,22,148r-7,7l,148r,-8l,126r,xe" fillcolor="silver" strokecolor="silver" strokeweight=".35pt">
              <v:path arrowok="t"/>
            </v:shape>
            <v:shape id="_x0000_s1347" style="position:absolute;left:2735;top:1979;width:118;height:155" coordsize="118,155" path="m,126l89,r7,l111,r7,8l111,23,22,148r-7,7l,148r,-7l,126r,xe" fillcolor="silver" strokecolor="silver" strokeweight=".35pt">
              <v:path arrowok="t"/>
            </v:shape>
            <v:shape id="_x0000_s1348" style="position:absolute;left:2824;top:1942;width:109;height:60" coordsize="110,60" path="m7,37l96,r7,l110,8r,7l103,23,14,60r-7,l,52,,45,7,37r,xe" fillcolor="silver" strokecolor="silver" strokeweight=".35pt">
              <v:path arrowok="t"/>
            </v:shape>
            <v:shape id="_x0000_s1349" style="position:absolute;left:2912;top:1854;width:119;height:118" coordsize="119,118" path="m,88l89,r15,l111,r8,15l111,22,22,111r-7,7l,111r,-8l,88r,xe" fillcolor="silver" strokecolor="silver" strokeweight=".35pt">
              <v:path arrowok="t"/>
            </v:shape>
            <v:shape id="_x0000_s1350" style="position:absolute;left:3001;top:1854;width:126;height:29" coordsize="126,29" path="m15,r96,l118,r8,15l118,22r-7,7l15,29,,22,,15,,,15,r,xe" fillcolor="silver" strokecolor="silver" strokeweight=".35pt">
              <v:path arrowok="t"/>
            </v:shape>
            <v:shape id="_x0000_s1351" style="position:absolute;left:3097;top:1817;width:110;height:59" coordsize="111,59" path="m7,37l96,r8,l111,7r,8l104,22,15,59r-8,l,52,,44,7,37r,xe" fillcolor="silver" strokecolor="silver" strokeweight=".35pt">
              <v:path arrowok="t"/>
            </v:shape>
            <v:shape id="_x0000_s1352" style="position:absolute;left:3186;top:1736;width:118;height:110" coordsize="118,110" path="m,81l88,r15,l111,r7,14l111,22,22,103,7,110,,103,,88,,81r,xe" fillcolor="silver" strokecolor="silver" strokeweight=".35pt">
              <v:path arrowok="t"/>
            </v:shape>
            <v:shape id="_x0000_s1353" style="position:absolute;left:3274;top:1691;width:111;height:67" coordsize="111,67" path="m8,45l97,r7,l111,8r,7l104,23,15,67r-7,l,59,,52,8,45r,xe" fillcolor="silver" strokecolor="silver" strokeweight=".35pt">
              <v:path arrowok="t"/>
            </v:shape>
            <v:shape id="_x0000_s1354" style="position:absolute;left:3363;top:1647;width:118;height:67" coordsize="118,67" path="m8,44l104,r7,l118,7r,8l111,22,15,67r-7,l,59,,52,8,44r,xe" fillcolor="silver" strokecolor="silver" strokeweight=".35pt">
              <v:path arrowok="t"/>
            </v:shape>
            <v:shape id="_x0000_s1355" style="position:absolute;left:3459;top:1610;width:111;height:59" coordsize="111,59" path="m8,37l96,r8,l111,7r,8l104,22,15,59r-7,l,52,,44,8,37r,xe" fillcolor="silver" strokecolor="silver" strokeweight=".35pt">
              <v:path arrowok="t"/>
            </v:shape>
            <v:shape id="_x0000_s1356" style="position:absolute;left:3548;top:1566;width:111;height:66" coordsize="111,66" path="m7,44l96,r7,l111,7r,8l103,22,15,66r-8,l,59,,51,7,44r,xe" fillcolor="silver" strokecolor="silver" strokeweight=".35pt">
              <v:path arrowok="t"/>
            </v:shape>
            <v:shape id="_x0000_s1357" style="position:absolute;left:3637;top:1521;width:111;height:67" coordsize="111,67" path="m7,45l96,r7,l111,8r,7l103,23,14,67r-7,l,60,,52,7,45r,xe" fillcolor="silver" strokecolor="silver" strokeweight=".35pt">
              <v:path arrowok="t"/>
            </v:shape>
            <v:shape id="_x0000_s1358" style="position:absolute;left:3725;top:1521;width:119;height:30" coordsize="119,30" path="m15,r89,l111,r8,15l111,23r-7,7l15,30,,23,,15,,,15,r,xe" fillcolor="silver" strokecolor="silver" strokeweight=".35pt">
              <v:path arrowok="t"/>
            </v:shape>
            <v:shape id="_x0000_s1359" style="position:absolute;left:3814;top:1485;width:118;height:59" coordsize="118,59" path="m7,36l104,r7,l118,7r,7l111,22,15,59r-8,l,51,,44,7,36r,xe" fillcolor="silver" strokecolor="silver" strokeweight=".35pt">
              <v:path arrowok="t"/>
            </v:shape>
            <v:shape id="_x0000_s1360" style="position:absolute;left:3910;top:1485;width:118;height:28" coordsize="118,29" path="m15,r89,l111,r7,14l111,22r-7,7l15,29,,22,,14,,,15,r,xe" fillcolor="silver" strokecolor="silver" strokeweight=".35pt">
              <v:path arrowok="t"/>
            </v:shape>
            <v:shape id="_x0000_s1361" style="position:absolute;left:3999;top:1440;width:111;height:67" coordsize="111,67" path="m7,45l96,r7,l111,8r,7l103,22,15,67r-8,l,59,,52,7,45r,xe" fillcolor="silver" strokecolor="silver" strokeweight=".35pt">
              <v:path arrowok="t"/>
            </v:shape>
            <v:shape id="_x0000_s1362" style="position:absolute;left:4088;top:1359;width:118;height:111" coordsize="118,111" path="m,81l88,r15,l110,r8,15l110,22,22,103,7,111,,103,,89,,81r,xe" fillcolor="silver" strokecolor="silver" strokeweight=".35pt">
              <v:path arrowok="t"/>
            </v:shape>
            <v:shape id="_x0000_s1363" style="position:absolute;left:4176;top:1359;width:118;height:59" coordsize="118,59" path="m15,r96,37l118,44r,8l111,59r-7,l8,22,,15,,7,8,r7,l15,xe" fillcolor="silver" strokecolor="silver" strokeweight=".35pt">
              <v:path arrowok="t"/>
            </v:shape>
            <v:shape id="_x0000_s1364" style="position:absolute;left:4272;top:1315;width:119;height:110" coordsize="119,110" path="m,81l89,r15,l111,r8,14l111,22,22,103,8,110,,103,,88,,81r,xe" fillcolor="silver" strokecolor="silver" strokeweight=".35pt">
              <v:path arrowok="t"/>
            </v:shape>
            <v:shape id="_x0000_s1365" style="position:absolute;left:4361;top:1315;width:118;height:29" coordsize="118,29" path="m15,r88,l111,r7,14l111,22r-8,7l15,29,,22,,14,,,15,r,xe" fillcolor="silver" strokecolor="silver" strokeweight=".35pt">
              <v:path arrowok="t"/>
            </v:shape>
            <v:shape id="_x0000_s1366" style="position:absolute;left:4450;top:1315;width:118;height:29" coordsize="118,29" path="m14,r89,l111,r7,14l111,22r-8,7l14,29,,22,,14,,,14,r,xe" fillcolor="silver" strokecolor="silver" strokeweight=".35pt">
              <v:path arrowok="t"/>
            </v:shape>
            <v:shape id="_x0000_s1367" style="position:absolute;left:4538;top:1315;width:119;height:29" coordsize="119,29" path="m15,r89,l111,r8,14l111,22r-7,7l15,29,,22,,14,,,15,r,xe" fillcolor="silver" strokecolor="silver" strokeweight=".35pt">
              <v:path arrowok="t"/>
            </v:shape>
            <v:shape id="_x0000_s1368" style="position:absolute;left:4627;top:1315;width:126;height:29" coordsize="126,29" path="m15,r96,l118,r8,14l118,22r-7,7l15,29,,22,,14,,,15,r,xe" fillcolor="silver" strokecolor="silver" strokeweight=".35pt">
              <v:path arrowok="t"/>
            </v:shape>
            <v:shape id="_x0000_s1369" style="position:absolute;left:4723;top:1278;width:111;height:59" coordsize="111,59" path="m8,37l96,r8,l111,7r,8l104,22,15,59r-7,l,51,,44,8,37r,xe" fillcolor="silver" strokecolor="silver" strokeweight=".35pt">
              <v:path arrowok="t"/>
            </v:shape>
            <v:shape id="_x0000_s1370" style="position:absolute;left:4812;top:1278;width:118;height:29" coordsize="118,29" path="m15,r88,l111,r7,15l111,22r-8,7l15,29,,22,,15,,,15,r,xe" fillcolor="silver" strokecolor="silver" strokeweight=".35pt">
              <v:path arrowok="t"/>
            </v:shape>
            <v:shape id="_x0000_s1371" style="position:absolute;left:4901;top:1278;width:118;height:29" coordsize="118,29" path="m14,r89,l110,r8,15l110,22r-7,7l14,29,,22,,15,,,14,r,xe" fillcolor="silver" strokecolor="silver" strokeweight=".35pt">
              <v:path arrowok="t"/>
            </v:shape>
            <v:shape id="_x0000_s1372" style="position:absolute;left:4989;top:1233;width:119;height:67" coordsize="119,67" path="m8,45l104,r7,l119,8r,7l111,23,15,67r-7,l,60,,52,8,45r,xe" fillcolor="silver" strokecolor="silver" strokeweight=".35pt">
              <v:path arrowok="t"/>
            </v:shape>
            <v:shape id="_x0000_s1373" style="position:absolute;left:5085;top:1189;width:112;height:67" coordsize="111,67" path="m8,44l96,r8,l111,7r,8l104,22,15,67r-7,l,59,,52,8,44r,xe" fillcolor="silver" strokecolor="silver" strokeweight=".35pt">
              <v:path arrowok="t"/>
            </v:shape>
            <v:shape id="_x0000_s1374" style="position:absolute;left:5174;top:1152;width:111;height:59" coordsize="111,59" path="m7,37l96,r8,l111,8r,7l104,22,15,59r-8,l,52,,44,7,37r,xe" fillcolor="silver" strokecolor="silver" strokeweight=".35pt">
              <v:path arrowok="t"/>
            </v:shape>
            <v:shape id="_x0000_s1375" style="position:absolute;left:5263;top:1152;width:118;height:30" coordsize="118,30" path="m15,r88,l111,r7,15l111,22r-8,8l15,30,,22,,15,,,15,r,xe" fillcolor="silver" strokecolor="silver" strokeweight=".35pt">
              <v:path arrowok="t"/>
            </v:shape>
            <v:shape id="_x0000_s1376" style="position:absolute;left:5351;top:1152;width:120;height:30" coordsize="119,30" path="m15,r89,l111,r8,15l111,22r-7,8l15,30,,22,,15,,,15,r,xe" fillcolor="silver" strokecolor="silver" strokeweight=".35pt">
              <v:path arrowok="t"/>
            </v:shape>
            <v:shape id="_x0000_s1377" style="position:absolute;left:5440;top:1108;width:118;height:66" coordsize="118,66" path="m8,44l104,r7,l118,7r,8l111,22,15,66r-7,l,59,,52,8,44r,xe" fillcolor="silver" strokecolor="silver" strokeweight=".35pt">
              <v:path arrowok="t"/>
            </v:shape>
            <v:shape id="_x0000_s1378" style="position:absolute;left:5536;top:1108;width:119;height:29" coordsize="119,29" path="m15,r89,l111,r8,15l111,22r-7,7l15,29,,22,,15,,,15,r,xe" fillcolor="silver" strokecolor="silver" strokeweight=".35pt">
              <v:path arrowok="t"/>
            </v:shape>
            <v:shape id="_x0000_s1379" style="position:absolute;left:5625;top:1108;width:118;height:29" coordsize="118,29" path="m15,r88,l111,r7,15l111,22r-8,7l15,29,,22,,15,,,15,r,xe" fillcolor="silver" strokecolor="silver" strokeweight=".35pt">
              <v:path arrowok="t"/>
            </v:shape>
            <v:shape id="_x0000_s1380" style="position:absolute;left:5714;top:1108;width:118;height:29" coordsize="118,29" path="m14,r89,l111,r7,15l111,22r-8,7l14,29,,22,,15,,,14,r,xe" fillcolor="silver" strokecolor="silver" strokeweight=".35pt">
              <v:path arrowok="t"/>
            </v:shape>
            <v:shape id="_x0000_s1381" style="position:absolute;left:5802;top:1108;width:126;height:29" coordsize="126,29" path="m15,r96,l119,r7,15l119,22r-8,7l15,29,,22,,15,,,15,r,xe" fillcolor="silver" strokecolor="silver" strokeweight=".35pt">
              <v:path arrowok="t"/>
            </v:shape>
            <v:shape id="_x0000_s1382" style="position:absolute;left:5898;top:1108;width:119;height:29" coordsize="119,29" path="m15,r89,l111,r8,15l111,22r-7,7l15,29,,22,,15,,,15,r,xe" fillcolor="silver" strokecolor="silver" strokeweight=".35pt">
              <v:path arrowok="t"/>
            </v:shape>
            <v:shape id="_x0000_s1383" style="position:absolute;left:5987;top:1064;width:111;height:66" coordsize="111,66" path="m8,44l96,r8,l111,7r,7l104,22,15,66r-7,l,59,,51,8,44r,xe" fillcolor="silver" strokecolor="silver" strokeweight=".35pt">
              <v:path arrowok="t"/>
            </v:shape>
            <v:shape id="_x0000_s1384" style="position:absolute;left:6076;top:1064;width:118;height:29" coordsize="118,29" path="m15,r88,l111,r7,14l111,22r-8,7l15,29,,22,,14,,,15,r,xe" fillcolor="silver" strokecolor="silver" strokeweight=".35pt">
              <v:path arrowok="t"/>
            </v:shape>
            <v:shape id="_x0000_s1385" style="position:absolute;left:6165;top:1064;width:118;height:29" coordsize="118,29" path="m14,r89,l110,r8,14l110,22r-7,7l14,29,,22,,14,,,14,r,xe" fillcolor="silver" strokecolor="silver" strokeweight=".35pt">
              <v:path arrowok="t"/>
            </v:shape>
            <v:shape id="_x0000_s1386" style="position:absolute;left:6253;top:1064;width:126;height:29" coordsize="126,29" path="m15,r96,l118,r8,14l118,22r-7,7l15,29,,22,,14,,,15,r,xe" fillcolor="silver" strokecolor="silver" strokeweight=".35pt">
              <v:path arrowok="t"/>
            </v:shape>
            <v:shape id="_x0000_s1387" style="position:absolute;left:6349;top:1064;width:119;height:29" coordsize="119,29" path="m15,r89,l111,r8,14l111,22r-7,7l15,29,,22,,14,,,15,r,xe" fillcolor="silver" strokecolor="silver" strokeweight=".35pt">
              <v:path arrowok="t"/>
            </v:shape>
            <v:shape id="_x0000_s1388" style="position:absolute;left:6438;top:1064;width:118;height:29" coordsize="118,29" path="m15,r89,l111,r7,14l111,22r-7,7l15,29,,22,,14,,,15,r,xe" fillcolor="silver" strokecolor="silver" strokeweight=".35pt">
              <v:path arrowok="t"/>
            </v:shape>
            <v:shape id="_x0000_s1389" style="position:absolute;left:6527;top:1064;width:118;height:29" coordsize="118,29" path="m15,r88,l111,r7,14l111,22r-8,7l15,29,,22,,14,,,15,r,xe" fillcolor="silver" strokecolor="silver" strokeweight=".35pt">
              <v:path arrowok="t"/>
            </v:shape>
            <v:shape id="_x0000_s1390" style="position:absolute;left:384;top:2231;width:111;height:66" coordsize="111,66" path="m15,r89,44l111,51r,8l104,66r-8,l8,22,,14,,7,8,r7,l15,xe" fillcolor="navy" strokecolor="navy" strokeweight=".35pt">
              <v:path arrowok="t"/>
            </v:shape>
            <v:shape id="_x0000_s1391" style="position:absolute;left:473;top:2275;width:111;height:59" coordsize="111,59" path="m15,r89,37l111,44r,8l104,59r-8,l7,22,,15,,7,7,r8,l15,xe" fillcolor="navy" strokecolor="navy" strokeweight=".35pt">
              <v:path arrowok="t"/>
            </v:shape>
            <v:shape id="_x0000_s1392" style="position:absolute;left:562;top:2312;width:125;height:118" coordsize="125,118" path="m22,r96,88l125,96r-7,15l111,118,96,111,,22,,15,,,7,,22,r,xe" fillcolor="navy" strokecolor="navy" strokeweight=".35pt">
              <v:path arrowok="t"/>
            </v:shape>
            <v:shape id="_x0000_s1393" style="position:absolute;left:658;top:2400;width:118;height:30" coordsize="118,30" path="m15,r88,l111,r7,15l111,23r-8,7l15,30,,23,,15,,,15,r,xe" fillcolor="navy" strokecolor="navy" strokeweight=".35pt">
              <v:path arrowok="t"/>
            </v:shape>
            <v:shape id="_x0000_s1394" style="position:absolute;left:747;top:2400;width:118;height:30" coordsize="118,30" path="m14,r89,l110,r8,15l110,23r-7,7l14,30,,23,,15,,,14,r,xe" fillcolor="navy" strokecolor="navy" strokeweight=".35pt">
              <v:path arrowok="t"/>
            </v:shape>
            <v:shape id="_x0000_s1395" style="position:absolute;left:835;top:2400;width:119;height:30" coordsize="119,30" path="m15,r89,l111,r8,15l111,23r-7,7l15,30,,23,,15,,,15,r,xe" fillcolor="navy" strokecolor="navy" strokeweight=".35pt">
              <v:path arrowok="t"/>
            </v:shape>
            <v:shape id="_x0000_s1396" style="position:absolute;left:924;top:2400;width:126;height:30" coordsize="126,30" path="m15,r96,l118,r8,15l118,23r-7,7l15,30,,23,,15,,,15,r,xe" fillcolor="navy" strokecolor="navy" strokeweight=".35pt">
              <v:path arrowok="t"/>
            </v:shape>
            <v:shape id="_x0000_s1397" style="position:absolute;left:1020;top:2400;width:111;height:59" coordsize="111,59" path="m15,r89,37l111,45r,7l104,59r-8,l7,23,,15,,8,7,r8,l15,xe" fillcolor="navy" strokecolor="navy" strokeweight=".35pt">
              <v:path arrowok="t"/>
            </v:shape>
            <v:shape id="_x0000_s1398" style="position:absolute;left:1109;top:2437;width:110;height:67" coordsize="111,67" path="m15,r88,45l111,52r,7l103,67r-7,l7,22,,15,,8,7,r8,l15,xe" fillcolor="navy" strokecolor="navy" strokeweight=".35pt">
              <v:path arrowok="t"/>
            </v:shape>
            <v:shape id="_x0000_s1399" style="position:absolute;left:1197;top:2482;width:111;height:66" coordsize="111,66" path="m15,r89,44l111,51r,8l104,66r-7,l8,22,,14,,7,8,r7,l15,xe" fillcolor="navy" strokecolor="navy" strokeweight=".35pt">
              <v:path arrowok="t"/>
            </v:shape>
            <v:shape id="_x0000_s1400" style="position:absolute;left:1286;top:2526;width:111;height:59" coordsize="111,59" path="m15,r89,37l111,44r,8l104,59r-8,l8,22,,15,,7,8,r7,l15,xe" fillcolor="navy" strokecolor="navy" strokeweight=".35pt">
              <v:path arrowok="t"/>
            </v:shape>
            <v:shape id="_x0000_s1401" style="position:absolute;left:1375;top:2563;width:125;height:30" coordsize="125,29" path="m15,r96,l118,r7,15l118,22r-7,7l15,29,,22,,15,,,15,r,xe" fillcolor="navy" strokecolor="navy" strokeweight=".35pt">
              <v:path arrowok="t"/>
            </v:shape>
            <v:shape id="_x0000_s1402" style="position:absolute;left:1471;top:2563;width:111;height:66" coordsize="111,66" path="m15,r88,44l111,52r,7l103,66r-7,l7,22,,15,,7,7,r8,l15,xe" fillcolor="navy" strokecolor="navy" strokeweight=".35pt">
              <v:path arrowok="t"/>
            </v:shape>
            <v:shape id="_x0000_s1403" style="position:absolute;left:1560;top:2607;width:118;height:111" coordsize="118,111" path="m22,r88,81l118,89r-8,15l103,111,88,104,,22,,15,,,7,,22,r,xe" fillcolor="navy" strokecolor="navy" strokeweight=".35pt">
              <v:path arrowok="t"/>
            </v:shape>
            <v:shape id="_x0000_s1404" style="position:absolute;left:1648;top:2688;width:119;height:30" coordsize="119,30" path="m15,r89,l111,r8,15l111,23r-7,7l15,30,,23,,15,,,15,r,xe" fillcolor="navy" strokecolor="navy" strokeweight=".35pt">
              <v:path arrowok="t"/>
            </v:shape>
            <v:shape id="_x0000_s1405" style="position:absolute;left:1737;top:2688;width:118;height:67" coordsize="118,67" path="m15,r96,45l118,52r,8l111,67r-8,l7,23,,15,,8,7,r8,l15,xe" fillcolor="navy" strokecolor="navy" strokeweight=".35pt">
              <v:path arrowok="t"/>
            </v:shape>
            <v:shape id="_x0000_s1406" style="position:absolute;left:1833;top:2733;width:118;height:29" coordsize="118,29" path="m15,r89,l111,r7,15l111,22r-7,7l15,29,,22,,15,,,15,r,xe" fillcolor="navy" strokecolor="navy" strokeweight=".35pt">
              <v:path arrowok="t"/>
            </v:shape>
            <v:shape id="_x0000_s1407" style="position:absolute;left:1922;top:2733;width:118;height:29" coordsize="118,29" path="m15,r88,l111,r7,15l111,22r-8,7l15,29,,22,,15,,,15,r,xe" fillcolor="navy" strokecolor="navy" strokeweight=".35pt">
              <v:path arrowok="t"/>
            </v:shape>
            <v:shape id="_x0000_s1408" style="position:absolute;left:2010;top:2688;width:111;height:67" coordsize="111,67" path="m8,45l97,r7,l111,8r,7l104,23,15,67r-7,l,60,,52,8,45r,xe" fillcolor="navy" strokecolor="navy" strokeweight=".35pt">
              <v:path arrowok="t"/>
            </v:shape>
            <v:shape id="_x0000_s1409" style="position:absolute;left:2099;top:2644;width:111;height:67" coordsize="111,67" path="m8,44l96,r8,l111,7r,8l104,22,15,67r-7,l,59,,52,8,44r,xe" fillcolor="navy" strokecolor="navy" strokeweight=".35pt">
              <v:path arrowok="t"/>
            </v:shape>
            <v:shape id="_x0000_s1410" style="position:absolute;left:2188;top:2563;width:126;height:111" coordsize="126,111" path="m,81l96,r15,l118,r8,15l118,22,22,103,7,111,,103,,88,,81r,xe" fillcolor="navy" strokecolor="navy" strokeweight=".35pt">
              <v:path arrowok="t"/>
            </v:shape>
            <v:shape id="_x0000_s1411" style="position:absolute;left:2284;top:2437;width:118;height:156" coordsize="118,155" path="m,126l89,r7,l111,r7,8l111,22,22,148r-7,7l,148r,-7l,126r,xe" fillcolor="navy" strokecolor="navy" strokeweight=".35pt">
              <v:path arrowok="t"/>
            </v:shape>
            <v:shape id="_x0000_s1412" style="position:absolute;left:2373;top:2312;width:118;height:155" coordsize="118,155" path="m,125l88,r8,l111,r7,7l111,22,22,147r-8,8l,147r,-7l,125r,xe" fillcolor="navy" strokecolor="navy" strokeweight=".35pt">
              <v:path arrowok="t"/>
            </v:shape>
            <v:shape id="_x0000_s1413" style="position:absolute;left:2461;top:2149;width:111;height:185" coordsize="111,185" path="m,170l89,8,96,r15,l111,8r,14l23,185r-8,l8,185,,178r,-8l,170xe" fillcolor="navy" strokecolor="navy" strokeweight=".35pt">
              <v:path arrowok="t"/>
            </v:shape>
            <v:shape id="_x0000_s1414" style="position:absolute;left:2550;top:2024;width:126;height:155" coordsize="126,155" path="m,125l96,r8,l118,r8,7l118,22,22,147r-7,8l,147r,-7l,125r,xe" fillcolor="navy" strokecolor="navy" strokeweight=".35pt">
              <v:path arrowok="t"/>
            </v:shape>
            <v:shape id="_x0000_s1415" style="position:absolute;left:2646;top:1773;width:111;height:273" coordsize="111,273" path="m,258l89,7,96,r8,l111,7r,7l22,265r-7,8l8,273,,265r,-7l,258xe" fillcolor="navy" strokecolor="navy" strokeweight=".35pt">
              <v:path arrowok="t"/>
            </v:shape>
            <v:shape id="_x0000_s1416" style="position:absolute;left:2735;top:1521;width:111;height:274" coordsize="111,274" path="m,259l89,8,96,r7,l111,8r,7l22,266r-7,8l7,274,,266r,-7l,259xe" fillcolor="navy" strokecolor="navy" strokeweight=".35pt">
              <v:path arrowok="t"/>
            </v:shape>
            <v:shape id="_x0000_s1417" style="position:absolute;left:2824;top:1396;width:118;height:155" coordsize="118,155" path="m,125l88,r8,l110,r8,7l110,22,22,148r-8,7l,148r,-8l,125r,xe" fillcolor="navy" strokecolor="navy" strokeweight=".35pt">
              <v:path arrowok="t"/>
            </v:shape>
            <v:shape id="_x0000_s1418" style="position:absolute;left:2912;top:1233;width:111;height:185" coordsize="111,185" path="m,170l89,8,96,r15,l111,8r,15l22,185r-7,l8,185,,178r,-8l,170xe" fillcolor="navy" strokecolor="navy" strokeweight=".35pt">
              <v:path arrowok="t"/>
            </v:shape>
            <v:shape id="_x0000_s1419" style="position:absolute;left:3001;top:1189;width:118;height:67" coordsize="118,67" path="m7,44l103,r8,l118,7r,8l111,22,15,67r-8,l,59,,52,7,44r,xe" fillcolor="navy" strokecolor="navy" strokeweight=".35pt">
              <v:path arrowok="t"/>
            </v:shape>
            <v:shape id="_x0000_s1420" style="position:absolute;left:3097;top:1108;width:118;height:111" coordsize="118,111" path="m,81l89,r15,l111,r7,15l111,22,22,103,7,111,,103,,88,,81r,xe" fillcolor="navy" strokecolor="navy" strokeweight=".35pt">
              <v:path arrowok="t"/>
            </v:shape>
            <v:shape id="_x0000_s1421" style="position:absolute;left:3186;top:938;width:111;height:192" coordsize="111,192" path="m,177l88,7,96,r7,l111,7r,8l22,185r-7,7l7,192,,185r,-8l,177xe" fillcolor="navy" strokecolor="navy" strokeweight=".35pt">
              <v:path arrowok="t"/>
            </v:shape>
            <v:shape id="_x0000_s1422" style="position:absolute;left:3274;top:857;width:119;height:111" coordsize="119,111" path="m,81l89,r15,l111,r8,15l111,22,23,103,8,111,,103,,88,,81r,xe" fillcolor="navy" strokecolor="navy" strokeweight=".35pt">
              <v:path arrowok="t"/>
            </v:shape>
            <v:shape id="_x0000_s1423" style="position:absolute;left:3363;top:776;width:126;height:110" coordsize="126,110" path="m,81l96,r15,l118,r8,14l118,22,22,103,8,110,,103,,88,,81r,xe" fillcolor="navy" strokecolor="navy" strokeweight=".35pt">
              <v:path arrowok="t"/>
            </v:shape>
            <v:shape id="_x0000_s1424" style="position:absolute;left:3459;top:776;width:119;height:29" coordsize="119,29" path="m15,r89,l111,r8,14l111,22r-7,7l15,29,,22,,14,,,15,r,xe" fillcolor="navy" strokecolor="navy" strokeweight=".35pt">
              <v:path arrowok="t"/>
            </v:shape>
            <v:shape id="_x0000_s1425" style="position:absolute;left:3548;top:731;width:111;height:67" coordsize="111,67" path="m7,45l96,r7,l111,8r,7l103,22,15,67r-8,l,59,,52,7,45r,xe" fillcolor="navy" strokecolor="navy" strokeweight=".35pt">
              <v:path arrowok="t"/>
            </v:shape>
            <v:shape id="_x0000_s1426" style="position:absolute;left:3637;top:650;width:118;height:111" coordsize="118,111" path="m,81l88,r15,l111,r7,15l111,22,22,103,7,111,,103,,89,,81r,xe" fillcolor="navy" strokecolor="navy" strokeweight=".35pt">
              <v:path arrowok="t"/>
            </v:shape>
            <v:shape id="_x0000_s1427" style="position:absolute;left:3725;top:606;width:111;height:66" coordsize="111,66" path="m8,44l96,r8,l111,7r,7l104,22,15,66r-7,l,59,,51,8,44r,xe" fillcolor="navy" strokecolor="navy" strokeweight=".35pt">
              <v:path arrowok="t"/>
            </v:shape>
            <v:shape id="_x0000_s1428" style="position:absolute;left:3814;top:606;width:118;height:66" coordsize="118,66" path="m15,r96,44l118,51r,8l111,66r-7,l7,22,,14,,7,7,r8,l15,xe" fillcolor="navy" strokecolor="navy" strokeweight=".35pt">
              <v:path arrowok="t"/>
            </v:shape>
            <v:shape id="_x0000_s1429" style="position:absolute;left:3910;top:650;width:111;height:66" coordsize="111,66" path="m15,r89,44l111,52r,7l104,66r-8,l8,22,,15,,7,8,r7,l15,xe" fillcolor="navy" strokecolor="navy" strokeweight=".35pt">
              <v:path arrowok="t"/>
            </v:shape>
            <v:shape id="_x0000_s1430" style="position:absolute;left:3999;top:694;width:118;height:30" coordsize="118,30" path="m15,r88,l111,r7,15l111,22r-8,8l15,30,,22,,15,,,15,r,xe" fillcolor="navy" strokecolor="navy" strokeweight=".35pt">
              <v:path arrowok="t"/>
            </v:shape>
            <v:shape id="_x0000_s1431" style="position:absolute;left:4088;top:606;width:118;height:118" coordsize="118,118" path="m,88l88,r15,l110,r8,14l110,22,22,110r-8,8l,110r,-7l,88r,xe" fillcolor="navy" strokecolor="navy" strokeweight=".35pt">
              <v:path arrowok="t"/>
            </v:shape>
            <v:shape id="_x0000_s1432" style="position:absolute;left:4176;top:606;width:126;height:118" coordsize="126,118" path="m22,r96,88l126,96r-8,14l111,118,96,110,,22,,14,,,8,,22,r,xe" fillcolor="navy" strokecolor="navy" strokeweight=".35pt">
              <v:path arrowok="t"/>
            </v:shape>
            <v:shape id="_x0000_s1433" style="position:absolute;left:4272;top:650;width:111;height:66" coordsize="111,66" path="m8,44l96,r8,l111,7r,8l104,22,15,66r-7,l,59,,52,8,44r,xe" fillcolor="navy" strokecolor="navy" strokeweight=".35pt">
              <v:path arrowok="t"/>
            </v:shape>
            <v:shape id="_x0000_s1434" style="position:absolute;left:4361;top:650;width:111;height:66" coordsize="111,66" path="m15,r88,44l111,52r,7l103,66r-7,l7,22,,15,,7,7,r8,l15,xe" fillcolor="navy" strokecolor="navy" strokeweight=".35pt">
              <v:path arrowok="t"/>
            </v:shape>
            <v:shape id="_x0000_s1435" style="position:absolute;left:4450;top:694;width:111;height:59" coordsize="111,59" path="m14,r89,37l111,45r,7l103,59r-7,l7,22,,15,,8,7,r7,l14,xe" fillcolor="navy" strokecolor="navy" strokeweight=".35pt">
              <v:path arrowok="t"/>
            </v:shape>
            <v:shape id="_x0000_s1436" style="position:absolute;left:4538;top:731;width:119;height:30" coordsize="119,30" path="m15,r89,l111,r8,15l111,22r-7,8l15,30,,22,,15,,,15,r,xe" fillcolor="navy" strokecolor="navy" strokeweight=".35pt">
              <v:path arrowok="t"/>
            </v:shape>
            <v:shape id="_x0000_s1437" style="position:absolute;left:4627;top:731;width:126;height:30" coordsize="126,30" path="m15,r96,l118,r8,15l118,22r-7,8l15,30,,22,,15,,,15,r,xe" fillcolor="navy" strokecolor="navy" strokeweight=".35pt">
              <v:path arrowok="t"/>
            </v:shape>
            <v:shape id="_x0000_s1438" style="position:absolute;left:4723;top:731;width:118;height:155" coordsize="118,155" path="m22,r89,126l118,141r-7,7l96,155r-7,-7l,22,,8,,,15,r7,l22,xe" fillcolor="navy" strokecolor="navy" strokeweight=".35pt">
              <v:path arrowok="t"/>
            </v:shape>
            <v:shape id="_x0000_s1439" style="position:absolute;left:4812;top:857;width:111;height:66" coordsize="111,66" path="m15,r88,44l111,51r,8l103,66r-7,l7,22,,15,,7,7,r8,l15,xe" fillcolor="navy" strokecolor="navy" strokeweight=".35pt">
              <v:path arrowok="t"/>
            </v:shape>
            <v:shape id="_x0000_s1440" style="position:absolute;left:4901;top:901;width:118;height:111" coordsize="118,111" path="m22,r88,81l118,89r-8,14l103,111,88,103,,22,,15,,,7,,22,r,xe" fillcolor="navy" strokecolor="navy" strokeweight=".35pt">
              <v:path arrowok="t"/>
            </v:shape>
            <v:shape id="_x0000_s1441" style="position:absolute;left:4989;top:938;width:119;height:66" coordsize="119,66" path="m8,44l104,r7,l119,7r,8l111,22,15,66r-7,l,59,,52,8,44r,xe" fillcolor="navy" strokecolor="navy" strokeweight=".35pt">
              <v:path arrowok="t"/>
            </v:shape>
            <v:shape id="_x0000_s1442" style="position:absolute;left:5085;top:938;width:119;height:30" coordsize="119,30" path="m15,r89,l111,r8,15l111,22r-7,8l15,30,,22,,15,,,15,r,xe" fillcolor="navy" strokecolor="navy" strokeweight=".35pt">
              <v:path arrowok="t"/>
            </v:shape>
            <v:shape id="_x0000_s1443" style="position:absolute;left:5174;top:938;width:118;height:30" coordsize="118,30" path="m15,r89,l111,r7,15l111,22r-7,8l15,30,,22,,15,,,15,r,xe" fillcolor="navy" strokecolor="navy" strokeweight=".35pt">
              <v:path arrowok="t"/>
            </v:shape>
            <v:shape id="_x0000_s1444" style="position:absolute;left:5263;top:938;width:111;height:66" coordsize="111,66" path="m15,r88,44l111,52r,7l103,66r-7,l7,22,,15,,7,7,r8,l15,xe" fillcolor="navy" strokecolor="navy" strokeweight=".35pt">
              <v:path arrowok="t"/>
            </v:shape>
            <v:shape id="_x0000_s1445" style="position:absolute;left:5351;top:982;width:111;height:67" coordsize="111,67" path="m15,r89,45l111,52r,7l104,67r-7,l8,22,,15,,8,8,r7,l15,xe" fillcolor="navy" strokecolor="navy" strokeweight=".35pt">
              <v:path arrowok="t"/>
            </v:shape>
            <v:shape id="_x0000_s1446" style="position:absolute;left:5440;top:1026;width:126;height:30" coordsize="126,29" path="m15,r96,l118,r8,14l118,22r-7,7l15,29,,22,,14,,,15,r,xe" fillcolor="navy" strokecolor="navy" strokeweight=".35pt">
              <v:path arrowok="t"/>
            </v:shape>
            <v:shape id="_x0000_s1447" style="position:absolute;left:5536;top:1026;width:111;height:60" coordsize="111,59" path="m15,r89,37l111,44r,7l104,59r-8,l8,22,,14,,7,8,r7,l15,xe" fillcolor="navy" strokecolor="navy" strokeweight=".35pt">
              <v:path arrowok="t"/>
            </v:shape>
            <v:shape id="_x0000_s1448" style="position:absolute;left:5625;top:1064;width:118;height:29" coordsize="118,29" path="m15,r88,l111,r7,14l111,22r-8,7l15,29,,22,,14,,,15,r,xe" fillcolor="navy" strokecolor="navy" strokeweight=".35pt">
              <v:path arrowok="t"/>
            </v:shape>
            <v:shape id="_x0000_s1449" style="position:absolute;left:5714;top:1064;width:111;height:66" coordsize="111,66" path="m14,r89,44l111,51r,8l103,66r-7,l7,22,,14,,7,7,r7,l14,xe" fillcolor="navy" strokecolor="navy" strokeweight=".35pt">
              <v:path arrowok="t"/>
            </v:shape>
            <v:shape id="_x0000_s1450" style="position:absolute;left:5802;top:1064;width:119;height:66" coordsize="119,66" path="m8,44l104,r7,l119,7r,7l111,22,15,66r-7,l,59,,51,8,44r,xe" fillcolor="navy" strokecolor="navy" strokeweight=".35pt">
              <v:path arrowok="t"/>
            </v:shape>
            <v:shape id="_x0000_s1451" style="position:absolute;left:5898;top:1064;width:119;height:29" coordsize="119,29" path="m15,r89,l111,r8,14l111,22r-7,7l15,29,,22,,14,,,15,r,xe" fillcolor="navy" strokecolor="navy" strokeweight=".35pt">
              <v:path arrowok="t"/>
            </v:shape>
            <v:shape id="_x0000_s1452" style="position:absolute;left:5987;top:1064;width:118;height:29" coordsize="118,29" path="m15,r89,l111,r7,14l111,22r-7,7l15,29,,22,,14,,,15,r,xe" fillcolor="navy" strokecolor="navy" strokeweight=".35pt">
              <v:path arrowok="t"/>
            </v:shape>
            <v:shape id="_x0000_s1453" style="position:absolute;left:6076;top:1064;width:118;height:29" coordsize="118,29" path="m15,r88,l111,r7,14l111,22r-8,7l15,29,,22,,14,,,15,r,xe" fillcolor="navy" strokecolor="navy" strokeweight=".35pt">
              <v:path arrowok="t"/>
            </v:shape>
            <v:shape id="_x0000_s1454" style="position:absolute;left:6165;top:1026;width:110;height:60" coordsize="110,59" path="m7,37l96,r7,l110,7r,7l103,22,14,59r-7,l,51,,44,7,37r,xe" fillcolor="navy" strokecolor="navy" strokeweight=".35pt">
              <v:path arrowok="t"/>
            </v:shape>
            <v:shape id="_x0000_s1455" style="position:absolute;left:6253;top:1026;width:118;height:60" coordsize="118,59" path="m15,r96,37l118,44r,7l111,59r-7,l8,22,,14,,7,8,r7,l15,xe" fillcolor="navy" strokecolor="navy" strokeweight=".35pt">
              <v:path arrowok="t"/>
            </v:shape>
            <v:shape id="_x0000_s1456" style="position:absolute;left:6349;top:1064;width:119;height:118" coordsize="119,118" path="m22,r89,88l119,103r-8,7l104,118,89,110,,22,,14,,,15,r7,l22,xe" fillcolor="navy" strokecolor="navy" strokeweight=".35pt">
              <v:path arrowok="t"/>
            </v:shape>
            <v:shape id="_x0000_s1457" style="position:absolute;left:6438;top:1108;width:111;height:66" coordsize="111,66" path="m7,44l96,r8,l111,7r,8l104,22,15,66r-8,l,59,,52,7,44r,xe" fillcolor="navy" strokecolor="navy" strokeweight=".35pt">
              <v:path arrowok="t"/>
            </v:shape>
            <v:shape id="_x0000_s1458" style="position:absolute;left:6527;top:1108;width:118;height:29" coordsize="118,29" path="m15,r88,l111,r7,15l111,22r-8,7l15,29,,22,,15,,,15,r,xe" fillcolor="navy" strokecolor="navy" strokeweight=".35pt">
              <v:path arrowok="t"/>
            </v:shape>
            <v:rect id="_x0000_s1459" style="position:absolute;left:6808;top:3575;width:85;height:240;mso-wrap-style:none" filled="f" stroked="f">
              <v:textbox style="mso-next-textbox:#_x0000_s1459;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0</w:t>
                    </w:r>
                  </w:p>
                </w:txbxContent>
              </v:textbox>
            </v:rect>
            <v:rect id="_x0000_s1460" style="position:absolute;left:6808;top:3154;width:85;height:240;mso-wrap-style:none" filled="f" stroked="f">
              <v:textbox style="mso-next-textbox:#_x0000_s1460;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1</w:t>
                    </w:r>
                  </w:p>
                </w:txbxContent>
              </v:textbox>
            </v:rect>
            <v:rect id="_x0000_s1461" style="position:absolute;left:6808;top:2740;width:85;height:240;mso-wrap-style:none" filled="f" stroked="f">
              <v:textbox style="mso-next-textbox:#_x0000_s1461;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2</w:t>
                    </w:r>
                  </w:p>
                </w:txbxContent>
              </v:textbox>
            </v:rect>
            <v:rect id="_x0000_s1462" style="position:absolute;left:6808;top:2327;width:85;height:240;mso-wrap-style:none" filled="f" stroked="f">
              <v:textbox style="mso-next-textbox:#_x0000_s1462;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3</w:t>
                    </w:r>
                  </w:p>
                </w:txbxContent>
              </v:textbox>
            </v:rect>
            <v:rect id="_x0000_s1463" style="position:absolute;left:6808;top:1906;width:85;height:240;mso-wrap-style:none" filled="f" stroked="f">
              <v:textbox style="mso-next-textbox:#_x0000_s1463;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4</w:t>
                    </w:r>
                  </w:p>
                </w:txbxContent>
              </v:textbox>
            </v:rect>
            <v:rect id="_x0000_s1464" style="position:absolute;left:6808;top:1492;width:85;height:240;mso-wrap-style:none" filled="f" stroked="f">
              <v:textbox style="mso-next-textbox:#_x0000_s1464;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5</w:t>
                    </w:r>
                  </w:p>
                </w:txbxContent>
              </v:textbox>
            </v:rect>
            <v:rect id="_x0000_s1465" style="position:absolute;left:6808;top:1079;width:85;height:240;mso-wrap-style:none" filled="f" stroked="f">
              <v:textbox style="mso-next-textbox:#_x0000_s1465;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6</w:t>
                    </w:r>
                  </w:p>
                </w:txbxContent>
              </v:textbox>
            </v:rect>
            <v:rect id="_x0000_s1466" style="position:absolute;left:6808;top:658;width:85;height:240;mso-wrap-style:none" filled="f" stroked="f">
              <v:textbox style="mso-next-textbox:#_x0000_s1466;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7</w:t>
                    </w:r>
                  </w:p>
                </w:txbxContent>
              </v:textbox>
            </v:rect>
            <v:rect id="_x0000_s1467" style="position:absolute;left:6808;top:244;width:85;height:240;mso-wrap-style:none" filled="f" stroked="f">
              <v:textbox style="mso-next-textbox:#_x0000_s1467;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8</w:t>
                    </w:r>
                  </w:p>
                </w:txbxContent>
              </v:textbox>
            </v:rect>
            <v:rect id="_x0000_s1468" style="position:absolute;left:148;top:3575;width:85;height:240;mso-wrap-style:none" filled="f" stroked="f">
              <v:textbox style="mso-next-textbox:#_x0000_s1468;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0</w:t>
                    </w:r>
                  </w:p>
                </w:txbxContent>
              </v:textbox>
            </v:rect>
            <v:rect id="_x0000_s1469" style="position:absolute;left:148;top:3154;width:85;height:240;mso-wrap-style:none" filled="f" stroked="f">
              <v:textbox style="mso-next-textbox:#_x0000_s1469;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1</w:t>
                    </w:r>
                  </w:p>
                </w:txbxContent>
              </v:textbox>
            </v:rect>
            <v:rect id="_x0000_s1470" style="position:absolute;left:148;top:2740;width:85;height:240;mso-wrap-style:none" filled="f" stroked="f">
              <v:textbox style="mso-next-textbox:#_x0000_s1470;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2</w:t>
                    </w:r>
                  </w:p>
                </w:txbxContent>
              </v:textbox>
            </v:rect>
            <v:rect id="_x0000_s1471" style="position:absolute;left:148;top:2327;width:85;height:240;mso-wrap-style:none" filled="f" stroked="f">
              <v:textbox style="mso-next-textbox:#_x0000_s1471;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3</w:t>
                    </w:r>
                  </w:p>
                </w:txbxContent>
              </v:textbox>
            </v:rect>
            <v:rect id="_x0000_s1472" style="position:absolute;left:148;top:1906;width:85;height:240;mso-wrap-style:none" filled="f" stroked="f">
              <v:textbox style="mso-next-textbox:#_x0000_s1472;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4</w:t>
                    </w:r>
                  </w:p>
                </w:txbxContent>
              </v:textbox>
            </v:rect>
            <v:rect id="_x0000_s1473" style="position:absolute;left:148;top:1492;width:85;height:240;mso-wrap-style:none" filled="f" stroked="f">
              <v:textbox style="mso-next-textbox:#_x0000_s1473;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5</w:t>
                    </w:r>
                  </w:p>
                </w:txbxContent>
              </v:textbox>
            </v:rect>
            <v:rect id="_x0000_s1474" style="position:absolute;left:148;top:1079;width:85;height:240;mso-wrap-style:none" filled="f" stroked="f">
              <v:textbox style="mso-next-textbox:#_x0000_s1474;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6</w:t>
                    </w:r>
                  </w:p>
                </w:txbxContent>
              </v:textbox>
            </v:rect>
            <v:rect id="_x0000_s1475" style="position:absolute;left:148;top:658;width:85;height:240;mso-wrap-style:none" filled="f" stroked="f">
              <v:textbox style="mso-next-textbox:#_x0000_s1475;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7</w:t>
                    </w:r>
                  </w:p>
                </w:txbxContent>
              </v:textbox>
            </v:rect>
            <v:rect id="_x0000_s1476" style="position:absolute;left:148;top:244;width:85;height:240;mso-wrap-style:none" filled="f" stroked="f">
              <v:textbox style="mso-next-textbox:#_x0000_s1476;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8</w:t>
                    </w:r>
                  </w:p>
                </w:txbxContent>
              </v:textbox>
            </v:rect>
            <v:shape id="_x0000_s1477" style="position:absolute;left:37;top:3996;width:229;height:214" coordsize="229,214" path="m74,214l,140,52,88r7,8l15,140r22,22l81,118r8,7l44,170r30,29l118,147r8,8l74,214xm140,147l81,96r8,-8l96,96,111,66r7,-7l133,59r7,l148,74r37,29l170,110,140,81r-7,-7l126,74r-15,l111,88r7,22l148,140r-8,7xm214,37r15,-8l229,51r-7,15l192,81,163,66,148,37,163,14,185,r29,14l214,22,177,59r15,7l214,59r,-8l214,37r,xm170,51l200,22,185,14r-15,8l163,37r7,14l170,51xe" fillcolor="black" stroked="f">
              <v:path arrowok="t"/>
              <o:lock v:ext="edit" verticies="t"/>
            </v:shape>
            <v:shape id="_x0000_s1478" style="position:absolute;left:251;top:3974;width:45;height:36" coordsize="45,36" path="m15,36l,29,30,,45,7,15,36xe" fillcolor="black" stroked="f">
              <v:path arrowok="t"/>
            </v:shape>
            <v:shape id="_x0000_s1479" style="position:absolute;left:266;top:3811;width:133;height:170" coordsize="133,170" path="m22,148l,126,,103,7,81,22,74r15,l52,81,67,96r22,30l96,140,81,163r-22,7l44,163,22,148r,xm30,140r14,15l59,155r15,l81,133r-7,-7l59,111,44,96,30,89r-15,l7,111r8,7l30,140r,xm52,59l44,52,89,r7,7l104,44r14,37l133,103r-7,15l111,89,96,59,89,22,52,59xe" fillcolor="black" stroked="f">
              <v:path arrowok="t"/>
              <o:lock v:ext="edit" verticies="t"/>
            </v:shape>
            <v:shape id="_x0000_s1480" style="position:absolute;left:347;top:3981;width:185;height:214" coordsize="185,214" path="m45,214l,111r8,-8l119,148r-15,7l74,140,45,177r15,30l45,214xm37,162l60,140,37,125,15,118r8,15l37,162xm126,133r-7,7l45,66r7,-7l82,81,89,59r15,-7l111,52r15,7l141,66r15,30l148,118r-22,7l126,133xm104,103r15,15l141,111r,-15l133,74,111,66r-15,l89,89r15,14l104,103xm178,81l126,29r7,-7l141,29r,-14l141,7,156,r7,15l156,15r-8,7l148,37r8,7l185,74r-7,7xe" fillcolor="black" stroked="f">
              <v:path arrowok="t"/>
              <o:lock v:ext="edit" verticies="t"/>
            </v:shape>
            <v:shape id="_x0000_s1481" style="position:absolute;left:525;top:3974;width:37;height:36" coordsize="37,36" path="m15,36l,29,29,r8,7l15,36xe" fillcolor="black" stroked="f">
              <v:path arrowok="t"/>
            </v:shape>
            <v:shape id="_x0000_s1482" style="position:absolute;left:540;top:3811;width:133;height:170" coordsize="133,170" path="m22,148l,118,,103,7,81,22,74r15,l51,81,66,96r22,22l88,140r-7,23l59,170,37,163,22,148r,xm29,133r15,15l59,155r14,l81,133r-8,-7l59,103,44,89r-15,l14,89,7,103r7,15l29,133r,xm51,59l44,52,88,r8,7l103,44r15,37l133,103r-8,8l110,89,96,59,88,22,51,59xe" fillcolor="black" stroked="f">
              <v:path arrowok="t"/>
              <o:lock v:ext="edit" verticies="t"/>
            </v:shape>
            <v:shape id="_x0000_s1483" style="position:absolute;left:650;top:3966;width:170;height:185" coordsize="170,185" path="m23,177l37,163r15,14l60,170r7,-7l67,155,52,140,,89,15,81r52,52l74,148r,15l67,177r-22,8l23,177r,xm141,104r-7,-8l134,111r-8,15l111,133r-7,l89,126r-7,-8l52,89r8,-8l89,111r8,7l111,118r8,-7l126,104r-7,-8l111,81,82,52,97,44r51,52l141,104xm163,81l89,8,97,r73,74l163,81xe" fillcolor="black" stroked="f">
              <v:path arrowok="t"/>
              <o:lock v:ext="edit" verticies="t"/>
            </v:shape>
            <v:shape id="_x0000_s1484" style="position:absolute;left:798;top:3974;width:37;height:36" coordsize="37,36" path="m8,36l,29,30,r7,7l8,36xe" fillcolor="black" stroked="f">
              <v:path arrowok="t"/>
            </v:shape>
            <v:shape id="_x0000_s1485" style="position:absolute;left:806;top:3811;width:140;height:170" coordsize="140,170" path="m22,148l7,126,,103,7,81,22,74r15,l51,81,74,96r14,30l96,140r-8,23l59,170,44,163,22,148r,xm29,140r22,15l59,155r22,l81,133r-7,-7l59,111,44,96,37,89r-23,l14,111r8,7l29,140r,xm51,59l44,52,96,r7,7l103,44r15,37l140,103r-15,15l111,89,96,59,88,22,51,59xe" fillcolor="black" stroked="f">
              <v:path arrowok="t"/>
              <o:lock v:ext="edit" verticies="t"/>
            </v:shape>
            <v:shape id="_x0000_s1486" style="position:absolute;left:880;top:3974;width:214;height:199" coordsize="214,199" path="m22,184l7,169,,147,,125,14,110,37,96r29,l88,110r15,30l103,162r-7,30l66,199r-22,l22,184r,xm29,177r30,15l81,177,96,155,81,125,59,110r-15,l22,118r-8,29l14,162r15,15l29,177xm155,81r15,-8l177,96r-15,22l140,125,110,110,96,96r,-23l110,59r15,-8l147,59r-7,7l125,59r-7,7l110,81r8,22l140,118r15,-8l162,96,155,81r,xm207,59r7,7l207,73r-8,8l192,81,177,66,147,36r-7,8l133,36r7,-7l125,14,133,r14,22l162,14r,l155,29r37,30l192,66r7,l199,59r8,l207,59xe" fillcolor="black" stroked="f">
              <v:path arrowok="t"/>
              <o:lock v:ext="edit" verticies="t"/>
            </v:shape>
            <v:shape id="_x0000_s1487" style="position:absolute;left:1072;top:3974;width:37;height:36" coordsize="37,36" path="m7,36l,29,22,,37,7,7,36xe" fillcolor="black" stroked="f">
              <v:path arrowok="t"/>
            </v:shape>
            <v:shape id="_x0000_s1488" style="position:absolute;left:1079;top:3811;width:140;height:170" coordsize="141,170" path="m22,148l,118,,103,8,81,22,74r15,l52,81,74,96r15,22l96,140,81,163r-22,7l45,163,22,148r,xm30,133r22,15l59,155r15,l81,133r-7,-7l59,103,45,89r-15,l15,89r,14l15,118r15,15l30,133xm52,59l45,52,89,r7,7l104,44r14,37l141,103r-15,8l111,89,96,59,89,22,52,59xe" fillcolor="black" stroked="f">
              <v:path arrowok="t"/>
              <o:lock v:ext="edit" verticies="t"/>
            </v:shape>
            <v:shape id="_x0000_s1489" style="position:absolute;left:1116;top:3996;width:237;height:214" coordsize="237,214" path="m74,214l,140,59,88r8,8l22,140r22,22l81,118r15,7l52,170r22,29l126,147r7,8l74,214xm141,147l89,96r7,-8l104,96r7,-30l126,59r7,l148,59r7,15l185,103r-7,7l148,81,133,74r-7,l118,74r-7,14l126,110r29,30l141,147xm222,37r7,-8l237,51,222,66,200,81,170,66,155,37,170,14,192,r30,14l222,22,185,59r15,7l214,59r8,-8l222,37r,xm178,51l207,22,192,14r-14,8l170,37r8,14l178,51xe" fillcolor="black" stroked="f">
              <v:path arrowok="t"/>
              <o:lock v:ext="edit" verticies="t"/>
            </v:shape>
            <v:shape id="_x0000_s1490" style="position:absolute;left:1338;top:3974;width:37;height:36" coordsize="37,36" path="m7,36l,29,29,r8,7l7,36xe" fillcolor="black" stroked="f">
              <v:path arrowok="t"/>
            </v:shape>
            <v:shape id="_x0000_s1491" style="position:absolute;left:1345;top:3826;width:155;height:155" coordsize="155,155" path="m22,133l8,111,,88,15,66r7,-7l37,59r15,7l74,81r22,30l96,125r-7,23l67,155,45,148,22,133r,xm37,125r15,15l67,140r15,l89,118r-7,-7l67,96,52,81,37,74r-15,l15,96r7,7l37,125r,xm96,59r-14,l67,52,59,37,67,15,89,r22,7l119,22r,15l133,29r15,15l155,66r-7,22l119,96,96,88,89,74,96,59r,xm74,44r15,8l104,44r,-15l104,22,89,15,74,22r,7l74,44r,xm111,81r8,7l126,88r15,-7l148,66,141,52,126,44r-15,8l104,66r7,15l111,81xe" fillcolor="black" stroked="f">
              <v:path arrowok="t"/>
              <o:lock v:ext="edit" verticies="t"/>
            </v:shape>
            <v:shape id="_x0000_s1492" style="position:absolute;left:1434;top:3981;width:185;height:214" coordsize="185,214" path="m44,214l,111r7,-8l111,148r-8,7l74,140,37,177r15,30l44,214xm37,162l59,140,30,125,7,118r15,15l37,162xm126,133r-8,7l44,66r8,-7l81,81,89,59r7,-7l111,52r15,7l140,66r15,30l140,118r-22,7l126,133xm96,103r22,15l133,111r7,-15l126,74,111,66r-15,l89,89r7,14l96,103xm177,81l118,29r15,-7l140,29,133,15r7,-8l155,r,15l148,15r,7l148,37r7,7l185,74r-8,7xe" fillcolor="black" stroked="f">
              <v:path arrowok="t"/>
              <o:lock v:ext="edit" verticies="t"/>
            </v:shape>
            <v:shape id="_x0000_s1493" style="position:absolute;left:1611;top:3974;width:37;height:36" coordsize="37,36" path="m8,36l,29,30,r7,7l8,36xe" fillcolor="black" stroked="f">
              <v:path arrowok="t"/>
            </v:shape>
            <v:shape id="_x0000_s1494" style="position:absolute;left:1619;top:3826;width:155;height:155" coordsize="155,155" path="m22,133l7,103,,88,7,66,22,59r15,l51,66,74,81r14,22l96,125r-8,23l59,155,44,148,22,133r,xm37,118r14,15l66,140r15,l81,118r,-7l66,88,44,74r-7,l15,74r,14l22,103r15,15l37,118xm96,59r-15,l66,52,59,29,66,7,88,r23,7l118,22r-7,15l133,29r15,8l155,59r-7,29l118,96,96,88,88,74,96,59r,xm74,44r14,l96,44r7,-15l103,15r-15,l74,15r,14l74,44r,xm103,81r15,7l125,88r15,-7l140,66r,-14l125,44r-22,8l103,66r,15l103,81xe" fillcolor="black" stroked="f">
              <v:path arrowok="t"/>
              <o:lock v:ext="edit" verticies="t"/>
            </v:shape>
            <v:shape id="_x0000_s1495" style="position:absolute;left:1737;top:3966;width:170;height:185" coordsize="170,185" path="m22,177r8,-14l44,177r15,-7l59,163r,-8l52,140,,89,7,81r52,52l74,148r,15l67,177r-23,8l22,177r,xm133,104r-7,-8l118,126r-7,7l96,133r-7,-7l81,118,44,89,59,81r30,30l96,118r7,l111,111r7,-7l118,96,111,81,81,52r8,-8l148,96r-15,8xm155,81l81,8,89,r81,74l155,81xe" fillcolor="black" stroked="f">
              <v:path arrowok="t"/>
              <o:lock v:ext="edit" verticies="t"/>
            </v:shape>
            <v:shape id="_x0000_s1496" style="position:absolute;left:1877;top:3974;width:45;height:36" coordsize="45,36" path="m15,36l,29,30,,45,7,15,36xe" fillcolor="black" stroked="f">
              <v:path arrowok="t"/>
            </v:shape>
            <v:shape id="_x0000_s1497" style="position:absolute;left:1892;top:3826;width:155;height:155" coordsize="155,155" path="m22,133l,111,,88,8,66,22,59r15,l52,66,67,81r22,30l96,125,82,148r-23,7l45,148,22,133r,xm30,125r15,15l59,140r15,l82,118r-8,-7l59,96,45,81,30,74r-15,l8,96r7,7l30,125r,xm89,59r-15,l59,52,52,37,67,15,89,r15,7l111,22r,15l126,29r15,15l155,66,141,88r-23,8l96,88,89,74r,-15l89,59xm74,44r8,8l96,44r8,-15l96,22,82,15r-8,7l67,29r7,15l74,44xm104,81r7,7l126,88r7,-7l141,66,133,52,118,44r-14,8l96,66r8,15l104,81xe" fillcolor="black" stroked="f">
              <v:path arrowok="t"/>
              <o:lock v:ext="edit" verticies="t"/>
            </v:shape>
            <v:shape id="_x0000_s1498" style="position:absolute;left:1966;top:3974;width:215;height:199" coordsize="215,199" path="m15,184l,169,,147,,125,15,110,37,96r30,l89,110r15,30l104,162,89,192r-22,7l37,199,15,184r,xm30,177r29,15l81,177r8,-22l74,125,59,110r-22,l22,118,8,147r7,15l30,177r,xm155,81r8,-8l170,96r-7,22l133,125,111,110,96,96r,-23l104,59r22,-8l141,59r-8,7l126,59r-15,7l104,81r14,22l141,118r14,-8l163,96,155,81r,xm200,59r15,7l207,73r-7,8l192,81,178,66,148,36r-7,8l133,36r8,-7l126,14,126,r22,22l155,14r8,l155,29r30,30l192,66r,l200,59r,l200,59xe" fillcolor="black" stroked="f">
              <v:path arrowok="t"/>
              <o:lock v:ext="edit" verticies="t"/>
            </v:shape>
            <v:shape id="_x0000_s1499" style="position:absolute;left:2151;top:3974;width:37;height:36" coordsize="37,36" path="m15,36l,29,30,r7,7l15,36xe" fillcolor="black" stroked="f">
              <v:path arrowok="t"/>
            </v:shape>
            <v:shape id="_x0000_s1500" style="position:absolute;left:2166;top:3826;width:148;height:155" coordsize="148,155" path="m22,133l,103,,88,7,66,22,59r15,l51,66,66,81r22,22l88,125r-7,23l59,155,37,148,22,133r,xm29,118r15,15l59,140r15,l81,118r-7,-7l59,88,44,74r-15,l15,74,7,88r8,15l29,118r,xm88,59r-14,l59,52,51,29,66,7,81,r22,7l111,22r,15l125,29r15,8l148,59r-8,29l118,96,96,88,81,74,88,59r,xm74,44r7,l96,44r7,-15l96,15r-15,l74,15,66,29r8,15l74,44xm103,81r8,7l125,88r8,-7l140,66,133,52,118,44r-15,8l96,66r7,15l103,81xe" fillcolor="black" stroked="f">
              <v:path arrowok="t"/>
              <o:lock v:ext="edit" verticies="t"/>
            </v:shape>
            <v:shape id="_x0000_s1501" style="position:absolute;left:2203;top:3996;width:236;height:214" coordsize="236,214" path="m74,214l,140,51,88r8,8l14,140r30,22l81,118r7,7l51,170r23,29l118,147r15,8l74,214xm140,147l88,96r8,-8l103,96r8,-30l118,59r15,l140,59r8,15l184,103r-7,7l140,81r-7,-7l125,74r-7,l111,88r7,22l148,140r-8,7xm214,37r15,-8l236,51,221,66,192,81,170,66,155,37r7,-23l192,r22,14l221,22,177,59r22,7l214,59r7,-8l214,37r,xm170,51l199,22r-7,-8l170,22r-8,15l170,51r,xe" fillcolor="black" stroked="f">
              <v:path arrowok="t"/>
              <o:lock v:ext="edit" verticies="t"/>
            </v:shape>
            <v:shape id="_x0000_s1502" style="position:absolute;left:2424;top:3974;width:37;height:36" coordsize="37,36" path="m8,36l,29,30,r7,7l8,36xe" fillcolor="black" stroked="f">
              <v:path arrowok="t"/>
            </v:shape>
            <v:shape id="_x0000_s1503" style="position:absolute;left:2432;top:3826;width:148;height:155" coordsize="148,155" path="m22,133l7,111,,88,7,66,22,59r15,l52,66,74,81r15,30l96,125r-7,23l59,155,44,148,22,133r,xm29,125r23,15l59,140r22,l81,118r-7,-7l59,96,44,81,37,74r-22,l15,96r7,7l29,125r,xm103,96r8,-15l125,88r8,-7l140,74r,-8l133,52,125,37r,l125,52r-7,14l89,74,66,59,59,37,66,15,81,r22,7l125,22r23,30l148,74r-8,14l125,103,103,96r,xm103,22l89,15,74,22,66,37,81,52r15,7l111,52r7,-15l103,22r,xe" fillcolor="black" stroked="f">
              <v:path arrowok="t"/>
              <o:lock v:ext="edit" verticies="t"/>
            </v:shape>
            <v:shape id="_x0000_s1504" style="position:absolute;left:2513;top:3981;width:192;height:214" coordsize="192,214" path="m52,214l,111r15,-8l118,148r-14,7l74,140,44,177r15,30l52,214xm37,162l67,140,37,125,15,118r7,15l37,162xm133,133r-7,7l52,66r7,-7l81,81,89,59r15,-7l118,52r15,7l141,66r14,30l148,118r-22,7l133,133xm104,103r14,15l141,111r7,-15l133,74,111,66r-15,l96,89r8,14l104,103xm178,81l126,29r7,-7l141,29r,-14l148,7,155,r8,15l155,15r-7,7l155,37r8,7l192,74r-14,7xe" fillcolor="black" stroked="f">
              <v:path arrowok="t"/>
              <o:lock v:ext="edit" verticies="t"/>
            </v:shape>
            <v:shape id="_x0000_s1505" style="position:absolute;left:2698;top:3974;width:37;height:36" coordsize="37,36" path="m7,36l,29,22,,37,7,7,36xe" fillcolor="black" stroked="f">
              <v:path arrowok="t"/>
            </v:shape>
            <v:shape id="_x0000_s1506" style="position:absolute;left:2705;top:3826;width:148;height:155" coordsize="148,155" path="m22,133l,103,,88,8,66,22,59r15,l52,66,74,81r15,22l96,125,82,148r-23,7l45,148,22,133r,xm30,118r22,15l59,140r15,l82,118r-8,-7l59,88,45,74r-15,l15,74r,14l15,103r15,15l30,118xm104,88r7,-7l126,88r7,-7l141,74r,-15l133,52,126,37r-7,l119,52r-8,14l89,74,67,59,52,37,67,15,82,r22,7l126,22r22,30l148,74r-7,14l119,96,104,88r,xm104,22l89,15r-15,l67,37r7,15l96,59r15,-7l111,37,104,22r,xe" fillcolor="black" stroked="f">
              <v:path arrowok="t"/>
              <o:lock v:ext="edit" verticies="t"/>
            </v:shape>
            <v:shape id="_x0000_s1507" style="position:absolute;left:2824;top:3966;width:162;height:185" coordsize="162,185" path="m22,177r7,-14l44,177r7,-7l59,163r,-8l51,140,,89,7,81r52,52l73,148r,15l66,177r-22,8l22,177r,xm133,104r-8,-8l118,126r-15,7l96,133r-8,-7l73,118,44,89r7,-8l81,111r15,7l103,118r7,-7l118,104r,-8l110,81,81,52r7,-8l140,96r-7,8xm155,81l81,8,88,r74,74l155,81xe" fillcolor="black" stroked="f">
              <v:path arrowok="t"/>
              <o:lock v:ext="edit" verticies="t"/>
            </v:shape>
            <v:shape id="_x0000_s1508" style="position:absolute;left:2964;top:3974;width:37;height:36" coordsize="37,36" path="m7,36l,29,30,r7,7l7,36xe" fillcolor="black" stroked="f">
              <v:path arrowok="t"/>
            </v:shape>
            <v:shape id="_x0000_s1509" style="position:absolute;left:2971;top:3826;width:156;height:155" coordsize="156,155" path="m30,133l8,111,,88,15,66r8,-7l37,59r15,7l74,81r22,30l96,125r-7,23l67,155,45,148,30,133r,xm37,125r15,15l67,140r15,l89,118r-7,-7l67,96,52,81,37,74r-14,l15,96r8,7l37,125r,xm104,96r7,-15l126,88r7,-7l141,74r,-8l141,52,126,37r,l126,52r-7,14l96,74,74,59,60,37,67,15,89,r15,7l133,22r15,30l156,74,141,88r-15,15l104,96r,xm111,22l89,15,74,22r,15l82,52r14,7l111,52r8,-15l111,22r,xe" fillcolor="black" stroked="f">
              <v:path arrowok="t"/>
              <o:lock v:ext="edit" verticies="t"/>
            </v:shape>
            <v:shape id="_x0000_s1510" style="position:absolute;left:3045;top:3974;width:215;height:199" coordsize="215,199" path="m22,184l8,169,,147,8,125r7,-15l45,96r22,l89,110r22,30l111,162,96,192r-22,7l45,199,22,184r,xm30,177r29,15l89,177r7,-22l82,125,67,110r-22,l30,118,15,147r7,15l30,177r,xm163,81r7,-8l178,96r-8,22l141,125,111,110,104,96r,-23l111,59r15,-8l148,59r-7,7l126,59r-7,7l111,81r15,22l141,118r22,-8l163,96r,-15l163,81xm207,59r8,7l215,73r-15,8l192,81,185,66,148,36r-7,8l133,36r8,-7l133,14,133,r23,22l163,14r7,l163,29r29,30l200,66r,l207,59r,l207,59xe" fillcolor="black" stroked="f">
              <v:path arrowok="t"/>
              <o:lock v:ext="edit" verticies="t"/>
            </v:shape>
            <v:shape id="_x0000_s1511" style="position:absolute;left:3237;top:3974;width:37;height:36" coordsize="37,36" path="m8,36l,29,30,r7,7l8,36xe" fillcolor="black" stroked="f">
              <v:path arrowok="t"/>
            </v:shape>
            <v:shape id="_x0000_s1512" style="position:absolute;left:3245;top:3826;width:155;height:155" coordsize="155,155" path="m22,133l7,103,,88,7,66,22,59r15,l52,66,74,81r15,22l96,125r-7,23l59,155,44,148,22,133r,xm37,118r15,15l66,140r15,l81,118r,-7l66,88,44,74r-7,l15,74r,14l22,103r15,15l37,118xm103,88r8,-7l126,88r7,-7l140,74r,-15l133,52,126,37r,l126,52r-8,14l96,74,66,59,59,37,66,15,81,r22,7l133,22r15,30l155,74,140,88r-14,8l103,88r,xm111,22l89,15r-15,l74,37r7,15l96,59r15,-7l118,37,111,22r,xe" fillcolor="black" stroked="f">
              <v:path arrowok="t"/>
              <o:lock v:ext="edit" verticies="t"/>
            </v:shape>
            <v:shape id="_x0000_s1513" style="position:absolute;left:3289;top:3996;width:229;height:214" coordsize="229,214" path="m74,214l,140,52,88r7,8l15,140r22,22l82,118r7,7l45,170r29,29l118,147r8,8l74,214xm141,147l82,96r7,-8l104,96r,-15l111,66r7,-7l133,59r8,l148,74r37,29l170,110,141,81r-8,-7l126,74r-15,l111,88r7,22l148,140r-7,7xm215,37r14,-8l229,51r-7,15l192,81,163,66,155,37r8,-23l185,r30,14l215,22,178,59r22,7l215,59r,-8l215,37r,xm170,51l200,22,185,14r-15,8l163,37r7,14l170,51xe" fillcolor="black" stroked="f">
              <v:path arrowok="t"/>
              <o:lock v:ext="edit" verticies="t"/>
            </v:shape>
            <v:shape id="_x0000_s1514" style="position:absolute;left:3504;top:3974;width:44;height:36" coordsize="44,36" path="m14,36l,29,29,,44,7,14,36xe" fillcolor="black" stroked="f">
              <v:path arrowok="t"/>
            </v:shape>
            <v:shape id="_x0000_s1515" style="position:absolute;left:3526;top:3826;width:140;height:140" coordsize="140,140" path="m88,133r-14,7l15,88r,15l7,118,,103,7,81,7,66r,-7l88,133xm74,74l52,52r,-23l59,15,74,7,81,r22,7l118,29r22,23l140,74r-7,14l111,96,88,88,74,74r,xm81,66l96,81r15,7l125,81r8,-15l125,52,111,37,96,22,81,15,66,22,59,37r7,15l81,66r,xe" fillcolor="black" stroked="f">
              <v:path arrowok="t"/>
              <o:lock v:ext="edit" verticies="t"/>
            </v:shape>
            <v:shape id="_x0000_s1516" style="position:absolute;left:3600;top:3981;width:184;height:214" coordsize="184,214" path="m44,214l,111r7,-8l118,148r-15,7l74,140,44,177r15,30l44,214xm37,162l59,140,37,125,14,118r8,15l37,162xm125,133r-7,7l44,66r7,-7l81,81,88,59r15,-7l111,52r14,7l140,66r15,30l148,118r-23,7l125,133xm103,103r15,15l140,111r,-15l133,74,111,66r-15,l88,89r15,14l103,103xm177,81l125,29r8,-7l140,29r,-14l140,7,155,r7,15l155,15r-7,7l148,37r14,7l184,74r-7,7xe" fillcolor="black" stroked="f">
              <v:path arrowok="t"/>
              <o:lock v:ext="edit" verticies="t"/>
            </v:shape>
            <v:shape id="_x0000_s1517" style="position:absolute;left:3777;top:3974;width:37;height:36" coordsize="37,36" path="m15,36l,29,30,r7,7l15,36xe" fillcolor="black" stroked="f">
              <v:path arrowok="t"/>
            </v:shape>
            <v:shape id="_x0000_s1518" style="position:absolute;left:3799;top:3826;width:141;height:140" coordsize="141,140" path="m82,133r-8,7l15,81r,15l8,111,,103,8,81,,66,8,59r74,74xm67,74l52,52,45,29,59,7,67,,82,,96,7r23,15l141,52r,14l133,88r-22,8l89,88,67,74r,xm82,66l96,81r15,l126,81r7,-15l126,52,111,37,96,22,82,15,67,22,59,37r8,7l82,66r,xe" fillcolor="black" stroked="f">
              <v:path arrowok="t"/>
              <o:lock v:ext="edit" verticies="t"/>
            </v:shape>
            <v:shape id="_x0000_s1519" style="position:absolute;left:3903;top:3966;width:170;height:185" coordsize="170,185" path="m29,177r8,-14l51,177r8,-7l66,163r,-8l51,140,,89,15,81r51,52l74,148r,15l66,177r-22,8l29,177r,xm140,104r-7,-8l125,126r-14,7l103,133,88,126r-7,-8l51,89r8,-8l88,111r8,7l111,118r7,-7l125,104r-7,-8l111,81,81,52,96,44r52,52l140,104xm162,81l88,8,96,r74,74l162,81xe" fillcolor="black" stroked="f">
              <v:path arrowok="t"/>
              <o:lock v:ext="edit" verticies="t"/>
            </v:shape>
            <v:shape id="_x0000_s1520" style="position:absolute;left:4051;top:3974;width:37;height:36" coordsize="37,36" path="m7,36l,29,29,r8,7l7,36xe" fillcolor="black" stroked="f">
              <v:path arrowok="t"/>
            </v:shape>
            <v:shape id="_x0000_s1521" style="position:absolute;left:4073;top:3826;width:140;height:140" coordsize="140,140" path="m81,133r-7,7l15,88,7,103r,15l,103,,81,,66,7,59r74,74xm66,74l44,52r,-23l51,15,66,7,81,,96,7r22,22l133,52r7,22l125,88r-22,8l88,88,66,74r,xm74,66l88,81r15,7l118,81r7,-15l118,52,103,37,88,22,74,15,59,22,51,37r8,15l74,66r,xe" fillcolor="black" stroked="f">
              <v:path arrowok="t"/>
              <o:lock v:ext="edit" verticies="t"/>
            </v:shape>
            <v:shape id="_x0000_s1522" style="position:absolute;left:4132;top:3974;width:214;height:199" coordsize="214,199" path="m22,184l7,169,,147,7,125r8,-15l37,96r29,l89,110r14,30l103,162r-7,30l66,199r-22,l22,184r,xm29,177r30,15l81,177,96,155,81,125,59,110r-15,l22,118r-7,29l15,162r14,15l29,177xm155,81r15,-8l177,96r-15,22l140,125,111,110,96,96r,-23l111,59r15,-8l148,59r-8,7l126,59r-8,7l111,81r7,22l140,118r15,-8l162,96,155,81r,xm207,59r7,7l207,73r-8,8l192,81,177,66,148,36r-8,8l133,36r7,-7l126,14,133,r15,22l162,14r8,l155,29r37,30l192,66r7,l199,59r8,l207,59xe" fillcolor="black" stroked="f">
              <v:path arrowok="t"/>
              <o:lock v:ext="edit" verticies="t"/>
            </v:shape>
            <v:shape id="_x0000_s1523" style="position:absolute;left:4324;top:3974;width:37;height:36" coordsize="37,36" path="m7,36l,29,22,,37,7,7,36xe" fillcolor="black" stroked="f">
              <v:path arrowok="t"/>
            </v:shape>
            <v:shape id="_x0000_s1524" style="position:absolute;left:4339;top:3826;width:148;height:140" coordsize="148,140" path="m89,133r-15,7l22,81,15,96r,15l,103,7,81,7,66r8,-7l89,133xm74,74l52,52r,-23l59,7,74,,89,r14,7l118,22r22,30l148,66,133,88r-22,8l96,88,74,74r,xm81,66l96,81r15,l125,81r8,-15l125,52,111,37,96,22,81,15,66,22,59,37r7,7l81,66r,xe" fillcolor="black" stroked="f">
              <v:path arrowok="t"/>
              <o:lock v:ext="edit" verticies="t"/>
            </v:shape>
            <v:shape id="_x0000_s1525" style="position:absolute;left:4376;top:3996;width:229;height:214" coordsize="229,214" path="m74,214l,133,52,81r7,7l15,133r22,22l81,118r7,7l52,170r22,22l118,147r7,8l74,214xm140,147l88,88r8,-7l103,88r8,-22l118,59r15,-8l140,59r8,7l185,103r-8,7l140,74r-7,-8l125,66r-7,8l111,88r7,15l148,133r-8,14xm214,29r15,-7l229,44r-7,22l192,74,170,66,155,37,162,7,192,r22,14l222,14,177,59r22,7l214,59r8,-15l214,29r,xm170,44l199,14,185,7r-15,7l162,29r8,15l170,44xe" fillcolor="black" stroked="f">
              <v:path arrowok="t"/>
              <o:lock v:ext="edit" verticies="t"/>
            </v:shape>
            <v:shape id="_x0000_s1526" style="position:absolute;left:4598;top:3966;width:36;height:37" coordsize="36,37" path="m7,37l,30,22,,36,15,7,37xe" fillcolor="black" stroked="f">
              <v:path arrowok="t"/>
            </v:shape>
            <v:shape id="_x0000_s1527" style="position:absolute;left:4612;top:3826;width:141;height:140" coordsize="141,140" path="m89,133r-15,7l22,81,15,96r,15l,103,8,81,8,59r7,l89,133xm141,81r-8,7l74,29,67,44r,15l52,52,59,29,59,7,67,r74,81xe" fillcolor="black" stroked="f">
              <v:path arrowok="t"/>
              <o:lock v:ext="edit" verticies="t"/>
            </v:shape>
            <v:shape id="_x0000_s1528" style="position:absolute;left:4686;top:3981;width:192;height:214" coordsize="192,214" path="m45,214l,111,15,96r103,44l104,155,74,140,45,170r14,29l45,214xm37,162l67,133,37,118,15,111r7,22l37,162xm133,125r-7,15l45,59,59,52,82,81,89,59r15,-7l118,52r8,l141,59r14,30l148,118r-22,l133,125xm104,103r14,8l141,111r,-22l133,74,111,59,96,66,89,81r15,22l104,103xm178,81l126,22r7,-7l141,22r,-7l148,7,155,r8,7l155,15r-7,7l148,29r15,15l192,74r-14,7xe" fillcolor="black" stroked="f">
              <v:path arrowok="t"/>
              <o:lock v:ext="edit" verticies="t"/>
            </v:shape>
            <v:shape id="_x0000_s1529" style="position:absolute;left:4864;top:3966;width:44;height:37" coordsize="44,37" path="m14,37l,30,29,,44,8,14,37xe" fillcolor="black" stroked="f">
              <v:path arrowok="t"/>
            </v:shape>
            <v:shape id="_x0000_s1530" style="position:absolute;left:4886;top:3826;width:140;height:140" coordsize="140,140" path="m88,133r-14,7l15,81r,15l7,111,,103,7,81,7,59r,-7l88,133xm140,74l125,88,66,29r,15l59,59,52,52,59,29,59,7,59,r81,74xe" fillcolor="black" stroked="f">
              <v:path arrowok="t"/>
              <o:lock v:ext="edit" verticies="t"/>
            </v:shape>
            <v:shape id="_x0000_s1531" style="position:absolute;left:4997;top:3959;width:162;height:192" coordsize="162,192" path="m22,177r7,-7l44,177r7,-7l59,162r,-7l51,147,,96,7,81r52,52l74,155r,15l59,184r-15,8l22,177r,xm133,111r-8,-8l118,125r-15,8l96,133r-8,l74,125,44,88r7,-7l81,111r15,7l103,125r8,-7l118,111r,-15l103,81,81,59,88,44r52,59l133,111xm155,88l81,15,88,r74,81l155,88xe" fillcolor="black" stroked="f">
              <v:path arrowok="t"/>
              <o:lock v:ext="edit" verticies="t"/>
            </v:shape>
            <v:shape id="_x0000_s1532" style="position:absolute;left:5137;top:3966;width:37;height:37" coordsize="37,37" path="m8,37l,30,30,r7,15l8,37xe" fillcolor="black" stroked="f">
              <v:path arrowok="t"/>
            </v:shape>
            <v:shape id="_x0000_s1533" style="position:absolute;left:5159;top:3826;width:133;height:140" coordsize="133,140" path="m82,133r-8,7l15,81r,15l8,111,,103,,81,,59r8,l82,133xm133,81r-7,7l67,29r,15l59,59,52,52r,-23l52,7,59,r74,81xe" fillcolor="black" stroked="f">
              <v:path arrowok="t"/>
              <o:lock v:ext="edit" verticies="t"/>
            </v:shape>
            <v:shape id="_x0000_s1534" style="position:absolute;left:5226;top:3966;width:214;height:200" coordsize="214,200" path="m22,185l7,163,,148,,126,15,111,37,96r29,l89,111r14,29l103,163,89,185,66,200r-22,l22,185r,xm29,177r30,15l81,177,96,155,81,126,59,111r-22,l22,118r-7,22l15,155r14,22l29,177xm155,81r7,-7l170,96r-8,22l140,126r-15,l111,111,96,96r,-22l103,59r22,-7l148,52r-8,15l125,59r-7,8l111,81r7,23l140,111r15,l162,96,155,81r,xm207,59r7,l207,67r-8,7l192,74,177,67,148,37r-8,7l133,37r7,-7l125,15,133,r15,22l155,8r7,7l155,30r30,29l192,59r7,l199,59r8,l207,59xe" fillcolor="black" stroked="f">
              <v:path arrowok="t"/>
              <o:lock v:ext="edit" verticies="t"/>
            </v:shape>
            <v:shape id="_x0000_s1535" style="position:absolute;left:5418;top:3959;width:37;height:44" coordsize="37,44" path="m7,44l,29,22,,37,15,7,44xe" fillcolor="black" stroked="f">
              <v:path arrowok="t"/>
            </v:shape>
            <v:shape id="_x0000_s1536" style="position:absolute;left:5433;top:3826;width:140;height:133" coordsize="140,133" path="m88,125r-14,8l15,74r,14l7,103,,96,7,74,7,52r,l88,125xm140,74r-15,7l74,22,66,37r,15l52,44,59,22,59,r7,l140,74xe" fillcolor="black" stroked="f">
              <v:path arrowok="t"/>
              <o:lock v:ext="edit" verticies="t"/>
            </v:shape>
            <v:shape id="_x0000_s1537" style="position:absolute;left:5455;top:3996;width:236;height:214" coordsize="236,214" path="m74,214l,140,52,88r7,8l15,140r29,22l81,118r8,7l52,170r22,29l118,147r15,8l74,214xm140,147l89,96r7,-8l103,96r8,-30l118,59r15,l140,59r8,15l185,103r-8,7l140,81r-7,-7l126,74r-8,l111,88r7,22l148,140r-8,7xm214,37r15,-8l236,51,222,66,200,81,170,66,155,37r8,-23l192,r22,14l222,22,177,59r23,7l214,59r8,-8l214,37r,xm170,51l200,22r-8,-8l170,22r-7,15l170,51r,xe" fillcolor="black" stroked="f">
              <v:path arrowok="t"/>
              <o:lock v:ext="edit" verticies="t"/>
            </v:shape>
            <v:shape id="_x0000_s1538" style="position:absolute;left:5677;top:3974;width:37;height:36" coordsize="37,36" path="m7,36l,29,29,r8,7l7,36xe" fillcolor="black" stroked="f">
              <v:path arrowok="t"/>
            </v:shape>
            <v:shape id="_x0000_s1539" style="position:absolute;left:5699;top:3826;width:148;height:140" coordsize="148,140" path="m81,133r-7,7l15,88,7,103r,15l,103,,81,,66,7,59r74,74xm140,52r8,14l103,111r-7,-8l96,88r,-22l96,37,89,15r-15,l59,22,52,37r7,15l52,59,44,37,52,15,74,,96,7r7,15l103,37r,22l103,81r,7l140,52xe" fillcolor="black" stroked="f">
              <v:path arrowok="t"/>
              <o:lock v:ext="edit" verticies="t"/>
            </v:shape>
            <v:shape id="_x0000_s1540" style="position:absolute;left:5765;top:3981;width:193;height:214" coordsize="193,214" path="m52,214l,111r15,-8l119,148r-15,7l74,140,45,177r15,30l52,214xm37,162l67,140,37,125,15,118r8,15l37,162xm133,133r-7,7l52,66r8,-7l82,81,89,59r15,-7l119,52r14,7l141,66r15,30l148,118r-22,7l133,133xm104,103r15,15l141,111r7,-15l133,74,111,66r-15,l96,89r8,14l104,103xm178,81l126,29r7,-7l141,29r,-14l148,7,156,r7,15l156,15r-8,7l156,37r7,7l193,74r-15,7xe" fillcolor="black" stroked="f">
              <v:path arrowok="t"/>
              <o:lock v:ext="edit" verticies="t"/>
            </v:shape>
            <v:shape id="_x0000_s1541" style="position:absolute;left:5950;top:3974;width:37;height:36" coordsize="37,36" path="m8,36l,29,22,,37,7,8,36xe" fillcolor="black" stroked="f">
              <v:path arrowok="t"/>
            </v:shape>
            <v:shape id="_x0000_s1542" style="position:absolute;left:5965;top:3826;width:155;height:140" coordsize="155,140" path="m89,133r-15,7l22,81,15,96r,15l,103,7,81,7,66r8,-7l89,133xm148,52r7,7l111,111r-8,-8l96,88r,-22l103,29,96,15r-15,l66,15,59,29r7,15l59,59,44,29,59,7,81,r22,7l111,22r,15l111,59r,22l111,88,148,52xe" fillcolor="black" stroked="f">
              <v:path arrowok="t"/>
              <o:lock v:ext="edit" verticies="t"/>
            </v:shape>
            <v:shape id="_x0000_s1543" style="position:absolute;left:6076;top:3966;width:162;height:185" coordsize="162,185" path="m22,177r7,-14l44,177r8,-7l59,163r,-8l52,140,,89,7,81r52,52l74,148r,15l66,177r-22,8l22,177r,xm133,104r-8,-8l125,111r-7,15l111,133r-15,l89,126,74,118,44,89r8,-8l81,111r15,7l103,118r8,-7l118,104r,-8l111,81,81,52r8,-8l140,96r-7,8xm155,81l81,8,89,r73,74l155,81xe" fillcolor="black" stroked="f">
              <v:path arrowok="t"/>
              <o:lock v:ext="edit" verticies="t"/>
            </v:shape>
            <v:shape id="_x0000_s1544" style="position:absolute;left:6216;top:3974;width:37;height:36" coordsize="37,36" path="m8,36l,29,30,r7,7l8,36xe" fillcolor="black" stroked="f">
              <v:path arrowok="t"/>
            </v:shape>
            <v:shape id="_x0000_s1545" style="position:absolute;left:6238;top:3826;width:156;height:140" coordsize="156,140" path="m82,133r-8,7l15,88r,15l8,118,,103,,81,,66,8,59r74,74xm148,52r8,14l104,111r-7,-8l97,88r,-22l97,37,89,15r-15,l67,22,60,37r7,15l52,59,45,37,60,15,82,,97,7r7,15l111,37r,22l111,81r,7l148,52xe" fillcolor="black" stroked="f">
              <v:path arrowok="t"/>
              <o:lock v:ext="edit" verticies="t"/>
            </v:shape>
            <v:shape id="_x0000_s1546" style="position:absolute;left:6298;top:3974;width:214;height:199" coordsize="214,199" path="m22,184l7,169,,147,7,125r7,-15l44,96r22,l96,110r14,30l110,162,96,192r-23,7l44,199,22,184r,xm29,177r30,15l88,177r8,-22l81,125,66,110r-22,l29,118,14,147r8,15l29,177r,xm162,81r8,-8l177,96r-7,22l140,125,110,110,103,96r,-23l110,59r15,-8l147,59r-7,7l125,59r-7,7l110,81r15,22l140,118r22,-8l162,96r,-15l162,81xm207,59r7,7l214,73r-15,8l192,81,184,66,147,36r-7,8l133,36r7,-7l133,14,133,r22,22l162,14r8,l162,29r30,30l199,66r,l207,59r,l207,59xe" fillcolor="black" stroked="f">
              <v:path arrowok="t"/>
              <o:lock v:ext="edit" verticies="t"/>
            </v:shape>
            <v:shape id="_x0000_s1547" style="position:absolute;left:6490;top:3974;width:37;height:36" coordsize="37,36" path="m7,36l,29,29,r8,7l7,36xe" fillcolor="black" stroked="f">
              <v:path arrowok="t"/>
            </v:shape>
            <v:shape id="_x0000_s1548" style="position:absolute;left:6512;top:3826;width:155;height:140" coordsize="155,140" path="m81,133r-7,7l15,81r,15l7,111,,103,,81,,66,7,59r74,74xm140,52r15,7l103,111r-7,-8l96,88r,-22l96,29,89,15r-15,l59,15,52,29r7,15l52,59,44,29,52,7,74,,96,7r7,15l111,37r,22l103,81r8,7l140,52xe" fillcolor="black" stroked="f">
              <v:path arrowok="t"/>
              <o:lock v:ext="edit" verticies="t"/>
            </v:shape>
            <v:rect id="_x0000_s1551" style="position:absolute;left:2757;top:15;width:1781;height:207" stroked="f"/>
            <v:shape id="_x0000_s1552" style="position:absolute;left:2868;top:111;width:214;height:22" coordsize="214,22" path="m7,l199,r8,l214,7,199,22,7,22,,15,,7,,,7,r,xe" fillcolor="silver" strokecolor="silver" strokeweight=".35pt">
              <v:path arrowok="t"/>
            </v:shape>
            <v:rect id="_x0000_s1553" style="position:absolute;left:3090;top:36;width:557;height:494;mso-wrap-style:none" filled="f" stroked="f">
              <v:textbox style="mso-next-textbox:#_x0000_s1553;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Mujeres</w:t>
                    </w:r>
                  </w:p>
                </w:txbxContent>
              </v:textbox>
            </v:rect>
            <v:shape id="_x0000_s1554" style="position:absolute;left:3681;top:111;width:214;height:22" coordsize="214,22" path="m7,l200,r7,l214,7,200,22,7,22,,15,,7,,,7,r,xe" fillcolor="navy" strokecolor="navy" strokeweight=".35pt">
              <v:path arrowok="t"/>
            </v:shape>
            <v:rect id="_x0000_s1555" style="position:absolute;left:3903;top:36;width:631;height:494;mso-wrap-style:none" filled="f" stroked="f">
              <v:textbox style="mso-next-textbox:#_x0000_s1555;mso-fit-shape-to-text:t" inset="0,0,0,0">
                <w:txbxContent>
                  <w:p w:rsidR="00DD3299" w:rsidRPr="005054DB" w:rsidRDefault="00DD3299" w:rsidP="005F6E6E">
                    <w:pPr>
                      <w:rPr>
                        <w:rFonts w:ascii="Arial" w:hAnsi="Arial" w:cs="Arial"/>
                        <w:color w:val="000000"/>
                        <w:sz w:val="14"/>
                        <w:szCs w:val="14"/>
                      </w:rPr>
                    </w:pPr>
                    <w:r w:rsidRPr="005054DB">
                      <w:rPr>
                        <w:rFonts w:ascii="Arial" w:hAnsi="Arial" w:cs="Arial"/>
                        <w:color w:val="000000"/>
                        <w:sz w:val="14"/>
                        <w:szCs w:val="14"/>
                      </w:rPr>
                      <w:t>Hombres</w:t>
                    </w:r>
                  </w:p>
                </w:txbxContent>
              </v:textbox>
            </v:rect>
            <w10:wrap type="topAndBottom"/>
          </v:group>
        </w:pict>
      </w:r>
    </w:p>
    <w:p w:rsidR="0038237D" w:rsidRPr="00EA0AB9" w:rsidRDefault="0038237D" w:rsidP="007D04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35" w:name="_Toc349720616"/>
      <w:bookmarkStart w:id="136" w:name="_Toc360096854"/>
      <w:r>
        <w:rPr>
          <w:lang w:val="es-ES_tradnl"/>
        </w:rPr>
        <w:tab/>
      </w:r>
      <w:r>
        <w:rPr>
          <w:lang w:val="es-ES_tradnl"/>
        </w:rPr>
        <w:tab/>
      </w:r>
      <w:r w:rsidRPr="00EA0AB9">
        <w:rPr>
          <w:lang w:val="es-ES_tradnl"/>
        </w:rPr>
        <w:t>Prohibición de la discriminación</w:t>
      </w:r>
    </w:p>
    <w:bookmarkEnd w:id="135"/>
    <w:bookmarkEnd w:id="136"/>
    <w:p w:rsidR="007D0469" w:rsidRPr="007D0469" w:rsidRDefault="007D0469" w:rsidP="007D0469">
      <w:pPr>
        <w:pStyle w:val="SingleTxt"/>
        <w:suppressAutoHyphens/>
        <w:spacing w:after="0" w:line="120" w:lineRule="exact"/>
        <w:rPr>
          <w:sz w:val="10"/>
          <w:lang w:val="es-ES_tradnl"/>
        </w:rPr>
      </w:pPr>
    </w:p>
    <w:p w:rsidR="0038237D" w:rsidRPr="00EA0AB9" w:rsidRDefault="007D0469" w:rsidP="007D0469">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La discriminación por razón del género está prohibida en todos los aspectos de la vida desde el año 2000.</w:t>
      </w:r>
    </w:p>
    <w:p w:rsidR="0038237D" w:rsidRPr="00EA0AB9" w:rsidRDefault="007D0469" w:rsidP="007D0469">
      <w:pPr>
        <w:pStyle w:val="SingleTxt"/>
        <w:tabs>
          <w:tab w:val="right" w:pos="1685"/>
        </w:tabs>
        <w:suppressAutoHyphens/>
        <w:ind w:left="1742" w:hanging="475"/>
        <w:rPr>
          <w:lang w:val="es-ES_tradnl"/>
        </w:rPr>
      </w:pPr>
      <w:bookmarkStart w:id="137" w:name="_Toc349720617"/>
      <w:bookmarkStart w:id="138" w:name="_Toc360096855"/>
      <w:r>
        <w:rPr>
          <w:lang w:val="es-ES_tradnl"/>
        </w:rPr>
        <w:tab/>
        <w:t>•</w:t>
      </w:r>
      <w:r>
        <w:rPr>
          <w:lang w:val="es-ES_tradnl"/>
        </w:rPr>
        <w:tab/>
      </w:r>
      <w:r w:rsidR="0038237D" w:rsidRPr="00EA0AB9">
        <w:rPr>
          <w:lang w:val="es-ES_tradnl"/>
        </w:rPr>
        <w:t>En lo que respecta al mercado de trabajo, la discriminación por razón del género está prohibida desde 1978.</w:t>
      </w:r>
    </w:p>
    <w:bookmarkEnd w:id="137"/>
    <w:bookmarkEnd w:id="138"/>
    <w:p w:rsidR="0038237D" w:rsidRPr="00EA0AB9" w:rsidRDefault="007D0469" w:rsidP="007D0469">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Está prohibida la discriminación tanto directa como indirecta. Se prohíbe especialmente la discriminación durante el embarazo y la licencia de maternidad.</w:t>
      </w:r>
    </w:p>
    <w:p w:rsidR="0038237D" w:rsidRPr="00EA0AB9" w:rsidRDefault="007D0469" w:rsidP="007D0469">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El acoso y el acoso sexual se consideran discriminación por razón del género.</w:t>
      </w:r>
    </w:p>
    <w:p w:rsidR="0038237D" w:rsidRPr="00EA0AB9" w:rsidRDefault="005054DB" w:rsidP="007D0469">
      <w:pPr>
        <w:pStyle w:val="SingleTxt"/>
        <w:suppressAutoHyphens/>
        <w:rPr>
          <w:lang w:val="es-ES_tradnl"/>
        </w:rPr>
      </w:pPr>
      <w:r>
        <w:rPr>
          <w:lang w:val="es-ES_tradnl"/>
        </w:rPr>
        <w:br w:type="page"/>
      </w:r>
      <w:r w:rsidR="007D0469">
        <w:rPr>
          <w:lang w:val="es-ES_tradnl"/>
        </w:rPr>
        <w:tab/>
      </w:r>
      <w:r w:rsidR="0038237D" w:rsidRPr="00EA0AB9">
        <w:rPr>
          <w:lang w:val="es-ES_tradnl"/>
        </w:rPr>
        <w:t xml:space="preserve">La aplicación de la prohibición de discriminación se lleva a cabo todavía en el marco del sistema establecido para la solución de conflictos laborales, los tribunales civiles ordinarios y la Junta para la Igualdad entre los Géneros. La mayoría de los casos tramitados están relacionados con el despido durante el embarazo y la maternidad, el acoso sexual y la igualdad de remuneración. </w:t>
      </w:r>
    </w:p>
    <w:p w:rsidR="00CC062C" w:rsidRPr="00CC062C" w:rsidRDefault="00CC062C" w:rsidP="00CC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38237D" w:rsidRPr="00EA0AB9" w:rsidRDefault="0038237D" w:rsidP="007D04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Mercado de trabajo segregado en función del género y diferencias de remuneración</w:t>
      </w:r>
    </w:p>
    <w:p w:rsidR="007D0469" w:rsidRPr="007D0469" w:rsidRDefault="007D0469" w:rsidP="007D0469">
      <w:pPr>
        <w:pStyle w:val="SingleTxt"/>
        <w:suppressAutoHyphens/>
        <w:spacing w:after="0" w:line="120" w:lineRule="exact"/>
        <w:rPr>
          <w:sz w:val="10"/>
          <w:lang w:val="es-ES_tradnl"/>
        </w:rPr>
      </w:pPr>
    </w:p>
    <w:p w:rsidR="0038237D" w:rsidRPr="00EA0AB9" w:rsidRDefault="007D0469" w:rsidP="007D0469">
      <w:pPr>
        <w:pStyle w:val="SingleTxt"/>
        <w:suppressAutoHyphens/>
        <w:rPr>
          <w:lang w:val="es-ES_tradnl"/>
        </w:rPr>
      </w:pPr>
      <w:r>
        <w:rPr>
          <w:lang w:val="es-ES_tradnl"/>
        </w:rPr>
        <w:tab/>
      </w:r>
      <w:r w:rsidR="0038237D" w:rsidRPr="00EA0AB9">
        <w:rPr>
          <w:lang w:val="es-ES_tradnl"/>
        </w:rPr>
        <w:t>El mercado segregado en función del género se considera la razón más importante de las diferencias de remuneración entre hombres y mujeres. Por ello, estos dos problemas se abordan conjuntamente.</w:t>
      </w:r>
    </w:p>
    <w:p w:rsidR="0038237D" w:rsidRPr="00EA0AB9" w:rsidRDefault="007D0469" w:rsidP="007D0469">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Un poco más de la mitad de las mujeres empleadas y aproximadamente el 21% de los hombres empleados trabajan en el sector público. Es mayor el número de hombres empleados en el sector privado. En el gobierno local, el número de mujeres empleadas es más de tres veces superior al de hombres. Por el contrario, el número de hombres es ligeramente mayor que el de mujeres en el sector estatal.</w:t>
      </w:r>
    </w:p>
    <w:p w:rsidR="0038237D" w:rsidRPr="00EA0AB9" w:rsidRDefault="007D0469" w:rsidP="007D0469">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Por término medio, los hombres ganan más que las mujeres.</w:t>
      </w:r>
      <w:r w:rsidR="0038237D" w:rsidRPr="007D0469">
        <w:rPr>
          <w:lang w:val="es-ES_tradnl"/>
        </w:rPr>
        <w:t xml:space="preserve"> </w:t>
      </w:r>
      <w:r w:rsidR="0038237D" w:rsidRPr="00EA0AB9">
        <w:rPr>
          <w:lang w:val="es-ES_tradnl"/>
        </w:rPr>
        <w:t>Las diferencias de remuneración reflejan, entre otras cosas, las diferencias en los oficios en que trabajan, en los empleos que ocupan y en las características personales, como el nivel de instrucción y la experiencia laboral. Hoy, la discriminación es un problema secundario.</w:t>
      </w:r>
    </w:p>
    <w:p w:rsidR="00CC062C" w:rsidRPr="00CC062C" w:rsidRDefault="00CC062C" w:rsidP="00CC06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38237D" w:rsidRPr="00EA0AB9" w:rsidRDefault="0038237D" w:rsidP="00CC06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Evolución de la remuneración de las mujeres y los hombres</w:t>
      </w:r>
    </w:p>
    <w:p w:rsidR="007D0469" w:rsidRPr="007D0469" w:rsidRDefault="007D0469" w:rsidP="007D0469">
      <w:pPr>
        <w:pStyle w:val="SingleTxt"/>
        <w:suppressAutoHyphens/>
        <w:spacing w:after="0" w:line="120" w:lineRule="exact"/>
        <w:rPr>
          <w:sz w:val="10"/>
          <w:lang w:val="es-ES_tradnl"/>
        </w:rPr>
      </w:pPr>
      <w:r>
        <w:rPr>
          <w:lang w:val="es-ES_tradnl"/>
        </w:rPr>
        <w:tab/>
      </w:r>
    </w:p>
    <w:p w:rsidR="0038237D" w:rsidRPr="00EA0AB9" w:rsidRDefault="007D0469" w:rsidP="007D0469">
      <w:pPr>
        <w:pStyle w:val="SingleTxt"/>
        <w:suppressAutoHyphens/>
        <w:rPr>
          <w:lang w:val="es-ES_tradnl"/>
        </w:rPr>
      </w:pPr>
      <w:r>
        <w:rPr>
          <w:lang w:val="es-ES_tradnl"/>
        </w:rPr>
        <w:tab/>
      </w:r>
      <w:r w:rsidR="0038237D" w:rsidRPr="00EA0AB9">
        <w:rPr>
          <w:lang w:val="es-ES_tradnl"/>
        </w:rPr>
        <w:t xml:space="preserve">En 2011, los ingresos por hora (con exclusión de la prima por condiciones de trabajo difíciles) eran de 252,4 coronas danesas para los hombres empleados en el sector privado, frente a aproximadamente 215,5 coronas danesas para las mujeres (véase el gráfico 2). Ello representa una diferencia de remuneración del 17%. </w:t>
      </w:r>
    </w:p>
    <w:p w:rsidR="00CC062C" w:rsidRPr="00CC062C" w:rsidRDefault="00CC062C" w:rsidP="00CC06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eastAsia="es-ES"/>
        </w:rPr>
      </w:pPr>
    </w:p>
    <w:p w:rsidR="00CC062C" w:rsidRPr="00CC062C" w:rsidRDefault="00CC062C" w:rsidP="00CC062C">
      <w:pPr>
        <w:pStyle w:val="SingleTxt"/>
        <w:spacing w:after="0" w:line="120" w:lineRule="exact"/>
        <w:rPr>
          <w:sz w:val="10"/>
        </w:rPr>
      </w:pPr>
    </w:p>
    <w:p w:rsidR="0038237D" w:rsidRPr="007D0469" w:rsidRDefault="005054DB" w:rsidP="007D04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eastAsia="es-ES"/>
        </w:rPr>
      </w:pPr>
      <w:r>
        <w:rPr>
          <w:lang w:val="es-ES_tradnl" w:eastAsia="es-ES"/>
        </w:rPr>
        <w:br w:type="page"/>
      </w:r>
      <w:r w:rsidR="007D0469">
        <w:rPr>
          <w:lang w:val="es-ES_tradnl" w:eastAsia="es-ES"/>
        </w:rPr>
        <w:tab/>
      </w:r>
      <w:r w:rsidR="007D0469">
        <w:rPr>
          <w:lang w:val="es-ES_tradnl" w:eastAsia="es-ES"/>
        </w:rPr>
        <w:tab/>
      </w:r>
      <w:r w:rsidR="0038237D" w:rsidRPr="007D0469">
        <w:rPr>
          <w:b w:val="0"/>
          <w:lang w:val="es-ES_tradnl" w:eastAsia="es-ES"/>
        </w:rPr>
        <w:t>Gráfico 2</w:t>
      </w:r>
    </w:p>
    <w:p w:rsidR="0038237D" w:rsidRDefault="007D0469" w:rsidP="005F6E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Pr>
          <w:lang w:val="es-ES_tradnl" w:eastAsia="es-ES"/>
        </w:rPr>
        <w:tab/>
      </w:r>
      <w:r>
        <w:rPr>
          <w:lang w:val="es-ES_tradnl" w:eastAsia="es-ES"/>
        </w:rPr>
        <w:tab/>
      </w:r>
      <w:r w:rsidR="0038237D" w:rsidRPr="005F6E6E">
        <w:rPr>
          <w:lang w:val="es-ES_tradnl" w:eastAsia="es-ES"/>
        </w:rPr>
        <w:t>Diferencias de remuneración (con exclusión de la prima por condiciones de trabajo difíciles, por hora trabajada) de los empleados de los sectores del gobierno local, estatal y privado, por género, 2011</w:t>
      </w:r>
    </w:p>
    <w:p w:rsidR="00C57BDB" w:rsidRPr="00C57BDB" w:rsidRDefault="00C57BDB" w:rsidP="00C57BDB">
      <w:pPr>
        <w:pStyle w:val="SingleTxt"/>
        <w:spacing w:after="0" w:line="120" w:lineRule="exact"/>
        <w:rPr>
          <w:sz w:val="10"/>
          <w:lang w:val="es-ES_tradnl" w:eastAsia="es-ES"/>
        </w:rPr>
      </w:pPr>
    </w:p>
    <w:p w:rsidR="007D0469" w:rsidRDefault="007D0469" w:rsidP="007D0469">
      <w:pPr>
        <w:pStyle w:val="SingleTxt"/>
        <w:suppressAutoHyphens/>
        <w:spacing w:after="0" w:line="120" w:lineRule="exact"/>
        <w:rPr>
          <w:sz w:val="10"/>
          <w:lang w:val="es-ES_tradnl" w:eastAsia="es-ES"/>
        </w:rPr>
      </w:pPr>
    </w:p>
    <w:p w:rsidR="005054DB" w:rsidRPr="005054DB" w:rsidRDefault="005054DB" w:rsidP="005054DB">
      <w:pPr>
        <w:pStyle w:val="SingleTxtG"/>
        <w:spacing w:after="0" w:line="120" w:lineRule="exact"/>
        <w:ind w:left="1138" w:right="1138"/>
        <w:rPr>
          <w:sz w:val="10"/>
          <w:szCs w:val="24"/>
        </w:rPr>
      </w:pPr>
    </w:p>
    <w:p w:rsidR="005054DB" w:rsidRPr="005054DB" w:rsidRDefault="005054DB" w:rsidP="005054DB">
      <w:pPr>
        <w:pStyle w:val="SingleTxtG"/>
        <w:spacing w:after="0" w:line="120" w:lineRule="exact"/>
        <w:ind w:left="1138" w:right="1138"/>
        <w:rPr>
          <w:i/>
          <w:sz w:val="10"/>
          <w:lang w:eastAsia="es-ES"/>
        </w:rPr>
      </w:pPr>
      <w:r>
        <w:rPr>
          <w:noProof/>
        </w:rPr>
        <w:pict>
          <v:shape id="_x0000_s1594" type="#_x0000_t75" style="position:absolute;left:0;text-align:left;margin-left:57.1pt;margin-top:.25pt;width:397.35pt;height:243.15pt;z-index:9">
            <v:imagedata r:id="rId20" o:title=""/>
            <w10:wrap type="topAndBottom"/>
          </v:shape>
        </w:pict>
      </w:r>
    </w:p>
    <w:p w:rsidR="0038237D" w:rsidRPr="002430C1" w:rsidRDefault="0038237D" w:rsidP="005054DB">
      <w:pPr>
        <w:pStyle w:val="SingleTxtG"/>
        <w:spacing w:after="0" w:line="240" w:lineRule="auto"/>
        <w:ind w:left="1138" w:right="1138"/>
        <w:rPr>
          <w:spacing w:val="4"/>
          <w:w w:val="103"/>
          <w:sz w:val="17"/>
          <w:szCs w:val="17"/>
          <w:lang w:val="es-ES" w:eastAsia="es-ES"/>
        </w:rPr>
      </w:pPr>
      <w:r w:rsidRPr="002430C1">
        <w:rPr>
          <w:i/>
          <w:spacing w:val="4"/>
          <w:w w:val="103"/>
          <w:sz w:val="17"/>
          <w:szCs w:val="17"/>
          <w:lang w:val="es-ES" w:eastAsia="es-ES"/>
        </w:rPr>
        <w:t xml:space="preserve">Fuente: </w:t>
      </w:r>
      <w:r w:rsidRPr="002430C1">
        <w:rPr>
          <w:spacing w:val="4"/>
          <w:w w:val="103"/>
          <w:sz w:val="17"/>
          <w:szCs w:val="17"/>
          <w:lang w:val="es-ES" w:eastAsia="es-ES"/>
        </w:rPr>
        <w:t>Estadísticas Dinamarca - www.statistikbanken.dk.</w:t>
      </w:r>
    </w:p>
    <w:p w:rsidR="00C57BDB" w:rsidRPr="002430C1" w:rsidRDefault="00C57BDB" w:rsidP="00C57BDB">
      <w:pPr>
        <w:pStyle w:val="SingleTxt"/>
        <w:suppressAutoHyphens/>
        <w:spacing w:after="0" w:line="120" w:lineRule="exact"/>
        <w:rPr>
          <w:sz w:val="10"/>
          <w:lang w:val="es-ES_tradnl"/>
        </w:rPr>
      </w:pPr>
    </w:p>
    <w:p w:rsidR="00C35444" w:rsidRPr="00C35444" w:rsidRDefault="00C35444" w:rsidP="00C35444">
      <w:pPr>
        <w:pStyle w:val="SingleTxt"/>
        <w:suppressAutoHyphens/>
        <w:spacing w:after="0" w:line="120" w:lineRule="exact"/>
        <w:rPr>
          <w:sz w:val="10"/>
          <w:lang w:val="es-ES_tradnl"/>
        </w:rPr>
      </w:pPr>
    </w:p>
    <w:p w:rsidR="0038237D" w:rsidRPr="00EA0AB9" w:rsidRDefault="00C35444" w:rsidP="00C35444">
      <w:pPr>
        <w:pStyle w:val="SingleTxt"/>
        <w:suppressAutoHyphens/>
        <w:rPr>
          <w:lang w:val="es-ES_tradnl"/>
        </w:rPr>
      </w:pPr>
      <w:r>
        <w:rPr>
          <w:lang w:val="es-ES_tradnl"/>
        </w:rPr>
        <w:tab/>
      </w:r>
      <w:r w:rsidR="0038237D" w:rsidRPr="00EA0AB9">
        <w:rPr>
          <w:lang w:val="es-ES_tradnl"/>
        </w:rPr>
        <w:t xml:space="preserve">En noviembre de 2008, el Centro Nacional de Investigación Social de Dinamarca publicó una versión actualizada de un informe relativo a las diferencias de remuneración entre hombres y mujeres, publicado por primera vez en 2004. </w:t>
      </w:r>
    </w:p>
    <w:p w:rsidR="0038237D" w:rsidRPr="00EA0AB9" w:rsidRDefault="00C35444" w:rsidP="00C35444">
      <w:pPr>
        <w:pStyle w:val="SingleTxt"/>
        <w:suppressAutoHyphens/>
        <w:rPr>
          <w:lang w:val="es-ES_tradnl"/>
        </w:rPr>
      </w:pPr>
      <w:r>
        <w:rPr>
          <w:lang w:val="es-ES_tradnl"/>
        </w:rPr>
        <w:tab/>
      </w:r>
      <w:r w:rsidR="0038237D" w:rsidRPr="00EA0AB9">
        <w:rPr>
          <w:lang w:val="es-ES_tradnl"/>
        </w:rPr>
        <w:t>El informe de 2008 analiza las diferencias de remuneración entre hombres y mujeres durante el período comprendido entre 1996 y 2006. El primer informe, publicado en 2001, concluía que los hombres ganaban, de media, entre el 12% y el 19% más que las mujeres, en función del método aplicado. El informe de 2008 considera que las diferencias de remuneración no han variado durante dicho período de diez años. El Centro Nacional de Investigación Social de Dinamarca tiene previsto actualizar el análisis en la primavera de 2013. El resultado se espera para septiembre de 2013.</w:t>
      </w:r>
    </w:p>
    <w:p w:rsidR="00C35444" w:rsidRPr="00C35444" w:rsidRDefault="00C35444" w:rsidP="00C35444">
      <w:pPr>
        <w:pStyle w:val="SingleTxt"/>
        <w:suppressAutoHyphens/>
        <w:spacing w:after="0" w:line="120" w:lineRule="exact"/>
        <w:rPr>
          <w:sz w:val="10"/>
          <w:lang w:val="es-ES_tradnl"/>
        </w:rPr>
      </w:pPr>
    </w:p>
    <w:p w:rsidR="0038237D" w:rsidRPr="00EA0AB9" w:rsidRDefault="0038237D" w:rsidP="00C354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54" w:hanging="1267"/>
        <w:rPr>
          <w:lang w:val="es-ES_tradnl"/>
        </w:rPr>
      </w:pPr>
      <w:r>
        <w:rPr>
          <w:lang w:val="es-ES_tradnl"/>
        </w:rPr>
        <w:tab/>
      </w:r>
      <w:r>
        <w:rPr>
          <w:lang w:val="es-ES_tradnl"/>
        </w:rPr>
        <w:tab/>
      </w:r>
      <w:r w:rsidRPr="00EA0AB9">
        <w:rPr>
          <w:lang w:val="es-ES_tradnl"/>
        </w:rPr>
        <w:t>Iniciativas concretas relacionadas con el mercado de trabajo segregado por género y la igualdad de remuneración</w:t>
      </w:r>
    </w:p>
    <w:p w:rsidR="00C35444" w:rsidRPr="00C35444" w:rsidRDefault="00C35444" w:rsidP="00C35444">
      <w:pPr>
        <w:pStyle w:val="SingleTxt"/>
        <w:suppressAutoHyphens/>
        <w:spacing w:after="0" w:line="120" w:lineRule="exact"/>
        <w:rPr>
          <w:sz w:val="10"/>
          <w:lang w:val="es-ES_tradnl"/>
        </w:rPr>
      </w:pPr>
    </w:p>
    <w:p w:rsidR="0038237D" w:rsidRPr="00EA0AB9" w:rsidRDefault="00C35444" w:rsidP="00C35444">
      <w:pPr>
        <w:pStyle w:val="SingleTxt"/>
        <w:suppressAutoHyphens/>
        <w:rPr>
          <w:lang w:val="es-ES_tradnl"/>
        </w:rPr>
      </w:pPr>
      <w:r>
        <w:rPr>
          <w:lang w:val="es-ES_tradnl"/>
        </w:rPr>
        <w:tab/>
      </w:r>
      <w:r w:rsidR="0038237D" w:rsidRPr="00EA0AB9">
        <w:rPr>
          <w:lang w:val="es-ES_tradnl"/>
        </w:rPr>
        <w:t>En relación con la estrategia de igualdad de género del Gobierno, desde el séptimo informe se han adoptado las iniciativas concretas que se exponen a continuación.</w:t>
      </w:r>
    </w:p>
    <w:p w:rsidR="0038237D" w:rsidRPr="00EA0AB9" w:rsidRDefault="00C35444" w:rsidP="00C35444">
      <w:pPr>
        <w:pStyle w:val="SingleTxt"/>
        <w:suppressAutoHyphens/>
        <w:rPr>
          <w:lang w:val="es-ES_tradnl"/>
        </w:rPr>
      </w:pPr>
      <w:r>
        <w:rPr>
          <w:lang w:val="es-ES_tradnl"/>
        </w:rPr>
        <w:tab/>
      </w:r>
      <w:r w:rsidR="0038237D" w:rsidRPr="00EA0AB9">
        <w:rPr>
          <w:lang w:val="es-ES_tradnl"/>
        </w:rPr>
        <w:t>Los esfuerzos gubernamentales en el frente de la igualdad de remuneración y del mercado de trabajo segregado en función del género son muy complejos y se llevan a cabo en diálogo con las compañías y los interlocutores sociales, en reconocimiento del hecho de que la promoción de la igualdad de remuneración se produce en el lugar de trabajo y durante la negociación colectiva.</w:t>
      </w:r>
    </w:p>
    <w:p w:rsidR="0038237D" w:rsidRPr="00EA0AB9" w:rsidRDefault="00C35444" w:rsidP="00C35444">
      <w:pPr>
        <w:pStyle w:val="SingleTxt"/>
        <w:suppressAutoHyphens/>
        <w:rPr>
          <w:lang w:val="es-ES_tradnl"/>
        </w:rPr>
      </w:pPr>
      <w:r>
        <w:rPr>
          <w:lang w:val="es-ES_tradnl"/>
        </w:rPr>
        <w:tab/>
      </w:r>
      <w:r w:rsidR="0038237D" w:rsidRPr="00EA0AB9">
        <w:rPr>
          <w:lang w:val="es-ES_tradnl"/>
        </w:rPr>
        <w:t>La Ley sobre la igualdad de remuneración ofrece protección frente a la discriminación, un problema del que se ocupan los tribunales de justicia, la Junta para la Igualdad entre los Géneros y el Sistema de Arbitraje Industrial. Desde el séptimo informe, los tribunales de justicia se han ocupado de tres casos y la Junta para la Igualdad entre los Géneros se ha ocupado de seis casos.</w:t>
      </w:r>
    </w:p>
    <w:p w:rsidR="0038237D" w:rsidRPr="00EA0AB9" w:rsidRDefault="00C35444" w:rsidP="00C35444">
      <w:pPr>
        <w:pStyle w:val="SingleTxt"/>
        <w:suppressAutoHyphens/>
        <w:rPr>
          <w:lang w:val="es-ES_tradnl"/>
        </w:rPr>
      </w:pPr>
      <w:bookmarkStart w:id="139" w:name="_Toc349720618"/>
      <w:bookmarkStart w:id="140" w:name="_Toc360096856"/>
      <w:r>
        <w:rPr>
          <w:lang w:val="es-ES_tradnl"/>
        </w:rPr>
        <w:tab/>
      </w:r>
      <w:r w:rsidR="0038237D" w:rsidRPr="00EA0AB9">
        <w:rPr>
          <w:lang w:val="es-ES_tradnl"/>
        </w:rPr>
        <w:t>Los interlocutores sociales son conscientes de su papel fundamental en este terreno, por lo que se ha iniciado un debate exhaustivo sobre la manera en que las compañías y los empleados pueden cambiar sus actitudes con el fin de admitir más mujeres en los empleos dominados por varones bien remunerados. Este planteamiento permite abordar al mismo tiempo cuestiones como la igualdad de remuneración, el mercado de trabajo segregado en función del género y el equilibrio entre el trabajo y la vida familiar.</w:t>
      </w:r>
    </w:p>
    <w:bookmarkEnd w:id="139"/>
    <w:bookmarkEnd w:id="140"/>
    <w:p w:rsidR="0038237D" w:rsidRPr="00EA0AB9" w:rsidRDefault="00C35444" w:rsidP="00C35444">
      <w:pPr>
        <w:pStyle w:val="SingleTxt"/>
        <w:suppressAutoHyphens/>
        <w:rPr>
          <w:lang w:val="es-ES_tradnl"/>
        </w:rPr>
      </w:pPr>
      <w:r>
        <w:rPr>
          <w:lang w:val="es-ES_tradnl"/>
        </w:rPr>
        <w:tab/>
      </w:r>
      <w:r w:rsidR="0038237D" w:rsidRPr="00EA0AB9">
        <w:rPr>
          <w:lang w:val="es-ES_tradnl"/>
        </w:rPr>
        <w:t>El debate tiene lugar, por ejemplo, en seminarios sobre la igualdad de remuneración organizados por el Ministerio de Empleo, en que investigadores y expertos examinan diversos temas relacionados con la igualdad de género. Como ejemplos cabe señalar los siguientes: importancia del mercado de trabajo segregado en función del género para las diferencias de remuneración entre el hombre y la mujer; importancia de la licencia de maternidad para las condiciones de remuneración de cada mujer; estadísticas empresariales desglosadas por género.</w:t>
      </w:r>
    </w:p>
    <w:p w:rsidR="0038237D" w:rsidRPr="00EA0AB9" w:rsidRDefault="00C35444" w:rsidP="00C35444">
      <w:pPr>
        <w:pStyle w:val="SingleTxt"/>
        <w:suppressAutoHyphens/>
        <w:rPr>
          <w:lang w:val="es-ES_tradnl"/>
        </w:rPr>
      </w:pPr>
      <w:r>
        <w:rPr>
          <w:lang w:val="es-ES_tradnl"/>
        </w:rPr>
        <w:tab/>
      </w:r>
      <w:r w:rsidR="0038237D" w:rsidRPr="00EA0AB9">
        <w:rPr>
          <w:lang w:val="es-ES_tradnl"/>
        </w:rPr>
        <w:t>A partir del 1 de enero de 2007, todas las grandes empresas deben elaborar estadísticas sobre remuneración desglosadas por género. Ello significa que muchas empresas deben ocuparse por primera vez de la igualdad de remuneración. La cooperación en este frente es una prioridad máxima. Por ello, son las empresas que han acumulado ya experiencias de comités de consulta conjuntos las que deben elaborar estadísticas de remuneración desglosadas por género. Solo las grandes empresas deben hacerlo. La legislación será revisada con el fin de incluir a un mayor número de compañías y aportar a los empleados más información acerca de la situación de las remuneraciones de mujeres y hombres en su compañía.</w:t>
      </w:r>
    </w:p>
    <w:p w:rsidR="00C35444" w:rsidRPr="00C35444" w:rsidRDefault="00C35444" w:rsidP="00C35444">
      <w:pPr>
        <w:pStyle w:val="SingleTxt"/>
        <w:suppressAutoHyphens/>
        <w:spacing w:after="0" w:line="120" w:lineRule="exact"/>
        <w:rPr>
          <w:sz w:val="10"/>
          <w:lang w:val="es-ES_tradnl"/>
        </w:rPr>
      </w:pPr>
    </w:p>
    <w:p w:rsidR="0038237D" w:rsidRPr="00EA0AB9" w:rsidRDefault="0038237D" w:rsidP="00C354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Licencia de maternidad, de paternidad y parental</w:t>
      </w:r>
    </w:p>
    <w:p w:rsidR="00C35444" w:rsidRPr="00C35444" w:rsidRDefault="00C35444" w:rsidP="00C35444">
      <w:pPr>
        <w:pStyle w:val="Bullet1G"/>
        <w:numPr>
          <w:ilvl w:val="0"/>
          <w:numId w:val="0"/>
        </w:numPr>
        <w:spacing w:after="0" w:line="120" w:lineRule="exact"/>
        <w:ind w:left="1531"/>
        <w:rPr>
          <w:sz w:val="10"/>
          <w:lang w:val="es-ES_tradnl"/>
        </w:rPr>
      </w:pP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En promedio, las mujeres recibieron prestaciones de maternidad durante 276 días en 2010, mientras que los hombres recibieron prestaciones de paternidad y parentales durante 26 días. La licencia de paternidad y parental de los hombres constituye el 9% de este tipo de licencias.</w:t>
      </w: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En algunas ocasiones, la persona en cuestión es remunerada por el empleador con ocasión del parto. En estos casos, las prestaciones se pagan al empleador.</w:t>
      </w:r>
    </w:p>
    <w:p w:rsidR="0038237D" w:rsidRPr="00EA0AB9" w:rsidRDefault="00C35444" w:rsidP="00C35444">
      <w:pPr>
        <w:pStyle w:val="SingleTxt"/>
        <w:suppressAutoHyphens/>
        <w:rPr>
          <w:lang w:val="es-ES_tradnl"/>
        </w:rPr>
      </w:pPr>
      <w:r>
        <w:rPr>
          <w:lang w:val="es-ES_tradnl"/>
        </w:rPr>
        <w:tab/>
      </w:r>
      <w:r w:rsidR="0038237D" w:rsidRPr="00EA0AB9">
        <w:rPr>
          <w:lang w:val="es-ES_tradnl"/>
        </w:rPr>
        <w:t>Las normas sobre la licencia de maternidad, de paternidad y parental se enmendaron en 2002 y se ampliaron con el fin de mejorar las condiciones de licencia de los padres en relación con el parto. En los informes sexto y séptimo se hizo referencia a los reglamentos. Los reglamentos no han sido enmendados desde 2002, pero el Gobierno está examinando la posibilidad de asignar algunas de las prestaciones durante la licencia parental a fin de garantizar que los dos padres tengan derecho a sus propias prestaciones durante la licencia parental. La remuneración económica consiste en la totalidad de las prestaciones durante 12 meses, lo que equivale a 208.000 coronas danesas al año en 2013. Además, un número considerable y creciente de empleadores ofrecen remuneración durante la licencia en relación con el parto durante una gran parte del período de licencia.</w:t>
      </w:r>
    </w:p>
    <w:p w:rsidR="00C35444" w:rsidRPr="00C35444" w:rsidRDefault="00C35444" w:rsidP="00C35444">
      <w:pPr>
        <w:pStyle w:val="SingleTxt"/>
        <w:suppressAutoHyphens/>
        <w:spacing w:after="0" w:line="120" w:lineRule="exact"/>
        <w:rPr>
          <w:sz w:val="10"/>
          <w:lang w:val="es-ES_tradnl"/>
        </w:rPr>
      </w:pPr>
    </w:p>
    <w:p w:rsidR="0038237D" w:rsidRPr="00EA0AB9" w:rsidRDefault="0038237D" w:rsidP="00C3544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524"/>
        </w:tabs>
        <w:ind w:left="1267" w:right="2407" w:hanging="1267"/>
        <w:rPr>
          <w:lang w:val="es-ES_tradnl"/>
        </w:rPr>
      </w:pPr>
      <w:r>
        <w:rPr>
          <w:lang w:val="es-ES_tradnl"/>
        </w:rPr>
        <w:tab/>
      </w:r>
      <w:r>
        <w:rPr>
          <w:lang w:val="es-ES_tradnl"/>
        </w:rPr>
        <w:tab/>
      </w:r>
      <w:r w:rsidRPr="00EA0AB9">
        <w:rPr>
          <w:lang w:val="es-ES_tradnl"/>
        </w:rPr>
        <w:t>Uso de la licencia de maternidad, paternidad y parental por las madres y los padres</w:t>
      </w:r>
    </w:p>
    <w:p w:rsidR="00C35444" w:rsidRPr="00C35444" w:rsidRDefault="00C35444" w:rsidP="00C35444">
      <w:pPr>
        <w:pStyle w:val="SingleTxt"/>
        <w:suppressAutoHyphens/>
        <w:spacing w:after="0" w:line="120" w:lineRule="exact"/>
        <w:rPr>
          <w:sz w:val="10"/>
          <w:lang w:val="es-ES_tradnl"/>
        </w:rPr>
      </w:pPr>
    </w:p>
    <w:p w:rsidR="0038237D" w:rsidRPr="00EA0AB9" w:rsidRDefault="00C35444" w:rsidP="00C35444">
      <w:pPr>
        <w:pStyle w:val="SingleTxt"/>
        <w:suppressAutoHyphens/>
        <w:rPr>
          <w:lang w:val="es-ES_tradnl"/>
        </w:rPr>
      </w:pPr>
      <w:r>
        <w:rPr>
          <w:lang w:val="es-ES_tradnl"/>
        </w:rPr>
        <w:tab/>
      </w:r>
      <w:r w:rsidR="0038237D" w:rsidRPr="00EA0AB9">
        <w:rPr>
          <w:lang w:val="es-ES_tradnl"/>
        </w:rPr>
        <w:t>En 2006, un total de 148.073 personas recibieron prestaciones con ocasión del nacimiento de su hijo. De esa cifra total, las mujeres representaron el 68,1%. Por término medio, las mujeres recibieron prestaciones de maternidad durante 27,2 semanas en 2006, mientras que en el caso de los hombres el promedio fue de 3,7 semanas (véase el cuadro 2).</w:t>
      </w:r>
    </w:p>
    <w:p w:rsidR="00C35444" w:rsidRPr="00C35444" w:rsidRDefault="00C35444" w:rsidP="00C35444">
      <w:pPr>
        <w:pStyle w:val="SingleTxt"/>
        <w:suppressAutoHyphens/>
        <w:spacing w:after="0" w:line="120" w:lineRule="exact"/>
        <w:rPr>
          <w:rFonts w:cs="Arial"/>
          <w:bCs/>
          <w:sz w:val="10"/>
          <w:szCs w:val="32"/>
          <w:lang w:val="es-ES_tradnl" w:eastAsia="es-ES"/>
        </w:rPr>
      </w:pPr>
    </w:p>
    <w:p w:rsidR="00C35444" w:rsidRPr="00C35444" w:rsidRDefault="00C35444" w:rsidP="00C35444">
      <w:pPr>
        <w:pStyle w:val="SingleTxt"/>
        <w:suppressAutoHyphens/>
        <w:spacing w:after="0" w:line="120" w:lineRule="exact"/>
        <w:rPr>
          <w:rFonts w:cs="Arial"/>
          <w:bCs/>
          <w:sz w:val="10"/>
          <w:szCs w:val="32"/>
          <w:lang w:val="es-ES_tradnl" w:eastAsia="es-ES"/>
        </w:rPr>
      </w:pPr>
    </w:p>
    <w:p w:rsidR="0038237D" w:rsidRPr="00C35444" w:rsidRDefault="00C35444" w:rsidP="00C354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eastAsia="es-ES"/>
        </w:rPr>
      </w:pPr>
      <w:r>
        <w:rPr>
          <w:lang w:val="es-ES_tradnl" w:eastAsia="es-ES"/>
        </w:rPr>
        <w:tab/>
      </w:r>
      <w:r>
        <w:rPr>
          <w:lang w:val="es-ES_tradnl" w:eastAsia="es-ES"/>
        </w:rPr>
        <w:tab/>
      </w:r>
      <w:r w:rsidR="0038237D" w:rsidRPr="00C35444">
        <w:rPr>
          <w:b w:val="0"/>
          <w:lang w:val="es-ES_tradnl" w:eastAsia="es-ES"/>
        </w:rPr>
        <w:t>Cuadro 2</w:t>
      </w:r>
    </w:p>
    <w:p w:rsidR="0038237D" w:rsidRDefault="00C35444" w:rsidP="00F641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rPr>
          <w:lang w:val="es-ES_tradnl" w:eastAsia="es-ES"/>
        </w:rPr>
      </w:pPr>
      <w:r>
        <w:rPr>
          <w:lang w:val="es-ES_tradnl" w:eastAsia="es-ES"/>
        </w:rPr>
        <w:tab/>
      </w:r>
      <w:r>
        <w:rPr>
          <w:lang w:val="es-ES_tradnl" w:eastAsia="es-ES"/>
        </w:rPr>
        <w:tab/>
      </w:r>
      <w:r w:rsidR="0038237D" w:rsidRPr="00321129">
        <w:rPr>
          <w:lang w:val="es-ES_tradnl" w:eastAsia="es-ES"/>
        </w:rPr>
        <w:t>Período total de licencia con prestaciones con ocasión del nacimiento de un hijo, medido en días, etc. 2004-2010</w:t>
      </w:r>
    </w:p>
    <w:p w:rsidR="00C35444" w:rsidRPr="00C35444" w:rsidRDefault="00C35444" w:rsidP="00C35444">
      <w:pPr>
        <w:pStyle w:val="SingleTxtG"/>
        <w:spacing w:after="0" w:line="120" w:lineRule="exact"/>
        <w:rPr>
          <w:sz w:val="10"/>
          <w:lang w:val="es-ES_tradnl" w:eastAsia="es-ES"/>
        </w:rPr>
      </w:pPr>
    </w:p>
    <w:p w:rsidR="00C35444" w:rsidRPr="00C35444" w:rsidRDefault="00C35444" w:rsidP="00C35444">
      <w:pPr>
        <w:pStyle w:val="SingleTxtG"/>
        <w:spacing w:after="0" w:line="120" w:lineRule="exact"/>
        <w:rPr>
          <w:sz w:val="10"/>
          <w:lang w:val="es-ES_tradnl" w:eastAsia="es-ES"/>
        </w:rPr>
      </w:pPr>
    </w:p>
    <w:tbl>
      <w:tblPr>
        <w:tblW w:w="7302" w:type="dxa"/>
        <w:tblInd w:w="1267" w:type="dxa"/>
        <w:tblBorders>
          <w:top w:val="single" w:sz="4" w:space="0" w:color="auto"/>
        </w:tblBorders>
        <w:tblCellMar>
          <w:left w:w="0" w:type="dxa"/>
          <w:right w:w="0" w:type="dxa"/>
        </w:tblCellMar>
        <w:tblLook w:val="0000"/>
      </w:tblPr>
      <w:tblGrid>
        <w:gridCol w:w="2066"/>
        <w:gridCol w:w="1100"/>
        <w:gridCol w:w="1114"/>
        <w:gridCol w:w="1032"/>
        <w:gridCol w:w="913"/>
        <w:gridCol w:w="1077"/>
      </w:tblGrid>
      <w:tr w:rsidR="0038237D" w:rsidRPr="00C35444" w:rsidTr="00F641F3">
        <w:trPr>
          <w:trHeight w:val="240"/>
          <w:tblHeader/>
        </w:trPr>
        <w:tc>
          <w:tcPr>
            <w:tcW w:w="0" w:type="auto"/>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0" w:after="80" w:line="160" w:lineRule="exact"/>
              <w:ind w:left="0" w:right="0"/>
              <w:jc w:val="left"/>
              <w:rPr>
                <w:i/>
                <w:sz w:val="14"/>
                <w:szCs w:val="14"/>
                <w:lang w:val="es-ES_tradnl"/>
              </w:rPr>
            </w:pPr>
          </w:p>
        </w:tc>
        <w:tc>
          <w:tcPr>
            <w:tcW w:w="1084"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0" w:after="80" w:line="160" w:lineRule="exact"/>
              <w:ind w:left="113" w:right="0"/>
              <w:jc w:val="right"/>
              <w:rPr>
                <w:i/>
                <w:sz w:val="14"/>
                <w:szCs w:val="14"/>
                <w:lang w:val="es-ES_tradnl"/>
              </w:rPr>
            </w:pPr>
            <w:r w:rsidRPr="00C35444">
              <w:rPr>
                <w:i/>
                <w:sz w:val="14"/>
                <w:szCs w:val="14"/>
                <w:lang w:val="es-ES_tradnl"/>
              </w:rPr>
              <w:t xml:space="preserve"> 2004 </w:t>
            </w:r>
          </w:p>
        </w:tc>
        <w:tc>
          <w:tcPr>
            <w:tcW w:w="1098"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0" w:after="80" w:line="160" w:lineRule="exact"/>
              <w:ind w:left="113" w:right="0"/>
              <w:jc w:val="right"/>
              <w:rPr>
                <w:i/>
                <w:sz w:val="14"/>
                <w:szCs w:val="14"/>
                <w:lang w:val="es-ES_tradnl"/>
              </w:rPr>
            </w:pPr>
            <w:r w:rsidRPr="00C35444">
              <w:rPr>
                <w:i/>
                <w:sz w:val="14"/>
                <w:szCs w:val="14"/>
                <w:lang w:val="es-ES_tradnl"/>
              </w:rPr>
              <w:t xml:space="preserve"> 2006 </w:t>
            </w:r>
          </w:p>
        </w:tc>
        <w:tc>
          <w:tcPr>
            <w:tcW w:w="1016"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0" w:after="80" w:line="160" w:lineRule="exact"/>
              <w:ind w:left="113" w:right="0"/>
              <w:jc w:val="right"/>
              <w:rPr>
                <w:i/>
                <w:sz w:val="14"/>
                <w:szCs w:val="14"/>
                <w:lang w:val="es-ES_tradnl"/>
              </w:rPr>
            </w:pPr>
            <w:r w:rsidRPr="00C35444">
              <w:rPr>
                <w:i/>
                <w:sz w:val="14"/>
                <w:szCs w:val="14"/>
                <w:lang w:val="es-ES_tradnl"/>
              </w:rPr>
              <w:t xml:space="preserve"> 2008 </w:t>
            </w:r>
          </w:p>
        </w:tc>
        <w:tc>
          <w:tcPr>
            <w:tcW w:w="913" w:type="dxa"/>
            <w:tcBorders>
              <w:top w:val="single" w:sz="4" w:space="0" w:color="auto"/>
              <w:bottom w:val="single" w:sz="12" w:space="0" w:color="auto"/>
            </w:tcBorders>
            <w:shd w:val="clear" w:color="auto" w:fill="auto"/>
            <w:vAlign w:val="bottom"/>
          </w:tcPr>
          <w:p w:rsidR="0038237D" w:rsidRPr="00C35444" w:rsidRDefault="0038237D" w:rsidP="00C35444">
            <w:pPr>
              <w:pStyle w:val="SingleTxtG"/>
              <w:suppressAutoHyphens w:val="0"/>
              <w:spacing w:before="80" w:after="80" w:line="160" w:lineRule="exact"/>
              <w:ind w:left="113" w:right="0"/>
              <w:jc w:val="right"/>
              <w:rPr>
                <w:i/>
                <w:sz w:val="14"/>
                <w:szCs w:val="14"/>
                <w:lang w:val="es-ES_tradnl"/>
              </w:rPr>
            </w:pPr>
            <w:r w:rsidRPr="00C35444">
              <w:rPr>
                <w:i/>
                <w:sz w:val="14"/>
                <w:szCs w:val="14"/>
                <w:lang w:val="es-ES_tradnl"/>
              </w:rPr>
              <w:t xml:space="preserve"> 2009 </w:t>
            </w:r>
          </w:p>
        </w:tc>
        <w:tc>
          <w:tcPr>
            <w:tcW w:w="1061"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0" w:after="80" w:line="160" w:lineRule="exact"/>
              <w:ind w:left="113" w:right="0"/>
              <w:jc w:val="right"/>
              <w:rPr>
                <w:i/>
                <w:sz w:val="14"/>
                <w:szCs w:val="14"/>
                <w:lang w:val="es-ES_tradnl"/>
              </w:rPr>
            </w:pPr>
            <w:r w:rsidRPr="00C35444">
              <w:rPr>
                <w:i/>
                <w:sz w:val="14"/>
                <w:szCs w:val="14"/>
                <w:lang w:val="es-ES_tradnl"/>
              </w:rPr>
              <w:t xml:space="preserve"> 2010 </w:t>
            </w:r>
          </w:p>
        </w:tc>
      </w:tr>
      <w:tr w:rsidR="0038237D" w:rsidRPr="006D2CE4" w:rsidTr="00F641F3">
        <w:trPr>
          <w:trHeight w:val="240"/>
        </w:trPr>
        <w:tc>
          <w:tcPr>
            <w:tcW w:w="0" w:type="auto"/>
            <w:tcBorders>
              <w:top w:val="single" w:sz="12" w:space="0" w:color="auto"/>
            </w:tcBorders>
            <w:shd w:val="clear" w:color="auto" w:fill="auto"/>
            <w:noWrap/>
          </w:tcPr>
          <w:p w:rsidR="0038237D" w:rsidRPr="006D2CE4" w:rsidRDefault="0038237D" w:rsidP="00C35444">
            <w:pPr>
              <w:pStyle w:val="SingleTxtG"/>
              <w:suppressAutoHyphens w:val="0"/>
              <w:spacing w:before="40" w:after="40" w:line="210" w:lineRule="exact"/>
              <w:ind w:left="0" w:right="0"/>
              <w:jc w:val="left"/>
              <w:rPr>
                <w:sz w:val="18"/>
                <w:szCs w:val="18"/>
                <w:lang w:val="es-ES_tradnl"/>
              </w:rPr>
            </w:pPr>
            <w:r w:rsidRPr="006D2CE4">
              <w:rPr>
                <w:sz w:val="18"/>
                <w:szCs w:val="18"/>
                <w:lang w:val="es-ES_tradnl"/>
              </w:rPr>
              <w:t>Licencia del padre</w:t>
            </w:r>
          </w:p>
        </w:tc>
        <w:tc>
          <w:tcPr>
            <w:tcW w:w="1084" w:type="dxa"/>
            <w:tcBorders>
              <w:top w:val="single" w:sz="12" w:space="0" w:color="auto"/>
            </w:tcBorders>
            <w:shd w:val="clear" w:color="auto" w:fill="auto"/>
            <w:noWrap/>
            <w:vAlign w:val="bottom"/>
          </w:tcPr>
          <w:p w:rsidR="0038237D" w:rsidRPr="006D2CE4" w:rsidRDefault="0038237D" w:rsidP="00C35444">
            <w:pPr>
              <w:pStyle w:val="SingleTxtG"/>
              <w:suppressAutoHyphens w:val="0"/>
              <w:spacing w:before="40" w:after="40" w:line="210" w:lineRule="exact"/>
              <w:ind w:left="113" w:right="0"/>
              <w:jc w:val="right"/>
              <w:rPr>
                <w:sz w:val="18"/>
                <w:szCs w:val="18"/>
                <w:lang w:val="es-ES_tradnl"/>
              </w:rPr>
            </w:pPr>
            <w:r w:rsidRPr="006D2CE4">
              <w:rPr>
                <w:sz w:val="18"/>
                <w:szCs w:val="18"/>
                <w:lang w:val="es-ES_tradnl"/>
              </w:rPr>
              <w:t xml:space="preserve"> 18 </w:t>
            </w:r>
          </w:p>
        </w:tc>
        <w:tc>
          <w:tcPr>
            <w:tcW w:w="1098" w:type="dxa"/>
            <w:tcBorders>
              <w:top w:val="single" w:sz="12" w:space="0" w:color="auto"/>
            </w:tcBorders>
            <w:shd w:val="clear" w:color="auto" w:fill="auto"/>
            <w:noWrap/>
            <w:vAlign w:val="bottom"/>
          </w:tcPr>
          <w:p w:rsidR="0038237D" w:rsidRPr="006D2CE4" w:rsidRDefault="0038237D" w:rsidP="00C35444">
            <w:pPr>
              <w:pStyle w:val="SingleTxtG"/>
              <w:suppressAutoHyphens w:val="0"/>
              <w:spacing w:before="40" w:after="40" w:line="210" w:lineRule="exact"/>
              <w:ind w:left="113" w:right="0"/>
              <w:jc w:val="right"/>
              <w:rPr>
                <w:sz w:val="18"/>
                <w:szCs w:val="18"/>
                <w:lang w:val="es-ES_tradnl"/>
              </w:rPr>
            </w:pPr>
            <w:r w:rsidRPr="006D2CE4">
              <w:rPr>
                <w:sz w:val="18"/>
                <w:szCs w:val="18"/>
                <w:lang w:val="es-ES_tradnl"/>
              </w:rPr>
              <w:t xml:space="preserve">22 </w:t>
            </w:r>
          </w:p>
        </w:tc>
        <w:tc>
          <w:tcPr>
            <w:tcW w:w="1016" w:type="dxa"/>
            <w:tcBorders>
              <w:top w:val="single" w:sz="12" w:space="0" w:color="auto"/>
            </w:tcBorders>
            <w:shd w:val="clear" w:color="auto" w:fill="auto"/>
            <w:noWrap/>
            <w:vAlign w:val="bottom"/>
          </w:tcPr>
          <w:p w:rsidR="0038237D" w:rsidRPr="006D2CE4" w:rsidRDefault="0038237D" w:rsidP="00C35444">
            <w:pPr>
              <w:pStyle w:val="SingleTxtG"/>
              <w:suppressAutoHyphens w:val="0"/>
              <w:spacing w:before="40" w:after="40" w:line="210" w:lineRule="exact"/>
              <w:ind w:left="113" w:right="0"/>
              <w:jc w:val="right"/>
              <w:rPr>
                <w:sz w:val="18"/>
                <w:szCs w:val="18"/>
                <w:lang w:val="es-ES_tradnl"/>
              </w:rPr>
            </w:pPr>
            <w:r w:rsidRPr="006D2CE4">
              <w:rPr>
                <w:sz w:val="18"/>
                <w:szCs w:val="18"/>
                <w:lang w:val="es-ES_tradnl"/>
              </w:rPr>
              <w:t xml:space="preserve"> 26 </w:t>
            </w:r>
          </w:p>
        </w:tc>
        <w:tc>
          <w:tcPr>
            <w:tcW w:w="913" w:type="dxa"/>
            <w:tcBorders>
              <w:top w:val="single" w:sz="12" w:space="0" w:color="auto"/>
            </w:tcBorders>
            <w:shd w:val="clear" w:color="auto" w:fill="auto"/>
            <w:vAlign w:val="bottom"/>
          </w:tcPr>
          <w:p w:rsidR="0038237D" w:rsidRPr="006D2CE4" w:rsidRDefault="0038237D" w:rsidP="00C35444">
            <w:pPr>
              <w:pStyle w:val="SingleTxtG"/>
              <w:suppressAutoHyphens w:val="0"/>
              <w:spacing w:before="40" w:after="40" w:line="210" w:lineRule="exact"/>
              <w:ind w:left="113" w:right="0"/>
              <w:jc w:val="right"/>
              <w:rPr>
                <w:sz w:val="18"/>
                <w:szCs w:val="18"/>
                <w:lang w:val="es-ES_tradnl"/>
              </w:rPr>
            </w:pPr>
            <w:r w:rsidRPr="006D2CE4">
              <w:rPr>
                <w:sz w:val="18"/>
                <w:szCs w:val="18"/>
                <w:lang w:val="es-ES_tradnl"/>
              </w:rPr>
              <w:t xml:space="preserve"> 26</w:t>
            </w:r>
          </w:p>
        </w:tc>
        <w:tc>
          <w:tcPr>
            <w:tcW w:w="1061" w:type="dxa"/>
            <w:tcBorders>
              <w:top w:val="single" w:sz="12" w:space="0" w:color="auto"/>
            </w:tcBorders>
            <w:shd w:val="clear" w:color="auto" w:fill="auto"/>
            <w:noWrap/>
            <w:vAlign w:val="bottom"/>
          </w:tcPr>
          <w:p w:rsidR="0038237D" w:rsidRPr="006D2CE4" w:rsidRDefault="0038237D" w:rsidP="00C35444">
            <w:pPr>
              <w:pStyle w:val="SingleTxtG"/>
              <w:suppressAutoHyphens w:val="0"/>
              <w:spacing w:before="40" w:after="40" w:line="210" w:lineRule="exact"/>
              <w:ind w:left="113" w:right="0"/>
              <w:jc w:val="right"/>
              <w:rPr>
                <w:sz w:val="18"/>
                <w:szCs w:val="18"/>
                <w:lang w:val="es-ES_tradnl"/>
              </w:rPr>
            </w:pPr>
            <w:r w:rsidRPr="006D2CE4">
              <w:rPr>
                <w:sz w:val="18"/>
                <w:szCs w:val="18"/>
                <w:lang w:val="es-ES_tradnl"/>
              </w:rPr>
              <w:t xml:space="preserve"> 26 </w:t>
            </w:r>
          </w:p>
        </w:tc>
      </w:tr>
      <w:tr w:rsidR="0038237D" w:rsidRPr="006D2CE4" w:rsidTr="00F641F3">
        <w:trPr>
          <w:trHeight w:val="240"/>
        </w:trPr>
        <w:tc>
          <w:tcPr>
            <w:tcW w:w="0" w:type="auto"/>
            <w:tcBorders>
              <w:bottom w:val="single" w:sz="12" w:space="0" w:color="auto"/>
            </w:tcBorders>
            <w:shd w:val="clear" w:color="auto" w:fill="auto"/>
            <w:noWrap/>
          </w:tcPr>
          <w:p w:rsidR="0038237D" w:rsidRPr="006D2CE4" w:rsidRDefault="0038237D" w:rsidP="00C35444">
            <w:pPr>
              <w:pStyle w:val="SingleTxtG"/>
              <w:suppressAutoHyphens w:val="0"/>
              <w:spacing w:before="40" w:after="40" w:line="210" w:lineRule="exact"/>
              <w:ind w:left="0" w:right="0"/>
              <w:jc w:val="left"/>
              <w:rPr>
                <w:sz w:val="18"/>
                <w:szCs w:val="18"/>
                <w:lang w:val="es-ES_tradnl"/>
              </w:rPr>
            </w:pPr>
            <w:r w:rsidRPr="006D2CE4">
              <w:rPr>
                <w:sz w:val="18"/>
                <w:szCs w:val="18"/>
                <w:lang w:val="es-ES_tradnl"/>
              </w:rPr>
              <w:t>Licencia de la madre</w:t>
            </w:r>
          </w:p>
        </w:tc>
        <w:tc>
          <w:tcPr>
            <w:tcW w:w="1084" w:type="dxa"/>
            <w:tcBorders>
              <w:bottom w:val="single" w:sz="12" w:space="0" w:color="auto"/>
            </w:tcBorders>
            <w:shd w:val="clear" w:color="auto" w:fill="auto"/>
            <w:noWrap/>
            <w:vAlign w:val="bottom"/>
          </w:tcPr>
          <w:p w:rsidR="0038237D" w:rsidRPr="006D2CE4" w:rsidRDefault="0038237D" w:rsidP="00C35444">
            <w:pPr>
              <w:pStyle w:val="SingleTxtG"/>
              <w:suppressAutoHyphens w:val="0"/>
              <w:spacing w:before="40" w:after="40" w:line="210" w:lineRule="exact"/>
              <w:ind w:left="113" w:right="0"/>
              <w:jc w:val="right"/>
              <w:rPr>
                <w:sz w:val="18"/>
                <w:szCs w:val="18"/>
                <w:lang w:val="es-ES_tradnl"/>
              </w:rPr>
            </w:pPr>
            <w:r w:rsidRPr="006D2CE4">
              <w:rPr>
                <w:sz w:val="18"/>
                <w:szCs w:val="18"/>
                <w:lang w:val="es-ES_tradnl"/>
              </w:rPr>
              <w:t xml:space="preserve"> 272 </w:t>
            </w:r>
          </w:p>
        </w:tc>
        <w:tc>
          <w:tcPr>
            <w:tcW w:w="1098" w:type="dxa"/>
            <w:tcBorders>
              <w:bottom w:val="single" w:sz="12" w:space="0" w:color="auto"/>
            </w:tcBorders>
            <w:shd w:val="clear" w:color="auto" w:fill="auto"/>
            <w:noWrap/>
            <w:vAlign w:val="bottom"/>
          </w:tcPr>
          <w:p w:rsidR="0038237D" w:rsidRPr="006D2CE4" w:rsidRDefault="0038237D" w:rsidP="00C35444">
            <w:pPr>
              <w:pStyle w:val="SingleTxtG"/>
              <w:suppressAutoHyphens w:val="0"/>
              <w:spacing w:before="40" w:after="40" w:line="210" w:lineRule="exact"/>
              <w:ind w:left="113" w:right="0"/>
              <w:jc w:val="right"/>
              <w:rPr>
                <w:sz w:val="18"/>
                <w:szCs w:val="18"/>
                <w:lang w:val="es-ES_tradnl"/>
              </w:rPr>
            </w:pPr>
            <w:r w:rsidRPr="006D2CE4">
              <w:rPr>
                <w:sz w:val="18"/>
                <w:szCs w:val="18"/>
                <w:lang w:val="es-ES_tradnl"/>
              </w:rPr>
              <w:t xml:space="preserve"> 275 </w:t>
            </w:r>
          </w:p>
        </w:tc>
        <w:tc>
          <w:tcPr>
            <w:tcW w:w="1016" w:type="dxa"/>
            <w:tcBorders>
              <w:bottom w:val="single" w:sz="12" w:space="0" w:color="auto"/>
            </w:tcBorders>
            <w:shd w:val="clear" w:color="auto" w:fill="auto"/>
            <w:noWrap/>
            <w:vAlign w:val="bottom"/>
          </w:tcPr>
          <w:p w:rsidR="0038237D" w:rsidRPr="006D2CE4" w:rsidRDefault="0038237D" w:rsidP="00C35444">
            <w:pPr>
              <w:pStyle w:val="SingleTxtG"/>
              <w:suppressAutoHyphens w:val="0"/>
              <w:spacing w:before="40" w:after="40" w:line="210" w:lineRule="exact"/>
              <w:ind w:left="113" w:right="0"/>
              <w:jc w:val="right"/>
              <w:rPr>
                <w:sz w:val="18"/>
                <w:szCs w:val="18"/>
                <w:lang w:val="es-ES_tradnl"/>
              </w:rPr>
            </w:pPr>
            <w:r w:rsidRPr="006D2CE4">
              <w:rPr>
                <w:sz w:val="18"/>
                <w:szCs w:val="18"/>
                <w:lang w:val="es-ES_tradnl"/>
              </w:rPr>
              <w:t xml:space="preserve"> 276 </w:t>
            </w:r>
          </w:p>
        </w:tc>
        <w:tc>
          <w:tcPr>
            <w:tcW w:w="913" w:type="dxa"/>
            <w:tcBorders>
              <w:bottom w:val="single" w:sz="12" w:space="0" w:color="auto"/>
            </w:tcBorders>
            <w:shd w:val="clear" w:color="auto" w:fill="auto"/>
            <w:vAlign w:val="bottom"/>
          </w:tcPr>
          <w:p w:rsidR="0038237D" w:rsidRPr="006D2CE4" w:rsidRDefault="0038237D" w:rsidP="00C35444">
            <w:pPr>
              <w:pStyle w:val="SingleTxtG"/>
              <w:suppressAutoHyphens w:val="0"/>
              <w:spacing w:before="40" w:after="40" w:line="210" w:lineRule="exact"/>
              <w:ind w:left="113" w:right="0"/>
              <w:jc w:val="right"/>
              <w:rPr>
                <w:sz w:val="18"/>
                <w:szCs w:val="18"/>
                <w:lang w:val="es-ES_tradnl"/>
              </w:rPr>
            </w:pPr>
            <w:r w:rsidRPr="006D2CE4">
              <w:rPr>
                <w:sz w:val="18"/>
                <w:szCs w:val="18"/>
                <w:lang w:val="es-ES_tradnl"/>
              </w:rPr>
              <w:t xml:space="preserve"> 277 </w:t>
            </w:r>
          </w:p>
        </w:tc>
        <w:tc>
          <w:tcPr>
            <w:tcW w:w="1061" w:type="dxa"/>
            <w:tcBorders>
              <w:bottom w:val="single" w:sz="12" w:space="0" w:color="auto"/>
            </w:tcBorders>
            <w:shd w:val="clear" w:color="auto" w:fill="auto"/>
            <w:noWrap/>
            <w:vAlign w:val="bottom"/>
          </w:tcPr>
          <w:p w:rsidR="0038237D" w:rsidRPr="006D2CE4" w:rsidRDefault="0038237D" w:rsidP="00C35444">
            <w:pPr>
              <w:pStyle w:val="SingleTxtG"/>
              <w:suppressAutoHyphens w:val="0"/>
              <w:spacing w:before="40" w:after="40" w:line="210" w:lineRule="exact"/>
              <w:ind w:left="113" w:right="0"/>
              <w:jc w:val="right"/>
              <w:rPr>
                <w:sz w:val="18"/>
                <w:szCs w:val="18"/>
                <w:lang w:val="es-ES_tradnl"/>
              </w:rPr>
            </w:pPr>
            <w:r w:rsidRPr="006D2CE4">
              <w:rPr>
                <w:sz w:val="18"/>
                <w:szCs w:val="18"/>
                <w:lang w:val="es-ES_tradnl"/>
              </w:rPr>
              <w:t xml:space="preserve"> 276</w:t>
            </w:r>
          </w:p>
        </w:tc>
      </w:tr>
    </w:tbl>
    <w:p w:rsidR="00C57BDB" w:rsidRPr="00C57BDB" w:rsidRDefault="00C57BDB" w:rsidP="00C57BDB">
      <w:pPr>
        <w:pStyle w:val="SingleTxt"/>
        <w:suppressAutoHyphens/>
        <w:spacing w:after="0" w:line="120" w:lineRule="exact"/>
        <w:rPr>
          <w:i/>
          <w:w w:val="104"/>
          <w:sz w:val="10"/>
        </w:rPr>
      </w:pPr>
      <w:bookmarkStart w:id="141" w:name="_Toc349720619"/>
      <w:bookmarkStart w:id="142" w:name="_Toc360096857"/>
    </w:p>
    <w:p w:rsidR="0038237D" w:rsidRDefault="0038237D" w:rsidP="00C57BDB">
      <w:pPr>
        <w:pStyle w:val="FootnoteText"/>
        <w:tabs>
          <w:tab w:val="clear" w:pos="418"/>
          <w:tab w:val="right" w:pos="1476"/>
          <w:tab w:val="left" w:pos="1548"/>
          <w:tab w:val="right" w:pos="1836"/>
          <w:tab w:val="left" w:pos="1908"/>
        </w:tabs>
        <w:ind w:left="1548" w:right="1267" w:hanging="288"/>
        <w:rPr>
          <w:sz w:val="18"/>
          <w:szCs w:val="18"/>
          <w:lang w:eastAsia="es-ES"/>
        </w:rPr>
      </w:pPr>
      <w:r w:rsidRPr="00C35444">
        <w:rPr>
          <w:i/>
        </w:rPr>
        <w:t>Fuente</w:t>
      </w:r>
      <w:r w:rsidRPr="00C35444">
        <w:t>: Estadísticas Dinamarca</w:t>
      </w:r>
      <w:r w:rsidRPr="006D2CE4">
        <w:rPr>
          <w:sz w:val="18"/>
          <w:szCs w:val="18"/>
          <w:lang w:eastAsia="es-ES"/>
        </w:rPr>
        <w:t xml:space="preserve">. </w:t>
      </w:r>
    </w:p>
    <w:p w:rsidR="00C57BDB" w:rsidRPr="00C57BDB" w:rsidRDefault="00C57BDB" w:rsidP="00C57BDB">
      <w:pPr>
        <w:pStyle w:val="SingleTxt"/>
        <w:suppressAutoHyphens/>
        <w:spacing w:after="0" w:line="120" w:lineRule="exact"/>
        <w:rPr>
          <w:sz w:val="10"/>
          <w:lang w:eastAsia="es-ES"/>
        </w:rPr>
      </w:pPr>
    </w:p>
    <w:p w:rsidR="00C57BDB" w:rsidRPr="00C57BDB" w:rsidRDefault="00C57BDB" w:rsidP="00C57BDB">
      <w:pPr>
        <w:pStyle w:val="SingleTxt"/>
        <w:suppressAutoHyphens/>
        <w:spacing w:after="0" w:line="120" w:lineRule="exact"/>
        <w:rPr>
          <w:sz w:val="10"/>
          <w:lang w:eastAsia="es-ES"/>
        </w:rPr>
      </w:pPr>
    </w:p>
    <w:bookmarkEnd w:id="141"/>
    <w:bookmarkEnd w:id="142"/>
    <w:p w:rsidR="0038237D" w:rsidRPr="00EA0AB9" w:rsidRDefault="00C35444" w:rsidP="00C35444">
      <w:pPr>
        <w:pStyle w:val="SingleTxt"/>
        <w:suppressAutoHyphens/>
        <w:rPr>
          <w:lang w:val="es-ES_tradnl"/>
        </w:rPr>
      </w:pPr>
      <w:r>
        <w:rPr>
          <w:lang w:val="es-ES_tradnl"/>
        </w:rPr>
        <w:tab/>
      </w:r>
      <w:r w:rsidR="0038237D" w:rsidRPr="00EA0AB9">
        <w:rPr>
          <w:lang w:val="es-ES_tradnl"/>
        </w:rPr>
        <w:t xml:space="preserve">Cuando el período de licencia se calcula por niño en el año del nacimiento y el año siguiente, la parte correspondiente al padre era del 9% y la de la madre del 91% (véase el cuadro 2). Se prevé que los padres usarán la licencia parental en medida cada vez mayor, ya que cada vez está más extendido el uso de remunerar a ambos padres durante la licencia parental. </w:t>
      </w:r>
    </w:p>
    <w:p w:rsidR="0038237D" w:rsidRPr="00EA0AB9" w:rsidRDefault="00C35444" w:rsidP="00C35444">
      <w:pPr>
        <w:pStyle w:val="SingleTxt"/>
        <w:suppressAutoHyphens/>
        <w:rPr>
          <w:b/>
          <w:lang w:val="es-ES_tradnl"/>
        </w:rPr>
      </w:pPr>
      <w:r>
        <w:rPr>
          <w:lang w:val="es-ES_tradnl"/>
        </w:rPr>
        <w:tab/>
      </w:r>
      <w:r w:rsidR="0038237D" w:rsidRPr="00EA0AB9">
        <w:rPr>
          <w:lang w:val="es-ES_tradnl"/>
        </w:rPr>
        <w:t>En 2006, se adoptó un plan de equiparación en relación con los partos. Todos los empleadores están obligados a contribuir al plan aun cuando no ofrezcan remuneración durante la licencia de maternidad/paternidad y la licencia parental ni tengan empleados que vayan a tomar un período de licencia con ocasión del nacimiento de un hijo. El objetivo del plan es garantizar que no sean únicamente los oficios con predominio de mujeres los que tengan que soportar los costos durante el período de licencia. En 2013, el plan de equiparación se amplía para incluir a los trabajadores por cuenta propia.</w:t>
      </w:r>
    </w:p>
    <w:p w:rsidR="00C35444" w:rsidRPr="00C35444" w:rsidRDefault="00C35444" w:rsidP="00C35444">
      <w:pPr>
        <w:pStyle w:val="SingleTxt"/>
        <w:suppressAutoHyphens/>
        <w:spacing w:after="0" w:line="120" w:lineRule="exact"/>
        <w:rPr>
          <w:sz w:val="10"/>
          <w:lang w:val="es-ES_tradnl"/>
        </w:rPr>
      </w:pPr>
      <w:bookmarkStart w:id="143" w:name="_Toc360096858"/>
    </w:p>
    <w:p w:rsidR="0038237D" w:rsidRPr="00EA0AB9" w:rsidRDefault="0038237D" w:rsidP="00C354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Trabajo a tiempo parcial, horario reducido y horas de trabajo</w:t>
      </w:r>
    </w:p>
    <w:bookmarkEnd w:id="143"/>
    <w:p w:rsidR="00C35444" w:rsidRPr="00C35444" w:rsidRDefault="00C35444" w:rsidP="00C35444">
      <w:pPr>
        <w:pStyle w:val="SingleTxt"/>
        <w:tabs>
          <w:tab w:val="right" w:pos="1685"/>
        </w:tabs>
        <w:suppressAutoHyphens/>
        <w:spacing w:after="0" w:line="120" w:lineRule="exact"/>
        <w:ind w:left="1742" w:hanging="475"/>
        <w:rPr>
          <w:sz w:val="10"/>
          <w:lang w:val="es-ES_tradnl"/>
        </w:rPr>
      </w:pP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En 2011, había más mujeres que hombres que trabajaban menos de 37 horas por semana. Por el contrario, había más hombres que mujeres que trabajaban 37 horas o más.</w:t>
      </w:r>
    </w:p>
    <w:p w:rsidR="0038237D" w:rsidRPr="00C35444" w:rsidRDefault="00C35444" w:rsidP="00C35444">
      <w:pPr>
        <w:pStyle w:val="SingleTxt"/>
        <w:tabs>
          <w:tab w:val="right" w:pos="1685"/>
        </w:tabs>
        <w:suppressAutoHyphens/>
        <w:ind w:left="1742" w:hanging="475"/>
        <w:rPr>
          <w:lang w:val="es-ES_tradnl"/>
        </w:rPr>
      </w:pPr>
      <w:bookmarkStart w:id="144" w:name="_Toc349720622"/>
      <w:bookmarkStart w:id="145" w:name="_Toc360096859"/>
      <w:r>
        <w:rPr>
          <w:lang w:val="es-ES_tradnl"/>
        </w:rPr>
        <w:tab/>
        <w:t>•</w:t>
      </w:r>
      <w:r>
        <w:rPr>
          <w:lang w:val="es-ES_tradnl"/>
        </w:rPr>
        <w:tab/>
      </w:r>
      <w:r w:rsidR="0038237D" w:rsidRPr="00EA0AB9">
        <w:rPr>
          <w:lang w:val="es-ES_tradnl"/>
        </w:rPr>
        <w:t xml:space="preserve">En 2011, el promedio de las horas de trabajo semanales era de 32,1 en el caso de las mujeres y de 37,7 en el de los hombres. </w:t>
      </w:r>
    </w:p>
    <w:bookmarkEnd w:id="144"/>
    <w:bookmarkEnd w:id="145"/>
    <w:p w:rsidR="00C35444" w:rsidRPr="00C35444" w:rsidRDefault="00C35444" w:rsidP="00C35444">
      <w:pPr>
        <w:pStyle w:val="SingleTxt"/>
        <w:suppressAutoHyphens/>
        <w:spacing w:after="0" w:line="120" w:lineRule="exact"/>
        <w:rPr>
          <w:sz w:val="10"/>
          <w:lang w:val="es-ES_tradnl"/>
        </w:rPr>
      </w:pPr>
    </w:p>
    <w:p w:rsidR="0038237D" w:rsidRPr="00EA0AB9" w:rsidRDefault="00C35444" w:rsidP="00C354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38237D">
        <w:rPr>
          <w:lang w:val="es-ES_tradnl"/>
        </w:rPr>
        <w:tab/>
      </w:r>
      <w:r w:rsidR="0038237D" w:rsidRPr="00EA0AB9">
        <w:rPr>
          <w:lang w:val="es-ES_tradnl"/>
        </w:rPr>
        <w:t xml:space="preserve">Convención sobre los Trabajadores Migratorios </w:t>
      </w:r>
    </w:p>
    <w:p w:rsidR="00C35444" w:rsidRPr="00C35444" w:rsidRDefault="00C35444" w:rsidP="00C35444">
      <w:pPr>
        <w:pStyle w:val="SingleTxt"/>
        <w:suppressAutoHyphens/>
        <w:spacing w:after="0" w:line="120" w:lineRule="exact"/>
        <w:rPr>
          <w:sz w:val="10"/>
          <w:lang w:val="es-ES_tradnl"/>
        </w:rPr>
      </w:pPr>
    </w:p>
    <w:p w:rsidR="0038237D" w:rsidRPr="00EA0AB9" w:rsidRDefault="00C35444" w:rsidP="00C35444">
      <w:pPr>
        <w:pStyle w:val="SingleTxt"/>
        <w:suppressAutoHyphens/>
        <w:rPr>
          <w:lang w:val="es-ES_tradnl"/>
        </w:rPr>
      </w:pPr>
      <w:r>
        <w:rPr>
          <w:lang w:val="es-ES_tradnl"/>
        </w:rPr>
        <w:tab/>
      </w:r>
      <w:r w:rsidR="0038237D" w:rsidRPr="00EA0AB9">
        <w:rPr>
          <w:lang w:val="es-ES_tradnl"/>
        </w:rPr>
        <w:t>La Convención Internacional sobre la Protección de los Derechos de Todos los Trabajadores Migratorios y de sus Familiares no se ha ratificado en Dinamarca. Se estima que el número de personas que viven y trabajan fuera de sus países de origen ha aumentado desde 1975. Dinamarca no ha ratificado la Convención, aprobada por las Naciones Unidas en 1990, debido a la incertidumbre sobre las consecuencias para la regulación de la protección social.</w:t>
      </w:r>
    </w:p>
    <w:p w:rsidR="00C35444" w:rsidRPr="00C35444" w:rsidRDefault="00C35444" w:rsidP="00C35444">
      <w:pPr>
        <w:pStyle w:val="SingleTxt"/>
        <w:suppressAutoHyphens/>
        <w:spacing w:after="0" w:line="120" w:lineRule="exact"/>
        <w:rPr>
          <w:sz w:val="10"/>
          <w:lang w:val="es-ES_tradnl"/>
        </w:rPr>
      </w:pPr>
    </w:p>
    <w:p w:rsidR="0038237D" w:rsidRPr="00EA0AB9" w:rsidRDefault="0038237D" w:rsidP="00C354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Mujeres empresarias</w:t>
      </w:r>
    </w:p>
    <w:p w:rsidR="00C35444" w:rsidRPr="00C35444" w:rsidRDefault="00C35444" w:rsidP="00C35444">
      <w:pPr>
        <w:pStyle w:val="SingleTxt"/>
        <w:suppressAutoHyphens/>
        <w:spacing w:after="0" w:line="120" w:lineRule="exact"/>
        <w:rPr>
          <w:sz w:val="10"/>
          <w:lang w:val="es-ES_tradnl"/>
        </w:rPr>
      </w:pPr>
    </w:p>
    <w:p w:rsidR="0038237D" w:rsidRPr="00EA0AB9" w:rsidRDefault="00C35444" w:rsidP="00C35444">
      <w:pPr>
        <w:pStyle w:val="SingleTxt"/>
        <w:suppressAutoHyphens/>
        <w:rPr>
          <w:lang w:val="es-ES_tradnl"/>
        </w:rPr>
      </w:pPr>
      <w:r>
        <w:rPr>
          <w:lang w:val="es-ES_tradnl"/>
        </w:rPr>
        <w:tab/>
      </w:r>
      <w:r w:rsidR="0038237D" w:rsidRPr="00EA0AB9">
        <w:rPr>
          <w:lang w:val="es-ES_tradnl"/>
        </w:rPr>
        <w:t>Desde su entrada en 2001, el Gobierno danés ha hecho gran hincapié en la promoción del espíritu de empresa. Ha adoptado más de 50 iniciativas diferentes a través de 5 planes de acción. Las iniciativas tratan de mejorar las condiciones para la actividad empresarial en Dinamarca. Son iniciativas de carácter general, ya que las condiciones favorables benefician a todos. Entre las prioridades políticas no figura la de adoptar objetivos empresariales destinados a grupos específicos. Por ello, Dinamarca no tiene planes públicos para promover o respaldar a las mujeres empresarias.</w:t>
      </w:r>
    </w:p>
    <w:p w:rsidR="0038237D" w:rsidRPr="00EA0AB9" w:rsidRDefault="00C35444" w:rsidP="00C35444">
      <w:pPr>
        <w:pStyle w:val="SingleTxt"/>
        <w:suppressAutoHyphens/>
        <w:rPr>
          <w:lang w:val="es-ES_tradnl"/>
        </w:rPr>
      </w:pPr>
      <w:r>
        <w:rPr>
          <w:lang w:val="es-ES_tradnl"/>
        </w:rPr>
        <w:tab/>
      </w:r>
      <w:r w:rsidR="0038237D" w:rsidRPr="00EA0AB9">
        <w:rPr>
          <w:lang w:val="es-ES_tradnl"/>
        </w:rPr>
        <w:t xml:space="preserve">En el último período del programa Fondo Social Europeo (2000-2006), un buen número de proyectos daneses respaldados por el Fondo estaban orientados a la mujer. Las experiencias acumuladas de estos proyectos se utilizarán para futuras iniciativas y programas. En el período 2007-2011 del programa se dio prioridad a los proyectos claramente orientados a la igualdad de oportunidades. </w:t>
      </w:r>
    </w:p>
    <w:p w:rsidR="0038237D" w:rsidRDefault="00C35444" w:rsidP="00C35444">
      <w:pPr>
        <w:pStyle w:val="SingleTxt"/>
        <w:suppressAutoHyphens/>
        <w:rPr>
          <w:lang w:val="es-ES_tradnl"/>
        </w:rPr>
      </w:pPr>
      <w:r>
        <w:rPr>
          <w:lang w:val="es-ES_tradnl"/>
        </w:rPr>
        <w:tab/>
      </w:r>
      <w:r w:rsidR="0038237D" w:rsidRPr="00EA0AB9">
        <w:rPr>
          <w:lang w:val="es-ES_tradnl"/>
        </w:rPr>
        <w:t>En Dinamarca, aproximadamente el 25% de los empresarios son mujeres. La proporción disminuyó ligeramente entre 2001 y 2004. Las cifras se refieren a todas las empresas nuevas, incluidas las compañías, las empresas de propiedad exclusiva de una persona y las asociaciones.</w:t>
      </w:r>
    </w:p>
    <w:p w:rsidR="00C35444" w:rsidRPr="00C35444" w:rsidRDefault="00C35444" w:rsidP="00C35444">
      <w:pPr>
        <w:pStyle w:val="SingleTxt"/>
        <w:suppressAutoHyphens/>
        <w:spacing w:after="0" w:line="120" w:lineRule="exact"/>
        <w:rPr>
          <w:sz w:val="10"/>
          <w:lang w:val="es-ES_tradnl"/>
        </w:rPr>
      </w:pPr>
    </w:p>
    <w:p w:rsidR="00C35444" w:rsidRPr="00C35444" w:rsidRDefault="00C35444" w:rsidP="00C35444">
      <w:pPr>
        <w:pStyle w:val="SingleTxt"/>
        <w:suppressAutoHyphens/>
        <w:spacing w:after="0" w:line="120" w:lineRule="exact"/>
        <w:rPr>
          <w:sz w:val="10"/>
          <w:lang w:val="es-ES_tradnl"/>
        </w:rPr>
      </w:pPr>
    </w:p>
    <w:tbl>
      <w:tblPr>
        <w:tblW w:w="7108" w:type="dxa"/>
        <w:tblInd w:w="1287" w:type="dxa"/>
        <w:tblBorders>
          <w:top w:val="single" w:sz="4" w:space="0" w:color="auto"/>
        </w:tblBorders>
        <w:tblCellMar>
          <w:left w:w="0" w:type="dxa"/>
          <w:right w:w="0" w:type="dxa"/>
        </w:tblCellMar>
        <w:tblLook w:val="0000"/>
      </w:tblPr>
      <w:tblGrid>
        <w:gridCol w:w="1894"/>
        <w:gridCol w:w="1324"/>
        <w:gridCol w:w="1494"/>
        <w:gridCol w:w="1254"/>
        <w:gridCol w:w="1222"/>
      </w:tblGrid>
      <w:tr w:rsidR="0038237D" w:rsidRPr="00C35444" w:rsidTr="00F641F3">
        <w:trPr>
          <w:trHeight w:val="255"/>
          <w:tblHeader/>
        </w:trPr>
        <w:tc>
          <w:tcPr>
            <w:tcW w:w="1878"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0" w:after="80" w:line="160" w:lineRule="exact"/>
              <w:ind w:left="144" w:right="0" w:hanging="144"/>
              <w:jc w:val="left"/>
              <w:rPr>
                <w:i/>
                <w:sz w:val="14"/>
                <w:szCs w:val="14"/>
                <w:lang w:val="es-ES_tradnl"/>
              </w:rPr>
            </w:pPr>
          </w:p>
        </w:tc>
        <w:tc>
          <w:tcPr>
            <w:tcW w:w="1308"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0" w:after="80" w:line="160" w:lineRule="exact"/>
              <w:ind w:left="144" w:right="0" w:hanging="144"/>
              <w:jc w:val="right"/>
              <w:rPr>
                <w:bCs/>
                <w:i/>
                <w:sz w:val="14"/>
                <w:szCs w:val="14"/>
                <w:lang w:val="es-ES_tradnl"/>
              </w:rPr>
            </w:pPr>
            <w:r w:rsidRPr="00C35444">
              <w:rPr>
                <w:bCs/>
                <w:i/>
                <w:sz w:val="14"/>
                <w:szCs w:val="14"/>
                <w:lang w:val="es-ES_tradnl"/>
              </w:rPr>
              <w:t>2001</w:t>
            </w:r>
          </w:p>
        </w:tc>
        <w:tc>
          <w:tcPr>
            <w:tcW w:w="1478"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0" w:after="80" w:line="160" w:lineRule="exact"/>
              <w:ind w:left="144" w:right="0" w:hanging="144"/>
              <w:jc w:val="right"/>
              <w:rPr>
                <w:bCs/>
                <w:i/>
                <w:sz w:val="14"/>
                <w:szCs w:val="14"/>
                <w:lang w:val="es-ES_tradnl"/>
              </w:rPr>
            </w:pPr>
            <w:r w:rsidRPr="00C35444">
              <w:rPr>
                <w:bCs/>
                <w:i/>
                <w:sz w:val="14"/>
                <w:szCs w:val="14"/>
                <w:lang w:val="es-ES_tradnl"/>
              </w:rPr>
              <w:t>2002</w:t>
            </w:r>
          </w:p>
        </w:tc>
        <w:tc>
          <w:tcPr>
            <w:tcW w:w="1238"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0" w:after="80" w:line="160" w:lineRule="exact"/>
              <w:ind w:left="144" w:right="0" w:hanging="144"/>
              <w:jc w:val="right"/>
              <w:rPr>
                <w:bCs/>
                <w:i/>
                <w:sz w:val="14"/>
                <w:szCs w:val="14"/>
                <w:lang w:val="es-ES_tradnl"/>
              </w:rPr>
            </w:pPr>
            <w:r w:rsidRPr="00C35444">
              <w:rPr>
                <w:bCs/>
                <w:i/>
                <w:sz w:val="14"/>
                <w:szCs w:val="14"/>
                <w:lang w:val="es-ES_tradnl"/>
              </w:rPr>
              <w:t>2003</w:t>
            </w:r>
          </w:p>
        </w:tc>
        <w:tc>
          <w:tcPr>
            <w:tcW w:w="1206"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0" w:after="80" w:line="160" w:lineRule="exact"/>
              <w:ind w:left="144" w:right="0" w:hanging="144"/>
              <w:jc w:val="right"/>
              <w:rPr>
                <w:bCs/>
                <w:i/>
                <w:sz w:val="14"/>
                <w:szCs w:val="14"/>
                <w:lang w:val="es-ES_tradnl"/>
              </w:rPr>
            </w:pPr>
            <w:r w:rsidRPr="00C35444">
              <w:rPr>
                <w:bCs/>
                <w:i/>
                <w:sz w:val="14"/>
                <w:szCs w:val="14"/>
                <w:lang w:val="es-ES_tradnl"/>
              </w:rPr>
              <w:t>2004</w:t>
            </w:r>
          </w:p>
        </w:tc>
      </w:tr>
      <w:tr w:rsidR="0038237D" w:rsidRPr="00C35444" w:rsidTr="00F641F3">
        <w:trPr>
          <w:trHeight w:val="255"/>
        </w:trPr>
        <w:tc>
          <w:tcPr>
            <w:tcW w:w="1878" w:type="dxa"/>
            <w:tcBorders>
              <w:top w:val="single" w:sz="12" w:space="0" w:color="auto"/>
            </w:tcBorders>
            <w:shd w:val="clear" w:color="auto" w:fill="auto"/>
            <w:noWrap/>
          </w:tcPr>
          <w:p w:rsidR="0038237D" w:rsidRPr="00C35444" w:rsidRDefault="0038237D" w:rsidP="00C35444">
            <w:pPr>
              <w:pStyle w:val="SingleTxtG"/>
              <w:suppressAutoHyphens w:val="0"/>
              <w:spacing w:before="40" w:after="40" w:line="210" w:lineRule="exact"/>
              <w:ind w:left="144" w:right="0" w:hanging="144"/>
              <w:jc w:val="left"/>
              <w:rPr>
                <w:sz w:val="17"/>
                <w:szCs w:val="17"/>
                <w:lang w:val="es-ES_tradnl"/>
              </w:rPr>
            </w:pPr>
            <w:r w:rsidRPr="00C35444">
              <w:rPr>
                <w:sz w:val="17"/>
                <w:szCs w:val="17"/>
                <w:lang w:val="es-ES_tradnl"/>
              </w:rPr>
              <w:t>Hombres</w:t>
            </w:r>
          </w:p>
        </w:tc>
        <w:tc>
          <w:tcPr>
            <w:tcW w:w="1308" w:type="dxa"/>
            <w:tcBorders>
              <w:top w:val="single" w:sz="12" w:space="0" w:color="auto"/>
            </w:tcBorders>
            <w:shd w:val="clear" w:color="auto" w:fill="auto"/>
            <w:noWrap/>
            <w:vAlign w:val="bottom"/>
          </w:tcPr>
          <w:p w:rsidR="0038237D" w:rsidRPr="00C35444" w:rsidRDefault="0038237D" w:rsidP="00C35444">
            <w:pPr>
              <w:pStyle w:val="SingleTxtG"/>
              <w:suppressAutoHyphens w:val="0"/>
              <w:spacing w:before="40" w:after="40" w:line="210" w:lineRule="exact"/>
              <w:ind w:left="144" w:right="0" w:hanging="144"/>
              <w:jc w:val="right"/>
              <w:rPr>
                <w:sz w:val="17"/>
                <w:szCs w:val="17"/>
                <w:lang w:val="es-ES_tradnl"/>
              </w:rPr>
            </w:pPr>
            <w:r w:rsidRPr="00C35444">
              <w:rPr>
                <w:sz w:val="17"/>
                <w:szCs w:val="17"/>
                <w:lang w:val="es-ES_tradnl"/>
              </w:rPr>
              <w:t>74,6</w:t>
            </w:r>
          </w:p>
        </w:tc>
        <w:tc>
          <w:tcPr>
            <w:tcW w:w="1478" w:type="dxa"/>
            <w:tcBorders>
              <w:top w:val="single" w:sz="12" w:space="0" w:color="auto"/>
            </w:tcBorders>
            <w:shd w:val="clear" w:color="auto" w:fill="auto"/>
            <w:noWrap/>
            <w:vAlign w:val="bottom"/>
          </w:tcPr>
          <w:p w:rsidR="0038237D" w:rsidRPr="00C35444" w:rsidRDefault="0038237D" w:rsidP="00C35444">
            <w:pPr>
              <w:pStyle w:val="SingleTxtG"/>
              <w:suppressAutoHyphens w:val="0"/>
              <w:spacing w:before="40" w:after="40" w:line="210" w:lineRule="exact"/>
              <w:ind w:left="144" w:right="0" w:hanging="144"/>
              <w:jc w:val="right"/>
              <w:rPr>
                <w:sz w:val="17"/>
                <w:szCs w:val="17"/>
                <w:lang w:val="es-ES_tradnl"/>
              </w:rPr>
            </w:pPr>
            <w:r w:rsidRPr="00C35444">
              <w:rPr>
                <w:sz w:val="17"/>
                <w:szCs w:val="17"/>
                <w:lang w:val="es-ES_tradnl"/>
              </w:rPr>
              <w:t>74,7</w:t>
            </w:r>
          </w:p>
        </w:tc>
        <w:tc>
          <w:tcPr>
            <w:tcW w:w="1238" w:type="dxa"/>
            <w:tcBorders>
              <w:top w:val="single" w:sz="12" w:space="0" w:color="auto"/>
            </w:tcBorders>
            <w:shd w:val="clear" w:color="auto" w:fill="auto"/>
            <w:noWrap/>
            <w:vAlign w:val="bottom"/>
          </w:tcPr>
          <w:p w:rsidR="0038237D" w:rsidRPr="00C35444" w:rsidRDefault="0038237D" w:rsidP="00C35444">
            <w:pPr>
              <w:pStyle w:val="SingleTxtG"/>
              <w:suppressAutoHyphens w:val="0"/>
              <w:spacing w:before="40" w:after="40" w:line="210" w:lineRule="exact"/>
              <w:ind w:left="144" w:right="0" w:hanging="144"/>
              <w:jc w:val="right"/>
              <w:rPr>
                <w:sz w:val="17"/>
                <w:szCs w:val="17"/>
                <w:lang w:val="es-ES_tradnl"/>
              </w:rPr>
            </w:pPr>
            <w:r w:rsidRPr="00C35444">
              <w:rPr>
                <w:sz w:val="17"/>
                <w:szCs w:val="17"/>
                <w:lang w:val="es-ES_tradnl"/>
              </w:rPr>
              <w:t>75,4</w:t>
            </w:r>
          </w:p>
        </w:tc>
        <w:tc>
          <w:tcPr>
            <w:tcW w:w="1206" w:type="dxa"/>
            <w:tcBorders>
              <w:top w:val="single" w:sz="12" w:space="0" w:color="auto"/>
            </w:tcBorders>
            <w:shd w:val="clear" w:color="auto" w:fill="auto"/>
            <w:noWrap/>
            <w:vAlign w:val="bottom"/>
          </w:tcPr>
          <w:p w:rsidR="0038237D" w:rsidRPr="00C35444" w:rsidRDefault="0038237D" w:rsidP="00C35444">
            <w:pPr>
              <w:pStyle w:val="SingleTxtG"/>
              <w:suppressAutoHyphens w:val="0"/>
              <w:spacing w:before="40" w:after="40" w:line="210" w:lineRule="exact"/>
              <w:ind w:left="144" w:right="0" w:hanging="144"/>
              <w:jc w:val="right"/>
              <w:rPr>
                <w:sz w:val="17"/>
                <w:szCs w:val="17"/>
                <w:lang w:val="es-ES_tradnl"/>
              </w:rPr>
            </w:pPr>
            <w:r w:rsidRPr="00C35444">
              <w:rPr>
                <w:sz w:val="17"/>
                <w:szCs w:val="17"/>
                <w:lang w:val="es-ES_tradnl"/>
              </w:rPr>
              <w:t>75,9</w:t>
            </w:r>
          </w:p>
        </w:tc>
      </w:tr>
      <w:tr w:rsidR="0038237D" w:rsidRPr="00C35444" w:rsidTr="00F641F3">
        <w:trPr>
          <w:trHeight w:val="255"/>
        </w:trPr>
        <w:tc>
          <w:tcPr>
            <w:tcW w:w="1878" w:type="dxa"/>
            <w:tcBorders>
              <w:bottom w:val="single" w:sz="4" w:space="0" w:color="auto"/>
            </w:tcBorders>
            <w:shd w:val="clear" w:color="auto" w:fill="auto"/>
            <w:noWrap/>
          </w:tcPr>
          <w:p w:rsidR="0038237D" w:rsidRPr="00C35444" w:rsidRDefault="0038237D" w:rsidP="00C35444">
            <w:pPr>
              <w:pStyle w:val="SingleTxtG"/>
              <w:suppressAutoHyphens w:val="0"/>
              <w:spacing w:before="40" w:after="81" w:line="210" w:lineRule="exact"/>
              <w:ind w:left="144" w:right="0" w:hanging="144"/>
              <w:jc w:val="left"/>
              <w:rPr>
                <w:sz w:val="17"/>
                <w:szCs w:val="17"/>
                <w:lang w:val="es-ES_tradnl"/>
              </w:rPr>
            </w:pPr>
            <w:r w:rsidRPr="00C35444">
              <w:rPr>
                <w:sz w:val="17"/>
                <w:szCs w:val="17"/>
                <w:lang w:val="es-ES_tradnl"/>
              </w:rPr>
              <w:t>Mujeres</w:t>
            </w:r>
          </w:p>
        </w:tc>
        <w:tc>
          <w:tcPr>
            <w:tcW w:w="1308" w:type="dxa"/>
            <w:tcBorders>
              <w:bottom w:val="single" w:sz="4" w:space="0" w:color="auto"/>
            </w:tcBorders>
            <w:shd w:val="clear" w:color="auto" w:fill="auto"/>
            <w:noWrap/>
            <w:vAlign w:val="bottom"/>
          </w:tcPr>
          <w:p w:rsidR="0038237D" w:rsidRPr="00C35444" w:rsidRDefault="0038237D" w:rsidP="00C35444">
            <w:pPr>
              <w:pStyle w:val="SingleTxtG"/>
              <w:suppressAutoHyphens w:val="0"/>
              <w:spacing w:before="40" w:after="81" w:line="210" w:lineRule="exact"/>
              <w:ind w:left="144" w:right="0" w:hanging="144"/>
              <w:jc w:val="right"/>
              <w:rPr>
                <w:sz w:val="17"/>
                <w:szCs w:val="17"/>
                <w:lang w:val="es-ES_tradnl"/>
              </w:rPr>
            </w:pPr>
            <w:r w:rsidRPr="00C35444">
              <w:rPr>
                <w:sz w:val="17"/>
                <w:szCs w:val="17"/>
                <w:lang w:val="es-ES_tradnl"/>
              </w:rPr>
              <w:t>25,4</w:t>
            </w:r>
          </w:p>
        </w:tc>
        <w:tc>
          <w:tcPr>
            <w:tcW w:w="1478" w:type="dxa"/>
            <w:tcBorders>
              <w:bottom w:val="single" w:sz="4" w:space="0" w:color="auto"/>
            </w:tcBorders>
            <w:shd w:val="clear" w:color="auto" w:fill="auto"/>
            <w:noWrap/>
            <w:vAlign w:val="bottom"/>
          </w:tcPr>
          <w:p w:rsidR="0038237D" w:rsidRPr="00C35444" w:rsidRDefault="0038237D" w:rsidP="00C35444">
            <w:pPr>
              <w:pStyle w:val="SingleTxtG"/>
              <w:suppressAutoHyphens w:val="0"/>
              <w:spacing w:before="40" w:after="81" w:line="210" w:lineRule="exact"/>
              <w:ind w:left="144" w:right="0" w:hanging="144"/>
              <w:jc w:val="right"/>
              <w:rPr>
                <w:sz w:val="17"/>
                <w:szCs w:val="17"/>
                <w:lang w:val="es-ES_tradnl"/>
              </w:rPr>
            </w:pPr>
            <w:r w:rsidRPr="00C35444">
              <w:rPr>
                <w:sz w:val="17"/>
                <w:szCs w:val="17"/>
                <w:lang w:val="es-ES_tradnl"/>
              </w:rPr>
              <w:t>25,3</w:t>
            </w:r>
          </w:p>
        </w:tc>
        <w:tc>
          <w:tcPr>
            <w:tcW w:w="1238" w:type="dxa"/>
            <w:tcBorders>
              <w:bottom w:val="single" w:sz="4" w:space="0" w:color="auto"/>
            </w:tcBorders>
            <w:shd w:val="clear" w:color="auto" w:fill="auto"/>
            <w:noWrap/>
            <w:vAlign w:val="bottom"/>
          </w:tcPr>
          <w:p w:rsidR="0038237D" w:rsidRPr="00C35444" w:rsidRDefault="0038237D" w:rsidP="00C35444">
            <w:pPr>
              <w:pStyle w:val="SingleTxtG"/>
              <w:suppressAutoHyphens w:val="0"/>
              <w:spacing w:before="40" w:after="81" w:line="210" w:lineRule="exact"/>
              <w:ind w:left="144" w:right="0" w:hanging="144"/>
              <w:jc w:val="right"/>
              <w:rPr>
                <w:sz w:val="17"/>
                <w:szCs w:val="17"/>
                <w:lang w:val="es-ES_tradnl"/>
              </w:rPr>
            </w:pPr>
            <w:r w:rsidRPr="00C35444">
              <w:rPr>
                <w:sz w:val="17"/>
                <w:szCs w:val="17"/>
                <w:lang w:val="es-ES_tradnl"/>
              </w:rPr>
              <w:t>24,6</w:t>
            </w:r>
          </w:p>
        </w:tc>
        <w:tc>
          <w:tcPr>
            <w:tcW w:w="1206" w:type="dxa"/>
            <w:tcBorders>
              <w:bottom w:val="single" w:sz="4" w:space="0" w:color="auto"/>
            </w:tcBorders>
            <w:shd w:val="clear" w:color="auto" w:fill="auto"/>
            <w:noWrap/>
            <w:vAlign w:val="bottom"/>
          </w:tcPr>
          <w:p w:rsidR="0038237D" w:rsidRPr="00C35444" w:rsidRDefault="0038237D" w:rsidP="00C35444">
            <w:pPr>
              <w:pStyle w:val="SingleTxtG"/>
              <w:suppressAutoHyphens w:val="0"/>
              <w:spacing w:before="40" w:after="81" w:line="210" w:lineRule="exact"/>
              <w:ind w:left="144" w:right="0" w:hanging="144"/>
              <w:jc w:val="right"/>
              <w:rPr>
                <w:sz w:val="17"/>
                <w:szCs w:val="17"/>
                <w:lang w:val="es-ES_tradnl"/>
              </w:rPr>
            </w:pPr>
            <w:r w:rsidRPr="00C35444">
              <w:rPr>
                <w:sz w:val="17"/>
                <w:szCs w:val="17"/>
                <w:lang w:val="es-ES_tradnl"/>
              </w:rPr>
              <w:t>24,1</w:t>
            </w:r>
          </w:p>
        </w:tc>
      </w:tr>
      <w:tr w:rsidR="0038237D" w:rsidRPr="00C35444" w:rsidTr="00F641F3">
        <w:trPr>
          <w:trHeight w:val="255"/>
        </w:trPr>
        <w:tc>
          <w:tcPr>
            <w:tcW w:w="1878" w:type="dxa"/>
            <w:tcBorders>
              <w:top w:val="single" w:sz="4" w:space="0" w:color="auto"/>
              <w:bottom w:val="single" w:sz="12" w:space="0" w:color="auto"/>
            </w:tcBorders>
            <w:shd w:val="clear" w:color="auto" w:fill="auto"/>
            <w:noWrap/>
          </w:tcPr>
          <w:p w:rsidR="0038237D" w:rsidRPr="00C35444" w:rsidRDefault="00C35444" w:rsidP="00C35444">
            <w:pPr>
              <w:pStyle w:val="SingleTxtG"/>
              <w:suppressAutoHyphens w:val="0"/>
              <w:spacing w:before="81" w:after="81" w:line="210" w:lineRule="exact"/>
              <w:ind w:left="144" w:right="0" w:hanging="144"/>
              <w:jc w:val="left"/>
              <w:rPr>
                <w:b/>
                <w:sz w:val="17"/>
                <w:szCs w:val="17"/>
                <w:lang w:val="es-ES_tradnl"/>
              </w:rPr>
            </w:pPr>
            <w:r w:rsidRPr="00C35444">
              <w:rPr>
                <w:b/>
                <w:sz w:val="17"/>
                <w:szCs w:val="17"/>
                <w:lang w:val="es-ES_tradnl"/>
              </w:rPr>
              <w:tab/>
            </w:r>
            <w:r w:rsidR="0038237D" w:rsidRPr="00C35444">
              <w:rPr>
                <w:b/>
                <w:sz w:val="17"/>
                <w:szCs w:val="17"/>
                <w:lang w:val="es-ES_tradnl"/>
              </w:rPr>
              <w:t>Total</w:t>
            </w:r>
          </w:p>
        </w:tc>
        <w:tc>
          <w:tcPr>
            <w:tcW w:w="1308"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1" w:after="81" w:line="210" w:lineRule="exact"/>
              <w:ind w:left="144" w:right="0" w:hanging="144"/>
              <w:jc w:val="right"/>
              <w:rPr>
                <w:b/>
                <w:sz w:val="17"/>
                <w:szCs w:val="17"/>
                <w:lang w:val="es-ES_tradnl"/>
              </w:rPr>
            </w:pPr>
            <w:r w:rsidRPr="00C35444">
              <w:rPr>
                <w:b/>
                <w:sz w:val="17"/>
                <w:szCs w:val="17"/>
                <w:lang w:val="es-ES_tradnl"/>
              </w:rPr>
              <w:t>100</w:t>
            </w:r>
          </w:p>
        </w:tc>
        <w:tc>
          <w:tcPr>
            <w:tcW w:w="1478"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1" w:after="81" w:line="210" w:lineRule="exact"/>
              <w:ind w:left="144" w:right="0" w:hanging="144"/>
              <w:jc w:val="right"/>
              <w:rPr>
                <w:b/>
                <w:sz w:val="17"/>
                <w:szCs w:val="17"/>
                <w:lang w:val="es-ES_tradnl"/>
              </w:rPr>
            </w:pPr>
            <w:r w:rsidRPr="00C35444">
              <w:rPr>
                <w:b/>
                <w:sz w:val="17"/>
                <w:szCs w:val="17"/>
                <w:lang w:val="es-ES_tradnl"/>
              </w:rPr>
              <w:t>100</w:t>
            </w:r>
          </w:p>
        </w:tc>
        <w:tc>
          <w:tcPr>
            <w:tcW w:w="1238"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1" w:after="81" w:line="210" w:lineRule="exact"/>
              <w:ind w:left="144" w:right="0" w:hanging="144"/>
              <w:jc w:val="right"/>
              <w:rPr>
                <w:b/>
                <w:sz w:val="17"/>
                <w:szCs w:val="17"/>
                <w:lang w:val="es-ES_tradnl"/>
              </w:rPr>
            </w:pPr>
            <w:r w:rsidRPr="00C35444">
              <w:rPr>
                <w:b/>
                <w:sz w:val="17"/>
                <w:szCs w:val="17"/>
                <w:lang w:val="es-ES_tradnl"/>
              </w:rPr>
              <w:t>100</w:t>
            </w:r>
          </w:p>
        </w:tc>
        <w:tc>
          <w:tcPr>
            <w:tcW w:w="1206" w:type="dxa"/>
            <w:tcBorders>
              <w:top w:val="single" w:sz="4" w:space="0" w:color="auto"/>
              <w:bottom w:val="single" w:sz="12" w:space="0" w:color="auto"/>
            </w:tcBorders>
            <w:shd w:val="clear" w:color="auto" w:fill="auto"/>
            <w:noWrap/>
            <w:vAlign w:val="bottom"/>
          </w:tcPr>
          <w:p w:rsidR="0038237D" w:rsidRPr="00C35444" w:rsidRDefault="0038237D" w:rsidP="00C35444">
            <w:pPr>
              <w:pStyle w:val="SingleTxtG"/>
              <w:suppressAutoHyphens w:val="0"/>
              <w:spacing w:before="81" w:after="81" w:line="210" w:lineRule="exact"/>
              <w:ind w:left="144" w:right="0" w:hanging="144"/>
              <w:jc w:val="right"/>
              <w:rPr>
                <w:b/>
                <w:sz w:val="17"/>
                <w:szCs w:val="17"/>
                <w:lang w:val="es-ES_tradnl"/>
              </w:rPr>
            </w:pPr>
            <w:r w:rsidRPr="00C35444">
              <w:rPr>
                <w:b/>
                <w:sz w:val="17"/>
                <w:szCs w:val="17"/>
                <w:lang w:val="es-ES_tradnl"/>
              </w:rPr>
              <w:t>100</w:t>
            </w:r>
          </w:p>
        </w:tc>
      </w:tr>
    </w:tbl>
    <w:p w:rsidR="00C35444" w:rsidRPr="00C35444" w:rsidRDefault="00C35444" w:rsidP="00C35444">
      <w:pPr>
        <w:pStyle w:val="SingleTxt"/>
        <w:suppressAutoHyphens/>
        <w:spacing w:after="0" w:line="120" w:lineRule="exact"/>
        <w:rPr>
          <w:sz w:val="10"/>
          <w:lang w:val="es-ES_tradnl"/>
        </w:rPr>
      </w:pPr>
    </w:p>
    <w:p w:rsidR="00C35444" w:rsidRPr="00C35444" w:rsidRDefault="00C35444" w:rsidP="00C35444">
      <w:pPr>
        <w:pStyle w:val="SingleTxt"/>
        <w:suppressAutoHyphens/>
        <w:spacing w:after="0" w:line="120" w:lineRule="exact"/>
        <w:rPr>
          <w:sz w:val="10"/>
          <w:lang w:val="es-ES_tradnl"/>
        </w:rPr>
      </w:pPr>
    </w:p>
    <w:p w:rsidR="0038237D" w:rsidRPr="00EA0AB9" w:rsidRDefault="00C35444" w:rsidP="00C35444">
      <w:pPr>
        <w:pStyle w:val="SingleTxt"/>
        <w:suppressAutoHyphens/>
        <w:rPr>
          <w:lang w:val="es-ES_tradnl"/>
        </w:rPr>
      </w:pPr>
      <w:r>
        <w:rPr>
          <w:lang w:val="es-ES_tradnl"/>
        </w:rPr>
        <w:tab/>
      </w:r>
      <w:r w:rsidR="0038237D" w:rsidRPr="00EA0AB9">
        <w:rPr>
          <w:lang w:val="es-ES_tradnl"/>
        </w:rPr>
        <w:t xml:space="preserve">El Global Entrepreneurship Monitor (GEM) permite comparar a Dinamarca con otros países. En esta encuesta puede observarse que el 3,3% de las mujeres danesas participaban en 2006 en una fase inicial de actividad empresarial, mientras que las cifras correspondientes a Suecia y Noruega eran el 2,43% y el 5,87%, respectivamente. En el Reino Unido de Gran Bretaña e Irlanda del Norte era el 3,61% y en los Países Bajos era el 3,60%. La proporción de Dinamarca es un poco inferior a la media de los 19 países europeos que participaron en el análisis del GEM. </w:t>
      </w:r>
    </w:p>
    <w:p w:rsidR="0038237D" w:rsidRPr="00EA0AB9" w:rsidRDefault="00C35444" w:rsidP="00C35444">
      <w:pPr>
        <w:pStyle w:val="SingleTxt"/>
        <w:suppressAutoHyphens/>
        <w:rPr>
          <w:lang w:val="es-ES_tradnl"/>
        </w:rPr>
      </w:pPr>
      <w:r>
        <w:rPr>
          <w:lang w:val="es-ES_tradnl"/>
        </w:rPr>
        <w:tab/>
      </w:r>
      <w:r w:rsidR="0038237D" w:rsidRPr="00EA0AB9">
        <w:rPr>
          <w:lang w:val="es-ES_tradnl"/>
        </w:rPr>
        <w:t>Hay varias razones que explican el número inferior de empresarias. Una de ellas es que gran parte de las mujeres danesas suelen realizar estudios conducentes a un empleo en el sector público, donde las oportunidades empresariales son limitadas. Dinamarca no cuenta con una política específica para la promoción de las mujeres empresarias.</w:t>
      </w:r>
      <w:r w:rsidR="0038237D">
        <w:rPr>
          <w:lang w:val="es-ES_tradnl"/>
        </w:rPr>
        <w:t xml:space="preserve"> </w:t>
      </w:r>
      <w:r w:rsidR="0038237D" w:rsidRPr="00EA0AB9">
        <w:rPr>
          <w:lang w:val="es-ES_tradnl"/>
        </w:rPr>
        <w:t xml:space="preserve">Las mujeres tienen las mismas oportunidades de beneficiarse de la promoción general de las empresas que los hombres, aunque el Gobierno danés tiene cierto interés en la promoción de las mujeres empresarias en Dinamarca, ya que ello incrementa su potencial para el crecimiento. Por ello, el Gobierno danés ha financiado la iniciativa </w:t>
      </w:r>
      <w:r w:rsidR="00C90CF0">
        <w:rPr>
          <w:lang w:val="es-ES_tradnl"/>
        </w:rPr>
        <w:t>“</w:t>
      </w:r>
      <w:r w:rsidR="0038237D" w:rsidRPr="00EA0AB9">
        <w:rPr>
          <w:lang w:val="es-ES_tradnl"/>
        </w:rPr>
        <w:t>Las mujeres pueden</w:t>
      </w:r>
      <w:r w:rsidR="00C90CF0">
        <w:rPr>
          <w:lang w:val="es-ES_tradnl"/>
        </w:rPr>
        <w:t>”</w:t>
      </w:r>
      <w:r w:rsidR="0038237D" w:rsidRPr="00EA0AB9">
        <w:rPr>
          <w:lang w:val="es-ES_tradnl"/>
        </w:rPr>
        <w:t xml:space="preserve">, que incluye ejemplos de mujeres que han creado empresas con éxito. </w:t>
      </w:r>
    </w:p>
    <w:p w:rsidR="0038237D" w:rsidRPr="00EA0AB9" w:rsidRDefault="00C35444" w:rsidP="00C35444">
      <w:pPr>
        <w:pStyle w:val="SingleTxt"/>
        <w:suppressAutoHyphens/>
        <w:rPr>
          <w:lang w:val="es-ES_tradnl"/>
        </w:rPr>
      </w:pPr>
      <w:r>
        <w:rPr>
          <w:lang w:val="es-ES_tradnl"/>
        </w:rPr>
        <w:tab/>
      </w:r>
      <w:r w:rsidR="0038237D" w:rsidRPr="00EA0AB9">
        <w:rPr>
          <w:lang w:val="es-ES_tradnl"/>
        </w:rPr>
        <w:t xml:space="preserve">Durante los últimos años, uno de cada cuatro empresarios ha sido una mujer. Desde 2007, la proporción de mujeres empresarias es de aproximadamente el 28%. En este sentido, Dinamarca está al mismo nivel que Noruega y Suecia. El punto de partida consiste en alentar a las mujeres a que creen una empresa, pero haciendo uso de las mismas posibilidades e iniciativas que los demás empresarios; de ese modo, no existen dos sistemas paralelos. </w:t>
      </w:r>
    </w:p>
    <w:p w:rsidR="0038237D" w:rsidRPr="00EA0AB9" w:rsidRDefault="00C35444" w:rsidP="00C35444">
      <w:pPr>
        <w:pStyle w:val="SingleTxt"/>
        <w:suppressAutoHyphens/>
        <w:rPr>
          <w:lang w:val="es-ES_tradnl"/>
        </w:rPr>
      </w:pPr>
      <w:r>
        <w:rPr>
          <w:lang w:val="es-ES_tradnl"/>
        </w:rPr>
        <w:tab/>
      </w:r>
      <w:r w:rsidR="0038237D" w:rsidRPr="00EA0AB9">
        <w:rPr>
          <w:lang w:val="es-ES_tradnl"/>
        </w:rPr>
        <w:t xml:space="preserve">Para aprovechar el potencial de las mujeres empresarias y de las nuevas mujeres empresarias, la Autoridad Empresarial de Dinamarca ha puesto en marcha </w:t>
      </w:r>
      <w:r w:rsidR="00C90CF0">
        <w:rPr>
          <w:lang w:val="es-ES_tradnl"/>
        </w:rPr>
        <w:t>“</w:t>
      </w:r>
      <w:r w:rsidR="0038237D" w:rsidRPr="00EA0AB9">
        <w:rPr>
          <w:lang w:val="es-ES_tradnl"/>
        </w:rPr>
        <w:t>Las mujeres pueden</w:t>
      </w:r>
      <w:r w:rsidR="00C90CF0">
        <w:rPr>
          <w:lang w:val="es-ES_tradnl"/>
        </w:rPr>
        <w:t>”</w:t>
      </w:r>
      <w:r w:rsidR="0038237D" w:rsidRPr="00EA0AB9">
        <w:rPr>
          <w:lang w:val="es-ES_tradnl"/>
        </w:rPr>
        <w:t>.</w:t>
      </w:r>
      <w:r w:rsidR="0038237D">
        <w:rPr>
          <w:lang w:val="es-ES_tradnl"/>
        </w:rPr>
        <w:t xml:space="preserve"> </w:t>
      </w:r>
      <w:r w:rsidR="0038237D" w:rsidRPr="00EA0AB9">
        <w:rPr>
          <w:lang w:val="es-ES_tradnl"/>
        </w:rPr>
        <w:t xml:space="preserve">Esta iniciativa se sustenta en los centros de crecimiento regionales y se lleva a cabo en colaboración con varios agentes dentro de este ámbito. </w:t>
      </w:r>
    </w:p>
    <w:p w:rsidR="0038237D" w:rsidRPr="00EA0AB9" w:rsidRDefault="00C35444" w:rsidP="00C35444">
      <w:pPr>
        <w:pStyle w:val="SingleTxt"/>
        <w:suppressAutoHyphens/>
        <w:rPr>
          <w:lang w:val="es-ES_tradnl"/>
        </w:rPr>
      </w:pPr>
      <w:r>
        <w:rPr>
          <w:lang w:val="es-ES_tradnl"/>
        </w:rPr>
        <w:tab/>
      </w:r>
      <w:r w:rsidR="0038237D" w:rsidRPr="00EA0AB9">
        <w:rPr>
          <w:lang w:val="es-ES_tradnl"/>
        </w:rPr>
        <w:t>Entre las iniciativas danesas se incluyen:</w:t>
      </w: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 xml:space="preserve">La publicación </w:t>
      </w:r>
      <w:r w:rsidR="00C90CF0">
        <w:rPr>
          <w:lang w:val="es-ES_tradnl"/>
        </w:rPr>
        <w:t>“</w:t>
      </w:r>
      <w:r w:rsidR="0038237D" w:rsidRPr="00EA0AB9">
        <w:rPr>
          <w:lang w:val="es-ES_tradnl"/>
        </w:rPr>
        <w:t>Las mujeres pueden</w:t>
      </w:r>
      <w:r w:rsidR="00C90CF0">
        <w:rPr>
          <w:lang w:val="es-ES_tradnl"/>
        </w:rPr>
        <w:t>”</w:t>
      </w:r>
      <w:r w:rsidR="0038237D" w:rsidRPr="00EA0AB9">
        <w:rPr>
          <w:lang w:val="es-ES_tradnl"/>
        </w:rPr>
        <w:t>, que incluye ejemplos de empresas creadas por mujeres.</w:t>
      </w: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 xml:space="preserve">El sitio web </w:t>
      </w:r>
      <w:r w:rsidR="00C90CF0">
        <w:rPr>
          <w:lang w:val="es-ES_tradnl"/>
        </w:rPr>
        <w:t>“</w:t>
      </w:r>
      <w:r w:rsidR="0038237D" w:rsidRPr="00EA0AB9">
        <w:rPr>
          <w:lang w:val="es-ES_tradnl"/>
        </w:rPr>
        <w:t>virksomhedskvinder.dk</w:t>
      </w:r>
      <w:r w:rsidR="00C90CF0">
        <w:rPr>
          <w:lang w:val="es-ES_tradnl"/>
        </w:rPr>
        <w:t>”</w:t>
      </w:r>
      <w:r w:rsidR="0038237D" w:rsidRPr="00EA0AB9">
        <w:rPr>
          <w:lang w:val="es-ES_tradnl"/>
        </w:rPr>
        <w:t>, que incluye ofertas para mujeres empresarias, estadísticas desglosadas por género, modelos de conducta, casos y eventos.</w:t>
      </w: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Cursos regionales sobre desarrollo para mujeres empresarias, a fin de aclarar su potencial de crecimiento y reforzar su desarrollo.</w:t>
      </w: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Eventos con modelos de conducta.</w:t>
      </w: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Intervenciones dirigidas a jóvenes estudiantes, centradas en la innovación y el espíritu de empresa.</w:t>
      </w: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 xml:space="preserve">Actualizaciones anuales de las estadísticas desglosadas por género. </w:t>
      </w:r>
    </w:p>
    <w:p w:rsidR="0038237D" w:rsidRPr="00EA0AB9" w:rsidRDefault="00C35444" w:rsidP="00C35444">
      <w:pPr>
        <w:pStyle w:val="SingleTxt"/>
        <w:suppressAutoHyphens/>
        <w:rPr>
          <w:lang w:val="es-ES_tradnl"/>
        </w:rPr>
      </w:pPr>
      <w:r>
        <w:rPr>
          <w:lang w:val="es-ES_tradnl"/>
        </w:rPr>
        <w:tab/>
      </w:r>
      <w:r w:rsidR="0038237D" w:rsidRPr="00EA0AB9">
        <w:rPr>
          <w:lang w:val="es-ES_tradnl"/>
        </w:rPr>
        <w:t>Las estadísticas muestran diferencias entre las mujeres y los hombres en determinados ámbitos:</w:t>
      </w: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Las mujeres empresarias tienen un nivel más alto de educación y menos experiencia empresarial que los hombres cuando inician sus actividades empresariales.</w:t>
      </w: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Más mujeres que hombres inician actividades empresariales en sectores con bajo potencial de crecimiento.</w:t>
      </w:r>
    </w:p>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Las mujeres cambian a menudo de sector cuando inician una actividad empresarial. Por lo tanto, carecen de conocimientos sobre el sector, lo cual reduce el potencial de crecimiento y la supervivencia.</w:t>
      </w:r>
    </w:p>
    <w:p w:rsidR="0038237D" w:rsidRPr="00EA0AB9" w:rsidRDefault="00C35444" w:rsidP="00C35444">
      <w:pPr>
        <w:pStyle w:val="SingleTxt"/>
        <w:tabs>
          <w:tab w:val="right" w:pos="1685"/>
        </w:tabs>
        <w:suppressAutoHyphens/>
        <w:ind w:left="1742" w:hanging="475"/>
        <w:rPr>
          <w:lang w:val="es-ES_tradnl"/>
        </w:rPr>
      </w:pPr>
      <w:bookmarkStart w:id="146" w:name="_Toc199929088"/>
      <w:bookmarkStart w:id="147" w:name="_Toc348513749"/>
      <w:bookmarkStart w:id="148" w:name="_Toc349720623"/>
      <w:bookmarkStart w:id="149" w:name="_Toc360096860"/>
      <w:r>
        <w:rPr>
          <w:lang w:val="es-ES_tradnl"/>
        </w:rPr>
        <w:tab/>
        <w:t>•</w:t>
      </w:r>
      <w:r>
        <w:rPr>
          <w:lang w:val="es-ES_tradnl"/>
        </w:rPr>
        <w:tab/>
      </w:r>
      <w:r w:rsidR="0038237D" w:rsidRPr="00EA0AB9">
        <w:rPr>
          <w:lang w:val="es-ES_tradnl"/>
        </w:rPr>
        <w:t>Una de cada diez mujeres empresarias es cabeza de familia monoparental, en comparación con únicamente el 2% de hombres.</w:t>
      </w:r>
    </w:p>
    <w:bookmarkEnd w:id="146"/>
    <w:bookmarkEnd w:id="147"/>
    <w:bookmarkEnd w:id="148"/>
    <w:bookmarkEnd w:id="149"/>
    <w:p w:rsidR="0038237D" w:rsidRPr="00EA0AB9" w:rsidRDefault="00C35444" w:rsidP="00C35444">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Hay una proporción mayor de empresarias que de empresarios que no tienen empleo el año anterior a la creación de su empresa.</w:t>
      </w:r>
    </w:p>
    <w:p w:rsidR="0038237D" w:rsidRPr="00EA0AB9" w:rsidRDefault="00C35444" w:rsidP="00C35444">
      <w:pPr>
        <w:pStyle w:val="SingleTxt"/>
        <w:tabs>
          <w:tab w:val="right" w:pos="1685"/>
        </w:tabs>
        <w:suppressAutoHyphens/>
        <w:ind w:left="1742" w:hanging="475"/>
        <w:rPr>
          <w:lang w:val="es-ES_tradnl"/>
        </w:rPr>
      </w:pPr>
      <w:bookmarkStart w:id="150" w:name="_Toc348513750"/>
      <w:bookmarkStart w:id="151" w:name="_Toc349720624"/>
      <w:bookmarkStart w:id="152" w:name="_Toc360096861"/>
      <w:r>
        <w:rPr>
          <w:lang w:val="es-ES_tradnl"/>
        </w:rPr>
        <w:tab/>
        <w:t>•</w:t>
      </w:r>
      <w:r>
        <w:rPr>
          <w:lang w:val="es-ES_tradnl"/>
        </w:rPr>
        <w:tab/>
      </w:r>
      <w:r w:rsidR="0038237D" w:rsidRPr="00EA0AB9">
        <w:rPr>
          <w:lang w:val="es-ES_tradnl"/>
        </w:rPr>
        <w:t xml:space="preserve">En comparación con los hombres, la mayoría de las mujeres trabajan en el sector público. La gran mayoría de los empresarios, independientemente de su género, proceden del sector privado. Pocos dan el salto del sector público al mundo de la empresa. </w:t>
      </w:r>
    </w:p>
    <w:bookmarkEnd w:id="150"/>
    <w:bookmarkEnd w:id="151"/>
    <w:bookmarkEnd w:id="152"/>
    <w:p w:rsidR="00C35444" w:rsidRPr="00C35444" w:rsidRDefault="00C35444" w:rsidP="00C35444">
      <w:pPr>
        <w:pStyle w:val="SingleTxt"/>
        <w:suppressAutoHyphens/>
        <w:spacing w:after="0" w:line="120" w:lineRule="exact"/>
        <w:rPr>
          <w:sz w:val="10"/>
        </w:rPr>
      </w:pPr>
    </w:p>
    <w:p w:rsidR="00C35444" w:rsidRPr="00C35444" w:rsidRDefault="00C35444" w:rsidP="00C35444">
      <w:pPr>
        <w:pStyle w:val="SingleTxt"/>
        <w:suppressAutoHyphens/>
        <w:spacing w:after="0" w:line="120" w:lineRule="exact"/>
        <w:rPr>
          <w:sz w:val="10"/>
        </w:rPr>
      </w:pPr>
    </w:p>
    <w:p w:rsidR="0038237D" w:rsidRPr="000739A7" w:rsidRDefault="0038237D" w:rsidP="00C354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39A7">
        <w:tab/>
      </w:r>
      <w:r w:rsidRPr="000739A7">
        <w:tab/>
        <w:t>Artículo 12: Salud</w:t>
      </w:r>
    </w:p>
    <w:p w:rsidR="00C35444" w:rsidRPr="00C35444" w:rsidRDefault="00C35444" w:rsidP="00C35444">
      <w:pPr>
        <w:pStyle w:val="SingleTxt"/>
        <w:suppressAutoHyphens/>
        <w:spacing w:after="0" w:line="120" w:lineRule="exact"/>
        <w:rPr>
          <w:sz w:val="10"/>
          <w:lang w:val="es-ES_tradnl"/>
        </w:rPr>
      </w:pPr>
      <w:bookmarkStart w:id="153" w:name="_Toc348513756"/>
      <w:bookmarkStart w:id="154" w:name="_Toc349720630"/>
      <w:bookmarkStart w:id="155" w:name="_Toc348513751"/>
      <w:bookmarkStart w:id="156" w:name="_Toc349720625"/>
      <w:bookmarkStart w:id="157" w:name="_Toc360096862"/>
    </w:p>
    <w:p w:rsidR="00C35444" w:rsidRPr="00C35444" w:rsidRDefault="00C35444" w:rsidP="00C35444">
      <w:pPr>
        <w:pStyle w:val="SingleTxt"/>
        <w:suppressAutoHyphens/>
        <w:spacing w:after="0" w:line="120" w:lineRule="exact"/>
        <w:rPr>
          <w:sz w:val="10"/>
          <w:lang w:val="es-ES_tradnl"/>
        </w:rPr>
      </w:pPr>
    </w:p>
    <w:p w:rsidR="0038237D" w:rsidRPr="00EA0AB9" w:rsidRDefault="00C35444" w:rsidP="00C35444">
      <w:pPr>
        <w:pStyle w:val="SingleTxt"/>
        <w:suppressAutoHyphens/>
        <w:rPr>
          <w:lang w:val="es-ES_tradnl"/>
        </w:rPr>
      </w:pPr>
      <w:r>
        <w:rPr>
          <w:lang w:val="es-ES_tradnl"/>
        </w:rPr>
        <w:tab/>
      </w:r>
      <w:r w:rsidR="0038237D" w:rsidRPr="00EA0AB9">
        <w:rPr>
          <w:lang w:val="es-ES_tradnl"/>
        </w:rPr>
        <w:t xml:space="preserve">En Dinamarca, las mujeres y los hombres tienen igualdad de acceso a los servicios de atención de salud. El Gobierno evalúa constantemente las prioridades establecidas entre las cuestiones de salud relacionadas con el género y los programas de prevención que abordan cuestiones de salud, especialmente las relacionadas con la salud de la mujer; por ejemplo, en 2007 se inició un programa nacional de detección del cáncer de mama para mujeres de entre 50 y 69 años. </w:t>
      </w:r>
    </w:p>
    <w:bookmarkEnd w:id="153"/>
    <w:bookmarkEnd w:id="154"/>
    <w:bookmarkEnd w:id="155"/>
    <w:bookmarkEnd w:id="156"/>
    <w:bookmarkEnd w:id="157"/>
    <w:p w:rsidR="00C35444" w:rsidRPr="00C35444" w:rsidRDefault="00C35444" w:rsidP="00C35444">
      <w:pPr>
        <w:pStyle w:val="SingleTxt"/>
        <w:suppressAutoHyphens/>
        <w:spacing w:after="0" w:line="120" w:lineRule="exact"/>
        <w:rPr>
          <w:sz w:val="10"/>
          <w:lang w:val="es-ES_tradnl"/>
        </w:rPr>
      </w:pPr>
    </w:p>
    <w:p w:rsidR="0038237D" w:rsidRPr="00EA0AB9" w:rsidRDefault="00C35444" w:rsidP="00C354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38237D" w:rsidRPr="00EA0AB9">
        <w:rPr>
          <w:lang w:val="es-ES_tradnl"/>
        </w:rPr>
        <w:t>Vacuna contra el VPH para prevenir el cáncer cervical</w:t>
      </w:r>
    </w:p>
    <w:p w:rsidR="00C35444" w:rsidRPr="00C35444" w:rsidRDefault="00C35444" w:rsidP="00C35444">
      <w:pPr>
        <w:pStyle w:val="SingleTxtG"/>
        <w:spacing w:after="0" w:line="120" w:lineRule="exact"/>
        <w:rPr>
          <w:sz w:val="10"/>
          <w:lang w:val="es-ES_tradnl"/>
        </w:rPr>
      </w:pPr>
      <w:bookmarkStart w:id="158" w:name="_Toc348513752"/>
      <w:bookmarkStart w:id="159" w:name="_Toc349720626"/>
      <w:bookmarkStart w:id="160" w:name="_Toc360096863"/>
    </w:p>
    <w:p w:rsidR="0038237D" w:rsidRPr="00EA0AB9" w:rsidRDefault="00C35444" w:rsidP="00C35444">
      <w:pPr>
        <w:pStyle w:val="SingleTxt"/>
        <w:suppressAutoHyphens/>
        <w:rPr>
          <w:lang w:val="es-ES_tradnl"/>
        </w:rPr>
      </w:pPr>
      <w:r>
        <w:rPr>
          <w:lang w:val="es-ES_tradnl"/>
        </w:rPr>
        <w:tab/>
      </w:r>
      <w:r w:rsidR="0038237D" w:rsidRPr="00EA0AB9">
        <w:rPr>
          <w:lang w:val="es-ES_tradnl"/>
        </w:rPr>
        <w:t>Desde el 1 de enero de 2009, se ofrece gratuitamente a todas las niñas de entre 12 y 14 años de edad la vacuna contra el VPH (virus del papiloma humano) para prevenir el cáncer cervical, como parte del programa de inmunización de la infancia. Además, se han llevado a cabo programas de recuperación dirigidos a las niñas y las jóvenes nacidas después de 1984, en las mismas condiciones de gratuidad.</w:t>
      </w:r>
    </w:p>
    <w:p w:rsidR="002F1D0F" w:rsidRPr="002F1D0F" w:rsidRDefault="002F1D0F" w:rsidP="002F1D0F">
      <w:pPr>
        <w:pStyle w:val="SingleTxt"/>
        <w:suppressAutoHyphens/>
        <w:spacing w:after="0" w:line="120" w:lineRule="exact"/>
        <w:rPr>
          <w:sz w:val="10"/>
          <w:lang w:val="es-ES_tradnl"/>
        </w:rPr>
      </w:pPr>
      <w:bookmarkStart w:id="161" w:name="_Toc348513753"/>
      <w:bookmarkStart w:id="162" w:name="_Toc349720627"/>
      <w:bookmarkStart w:id="163" w:name="_Toc360096864"/>
      <w:bookmarkEnd w:id="158"/>
      <w:bookmarkEnd w:id="159"/>
      <w:bookmarkEnd w:id="160"/>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Fecundidad</w:t>
      </w:r>
    </w:p>
    <w:bookmarkEnd w:id="161"/>
    <w:bookmarkEnd w:id="162"/>
    <w:bookmarkEnd w:id="163"/>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La fecundidad de la mujer ha aumentado de 1,4 hijos por mujer a mediados de la década de 1980 a 1,9 en 2006. Durante el mismo período, la edad media de las mujeres que tuvieron hijos subió de 27,7 años en 1985 a 30,2 años en 2005 y a 30,9 años en 2011. La edad media de las madres primerizas era de 28,9 años en 2005 y de 29,1 años en 2001. El porcentaje de madres de 35 años o más era del 20,3% en 2009, el 20,8% en 2010 y el 21,4% en 2011. El número de nacidos vivos ha disminuido de aproximadamente 65.000 en 2008 a 59.000 en 2011. En 2010, se iniciaron unos 30.000 tratamientos (inseminación y fecundación in </w:t>
      </w:r>
      <w:r w:rsidR="00C90CF0" w:rsidRPr="008D1104">
        <w:rPr>
          <w:i/>
          <w:lang w:val="es-ES_tradnl"/>
        </w:rPr>
        <w:t>vitro</w:t>
      </w:r>
      <w:r w:rsidR="0038237D" w:rsidRPr="00EA0AB9">
        <w:rPr>
          <w:lang w:val="es-ES_tradnl"/>
        </w:rPr>
        <w:t>), que dieron lugar a 4.200 partos y 4.700 niños. Como resultado, aproximadamente el 8% de los nacidos vivos fueron fruto de las técnicas de procreación asistida.</w:t>
      </w:r>
    </w:p>
    <w:p w:rsidR="002F1D0F" w:rsidRPr="002F1D0F" w:rsidRDefault="002F1D0F" w:rsidP="002F1D0F">
      <w:pPr>
        <w:pStyle w:val="SingleTxt"/>
        <w:suppressAutoHyphens/>
        <w:spacing w:after="0" w:line="120" w:lineRule="exact"/>
        <w:rPr>
          <w:sz w:val="10"/>
          <w:lang w:val="es-ES_tradnl"/>
        </w:rPr>
      </w:pPr>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Servicios de maternidad</w:t>
      </w:r>
    </w:p>
    <w:p w:rsidR="002F1D0F" w:rsidRPr="002F1D0F" w:rsidRDefault="002F1D0F" w:rsidP="002F1D0F">
      <w:pPr>
        <w:pStyle w:val="SingleTxt"/>
        <w:suppressAutoHyphens/>
        <w:spacing w:after="0" w:line="120" w:lineRule="exact"/>
        <w:rPr>
          <w:sz w:val="10"/>
          <w:lang w:val="es-ES_tradnl"/>
        </w:rPr>
      </w:pPr>
      <w:bookmarkStart w:id="164" w:name="_Toc348513754"/>
      <w:bookmarkStart w:id="165" w:name="_Toc349720628"/>
      <w:bookmarkStart w:id="166" w:name="_Toc360096865"/>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En 2009 se publicó un nuevo conjunto de directrices nacionales sobre los servicios de maternidad, que se actualizó en 2012. Las directrices forman la base de los servicios que ofrece el sistema público de prestación de servicios de salud de Dinamarca a las mujeres embarazadas y sus familias, e incluyen cuestiones vinculadas a la promoción de la salud, la prevención y el tratamiento médico en relación con el embarazo, el parto y la atención postnatal. Los servicios de maternidad de Dinamarca están diferenciados. Así pues, existen servicios especiales disponibles para las mujeres embarazadas vulnerables y sus familias. </w:t>
      </w:r>
    </w:p>
    <w:bookmarkEnd w:id="164"/>
    <w:bookmarkEnd w:id="165"/>
    <w:bookmarkEnd w:id="166"/>
    <w:p w:rsidR="002F1D0F" w:rsidRPr="002F1D0F" w:rsidRDefault="002F1D0F" w:rsidP="002F1D0F">
      <w:pPr>
        <w:pStyle w:val="SingleTxt"/>
        <w:suppressAutoHyphens/>
        <w:spacing w:after="0" w:line="120" w:lineRule="exact"/>
        <w:rPr>
          <w:sz w:val="10"/>
          <w:lang w:val="es-ES_tradnl"/>
        </w:rPr>
      </w:pPr>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Derecho al aborto</w:t>
      </w:r>
    </w:p>
    <w:p w:rsidR="002F1D0F" w:rsidRPr="002F1D0F" w:rsidRDefault="002F1D0F" w:rsidP="002F1D0F">
      <w:pPr>
        <w:pStyle w:val="SingleTxt"/>
        <w:suppressAutoHyphens/>
        <w:spacing w:after="0" w:line="120" w:lineRule="exact"/>
        <w:rPr>
          <w:sz w:val="10"/>
          <w:lang w:val="es-ES_tradnl"/>
        </w:rPr>
      </w:pPr>
      <w:bookmarkStart w:id="167" w:name="_Toc348513755"/>
      <w:bookmarkStart w:id="168" w:name="_Toc349720629"/>
      <w:bookmarkStart w:id="169" w:name="_Toc360096866"/>
    </w:p>
    <w:p w:rsidR="0038237D" w:rsidRPr="00EA0AB9" w:rsidRDefault="002F1D0F" w:rsidP="002F1D0F">
      <w:pPr>
        <w:pStyle w:val="SingleTxt"/>
        <w:suppressAutoHyphens/>
        <w:rPr>
          <w:lang w:val="es-ES_tradnl"/>
        </w:rPr>
      </w:pPr>
      <w:r>
        <w:rPr>
          <w:lang w:val="es-ES_tradnl"/>
        </w:rPr>
        <w:tab/>
      </w:r>
      <w:r w:rsidR="0038237D" w:rsidRPr="00EA0AB9">
        <w:rPr>
          <w:lang w:val="es-ES_tradnl"/>
        </w:rPr>
        <w:t>Desde 1973, las mujeres de Dinamarca tienen derecho al aborto legalmente inducido. Según la Ley sobre atención de la salud, las mujeres tienen derecho a un aborto inducido antes del final de la duodécima semana de embarazo. La tasa de abortos en Dinamarca ha descendido desde 1989, pasando de 16,5 abortos por cada 1.000 mujeres en 1989 a 12,2 en 2006. Entre los años 2007 y 2010, la tasa de abortos inducidos se ha mantenido estable, en unos 16.000 al año. El 96% de estos se produjeron durante las 12 primeras semanas. En 2010, la tasa de abortos inducidos era de 13 abortos por cada 1.000 mujeres de entre 15 y 49 años. Además, el número de mujeres menores de 20 años que se sometieron a un aborto inducido ha descendido, pasando de 17,7 abortos inducidos por cada 1.000 mujeres en 2008 a 15 en 2010. En el caso de las mujeres de entre 20 y 24 años (el grupo con la tasa más alta de abortos inducidos), ha habido un ligero aumento, y en 2010 se produjeron 25,6 abortos por cada 1.000 mujeres. Entre 1999 y 2003 se aplicó un plan de acción con el fin de reducir el número de abortos inducidos. A este plan se asignaron 20 millones de coronas danesas. El plan de acción se siguió aplicando entre 2004 y 2007, período en que se desembolsaron 14 millones de coronas danesas para continuar las actividades en curso. Estas actividades se centraron en ofrecer información al público en general y en localizar a los grupos vulnerables, por ejemplo, jóvenes e inmigrantes de países no occidentales.</w:t>
      </w:r>
    </w:p>
    <w:bookmarkEnd w:id="167"/>
    <w:bookmarkEnd w:id="168"/>
    <w:bookmarkEnd w:id="169"/>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Como complemento del citado plan de acción, se asignaron 19,2 millones de coronas danesas (entre 2008 y 2011) en apoyo de iniciativas para reducir el número de abortos inducidos y las infecciones de transmisión sexual. Desde 2011, se ha asignado financiación para continuar con las actividades dirigidas a los jóvenes y las minorías étnicas. Además, se ha asignado financiación para reforzar el asesoramiento a las mujeres que solicitan el aborto inducido. En 2011, se desarrollaron los </w:t>
      </w:r>
      <w:r w:rsidR="00C90CF0">
        <w:rPr>
          <w:lang w:val="es-ES_tradnl"/>
        </w:rPr>
        <w:t>“</w:t>
      </w:r>
      <w:r w:rsidR="0038237D" w:rsidRPr="00EA0AB9">
        <w:rPr>
          <w:lang w:val="es-ES_tradnl"/>
        </w:rPr>
        <w:t>paquetes de prevención</w:t>
      </w:r>
      <w:r w:rsidR="00C90CF0">
        <w:rPr>
          <w:lang w:val="es-ES_tradnl"/>
        </w:rPr>
        <w:t>”</w:t>
      </w:r>
      <w:r w:rsidR="0038237D" w:rsidRPr="00EA0AB9">
        <w:rPr>
          <w:lang w:val="es-ES_tradnl"/>
        </w:rPr>
        <w:t xml:space="preserve"> (véase más abajo), en los que se incluye un paquete sobre salud sexual, que ofrece recomendaciones sobre iniciativas para reforzar la educación en materia de salud sexual entre niños y jóvenes, así como recomendaciones sobre iniciativas dirigidas a adultos, ancianos y personas con discapacidad. Se ha previsto la financiación para el período 2011-2015.</w:t>
      </w:r>
    </w:p>
    <w:p w:rsidR="002F1D0F" w:rsidRPr="002F1D0F" w:rsidRDefault="002F1D0F" w:rsidP="002F1D0F">
      <w:pPr>
        <w:pStyle w:val="SingleTxt"/>
        <w:suppressAutoHyphens/>
        <w:spacing w:after="0" w:line="120" w:lineRule="exact"/>
        <w:rPr>
          <w:sz w:val="10"/>
          <w:lang w:val="es-ES_tradnl"/>
        </w:rPr>
      </w:pPr>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Paquetes de prevención</w:t>
      </w:r>
    </w:p>
    <w:p w:rsidR="002F1D0F" w:rsidRPr="002F1D0F" w:rsidRDefault="002F1D0F" w:rsidP="002F1D0F">
      <w:pPr>
        <w:pStyle w:val="SingleTxt"/>
        <w:suppressAutoHyphens/>
        <w:spacing w:after="0" w:line="120" w:lineRule="exact"/>
        <w:rPr>
          <w:sz w:val="10"/>
          <w:lang w:val="es-ES_tradnl"/>
        </w:rPr>
      </w:pPr>
      <w:bookmarkStart w:id="170" w:name="_Toc360096867"/>
    </w:p>
    <w:p w:rsidR="0038237D" w:rsidRPr="00EA0AB9" w:rsidRDefault="002F1D0F" w:rsidP="002F1D0F">
      <w:pPr>
        <w:pStyle w:val="SingleTxt"/>
        <w:suppressAutoHyphens/>
        <w:rPr>
          <w:lang w:val="es-ES_tradnl"/>
        </w:rPr>
      </w:pPr>
      <w:r>
        <w:rPr>
          <w:lang w:val="es-ES_tradnl"/>
        </w:rPr>
        <w:tab/>
      </w:r>
      <w:r w:rsidR="0038237D" w:rsidRPr="00EA0AB9">
        <w:rPr>
          <w:lang w:val="es-ES_tradnl"/>
        </w:rPr>
        <w:t>Como parte de la plataforma gubernamental 2012, el Gobierno danés fijará objetivos nacionales con respecto al estado de salud. Estos objetivos establecerán el marco para todos los participantes, incluidos los servicios de atención médica, los departamentos de los servicios sociales y de empleo, el departamento de ordenación ambiental y la administración escolar en los municipios. La finalidad es lograr que los municipios se centren en la salud en todas las políticas, sectores y departamentos de servicios. Los objetivos nacionales abordarán los factores determinantes subyacentes y los factores de riesgo: el tabaco, el consumo indebido de alcohol, la inactividad física, la obesidad y la salud mental. La atención se centrará en las desigualdades en materia de salud, donde las deficientes condiciones sociales y la precaria formación académica son factores determinantes importantes. Las recomendaciones describen en detalle qué medidas de prevención y promoción de la salud deberían aplicar los municipios durante los diez próximos años. Los paquetes de prevención se centran en cómo pueden garantizar los municipios que, por ejemplo, los adolescentes, los grupos pertenecientes a minorías étnicas y los grupos vulnerables reciban el asesoramiento, la información y el tratamiento que necesitan.</w:t>
      </w:r>
    </w:p>
    <w:bookmarkEnd w:id="170"/>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38237D">
        <w:rPr>
          <w:lang w:val="es-ES_tradnl"/>
        </w:rPr>
        <w:tab/>
      </w:r>
      <w:r w:rsidR="0038237D" w:rsidRPr="00EA0AB9">
        <w:rPr>
          <w:lang w:val="es-ES_tradnl"/>
        </w:rPr>
        <w:t>Esperanza de vida en 2012</w:t>
      </w:r>
    </w:p>
    <w:p w:rsidR="002F1D0F" w:rsidRPr="002F1D0F" w:rsidRDefault="002F1D0F" w:rsidP="002F1D0F">
      <w:pPr>
        <w:pStyle w:val="SingleTxt"/>
        <w:suppressAutoHyphens/>
        <w:spacing w:after="0" w:line="120" w:lineRule="exact"/>
        <w:rPr>
          <w:sz w:val="10"/>
          <w:lang w:val="es-ES_tradnl"/>
        </w:rPr>
      </w:pPr>
      <w:bookmarkStart w:id="171" w:name="_Toc348513757"/>
      <w:bookmarkStart w:id="172" w:name="_Toc349720631"/>
      <w:bookmarkStart w:id="173" w:name="_Toc360096868"/>
    </w:p>
    <w:p w:rsidR="0038237D" w:rsidRPr="00EA0AB9" w:rsidRDefault="002F1D0F" w:rsidP="002F1D0F">
      <w:pPr>
        <w:pStyle w:val="SingleTxt"/>
        <w:suppressAutoHyphens/>
        <w:rPr>
          <w:lang w:val="es-ES_tradnl"/>
        </w:rPr>
      </w:pPr>
      <w:r>
        <w:rPr>
          <w:lang w:val="es-ES_tradnl"/>
        </w:rPr>
        <w:tab/>
      </w:r>
      <w:r w:rsidR="0038237D" w:rsidRPr="00EA0AB9">
        <w:rPr>
          <w:lang w:val="es-ES_tradnl"/>
        </w:rPr>
        <w:t>En 2011, la esperanza de vida de las mujeres danesas era de 81,6 años y, en promedio, las mujeres vivían 4,3 años más que los hombres (77,3 años). En 2000, la diferencia entre la mujer y el hombre era de 4,7 años. Entre 2000 y 2011, la esperanza de vida de las mujeres aumentó 2,4 años (de 79,2 a 81,6 años), mientras que la de los hombres aumentó 2,8 años (de 74,5 a 77,3 años).</w:t>
      </w:r>
    </w:p>
    <w:bookmarkEnd w:id="171"/>
    <w:bookmarkEnd w:id="172"/>
    <w:bookmarkEnd w:id="173"/>
    <w:p w:rsidR="002F1D0F" w:rsidRPr="002F1D0F" w:rsidRDefault="002F1D0F" w:rsidP="002F1D0F">
      <w:pPr>
        <w:pStyle w:val="SingleTxt"/>
        <w:suppressAutoHyphens/>
        <w:spacing w:after="0" w:line="120" w:lineRule="exact"/>
        <w:rPr>
          <w:sz w:val="10"/>
          <w:lang w:val="es-ES_tradnl"/>
        </w:rPr>
      </w:pPr>
    </w:p>
    <w:p w:rsidR="0038237D" w:rsidRPr="00EA0AB9" w:rsidRDefault="00F641F3"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sidR="0038237D">
        <w:rPr>
          <w:lang w:val="es-ES_tradnl"/>
        </w:rPr>
        <w:tab/>
      </w:r>
      <w:r w:rsidR="0038237D">
        <w:rPr>
          <w:lang w:val="es-ES_tradnl"/>
        </w:rPr>
        <w:tab/>
      </w:r>
      <w:r w:rsidR="0038237D" w:rsidRPr="00EA0AB9">
        <w:rPr>
          <w:lang w:val="es-ES_tradnl"/>
        </w:rPr>
        <w:t>El hábito de fumar tabaco</w:t>
      </w:r>
    </w:p>
    <w:p w:rsidR="002F1D0F" w:rsidRPr="002F1D0F" w:rsidRDefault="002F1D0F" w:rsidP="002F1D0F">
      <w:pPr>
        <w:pStyle w:val="SingleTxt"/>
        <w:suppressAutoHyphens/>
        <w:spacing w:after="0" w:line="120" w:lineRule="exact"/>
        <w:rPr>
          <w:sz w:val="10"/>
          <w:lang w:val="es-ES_tradnl"/>
        </w:rPr>
      </w:pPr>
      <w:bookmarkStart w:id="174" w:name="_Toc348513758"/>
      <w:bookmarkStart w:id="175" w:name="_Toc349720632"/>
      <w:bookmarkStart w:id="176" w:name="_Toc360096869"/>
    </w:p>
    <w:p w:rsidR="0038237D" w:rsidRPr="00EA0AB9" w:rsidRDefault="002F1D0F" w:rsidP="002F1D0F">
      <w:pPr>
        <w:pStyle w:val="SingleTxt"/>
        <w:suppressAutoHyphens/>
        <w:rPr>
          <w:lang w:val="es-ES_tradnl"/>
        </w:rPr>
      </w:pPr>
      <w:r>
        <w:rPr>
          <w:lang w:val="es-ES_tradnl"/>
        </w:rPr>
        <w:tab/>
      </w:r>
      <w:r w:rsidR="0038237D" w:rsidRPr="00EA0AB9">
        <w:rPr>
          <w:lang w:val="es-ES_tradnl"/>
        </w:rPr>
        <w:t>El número de fumadores habituales en Dinamarca está disminuyendo, al pasar del 43% en 1990 al 17% en 2012 (15 años y más). El 5% afirmaron ser fumadores ocasionales. Existe igual número de mujeres y hombres fumadores. El porcentaje de personas que fuman mucho (15 o más cigarrillos al día) también ha descendido, tanto entre hombres como entre mujeres. En 2012, la proporción de personas que fumaban mucho era del 7% en el caso de las mujeres y del 9% en el de los hombres. Los fallecimientos provocados por el cáncer de pulmón están disminuyendo lentamente en el caso de los hombres y, después de un aumento constante durante los últimos 30 años en el caso de las mujeres, se observa un pequeño descenso en 2011. Los fallecimientos provocados por la bronconeumopatía crónica obstructiva están aumenta</w:t>
      </w:r>
      <w:r w:rsidR="0038237D">
        <w:rPr>
          <w:lang w:val="es-ES_tradnl"/>
        </w:rPr>
        <w:t>n</w:t>
      </w:r>
      <w:r w:rsidR="0038237D" w:rsidRPr="00EA0AB9">
        <w:rPr>
          <w:lang w:val="es-ES_tradnl"/>
        </w:rPr>
        <w:t>do en ambos casos.</w:t>
      </w:r>
    </w:p>
    <w:bookmarkEnd w:id="174"/>
    <w:bookmarkEnd w:id="175"/>
    <w:bookmarkEnd w:id="176"/>
    <w:p w:rsidR="002F1D0F" w:rsidRPr="002F1D0F" w:rsidRDefault="002F1D0F" w:rsidP="002F1D0F">
      <w:pPr>
        <w:pStyle w:val="SingleTxt"/>
        <w:suppressAutoHyphens/>
        <w:spacing w:after="0" w:line="120" w:lineRule="exact"/>
        <w:rPr>
          <w:sz w:val="10"/>
          <w:lang w:val="es-ES_tradnl"/>
        </w:rPr>
      </w:pPr>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Salud y prevención para las mujeres extranjeras</w:t>
      </w:r>
    </w:p>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En los últimos años, las actividades de prevención de enfermedades y promoción de la salud orientadas específicamente a minorías étnicas han adquirido carácter prioritario en muchos municipios, especialmente en aquellos con grandes ciudades. Se han emprendido varias iniciativas. Las mujeres han sido objeto directo de varias iniciativas, en particular sobre la salud reproductiva y la salud de la familia en general. En muchos municipios, se ha capacitado a los educadores entre pares de origen étnico diferente con la intención de crear redes de promoción de la salud entre las mujeres que viven en comunidades socialmente desfavorecidas, ofreciendo, por ejemplo, actividades físicas y lecciones sobre el cuidado del niño y la nutrición.</w:t>
      </w:r>
    </w:p>
    <w:p w:rsidR="0038237D" w:rsidRPr="00EA0AB9" w:rsidRDefault="002F1D0F" w:rsidP="002F1D0F">
      <w:pPr>
        <w:pStyle w:val="SingleTxt"/>
        <w:suppressAutoHyphens/>
        <w:rPr>
          <w:lang w:val="es-ES_tradnl"/>
        </w:rPr>
      </w:pPr>
      <w:bookmarkStart w:id="177" w:name="_Toc360096870"/>
      <w:r>
        <w:rPr>
          <w:lang w:val="es-ES_tradnl"/>
        </w:rPr>
        <w:tab/>
      </w:r>
      <w:r w:rsidR="0038237D" w:rsidRPr="00EA0AB9">
        <w:rPr>
          <w:lang w:val="es-ES_tradnl"/>
        </w:rPr>
        <w:t xml:space="preserve">En relación con la atención prenatal, varios hospitales con una elevada proporción de minorías étnicas entre sus clientes, ofrecen consultas especiales en grupo para mujeres que no hablan danés o consultas con parteras especialmente entrenadas para trabajar con mujeres de minorías étnicas. La Dirección Nacional de Salud y Medicamentos ha iniciado un proyecto piloto en todo el país para extender la atención prenatal a las mujeres socialmente desfavorecidas, incluidas las pertenecientes a minorías étnicas. En 2011, la Cruz Roja y otros asociados abrieron la primera clínica ambulatoria gratuita para migrantes indocumentados. El personal de la clínica está formado por médicos, enfermeras, parteras, etc., todos ellos voluntarios. </w:t>
      </w:r>
    </w:p>
    <w:bookmarkEnd w:id="177"/>
    <w:p w:rsidR="002F1D0F" w:rsidRPr="002F1D0F" w:rsidRDefault="002F1D0F" w:rsidP="002F1D0F">
      <w:pPr>
        <w:pStyle w:val="SingleTxt"/>
        <w:suppressAutoHyphens/>
        <w:spacing w:after="0" w:line="120" w:lineRule="exact"/>
        <w:rPr>
          <w:sz w:val="10"/>
          <w:lang w:val="es-ES_tradnl"/>
        </w:rPr>
      </w:pPr>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VIH/SIDA</w:t>
      </w:r>
    </w:p>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Todos los ciudadanos de Dinamarca tienen igualdad de acceso al conocimiento, el tratamiento de la información y la atención médica, también en el ámbito del VIH y el SIDA. Entre 1990 y 2011, se diagnosticó el VIH a 1.688 mujeres en Dinamarca (27% del total de casos); de ellas, dos tercios eran mujeres de origen étnico no danés y nacidas en el extranjero. La mayor parte de los inmigrantes seropositivos que viven en Dinamarca han contraído la infección en su país de origen. En 2011, se detectaron 74 nuevos casos de mujeres con VIH y 19 nuevos casos de mujeres con SIDA. Para mejorar las intervenciones dirigidas a los grupos de minorías étnicas, la ONG danesa Fundación del SIDA dispone de una secretaría étnica denominada Cross-Over, financiada con fondos públicos, que trabaja para fomentar la igualdad étnica en el ámbito del VIH/SIDA, otras enfermedades de transmisión sexual y los embarazos no deseados. Cross-Over ofrece asesoramiento sobre, por ejemplo, el VIH/SIDA, vía telefónica o en persona, en cualquier lugar acordado previamente con el asesor. El proyecto de Cross-Over establece alianzas con asociaciones y organizaciones de minorías étnicas. Cross-Over presta apoyo a las organizaciones asociadas con asistencia profesional sanitaria y financiera, y las organizaciones asociadas contribuyen con sus conocimientos sobre cuestiones culturales y lingüísticas específicas que son pertinentes para el proyecto. Entre los proyectos se incluye, por ejemplo, </w:t>
      </w:r>
      <w:r w:rsidR="00C90CF0">
        <w:rPr>
          <w:lang w:val="es-ES_tradnl"/>
        </w:rPr>
        <w:t>“</w:t>
      </w:r>
      <w:r w:rsidR="0038237D" w:rsidRPr="00EA0AB9">
        <w:rPr>
          <w:lang w:val="es-ES_tradnl"/>
        </w:rPr>
        <w:t>Información acerca de la salud reproductiva para los somalíes del área de Copenhague</w:t>
      </w:r>
      <w:r w:rsidR="00C90CF0">
        <w:rPr>
          <w:lang w:val="es-ES_tradnl"/>
        </w:rPr>
        <w:t>”</w:t>
      </w:r>
      <w:r w:rsidR="0038237D" w:rsidRPr="00EA0AB9">
        <w:rPr>
          <w:lang w:val="es-ES_tradnl"/>
        </w:rPr>
        <w:t>.</w:t>
      </w:r>
    </w:p>
    <w:p w:rsidR="0038237D" w:rsidRPr="00EA0AB9" w:rsidRDefault="002F1D0F" w:rsidP="002F1D0F">
      <w:pPr>
        <w:pStyle w:val="SingleTxt"/>
        <w:suppressAutoHyphens/>
        <w:rPr>
          <w:lang w:val="es-ES_tradnl"/>
        </w:rPr>
      </w:pPr>
      <w:r>
        <w:rPr>
          <w:lang w:val="es-ES_tradnl"/>
        </w:rPr>
        <w:tab/>
      </w:r>
      <w:r w:rsidR="0038237D" w:rsidRPr="00EA0AB9">
        <w:rPr>
          <w:lang w:val="es-ES_tradnl"/>
        </w:rPr>
        <w:t>Los puestos de control de Copenhague, Odense y Aarhus ofrecen pruebas de detección del VIH anónimas y gratuitas, además del asesoramiento de pares especialmente formados, a menos de una hora de distancia, para todas las personas de origen étnico no danés. El asesoramiento puede ofrecerse en danés y en inglés, o en turco en Copenhague y en francés en Odense.</w:t>
      </w:r>
    </w:p>
    <w:p w:rsidR="002F1D0F" w:rsidRPr="002F1D0F" w:rsidRDefault="002F1D0F" w:rsidP="002F1D0F">
      <w:pPr>
        <w:pStyle w:val="SingleTxt"/>
        <w:suppressAutoHyphens/>
        <w:spacing w:after="0" w:line="120" w:lineRule="exact"/>
        <w:rPr>
          <w:sz w:val="10"/>
          <w:lang w:val="es-ES_tradnl"/>
        </w:rPr>
      </w:pPr>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 xml:space="preserve">Violencia contra la mujer </w:t>
      </w:r>
    </w:p>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En Dinamarca, la violencia contra la mujer es una violación del Código Penal, y el Gobierno considera la violencia contra la mujer como un grave problema para la igualdad entre los géneros. Dinamarca ha establecido un sistema nacional de apoyo que facilita a todas las mujeres que son víctimas de la violencia o de amenazas de violencia acceso a refugios, servicios psicológicos, sociales y judiciales, tratamiento médico y apoyo en el mercado de trabajo. La ley define los servicios sociales y de salud que desencadena la violencia doméstica; por ejemplo, los refugios para mujeres. Para las mujeres que viven en los refugios y tienen hijos, la ley establece un marco especial de apoyo vinculado a la rehabilitación, las escuelas, las condiciones seguras para los niños, la vivienda, la relación con el empleo, etc. Además, el sistema judicial adopta las medidas necesarias para castigar a los culpables y apoyar a las víctimas. Durante los últimos años, el Estado ha financiado temporalmente a organizaciones privadas que se ocupan del asesoramiento a hombres que han mostrado un comportamiento violento en relaciones de pareja. </w:t>
      </w: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Además de estos servicios permanentes, desde 2002 se han puesto en marcha tres planes de acción nacionales para combatir la violencia contra la mujer en las relaciones de pareja. En general, los planes de acción se centran en: el apoyo a las víctimas, el tratamiento de los culpables, la capacitación de profesionales y la recopilación y difusión de información. Una evaluación externa de los planes de acción indica que los planes han tenido un efecto positivo. Las víctimas han adquirido mayor conocimiento de sus derechos y de las diferentes posibilidades para recibir apoyo y asesoramiento. Del mismo modo, los profesionales y culpables han adquirido mayor conocimiento sobre las posibilidades de tratamiento del comportamiento violento y, como resultado de ello, más culpables reciben tratamiento. Las diferentes iniciativas de los planes de acción han contribuido a mejorar el conocimiento acerca de la violencia en la familia. Este conocimiento se ha difundido, en cierta medida, entre las autoridades y los profesionales pertinentes. Las autoridades y las ONG consideran importante y satisfactoria la estructura institucional con un grupo de trabajo de coordinación interministerial. </w:t>
      </w: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Además, la evaluación indica que las iniciativas generalizadas de los planes de acción han contribuido a romper el silencio que rodea a la violencia doméstica y a reducir el número de mujeres víctimas de la violencia doméstica. </w:t>
      </w:r>
    </w:p>
    <w:p w:rsidR="0038237D"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Violencia contra la mujer (edad: 16-74)</w:t>
      </w:r>
    </w:p>
    <w:p w:rsidR="002F1D0F" w:rsidRPr="002F1D0F" w:rsidRDefault="002F1D0F" w:rsidP="002F1D0F">
      <w:pPr>
        <w:pStyle w:val="SingleTxt"/>
        <w:spacing w:after="0" w:line="120" w:lineRule="exact"/>
        <w:rPr>
          <w:sz w:val="10"/>
          <w:lang w:val="es-ES_tradnl"/>
        </w:rPr>
      </w:pPr>
    </w:p>
    <w:p w:rsidR="002F1D0F" w:rsidRPr="002F1D0F" w:rsidRDefault="002F1D0F" w:rsidP="002F1D0F">
      <w:pPr>
        <w:pStyle w:val="SingleTxt"/>
        <w:spacing w:after="0" w:line="120" w:lineRule="exact"/>
        <w:rPr>
          <w:sz w:val="10"/>
          <w:lang w:val="es-ES_tradnl"/>
        </w:rPr>
      </w:pPr>
    </w:p>
    <w:tbl>
      <w:tblPr>
        <w:tblW w:w="7200" w:type="dxa"/>
        <w:tblInd w:w="1323" w:type="dxa"/>
        <w:tblBorders>
          <w:top w:val="single" w:sz="4" w:space="0" w:color="auto"/>
        </w:tblBorders>
        <w:tblLayout w:type="fixed"/>
        <w:tblCellMar>
          <w:left w:w="0" w:type="dxa"/>
          <w:right w:w="0" w:type="dxa"/>
        </w:tblCellMar>
        <w:tblLook w:val="04A0"/>
      </w:tblPr>
      <w:tblGrid>
        <w:gridCol w:w="2142"/>
        <w:gridCol w:w="2124"/>
        <w:gridCol w:w="2934"/>
      </w:tblGrid>
      <w:tr w:rsidR="0038237D" w:rsidRPr="00DD3299" w:rsidTr="002F1D0F">
        <w:trPr>
          <w:trHeight w:val="240"/>
          <w:tblHeader/>
        </w:trPr>
        <w:tc>
          <w:tcPr>
            <w:tcW w:w="2142" w:type="dxa"/>
            <w:tcBorders>
              <w:top w:val="single" w:sz="4" w:space="0" w:color="auto"/>
              <w:bottom w:val="single" w:sz="12" w:space="0" w:color="auto"/>
            </w:tcBorders>
            <w:shd w:val="clear" w:color="auto" w:fill="auto"/>
            <w:vAlign w:val="bottom"/>
          </w:tcPr>
          <w:p w:rsidR="0038237D" w:rsidRPr="00DD3299" w:rsidRDefault="0038237D" w:rsidP="002F1D0F">
            <w:pPr>
              <w:pStyle w:val="SingleTxtG"/>
              <w:suppressAutoHyphens w:val="0"/>
              <w:spacing w:before="80" w:after="80" w:line="160" w:lineRule="exact"/>
              <w:ind w:left="0" w:right="0"/>
              <w:jc w:val="left"/>
              <w:rPr>
                <w:i/>
                <w:spacing w:val="4"/>
                <w:w w:val="103"/>
                <w:sz w:val="14"/>
                <w:szCs w:val="14"/>
                <w:lang w:val="es-ES_tradnl"/>
              </w:rPr>
            </w:pPr>
          </w:p>
        </w:tc>
        <w:tc>
          <w:tcPr>
            <w:tcW w:w="2124" w:type="dxa"/>
            <w:tcBorders>
              <w:top w:val="single" w:sz="4" w:space="0" w:color="auto"/>
              <w:bottom w:val="single" w:sz="12" w:space="0" w:color="auto"/>
            </w:tcBorders>
            <w:shd w:val="clear" w:color="auto" w:fill="auto"/>
            <w:vAlign w:val="bottom"/>
          </w:tcPr>
          <w:p w:rsidR="0038237D" w:rsidRPr="00DD3299" w:rsidRDefault="0038237D" w:rsidP="002F1D0F">
            <w:pPr>
              <w:pStyle w:val="SingleTxtG"/>
              <w:suppressAutoHyphens w:val="0"/>
              <w:spacing w:before="80" w:after="80" w:line="160" w:lineRule="exact"/>
              <w:ind w:left="113" w:right="0"/>
              <w:jc w:val="right"/>
              <w:rPr>
                <w:spacing w:val="4"/>
                <w:w w:val="103"/>
                <w:sz w:val="14"/>
                <w:szCs w:val="14"/>
                <w:lang w:val="es-ES_tradnl"/>
              </w:rPr>
            </w:pPr>
            <w:r w:rsidRPr="00DD3299">
              <w:rPr>
                <w:i/>
                <w:spacing w:val="4"/>
                <w:w w:val="103"/>
                <w:sz w:val="14"/>
                <w:szCs w:val="14"/>
                <w:lang w:val="es-ES_tradnl"/>
              </w:rPr>
              <w:t>Violencia en general</w:t>
            </w:r>
          </w:p>
        </w:tc>
        <w:tc>
          <w:tcPr>
            <w:tcW w:w="2934" w:type="dxa"/>
            <w:tcBorders>
              <w:top w:val="single" w:sz="4" w:space="0" w:color="auto"/>
              <w:bottom w:val="single" w:sz="12" w:space="0" w:color="auto"/>
            </w:tcBorders>
            <w:shd w:val="clear" w:color="auto" w:fill="auto"/>
            <w:vAlign w:val="bottom"/>
          </w:tcPr>
          <w:p w:rsidR="0038237D" w:rsidRPr="00DD3299" w:rsidRDefault="0038237D" w:rsidP="00DD3299">
            <w:pPr>
              <w:pStyle w:val="SingleTxtG"/>
              <w:suppressAutoHyphens w:val="0"/>
              <w:spacing w:before="80" w:after="80" w:line="160" w:lineRule="exact"/>
              <w:ind w:left="113" w:right="0" w:firstLine="2002"/>
              <w:jc w:val="right"/>
              <w:rPr>
                <w:spacing w:val="4"/>
                <w:w w:val="103"/>
                <w:sz w:val="14"/>
                <w:szCs w:val="14"/>
                <w:lang w:val="es-ES_tradnl"/>
              </w:rPr>
            </w:pPr>
            <w:r w:rsidRPr="00DD3299">
              <w:rPr>
                <w:i/>
                <w:spacing w:val="4"/>
                <w:w w:val="103"/>
                <w:sz w:val="14"/>
                <w:szCs w:val="14"/>
                <w:lang w:val="es-ES_tradnl"/>
              </w:rPr>
              <w:t>Violencia en las relaciones de pareja</w:t>
            </w:r>
          </w:p>
        </w:tc>
      </w:tr>
      <w:tr w:rsidR="0038237D" w:rsidRPr="002F1D0F" w:rsidTr="002F1D0F">
        <w:trPr>
          <w:trHeight w:val="240"/>
        </w:trPr>
        <w:tc>
          <w:tcPr>
            <w:tcW w:w="2142" w:type="dxa"/>
            <w:tcBorders>
              <w:top w:val="single" w:sz="12" w:space="0" w:color="auto"/>
            </w:tcBorders>
            <w:shd w:val="clear" w:color="auto" w:fill="auto"/>
          </w:tcPr>
          <w:p w:rsidR="0038237D" w:rsidRPr="002F1D0F" w:rsidRDefault="0038237D" w:rsidP="002F1D0F">
            <w:pPr>
              <w:pStyle w:val="SingleTxtG"/>
              <w:suppressAutoHyphens w:val="0"/>
              <w:spacing w:before="40" w:after="40" w:line="210" w:lineRule="exact"/>
              <w:ind w:left="0" w:right="0"/>
              <w:jc w:val="left"/>
              <w:rPr>
                <w:sz w:val="17"/>
                <w:szCs w:val="17"/>
                <w:lang w:val="es-ES_tradnl"/>
              </w:rPr>
            </w:pPr>
            <w:r w:rsidRPr="002F1D0F">
              <w:rPr>
                <w:sz w:val="17"/>
                <w:szCs w:val="17"/>
                <w:lang w:val="es-ES_tradnl"/>
              </w:rPr>
              <w:t>2000</w:t>
            </w:r>
          </w:p>
        </w:tc>
        <w:tc>
          <w:tcPr>
            <w:tcW w:w="2124" w:type="dxa"/>
            <w:tcBorders>
              <w:top w:val="single" w:sz="12" w:space="0" w:color="auto"/>
            </w:tcBorders>
            <w:shd w:val="clear" w:color="auto" w:fill="auto"/>
            <w:vAlign w:val="bottom"/>
          </w:tcPr>
          <w:p w:rsidR="0038237D" w:rsidRPr="002F1D0F" w:rsidRDefault="0038237D" w:rsidP="002F1D0F">
            <w:pPr>
              <w:pStyle w:val="SingleTxtG"/>
              <w:suppressAutoHyphens w:val="0"/>
              <w:spacing w:before="40" w:after="40" w:line="210" w:lineRule="exact"/>
              <w:ind w:left="113" w:right="0"/>
              <w:jc w:val="right"/>
              <w:rPr>
                <w:sz w:val="17"/>
                <w:szCs w:val="17"/>
                <w:lang w:val="es-ES_tradnl"/>
              </w:rPr>
            </w:pPr>
            <w:r w:rsidRPr="002F1D0F">
              <w:rPr>
                <w:sz w:val="17"/>
                <w:szCs w:val="17"/>
                <w:lang w:val="es-ES_tradnl"/>
              </w:rPr>
              <w:t>64.000</w:t>
            </w:r>
          </w:p>
        </w:tc>
        <w:tc>
          <w:tcPr>
            <w:tcW w:w="2934" w:type="dxa"/>
            <w:tcBorders>
              <w:top w:val="single" w:sz="12" w:space="0" w:color="auto"/>
            </w:tcBorders>
            <w:shd w:val="clear" w:color="auto" w:fill="auto"/>
            <w:vAlign w:val="bottom"/>
          </w:tcPr>
          <w:p w:rsidR="0038237D" w:rsidRPr="002F1D0F" w:rsidRDefault="0038237D" w:rsidP="002F1D0F">
            <w:pPr>
              <w:pStyle w:val="SingleTxtG"/>
              <w:suppressAutoHyphens w:val="0"/>
              <w:spacing w:before="40" w:after="40" w:line="210" w:lineRule="exact"/>
              <w:ind w:left="113" w:right="0"/>
              <w:jc w:val="right"/>
              <w:rPr>
                <w:sz w:val="17"/>
                <w:szCs w:val="17"/>
                <w:lang w:val="es-ES_tradnl"/>
              </w:rPr>
            </w:pPr>
            <w:r w:rsidRPr="002F1D0F">
              <w:rPr>
                <w:sz w:val="17"/>
                <w:szCs w:val="17"/>
                <w:lang w:val="es-ES_tradnl"/>
              </w:rPr>
              <w:t>42.000 (2,5 %)</w:t>
            </w:r>
          </w:p>
        </w:tc>
      </w:tr>
      <w:tr w:rsidR="0038237D" w:rsidRPr="002F1D0F" w:rsidTr="002F1D0F">
        <w:trPr>
          <w:trHeight w:val="240"/>
        </w:trPr>
        <w:tc>
          <w:tcPr>
            <w:tcW w:w="2142" w:type="dxa"/>
            <w:shd w:val="clear" w:color="auto" w:fill="auto"/>
          </w:tcPr>
          <w:p w:rsidR="0038237D" w:rsidRPr="002F1D0F" w:rsidRDefault="0038237D" w:rsidP="002F1D0F">
            <w:pPr>
              <w:pStyle w:val="SingleTxtG"/>
              <w:suppressAutoHyphens w:val="0"/>
              <w:spacing w:before="40" w:after="40" w:line="210" w:lineRule="exact"/>
              <w:ind w:left="0" w:right="0"/>
              <w:jc w:val="left"/>
              <w:rPr>
                <w:sz w:val="17"/>
                <w:szCs w:val="17"/>
                <w:lang w:val="es-ES_tradnl"/>
              </w:rPr>
            </w:pPr>
            <w:r w:rsidRPr="002F1D0F">
              <w:rPr>
                <w:sz w:val="17"/>
                <w:szCs w:val="17"/>
                <w:lang w:val="es-ES_tradnl"/>
              </w:rPr>
              <w:t>2005</w:t>
            </w:r>
          </w:p>
        </w:tc>
        <w:tc>
          <w:tcPr>
            <w:tcW w:w="2124" w:type="dxa"/>
            <w:shd w:val="clear" w:color="auto" w:fill="auto"/>
            <w:vAlign w:val="bottom"/>
          </w:tcPr>
          <w:p w:rsidR="0038237D" w:rsidRPr="002F1D0F" w:rsidRDefault="0038237D" w:rsidP="002F1D0F">
            <w:pPr>
              <w:pStyle w:val="SingleTxtG"/>
              <w:suppressAutoHyphens w:val="0"/>
              <w:spacing w:before="40" w:after="40" w:line="210" w:lineRule="exact"/>
              <w:ind w:left="113" w:right="0"/>
              <w:jc w:val="right"/>
              <w:rPr>
                <w:sz w:val="17"/>
                <w:szCs w:val="17"/>
                <w:lang w:val="es-ES_tradnl"/>
              </w:rPr>
            </w:pPr>
            <w:r w:rsidRPr="002F1D0F">
              <w:rPr>
                <w:sz w:val="17"/>
                <w:szCs w:val="17"/>
                <w:lang w:val="es-ES_tradnl"/>
              </w:rPr>
              <w:t>70.000</w:t>
            </w:r>
          </w:p>
        </w:tc>
        <w:tc>
          <w:tcPr>
            <w:tcW w:w="2934" w:type="dxa"/>
            <w:shd w:val="clear" w:color="auto" w:fill="auto"/>
            <w:vAlign w:val="bottom"/>
          </w:tcPr>
          <w:p w:rsidR="0038237D" w:rsidRPr="002F1D0F" w:rsidRDefault="0038237D" w:rsidP="002F1D0F">
            <w:pPr>
              <w:pStyle w:val="SingleTxtG"/>
              <w:suppressAutoHyphens w:val="0"/>
              <w:spacing w:before="40" w:after="40" w:line="210" w:lineRule="exact"/>
              <w:ind w:left="113" w:right="0"/>
              <w:jc w:val="right"/>
              <w:rPr>
                <w:sz w:val="17"/>
                <w:szCs w:val="17"/>
                <w:lang w:val="es-ES_tradnl"/>
              </w:rPr>
            </w:pPr>
            <w:r w:rsidRPr="002F1D0F">
              <w:rPr>
                <w:sz w:val="17"/>
                <w:szCs w:val="17"/>
                <w:lang w:val="es-ES_tradnl"/>
              </w:rPr>
              <w:t>33.000 (1,7 %)</w:t>
            </w:r>
          </w:p>
        </w:tc>
      </w:tr>
      <w:tr w:rsidR="0038237D" w:rsidRPr="002F1D0F" w:rsidTr="002F1D0F">
        <w:trPr>
          <w:trHeight w:val="240"/>
        </w:trPr>
        <w:tc>
          <w:tcPr>
            <w:tcW w:w="2142" w:type="dxa"/>
            <w:tcBorders>
              <w:bottom w:val="single" w:sz="12" w:space="0" w:color="auto"/>
            </w:tcBorders>
            <w:shd w:val="clear" w:color="auto" w:fill="auto"/>
          </w:tcPr>
          <w:p w:rsidR="0038237D" w:rsidRPr="002F1D0F" w:rsidRDefault="0038237D" w:rsidP="002F1D0F">
            <w:pPr>
              <w:pStyle w:val="SingleTxtG"/>
              <w:suppressAutoHyphens w:val="0"/>
              <w:spacing w:before="40" w:after="40" w:line="210" w:lineRule="exact"/>
              <w:ind w:left="0" w:right="0"/>
              <w:jc w:val="left"/>
              <w:rPr>
                <w:sz w:val="17"/>
                <w:szCs w:val="17"/>
                <w:lang w:val="es-ES_tradnl"/>
              </w:rPr>
            </w:pPr>
            <w:r w:rsidRPr="002F1D0F">
              <w:rPr>
                <w:sz w:val="17"/>
                <w:szCs w:val="17"/>
                <w:lang w:val="es-ES_tradnl"/>
              </w:rPr>
              <w:t>2010</w:t>
            </w:r>
          </w:p>
        </w:tc>
        <w:tc>
          <w:tcPr>
            <w:tcW w:w="2124" w:type="dxa"/>
            <w:tcBorders>
              <w:bottom w:val="single" w:sz="12" w:space="0" w:color="auto"/>
            </w:tcBorders>
            <w:shd w:val="clear" w:color="auto" w:fill="auto"/>
            <w:vAlign w:val="bottom"/>
          </w:tcPr>
          <w:p w:rsidR="0038237D" w:rsidRPr="002F1D0F" w:rsidRDefault="0038237D" w:rsidP="002F1D0F">
            <w:pPr>
              <w:pStyle w:val="SingleTxtG"/>
              <w:suppressAutoHyphens w:val="0"/>
              <w:spacing w:before="40" w:after="40" w:line="210" w:lineRule="exact"/>
              <w:ind w:left="113" w:right="0"/>
              <w:jc w:val="right"/>
              <w:rPr>
                <w:sz w:val="17"/>
                <w:szCs w:val="17"/>
                <w:lang w:val="es-ES_tradnl"/>
              </w:rPr>
            </w:pPr>
            <w:r w:rsidRPr="002F1D0F">
              <w:rPr>
                <w:sz w:val="17"/>
                <w:szCs w:val="17"/>
                <w:lang w:val="es-ES_tradnl"/>
              </w:rPr>
              <w:t>83.000</w:t>
            </w:r>
          </w:p>
        </w:tc>
        <w:tc>
          <w:tcPr>
            <w:tcW w:w="2934" w:type="dxa"/>
            <w:tcBorders>
              <w:bottom w:val="single" w:sz="12" w:space="0" w:color="auto"/>
            </w:tcBorders>
            <w:shd w:val="clear" w:color="auto" w:fill="auto"/>
            <w:vAlign w:val="bottom"/>
          </w:tcPr>
          <w:p w:rsidR="0038237D" w:rsidRPr="002F1D0F" w:rsidRDefault="0038237D" w:rsidP="002F1D0F">
            <w:pPr>
              <w:pStyle w:val="SingleTxtG"/>
              <w:suppressAutoHyphens w:val="0"/>
              <w:spacing w:before="40" w:after="40" w:line="210" w:lineRule="exact"/>
              <w:ind w:left="113" w:right="0"/>
              <w:jc w:val="right"/>
              <w:rPr>
                <w:sz w:val="17"/>
                <w:szCs w:val="17"/>
                <w:lang w:val="es-ES_tradnl"/>
              </w:rPr>
            </w:pPr>
            <w:r w:rsidRPr="002F1D0F">
              <w:rPr>
                <w:sz w:val="17"/>
                <w:szCs w:val="17"/>
                <w:lang w:val="es-ES_tradnl"/>
              </w:rPr>
              <w:t>29.000 (1,4 %)</w:t>
            </w:r>
          </w:p>
        </w:tc>
      </w:tr>
    </w:tbl>
    <w:p w:rsidR="002F1D0F" w:rsidRPr="002F1D0F" w:rsidRDefault="002F1D0F" w:rsidP="002F1D0F">
      <w:pPr>
        <w:pStyle w:val="SingleTxt"/>
        <w:suppressAutoHyphens/>
        <w:spacing w:after="0" w:line="120" w:lineRule="exact"/>
        <w:rPr>
          <w:sz w:val="10"/>
          <w:lang w:val="es-ES_tradnl"/>
        </w:rPr>
      </w:pPr>
    </w:p>
    <w:p w:rsidR="002F1D0F" w:rsidRPr="002F1D0F" w:rsidRDefault="002F1D0F" w:rsidP="002F1D0F">
      <w:pPr>
        <w:pStyle w:val="SingleTxt"/>
        <w:suppressAutoHyphens/>
        <w:spacing w:after="0" w:line="120" w:lineRule="exact"/>
        <w:rPr>
          <w:sz w:val="10"/>
          <w:lang w:val="es-ES_tradnl"/>
        </w:rPr>
      </w:pPr>
    </w:p>
    <w:p w:rsidR="0038237D"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Violencia contra la mujer en parejas adolescentes (edad: 16-24)</w:t>
      </w:r>
    </w:p>
    <w:p w:rsidR="002F1D0F" w:rsidRPr="002F1D0F" w:rsidRDefault="002F1D0F" w:rsidP="002F1D0F">
      <w:pPr>
        <w:pStyle w:val="SingleTxt"/>
        <w:spacing w:after="0" w:line="120" w:lineRule="exact"/>
        <w:rPr>
          <w:sz w:val="10"/>
          <w:lang w:val="es-ES_tradnl"/>
        </w:rPr>
      </w:pPr>
    </w:p>
    <w:p w:rsidR="002F1D0F" w:rsidRPr="002F1D0F" w:rsidRDefault="002F1D0F" w:rsidP="002F1D0F">
      <w:pPr>
        <w:pStyle w:val="SingleTxt"/>
        <w:spacing w:after="0" w:line="120" w:lineRule="exact"/>
        <w:rPr>
          <w:sz w:val="10"/>
          <w:lang w:val="es-ES_tradnl"/>
        </w:rPr>
      </w:pPr>
    </w:p>
    <w:tbl>
      <w:tblPr>
        <w:tblW w:w="7145" w:type="dxa"/>
        <w:tblInd w:w="1359" w:type="dxa"/>
        <w:tblBorders>
          <w:top w:val="single" w:sz="4" w:space="0" w:color="auto"/>
        </w:tblBorders>
        <w:tblCellMar>
          <w:left w:w="0" w:type="dxa"/>
          <w:right w:w="0" w:type="dxa"/>
        </w:tblCellMar>
        <w:tblLook w:val="04A0"/>
      </w:tblPr>
      <w:tblGrid>
        <w:gridCol w:w="2494"/>
        <w:gridCol w:w="4651"/>
      </w:tblGrid>
      <w:tr w:rsidR="0038237D" w:rsidRPr="00DD3299" w:rsidTr="002F1D0F">
        <w:trPr>
          <w:trHeight w:val="240"/>
          <w:tblHeader/>
        </w:trPr>
        <w:tc>
          <w:tcPr>
            <w:tcW w:w="2494" w:type="dxa"/>
            <w:tcBorders>
              <w:top w:val="single" w:sz="4" w:space="0" w:color="auto"/>
              <w:bottom w:val="single" w:sz="12" w:space="0" w:color="auto"/>
            </w:tcBorders>
            <w:shd w:val="clear" w:color="auto" w:fill="auto"/>
            <w:vAlign w:val="bottom"/>
          </w:tcPr>
          <w:p w:rsidR="0038237D" w:rsidRPr="00DD3299" w:rsidRDefault="0038237D" w:rsidP="002F1D0F">
            <w:pPr>
              <w:pStyle w:val="SingleTxtG"/>
              <w:suppressAutoHyphens w:val="0"/>
              <w:spacing w:before="80" w:after="80" w:line="160" w:lineRule="exact"/>
              <w:ind w:left="0" w:right="0"/>
              <w:jc w:val="left"/>
              <w:rPr>
                <w:i/>
                <w:spacing w:val="4"/>
                <w:w w:val="103"/>
                <w:sz w:val="14"/>
                <w:szCs w:val="14"/>
                <w:lang w:val="es-ES_tradnl"/>
              </w:rPr>
            </w:pPr>
          </w:p>
        </w:tc>
        <w:tc>
          <w:tcPr>
            <w:tcW w:w="4651" w:type="dxa"/>
            <w:tcBorders>
              <w:top w:val="single" w:sz="4" w:space="0" w:color="auto"/>
              <w:bottom w:val="single" w:sz="12" w:space="0" w:color="auto"/>
            </w:tcBorders>
            <w:shd w:val="clear" w:color="auto" w:fill="auto"/>
            <w:vAlign w:val="bottom"/>
          </w:tcPr>
          <w:p w:rsidR="0038237D" w:rsidRPr="00DD3299" w:rsidRDefault="0038237D" w:rsidP="002F1D0F">
            <w:pPr>
              <w:pStyle w:val="SingleTxtG"/>
              <w:suppressAutoHyphens w:val="0"/>
              <w:spacing w:before="80" w:after="80" w:line="160" w:lineRule="exact"/>
              <w:ind w:left="0" w:right="0"/>
              <w:jc w:val="left"/>
              <w:rPr>
                <w:i/>
                <w:spacing w:val="4"/>
                <w:w w:val="103"/>
                <w:sz w:val="14"/>
                <w:szCs w:val="14"/>
                <w:lang w:val="es-ES_tradnl"/>
              </w:rPr>
            </w:pPr>
            <w:r w:rsidRPr="00DD3299">
              <w:rPr>
                <w:i/>
                <w:spacing w:val="4"/>
                <w:w w:val="103"/>
                <w:sz w:val="14"/>
                <w:szCs w:val="14"/>
                <w:lang w:val="es-ES_tradnl"/>
              </w:rPr>
              <w:t>Violencia contra la mujer en parejas adolescentes</w:t>
            </w:r>
          </w:p>
        </w:tc>
      </w:tr>
      <w:tr w:rsidR="0038237D" w:rsidRPr="002F1D0F" w:rsidTr="002F1D0F">
        <w:trPr>
          <w:trHeight w:val="240"/>
        </w:trPr>
        <w:tc>
          <w:tcPr>
            <w:tcW w:w="2494" w:type="dxa"/>
            <w:tcBorders>
              <w:top w:val="single" w:sz="12" w:space="0" w:color="auto"/>
            </w:tcBorders>
            <w:shd w:val="clear" w:color="auto" w:fill="auto"/>
          </w:tcPr>
          <w:p w:rsidR="0038237D" w:rsidRPr="002F1D0F" w:rsidRDefault="0038237D" w:rsidP="002F1D0F">
            <w:pPr>
              <w:pStyle w:val="SingleTxtG"/>
              <w:suppressAutoHyphens w:val="0"/>
              <w:spacing w:before="40" w:after="40" w:line="210" w:lineRule="exact"/>
              <w:ind w:left="0" w:right="0"/>
              <w:jc w:val="left"/>
              <w:rPr>
                <w:sz w:val="17"/>
                <w:szCs w:val="17"/>
                <w:lang w:val="es-ES_tradnl"/>
              </w:rPr>
            </w:pPr>
            <w:r w:rsidRPr="002F1D0F">
              <w:rPr>
                <w:sz w:val="17"/>
                <w:szCs w:val="17"/>
                <w:lang w:val="es-ES_tradnl"/>
              </w:rPr>
              <w:t>2007</w:t>
            </w:r>
          </w:p>
        </w:tc>
        <w:tc>
          <w:tcPr>
            <w:tcW w:w="4651" w:type="dxa"/>
            <w:tcBorders>
              <w:top w:val="single" w:sz="12" w:space="0" w:color="auto"/>
            </w:tcBorders>
            <w:shd w:val="clear" w:color="auto" w:fill="auto"/>
            <w:vAlign w:val="bottom"/>
          </w:tcPr>
          <w:p w:rsidR="0038237D" w:rsidRPr="002F1D0F" w:rsidRDefault="0038237D" w:rsidP="002F1D0F">
            <w:pPr>
              <w:pStyle w:val="SingleTxtG"/>
              <w:suppressAutoHyphens w:val="0"/>
              <w:spacing w:before="40" w:after="40" w:line="210" w:lineRule="exact"/>
              <w:ind w:left="0" w:right="0"/>
              <w:jc w:val="left"/>
              <w:rPr>
                <w:sz w:val="17"/>
                <w:szCs w:val="17"/>
                <w:lang w:val="es-ES_tradnl"/>
              </w:rPr>
            </w:pPr>
            <w:r w:rsidRPr="002F1D0F">
              <w:rPr>
                <w:sz w:val="17"/>
                <w:szCs w:val="17"/>
                <w:lang w:val="es-ES_tradnl"/>
              </w:rPr>
              <w:t>13.000 (4,7 %)</w:t>
            </w:r>
          </w:p>
        </w:tc>
      </w:tr>
      <w:tr w:rsidR="0038237D" w:rsidRPr="002F1D0F" w:rsidTr="002F1D0F">
        <w:trPr>
          <w:trHeight w:val="240"/>
        </w:trPr>
        <w:tc>
          <w:tcPr>
            <w:tcW w:w="2494" w:type="dxa"/>
            <w:tcBorders>
              <w:bottom w:val="single" w:sz="12" w:space="0" w:color="auto"/>
            </w:tcBorders>
            <w:shd w:val="clear" w:color="auto" w:fill="auto"/>
          </w:tcPr>
          <w:p w:rsidR="0038237D" w:rsidRPr="002F1D0F" w:rsidRDefault="0038237D" w:rsidP="002F1D0F">
            <w:pPr>
              <w:pStyle w:val="SingleTxtG"/>
              <w:suppressAutoHyphens w:val="0"/>
              <w:spacing w:before="40" w:after="40" w:line="210" w:lineRule="exact"/>
              <w:ind w:left="0" w:right="0"/>
              <w:jc w:val="left"/>
              <w:rPr>
                <w:sz w:val="17"/>
                <w:szCs w:val="17"/>
                <w:lang w:val="es-ES_tradnl"/>
              </w:rPr>
            </w:pPr>
            <w:r w:rsidRPr="002F1D0F">
              <w:rPr>
                <w:sz w:val="17"/>
                <w:szCs w:val="17"/>
                <w:lang w:val="es-ES_tradnl"/>
              </w:rPr>
              <w:t>2011</w:t>
            </w:r>
          </w:p>
        </w:tc>
        <w:tc>
          <w:tcPr>
            <w:tcW w:w="4651" w:type="dxa"/>
            <w:tcBorders>
              <w:bottom w:val="single" w:sz="12" w:space="0" w:color="auto"/>
            </w:tcBorders>
            <w:shd w:val="clear" w:color="auto" w:fill="auto"/>
            <w:vAlign w:val="bottom"/>
          </w:tcPr>
          <w:p w:rsidR="0038237D" w:rsidRPr="002F1D0F" w:rsidRDefault="0038237D" w:rsidP="002F1D0F">
            <w:pPr>
              <w:pStyle w:val="SingleTxtG"/>
              <w:suppressAutoHyphens w:val="0"/>
              <w:spacing w:before="40" w:after="40" w:line="210" w:lineRule="exact"/>
              <w:ind w:left="0" w:right="0"/>
              <w:jc w:val="left"/>
              <w:rPr>
                <w:sz w:val="17"/>
                <w:szCs w:val="17"/>
                <w:lang w:val="es-ES_tradnl"/>
              </w:rPr>
            </w:pPr>
            <w:r w:rsidRPr="002F1D0F">
              <w:rPr>
                <w:sz w:val="17"/>
                <w:szCs w:val="17"/>
                <w:lang w:val="es-ES_tradnl"/>
              </w:rPr>
              <w:t>9.500 (3,2 %)</w:t>
            </w:r>
          </w:p>
        </w:tc>
      </w:tr>
    </w:tbl>
    <w:p w:rsidR="002F1D0F" w:rsidRPr="002F1D0F" w:rsidRDefault="002F1D0F" w:rsidP="002F1D0F">
      <w:pPr>
        <w:pStyle w:val="SingleTxt"/>
        <w:suppressAutoHyphens/>
        <w:spacing w:after="0" w:line="120" w:lineRule="exact"/>
        <w:rPr>
          <w:sz w:val="10"/>
          <w:lang w:val="es-ES_tradnl"/>
        </w:rPr>
      </w:pPr>
      <w:bookmarkStart w:id="178" w:name="OLE_LINK5"/>
      <w:bookmarkStart w:id="179" w:name="OLE_LINK6"/>
      <w:bookmarkStart w:id="180" w:name="_Toc348513760"/>
      <w:bookmarkStart w:id="181" w:name="_Toc349720634"/>
    </w:p>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Un grupo de trabajo interministerial, liderado por el Ministerio de Igualdad entre los Géneros y Asuntos Eclesiásticos, es el encargado de aplicar los planes de acción. </w:t>
      </w:r>
    </w:p>
    <w:bookmarkEnd w:id="178"/>
    <w:bookmarkEnd w:id="179"/>
    <w:bookmarkEnd w:id="180"/>
    <w:bookmarkEnd w:id="181"/>
    <w:p w:rsidR="0038237D" w:rsidRPr="00EA0AB9" w:rsidRDefault="002F1D0F" w:rsidP="002F1D0F">
      <w:pPr>
        <w:pStyle w:val="SingleTxt"/>
        <w:suppressAutoHyphens/>
        <w:rPr>
          <w:lang w:val="es-ES_tradnl"/>
        </w:rPr>
      </w:pPr>
      <w:r>
        <w:rPr>
          <w:lang w:val="es-ES_tradnl"/>
        </w:rPr>
        <w:tab/>
      </w:r>
      <w:r w:rsidR="0038237D" w:rsidRPr="00EA0AB9">
        <w:rPr>
          <w:lang w:val="es-ES_tradnl"/>
        </w:rPr>
        <w:t>La evaluación externa de los planes de acción también mostró que: las víctimas han adquirido mayor conocimiento de sus derechos y de las ofertas de apoyo y asesoramiento; los profesionales y culpables han adquirido mayor conocimiento de las posibilidades de tratamiento (del comportamiento violento) y, como resultado de ello, más culpables reciben tratamiento; las iniciativas de los planes de acción han contribuido a mejorar el conocimiento acerca de la violencia en la familia. El conocimiento se ha difundido, en cierta medida, entre las autoridades y los profesionales pertinentes; las autoridades y las ONG consideran importante y satisfactoria la estructura institucional con un grupo de trabajo de coordinación interministerial.</w:t>
      </w:r>
    </w:p>
    <w:p w:rsidR="0038237D" w:rsidRPr="00EA0AB9" w:rsidRDefault="002F1D0F" w:rsidP="002F1D0F">
      <w:pPr>
        <w:pStyle w:val="SingleTxt"/>
        <w:suppressAutoHyphens/>
        <w:rPr>
          <w:b/>
          <w:i/>
          <w:lang w:val="es-ES_tradnl"/>
        </w:rPr>
      </w:pPr>
      <w:r w:rsidRPr="00F641F3">
        <w:rPr>
          <w:lang w:val="es-ES_tradnl"/>
        </w:rPr>
        <w:tab/>
      </w:r>
      <w:r w:rsidR="0038237D" w:rsidRPr="0067767D">
        <w:rPr>
          <w:u w:val="single"/>
          <w:lang w:val="es-ES_tradnl"/>
        </w:rPr>
        <w:t>Ejemplos de iniciativas del plan de acción actual para eliminar la violencia doméstica</w:t>
      </w:r>
      <w:r w:rsidR="0038237D" w:rsidRPr="00EA0AB9">
        <w:rPr>
          <w:lang w:val="es-ES_tradnl"/>
        </w:rPr>
        <w:t>:</w:t>
      </w:r>
    </w:p>
    <w:p w:rsidR="0038237D" w:rsidRPr="00EA0AB9" w:rsidRDefault="002F1D0F" w:rsidP="002F1D0F">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Cabe señalar el gran éxito de una importante iniciativa de fomento de la capacidad, dirigida a diversos grupos de personal en los municipios. A los 98 municipios de Dinamarca se les ofrece el curso gratuito, de un día de duración, sobre diversos temas relacionados con la violencia en la familia, hasta el 31 de julio de 2013. A 1</w:t>
      </w:r>
      <w:r w:rsidR="0038237D">
        <w:rPr>
          <w:lang w:val="es-ES_tradnl"/>
        </w:rPr>
        <w:t> </w:t>
      </w:r>
      <w:r w:rsidR="0038237D" w:rsidRPr="00EA0AB9">
        <w:rPr>
          <w:lang w:val="es-ES_tradnl"/>
        </w:rPr>
        <w:t>de diciembre de 2012, 61 municipios han reservado el curso, se han celebrado 44</w:t>
      </w:r>
      <w:r w:rsidR="0038237D">
        <w:rPr>
          <w:lang w:val="es-ES_tradnl"/>
        </w:rPr>
        <w:t> </w:t>
      </w:r>
      <w:r w:rsidR="0038237D" w:rsidRPr="00EA0AB9">
        <w:rPr>
          <w:lang w:val="es-ES_tradnl"/>
        </w:rPr>
        <w:t xml:space="preserve">cursos y, en total, 3.018 profesionales municipales han asistido al curso. </w:t>
      </w:r>
    </w:p>
    <w:p w:rsidR="0038237D" w:rsidRPr="00EA0AB9" w:rsidRDefault="002F1D0F" w:rsidP="002F1D0F">
      <w:pPr>
        <w:pStyle w:val="SingleTxt"/>
        <w:tabs>
          <w:tab w:val="right" w:pos="1685"/>
        </w:tabs>
        <w:suppressAutoHyphens/>
        <w:ind w:left="1742" w:hanging="475"/>
        <w:rPr>
          <w:lang w:val="es-ES_tradnl"/>
        </w:rPr>
      </w:pPr>
      <w:bookmarkStart w:id="182" w:name="_Toc360096871"/>
      <w:r>
        <w:rPr>
          <w:lang w:val="es-ES_tradnl"/>
        </w:rPr>
        <w:tab/>
        <w:t>•</w:t>
      </w:r>
      <w:r>
        <w:rPr>
          <w:lang w:val="es-ES_tradnl"/>
        </w:rPr>
        <w:tab/>
      </w:r>
      <w:r w:rsidR="0038237D" w:rsidRPr="00EA0AB9">
        <w:rPr>
          <w:lang w:val="es-ES_tradnl"/>
        </w:rPr>
        <w:t xml:space="preserve">Además del curso para profesionales municipales, se ha elaborado una guía electrónica que incluye información esencial acerca de la violencia en la familia. Véase: </w:t>
      </w:r>
      <w:hyperlink r:id="rId21" w:history="1">
        <w:r w:rsidR="0038237D" w:rsidRPr="002F1D0F">
          <w:t>http://www.servicestyrelsen.dk/udsatte/vold-i-familien</w:t>
        </w:r>
      </w:hyperlink>
      <w:r w:rsidR="0038237D" w:rsidRPr="00EA0AB9">
        <w:rPr>
          <w:lang w:val="es-ES_tradnl"/>
        </w:rPr>
        <w:t>. La atención se centra en la información sobre cómo detectar signos de violencia y cómo actuar ante el conocimiento o la sospecha de una situación de violencia en una familia que los profesionales han conocido a través de su trabajo.</w:t>
      </w:r>
    </w:p>
    <w:bookmarkEnd w:id="182"/>
    <w:p w:rsidR="0038237D" w:rsidRPr="00EA0AB9" w:rsidRDefault="002F1D0F" w:rsidP="002F1D0F">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 xml:space="preserve">La campaña </w:t>
      </w:r>
      <w:r w:rsidR="00C90CF0">
        <w:rPr>
          <w:lang w:val="es-ES_tradnl"/>
        </w:rPr>
        <w:t>“</w:t>
      </w:r>
      <w:r w:rsidR="0038237D" w:rsidRPr="00EA0AB9">
        <w:rPr>
          <w:lang w:val="es-ES_tradnl"/>
        </w:rPr>
        <w:t>Saca la tarjeta roja a la violencia contra la mujer</w:t>
      </w:r>
      <w:r w:rsidR="00C90CF0">
        <w:rPr>
          <w:lang w:val="es-ES_tradnl"/>
        </w:rPr>
        <w:t>”</w:t>
      </w:r>
      <w:r w:rsidR="0038237D" w:rsidRPr="00EA0AB9">
        <w:rPr>
          <w:lang w:val="es-ES_tradnl"/>
        </w:rPr>
        <w:t xml:space="preserve"> estuvo en marcha desde junio de 2011 hasta marzo de 2013. La llevó a cabo el Ministerio de Igualdad entre los Géneros, en cooperación con la Asociación Nacional de Fútbol y los jugadores masculinos del equipo nacional de fútbol y el equipo nacional de balonmano. La campaña cuenta con el apoyo de los clubes de fútbol locales. La campaña dispone de un sitio web en Facebook, donde la gente puede apoyar el mensaje de que la violencia contra la mujer es inaceptable. La campaña de 2011 alcanzó en torno a 850 </w:t>
      </w:r>
      <w:r w:rsidR="00C90CF0">
        <w:rPr>
          <w:lang w:val="es-ES_tradnl"/>
        </w:rPr>
        <w:t>“</w:t>
      </w:r>
      <w:r w:rsidR="0038237D" w:rsidRPr="00EA0AB9">
        <w:rPr>
          <w:lang w:val="es-ES_tradnl"/>
        </w:rPr>
        <w:t>Me gusta</w:t>
      </w:r>
      <w:r w:rsidR="00C90CF0">
        <w:rPr>
          <w:lang w:val="es-ES_tradnl"/>
        </w:rPr>
        <w:t>”</w:t>
      </w:r>
      <w:r w:rsidR="0038237D" w:rsidRPr="00EA0AB9">
        <w:rPr>
          <w:lang w:val="es-ES_tradnl"/>
        </w:rPr>
        <w:t xml:space="preserve"> en Facebook y la campaña de 2012 ha recibido, hasta la fecha, 5.800 </w:t>
      </w:r>
      <w:r w:rsidR="00C90CF0">
        <w:rPr>
          <w:lang w:val="es-ES_tradnl"/>
        </w:rPr>
        <w:t>“</w:t>
      </w:r>
      <w:r w:rsidR="0038237D" w:rsidRPr="00EA0AB9">
        <w:rPr>
          <w:lang w:val="es-ES_tradnl"/>
        </w:rPr>
        <w:t>Me gusta</w:t>
      </w:r>
      <w:r w:rsidR="00C90CF0">
        <w:rPr>
          <w:lang w:val="es-ES_tradnl"/>
        </w:rPr>
        <w:t>”</w:t>
      </w:r>
      <w:r w:rsidR="0038237D" w:rsidRPr="00EA0AB9">
        <w:rPr>
          <w:lang w:val="es-ES_tradnl"/>
        </w:rPr>
        <w:t xml:space="preserve">. </w:t>
      </w:r>
    </w:p>
    <w:p w:rsidR="0038237D" w:rsidRPr="00EA0AB9" w:rsidRDefault="002F1D0F" w:rsidP="002F1D0F">
      <w:pPr>
        <w:pStyle w:val="SingleTxt"/>
        <w:tabs>
          <w:tab w:val="right" w:pos="1685"/>
        </w:tabs>
        <w:suppressAutoHyphens/>
        <w:ind w:left="1742" w:hanging="475"/>
        <w:rPr>
          <w:lang w:val="es-ES_tradnl"/>
        </w:rPr>
      </w:pPr>
      <w:r>
        <w:rPr>
          <w:lang w:val="es-ES_tradnl"/>
        </w:rPr>
        <w:tab/>
        <w:t>•</w:t>
      </w:r>
      <w:r>
        <w:rPr>
          <w:lang w:val="es-ES_tradnl"/>
        </w:rPr>
        <w:tab/>
      </w:r>
      <w:r w:rsidR="0038237D" w:rsidRPr="00EA0AB9">
        <w:rPr>
          <w:lang w:val="es-ES_tradnl"/>
        </w:rPr>
        <w:t xml:space="preserve">Se han asignado fondos a un chat y una </w:t>
      </w:r>
      <w:r w:rsidR="0038237D" w:rsidRPr="002F1D0F">
        <w:rPr>
          <w:lang w:val="es-ES_tradnl"/>
        </w:rPr>
        <w:t>línea telefónica de asistencia</w:t>
      </w:r>
      <w:r w:rsidR="0038237D" w:rsidRPr="00EA0AB9">
        <w:rPr>
          <w:lang w:val="es-ES_tradnl"/>
        </w:rPr>
        <w:t xml:space="preserve"> para los jóvenes expuestos a la violencia por parte de sus novios o novias. En este contexto, los voluntarios que atienden la línea telefónica de asistencia han recibido formación. Una evaluación indica que las niñas son más proclives que los niños a utilizar la línea telefónica de asistencia y que jóvenes de incluso 13 años son víctimas de violencia en sus relaciones de pareja. </w:t>
      </w:r>
    </w:p>
    <w:p w:rsidR="0038237D" w:rsidRPr="00EA0AB9" w:rsidRDefault="00F641F3" w:rsidP="002F1D0F">
      <w:pPr>
        <w:pStyle w:val="SingleTxt"/>
        <w:tabs>
          <w:tab w:val="right" w:pos="1685"/>
        </w:tabs>
        <w:suppressAutoHyphens/>
        <w:ind w:left="1742" w:hanging="475"/>
        <w:rPr>
          <w:lang w:val="es-ES_tradnl"/>
        </w:rPr>
      </w:pPr>
      <w:bookmarkStart w:id="183" w:name="_Toc348513761"/>
      <w:bookmarkStart w:id="184" w:name="_Toc360096872"/>
      <w:r>
        <w:rPr>
          <w:lang w:val="es-ES_tradnl"/>
        </w:rPr>
        <w:tab/>
        <w:t>•</w:t>
      </w:r>
      <w:r>
        <w:rPr>
          <w:lang w:val="es-ES_tradnl"/>
        </w:rPr>
        <w:tab/>
      </w:r>
      <w:r w:rsidR="00C57BDB" w:rsidRPr="00EA0AB9">
        <w:rPr>
          <w:lang w:val="es-ES_tradnl"/>
        </w:rPr>
        <w:t xml:space="preserve">Se han asignado fondos a un chat y una </w:t>
      </w:r>
      <w:r w:rsidR="00C57BDB" w:rsidRPr="002F1D0F">
        <w:rPr>
          <w:lang w:val="es-ES_tradnl"/>
        </w:rPr>
        <w:t>línea telefónica de asistencia</w:t>
      </w:r>
      <w:r w:rsidR="00C57BDB" w:rsidRPr="00EA0AB9">
        <w:rPr>
          <w:lang w:val="es-ES_tradnl"/>
        </w:rPr>
        <w:t xml:space="preserve"> para los </w:t>
      </w:r>
      <w:r w:rsidR="0038237D" w:rsidRPr="00EA0AB9">
        <w:rPr>
          <w:lang w:val="es-ES_tradnl"/>
        </w:rPr>
        <w:t>La Organización Nacional de Refugios para Mujeres en Dinamarca (LOKK) ha desarrollado una aplicación para smartphones sobre la violencia en las relaciones de pareja dirigida a niñas y niños de entre 13 y 24 años, financiada con fondos del Ministerio de Igualdad entre los Géneros. El objetivo de la aplicación es informar sobre la violencia en parejas adolescentes y prevenirla. La aplicación ha tenido un éxito enorme. En los tres primeros meses del proyecto, la aplicación tuvo 4.644 descargas (tres veces más de lo previsto para un año entero) y hubo más de 4.000 clics sobre los anuncios contra la violencia en parejas adolescentes en los sitios web para jóvenes. Por último, los cortometrajes colgados en YouTube sobre la violencia en parejas adolescentes fueron vistos 34.534 veces (el objetivo original era 800 veces).</w:t>
      </w:r>
    </w:p>
    <w:p w:rsidR="002F1D0F" w:rsidRPr="002F1D0F" w:rsidRDefault="002F1D0F" w:rsidP="002F1D0F">
      <w:pPr>
        <w:pStyle w:val="SingleTxt"/>
        <w:suppressAutoHyphens/>
        <w:spacing w:after="0" w:line="120" w:lineRule="exact"/>
        <w:rPr>
          <w:sz w:val="10"/>
          <w:lang w:val="es-ES_tradnl"/>
        </w:rPr>
      </w:pPr>
      <w:bookmarkStart w:id="185" w:name="_Toc348513762"/>
      <w:bookmarkStart w:id="186" w:name="_Toc349720636"/>
      <w:bookmarkStart w:id="187" w:name="_Toc360096873"/>
      <w:bookmarkEnd w:id="183"/>
      <w:bookmarkEnd w:id="184"/>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Filtro policial contra la pornografía infantil</w:t>
      </w:r>
    </w:p>
    <w:bookmarkEnd w:id="185"/>
    <w:bookmarkEnd w:id="186"/>
    <w:bookmarkEnd w:id="187"/>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Los proveedores de acceso a Internet en Dinamarca, Save the Children y la Policía Nacional han cooperado de forma muy positiva en la puesta en marcha del denominado </w:t>
      </w:r>
      <w:r w:rsidR="00C90CF0">
        <w:rPr>
          <w:lang w:val="es-ES_tradnl"/>
        </w:rPr>
        <w:t>“</w:t>
      </w:r>
      <w:r w:rsidR="0038237D" w:rsidRPr="00EA0AB9">
        <w:rPr>
          <w:lang w:val="es-ES_tradnl"/>
        </w:rPr>
        <w:t>Filtro contra la distribución de imágenes de abusos sexuales a niños</w:t>
      </w:r>
      <w:r w:rsidR="00C90CF0">
        <w:rPr>
          <w:lang w:val="es-ES_tradnl"/>
        </w:rPr>
        <w:t>”</w:t>
      </w:r>
      <w:r w:rsidR="0038237D" w:rsidRPr="00EA0AB9">
        <w:rPr>
          <w:lang w:val="es-ES_tradnl"/>
        </w:rPr>
        <w:t xml:space="preserve"> desde 2004. Hoy en día, los proveedores de acceso a Internet daneses bloquean el acceso a aproximadamente 3.200 sitios web ilegales.</w:t>
      </w:r>
      <w:r w:rsidR="0038237D">
        <w:rPr>
          <w:lang w:val="es-ES_tradnl"/>
        </w:rPr>
        <w:t xml:space="preserve"> </w:t>
      </w:r>
      <w:r w:rsidR="0038237D" w:rsidRPr="00EA0AB9">
        <w:rPr>
          <w:lang w:val="es-ES_tradnl"/>
        </w:rPr>
        <w:t xml:space="preserve">El filtro permite bloquear sitios web con contenido ilegal que no se han creado en Dinamarca. La policía danesa intercambia periódicamente información con otros organismos encargados de hacer cumplir la ley de todo el mundo en relación con los sitios web ilegales y también contribuye a la lista de INTERPOL de los </w:t>
      </w:r>
      <w:r w:rsidR="00C90CF0">
        <w:rPr>
          <w:lang w:val="es-ES_tradnl"/>
        </w:rPr>
        <w:t>“</w:t>
      </w:r>
      <w:r w:rsidR="0038237D" w:rsidRPr="00EA0AB9">
        <w:rPr>
          <w:lang w:val="es-ES_tradnl"/>
        </w:rPr>
        <w:t>Peores dominios</w:t>
      </w:r>
      <w:r w:rsidR="00C90CF0">
        <w:rPr>
          <w:lang w:val="es-ES_tradnl"/>
        </w:rPr>
        <w:t>”</w:t>
      </w:r>
      <w:r w:rsidR="0038237D" w:rsidRPr="00EA0AB9">
        <w:rPr>
          <w:lang w:val="es-ES_tradnl"/>
        </w:rPr>
        <w:t>.</w:t>
      </w:r>
    </w:p>
    <w:p w:rsidR="00F641F3" w:rsidRPr="00F641F3" w:rsidRDefault="00F641F3" w:rsidP="00F641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2074" w:hanging="1267"/>
        <w:rPr>
          <w:sz w:val="10"/>
        </w:rPr>
      </w:pPr>
      <w:bookmarkStart w:id="188" w:name="_Toc348513763"/>
      <w:bookmarkStart w:id="189" w:name="_Toc349720637"/>
      <w:bookmarkStart w:id="190" w:name="_Toc360096874"/>
    </w:p>
    <w:p w:rsidR="00F641F3" w:rsidRPr="00F641F3" w:rsidRDefault="00F641F3" w:rsidP="00F641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2074" w:hanging="1267"/>
        <w:rPr>
          <w:sz w:val="10"/>
        </w:rPr>
      </w:pPr>
    </w:p>
    <w:p w:rsidR="0038237D" w:rsidRPr="000739A7" w:rsidRDefault="0038237D" w:rsidP="009412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74" w:hanging="1267"/>
      </w:pPr>
      <w:r w:rsidRPr="000739A7">
        <w:tab/>
      </w:r>
      <w:r w:rsidRPr="000739A7">
        <w:tab/>
        <w:t>Artículo 13: La igualdad entre los géneros en otras esferas de la vida financiera y social</w:t>
      </w:r>
    </w:p>
    <w:bookmarkEnd w:id="188"/>
    <w:bookmarkEnd w:id="189"/>
    <w:bookmarkEnd w:id="190"/>
    <w:p w:rsidR="002F1D0F" w:rsidRPr="002F1D0F" w:rsidRDefault="002F1D0F" w:rsidP="002F1D0F">
      <w:pPr>
        <w:pStyle w:val="SingleTxt"/>
        <w:suppressAutoHyphens/>
        <w:spacing w:after="0" w:line="120" w:lineRule="exact"/>
        <w:rPr>
          <w:sz w:val="10"/>
          <w:lang w:val="es-ES_tradnl"/>
        </w:rPr>
      </w:pPr>
    </w:p>
    <w:p w:rsidR="002F1D0F" w:rsidRPr="002F1D0F" w:rsidRDefault="002F1D0F" w:rsidP="002F1D0F">
      <w:pPr>
        <w:pStyle w:val="SingleTxt"/>
        <w:suppressAutoHyphens/>
        <w:spacing w:after="0" w:line="120" w:lineRule="exact"/>
        <w:rPr>
          <w:sz w:val="10"/>
          <w:lang w:val="es-ES_tradnl"/>
        </w:rPr>
      </w:pPr>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El derecho a prestaciones familiares</w:t>
      </w:r>
    </w:p>
    <w:p w:rsidR="002F1D0F" w:rsidRPr="002F1D0F" w:rsidRDefault="002F1D0F" w:rsidP="002F1D0F">
      <w:pPr>
        <w:pStyle w:val="SingleTxt"/>
        <w:suppressAutoHyphens/>
        <w:spacing w:after="0" w:line="120" w:lineRule="exact"/>
        <w:rPr>
          <w:sz w:val="10"/>
          <w:lang w:val="es-ES_tradnl"/>
        </w:rPr>
      </w:pPr>
      <w:bookmarkStart w:id="191" w:name="_Toc349720638"/>
      <w:bookmarkStart w:id="192" w:name="_Toc360096875"/>
      <w:bookmarkStart w:id="193" w:name="_Toc348513764"/>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Como se menciona en el séptimo informe periódico de Dinamarca, la legislación danesa no contiene ninguna definición oficial de la política familiar, pero la expresión se utiliza habitualmente al referirse a las medidas adoptadas para ayudar a las familias con hijos. La actual política familiar de Dinamarca abarca una esfera mucho más amplia que en el pasado y, por lo tanto, no solo se ocupa de los problemas de garantía de los ingresos sino que interviene cada vez más en la prevención y rehabilitación. </w:t>
      </w:r>
    </w:p>
    <w:bookmarkEnd w:id="191"/>
    <w:bookmarkEnd w:id="192"/>
    <w:bookmarkEnd w:id="193"/>
    <w:p w:rsidR="002F1D0F" w:rsidRPr="002F1D0F" w:rsidRDefault="002F1D0F" w:rsidP="002F1D0F">
      <w:pPr>
        <w:pStyle w:val="SingleTxt"/>
        <w:suppressAutoHyphens/>
        <w:spacing w:after="0" w:line="120" w:lineRule="exact"/>
        <w:rPr>
          <w:sz w:val="10"/>
          <w:lang w:val="es-ES_tradnl"/>
        </w:rPr>
      </w:pPr>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Asignación familiar</w:t>
      </w:r>
    </w:p>
    <w:p w:rsidR="002F1D0F" w:rsidRPr="002F1D0F" w:rsidRDefault="002F1D0F" w:rsidP="002F1D0F">
      <w:pPr>
        <w:pStyle w:val="SingleTxt"/>
        <w:suppressAutoHyphens/>
        <w:spacing w:after="0" w:line="120" w:lineRule="exact"/>
        <w:rPr>
          <w:sz w:val="10"/>
          <w:lang w:val="es-ES_tradnl"/>
        </w:rPr>
      </w:pPr>
    </w:p>
    <w:p w:rsidR="0038237D" w:rsidRPr="00EA0AB9" w:rsidRDefault="0038237D" w:rsidP="002F1D0F">
      <w:pPr>
        <w:pStyle w:val="SingleTxt"/>
        <w:suppressAutoHyphens/>
        <w:rPr>
          <w:lang w:val="es-ES_tradnl"/>
        </w:rPr>
      </w:pPr>
      <w:r w:rsidRPr="00EA0AB9">
        <w:rPr>
          <w:lang w:val="es-ES_tradnl"/>
        </w:rPr>
        <w:t>La asignación familiar comprende la asistencia financiera libre de impuestos a personas con hijos de menos de 18 años que deben vivir en Dinamarca. Se aplican normas especiales a los Estados miembros de la UE y a algunos otros países. El niño no debe tampoco recibir fondos públicos, por ejemplo, si las autoridades públicas lo han colocado en acogimiento. Al menos una de las personas que tienen custodia del niño debe estar totalmente sometida al pago de impuestos en Dinamarca y el beneficiario debe haber residido o trabajado en Dinamarca durante al menos dos años en un período de referencia de diez años anterior a cada plazo de la prestación para poder recibir la prestación completa (un período más corto da derecho a una asignación familiar reducida).</w:t>
      </w:r>
    </w:p>
    <w:p w:rsidR="002F1D0F" w:rsidRPr="002F1D0F" w:rsidRDefault="002F1D0F" w:rsidP="002F1D0F">
      <w:pPr>
        <w:pStyle w:val="SingleTxt"/>
        <w:suppressAutoHyphens/>
        <w:spacing w:after="0" w:line="120" w:lineRule="exact"/>
        <w:rPr>
          <w:sz w:val="10"/>
          <w:lang w:val="es-ES_tradnl"/>
        </w:rPr>
      </w:pPr>
      <w:bookmarkStart w:id="194" w:name="_Toc199929102"/>
      <w:bookmarkStart w:id="195" w:name="_Toc348513765"/>
      <w:bookmarkStart w:id="196" w:name="_Toc360096876"/>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Prestación por hijos a cargo</w:t>
      </w:r>
    </w:p>
    <w:bookmarkEnd w:id="194"/>
    <w:bookmarkEnd w:id="195"/>
    <w:bookmarkEnd w:id="196"/>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Consúltese el séptimo informe de Dinamarca para obtener una explicación detallada sobre la prestación por hijos a cargo en Dinamarca. </w:t>
      </w:r>
    </w:p>
    <w:p w:rsidR="0038237D" w:rsidRPr="00EA0AB9" w:rsidRDefault="002F1D0F" w:rsidP="002F1D0F">
      <w:pPr>
        <w:pStyle w:val="SingleTxt"/>
        <w:suppressAutoHyphens/>
        <w:rPr>
          <w:lang w:val="es-ES_tradnl"/>
        </w:rPr>
      </w:pPr>
      <w:r>
        <w:rPr>
          <w:lang w:val="es-ES_tradnl"/>
        </w:rPr>
        <w:tab/>
      </w:r>
      <w:r w:rsidR="0038237D" w:rsidRPr="00EA0AB9">
        <w:rPr>
          <w:lang w:val="es-ES_tradnl"/>
        </w:rPr>
        <w:t>Al igual que en el caso de la asignación familiar (véase más arriba), el beneficiario debe haber residido o trabajado en Dinamarca durante al menos dos años en un período de referencia de diez años anterior a cada plazo de la prestación para poder recibir la prestación completa (un período más corto da derecho a una asignación reducida).</w:t>
      </w:r>
    </w:p>
    <w:p w:rsidR="002F1D0F" w:rsidRPr="002F1D0F" w:rsidRDefault="002F1D0F" w:rsidP="002F1D0F">
      <w:pPr>
        <w:pStyle w:val="SingleTxt"/>
        <w:suppressAutoHyphens/>
        <w:spacing w:after="0" w:line="120" w:lineRule="exact"/>
        <w:rPr>
          <w:sz w:val="10"/>
        </w:rPr>
      </w:pPr>
    </w:p>
    <w:p w:rsidR="002F1D0F" w:rsidRPr="002F1D0F" w:rsidRDefault="002F1D0F" w:rsidP="002F1D0F">
      <w:pPr>
        <w:pStyle w:val="SingleTxt"/>
        <w:suppressAutoHyphens/>
        <w:spacing w:after="0" w:line="120" w:lineRule="exact"/>
        <w:rPr>
          <w:sz w:val="10"/>
        </w:rPr>
      </w:pPr>
    </w:p>
    <w:p w:rsidR="0038237D" w:rsidRPr="0038237D" w:rsidRDefault="0038237D" w:rsidP="002F1D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237D">
        <w:tab/>
      </w:r>
      <w:r w:rsidRPr="0038237D">
        <w:tab/>
        <w:t>Artículo 14: La mujer rural</w:t>
      </w:r>
    </w:p>
    <w:p w:rsidR="002F1D0F" w:rsidRPr="002F1D0F" w:rsidRDefault="002F1D0F" w:rsidP="002F1D0F">
      <w:pPr>
        <w:pStyle w:val="SingleTxt"/>
        <w:suppressAutoHyphens/>
        <w:spacing w:after="0" w:line="120" w:lineRule="exact"/>
        <w:rPr>
          <w:sz w:val="10"/>
          <w:lang w:val="es-ES_tradnl"/>
        </w:rPr>
      </w:pPr>
      <w:bookmarkStart w:id="197" w:name="_Toc199929103"/>
      <w:bookmarkStart w:id="198" w:name="_Toc348513766"/>
      <w:bookmarkStart w:id="199" w:name="_Toc360096877"/>
    </w:p>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La mayoría de las mujeres que residen en las zonas rurales de Dinamarca tienen empleo en otros sectores distintos del agrícola. Su forma de vida no es demasiado diferente de la que puedan tener las mujeres de las zonas urbanas. En general, las mujeres que residen en zonas rurales no pueden considerarse ni como un grupo vulnerable ni como un grupo con un nivel elevado de exposición a la violencia y la discriminación.</w:t>
      </w:r>
    </w:p>
    <w:p w:rsidR="0038237D" w:rsidRPr="00EA0AB9" w:rsidRDefault="002F1D0F" w:rsidP="002F1D0F">
      <w:pPr>
        <w:pStyle w:val="SingleTxt"/>
        <w:suppressAutoHyphens/>
        <w:rPr>
          <w:lang w:val="es-ES_tradnl"/>
        </w:rPr>
      </w:pPr>
      <w:bookmarkStart w:id="200" w:name="_Toc199929104"/>
      <w:bookmarkStart w:id="201" w:name="_Toc348513767"/>
      <w:bookmarkStart w:id="202" w:name="_Toc360096878"/>
      <w:bookmarkEnd w:id="197"/>
      <w:bookmarkEnd w:id="198"/>
      <w:bookmarkEnd w:id="199"/>
      <w:r>
        <w:rPr>
          <w:lang w:val="es-ES_tradnl"/>
        </w:rPr>
        <w:tab/>
      </w:r>
      <w:r w:rsidR="0038237D" w:rsidRPr="00EA0AB9">
        <w:rPr>
          <w:lang w:val="es-ES_tradnl"/>
        </w:rPr>
        <w:t xml:space="preserve">Los niveles de vida de las familias de las zonas rurales danesas son, en general, semejantes a los de las zonas urbanas. Las mujeres de las zonas rurales tienen exactamente los mismos derechos que todos los demás en Dinamarca: libre admisión en las escuelas y educación para todos, acceso a asistencia médica gratuita y servicios de asistencia social gratuitos, etc. </w:t>
      </w:r>
    </w:p>
    <w:bookmarkEnd w:id="200"/>
    <w:bookmarkEnd w:id="201"/>
    <w:bookmarkEnd w:id="202"/>
    <w:p w:rsidR="0038237D" w:rsidRPr="00EA0AB9" w:rsidRDefault="002F1D0F" w:rsidP="002F1D0F">
      <w:pPr>
        <w:pStyle w:val="SingleTxt"/>
        <w:suppressAutoHyphens/>
        <w:rPr>
          <w:lang w:val="es-ES_tradnl"/>
        </w:rPr>
      </w:pPr>
      <w:r>
        <w:rPr>
          <w:lang w:val="es-ES_tradnl"/>
        </w:rPr>
        <w:tab/>
      </w:r>
      <w:r w:rsidR="0038237D" w:rsidRPr="00EA0AB9">
        <w:rPr>
          <w:lang w:val="es-ES_tradnl"/>
        </w:rPr>
        <w:t>Así, con respecto a todas las cuestiones mencionadas en los apartados a) a h) del artículo 14, se puede concluir que las mujeres que residen en zonas rurales gozan de los mismos derechos y oportunidades que otros ciudadanos daneses. En consecuencia, no hay ninguna necesidad de aplicar medidas especiales para abolir la discriminación.</w:t>
      </w:r>
    </w:p>
    <w:p w:rsidR="002F1D0F" w:rsidRPr="002F1D0F" w:rsidRDefault="002F1D0F" w:rsidP="002F1D0F">
      <w:pPr>
        <w:pStyle w:val="SingleTxt"/>
        <w:suppressAutoHyphens/>
        <w:spacing w:after="0" w:line="120" w:lineRule="exact"/>
        <w:rPr>
          <w:sz w:val="10"/>
        </w:rPr>
      </w:pPr>
      <w:bookmarkStart w:id="203" w:name="_Toc348513768"/>
      <w:bookmarkStart w:id="204" w:name="_Toc360096879"/>
    </w:p>
    <w:p w:rsidR="002F1D0F" w:rsidRPr="002F1D0F" w:rsidRDefault="002F1D0F" w:rsidP="002F1D0F">
      <w:pPr>
        <w:pStyle w:val="SingleTxt"/>
        <w:suppressAutoHyphens/>
        <w:spacing w:after="0" w:line="120" w:lineRule="exact"/>
        <w:rPr>
          <w:sz w:val="10"/>
        </w:rPr>
      </w:pPr>
    </w:p>
    <w:p w:rsidR="0038237D" w:rsidRPr="0067767D" w:rsidRDefault="00C90CF0" w:rsidP="002F1D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8237D" w:rsidRPr="0067767D">
        <w:tab/>
      </w:r>
      <w:r w:rsidR="0038237D" w:rsidRPr="0067767D">
        <w:tab/>
        <w:t>Capítulo 4: La capacidad jurídica y el matrimonio y la familia</w:t>
      </w:r>
    </w:p>
    <w:bookmarkEnd w:id="203"/>
    <w:bookmarkEnd w:id="204"/>
    <w:p w:rsidR="002F1D0F" w:rsidRPr="002F1D0F" w:rsidRDefault="002F1D0F" w:rsidP="002F1D0F">
      <w:pPr>
        <w:pStyle w:val="SingleTxt"/>
        <w:suppressAutoHyphens/>
        <w:spacing w:after="0" w:line="120" w:lineRule="exact"/>
        <w:rPr>
          <w:sz w:val="10"/>
        </w:rPr>
      </w:pPr>
    </w:p>
    <w:p w:rsidR="002F1D0F" w:rsidRPr="002F1D0F" w:rsidRDefault="002F1D0F" w:rsidP="002F1D0F">
      <w:pPr>
        <w:pStyle w:val="SingleTxt"/>
        <w:suppressAutoHyphens/>
        <w:spacing w:after="0" w:line="120" w:lineRule="exact"/>
        <w:rPr>
          <w:sz w:val="10"/>
        </w:rPr>
      </w:pPr>
    </w:p>
    <w:p w:rsidR="0038237D" w:rsidRPr="0038237D" w:rsidRDefault="0038237D" w:rsidP="002F1D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237D">
        <w:tab/>
      </w:r>
      <w:r w:rsidRPr="0038237D">
        <w:tab/>
        <w:t>Artículo 15: La capacidad jurídica</w:t>
      </w:r>
    </w:p>
    <w:p w:rsidR="002F1D0F" w:rsidRPr="002F1D0F" w:rsidRDefault="002F1D0F" w:rsidP="002F1D0F">
      <w:pPr>
        <w:pStyle w:val="SingleTxt"/>
        <w:suppressAutoHyphens/>
        <w:spacing w:after="0" w:line="120" w:lineRule="exact"/>
        <w:rPr>
          <w:sz w:val="10"/>
          <w:lang w:val="es-ES_tradnl"/>
        </w:rPr>
      </w:pPr>
      <w:bookmarkStart w:id="205" w:name="_Toc360096880"/>
    </w:p>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Los hombres y las mujeres son iguales ante la ley y gozan de los mismos derechos a la propiedad. Los hombres y mujeres tienen el mismo derecho de acceso al sistema judicial y a recibir igual trato ante los tribunales.</w:t>
      </w:r>
    </w:p>
    <w:bookmarkEnd w:id="205"/>
    <w:p w:rsidR="002F1D0F" w:rsidRPr="002F1D0F" w:rsidRDefault="002F1D0F" w:rsidP="002F1D0F">
      <w:pPr>
        <w:pStyle w:val="SingleTxt"/>
        <w:suppressAutoHyphens/>
        <w:spacing w:after="0" w:line="120" w:lineRule="exact"/>
        <w:rPr>
          <w:sz w:val="10"/>
        </w:rPr>
      </w:pPr>
    </w:p>
    <w:p w:rsidR="002F1D0F" w:rsidRPr="002F1D0F" w:rsidRDefault="002F1D0F" w:rsidP="002F1D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8237D" w:rsidRPr="0038237D" w:rsidRDefault="0038237D" w:rsidP="002F1D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237D">
        <w:tab/>
      </w:r>
      <w:r w:rsidRPr="0038237D">
        <w:tab/>
        <w:t>Artículo 16: El matrimonio y las relaciones familiares</w:t>
      </w:r>
    </w:p>
    <w:p w:rsidR="002F1D0F" w:rsidRPr="002F1D0F" w:rsidRDefault="002F1D0F" w:rsidP="002F1D0F">
      <w:pPr>
        <w:pStyle w:val="SingleTxt"/>
        <w:suppressAutoHyphens/>
        <w:spacing w:after="0" w:line="120" w:lineRule="exact"/>
        <w:rPr>
          <w:sz w:val="10"/>
          <w:lang w:val="es-ES_tradnl"/>
        </w:rPr>
      </w:pPr>
    </w:p>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Desde el séptimo informe periódico al Comité para la Eliminación de la Discriminación contra la Mujer, Dinamarca ha intensificado las iniciativas contra el matrimonio forzoso y otros tipos de violencia relacionada con el honor. Estas iniciativas incluyen la sensibilización y la protección de los derechos de las mujeres pertenecientes a minorías en relación con la igualdad entre los géneros. </w:t>
      </w: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Entre otras cosas, Dinamarca ha puesto en marcha un programa de cuatro años, dirigido a los empleados de primera línea, sobre cómo solucionar los conflictos relacionados con el honor. Otras iniciativas incluyen el establecimiento de i) un refugio para parejas jóvenes que escapan del matrimonio forzoso o de otros tipos de violencia relacionada con el honor, ii) un cuerpo profesional de mediadores, iii) un equipo de jóvenes modelos de conducta procedentes de minorías étnicas para prestar asesoramiento sobre el honor, el matrimonio, etc., iv) proyectos de mentores y una campaña para cambiar las actitudes, y v) una unidad nacional de asesoramiento para los municipios. </w:t>
      </w:r>
    </w:p>
    <w:p w:rsidR="002F1D0F" w:rsidRPr="002F1D0F" w:rsidRDefault="002F1D0F" w:rsidP="002F1D0F">
      <w:pPr>
        <w:pStyle w:val="SingleTxt"/>
        <w:suppressAutoHyphens/>
        <w:spacing w:after="0" w:line="120" w:lineRule="exact"/>
        <w:rPr>
          <w:sz w:val="10"/>
          <w:lang w:val="es-ES_tradnl"/>
        </w:rPr>
      </w:pPr>
    </w:p>
    <w:p w:rsidR="0038237D" w:rsidRPr="00EA0AB9" w:rsidRDefault="0038237D" w:rsidP="002F1D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A0AB9">
        <w:rPr>
          <w:lang w:val="es-ES_tradnl"/>
        </w:rPr>
        <w:t>El control social entre los inmigrantes jóvenes constituye un fenómeno generalizado</w:t>
      </w:r>
      <w:r w:rsidRPr="0067767D">
        <w:rPr>
          <w:rStyle w:val="FootnoteReference"/>
          <w:b w:val="0"/>
          <w:lang w:val="es-ES_tradnl"/>
        </w:rPr>
        <w:footnoteReference w:id="2"/>
      </w:r>
      <w:r w:rsidRPr="00EA0AB9">
        <w:rPr>
          <w:lang w:val="es-ES_tradnl"/>
        </w:rPr>
        <w:t xml:space="preserve"> </w:t>
      </w:r>
    </w:p>
    <w:p w:rsidR="002F1D0F" w:rsidRPr="002F1D0F" w:rsidRDefault="002F1D0F" w:rsidP="002F1D0F">
      <w:pPr>
        <w:pStyle w:val="SingleTxt"/>
        <w:suppressAutoHyphens/>
        <w:spacing w:after="0" w:line="120" w:lineRule="exact"/>
        <w:rPr>
          <w:sz w:val="10"/>
          <w:lang w:val="es-ES_tradnl"/>
        </w:rPr>
      </w:pPr>
    </w:p>
    <w:p w:rsidR="0038237D" w:rsidRPr="00EA0AB9" w:rsidRDefault="002F1D0F" w:rsidP="002F1D0F">
      <w:pPr>
        <w:pStyle w:val="SingleTxt"/>
        <w:suppressAutoHyphens/>
        <w:rPr>
          <w:lang w:val="es-ES_tradnl"/>
        </w:rPr>
      </w:pPr>
      <w:r>
        <w:rPr>
          <w:lang w:val="es-ES_tradnl"/>
        </w:rPr>
        <w:tab/>
      </w:r>
      <w:r w:rsidR="0038237D" w:rsidRPr="00EA0AB9">
        <w:rPr>
          <w:lang w:val="es-ES_tradnl"/>
        </w:rPr>
        <w:t xml:space="preserve">En consecuencia, en julio de 2012, la Ministra de Asuntos Sociales e Integración emprendió una estrategia nacional contra los conflictos relacionados con el honor. La estrategia consta de más de 30 iniciativas y tiene como objetivo asegurar el descenso del número de jóvenes expuestos a conflictos relacionados con el honor y proporcionarles la información necesaria para que comprendan mejor sus derechos fundamentales. Existen siete esferas principales: la cooperación entre los municipios y las ONG, la formación de los profesionales, una iniciativa especial contra los </w:t>
      </w:r>
      <w:r w:rsidR="00C90CF0">
        <w:rPr>
          <w:lang w:val="es-ES_tradnl"/>
        </w:rPr>
        <w:t>“</w:t>
      </w:r>
      <w:r w:rsidR="0038237D" w:rsidRPr="00EA0AB9">
        <w:rPr>
          <w:lang w:val="es-ES_tradnl"/>
        </w:rPr>
        <w:t>viajes de reeducación</w:t>
      </w:r>
      <w:r w:rsidR="00C90CF0">
        <w:rPr>
          <w:lang w:val="es-ES_tradnl"/>
        </w:rPr>
        <w:t>”</w:t>
      </w:r>
      <w:r w:rsidR="0038237D" w:rsidRPr="00EA0AB9">
        <w:rPr>
          <w:lang w:val="es-ES_tradnl"/>
        </w:rPr>
        <w:t>, el apoyo a los jóvenes, las campañas de información y cambio de actitudes y la cooperación internacional</w:t>
      </w:r>
      <w:r w:rsidR="0038237D" w:rsidRPr="0067767D">
        <w:rPr>
          <w:rStyle w:val="FootnoteReference"/>
          <w:lang w:val="es-ES_tradnl"/>
        </w:rPr>
        <w:footnoteReference w:id="3"/>
      </w:r>
      <w:r w:rsidR="0038237D" w:rsidRPr="0067767D">
        <w:rPr>
          <w:lang w:val="es-ES_tradnl"/>
        </w:rPr>
        <w:t>.</w:t>
      </w:r>
      <w:r w:rsidR="0038237D" w:rsidRPr="00EA0AB9">
        <w:rPr>
          <w:lang w:val="es-ES_tradnl"/>
        </w:rPr>
        <w:t xml:space="preserve"> </w:t>
      </w:r>
    </w:p>
    <w:p w:rsidR="0038237D" w:rsidRDefault="002F1D0F" w:rsidP="002F1D0F">
      <w:pPr>
        <w:pStyle w:val="SingleTxt"/>
        <w:suppressAutoHyphens/>
        <w:rPr>
          <w:lang w:val="es-ES_tradnl"/>
        </w:rPr>
      </w:pPr>
      <w:r>
        <w:rPr>
          <w:lang w:val="es-ES_tradnl"/>
        </w:rPr>
        <w:tab/>
      </w:r>
      <w:r w:rsidR="0038237D" w:rsidRPr="00EA0AB9">
        <w:rPr>
          <w:lang w:val="es-ES_tradnl"/>
        </w:rPr>
        <w:t>Un estudio realizado por el Centro Nacional de Investigación Social de Dinamarca en 2011 concluyó que los matrimonios religiosos jurídicamente no vinculantes constituyen un fenómeno generalizado entre algunos grupos minoritarios. A algunas mujeres pertenecientes a minorías les resulta difícil ejercer su derecho legal a abandonar el matrimonio religioso, a pesar de estar basado en un contrato matrimonial jurídicamente no vinculante. En consecuencia, en 2012, el Gobierno danés estableció un plan de acción para evitar el uso de la fuerza y la represión en relación con los matrimonios religiosos jurídicamente no vinculantes. El objetivo consiste en prevenir los matrimonios religiosos forzosos, tanto entre adultos como entre menores, y prestar apoyo a las mujeres a fin de que alcancen la igualdad de derechos para disolver los matrimonios religiosos.</w:t>
      </w:r>
    </w:p>
    <w:p w:rsidR="005F6E6E" w:rsidRPr="00EA0AB9" w:rsidRDefault="005F6E6E" w:rsidP="002F1D0F">
      <w:pPr>
        <w:pStyle w:val="SingleTxt"/>
        <w:suppressAutoHyphens/>
        <w:rPr>
          <w:lang w:val="es-ES_tradnl"/>
        </w:rPr>
      </w:pPr>
      <w:r>
        <w:rPr>
          <w:noProof/>
          <w:w w:val="100"/>
          <w:lang w:val="en-US"/>
        </w:rPr>
        <w:pict>
          <v:line id="_x0000_s1311" style="position:absolute;left:0;text-align:left;z-index:4" from="206.6pt,23.9pt" to="278.6pt,23.9pt"/>
        </w:pict>
      </w:r>
    </w:p>
    <w:sectPr w:rsidR="005F6E6E" w:rsidRPr="00EA0AB9" w:rsidSect="002927B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21T16:24:00Z" w:initials="Start">
    <w:p w:rsidR="00DD3299" w:rsidRPr="0038237D" w:rsidRDefault="00DD3299">
      <w:pPr>
        <w:pStyle w:val="CommentText"/>
        <w:rPr>
          <w:lang w:val="en-US"/>
        </w:rPr>
      </w:pPr>
      <w:r>
        <w:fldChar w:fldCharType="begin"/>
      </w:r>
      <w:r w:rsidRPr="0038237D">
        <w:rPr>
          <w:rStyle w:val="CommentReference"/>
          <w:lang w:val="en-US"/>
        </w:rPr>
        <w:instrText xml:space="preserve"> </w:instrText>
      </w:r>
      <w:r w:rsidRPr="0038237D">
        <w:rPr>
          <w:lang w:val="en-US"/>
        </w:rPr>
        <w:instrText>PAGE \# "'Page: '#'</w:instrText>
      </w:r>
      <w:r w:rsidRPr="0038237D">
        <w:rPr>
          <w:lang w:val="en-US"/>
        </w:rPr>
        <w:br/>
        <w:instrText>'"</w:instrText>
      </w:r>
      <w:r w:rsidRPr="0038237D">
        <w:rPr>
          <w:rStyle w:val="CommentReference"/>
          <w:lang w:val="en-US"/>
        </w:rPr>
        <w:instrText xml:space="preserve"> </w:instrText>
      </w:r>
      <w:r>
        <w:fldChar w:fldCharType="end"/>
      </w:r>
      <w:r>
        <w:rPr>
          <w:rStyle w:val="CommentReference"/>
        </w:rPr>
        <w:annotationRef/>
      </w:r>
      <w:r w:rsidRPr="0038237D">
        <w:rPr>
          <w:lang w:val="en-US"/>
        </w:rPr>
        <w:t>&lt;&lt;ODS JOB NO&gt;&gt;N1362163S&lt;&lt;ODS JOB NO&gt;&gt;</w:t>
      </w:r>
    </w:p>
    <w:p w:rsidR="00DD3299" w:rsidRDefault="00DD3299">
      <w:pPr>
        <w:pStyle w:val="CommentText"/>
      </w:pPr>
      <w:r>
        <w:t>&lt;&lt;ODS DOC SYMBOL1&gt;&gt;CEDAW/C/DNK/8&lt;&lt;ODS DOC SYMBOL1&gt;&gt;</w:t>
      </w:r>
    </w:p>
    <w:p w:rsidR="00DD3299" w:rsidRDefault="00DD329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3E" w:rsidRDefault="0054253E">
      <w:r>
        <w:separator/>
      </w:r>
    </w:p>
  </w:endnote>
  <w:endnote w:type="continuationSeparator" w:id="0">
    <w:p w:rsidR="0054253E" w:rsidRDefault="00542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D3299" w:rsidTr="00F846E4">
      <w:tblPrEx>
        <w:tblCellMar>
          <w:top w:w="0" w:type="dxa"/>
          <w:bottom w:w="0" w:type="dxa"/>
        </w:tblCellMar>
      </w:tblPrEx>
      <w:tc>
        <w:tcPr>
          <w:tcW w:w="5033" w:type="dxa"/>
          <w:shd w:val="clear" w:color="auto" w:fill="auto"/>
        </w:tcPr>
        <w:p w:rsidR="00DD3299" w:rsidRPr="00F846E4" w:rsidRDefault="00DD3299" w:rsidP="00F846E4">
          <w:pPr>
            <w:pStyle w:val="Footer"/>
            <w:jc w:val="right"/>
            <w:rPr>
              <w:b w:val="0"/>
              <w:w w:val="103"/>
              <w:sz w:val="14"/>
            </w:rPr>
          </w:pPr>
          <w:fldSimple w:instr=" DOCVARIABLE &quot;FooterJN&quot; \* MERGEFORMAT ">
            <w:r>
              <w:rPr>
                <w:b w:val="0"/>
                <w:w w:val="103"/>
                <w:sz w:val="14"/>
              </w:rPr>
              <w:t>13-62163</w:t>
            </w:r>
          </w:fldSimple>
        </w:p>
      </w:tc>
      <w:tc>
        <w:tcPr>
          <w:tcW w:w="5033" w:type="dxa"/>
          <w:shd w:val="clear" w:color="auto" w:fill="auto"/>
        </w:tcPr>
        <w:p w:rsidR="00DD3299" w:rsidRPr="00F846E4" w:rsidRDefault="00DD3299" w:rsidP="00F846E4">
          <w:pPr>
            <w:pStyle w:val="Footer"/>
            <w:rPr>
              <w:w w:val="103"/>
            </w:rPr>
          </w:pPr>
          <w:r>
            <w:rPr>
              <w:w w:val="103"/>
            </w:rPr>
            <w:fldChar w:fldCharType="begin"/>
          </w:r>
          <w:r>
            <w:rPr>
              <w:w w:val="103"/>
            </w:rPr>
            <w:instrText xml:space="preserve"> PAGE  \* Arabic  \* MERGEFORMAT </w:instrText>
          </w:r>
          <w:r>
            <w:rPr>
              <w:w w:val="103"/>
            </w:rPr>
            <w:fldChar w:fldCharType="separate"/>
          </w:r>
          <w:r w:rsidR="0045473C">
            <w:rPr>
              <w:w w:val="103"/>
            </w:rPr>
            <w:t>38</w:t>
          </w:r>
          <w:r>
            <w:rPr>
              <w:w w:val="103"/>
            </w:rPr>
            <w:fldChar w:fldCharType="end"/>
          </w:r>
          <w:r>
            <w:rPr>
              <w:w w:val="103"/>
            </w:rPr>
            <w:t>/</w:t>
          </w:r>
          <w:fldSimple w:instr=" NUMPAGES  \* Arabic  \* MERGEFORMAT ">
            <w:r w:rsidR="0045473C">
              <w:rPr>
                <w:w w:val="103"/>
              </w:rPr>
              <w:t>42</w:t>
            </w:r>
          </w:fldSimple>
        </w:p>
      </w:tc>
    </w:tr>
  </w:tbl>
  <w:p w:rsidR="00DD3299" w:rsidRPr="00F846E4" w:rsidRDefault="00DD3299" w:rsidP="00F846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D3299" w:rsidTr="00F846E4">
      <w:tblPrEx>
        <w:tblCellMar>
          <w:top w:w="0" w:type="dxa"/>
          <w:bottom w:w="0" w:type="dxa"/>
        </w:tblCellMar>
      </w:tblPrEx>
      <w:tc>
        <w:tcPr>
          <w:tcW w:w="5033" w:type="dxa"/>
          <w:shd w:val="clear" w:color="auto" w:fill="auto"/>
        </w:tcPr>
        <w:p w:rsidR="00DD3299" w:rsidRPr="00F846E4" w:rsidRDefault="00DD3299" w:rsidP="00F846E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5473C">
            <w:rPr>
              <w:w w:val="103"/>
            </w:rPr>
            <w:t>37</w:t>
          </w:r>
          <w:r>
            <w:rPr>
              <w:w w:val="103"/>
            </w:rPr>
            <w:fldChar w:fldCharType="end"/>
          </w:r>
          <w:r>
            <w:rPr>
              <w:w w:val="103"/>
            </w:rPr>
            <w:t>/</w:t>
          </w:r>
          <w:fldSimple w:instr=" NUMPAGES  \* Arabic  \* MERGEFORMAT ">
            <w:r>
              <w:rPr>
                <w:w w:val="103"/>
              </w:rPr>
              <w:t>42</w:t>
            </w:r>
          </w:fldSimple>
        </w:p>
      </w:tc>
      <w:tc>
        <w:tcPr>
          <w:tcW w:w="5033" w:type="dxa"/>
          <w:shd w:val="clear" w:color="auto" w:fill="auto"/>
        </w:tcPr>
        <w:p w:rsidR="00DD3299" w:rsidRPr="00F846E4" w:rsidRDefault="00DD3299" w:rsidP="00F846E4">
          <w:pPr>
            <w:pStyle w:val="Footer"/>
            <w:rPr>
              <w:b w:val="0"/>
              <w:w w:val="103"/>
              <w:sz w:val="14"/>
            </w:rPr>
          </w:pPr>
          <w:fldSimple w:instr=" DOCVARIABLE &quot;FooterJN&quot; \* MERGEFORMAT ">
            <w:r>
              <w:rPr>
                <w:b w:val="0"/>
                <w:w w:val="103"/>
                <w:sz w:val="14"/>
              </w:rPr>
              <w:t>13-62163</w:t>
            </w:r>
          </w:fldSimple>
        </w:p>
      </w:tc>
    </w:tr>
  </w:tbl>
  <w:p w:rsidR="00DD3299" w:rsidRPr="00F846E4" w:rsidRDefault="00DD3299" w:rsidP="00F846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99" w:rsidRPr="00F846E4" w:rsidRDefault="00DD3299" w:rsidP="00F846E4">
    <w:pPr>
      <w:pStyle w:val="Footer"/>
      <w:spacing w:line="120" w:lineRule="exact"/>
      <w:rPr>
        <w:b w:val="0"/>
        <w:sz w:val="10"/>
      </w:rPr>
    </w:pPr>
  </w:p>
  <w:tbl>
    <w:tblPr>
      <w:tblW w:w="0" w:type="auto"/>
      <w:tblLayout w:type="fixed"/>
      <w:tblLook w:val="0000"/>
    </w:tblPr>
    <w:tblGrid>
      <w:gridCol w:w="3686"/>
      <w:gridCol w:w="5033"/>
    </w:tblGrid>
    <w:tr w:rsidR="00DD3299" w:rsidTr="00F846E4">
      <w:tblPrEx>
        <w:tblCellMar>
          <w:top w:w="0" w:type="dxa"/>
          <w:bottom w:w="0" w:type="dxa"/>
        </w:tblCellMar>
      </w:tblPrEx>
      <w:tc>
        <w:tcPr>
          <w:tcW w:w="3686" w:type="dxa"/>
        </w:tcPr>
        <w:p w:rsidR="00DD3299" w:rsidRDefault="00DD3299" w:rsidP="00F846E4">
          <w:pPr>
            <w:pStyle w:val="ReleaseDate"/>
          </w:pPr>
          <w:r>
            <w:t xml:space="preserve">13-62163X (S)    </w:t>
          </w:r>
        </w:p>
        <w:p w:rsidR="00DD3299" w:rsidRPr="00F846E4" w:rsidRDefault="00DD3299" w:rsidP="00F846E4">
          <w:pPr>
            <w:pStyle w:val="Footer"/>
            <w:spacing w:before="80" w:line="210" w:lineRule="exact"/>
            <w:rPr>
              <w:rFonts w:ascii="Barcode 3 of 9 by request" w:hAnsi="Barcode 3 of 9 by request"/>
              <w:sz w:val="24"/>
            </w:rPr>
          </w:pPr>
          <w:r>
            <w:rPr>
              <w:rFonts w:ascii="Barcode 3 of 9 by request" w:hAnsi="Barcode 3 of 9 by request"/>
              <w:sz w:val="24"/>
            </w:rPr>
            <w:t>*1362163*</w:t>
          </w:r>
        </w:p>
      </w:tc>
      <w:tc>
        <w:tcPr>
          <w:tcW w:w="5033" w:type="dxa"/>
        </w:tcPr>
        <w:p w:rsidR="00DD3299" w:rsidRDefault="00DD3299" w:rsidP="00F846E4">
          <w:pPr>
            <w:pStyle w:val="Footer"/>
            <w:jc w:val="right"/>
            <w:rPr>
              <w:b w:val="0"/>
              <w:sz w:val="20"/>
            </w:rPr>
          </w:pPr>
          <w:r w:rsidRPr="00F846E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5pt;height:18pt">
                <v:imagedata r:id="rId1" o:title="recycle_Spanish"/>
              </v:shape>
            </w:pict>
          </w:r>
        </w:p>
      </w:tc>
    </w:tr>
  </w:tbl>
  <w:p w:rsidR="00DD3299" w:rsidRPr="00F846E4" w:rsidRDefault="00DD3299" w:rsidP="00F846E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3E" w:rsidRPr="0038237D" w:rsidRDefault="0054253E" w:rsidP="0038237D">
      <w:pPr>
        <w:pStyle w:val="Footer"/>
        <w:spacing w:after="80"/>
        <w:ind w:left="792"/>
        <w:rPr>
          <w:sz w:val="16"/>
        </w:rPr>
      </w:pPr>
      <w:r w:rsidRPr="0038237D">
        <w:rPr>
          <w:sz w:val="16"/>
        </w:rPr>
        <w:t>__________________</w:t>
      </w:r>
    </w:p>
  </w:footnote>
  <w:footnote w:type="continuationSeparator" w:id="0">
    <w:p w:rsidR="0054253E" w:rsidRPr="0038237D" w:rsidRDefault="0054253E" w:rsidP="0038237D">
      <w:pPr>
        <w:pStyle w:val="Footer"/>
        <w:spacing w:after="80"/>
        <w:ind w:left="792"/>
        <w:rPr>
          <w:sz w:val="16"/>
        </w:rPr>
      </w:pPr>
      <w:r w:rsidRPr="0038237D">
        <w:rPr>
          <w:sz w:val="16"/>
        </w:rPr>
        <w:t>__________________</w:t>
      </w:r>
    </w:p>
  </w:footnote>
  <w:footnote w:id="1">
    <w:p w:rsidR="00DD3299" w:rsidRDefault="00DD3299" w:rsidP="0038237D">
      <w:pPr>
        <w:pStyle w:val="FootnoteText"/>
        <w:widowControl w:val="0"/>
        <w:tabs>
          <w:tab w:val="clear" w:pos="418"/>
          <w:tab w:val="right" w:pos="1195"/>
          <w:tab w:val="left" w:pos="1267"/>
          <w:tab w:val="left" w:pos="1742"/>
          <w:tab w:val="left" w:pos="2218"/>
          <w:tab w:val="left" w:pos="2693"/>
        </w:tabs>
        <w:ind w:left="1267" w:right="1267" w:hanging="432"/>
        <w:rPr>
          <w:szCs w:val="24"/>
        </w:rPr>
      </w:pPr>
      <w:r>
        <w:rPr>
          <w:szCs w:val="24"/>
        </w:rPr>
        <w:tab/>
      </w:r>
      <w:r>
        <w:rPr>
          <w:rStyle w:val="FootnoteReference"/>
          <w:szCs w:val="24"/>
        </w:rPr>
        <w:footnoteRef/>
      </w:r>
      <w:r>
        <w:rPr>
          <w:szCs w:val="24"/>
        </w:rPr>
        <w:tab/>
        <w:t xml:space="preserve"> La distribución del género se basa en el 96% de los niños inscritos en la guardería, de los que sí conocemos el género.</w:t>
      </w:r>
    </w:p>
  </w:footnote>
  <w:footnote w:id="2">
    <w:p w:rsidR="00DD3299" w:rsidRDefault="00DD3299" w:rsidP="0038237D">
      <w:pPr>
        <w:pStyle w:val="FootnoteText"/>
        <w:widowControl w:val="0"/>
        <w:tabs>
          <w:tab w:val="clear" w:pos="418"/>
          <w:tab w:val="right" w:pos="1195"/>
          <w:tab w:val="left" w:pos="1267"/>
          <w:tab w:val="left" w:pos="1742"/>
          <w:tab w:val="left" w:pos="2218"/>
          <w:tab w:val="left" w:pos="2693"/>
        </w:tabs>
        <w:ind w:left="1267" w:right="1267" w:hanging="432"/>
        <w:rPr>
          <w:szCs w:val="24"/>
        </w:rPr>
      </w:pPr>
      <w:r>
        <w:rPr>
          <w:szCs w:val="24"/>
        </w:rPr>
        <w:tab/>
      </w:r>
      <w:r>
        <w:rPr>
          <w:rStyle w:val="FootnoteReference"/>
          <w:szCs w:val="24"/>
        </w:rPr>
        <w:footnoteRef/>
      </w:r>
      <w:r>
        <w:rPr>
          <w:szCs w:val="24"/>
        </w:rPr>
        <w:tab/>
        <w:t xml:space="preserve"> Para conocer más detalles, consúltese la encuesta ”Ung i 2011 – Nydanske unges oplevelse af social kontrol, frihed og grænser, Als Research 2011” en la dirección </w:t>
      </w:r>
      <w:hyperlink r:id="rId1" w:history="1">
        <w:r>
          <w:rPr>
            <w:rStyle w:val="Hyperlink"/>
            <w:szCs w:val="24"/>
          </w:rPr>
          <w:t>www.sm.dk/data/Dokumentertilnyheder/2011/Ung%20i%202011_rapport.pdf</w:t>
        </w:r>
      </w:hyperlink>
      <w:r>
        <w:rPr>
          <w:szCs w:val="24"/>
        </w:rPr>
        <w:t>.</w:t>
      </w:r>
    </w:p>
  </w:footnote>
  <w:footnote w:id="3">
    <w:p w:rsidR="00DD3299" w:rsidRDefault="00DD3299" w:rsidP="0038237D">
      <w:pPr>
        <w:pStyle w:val="FootnoteText"/>
        <w:widowControl w:val="0"/>
        <w:tabs>
          <w:tab w:val="clear" w:pos="418"/>
          <w:tab w:val="right" w:pos="1195"/>
          <w:tab w:val="left" w:pos="1267"/>
          <w:tab w:val="left" w:pos="1742"/>
          <w:tab w:val="left" w:pos="2218"/>
          <w:tab w:val="left" w:pos="2693"/>
        </w:tabs>
        <w:ind w:left="1267" w:right="1267" w:hanging="432"/>
        <w:rPr>
          <w:szCs w:val="24"/>
        </w:rPr>
      </w:pPr>
      <w:r>
        <w:rPr>
          <w:szCs w:val="24"/>
        </w:rPr>
        <w:tab/>
      </w:r>
      <w:r>
        <w:rPr>
          <w:rStyle w:val="FootnoteReference"/>
          <w:szCs w:val="24"/>
        </w:rPr>
        <w:footnoteRef/>
      </w:r>
      <w:r>
        <w:rPr>
          <w:szCs w:val="24"/>
        </w:rPr>
        <w:tab/>
        <w:t xml:space="preserve"> Consúltese también </w:t>
      </w:r>
      <w:hyperlink r:id="rId2" w:history="1">
        <w:r>
          <w:rPr>
            <w:rStyle w:val="Hyperlink"/>
            <w:szCs w:val="24"/>
          </w:rPr>
          <w:t>http://www.sm.dk/Publikationer/Sider/VisPublikation.aspx?Publication=704</w:t>
        </w:r>
      </w:hyperlink>
      <w:r>
        <w:rPr>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D3299" w:rsidTr="00F846E4">
      <w:tblPrEx>
        <w:tblCellMar>
          <w:top w:w="0" w:type="dxa"/>
          <w:bottom w:w="0" w:type="dxa"/>
        </w:tblCellMar>
      </w:tblPrEx>
      <w:trPr>
        <w:trHeight w:hRule="exact" w:val="864"/>
      </w:trPr>
      <w:tc>
        <w:tcPr>
          <w:tcW w:w="4838" w:type="dxa"/>
          <w:shd w:val="clear" w:color="auto" w:fill="auto"/>
          <w:vAlign w:val="bottom"/>
        </w:tcPr>
        <w:p w:rsidR="00DD3299" w:rsidRPr="00F846E4" w:rsidRDefault="00DD3299" w:rsidP="00F846E4">
          <w:pPr>
            <w:pStyle w:val="Header"/>
            <w:spacing w:after="80"/>
            <w:rPr>
              <w:b/>
            </w:rPr>
          </w:pPr>
          <w:fldSimple w:instr=" DOCVARIABLE &quot;sss1&quot; \* MERGEFORMAT ">
            <w:r>
              <w:rPr>
                <w:b/>
              </w:rPr>
              <w:t>CEDAW/C/DNK/8</w:t>
            </w:r>
          </w:fldSimple>
        </w:p>
      </w:tc>
      <w:tc>
        <w:tcPr>
          <w:tcW w:w="5033" w:type="dxa"/>
          <w:shd w:val="clear" w:color="auto" w:fill="auto"/>
          <w:vAlign w:val="bottom"/>
        </w:tcPr>
        <w:p w:rsidR="00DD3299" w:rsidRDefault="00DD3299" w:rsidP="00F846E4">
          <w:pPr>
            <w:pStyle w:val="Header"/>
          </w:pPr>
        </w:p>
      </w:tc>
    </w:tr>
  </w:tbl>
  <w:p w:rsidR="00DD3299" w:rsidRPr="00F846E4" w:rsidRDefault="00DD3299" w:rsidP="00F84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D3299" w:rsidTr="00F846E4">
      <w:tblPrEx>
        <w:tblCellMar>
          <w:top w:w="0" w:type="dxa"/>
          <w:bottom w:w="0" w:type="dxa"/>
        </w:tblCellMar>
      </w:tblPrEx>
      <w:trPr>
        <w:trHeight w:hRule="exact" w:val="864"/>
      </w:trPr>
      <w:tc>
        <w:tcPr>
          <w:tcW w:w="4838" w:type="dxa"/>
          <w:shd w:val="clear" w:color="auto" w:fill="auto"/>
          <w:vAlign w:val="bottom"/>
        </w:tcPr>
        <w:p w:rsidR="00DD3299" w:rsidRDefault="00DD3299" w:rsidP="00F846E4">
          <w:pPr>
            <w:pStyle w:val="Header"/>
          </w:pPr>
        </w:p>
      </w:tc>
      <w:tc>
        <w:tcPr>
          <w:tcW w:w="5033" w:type="dxa"/>
          <w:shd w:val="clear" w:color="auto" w:fill="auto"/>
          <w:vAlign w:val="bottom"/>
        </w:tcPr>
        <w:p w:rsidR="00DD3299" w:rsidRPr="00F846E4" w:rsidRDefault="00DD3299" w:rsidP="00F846E4">
          <w:pPr>
            <w:pStyle w:val="Header"/>
            <w:spacing w:after="80"/>
            <w:jc w:val="right"/>
            <w:rPr>
              <w:b/>
            </w:rPr>
          </w:pPr>
          <w:fldSimple w:instr=" DOCVARIABLE &quot;sss1&quot; \* MERGEFORMAT ">
            <w:r>
              <w:rPr>
                <w:b/>
              </w:rPr>
              <w:t>CEDAW/C/DNK/8</w:t>
            </w:r>
          </w:fldSimple>
        </w:p>
      </w:tc>
    </w:tr>
  </w:tbl>
  <w:p w:rsidR="00DD3299" w:rsidRPr="00F846E4" w:rsidRDefault="00DD3299" w:rsidP="00F84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DD3299" w:rsidTr="00F846E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D3299" w:rsidRDefault="00DD3299" w:rsidP="00F846E4">
          <w:pPr>
            <w:pStyle w:val="Header"/>
            <w:spacing w:after="120"/>
          </w:pPr>
        </w:p>
      </w:tc>
      <w:tc>
        <w:tcPr>
          <w:tcW w:w="2059" w:type="dxa"/>
          <w:tcBorders>
            <w:bottom w:val="single" w:sz="4" w:space="0" w:color="auto"/>
          </w:tcBorders>
          <w:shd w:val="clear" w:color="auto" w:fill="auto"/>
          <w:vAlign w:val="bottom"/>
        </w:tcPr>
        <w:p w:rsidR="00DD3299" w:rsidRPr="00F846E4" w:rsidRDefault="00DD3299" w:rsidP="00F846E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D3299" w:rsidRDefault="00DD3299" w:rsidP="00F846E4">
          <w:pPr>
            <w:pStyle w:val="Header"/>
            <w:spacing w:after="120"/>
          </w:pPr>
        </w:p>
      </w:tc>
      <w:tc>
        <w:tcPr>
          <w:tcW w:w="6523" w:type="dxa"/>
          <w:gridSpan w:val="3"/>
          <w:tcBorders>
            <w:bottom w:val="single" w:sz="4" w:space="0" w:color="auto"/>
          </w:tcBorders>
          <w:shd w:val="clear" w:color="auto" w:fill="auto"/>
          <w:vAlign w:val="bottom"/>
        </w:tcPr>
        <w:p w:rsidR="00DD3299" w:rsidRPr="00F846E4" w:rsidRDefault="00DD3299" w:rsidP="00F846E4">
          <w:pPr>
            <w:spacing w:after="80" w:line="240" w:lineRule="auto"/>
            <w:jc w:val="right"/>
            <w:rPr>
              <w:position w:val="-4"/>
            </w:rPr>
          </w:pPr>
          <w:r>
            <w:rPr>
              <w:position w:val="-4"/>
              <w:sz w:val="40"/>
            </w:rPr>
            <w:t>CEDAW</w:t>
          </w:r>
          <w:r>
            <w:rPr>
              <w:position w:val="-4"/>
            </w:rPr>
            <w:t>/C/DNK/8</w:t>
          </w:r>
        </w:p>
      </w:tc>
    </w:tr>
    <w:tr w:rsidR="00DD3299" w:rsidRPr="00F846E4" w:rsidTr="00F846E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D3299" w:rsidRDefault="00DD3299" w:rsidP="00F846E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DD3299" w:rsidRPr="00F846E4" w:rsidRDefault="00DD3299" w:rsidP="00F846E4">
          <w:pPr>
            <w:pStyle w:val="Header"/>
            <w:spacing w:before="109"/>
          </w:pPr>
        </w:p>
      </w:tc>
      <w:tc>
        <w:tcPr>
          <w:tcW w:w="5227" w:type="dxa"/>
          <w:gridSpan w:val="3"/>
          <w:tcBorders>
            <w:top w:val="single" w:sz="4" w:space="0" w:color="auto"/>
            <w:bottom w:val="single" w:sz="12" w:space="0" w:color="auto"/>
          </w:tcBorders>
          <w:shd w:val="clear" w:color="auto" w:fill="auto"/>
        </w:tcPr>
        <w:p w:rsidR="00DD3299" w:rsidRPr="00F846E4" w:rsidRDefault="00DD3299" w:rsidP="00F846E4">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DD3299" w:rsidRPr="0038237D" w:rsidRDefault="00DD3299" w:rsidP="00F846E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D3299" w:rsidRDefault="00DD3299" w:rsidP="00F846E4">
          <w:pPr>
            <w:pStyle w:val="Distribution"/>
            <w:spacing w:before="240"/>
          </w:pPr>
          <w:r>
            <w:t>Distr. general</w:t>
          </w:r>
        </w:p>
        <w:p w:rsidR="00DD3299" w:rsidRDefault="00DD3299" w:rsidP="00F846E4">
          <w:pPr>
            <w:pStyle w:val="Publication"/>
          </w:pPr>
          <w:r>
            <w:t>16 de diciembre de 2013</w:t>
          </w:r>
        </w:p>
        <w:p w:rsidR="00DD3299" w:rsidRDefault="00DD3299" w:rsidP="00F846E4">
          <w:r>
            <w:t>Español</w:t>
          </w:r>
        </w:p>
        <w:p w:rsidR="00DD3299" w:rsidRDefault="00DD3299" w:rsidP="00F846E4">
          <w:pPr>
            <w:pStyle w:val="Original"/>
          </w:pPr>
          <w:r>
            <w:t>Original: inglés</w:t>
          </w:r>
        </w:p>
        <w:p w:rsidR="00DD3299" w:rsidRPr="00F846E4" w:rsidRDefault="00DD3299" w:rsidP="00F846E4"/>
      </w:tc>
    </w:tr>
  </w:tbl>
  <w:p w:rsidR="00DD3299" w:rsidRPr="00F846E4" w:rsidRDefault="00DD3299" w:rsidP="00F846E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434CF2"/>
    <w:multiLevelType w:val="hybridMultilevel"/>
    <w:tmpl w:val="366A0D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0F277619"/>
    <w:multiLevelType w:val="hybridMultilevel"/>
    <w:tmpl w:val="F4260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0872F2A"/>
    <w:multiLevelType w:val="hybridMultilevel"/>
    <w:tmpl w:val="1BECB332"/>
    <w:lvl w:ilvl="0" w:tplc="F2543610">
      <w:start w:val="1"/>
      <w:numFmt w:val="bullet"/>
      <w:lvlText w:val="•"/>
      <w:lvlJc w:val="left"/>
      <w:pPr>
        <w:tabs>
          <w:tab w:val="num" w:pos="720"/>
        </w:tabs>
        <w:ind w:left="720" w:hanging="360"/>
      </w:pPr>
      <w:rPr>
        <w:rFonts w:ascii="Tahoma" w:hAnsi="Tahoma" w:hint="default"/>
      </w:rPr>
    </w:lvl>
    <w:lvl w:ilvl="1" w:tplc="8152CDB2" w:tentative="1">
      <w:start w:val="1"/>
      <w:numFmt w:val="bullet"/>
      <w:lvlText w:val="•"/>
      <w:lvlJc w:val="left"/>
      <w:pPr>
        <w:tabs>
          <w:tab w:val="num" w:pos="1440"/>
        </w:tabs>
        <w:ind w:left="1440" w:hanging="360"/>
      </w:pPr>
      <w:rPr>
        <w:rFonts w:ascii="Tahoma" w:hAnsi="Tahoma" w:hint="default"/>
      </w:rPr>
    </w:lvl>
    <w:lvl w:ilvl="2" w:tplc="A6CA352C" w:tentative="1">
      <w:start w:val="1"/>
      <w:numFmt w:val="bullet"/>
      <w:lvlText w:val="•"/>
      <w:lvlJc w:val="left"/>
      <w:pPr>
        <w:tabs>
          <w:tab w:val="num" w:pos="2160"/>
        </w:tabs>
        <w:ind w:left="2160" w:hanging="360"/>
      </w:pPr>
      <w:rPr>
        <w:rFonts w:ascii="Tahoma" w:hAnsi="Tahoma" w:hint="default"/>
      </w:rPr>
    </w:lvl>
    <w:lvl w:ilvl="3" w:tplc="4558CF1E" w:tentative="1">
      <w:start w:val="1"/>
      <w:numFmt w:val="bullet"/>
      <w:lvlText w:val="•"/>
      <w:lvlJc w:val="left"/>
      <w:pPr>
        <w:tabs>
          <w:tab w:val="num" w:pos="2880"/>
        </w:tabs>
        <w:ind w:left="2880" w:hanging="360"/>
      </w:pPr>
      <w:rPr>
        <w:rFonts w:ascii="Tahoma" w:hAnsi="Tahoma" w:hint="default"/>
      </w:rPr>
    </w:lvl>
    <w:lvl w:ilvl="4" w:tplc="6256DB20" w:tentative="1">
      <w:start w:val="1"/>
      <w:numFmt w:val="bullet"/>
      <w:lvlText w:val="•"/>
      <w:lvlJc w:val="left"/>
      <w:pPr>
        <w:tabs>
          <w:tab w:val="num" w:pos="3600"/>
        </w:tabs>
        <w:ind w:left="3600" w:hanging="360"/>
      </w:pPr>
      <w:rPr>
        <w:rFonts w:ascii="Tahoma" w:hAnsi="Tahoma" w:hint="default"/>
      </w:rPr>
    </w:lvl>
    <w:lvl w:ilvl="5" w:tplc="E5AA4546" w:tentative="1">
      <w:start w:val="1"/>
      <w:numFmt w:val="bullet"/>
      <w:lvlText w:val="•"/>
      <w:lvlJc w:val="left"/>
      <w:pPr>
        <w:tabs>
          <w:tab w:val="num" w:pos="4320"/>
        </w:tabs>
        <w:ind w:left="4320" w:hanging="360"/>
      </w:pPr>
      <w:rPr>
        <w:rFonts w:ascii="Tahoma" w:hAnsi="Tahoma" w:hint="default"/>
      </w:rPr>
    </w:lvl>
    <w:lvl w:ilvl="6" w:tplc="047208FA" w:tentative="1">
      <w:start w:val="1"/>
      <w:numFmt w:val="bullet"/>
      <w:lvlText w:val="•"/>
      <w:lvlJc w:val="left"/>
      <w:pPr>
        <w:tabs>
          <w:tab w:val="num" w:pos="5040"/>
        </w:tabs>
        <w:ind w:left="5040" w:hanging="360"/>
      </w:pPr>
      <w:rPr>
        <w:rFonts w:ascii="Tahoma" w:hAnsi="Tahoma" w:hint="default"/>
      </w:rPr>
    </w:lvl>
    <w:lvl w:ilvl="7" w:tplc="9C061862" w:tentative="1">
      <w:start w:val="1"/>
      <w:numFmt w:val="bullet"/>
      <w:lvlText w:val="•"/>
      <w:lvlJc w:val="left"/>
      <w:pPr>
        <w:tabs>
          <w:tab w:val="num" w:pos="5760"/>
        </w:tabs>
        <w:ind w:left="5760" w:hanging="360"/>
      </w:pPr>
      <w:rPr>
        <w:rFonts w:ascii="Tahoma" w:hAnsi="Tahoma" w:hint="default"/>
      </w:rPr>
    </w:lvl>
    <w:lvl w:ilvl="8" w:tplc="AEA8D20C" w:tentative="1">
      <w:start w:val="1"/>
      <w:numFmt w:val="bullet"/>
      <w:lvlText w:val="•"/>
      <w:lvlJc w:val="left"/>
      <w:pPr>
        <w:tabs>
          <w:tab w:val="num" w:pos="6480"/>
        </w:tabs>
        <w:ind w:left="6480" w:hanging="360"/>
      </w:pPr>
      <w:rPr>
        <w:rFonts w:ascii="Tahoma" w:hAnsi="Tahoma" w:hint="default"/>
      </w:rPr>
    </w:lvl>
  </w:abstractNum>
  <w:abstractNum w:abstractNumId="15">
    <w:nsid w:val="14EB42BF"/>
    <w:multiLevelType w:val="hybridMultilevel"/>
    <w:tmpl w:val="9D009E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8">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9">
    <w:nsid w:val="1A347EA6"/>
    <w:multiLevelType w:val="hybridMultilevel"/>
    <w:tmpl w:val="114E3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1A753D63"/>
    <w:multiLevelType w:val="hybridMultilevel"/>
    <w:tmpl w:val="77C6728A"/>
    <w:lvl w:ilvl="0" w:tplc="AAF882B2">
      <w:start w:val="1"/>
      <w:numFmt w:val="bullet"/>
      <w:lvlText w:val="•"/>
      <w:lvlJc w:val="left"/>
      <w:pPr>
        <w:tabs>
          <w:tab w:val="num" w:pos="720"/>
        </w:tabs>
        <w:ind w:left="720" w:hanging="360"/>
      </w:pPr>
      <w:rPr>
        <w:rFonts w:ascii="Tahoma" w:hAnsi="Tahoma" w:hint="default"/>
      </w:rPr>
    </w:lvl>
    <w:lvl w:ilvl="1" w:tplc="7CDA5D14" w:tentative="1">
      <w:start w:val="1"/>
      <w:numFmt w:val="bullet"/>
      <w:lvlText w:val="•"/>
      <w:lvlJc w:val="left"/>
      <w:pPr>
        <w:tabs>
          <w:tab w:val="num" w:pos="1440"/>
        </w:tabs>
        <w:ind w:left="1440" w:hanging="360"/>
      </w:pPr>
      <w:rPr>
        <w:rFonts w:ascii="Tahoma" w:hAnsi="Tahoma" w:hint="default"/>
      </w:rPr>
    </w:lvl>
    <w:lvl w:ilvl="2" w:tplc="5AF28B14" w:tentative="1">
      <w:start w:val="1"/>
      <w:numFmt w:val="bullet"/>
      <w:lvlText w:val="•"/>
      <w:lvlJc w:val="left"/>
      <w:pPr>
        <w:tabs>
          <w:tab w:val="num" w:pos="2160"/>
        </w:tabs>
        <w:ind w:left="2160" w:hanging="360"/>
      </w:pPr>
      <w:rPr>
        <w:rFonts w:ascii="Tahoma" w:hAnsi="Tahoma" w:hint="default"/>
      </w:rPr>
    </w:lvl>
    <w:lvl w:ilvl="3" w:tplc="18780C38" w:tentative="1">
      <w:start w:val="1"/>
      <w:numFmt w:val="bullet"/>
      <w:lvlText w:val="•"/>
      <w:lvlJc w:val="left"/>
      <w:pPr>
        <w:tabs>
          <w:tab w:val="num" w:pos="2880"/>
        </w:tabs>
        <w:ind w:left="2880" w:hanging="360"/>
      </w:pPr>
      <w:rPr>
        <w:rFonts w:ascii="Tahoma" w:hAnsi="Tahoma" w:hint="default"/>
      </w:rPr>
    </w:lvl>
    <w:lvl w:ilvl="4" w:tplc="0C2C5FD8" w:tentative="1">
      <w:start w:val="1"/>
      <w:numFmt w:val="bullet"/>
      <w:lvlText w:val="•"/>
      <w:lvlJc w:val="left"/>
      <w:pPr>
        <w:tabs>
          <w:tab w:val="num" w:pos="3600"/>
        </w:tabs>
        <w:ind w:left="3600" w:hanging="360"/>
      </w:pPr>
      <w:rPr>
        <w:rFonts w:ascii="Tahoma" w:hAnsi="Tahoma" w:hint="default"/>
      </w:rPr>
    </w:lvl>
    <w:lvl w:ilvl="5" w:tplc="53D47CE8" w:tentative="1">
      <w:start w:val="1"/>
      <w:numFmt w:val="bullet"/>
      <w:lvlText w:val="•"/>
      <w:lvlJc w:val="left"/>
      <w:pPr>
        <w:tabs>
          <w:tab w:val="num" w:pos="4320"/>
        </w:tabs>
        <w:ind w:left="4320" w:hanging="360"/>
      </w:pPr>
      <w:rPr>
        <w:rFonts w:ascii="Tahoma" w:hAnsi="Tahoma" w:hint="default"/>
      </w:rPr>
    </w:lvl>
    <w:lvl w:ilvl="6" w:tplc="5A46C05C" w:tentative="1">
      <w:start w:val="1"/>
      <w:numFmt w:val="bullet"/>
      <w:lvlText w:val="•"/>
      <w:lvlJc w:val="left"/>
      <w:pPr>
        <w:tabs>
          <w:tab w:val="num" w:pos="5040"/>
        </w:tabs>
        <w:ind w:left="5040" w:hanging="360"/>
      </w:pPr>
      <w:rPr>
        <w:rFonts w:ascii="Tahoma" w:hAnsi="Tahoma" w:hint="default"/>
      </w:rPr>
    </w:lvl>
    <w:lvl w:ilvl="7" w:tplc="42763E8A" w:tentative="1">
      <w:start w:val="1"/>
      <w:numFmt w:val="bullet"/>
      <w:lvlText w:val="•"/>
      <w:lvlJc w:val="left"/>
      <w:pPr>
        <w:tabs>
          <w:tab w:val="num" w:pos="5760"/>
        </w:tabs>
        <w:ind w:left="5760" w:hanging="360"/>
      </w:pPr>
      <w:rPr>
        <w:rFonts w:ascii="Tahoma" w:hAnsi="Tahoma" w:hint="default"/>
      </w:rPr>
    </w:lvl>
    <w:lvl w:ilvl="8" w:tplc="896A08A0" w:tentative="1">
      <w:start w:val="1"/>
      <w:numFmt w:val="bullet"/>
      <w:lvlText w:val="•"/>
      <w:lvlJc w:val="left"/>
      <w:pPr>
        <w:tabs>
          <w:tab w:val="num" w:pos="6480"/>
        </w:tabs>
        <w:ind w:left="6480" w:hanging="360"/>
      </w:pPr>
      <w:rPr>
        <w:rFonts w:ascii="Tahoma" w:hAnsi="Tahoma" w:hint="default"/>
      </w:rPr>
    </w:lvl>
  </w:abstractNum>
  <w:abstractNum w:abstractNumId="21">
    <w:nsid w:val="1C6871C4"/>
    <w:multiLevelType w:val="hybridMultilevel"/>
    <w:tmpl w:val="7A023B4A"/>
    <w:lvl w:ilvl="0" w:tplc="07BAEBE0">
      <w:start w:val="1"/>
      <w:numFmt w:val="bullet"/>
      <w:lvlText w:val="•"/>
      <w:lvlJc w:val="left"/>
      <w:pPr>
        <w:tabs>
          <w:tab w:val="num" w:pos="720"/>
        </w:tabs>
        <w:ind w:left="720" w:hanging="360"/>
      </w:pPr>
      <w:rPr>
        <w:rFonts w:ascii="Tahoma" w:hAnsi="Tahoma" w:hint="default"/>
      </w:rPr>
    </w:lvl>
    <w:lvl w:ilvl="1" w:tplc="9B32411E" w:tentative="1">
      <w:start w:val="1"/>
      <w:numFmt w:val="bullet"/>
      <w:lvlText w:val="•"/>
      <w:lvlJc w:val="left"/>
      <w:pPr>
        <w:tabs>
          <w:tab w:val="num" w:pos="1440"/>
        </w:tabs>
        <w:ind w:left="1440" w:hanging="360"/>
      </w:pPr>
      <w:rPr>
        <w:rFonts w:ascii="Tahoma" w:hAnsi="Tahoma" w:hint="default"/>
      </w:rPr>
    </w:lvl>
    <w:lvl w:ilvl="2" w:tplc="89BA0CDE" w:tentative="1">
      <w:start w:val="1"/>
      <w:numFmt w:val="bullet"/>
      <w:lvlText w:val="•"/>
      <w:lvlJc w:val="left"/>
      <w:pPr>
        <w:tabs>
          <w:tab w:val="num" w:pos="2160"/>
        </w:tabs>
        <w:ind w:left="2160" w:hanging="360"/>
      </w:pPr>
      <w:rPr>
        <w:rFonts w:ascii="Tahoma" w:hAnsi="Tahoma" w:hint="default"/>
      </w:rPr>
    </w:lvl>
    <w:lvl w:ilvl="3" w:tplc="038ED4BE" w:tentative="1">
      <w:start w:val="1"/>
      <w:numFmt w:val="bullet"/>
      <w:lvlText w:val="•"/>
      <w:lvlJc w:val="left"/>
      <w:pPr>
        <w:tabs>
          <w:tab w:val="num" w:pos="2880"/>
        </w:tabs>
        <w:ind w:left="2880" w:hanging="360"/>
      </w:pPr>
      <w:rPr>
        <w:rFonts w:ascii="Tahoma" w:hAnsi="Tahoma" w:hint="default"/>
      </w:rPr>
    </w:lvl>
    <w:lvl w:ilvl="4" w:tplc="FD0E85FC" w:tentative="1">
      <w:start w:val="1"/>
      <w:numFmt w:val="bullet"/>
      <w:lvlText w:val="•"/>
      <w:lvlJc w:val="left"/>
      <w:pPr>
        <w:tabs>
          <w:tab w:val="num" w:pos="3600"/>
        </w:tabs>
        <w:ind w:left="3600" w:hanging="360"/>
      </w:pPr>
      <w:rPr>
        <w:rFonts w:ascii="Tahoma" w:hAnsi="Tahoma" w:hint="default"/>
      </w:rPr>
    </w:lvl>
    <w:lvl w:ilvl="5" w:tplc="9620E5A4" w:tentative="1">
      <w:start w:val="1"/>
      <w:numFmt w:val="bullet"/>
      <w:lvlText w:val="•"/>
      <w:lvlJc w:val="left"/>
      <w:pPr>
        <w:tabs>
          <w:tab w:val="num" w:pos="4320"/>
        </w:tabs>
        <w:ind w:left="4320" w:hanging="360"/>
      </w:pPr>
      <w:rPr>
        <w:rFonts w:ascii="Tahoma" w:hAnsi="Tahoma" w:hint="default"/>
      </w:rPr>
    </w:lvl>
    <w:lvl w:ilvl="6" w:tplc="6C2C5C9E" w:tentative="1">
      <w:start w:val="1"/>
      <w:numFmt w:val="bullet"/>
      <w:lvlText w:val="•"/>
      <w:lvlJc w:val="left"/>
      <w:pPr>
        <w:tabs>
          <w:tab w:val="num" w:pos="5040"/>
        </w:tabs>
        <w:ind w:left="5040" w:hanging="360"/>
      </w:pPr>
      <w:rPr>
        <w:rFonts w:ascii="Tahoma" w:hAnsi="Tahoma" w:hint="default"/>
      </w:rPr>
    </w:lvl>
    <w:lvl w:ilvl="7" w:tplc="9A1C9556" w:tentative="1">
      <w:start w:val="1"/>
      <w:numFmt w:val="bullet"/>
      <w:lvlText w:val="•"/>
      <w:lvlJc w:val="left"/>
      <w:pPr>
        <w:tabs>
          <w:tab w:val="num" w:pos="5760"/>
        </w:tabs>
        <w:ind w:left="5760" w:hanging="360"/>
      </w:pPr>
      <w:rPr>
        <w:rFonts w:ascii="Tahoma" w:hAnsi="Tahoma" w:hint="default"/>
      </w:rPr>
    </w:lvl>
    <w:lvl w:ilvl="8" w:tplc="7FB0E190" w:tentative="1">
      <w:start w:val="1"/>
      <w:numFmt w:val="bullet"/>
      <w:lvlText w:val="•"/>
      <w:lvlJc w:val="left"/>
      <w:pPr>
        <w:tabs>
          <w:tab w:val="num" w:pos="6480"/>
        </w:tabs>
        <w:ind w:left="6480" w:hanging="360"/>
      </w:pPr>
      <w:rPr>
        <w:rFonts w:ascii="Tahoma" w:hAnsi="Tahoma" w:hint="default"/>
      </w:rPr>
    </w:lvl>
  </w:abstractNum>
  <w:abstractNum w:abstractNumId="22">
    <w:nsid w:val="344C163E"/>
    <w:multiLevelType w:val="hybridMultilevel"/>
    <w:tmpl w:val="0960E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AD543DC"/>
    <w:multiLevelType w:val="hybridMultilevel"/>
    <w:tmpl w:val="2FA2BA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07802F6"/>
    <w:multiLevelType w:val="hybridMultilevel"/>
    <w:tmpl w:val="CA56B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3A70EDA"/>
    <w:multiLevelType w:val="hybridMultilevel"/>
    <w:tmpl w:val="EE946C2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6">
    <w:nsid w:val="45A75041"/>
    <w:multiLevelType w:val="hybridMultilevel"/>
    <w:tmpl w:val="1E2E10A6"/>
    <w:lvl w:ilvl="0" w:tplc="52700948">
      <w:start w:val="1"/>
      <w:numFmt w:val="bullet"/>
      <w:lvlText w:val="•"/>
      <w:lvlJc w:val="left"/>
      <w:pPr>
        <w:tabs>
          <w:tab w:val="num" w:pos="720"/>
        </w:tabs>
        <w:ind w:left="720" w:hanging="360"/>
      </w:pPr>
      <w:rPr>
        <w:rFonts w:ascii="Tahoma" w:hAnsi="Tahoma" w:hint="default"/>
      </w:rPr>
    </w:lvl>
    <w:lvl w:ilvl="1" w:tplc="2F44C700">
      <w:start w:val="1000"/>
      <w:numFmt w:val="bullet"/>
      <w:lvlText w:val="-"/>
      <w:lvlJc w:val="left"/>
      <w:pPr>
        <w:tabs>
          <w:tab w:val="num" w:pos="1440"/>
        </w:tabs>
        <w:ind w:left="1440" w:hanging="360"/>
      </w:pPr>
      <w:rPr>
        <w:rFonts w:ascii="Times New Roman" w:eastAsia="Times New Roman" w:hAnsi="Times New Roman" w:cs="Times New Roman" w:hint="default"/>
      </w:rPr>
    </w:lvl>
    <w:lvl w:ilvl="2" w:tplc="585C2456" w:tentative="1">
      <w:start w:val="1"/>
      <w:numFmt w:val="bullet"/>
      <w:lvlText w:val="•"/>
      <w:lvlJc w:val="left"/>
      <w:pPr>
        <w:tabs>
          <w:tab w:val="num" w:pos="2160"/>
        </w:tabs>
        <w:ind w:left="2160" w:hanging="360"/>
      </w:pPr>
      <w:rPr>
        <w:rFonts w:ascii="Tahoma" w:hAnsi="Tahoma" w:hint="default"/>
      </w:rPr>
    </w:lvl>
    <w:lvl w:ilvl="3" w:tplc="509287E4" w:tentative="1">
      <w:start w:val="1"/>
      <w:numFmt w:val="bullet"/>
      <w:lvlText w:val="•"/>
      <w:lvlJc w:val="left"/>
      <w:pPr>
        <w:tabs>
          <w:tab w:val="num" w:pos="2880"/>
        </w:tabs>
        <w:ind w:left="2880" w:hanging="360"/>
      </w:pPr>
      <w:rPr>
        <w:rFonts w:ascii="Tahoma" w:hAnsi="Tahoma" w:hint="default"/>
      </w:rPr>
    </w:lvl>
    <w:lvl w:ilvl="4" w:tplc="CF8A6F26" w:tentative="1">
      <w:start w:val="1"/>
      <w:numFmt w:val="bullet"/>
      <w:lvlText w:val="•"/>
      <w:lvlJc w:val="left"/>
      <w:pPr>
        <w:tabs>
          <w:tab w:val="num" w:pos="3600"/>
        </w:tabs>
        <w:ind w:left="3600" w:hanging="360"/>
      </w:pPr>
      <w:rPr>
        <w:rFonts w:ascii="Tahoma" w:hAnsi="Tahoma" w:hint="default"/>
      </w:rPr>
    </w:lvl>
    <w:lvl w:ilvl="5" w:tplc="A0289E44" w:tentative="1">
      <w:start w:val="1"/>
      <w:numFmt w:val="bullet"/>
      <w:lvlText w:val="•"/>
      <w:lvlJc w:val="left"/>
      <w:pPr>
        <w:tabs>
          <w:tab w:val="num" w:pos="4320"/>
        </w:tabs>
        <w:ind w:left="4320" w:hanging="360"/>
      </w:pPr>
      <w:rPr>
        <w:rFonts w:ascii="Tahoma" w:hAnsi="Tahoma" w:hint="default"/>
      </w:rPr>
    </w:lvl>
    <w:lvl w:ilvl="6" w:tplc="14509D64" w:tentative="1">
      <w:start w:val="1"/>
      <w:numFmt w:val="bullet"/>
      <w:lvlText w:val="•"/>
      <w:lvlJc w:val="left"/>
      <w:pPr>
        <w:tabs>
          <w:tab w:val="num" w:pos="5040"/>
        </w:tabs>
        <w:ind w:left="5040" w:hanging="360"/>
      </w:pPr>
      <w:rPr>
        <w:rFonts w:ascii="Tahoma" w:hAnsi="Tahoma" w:hint="default"/>
      </w:rPr>
    </w:lvl>
    <w:lvl w:ilvl="7" w:tplc="A270125E" w:tentative="1">
      <w:start w:val="1"/>
      <w:numFmt w:val="bullet"/>
      <w:lvlText w:val="•"/>
      <w:lvlJc w:val="left"/>
      <w:pPr>
        <w:tabs>
          <w:tab w:val="num" w:pos="5760"/>
        </w:tabs>
        <w:ind w:left="5760" w:hanging="360"/>
      </w:pPr>
      <w:rPr>
        <w:rFonts w:ascii="Tahoma" w:hAnsi="Tahoma" w:hint="default"/>
      </w:rPr>
    </w:lvl>
    <w:lvl w:ilvl="8" w:tplc="F8546BB0" w:tentative="1">
      <w:start w:val="1"/>
      <w:numFmt w:val="bullet"/>
      <w:lvlText w:val="•"/>
      <w:lvlJc w:val="left"/>
      <w:pPr>
        <w:tabs>
          <w:tab w:val="num" w:pos="6480"/>
        </w:tabs>
        <w:ind w:left="6480" w:hanging="360"/>
      </w:pPr>
      <w:rPr>
        <w:rFonts w:ascii="Tahoma" w:hAnsi="Tahoma" w:hint="default"/>
      </w:rPr>
    </w:lvl>
  </w:abstractNum>
  <w:abstractNum w:abstractNumId="27">
    <w:nsid w:val="488713E3"/>
    <w:multiLevelType w:val="hybridMultilevel"/>
    <w:tmpl w:val="056AF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97C6440"/>
    <w:multiLevelType w:val="hybridMultilevel"/>
    <w:tmpl w:val="5504F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0">
    <w:nsid w:val="4FDD1958"/>
    <w:multiLevelType w:val="hybridMultilevel"/>
    <w:tmpl w:val="0AA0F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0034892"/>
    <w:multiLevelType w:val="hybridMultilevel"/>
    <w:tmpl w:val="A6209B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9D57682"/>
    <w:multiLevelType w:val="multilevel"/>
    <w:tmpl w:val="DFAAF798"/>
    <w:name w:val="TOC"/>
    <w:lvl w:ilvl="0">
      <w:start w:val="1"/>
      <w:numFmt w:val="upperRoman"/>
      <w:lvlRestart w:val="0"/>
      <w:lvlText w:val="%1."/>
      <w:lvlJc w:val="right"/>
      <w:pPr>
        <w:tabs>
          <w:tab w:val="num" w:pos="691"/>
        </w:tabs>
        <w:ind w:left="691" w:hanging="216"/>
      </w:pPr>
      <w:rPr>
        <w:rFonts w:hint="default"/>
      </w:rPr>
    </w:lvl>
    <w:lvl w:ilvl="1">
      <w:start w:val="1"/>
      <w:numFmt w:val="upperLetter"/>
      <w:lvlText w:val="%2."/>
      <w:lvlJc w:val="left"/>
      <w:pPr>
        <w:tabs>
          <w:tab w:val="num" w:pos="1123"/>
        </w:tabs>
        <w:ind w:left="1123" w:hanging="432"/>
      </w:pPr>
      <w:rPr>
        <w:rFonts w:hint="default"/>
      </w:rPr>
    </w:lvl>
    <w:lvl w:ilvl="2">
      <w:start w:val="1"/>
      <w:numFmt w:val="decimal"/>
      <w:lvlText w:val="%3."/>
      <w:lvlJc w:val="left"/>
      <w:pPr>
        <w:tabs>
          <w:tab w:val="num" w:pos="1555"/>
        </w:tabs>
        <w:ind w:left="1555" w:hanging="432"/>
      </w:pPr>
      <w:rPr>
        <w:rFonts w:hint="default"/>
      </w:rPr>
    </w:lvl>
    <w:lvl w:ilvl="3">
      <w:start w:val="1"/>
      <w:numFmt w:val="lowerLetter"/>
      <w:lvlText w:val="%4)"/>
      <w:lvlJc w:val="left"/>
      <w:pPr>
        <w:tabs>
          <w:tab w:val="num" w:pos="1987"/>
        </w:tabs>
        <w:ind w:left="1987" w:hanging="432"/>
      </w:pPr>
      <w:rPr>
        <w:rFonts w:hint="default"/>
      </w:rPr>
    </w:lvl>
    <w:lvl w:ilvl="4">
      <w:start w:val="1"/>
      <w:numFmt w:val="lowerRoman"/>
      <w:lvlText w:val="%5)"/>
      <w:lvlJc w:val="left"/>
      <w:pPr>
        <w:tabs>
          <w:tab w:val="num" w:pos="2419"/>
        </w:tabs>
        <w:ind w:left="2419" w:hanging="432"/>
      </w:pPr>
      <w:rPr>
        <w:rFonts w:hint="default"/>
      </w:rPr>
    </w:lvl>
    <w:lvl w:ilvl="5">
      <w:start w:val="1"/>
      <w:numFmt w:val="lowerLetter"/>
      <w:lvlText w:val="%6."/>
      <w:lvlJc w:val="left"/>
      <w:pPr>
        <w:tabs>
          <w:tab w:val="num" w:pos="2851"/>
        </w:tabs>
        <w:ind w:left="2851" w:hanging="432"/>
      </w:pPr>
      <w:rPr>
        <w:rFonts w:hint="default"/>
      </w:rPr>
    </w:lvl>
    <w:lvl w:ilvl="6">
      <w:start w:val="1"/>
      <w:numFmt w:val="bullet"/>
      <w:lvlText w:val=""/>
      <w:lvlJc w:val="left"/>
      <w:pPr>
        <w:tabs>
          <w:tab w:val="num" w:pos="4075"/>
        </w:tabs>
        <w:ind w:left="3715" w:firstLine="0"/>
      </w:pPr>
      <w:rPr>
        <w:rFonts w:ascii="Symbol" w:hAnsi="Symbol" w:hint="default"/>
      </w:rPr>
    </w:lvl>
    <w:lvl w:ilvl="7">
      <w:start w:val="1"/>
      <w:numFmt w:val="bullet"/>
      <w:suff w:val="nothing"/>
      <w:lvlText w:val=""/>
      <w:lvlJc w:val="left"/>
      <w:pPr>
        <w:ind w:left="4435" w:firstLine="0"/>
      </w:pPr>
      <w:rPr>
        <w:rFonts w:ascii="Symbol" w:hAnsi="Symbol" w:hint="default"/>
      </w:rPr>
    </w:lvl>
    <w:lvl w:ilvl="8">
      <w:start w:val="1"/>
      <w:numFmt w:val="none"/>
      <w:suff w:val="nothing"/>
      <w:lvlText w:val=""/>
      <w:lvlJc w:val="left"/>
      <w:pPr>
        <w:ind w:left="5155" w:firstLine="0"/>
      </w:pPr>
      <w:rPr>
        <w:rFonts w:hint="default"/>
      </w:rPr>
    </w:lvl>
  </w:abstractNum>
  <w:abstractNum w:abstractNumId="33">
    <w:nsid w:val="5B906BA0"/>
    <w:multiLevelType w:val="hybridMultilevel"/>
    <w:tmpl w:val="2C7E38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CF201A2"/>
    <w:multiLevelType w:val="hybridMultilevel"/>
    <w:tmpl w:val="B2749878"/>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5">
    <w:nsid w:val="5FB02442"/>
    <w:multiLevelType w:val="hybridMultilevel"/>
    <w:tmpl w:val="7B583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29"/>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36"/>
  </w:num>
  <w:num w:numId="15">
    <w:abstractNumId w:val="16"/>
  </w:num>
  <w:num w:numId="16">
    <w:abstractNumId w:val="11"/>
  </w:num>
  <w:num w:numId="17">
    <w:abstractNumId w:val="10"/>
  </w:num>
  <w:num w:numId="18">
    <w:abstractNumId w:val="37"/>
  </w:num>
  <w:num w:numId="19">
    <w:abstractNumId w:val="26"/>
  </w:num>
  <w:num w:numId="20">
    <w:abstractNumId w:val="14"/>
  </w:num>
  <w:num w:numId="21">
    <w:abstractNumId w:val="20"/>
  </w:num>
  <w:num w:numId="22">
    <w:abstractNumId w:val="21"/>
  </w:num>
  <w:num w:numId="23">
    <w:abstractNumId w:val="23"/>
  </w:num>
  <w:num w:numId="24">
    <w:abstractNumId w:val="31"/>
  </w:num>
  <w:num w:numId="25">
    <w:abstractNumId w:val="30"/>
  </w:num>
  <w:num w:numId="26">
    <w:abstractNumId w:val="28"/>
  </w:num>
  <w:num w:numId="27">
    <w:abstractNumId w:val="24"/>
  </w:num>
  <w:num w:numId="28">
    <w:abstractNumId w:val="35"/>
  </w:num>
  <w:num w:numId="29">
    <w:abstractNumId w:val="13"/>
  </w:num>
  <w:num w:numId="30">
    <w:abstractNumId w:val="27"/>
  </w:num>
  <w:num w:numId="31">
    <w:abstractNumId w:val="22"/>
  </w:num>
  <w:num w:numId="32">
    <w:abstractNumId w:val="15"/>
  </w:num>
  <w:num w:numId="33">
    <w:abstractNumId w:val="34"/>
  </w:num>
  <w:num w:numId="34">
    <w:abstractNumId w:val="12"/>
  </w:num>
  <w:num w:numId="35">
    <w:abstractNumId w:val="25"/>
  </w:num>
  <w:num w:numId="36">
    <w:abstractNumId w:val="33"/>
  </w:num>
  <w:num w:numId="37">
    <w:abstractNumId w:val="19"/>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2163*"/>
    <w:docVar w:name="CreationDt" w:val="21/02/2014 16:24:28"/>
    <w:docVar w:name="DocCategory" w:val="Doc"/>
    <w:docVar w:name="DocType" w:val="Final"/>
    <w:docVar w:name="FooterJN" w:val="13-62163"/>
    <w:docVar w:name="jobn" w:val="13-62163 (S)"/>
    <w:docVar w:name="jobnDT" w:val="13-62163 (S)   210214"/>
    <w:docVar w:name="jobnDTDT" w:val="13-62163 (S)   210214   210214"/>
    <w:docVar w:name="JobNo" w:val="1362163S"/>
    <w:docVar w:name="OandT" w:val="lvr"/>
    <w:docVar w:name="sss1" w:val="CEDAW/C/DNK/8"/>
    <w:docVar w:name="sss2" w:val="-"/>
    <w:docVar w:name="Symbol1" w:val="CEDAW/C/DNK/8"/>
    <w:docVar w:name="Symbol2" w:val="-"/>
  </w:docVars>
  <w:rsids>
    <w:rsidRoot w:val="000F2FC0"/>
    <w:rsid w:val="0000430F"/>
    <w:rsid w:val="000140CB"/>
    <w:rsid w:val="00024C5A"/>
    <w:rsid w:val="000271D6"/>
    <w:rsid w:val="000336E0"/>
    <w:rsid w:val="00044517"/>
    <w:rsid w:val="000473B4"/>
    <w:rsid w:val="000534EB"/>
    <w:rsid w:val="00061177"/>
    <w:rsid w:val="00067D9C"/>
    <w:rsid w:val="000806AC"/>
    <w:rsid w:val="000871C1"/>
    <w:rsid w:val="00092C1C"/>
    <w:rsid w:val="000A0C7C"/>
    <w:rsid w:val="000A1971"/>
    <w:rsid w:val="000B2A4E"/>
    <w:rsid w:val="000B2D56"/>
    <w:rsid w:val="000C077B"/>
    <w:rsid w:val="000C1009"/>
    <w:rsid w:val="000C258A"/>
    <w:rsid w:val="000C2DA0"/>
    <w:rsid w:val="000C4DCC"/>
    <w:rsid w:val="000D21E6"/>
    <w:rsid w:val="000D4F95"/>
    <w:rsid w:val="000D64ED"/>
    <w:rsid w:val="000D726D"/>
    <w:rsid w:val="000E4D28"/>
    <w:rsid w:val="000F2FC0"/>
    <w:rsid w:val="000F3CD5"/>
    <w:rsid w:val="00102011"/>
    <w:rsid w:val="00102135"/>
    <w:rsid w:val="001109AD"/>
    <w:rsid w:val="00124E63"/>
    <w:rsid w:val="001259AF"/>
    <w:rsid w:val="00125BCB"/>
    <w:rsid w:val="00131019"/>
    <w:rsid w:val="001330AF"/>
    <w:rsid w:val="00140484"/>
    <w:rsid w:val="00143B7C"/>
    <w:rsid w:val="00144E38"/>
    <w:rsid w:val="00152E53"/>
    <w:rsid w:val="00153EA2"/>
    <w:rsid w:val="001701FE"/>
    <w:rsid w:val="00170784"/>
    <w:rsid w:val="00172F9A"/>
    <w:rsid w:val="00184DFC"/>
    <w:rsid w:val="001A2E38"/>
    <w:rsid w:val="001A2FAC"/>
    <w:rsid w:val="001A72EA"/>
    <w:rsid w:val="001B27F2"/>
    <w:rsid w:val="001B2FC3"/>
    <w:rsid w:val="001D4FED"/>
    <w:rsid w:val="001E1630"/>
    <w:rsid w:val="001F74B0"/>
    <w:rsid w:val="00200A61"/>
    <w:rsid w:val="0022060C"/>
    <w:rsid w:val="00231989"/>
    <w:rsid w:val="002430C1"/>
    <w:rsid w:val="0025615B"/>
    <w:rsid w:val="002668C9"/>
    <w:rsid w:val="00266F6B"/>
    <w:rsid w:val="002841B4"/>
    <w:rsid w:val="002927B5"/>
    <w:rsid w:val="00297ED1"/>
    <w:rsid w:val="002B7407"/>
    <w:rsid w:val="002C345B"/>
    <w:rsid w:val="002C3E79"/>
    <w:rsid w:val="002E1262"/>
    <w:rsid w:val="002F0A5D"/>
    <w:rsid w:val="002F1D0F"/>
    <w:rsid w:val="003007C5"/>
    <w:rsid w:val="00306B1E"/>
    <w:rsid w:val="00323D21"/>
    <w:rsid w:val="00331872"/>
    <w:rsid w:val="00335217"/>
    <w:rsid w:val="00335505"/>
    <w:rsid w:val="003359DE"/>
    <w:rsid w:val="003452B8"/>
    <w:rsid w:val="00346468"/>
    <w:rsid w:val="0035026F"/>
    <w:rsid w:val="003502C1"/>
    <w:rsid w:val="00351E36"/>
    <w:rsid w:val="003650DE"/>
    <w:rsid w:val="0037429E"/>
    <w:rsid w:val="00375801"/>
    <w:rsid w:val="0038237D"/>
    <w:rsid w:val="00394B7D"/>
    <w:rsid w:val="00397636"/>
    <w:rsid w:val="003A5CE7"/>
    <w:rsid w:val="003B613E"/>
    <w:rsid w:val="003C12C7"/>
    <w:rsid w:val="003C473B"/>
    <w:rsid w:val="003C5008"/>
    <w:rsid w:val="003C67B3"/>
    <w:rsid w:val="003D2D4A"/>
    <w:rsid w:val="003E649E"/>
    <w:rsid w:val="003F3C3C"/>
    <w:rsid w:val="003F5215"/>
    <w:rsid w:val="003F65EB"/>
    <w:rsid w:val="003F7EB0"/>
    <w:rsid w:val="00400307"/>
    <w:rsid w:val="00400BBA"/>
    <w:rsid w:val="00423285"/>
    <w:rsid w:val="00431501"/>
    <w:rsid w:val="004452B0"/>
    <w:rsid w:val="00453A99"/>
    <w:rsid w:val="0045473C"/>
    <w:rsid w:val="004713D8"/>
    <w:rsid w:val="00477746"/>
    <w:rsid w:val="004843EE"/>
    <w:rsid w:val="0049207E"/>
    <w:rsid w:val="004928E6"/>
    <w:rsid w:val="004A7C6C"/>
    <w:rsid w:val="004C1BCD"/>
    <w:rsid w:val="004D6407"/>
    <w:rsid w:val="004D779E"/>
    <w:rsid w:val="004E757B"/>
    <w:rsid w:val="004F09F5"/>
    <w:rsid w:val="004F14EE"/>
    <w:rsid w:val="005054DB"/>
    <w:rsid w:val="00505601"/>
    <w:rsid w:val="005059EF"/>
    <w:rsid w:val="00507265"/>
    <w:rsid w:val="005130D6"/>
    <w:rsid w:val="00524C14"/>
    <w:rsid w:val="00534D37"/>
    <w:rsid w:val="00540791"/>
    <w:rsid w:val="0054253E"/>
    <w:rsid w:val="00542A52"/>
    <w:rsid w:val="005434BC"/>
    <w:rsid w:val="00550243"/>
    <w:rsid w:val="00555EFD"/>
    <w:rsid w:val="00587E23"/>
    <w:rsid w:val="00595DE1"/>
    <w:rsid w:val="005D3721"/>
    <w:rsid w:val="005E4826"/>
    <w:rsid w:val="005E4D1C"/>
    <w:rsid w:val="005F6E6E"/>
    <w:rsid w:val="0060345A"/>
    <w:rsid w:val="00612DA1"/>
    <w:rsid w:val="00616088"/>
    <w:rsid w:val="006169F5"/>
    <w:rsid w:val="00620953"/>
    <w:rsid w:val="00630CE1"/>
    <w:rsid w:val="00636DA1"/>
    <w:rsid w:val="00637AB0"/>
    <w:rsid w:val="00641130"/>
    <w:rsid w:val="00645DF2"/>
    <w:rsid w:val="006463C7"/>
    <w:rsid w:val="00661186"/>
    <w:rsid w:val="00664183"/>
    <w:rsid w:val="006719B4"/>
    <w:rsid w:val="006720FE"/>
    <w:rsid w:val="00682398"/>
    <w:rsid w:val="00693963"/>
    <w:rsid w:val="00696921"/>
    <w:rsid w:val="006B34DB"/>
    <w:rsid w:val="006C31D8"/>
    <w:rsid w:val="006C6173"/>
    <w:rsid w:val="006D3321"/>
    <w:rsid w:val="006E0E95"/>
    <w:rsid w:val="006E3781"/>
    <w:rsid w:val="006E4EA1"/>
    <w:rsid w:val="006F1A9D"/>
    <w:rsid w:val="006F36E2"/>
    <w:rsid w:val="006F376F"/>
    <w:rsid w:val="00701DA6"/>
    <w:rsid w:val="0070602F"/>
    <w:rsid w:val="00715134"/>
    <w:rsid w:val="0074000F"/>
    <w:rsid w:val="00745E63"/>
    <w:rsid w:val="007508E8"/>
    <w:rsid w:val="007606A8"/>
    <w:rsid w:val="007616A7"/>
    <w:rsid w:val="00761E57"/>
    <w:rsid w:val="00763C3B"/>
    <w:rsid w:val="00773599"/>
    <w:rsid w:val="00775385"/>
    <w:rsid w:val="00781DFE"/>
    <w:rsid w:val="007B04E8"/>
    <w:rsid w:val="007B0BCB"/>
    <w:rsid w:val="007B2E44"/>
    <w:rsid w:val="007C566A"/>
    <w:rsid w:val="007D0469"/>
    <w:rsid w:val="007D0893"/>
    <w:rsid w:val="007D59F4"/>
    <w:rsid w:val="007E322D"/>
    <w:rsid w:val="007E530A"/>
    <w:rsid w:val="007F24CC"/>
    <w:rsid w:val="007F5AF9"/>
    <w:rsid w:val="00813690"/>
    <w:rsid w:val="00813C40"/>
    <w:rsid w:val="00814B70"/>
    <w:rsid w:val="00815EA8"/>
    <w:rsid w:val="00821E34"/>
    <w:rsid w:val="00823BE3"/>
    <w:rsid w:val="00827CAA"/>
    <w:rsid w:val="00834163"/>
    <w:rsid w:val="0083457C"/>
    <w:rsid w:val="008466A7"/>
    <w:rsid w:val="008B5FC3"/>
    <w:rsid w:val="008C2BF5"/>
    <w:rsid w:val="008C4484"/>
    <w:rsid w:val="008D17EE"/>
    <w:rsid w:val="008D53A0"/>
    <w:rsid w:val="008E2B2E"/>
    <w:rsid w:val="0090145E"/>
    <w:rsid w:val="00913197"/>
    <w:rsid w:val="0091591F"/>
    <w:rsid w:val="009251FF"/>
    <w:rsid w:val="0092745C"/>
    <w:rsid w:val="0093190E"/>
    <w:rsid w:val="00934B5B"/>
    <w:rsid w:val="00935AD9"/>
    <w:rsid w:val="00936752"/>
    <w:rsid w:val="009412D0"/>
    <w:rsid w:val="009540A8"/>
    <w:rsid w:val="00960AB5"/>
    <w:rsid w:val="00983F3B"/>
    <w:rsid w:val="00984E6C"/>
    <w:rsid w:val="00995BD2"/>
    <w:rsid w:val="009B1C06"/>
    <w:rsid w:val="009B26B8"/>
    <w:rsid w:val="009B6140"/>
    <w:rsid w:val="009C3306"/>
    <w:rsid w:val="009D32AC"/>
    <w:rsid w:val="009E4345"/>
    <w:rsid w:val="009E5765"/>
    <w:rsid w:val="009E6D58"/>
    <w:rsid w:val="009F6D65"/>
    <w:rsid w:val="009F701F"/>
    <w:rsid w:val="00A01177"/>
    <w:rsid w:val="00A0166A"/>
    <w:rsid w:val="00A02FF4"/>
    <w:rsid w:val="00A058FF"/>
    <w:rsid w:val="00A10FDF"/>
    <w:rsid w:val="00A44B51"/>
    <w:rsid w:val="00A5353F"/>
    <w:rsid w:val="00A627D6"/>
    <w:rsid w:val="00A6761C"/>
    <w:rsid w:val="00A73597"/>
    <w:rsid w:val="00A8676F"/>
    <w:rsid w:val="00A86FEA"/>
    <w:rsid w:val="00AA2A48"/>
    <w:rsid w:val="00AB43B7"/>
    <w:rsid w:val="00AB48FA"/>
    <w:rsid w:val="00AB7836"/>
    <w:rsid w:val="00AD5D6A"/>
    <w:rsid w:val="00AD71BB"/>
    <w:rsid w:val="00AE6668"/>
    <w:rsid w:val="00AF5336"/>
    <w:rsid w:val="00B151F5"/>
    <w:rsid w:val="00B154CF"/>
    <w:rsid w:val="00B157C7"/>
    <w:rsid w:val="00B34BCE"/>
    <w:rsid w:val="00B37CA5"/>
    <w:rsid w:val="00B62D2B"/>
    <w:rsid w:val="00B64655"/>
    <w:rsid w:val="00B729C5"/>
    <w:rsid w:val="00BC7B5B"/>
    <w:rsid w:val="00BE2BF9"/>
    <w:rsid w:val="00BE4536"/>
    <w:rsid w:val="00C00872"/>
    <w:rsid w:val="00C02367"/>
    <w:rsid w:val="00C02E97"/>
    <w:rsid w:val="00C13D38"/>
    <w:rsid w:val="00C35444"/>
    <w:rsid w:val="00C530DF"/>
    <w:rsid w:val="00C57BDB"/>
    <w:rsid w:val="00C6275D"/>
    <w:rsid w:val="00C63902"/>
    <w:rsid w:val="00C72AD9"/>
    <w:rsid w:val="00C76FE4"/>
    <w:rsid w:val="00C77C9D"/>
    <w:rsid w:val="00C80D67"/>
    <w:rsid w:val="00C8131F"/>
    <w:rsid w:val="00C847F0"/>
    <w:rsid w:val="00C859E1"/>
    <w:rsid w:val="00C90CF0"/>
    <w:rsid w:val="00C91CE9"/>
    <w:rsid w:val="00C92C34"/>
    <w:rsid w:val="00CA10F6"/>
    <w:rsid w:val="00CB4CBF"/>
    <w:rsid w:val="00CB5C47"/>
    <w:rsid w:val="00CB65D7"/>
    <w:rsid w:val="00CC062C"/>
    <w:rsid w:val="00CC3120"/>
    <w:rsid w:val="00CD4652"/>
    <w:rsid w:val="00CD4760"/>
    <w:rsid w:val="00CD49CB"/>
    <w:rsid w:val="00CD57FF"/>
    <w:rsid w:val="00CE0045"/>
    <w:rsid w:val="00CE1381"/>
    <w:rsid w:val="00CE2A85"/>
    <w:rsid w:val="00D2412C"/>
    <w:rsid w:val="00D247E6"/>
    <w:rsid w:val="00D31867"/>
    <w:rsid w:val="00D51A6A"/>
    <w:rsid w:val="00D60871"/>
    <w:rsid w:val="00D74454"/>
    <w:rsid w:val="00D75DCF"/>
    <w:rsid w:val="00D822FA"/>
    <w:rsid w:val="00D96A22"/>
    <w:rsid w:val="00DA206B"/>
    <w:rsid w:val="00DA7DFA"/>
    <w:rsid w:val="00DC5BAB"/>
    <w:rsid w:val="00DD3299"/>
    <w:rsid w:val="00DD529D"/>
    <w:rsid w:val="00DF3CA9"/>
    <w:rsid w:val="00E054C0"/>
    <w:rsid w:val="00E24162"/>
    <w:rsid w:val="00E241A1"/>
    <w:rsid w:val="00E31D49"/>
    <w:rsid w:val="00E32E49"/>
    <w:rsid w:val="00E50390"/>
    <w:rsid w:val="00E51891"/>
    <w:rsid w:val="00E51BC9"/>
    <w:rsid w:val="00E65BE8"/>
    <w:rsid w:val="00E816D8"/>
    <w:rsid w:val="00E84B10"/>
    <w:rsid w:val="00E875CB"/>
    <w:rsid w:val="00E932A5"/>
    <w:rsid w:val="00E936CA"/>
    <w:rsid w:val="00E94F69"/>
    <w:rsid w:val="00EA4557"/>
    <w:rsid w:val="00EB3BF0"/>
    <w:rsid w:val="00EC337E"/>
    <w:rsid w:val="00EC3D06"/>
    <w:rsid w:val="00ED1F10"/>
    <w:rsid w:val="00ED5EB0"/>
    <w:rsid w:val="00EE590D"/>
    <w:rsid w:val="00F061A0"/>
    <w:rsid w:val="00F06B9B"/>
    <w:rsid w:val="00F15055"/>
    <w:rsid w:val="00F249E4"/>
    <w:rsid w:val="00F274AF"/>
    <w:rsid w:val="00F345A6"/>
    <w:rsid w:val="00F35B3D"/>
    <w:rsid w:val="00F44608"/>
    <w:rsid w:val="00F44BE6"/>
    <w:rsid w:val="00F44E91"/>
    <w:rsid w:val="00F458BC"/>
    <w:rsid w:val="00F47FCF"/>
    <w:rsid w:val="00F52A06"/>
    <w:rsid w:val="00F641F3"/>
    <w:rsid w:val="00F81539"/>
    <w:rsid w:val="00F846E4"/>
    <w:rsid w:val="00F920FD"/>
    <w:rsid w:val="00F92E1F"/>
    <w:rsid w:val="00F96BFC"/>
    <w:rsid w:val="00FB2CE9"/>
    <w:rsid w:val="00FB6061"/>
    <w:rsid w:val="00FB6ED3"/>
    <w:rsid w:val="00FC4C00"/>
    <w:rsid w:val="00FD17C3"/>
    <w:rsid w:val="00FD532D"/>
    <w:rsid w:val="00FF13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A1971"/>
    <w:pPr>
      <w:suppressAutoHyphens/>
      <w:spacing w:line="240" w:lineRule="exact"/>
    </w:pPr>
    <w:rPr>
      <w:spacing w:val="4"/>
      <w:w w:val="103"/>
      <w:kern w:val="14"/>
      <w:lang w:val="es-ES"/>
    </w:rPr>
  </w:style>
  <w:style w:type="paragraph" w:styleId="Heading1">
    <w:name w:val="heading 1"/>
    <w:aliases w:val="Table_G"/>
    <w:basedOn w:val="SingleTxtG"/>
    <w:next w:val="SingleTxtG"/>
    <w:link w:val="Heading1Char"/>
    <w:qFormat/>
    <w:rsid w:val="0038237D"/>
    <w:pPr>
      <w:spacing w:after="0" w:line="240" w:lineRule="auto"/>
      <w:ind w:right="0"/>
      <w:jc w:val="left"/>
      <w:outlineLvl w:val="0"/>
    </w:pPr>
    <w:rPr>
      <w:lang/>
    </w:rPr>
  </w:style>
  <w:style w:type="paragraph" w:styleId="Heading2">
    <w:name w:val="heading 2"/>
    <w:basedOn w:val="Normal"/>
    <w:next w:val="Normal"/>
    <w:link w:val="Heading2Char"/>
    <w:qFormat/>
    <w:rsid w:val="0038237D"/>
    <w:pPr>
      <w:spacing w:line="240" w:lineRule="auto"/>
      <w:outlineLvl w:val="1"/>
    </w:pPr>
    <w:rPr>
      <w:spacing w:val="0"/>
      <w:w w:val="100"/>
      <w:kern w:val="0"/>
      <w:lang/>
    </w:rPr>
  </w:style>
  <w:style w:type="paragraph" w:styleId="Heading3">
    <w:name w:val="heading 3"/>
    <w:basedOn w:val="Normal"/>
    <w:next w:val="Normal"/>
    <w:link w:val="Heading3Char"/>
    <w:qFormat/>
    <w:rsid w:val="0038237D"/>
    <w:pPr>
      <w:spacing w:line="240" w:lineRule="auto"/>
      <w:outlineLvl w:val="2"/>
    </w:pPr>
    <w:rPr>
      <w:spacing w:val="0"/>
      <w:w w:val="100"/>
      <w:kern w:val="0"/>
      <w:lang/>
    </w:rPr>
  </w:style>
  <w:style w:type="paragraph" w:styleId="Heading4">
    <w:name w:val="heading 4"/>
    <w:basedOn w:val="Normal"/>
    <w:next w:val="Normal"/>
    <w:link w:val="Heading4Char"/>
    <w:qFormat/>
    <w:rsid w:val="0038237D"/>
    <w:pPr>
      <w:spacing w:line="240" w:lineRule="auto"/>
      <w:outlineLvl w:val="3"/>
    </w:pPr>
    <w:rPr>
      <w:spacing w:val="0"/>
      <w:w w:val="100"/>
      <w:kern w:val="0"/>
      <w:lang/>
    </w:rPr>
  </w:style>
  <w:style w:type="paragraph" w:styleId="Heading5">
    <w:name w:val="heading 5"/>
    <w:basedOn w:val="Normal"/>
    <w:next w:val="Normal"/>
    <w:qFormat/>
    <w:rsid w:val="0038237D"/>
    <w:pPr>
      <w:spacing w:line="240" w:lineRule="auto"/>
      <w:outlineLvl w:val="4"/>
    </w:pPr>
    <w:rPr>
      <w:spacing w:val="0"/>
      <w:w w:val="100"/>
      <w:kern w:val="0"/>
      <w:lang w:val="en-GB"/>
    </w:rPr>
  </w:style>
  <w:style w:type="paragraph" w:styleId="Heading6">
    <w:name w:val="heading 6"/>
    <w:basedOn w:val="Normal"/>
    <w:next w:val="Normal"/>
    <w:link w:val="Heading6Char"/>
    <w:qFormat/>
    <w:rsid w:val="0038237D"/>
    <w:pPr>
      <w:spacing w:line="240" w:lineRule="auto"/>
      <w:outlineLvl w:val="5"/>
    </w:pPr>
    <w:rPr>
      <w:spacing w:val="0"/>
      <w:w w:val="100"/>
      <w:kern w:val="0"/>
      <w:lang/>
    </w:rPr>
  </w:style>
  <w:style w:type="paragraph" w:styleId="Heading7">
    <w:name w:val="heading 7"/>
    <w:basedOn w:val="Normal"/>
    <w:next w:val="Normal"/>
    <w:link w:val="Heading7Char"/>
    <w:qFormat/>
    <w:rsid w:val="0038237D"/>
    <w:pPr>
      <w:spacing w:line="240" w:lineRule="auto"/>
      <w:outlineLvl w:val="6"/>
    </w:pPr>
    <w:rPr>
      <w:spacing w:val="0"/>
      <w:w w:val="100"/>
      <w:kern w:val="0"/>
      <w:lang/>
    </w:rPr>
  </w:style>
  <w:style w:type="paragraph" w:styleId="Heading8">
    <w:name w:val="heading 8"/>
    <w:basedOn w:val="Normal"/>
    <w:next w:val="Normal"/>
    <w:qFormat/>
    <w:rsid w:val="0038237D"/>
    <w:pPr>
      <w:spacing w:line="240" w:lineRule="auto"/>
      <w:outlineLvl w:val="7"/>
    </w:pPr>
    <w:rPr>
      <w:spacing w:val="0"/>
      <w:w w:val="100"/>
      <w:kern w:val="0"/>
      <w:lang w:val="en-GB"/>
    </w:rPr>
  </w:style>
  <w:style w:type="paragraph" w:styleId="Heading9">
    <w:name w:val="heading 9"/>
    <w:basedOn w:val="Normal"/>
    <w:next w:val="Normal"/>
    <w:qFormat/>
    <w:rsid w:val="0038237D"/>
    <w:pPr>
      <w:spacing w:line="240" w:lineRule="auto"/>
      <w:outlineLvl w:val="8"/>
    </w:pPr>
    <w:rPr>
      <w:spacing w:val="0"/>
      <w:w w:val="100"/>
      <w:kern w:val="0"/>
      <w:lang w:val="en-GB"/>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Char Char"/>
    <w:basedOn w:val="DefaultParagraphFont"/>
    <w:semiHidden/>
    <w:rsid w:val="000A1971"/>
    <w:rPr>
      <w:color w:val="FF0000"/>
      <w:spacing w:val="-5"/>
      <w:w w:val="130"/>
      <w:position w:val="-4"/>
      <w:vertAlign w:val="superscript"/>
    </w:rPr>
  </w:style>
  <w:style w:type="character" w:styleId="EndnoteReference">
    <w:name w:val="endnote reference"/>
    <w:aliases w:val="1_G"/>
    <w:basedOn w:val="FootnoteReference"/>
    <w:semiHidden/>
    <w:rsid w:val="000A1971"/>
    <w:rPr>
      <w:color w:val="FF00FF"/>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semiHidden/>
    <w:rsid w:val="000A1971"/>
    <w:pPr>
      <w:spacing w:after="80"/>
    </w:pPr>
  </w:style>
  <w:style w:type="paragraph" w:styleId="Footer">
    <w:name w:val="footer"/>
    <w:aliases w:val="3_G"/>
    <w:link w:val="FooterChar"/>
    <w:rsid w:val="000A1971"/>
    <w:pPr>
      <w:tabs>
        <w:tab w:val="center" w:pos="4320"/>
        <w:tab w:val="right" w:pos="8640"/>
      </w:tabs>
    </w:pPr>
    <w:rPr>
      <w:b/>
      <w:noProof/>
      <w:sz w:val="17"/>
    </w:rPr>
  </w:style>
  <w:style w:type="paragraph" w:styleId="Header">
    <w:name w:val="header"/>
    <w:aliases w:val="6_G"/>
    <w:link w:val="HeaderCha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customStyle="1" w:styleId="AgendaTitle">
    <w:name w:val="Agenda Title"/>
    <w:basedOn w:val="Normal"/>
    <w:next w:val="Normal"/>
    <w:autoRedefine/>
    <w:rsid w:val="00EA4557"/>
  </w:style>
  <w:style w:type="paragraph" w:customStyle="1" w:styleId="Committee">
    <w:name w:val="Committee"/>
    <w:basedOn w:val="H1"/>
    <w:rsid w:val="00EA4557"/>
    <w:pPr>
      <w:ind w:right="1267"/>
    </w:pPr>
  </w:style>
  <w:style w:type="paragraph" w:customStyle="1" w:styleId="Session">
    <w:name w:val="Session"/>
    <w:basedOn w:val="H23"/>
    <w:rsid w:val="00EA4557"/>
    <w:pPr>
      <w:ind w:right="1267"/>
    </w:pPr>
  </w:style>
  <w:style w:type="paragraph" w:customStyle="1" w:styleId="Sponsors">
    <w:name w:val="Sponsors"/>
    <w:basedOn w:val="H23"/>
    <w:rsid w:val="006F37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ind w:left="1267" w:right="1267" w:hanging="1267"/>
    </w:pPr>
  </w:style>
  <w:style w:type="paragraph" w:customStyle="1" w:styleId="Title1">
    <w:name w:val="Title 1"/>
    <w:basedOn w:val="HCh"/>
    <w:autoRedefine/>
    <w:rsid w:val="00184DF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style>
  <w:style w:type="paragraph" w:customStyle="1" w:styleId="Title2">
    <w:name w:val="Title 2"/>
    <w:basedOn w:val="H1"/>
    <w:rsid w:val="00E32E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Type">
    <w:name w:val="Type"/>
    <w:basedOn w:val="H23"/>
    <w:rsid w:val="00E32E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Distribution">
    <w:name w:val="Distribution"/>
    <w:next w:val="Normal"/>
    <w:rsid w:val="009251FF"/>
    <w:rPr>
      <w:spacing w:val="4"/>
      <w:w w:val="103"/>
      <w:kern w:val="14"/>
      <w:lang w:val="es-ES" w:eastAsia="zh-CN"/>
    </w:rPr>
  </w:style>
  <w:style w:type="paragraph" w:customStyle="1" w:styleId="Publication">
    <w:name w:val="Publication"/>
    <w:next w:val="Normal"/>
    <w:rsid w:val="009251FF"/>
    <w:rPr>
      <w:spacing w:val="4"/>
      <w:w w:val="103"/>
      <w:kern w:val="14"/>
      <w:lang w:val="es-ES" w:eastAsia="zh-CN"/>
    </w:rPr>
  </w:style>
  <w:style w:type="paragraph" w:customStyle="1" w:styleId="Original">
    <w:name w:val="Original"/>
    <w:next w:val="Normal"/>
    <w:rsid w:val="009251FF"/>
    <w:rPr>
      <w:spacing w:val="4"/>
      <w:w w:val="103"/>
      <w:kern w:val="14"/>
      <w:lang w:val="es-ES" w:eastAsia="zh-CN"/>
    </w:rPr>
  </w:style>
  <w:style w:type="paragraph" w:customStyle="1" w:styleId="ReleaseDate">
    <w:name w:val="ReleaseDate"/>
    <w:next w:val="Footer"/>
    <w:rsid w:val="009251FF"/>
    <w:rPr>
      <w:spacing w:val="4"/>
      <w:w w:val="103"/>
      <w:kern w:val="14"/>
      <w:lang w:eastAsia="zh-CN"/>
    </w:rPr>
  </w:style>
  <w:style w:type="paragraph" w:styleId="CommentText">
    <w:name w:val="annotation text"/>
    <w:basedOn w:val="Normal"/>
    <w:link w:val="CommentTextChar1"/>
    <w:semiHidden/>
    <w:rsid w:val="00F846E4"/>
  </w:style>
  <w:style w:type="paragraph" w:styleId="CommentSubject">
    <w:name w:val="annotation subject"/>
    <w:basedOn w:val="CommentText"/>
    <w:next w:val="CommentText"/>
    <w:link w:val="CommentSubjectChar"/>
    <w:semiHidden/>
    <w:rsid w:val="00F846E4"/>
    <w:rPr>
      <w:b/>
      <w:bCs/>
    </w:rPr>
  </w:style>
  <w:style w:type="paragraph" w:customStyle="1" w:styleId="HMG">
    <w:name w:val="_ H __M_G"/>
    <w:basedOn w:val="Normal"/>
    <w:next w:val="Normal"/>
    <w:rsid w:val="0038237D"/>
    <w:pPr>
      <w:keepNext/>
      <w:keepLines/>
      <w:tabs>
        <w:tab w:val="right" w:pos="851"/>
      </w:tab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rsid w:val="0038237D"/>
    <w:pPr>
      <w:keepNext/>
      <w:keepLines/>
      <w:tabs>
        <w:tab w:val="right" w:pos="851"/>
      </w:tabs>
      <w:spacing w:before="360" w:after="240" w:line="300" w:lineRule="exact"/>
      <w:ind w:left="1134" w:right="1134" w:hanging="1134"/>
    </w:pPr>
    <w:rPr>
      <w:b/>
      <w:spacing w:val="0"/>
      <w:w w:val="100"/>
      <w:kern w:val="0"/>
      <w:sz w:val="28"/>
      <w:lang/>
    </w:rPr>
  </w:style>
  <w:style w:type="paragraph" w:customStyle="1" w:styleId="SingleTxtG">
    <w:name w:val="_ Single Txt_G"/>
    <w:basedOn w:val="Normal"/>
    <w:rsid w:val="0038237D"/>
    <w:pPr>
      <w:spacing w:after="120" w:line="240" w:lineRule="atLeast"/>
      <w:ind w:left="1134" w:right="1134"/>
      <w:jc w:val="both"/>
    </w:pPr>
    <w:rPr>
      <w:spacing w:val="0"/>
      <w:w w:val="100"/>
      <w:kern w:val="0"/>
      <w:lang w:val="en-GB"/>
    </w:rPr>
  </w:style>
  <w:style w:type="character" w:styleId="PageNumber">
    <w:name w:val="page number"/>
    <w:aliases w:val="7_G"/>
    <w:rsid w:val="0038237D"/>
    <w:rPr>
      <w:rFonts w:ascii="Times New Roman" w:hAnsi="Times New Roman"/>
      <w:b/>
      <w:sz w:val="18"/>
    </w:rPr>
  </w:style>
  <w:style w:type="paragraph" w:styleId="PlainText">
    <w:name w:val="Plain Text"/>
    <w:basedOn w:val="Normal"/>
    <w:semiHidden/>
    <w:rsid w:val="0038237D"/>
    <w:pPr>
      <w:spacing w:line="240" w:lineRule="atLeast"/>
    </w:pPr>
    <w:rPr>
      <w:rFonts w:cs="Courier New"/>
      <w:spacing w:val="0"/>
      <w:w w:val="100"/>
      <w:kern w:val="0"/>
      <w:lang w:val="en-GB"/>
    </w:rPr>
  </w:style>
  <w:style w:type="paragraph" w:styleId="BodyText">
    <w:name w:val="Body Text"/>
    <w:basedOn w:val="Normal"/>
    <w:next w:val="Normal"/>
    <w:link w:val="BodyTextChar"/>
    <w:rsid w:val="0038237D"/>
    <w:pPr>
      <w:spacing w:line="240" w:lineRule="atLeast"/>
    </w:pPr>
    <w:rPr>
      <w:spacing w:val="0"/>
      <w:w w:val="100"/>
      <w:kern w:val="0"/>
      <w:lang/>
    </w:rPr>
  </w:style>
  <w:style w:type="paragraph" w:styleId="BodyTextIndent">
    <w:name w:val="Body Text Indent"/>
    <w:basedOn w:val="Normal"/>
    <w:semiHidden/>
    <w:rsid w:val="0038237D"/>
    <w:pPr>
      <w:spacing w:after="120" w:line="240" w:lineRule="atLeast"/>
      <w:ind w:left="283"/>
    </w:pPr>
    <w:rPr>
      <w:spacing w:val="0"/>
      <w:w w:val="100"/>
      <w:kern w:val="0"/>
      <w:lang w:val="en-GB"/>
    </w:rPr>
  </w:style>
  <w:style w:type="paragraph" w:styleId="BlockText">
    <w:name w:val="Block Text"/>
    <w:basedOn w:val="Normal"/>
    <w:semiHidden/>
    <w:rsid w:val="0038237D"/>
    <w:pPr>
      <w:spacing w:line="240" w:lineRule="atLeast"/>
      <w:ind w:left="1440" w:right="1440"/>
    </w:pPr>
    <w:rPr>
      <w:spacing w:val="0"/>
      <w:w w:val="100"/>
      <w:kern w:val="0"/>
      <w:lang w:val="en-GB"/>
    </w:rPr>
  </w:style>
  <w:style w:type="paragraph" w:customStyle="1" w:styleId="SMG">
    <w:name w:val="__S_M_G"/>
    <w:basedOn w:val="Normal"/>
    <w:next w:val="Normal"/>
    <w:rsid w:val="0038237D"/>
    <w:pPr>
      <w:keepNext/>
      <w:keepLine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38237D"/>
    <w:pPr>
      <w:keepNext/>
      <w:keepLine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38237D"/>
    <w:pPr>
      <w:keepNext/>
      <w:keepLine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38237D"/>
    <w:pPr>
      <w:keepNext/>
      <w:keepLines/>
      <w:spacing w:before="240" w:after="240" w:line="420" w:lineRule="exact"/>
      <w:ind w:left="1134" w:right="1134"/>
    </w:pPr>
    <w:rPr>
      <w:b/>
      <w:spacing w:val="0"/>
      <w:w w:val="100"/>
      <w:kern w:val="0"/>
      <w:sz w:val="40"/>
      <w:lang w:val="en-GB"/>
    </w:rPr>
  </w:style>
  <w:style w:type="paragraph" w:customStyle="1" w:styleId="Bullet1G">
    <w:name w:val="_Bullet 1_G"/>
    <w:basedOn w:val="Normal"/>
    <w:rsid w:val="0038237D"/>
    <w:pPr>
      <w:numPr>
        <w:numId w:val="17"/>
      </w:numPr>
      <w:spacing w:after="120" w:line="240" w:lineRule="atLeast"/>
      <w:ind w:right="1134"/>
      <w:jc w:val="both"/>
    </w:pPr>
    <w:rPr>
      <w:spacing w:val="0"/>
      <w:w w:val="100"/>
      <w:kern w:val="0"/>
      <w:lang w:val="en-GB"/>
    </w:rPr>
  </w:style>
  <w:style w:type="paragraph" w:customStyle="1" w:styleId="Bullet2G">
    <w:name w:val="_Bullet 2_G"/>
    <w:basedOn w:val="Normal"/>
    <w:rsid w:val="0038237D"/>
    <w:pPr>
      <w:numPr>
        <w:numId w:val="18"/>
      </w:numPr>
      <w:spacing w:after="120" w:line="240" w:lineRule="atLeast"/>
      <w:ind w:right="1134"/>
      <w:jc w:val="both"/>
    </w:pPr>
    <w:rPr>
      <w:spacing w:val="0"/>
      <w:w w:val="100"/>
      <w:kern w:val="0"/>
      <w:lang w:val="en-GB"/>
    </w:rPr>
  </w:style>
  <w:style w:type="paragraph" w:customStyle="1" w:styleId="H1G">
    <w:name w:val="_ H_1_G"/>
    <w:basedOn w:val="Normal"/>
    <w:next w:val="Normal"/>
    <w:rsid w:val="0038237D"/>
    <w:pPr>
      <w:keepNext/>
      <w:keepLines/>
      <w:tabs>
        <w:tab w:val="right" w:pos="851"/>
      </w:tab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38237D"/>
    <w:pPr>
      <w:keepNext/>
      <w:keepLines/>
      <w:tabs>
        <w:tab w:val="right" w:pos="851"/>
      </w:tabs>
      <w:spacing w:before="240" w:after="120"/>
      <w:ind w:left="1134" w:right="1134" w:hanging="1134"/>
    </w:pPr>
    <w:rPr>
      <w:b/>
      <w:spacing w:val="0"/>
      <w:w w:val="100"/>
      <w:kern w:val="0"/>
      <w:lang w:val="en-GB"/>
    </w:rPr>
  </w:style>
  <w:style w:type="paragraph" w:customStyle="1" w:styleId="H4G">
    <w:name w:val="_ H_4_G"/>
    <w:basedOn w:val="Normal"/>
    <w:next w:val="Normal"/>
    <w:rsid w:val="0038237D"/>
    <w:pPr>
      <w:keepNext/>
      <w:keepLines/>
      <w:tabs>
        <w:tab w:val="right" w:pos="851"/>
      </w:tabs>
      <w:spacing w:before="240" w:after="120"/>
      <w:ind w:left="1134" w:right="1134" w:hanging="1134"/>
    </w:pPr>
    <w:rPr>
      <w:i/>
      <w:spacing w:val="0"/>
      <w:w w:val="100"/>
      <w:kern w:val="0"/>
      <w:lang w:val="en-GB"/>
    </w:rPr>
  </w:style>
  <w:style w:type="paragraph" w:customStyle="1" w:styleId="H56G">
    <w:name w:val="_ H_5/6_G"/>
    <w:basedOn w:val="Normal"/>
    <w:next w:val="Normal"/>
    <w:rsid w:val="0038237D"/>
    <w:pPr>
      <w:keepNext/>
      <w:keepLines/>
      <w:tabs>
        <w:tab w:val="right" w:pos="851"/>
      </w:tabs>
      <w:spacing w:before="240" w:after="120"/>
      <w:ind w:left="1134" w:right="1134" w:hanging="1134"/>
    </w:pPr>
    <w:rPr>
      <w:spacing w:val="0"/>
      <w:w w:val="100"/>
      <w:kern w:val="0"/>
      <w:lang w:val="en-GB"/>
    </w:rPr>
  </w:style>
  <w:style w:type="numbering" w:styleId="111111">
    <w:name w:val="Outline List 2"/>
    <w:basedOn w:val="NoList"/>
    <w:semiHidden/>
    <w:rsid w:val="0038237D"/>
    <w:pPr>
      <w:numPr>
        <w:numId w:val="14"/>
      </w:numPr>
    </w:pPr>
  </w:style>
  <w:style w:type="numbering" w:styleId="1ai">
    <w:name w:val="Outline List 1"/>
    <w:basedOn w:val="NoList"/>
    <w:semiHidden/>
    <w:rsid w:val="0038237D"/>
    <w:pPr>
      <w:numPr>
        <w:numId w:val="15"/>
      </w:numPr>
    </w:pPr>
  </w:style>
  <w:style w:type="numbering" w:styleId="ArticleSection">
    <w:name w:val="Outline List 3"/>
    <w:basedOn w:val="NoList"/>
    <w:semiHidden/>
    <w:rsid w:val="0038237D"/>
    <w:pPr>
      <w:numPr>
        <w:numId w:val="16"/>
      </w:numPr>
    </w:pPr>
  </w:style>
  <w:style w:type="paragraph" w:styleId="BodyText2">
    <w:name w:val="Body Text 2"/>
    <w:basedOn w:val="Normal"/>
    <w:link w:val="BodyText2Char"/>
    <w:semiHidden/>
    <w:rsid w:val="0038237D"/>
    <w:pPr>
      <w:spacing w:after="120" w:line="480" w:lineRule="auto"/>
    </w:pPr>
    <w:rPr>
      <w:spacing w:val="0"/>
      <w:w w:val="100"/>
      <w:kern w:val="0"/>
      <w:lang/>
    </w:rPr>
  </w:style>
  <w:style w:type="paragraph" w:styleId="BodyText3">
    <w:name w:val="Body Text 3"/>
    <w:basedOn w:val="Normal"/>
    <w:semiHidden/>
    <w:rsid w:val="0038237D"/>
    <w:pPr>
      <w:spacing w:after="120" w:line="240" w:lineRule="atLeast"/>
    </w:pPr>
    <w:rPr>
      <w:spacing w:val="0"/>
      <w:w w:val="100"/>
      <w:kern w:val="0"/>
      <w:sz w:val="16"/>
      <w:szCs w:val="16"/>
      <w:lang w:val="en-GB"/>
    </w:rPr>
  </w:style>
  <w:style w:type="paragraph" w:styleId="BodyTextFirstIndent">
    <w:name w:val="Body Text First Indent"/>
    <w:basedOn w:val="BodyText"/>
    <w:semiHidden/>
    <w:rsid w:val="0038237D"/>
    <w:pPr>
      <w:spacing w:after="120"/>
      <w:ind w:firstLine="210"/>
    </w:pPr>
  </w:style>
  <w:style w:type="paragraph" w:styleId="BodyTextFirstIndent2">
    <w:name w:val="Body Text First Indent 2"/>
    <w:basedOn w:val="BodyTextIndent"/>
    <w:semiHidden/>
    <w:rsid w:val="0038237D"/>
    <w:pPr>
      <w:ind w:firstLine="210"/>
    </w:pPr>
  </w:style>
  <w:style w:type="paragraph" w:styleId="BodyTextIndent2">
    <w:name w:val="Body Text Indent 2"/>
    <w:basedOn w:val="Normal"/>
    <w:semiHidden/>
    <w:rsid w:val="0038237D"/>
    <w:pPr>
      <w:spacing w:after="120" w:line="480" w:lineRule="auto"/>
      <w:ind w:left="283"/>
    </w:pPr>
    <w:rPr>
      <w:spacing w:val="0"/>
      <w:w w:val="100"/>
      <w:kern w:val="0"/>
      <w:lang w:val="en-GB"/>
    </w:rPr>
  </w:style>
  <w:style w:type="paragraph" w:styleId="BodyTextIndent3">
    <w:name w:val="Body Text Indent 3"/>
    <w:basedOn w:val="Normal"/>
    <w:semiHidden/>
    <w:rsid w:val="0038237D"/>
    <w:pPr>
      <w:spacing w:after="120" w:line="240" w:lineRule="atLeast"/>
      <w:ind w:left="283"/>
    </w:pPr>
    <w:rPr>
      <w:spacing w:val="0"/>
      <w:w w:val="100"/>
      <w:kern w:val="0"/>
      <w:sz w:val="16"/>
      <w:szCs w:val="16"/>
      <w:lang w:val="en-GB"/>
    </w:rPr>
  </w:style>
  <w:style w:type="paragraph" w:styleId="Closing">
    <w:name w:val="Closing"/>
    <w:basedOn w:val="Normal"/>
    <w:semiHidden/>
    <w:rsid w:val="0038237D"/>
    <w:pPr>
      <w:spacing w:line="240" w:lineRule="atLeast"/>
      <w:ind w:left="4252"/>
    </w:pPr>
    <w:rPr>
      <w:spacing w:val="0"/>
      <w:w w:val="100"/>
      <w:kern w:val="0"/>
      <w:lang w:val="en-GB"/>
    </w:rPr>
  </w:style>
  <w:style w:type="paragraph" w:styleId="Date">
    <w:name w:val="Date"/>
    <w:basedOn w:val="Normal"/>
    <w:next w:val="Normal"/>
    <w:semiHidden/>
    <w:rsid w:val="0038237D"/>
    <w:pPr>
      <w:spacing w:line="240" w:lineRule="atLeast"/>
    </w:pPr>
    <w:rPr>
      <w:spacing w:val="0"/>
      <w:w w:val="100"/>
      <w:kern w:val="0"/>
      <w:lang w:val="en-GB"/>
    </w:rPr>
  </w:style>
  <w:style w:type="paragraph" w:styleId="E-mailSignature">
    <w:name w:val="E-mail Signature"/>
    <w:basedOn w:val="Normal"/>
    <w:semiHidden/>
    <w:rsid w:val="0038237D"/>
    <w:pPr>
      <w:spacing w:line="240" w:lineRule="atLeast"/>
    </w:pPr>
    <w:rPr>
      <w:spacing w:val="0"/>
      <w:w w:val="100"/>
      <w:kern w:val="0"/>
      <w:lang w:val="en-GB"/>
    </w:rPr>
  </w:style>
  <w:style w:type="character" w:styleId="Emphasis">
    <w:name w:val="Emphasis"/>
    <w:qFormat/>
    <w:rsid w:val="0038237D"/>
    <w:rPr>
      <w:i/>
      <w:iCs/>
    </w:rPr>
  </w:style>
  <w:style w:type="paragraph" w:styleId="EnvelopeReturn">
    <w:name w:val="envelope return"/>
    <w:basedOn w:val="Normal"/>
    <w:semiHidden/>
    <w:rsid w:val="0038237D"/>
    <w:pPr>
      <w:spacing w:line="240" w:lineRule="atLeast"/>
    </w:pPr>
    <w:rPr>
      <w:rFonts w:ascii="Arial" w:hAnsi="Arial" w:cs="Arial"/>
      <w:spacing w:val="0"/>
      <w:w w:val="100"/>
      <w:kern w:val="0"/>
      <w:lang w:val="en-GB"/>
    </w:rPr>
  </w:style>
  <w:style w:type="character" w:styleId="FollowedHyperlink">
    <w:name w:val="FollowedHyperlink"/>
    <w:rsid w:val="0038237D"/>
    <w:rPr>
      <w:color w:val="0000FF"/>
      <w:u w:val="none"/>
    </w:rPr>
  </w:style>
  <w:style w:type="character" w:styleId="HTMLAcronym">
    <w:name w:val="HTML Acronym"/>
    <w:basedOn w:val="DefaultParagraphFont"/>
    <w:semiHidden/>
    <w:rsid w:val="0038237D"/>
  </w:style>
  <w:style w:type="paragraph" w:styleId="HTMLAddress">
    <w:name w:val="HTML Address"/>
    <w:basedOn w:val="Normal"/>
    <w:semiHidden/>
    <w:rsid w:val="0038237D"/>
    <w:pPr>
      <w:spacing w:line="240" w:lineRule="atLeast"/>
    </w:pPr>
    <w:rPr>
      <w:i/>
      <w:iCs/>
      <w:spacing w:val="0"/>
      <w:w w:val="100"/>
      <w:kern w:val="0"/>
      <w:lang w:val="en-GB"/>
    </w:rPr>
  </w:style>
  <w:style w:type="character" w:styleId="HTMLCite">
    <w:name w:val="HTML Cite"/>
    <w:semiHidden/>
    <w:rsid w:val="0038237D"/>
    <w:rPr>
      <w:i/>
      <w:iCs/>
    </w:rPr>
  </w:style>
  <w:style w:type="character" w:styleId="HTMLCode">
    <w:name w:val="HTML Code"/>
    <w:semiHidden/>
    <w:rsid w:val="0038237D"/>
    <w:rPr>
      <w:rFonts w:ascii="Courier New" w:hAnsi="Courier New" w:cs="Courier New"/>
      <w:sz w:val="20"/>
      <w:szCs w:val="20"/>
    </w:rPr>
  </w:style>
  <w:style w:type="character" w:styleId="HTMLDefinition">
    <w:name w:val="HTML Definition"/>
    <w:semiHidden/>
    <w:rsid w:val="0038237D"/>
    <w:rPr>
      <w:i/>
      <w:iCs/>
    </w:rPr>
  </w:style>
  <w:style w:type="character" w:styleId="HTMLKeyboard">
    <w:name w:val="HTML Keyboard"/>
    <w:semiHidden/>
    <w:rsid w:val="0038237D"/>
    <w:rPr>
      <w:rFonts w:ascii="Courier New" w:hAnsi="Courier New" w:cs="Courier New"/>
      <w:sz w:val="20"/>
      <w:szCs w:val="20"/>
    </w:rPr>
  </w:style>
  <w:style w:type="paragraph" w:styleId="HTMLPreformatted">
    <w:name w:val="HTML Preformatted"/>
    <w:basedOn w:val="Normal"/>
    <w:semiHidden/>
    <w:rsid w:val="0038237D"/>
    <w:pPr>
      <w:spacing w:line="240" w:lineRule="atLeast"/>
    </w:pPr>
    <w:rPr>
      <w:rFonts w:ascii="Courier New" w:hAnsi="Courier New" w:cs="Courier New"/>
      <w:spacing w:val="0"/>
      <w:w w:val="100"/>
      <w:kern w:val="0"/>
      <w:lang w:val="en-GB"/>
    </w:rPr>
  </w:style>
  <w:style w:type="character" w:styleId="HTMLSample">
    <w:name w:val="HTML Sample"/>
    <w:semiHidden/>
    <w:rsid w:val="0038237D"/>
    <w:rPr>
      <w:rFonts w:ascii="Courier New" w:hAnsi="Courier New" w:cs="Courier New"/>
    </w:rPr>
  </w:style>
  <w:style w:type="character" w:styleId="HTMLTypewriter">
    <w:name w:val="HTML Typewriter"/>
    <w:semiHidden/>
    <w:rsid w:val="0038237D"/>
    <w:rPr>
      <w:rFonts w:ascii="Courier New" w:hAnsi="Courier New" w:cs="Courier New"/>
      <w:sz w:val="20"/>
      <w:szCs w:val="20"/>
    </w:rPr>
  </w:style>
  <w:style w:type="character" w:styleId="HTMLVariable">
    <w:name w:val="HTML Variable"/>
    <w:semiHidden/>
    <w:rsid w:val="0038237D"/>
    <w:rPr>
      <w:i/>
      <w:iCs/>
    </w:rPr>
  </w:style>
  <w:style w:type="character" w:styleId="Hyperlink">
    <w:name w:val="Hyperlink"/>
    <w:rsid w:val="0038237D"/>
    <w:rPr>
      <w:color w:val="0000FF"/>
      <w:u w:val="none"/>
    </w:rPr>
  </w:style>
  <w:style w:type="paragraph" w:styleId="List">
    <w:name w:val="List"/>
    <w:basedOn w:val="Normal"/>
    <w:semiHidden/>
    <w:rsid w:val="0038237D"/>
    <w:pPr>
      <w:spacing w:line="240" w:lineRule="atLeast"/>
      <w:ind w:left="283" w:hanging="283"/>
    </w:pPr>
    <w:rPr>
      <w:spacing w:val="0"/>
      <w:w w:val="100"/>
      <w:kern w:val="0"/>
      <w:lang w:val="en-GB"/>
    </w:rPr>
  </w:style>
  <w:style w:type="paragraph" w:styleId="List2">
    <w:name w:val="List 2"/>
    <w:basedOn w:val="Normal"/>
    <w:semiHidden/>
    <w:rsid w:val="0038237D"/>
    <w:pPr>
      <w:spacing w:line="240" w:lineRule="atLeast"/>
      <w:ind w:left="566" w:hanging="283"/>
    </w:pPr>
    <w:rPr>
      <w:spacing w:val="0"/>
      <w:w w:val="100"/>
      <w:kern w:val="0"/>
      <w:lang w:val="en-GB"/>
    </w:rPr>
  </w:style>
  <w:style w:type="paragraph" w:styleId="List3">
    <w:name w:val="List 3"/>
    <w:basedOn w:val="Normal"/>
    <w:semiHidden/>
    <w:rsid w:val="0038237D"/>
    <w:pPr>
      <w:spacing w:line="240" w:lineRule="atLeast"/>
      <w:ind w:left="849" w:hanging="283"/>
    </w:pPr>
    <w:rPr>
      <w:spacing w:val="0"/>
      <w:w w:val="100"/>
      <w:kern w:val="0"/>
      <w:lang w:val="en-GB"/>
    </w:rPr>
  </w:style>
  <w:style w:type="paragraph" w:styleId="List4">
    <w:name w:val="List 4"/>
    <w:basedOn w:val="Normal"/>
    <w:semiHidden/>
    <w:rsid w:val="0038237D"/>
    <w:pPr>
      <w:spacing w:line="240" w:lineRule="atLeast"/>
      <w:ind w:left="1132" w:hanging="283"/>
    </w:pPr>
    <w:rPr>
      <w:spacing w:val="0"/>
      <w:w w:val="100"/>
      <w:kern w:val="0"/>
      <w:lang w:val="en-GB"/>
    </w:rPr>
  </w:style>
  <w:style w:type="paragraph" w:styleId="List5">
    <w:name w:val="List 5"/>
    <w:basedOn w:val="Normal"/>
    <w:semiHidden/>
    <w:rsid w:val="0038237D"/>
    <w:pPr>
      <w:spacing w:line="240" w:lineRule="atLeast"/>
      <w:ind w:left="1415" w:hanging="283"/>
    </w:pPr>
    <w:rPr>
      <w:spacing w:val="0"/>
      <w:w w:val="100"/>
      <w:kern w:val="0"/>
      <w:lang w:val="en-GB"/>
    </w:rPr>
  </w:style>
  <w:style w:type="paragraph" w:styleId="ListBullet">
    <w:name w:val="List Bullet"/>
    <w:basedOn w:val="Normal"/>
    <w:semiHidden/>
    <w:rsid w:val="0038237D"/>
    <w:pPr>
      <w:numPr>
        <w:numId w:val="9"/>
      </w:numPr>
      <w:spacing w:line="240" w:lineRule="atLeast"/>
    </w:pPr>
    <w:rPr>
      <w:spacing w:val="0"/>
      <w:w w:val="100"/>
      <w:kern w:val="0"/>
      <w:lang w:val="en-GB"/>
    </w:rPr>
  </w:style>
  <w:style w:type="paragraph" w:styleId="ListBullet2">
    <w:name w:val="List Bullet 2"/>
    <w:basedOn w:val="Normal"/>
    <w:semiHidden/>
    <w:rsid w:val="0038237D"/>
    <w:pPr>
      <w:numPr>
        <w:numId w:val="10"/>
      </w:numPr>
      <w:spacing w:line="240" w:lineRule="atLeast"/>
    </w:pPr>
    <w:rPr>
      <w:spacing w:val="0"/>
      <w:w w:val="100"/>
      <w:kern w:val="0"/>
      <w:lang w:val="en-GB"/>
    </w:rPr>
  </w:style>
  <w:style w:type="paragraph" w:styleId="ListBullet3">
    <w:name w:val="List Bullet 3"/>
    <w:basedOn w:val="Normal"/>
    <w:semiHidden/>
    <w:rsid w:val="0038237D"/>
    <w:pPr>
      <w:numPr>
        <w:numId w:val="11"/>
      </w:numPr>
      <w:spacing w:line="240" w:lineRule="atLeast"/>
    </w:pPr>
    <w:rPr>
      <w:spacing w:val="0"/>
      <w:w w:val="100"/>
      <w:kern w:val="0"/>
      <w:lang w:val="en-GB"/>
    </w:rPr>
  </w:style>
  <w:style w:type="paragraph" w:styleId="ListBullet4">
    <w:name w:val="List Bullet 4"/>
    <w:basedOn w:val="Normal"/>
    <w:semiHidden/>
    <w:rsid w:val="0038237D"/>
    <w:pPr>
      <w:numPr>
        <w:numId w:val="12"/>
      </w:numPr>
      <w:spacing w:line="240" w:lineRule="atLeast"/>
    </w:pPr>
    <w:rPr>
      <w:spacing w:val="0"/>
      <w:w w:val="100"/>
      <w:kern w:val="0"/>
      <w:lang w:val="en-GB"/>
    </w:rPr>
  </w:style>
  <w:style w:type="paragraph" w:styleId="ListBullet5">
    <w:name w:val="List Bullet 5"/>
    <w:basedOn w:val="Normal"/>
    <w:semiHidden/>
    <w:rsid w:val="0038237D"/>
    <w:pPr>
      <w:numPr>
        <w:numId w:val="13"/>
      </w:numPr>
      <w:spacing w:line="240" w:lineRule="atLeast"/>
    </w:pPr>
    <w:rPr>
      <w:spacing w:val="0"/>
      <w:w w:val="100"/>
      <w:kern w:val="0"/>
      <w:lang w:val="en-GB"/>
    </w:rPr>
  </w:style>
  <w:style w:type="paragraph" w:styleId="ListContinue">
    <w:name w:val="List Continue"/>
    <w:basedOn w:val="Normal"/>
    <w:semiHidden/>
    <w:rsid w:val="0038237D"/>
    <w:pPr>
      <w:spacing w:after="120" w:line="240" w:lineRule="atLeast"/>
      <w:ind w:left="283"/>
    </w:pPr>
    <w:rPr>
      <w:spacing w:val="0"/>
      <w:w w:val="100"/>
      <w:kern w:val="0"/>
      <w:lang w:val="en-GB"/>
    </w:rPr>
  </w:style>
  <w:style w:type="paragraph" w:styleId="ListContinue2">
    <w:name w:val="List Continue 2"/>
    <w:basedOn w:val="Normal"/>
    <w:semiHidden/>
    <w:rsid w:val="0038237D"/>
    <w:pPr>
      <w:spacing w:after="120" w:line="240" w:lineRule="atLeast"/>
      <w:ind w:left="566"/>
    </w:pPr>
    <w:rPr>
      <w:spacing w:val="0"/>
      <w:w w:val="100"/>
      <w:kern w:val="0"/>
      <w:lang w:val="en-GB"/>
    </w:rPr>
  </w:style>
  <w:style w:type="paragraph" w:styleId="ListContinue3">
    <w:name w:val="List Continue 3"/>
    <w:basedOn w:val="Normal"/>
    <w:semiHidden/>
    <w:rsid w:val="0038237D"/>
    <w:pPr>
      <w:spacing w:after="120" w:line="240" w:lineRule="atLeast"/>
      <w:ind w:left="849"/>
    </w:pPr>
    <w:rPr>
      <w:spacing w:val="0"/>
      <w:w w:val="100"/>
      <w:kern w:val="0"/>
      <w:lang w:val="en-GB"/>
    </w:rPr>
  </w:style>
  <w:style w:type="paragraph" w:styleId="ListContinue4">
    <w:name w:val="List Continue 4"/>
    <w:basedOn w:val="Normal"/>
    <w:semiHidden/>
    <w:rsid w:val="0038237D"/>
    <w:pPr>
      <w:spacing w:after="120" w:line="240" w:lineRule="atLeast"/>
      <w:ind w:left="1132"/>
    </w:pPr>
    <w:rPr>
      <w:spacing w:val="0"/>
      <w:w w:val="100"/>
      <w:kern w:val="0"/>
      <w:lang w:val="en-GB"/>
    </w:rPr>
  </w:style>
  <w:style w:type="paragraph" w:styleId="ListContinue5">
    <w:name w:val="List Continue 5"/>
    <w:basedOn w:val="Normal"/>
    <w:semiHidden/>
    <w:rsid w:val="0038237D"/>
    <w:pPr>
      <w:spacing w:after="120" w:line="240" w:lineRule="atLeast"/>
      <w:ind w:left="1415"/>
    </w:pPr>
    <w:rPr>
      <w:spacing w:val="0"/>
      <w:w w:val="100"/>
      <w:kern w:val="0"/>
      <w:lang w:val="en-GB"/>
    </w:rPr>
  </w:style>
  <w:style w:type="paragraph" w:styleId="ListNumber">
    <w:name w:val="List Number"/>
    <w:basedOn w:val="Normal"/>
    <w:semiHidden/>
    <w:rsid w:val="0038237D"/>
    <w:pPr>
      <w:numPr>
        <w:numId w:val="8"/>
      </w:numPr>
      <w:spacing w:line="240" w:lineRule="atLeast"/>
    </w:pPr>
    <w:rPr>
      <w:spacing w:val="0"/>
      <w:w w:val="100"/>
      <w:kern w:val="0"/>
      <w:lang w:val="en-GB"/>
    </w:rPr>
  </w:style>
  <w:style w:type="paragraph" w:styleId="ListNumber2">
    <w:name w:val="List Number 2"/>
    <w:basedOn w:val="Normal"/>
    <w:semiHidden/>
    <w:rsid w:val="0038237D"/>
    <w:pPr>
      <w:numPr>
        <w:numId w:val="7"/>
      </w:numPr>
      <w:spacing w:line="240" w:lineRule="atLeast"/>
    </w:pPr>
    <w:rPr>
      <w:spacing w:val="0"/>
      <w:w w:val="100"/>
      <w:kern w:val="0"/>
      <w:lang w:val="en-GB"/>
    </w:rPr>
  </w:style>
  <w:style w:type="paragraph" w:styleId="ListNumber3">
    <w:name w:val="List Number 3"/>
    <w:basedOn w:val="Normal"/>
    <w:semiHidden/>
    <w:rsid w:val="0038237D"/>
    <w:pPr>
      <w:numPr>
        <w:numId w:val="6"/>
      </w:numPr>
      <w:spacing w:line="240" w:lineRule="atLeast"/>
    </w:pPr>
    <w:rPr>
      <w:spacing w:val="0"/>
      <w:w w:val="100"/>
      <w:kern w:val="0"/>
      <w:lang w:val="en-GB"/>
    </w:rPr>
  </w:style>
  <w:style w:type="paragraph" w:styleId="ListNumber4">
    <w:name w:val="List Number 4"/>
    <w:basedOn w:val="Normal"/>
    <w:semiHidden/>
    <w:rsid w:val="0038237D"/>
    <w:pPr>
      <w:numPr>
        <w:numId w:val="4"/>
      </w:numPr>
      <w:spacing w:line="240" w:lineRule="atLeast"/>
    </w:pPr>
    <w:rPr>
      <w:spacing w:val="0"/>
      <w:w w:val="100"/>
      <w:kern w:val="0"/>
      <w:lang w:val="en-GB"/>
    </w:rPr>
  </w:style>
  <w:style w:type="paragraph" w:styleId="ListNumber5">
    <w:name w:val="List Number 5"/>
    <w:basedOn w:val="Normal"/>
    <w:semiHidden/>
    <w:rsid w:val="0038237D"/>
    <w:pPr>
      <w:numPr>
        <w:numId w:val="5"/>
      </w:numPr>
      <w:spacing w:line="240" w:lineRule="atLeast"/>
    </w:pPr>
    <w:rPr>
      <w:spacing w:val="0"/>
      <w:w w:val="100"/>
      <w:kern w:val="0"/>
      <w:lang w:val="en-GB"/>
    </w:rPr>
  </w:style>
  <w:style w:type="paragraph" w:styleId="MessageHeader">
    <w:name w:val="Message Header"/>
    <w:basedOn w:val="Normal"/>
    <w:semiHidden/>
    <w:rsid w:val="0038237D"/>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pacing w:val="0"/>
      <w:w w:val="100"/>
      <w:kern w:val="0"/>
      <w:sz w:val="24"/>
      <w:szCs w:val="24"/>
      <w:lang w:val="en-GB"/>
    </w:rPr>
  </w:style>
  <w:style w:type="paragraph" w:styleId="NormalWeb">
    <w:name w:val="Normal (Web)"/>
    <w:basedOn w:val="Normal"/>
    <w:link w:val="NormalWebChar"/>
    <w:rsid w:val="0038237D"/>
    <w:pPr>
      <w:spacing w:line="240" w:lineRule="atLeast"/>
    </w:pPr>
    <w:rPr>
      <w:spacing w:val="0"/>
      <w:w w:val="100"/>
      <w:kern w:val="0"/>
      <w:sz w:val="24"/>
      <w:szCs w:val="24"/>
      <w:lang/>
    </w:rPr>
  </w:style>
  <w:style w:type="paragraph" w:styleId="NormalIndent">
    <w:name w:val="Normal Indent"/>
    <w:basedOn w:val="Normal"/>
    <w:semiHidden/>
    <w:rsid w:val="0038237D"/>
    <w:pPr>
      <w:spacing w:line="240" w:lineRule="atLeast"/>
      <w:ind w:left="567"/>
    </w:pPr>
    <w:rPr>
      <w:spacing w:val="0"/>
      <w:w w:val="100"/>
      <w:kern w:val="0"/>
      <w:lang w:val="en-GB"/>
    </w:rPr>
  </w:style>
  <w:style w:type="paragraph" w:styleId="NoteHeading">
    <w:name w:val="Note Heading"/>
    <w:basedOn w:val="Normal"/>
    <w:next w:val="Normal"/>
    <w:semiHidden/>
    <w:rsid w:val="0038237D"/>
    <w:pPr>
      <w:spacing w:line="240" w:lineRule="atLeast"/>
    </w:pPr>
    <w:rPr>
      <w:spacing w:val="0"/>
      <w:w w:val="100"/>
      <w:kern w:val="0"/>
      <w:lang w:val="en-GB"/>
    </w:rPr>
  </w:style>
  <w:style w:type="paragraph" w:styleId="Salutation">
    <w:name w:val="Salutation"/>
    <w:basedOn w:val="Normal"/>
    <w:next w:val="Normal"/>
    <w:semiHidden/>
    <w:rsid w:val="0038237D"/>
    <w:pPr>
      <w:spacing w:line="240" w:lineRule="atLeast"/>
    </w:pPr>
    <w:rPr>
      <w:spacing w:val="0"/>
      <w:w w:val="100"/>
      <w:kern w:val="0"/>
      <w:lang w:val="en-GB"/>
    </w:rPr>
  </w:style>
  <w:style w:type="paragraph" w:styleId="Signature">
    <w:name w:val="Signature"/>
    <w:basedOn w:val="Normal"/>
    <w:semiHidden/>
    <w:rsid w:val="0038237D"/>
    <w:pPr>
      <w:spacing w:line="240" w:lineRule="atLeast"/>
      <w:ind w:left="4252"/>
    </w:pPr>
    <w:rPr>
      <w:spacing w:val="0"/>
      <w:w w:val="100"/>
      <w:kern w:val="0"/>
      <w:lang w:val="en-GB"/>
    </w:rPr>
  </w:style>
  <w:style w:type="character" w:styleId="Strong">
    <w:name w:val="Strong"/>
    <w:qFormat/>
    <w:rsid w:val="0038237D"/>
    <w:rPr>
      <w:b/>
      <w:bCs/>
    </w:rPr>
  </w:style>
  <w:style w:type="paragraph" w:styleId="Subtitle">
    <w:name w:val="Subtitle"/>
    <w:basedOn w:val="Normal"/>
    <w:link w:val="SubtitleChar"/>
    <w:qFormat/>
    <w:rsid w:val="0038237D"/>
    <w:pPr>
      <w:spacing w:after="60" w:line="240" w:lineRule="atLeast"/>
      <w:jc w:val="center"/>
      <w:outlineLvl w:val="1"/>
    </w:pPr>
    <w:rPr>
      <w:rFonts w:ascii="Arial" w:hAnsi="Arial"/>
      <w:spacing w:val="0"/>
      <w:w w:val="100"/>
      <w:kern w:val="0"/>
      <w:sz w:val="24"/>
      <w:szCs w:val="24"/>
      <w:lang/>
    </w:rPr>
  </w:style>
  <w:style w:type="table" w:styleId="Table3Deffects1">
    <w:name w:val="Table 3D effects 1"/>
    <w:basedOn w:val="TableNormal"/>
    <w:semiHidden/>
    <w:rsid w:val="0038237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237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237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237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237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237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237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237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237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237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237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237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237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237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237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237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237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8237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38237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8237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237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237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8237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8237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237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237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237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237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237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237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237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237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237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237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8237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237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237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237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237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237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237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8237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237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237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8237D"/>
    <w:pPr>
      <w:spacing w:before="240" w:after="60" w:line="240" w:lineRule="atLeast"/>
      <w:jc w:val="center"/>
      <w:outlineLvl w:val="0"/>
    </w:pPr>
    <w:rPr>
      <w:rFonts w:ascii="Arial" w:hAnsi="Arial"/>
      <w:b/>
      <w:bCs/>
      <w:spacing w:val="0"/>
      <w:w w:val="100"/>
      <w:kern w:val="28"/>
      <w:sz w:val="32"/>
      <w:szCs w:val="32"/>
      <w:lang/>
    </w:rPr>
  </w:style>
  <w:style w:type="paragraph" w:styleId="EnvelopeAddress">
    <w:name w:val="envelope address"/>
    <w:basedOn w:val="Normal"/>
    <w:semiHidden/>
    <w:rsid w:val="0038237D"/>
    <w:pPr>
      <w:framePr w:w="7920" w:h="1980" w:hRule="exact" w:hSpace="180" w:wrap="auto" w:hAnchor="page" w:xAlign="center" w:yAlign="bottom"/>
      <w:spacing w:line="240" w:lineRule="atLeast"/>
      <w:ind w:left="2880"/>
    </w:pPr>
    <w:rPr>
      <w:rFonts w:ascii="Arial" w:hAnsi="Arial" w:cs="Arial"/>
      <w:spacing w:val="0"/>
      <w:w w:val="100"/>
      <w:kern w:val="0"/>
      <w:sz w:val="24"/>
      <w:szCs w:val="24"/>
      <w:lang w:val="en-GB"/>
    </w:rPr>
  </w:style>
  <w:style w:type="character" w:customStyle="1" w:styleId="FootnoteTextChar">
    <w:name w:val="Footnote Text Char"/>
    <w:aliases w:val="5_G Char,Char Char1,Footnote Text Blue Char,EUMC_Lábjegyzetszöveg + 13 pt Char,Félkövér Char,Dolt Char,Középre zárt Char Char1,Középre zárt Char Char Char,Középre zárt Char1,Märk Char,Footnote Text Char1 Char"/>
    <w:link w:val="FootnoteText"/>
    <w:rsid w:val="0038237D"/>
    <w:rPr>
      <w:spacing w:val="5"/>
      <w:w w:val="104"/>
      <w:kern w:val="14"/>
      <w:sz w:val="17"/>
      <w:lang w:val="es-ES" w:eastAsia="en-US" w:bidi="ar-SA"/>
    </w:rPr>
  </w:style>
  <w:style w:type="character" w:customStyle="1" w:styleId="HChGChar">
    <w:name w:val="_ H _Ch_G Char"/>
    <w:link w:val="HChG"/>
    <w:rsid w:val="0038237D"/>
    <w:rPr>
      <w:b/>
      <w:sz w:val="28"/>
      <w:lang w:eastAsia="en-US" w:bidi="ar-SA"/>
    </w:rPr>
  </w:style>
  <w:style w:type="character" w:customStyle="1" w:styleId="Heading1Char">
    <w:name w:val="Heading 1 Char"/>
    <w:aliases w:val="Table_G Char"/>
    <w:link w:val="Heading1"/>
    <w:rsid w:val="0038237D"/>
    <w:rPr>
      <w:lang w:eastAsia="en-US" w:bidi="ar-SA"/>
    </w:rPr>
  </w:style>
  <w:style w:type="character" w:customStyle="1" w:styleId="Heading2Char">
    <w:name w:val="Heading 2 Char"/>
    <w:link w:val="Heading2"/>
    <w:rsid w:val="0038237D"/>
    <w:rPr>
      <w:lang w:eastAsia="en-US" w:bidi="ar-SA"/>
    </w:rPr>
  </w:style>
  <w:style w:type="character" w:customStyle="1" w:styleId="Heading3Char">
    <w:name w:val="Heading 3 Char"/>
    <w:link w:val="Heading3"/>
    <w:rsid w:val="0038237D"/>
    <w:rPr>
      <w:lang w:eastAsia="en-US" w:bidi="ar-SA"/>
    </w:rPr>
  </w:style>
  <w:style w:type="character" w:customStyle="1" w:styleId="HeaderChar">
    <w:name w:val="Header Char"/>
    <w:aliases w:val="6_G Char"/>
    <w:link w:val="Header"/>
    <w:rsid w:val="0038237D"/>
    <w:rPr>
      <w:noProof/>
      <w:sz w:val="17"/>
      <w:lang w:val="en-US" w:eastAsia="en-US" w:bidi="ar-SA"/>
    </w:rPr>
  </w:style>
  <w:style w:type="paragraph" w:styleId="ListParagraph">
    <w:name w:val="List Paragraph"/>
    <w:basedOn w:val="Normal"/>
    <w:qFormat/>
    <w:rsid w:val="0038237D"/>
    <w:pPr>
      <w:suppressAutoHyphens w:val="0"/>
      <w:spacing w:line="240" w:lineRule="auto"/>
      <w:ind w:left="1304"/>
    </w:pPr>
    <w:rPr>
      <w:rFonts w:ascii="Garamond" w:hAnsi="Garamond"/>
      <w:spacing w:val="0"/>
      <w:w w:val="100"/>
      <w:kern w:val="0"/>
      <w:sz w:val="26"/>
      <w:lang w:val="da-DK"/>
    </w:rPr>
  </w:style>
  <w:style w:type="character" w:customStyle="1" w:styleId="BodyTextChar">
    <w:name w:val="Body Text Char"/>
    <w:link w:val="BodyText"/>
    <w:rsid w:val="0038237D"/>
    <w:rPr>
      <w:lang w:eastAsia="en-US" w:bidi="ar-SA"/>
    </w:rPr>
  </w:style>
  <w:style w:type="character" w:customStyle="1" w:styleId="Brevhoved-etiket">
    <w:name w:val="Brevhoved - etiket"/>
    <w:rsid w:val="0038237D"/>
    <w:rPr>
      <w:b/>
      <w:sz w:val="18"/>
      <w:lang w:bidi="ar-SA"/>
    </w:rPr>
  </w:style>
  <w:style w:type="character" w:customStyle="1" w:styleId="FooterChar">
    <w:name w:val="Footer Char"/>
    <w:aliases w:val="3_G Char"/>
    <w:link w:val="Footer"/>
    <w:rsid w:val="0038237D"/>
    <w:rPr>
      <w:b/>
      <w:noProof/>
      <w:sz w:val="17"/>
      <w:lang w:val="en-US" w:eastAsia="en-US" w:bidi="ar-SA"/>
    </w:rPr>
  </w:style>
  <w:style w:type="character" w:customStyle="1" w:styleId="SidefodTegn1">
    <w:name w:val="Sidefod Tegn1"/>
    <w:semiHidden/>
    <w:rsid w:val="0038237D"/>
    <w:rPr>
      <w:rFonts w:ascii="Garamond" w:eastAsia="Times New Roman" w:hAnsi="Garamond" w:cs="Times New Roman"/>
      <w:sz w:val="26"/>
      <w:szCs w:val="20"/>
      <w:lang w:eastAsia="en-US"/>
    </w:rPr>
  </w:style>
  <w:style w:type="paragraph" w:customStyle="1" w:styleId="ambodytext">
    <w:name w:val="ambodytext"/>
    <w:basedOn w:val="Normal"/>
    <w:rsid w:val="0038237D"/>
    <w:pPr>
      <w:suppressAutoHyphens w:val="0"/>
      <w:spacing w:line="280" w:lineRule="atLeast"/>
    </w:pPr>
    <w:rPr>
      <w:spacing w:val="0"/>
      <w:w w:val="100"/>
      <w:kern w:val="0"/>
      <w:sz w:val="24"/>
      <w:szCs w:val="24"/>
      <w:lang w:val="da-DK" w:eastAsia="da-DK"/>
    </w:rPr>
  </w:style>
  <w:style w:type="paragraph" w:customStyle="1" w:styleId="editor-p">
    <w:name w:val="editor-p"/>
    <w:basedOn w:val="Normal"/>
    <w:rsid w:val="0038237D"/>
    <w:pPr>
      <w:suppressAutoHyphens w:val="0"/>
      <w:spacing w:line="240" w:lineRule="auto"/>
    </w:pPr>
    <w:rPr>
      <w:rFonts w:ascii="Verdana" w:eastAsia="PMingLiU" w:hAnsi="Verdana"/>
      <w:spacing w:val="0"/>
      <w:w w:val="100"/>
      <w:kern w:val="0"/>
      <w:sz w:val="15"/>
      <w:szCs w:val="15"/>
      <w:lang w:val="da-DK" w:eastAsia="zh-TW"/>
    </w:rPr>
  </w:style>
  <w:style w:type="paragraph" w:customStyle="1" w:styleId="1Overskriftudennummer">
    <w:name w:val="1 Overskrift uden nummer"/>
    <w:basedOn w:val="Normal"/>
    <w:next w:val="Normal"/>
    <w:rsid w:val="0038237D"/>
    <w:pPr>
      <w:suppressAutoHyphens w:val="0"/>
      <w:spacing w:line="260" w:lineRule="atLeast"/>
    </w:pPr>
    <w:rPr>
      <w:b/>
      <w:spacing w:val="2"/>
      <w:w w:val="100"/>
      <w:kern w:val="26"/>
      <w:sz w:val="22"/>
      <w:lang w:val="da-DK" w:eastAsia="da-DK"/>
    </w:rPr>
  </w:style>
  <w:style w:type="character" w:customStyle="1" w:styleId="BodyText2Char">
    <w:name w:val="Body Text 2 Char"/>
    <w:link w:val="BodyText2"/>
    <w:semiHidden/>
    <w:rsid w:val="0038237D"/>
    <w:rPr>
      <w:lang w:eastAsia="en-US" w:bidi="ar-SA"/>
    </w:rPr>
  </w:style>
  <w:style w:type="character" w:customStyle="1" w:styleId="TitleChar">
    <w:name w:val="Title Char"/>
    <w:link w:val="Title"/>
    <w:rsid w:val="0038237D"/>
    <w:rPr>
      <w:rFonts w:ascii="Arial" w:hAnsi="Arial"/>
      <w:b/>
      <w:bCs/>
      <w:kern w:val="28"/>
      <w:sz w:val="32"/>
      <w:szCs w:val="32"/>
      <w:lang w:eastAsia="en-US" w:bidi="ar-SA"/>
    </w:rPr>
  </w:style>
  <w:style w:type="paragraph" w:customStyle="1" w:styleId="Normal11pkt">
    <w:name w:val="Normal + 11 pkt"/>
    <w:aliases w:val="Fed"/>
    <w:basedOn w:val="Normal"/>
    <w:link w:val="Normal11pktTegn"/>
    <w:rsid w:val="0038237D"/>
    <w:pPr>
      <w:suppressAutoHyphens w:val="0"/>
      <w:spacing w:line="240" w:lineRule="auto"/>
    </w:pPr>
    <w:rPr>
      <w:b/>
      <w:bCs/>
      <w:snapToGrid w:val="0"/>
      <w:spacing w:val="0"/>
      <w:w w:val="100"/>
      <w:kern w:val="0"/>
      <w:sz w:val="22"/>
      <w:szCs w:val="22"/>
      <w:lang/>
    </w:rPr>
  </w:style>
  <w:style w:type="character" w:customStyle="1" w:styleId="Normal11pktTegn">
    <w:name w:val="Normal + 11 pkt Tegn"/>
    <w:aliases w:val="Fed Tegn"/>
    <w:link w:val="Normal11pkt"/>
    <w:rsid w:val="0038237D"/>
    <w:rPr>
      <w:b/>
      <w:bCs/>
      <w:snapToGrid w:val="0"/>
      <w:sz w:val="22"/>
      <w:szCs w:val="22"/>
      <w:lang w:bidi="ar-SA"/>
    </w:rPr>
  </w:style>
  <w:style w:type="paragraph" w:customStyle="1" w:styleId="NormalWebSort">
    <w:name w:val="Normal (Web) + Sort"/>
    <w:basedOn w:val="NormalWeb"/>
    <w:link w:val="NormalWebSortTegn"/>
    <w:rsid w:val="0038237D"/>
  </w:style>
  <w:style w:type="character" w:customStyle="1" w:styleId="NormalWebChar">
    <w:name w:val="Normal (Web) Char"/>
    <w:link w:val="NormalWeb"/>
    <w:rsid w:val="0038237D"/>
    <w:rPr>
      <w:sz w:val="24"/>
      <w:szCs w:val="24"/>
      <w:lang w:eastAsia="en-US" w:bidi="ar-SA"/>
    </w:rPr>
  </w:style>
  <w:style w:type="character" w:customStyle="1" w:styleId="NormalWebSortTegn">
    <w:name w:val="Normal (Web) + Sort Tegn"/>
    <w:link w:val="NormalWebSort"/>
    <w:rsid w:val="0038237D"/>
    <w:rPr>
      <w:sz w:val="24"/>
      <w:szCs w:val="24"/>
      <w:lang w:eastAsia="en-US" w:bidi="ar-SA"/>
    </w:rPr>
  </w:style>
  <w:style w:type="character" w:customStyle="1" w:styleId="CommentTextChar">
    <w:name w:val="Comment Text Char"/>
    <w:semiHidden/>
    <w:rsid w:val="0038237D"/>
    <w:rPr>
      <w:rFonts w:ascii="Garamond" w:eastAsia="Times New Roman" w:hAnsi="Garamond" w:cs="Times New Roman"/>
      <w:sz w:val="20"/>
      <w:szCs w:val="20"/>
      <w:lang w:eastAsia="en-US"/>
    </w:rPr>
  </w:style>
  <w:style w:type="character" w:customStyle="1" w:styleId="BalloonTextChar">
    <w:name w:val="Balloon Text Char"/>
    <w:link w:val="BalloonText"/>
    <w:rsid w:val="0038237D"/>
    <w:rPr>
      <w:rFonts w:ascii="Tahoma" w:hAnsi="Tahoma" w:cs="Tahoma"/>
      <w:spacing w:val="4"/>
      <w:w w:val="103"/>
      <w:kern w:val="14"/>
      <w:sz w:val="16"/>
      <w:szCs w:val="16"/>
      <w:lang w:val="es-ES" w:eastAsia="en-US" w:bidi="ar-SA"/>
    </w:rPr>
  </w:style>
  <w:style w:type="paragraph" w:customStyle="1" w:styleId="TegnTegnTegn">
    <w:name w:val="Tegn Tegn Tegn"/>
    <w:basedOn w:val="Normal"/>
    <w:rsid w:val="0038237D"/>
    <w:pPr>
      <w:suppressAutoHyphens w:val="0"/>
      <w:spacing w:after="160"/>
    </w:pPr>
    <w:rPr>
      <w:rFonts w:ascii="Tahoma" w:hAnsi="Tahoma"/>
      <w:spacing w:val="0"/>
      <w:w w:val="100"/>
      <w:kern w:val="0"/>
      <w:lang w:val="en-US"/>
    </w:rPr>
  </w:style>
  <w:style w:type="paragraph" w:styleId="TOC1">
    <w:name w:val="toc 1"/>
    <w:basedOn w:val="Normal"/>
    <w:next w:val="Normal"/>
    <w:autoRedefine/>
    <w:unhideWhenUsed/>
    <w:qFormat/>
    <w:rsid w:val="0038237D"/>
    <w:pPr>
      <w:suppressAutoHyphens w:val="0"/>
      <w:spacing w:after="120" w:line="240" w:lineRule="auto"/>
      <w:ind w:left="720"/>
    </w:pPr>
    <w:rPr>
      <w:bCs/>
      <w:spacing w:val="0"/>
      <w:w w:val="100"/>
      <w:kern w:val="0"/>
      <w:lang w:val="da-DK"/>
    </w:rPr>
  </w:style>
  <w:style w:type="paragraph" w:styleId="TOC2">
    <w:name w:val="toc 2"/>
    <w:basedOn w:val="Normal"/>
    <w:next w:val="Normal"/>
    <w:autoRedefine/>
    <w:unhideWhenUsed/>
    <w:qFormat/>
    <w:rsid w:val="0038237D"/>
    <w:pPr>
      <w:suppressAutoHyphens w:val="0"/>
      <w:spacing w:after="120" w:line="240" w:lineRule="auto"/>
      <w:ind w:left="1152"/>
    </w:pPr>
    <w:rPr>
      <w:spacing w:val="0"/>
      <w:w w:val="100"/>
      <w:kern w:val="0"/>
      <w:lang w:val="da-DK"/>
    </w:rPr>
  </w:style>
  <w:style w:type="paragraph" w:styleId="TOCHeading">
    <w:name w:val="TOC Heading"/>
    <w:basedOn w:val="Heading1"/>
    <w:next w:val="Normal"/>
    <w:qFormat/>
    <w:rsid w:val="0038237D"/>
    <w:pPr>
      <w:keepNext/>
      <w:keepLines/>
      <w:suppressAutoHyphens w:val="0"/>
      <w:spacing w:before="480" w:line="276" w:lineRule="auto"/>
      <w:ind w:left="0"/>
      <w:outlineLvl w:val="9"/>
    </w:pPr>
    <w:rPr>
      <w:rFonts w:ascii="Cambria" w:eastAsia="SimSun" w:hAnsi="Cambria"/>
      <w:b/>
      <w:bCs/>
      <w:color w:val="365F91"/>
      <w:sz w:val="28"/>
      <w:szCs w:val="28"/>
      <w:lang w:val="da-DK"/>
    </w:rPr>
  </w:style>
  <w:style w:type="paragraph" w:styleId="TOC3">
    <w:name w:val="toc 3"/>
    <w:basedOn w:val="Normal"/>
    <w:next w:val="Normal"/>
    <w:autoRedefine/>
    <w:unhideWhenUsed/>
    <w:qFormat/>
    <w:rsid w:val="00335505"/>
    <w:pPr>
      <w:tabs>
        <w:tab w:val="right" w:pos="1080"/>
        <w:tab w:val="left" w:pos="1300"/>
        <w:tab w:val="left" w:pos="1740"/>
        <w:tab w:val="left" w:pos="2180"/>
        <w:tab w:val="left" w:pos="2620"/>
        <w:tab w:val="left" w:pos="3060"/>
        <w:tab w:val="left" w:pos="3500"/>
        <w:tab w:val="right" w:leader="dot" w:pos="9245"/>
      </w:tabs>
      <w:suppressAutoHyphens w:val="0"/>
      <w:spacing w:after="120" w:line="240" w:lineRule="auto"/>
      <w:ind w:left="1300"/>
    </w:pPr>
    <w:rPr>
      <w:iCs/>
      <w:spacing w:val="0"/>
      <w:w w:val="100"/>
      <w:kern w:val="0"/>
      <w:lang w:val="da-DK"/>
    </w:rPr>
  </w:style>
  <w:style w:type="paragraph" w:styleId="TOC4">
    <w:name w:val="toc 4"/>
    <w:basedOn w:val="Normal"/>
    <w:next w:val="Normal"/>
    <w:autoRedefine/>
    <w:unhideWhenUsed/>
    <w:rsid w:val="0038237D"/>
    <w:pPr>
      <w:suppressAutoHyphens w:val="0"/>
      <w:spacing w:line="240" w:lineRule="auto"/>
      <w:ind w:left="780"/>
    </w:pPr>
    <w:rPr>
      <w:rFonts w:ascii="Calibri" w:hAnsi="Calibri"/>
      <w:spacing w:val="0"/>
      <w:w w:val="100"/>
      <w:kern w:val="0"/>
      <w:sz w:val="18"/>
      <w:szCs w:val="18"/>
      <w:lang w:val="da-DK"/>
    </w:rPr>
  </w:style>
  <w:style w:type="paragraph" w:styleId="TOC5">
    <w:name w:val="toc 5"/>
    <w:basedOn w:val="Normal"/>
    <w:next w:val="Normal"/>
    <w:autoRedefine/>
    <w:unhideWhenUsed/>
    <w:rsid w:val="0038237D"/>
    <w:pPr>
      <w:suppressAutoHyphens w:val="0"/>
      <w:spacing w:line="240" w:lineRule="auto"/>
      <w:ind w:left="1040"/>
    </w:pPr>
    <w:rPr>
      <w:rFonts w:ascii="Calibri" w:hAnsi="Calibri"/>
      <w:spacing w:val="0"/>
      <w:w w:val="100"/>
      <w:kern w:val="0"/>
      <w:sz w:val="18"/>
      <w:szCs w:val="18"/>
      <w:lang w:val="da-DK"/>
    </w:rPr>
  </w:style>
  <w:style w:type="paragraph" w:styleId="TOC6">
    <w:name w:val="toc 6"/>
    <w:basedOn w:val="Normal"/>
    <w:next w:val="Normal"/>
    <w:autoRedefine/>
    <w:unhideWhenUsed/>
    <w:rsid w:val="0038237D"/>
    <w:pPr>
      <w:suppressAutoHyphens w:val="0"/>
      <w:spacing w:line="240" w:lineRule="auto"/>
      <w:ind w:left="1300"/>
    </w:pPr>
    <w:rPr>
      <w:rFonts w:ascii="Calibri" w:hAnsi="Calibri"/>
      <w:spacing w:val="0"/>
      <w:w w:val="100"/>
      <w:kern w:val="0"/>
      <w:sz w:val="18"/>
      <w:szCs w:val="18"/>
      <w:lang w:val="da-DK"/>
    </w:rPr>
  </w:style>
  <w:style w:type="paragraph" w:styleId="TOC7">
    <w:name w:val="toc 7"/>
    <w:basedOn w:val="Normal"/>
    <w:next w:val="Normal"/>
    <w:autoRedefine/>
    <w:unhideWhenUsed/>
    <w:rsid w:val="0038237D"/>
    <w:pPr>
      <w:suppressAutoHyphens w:val="0"/>
      <w:spacing w:line="240" w:lineRule="auto"/>
      <w:ind w:left="1560"/>
    </w:pPr>
    <w:rPr>
      <w:rFonts w:ascii="Calibri" w:hAnsi="Calibri"/>
      <w:spacing w:val="0"/>
      <w:w w:val="100"/>
      <w:kern w:val="0"/>
      <w:sz w:val="18"/>
      <w:szCs w:val="18"/>
      <w:lang w:val="da-DK"/>
    </w:rPr>
  </w:style>
  <w:style w:type="paragraph" w:styleId="TOC8">
    <w:name w:val="toc 8"/>
    <w:basedOn w:val="Normal"/>
    <w:next w:val="Normal"/>
    <w:autoRedefine/>
    <w:unhideWhenUsed/>
    <w:rsid w:val="0038237D"/>
    <w:pPr>
      <w:suppressAutoHyphens w:val="0"/>
      <w:spacing w:line="240" w:lineRule="auto"/>
      <w:ind w:left="1820"/>
    </w:pPr>
    <w:rPr>
      <w:rFonts w:ascii="Calibri" w:hAnsi="Calibri"/>
      <w:spacing w:val="0"/>
      <w:w w:val="100"/>
      <w:kern w:val="0"/>
      <w:sz w:val="18"/>
      <w:szCs w:val="18"/>
      <w:lang w:val="da-DK"/>
    </w:rPr>
  </w:style>
  <w:style w:type="paragraph" w:styleId="TOC9">
    <w:name w:val="toc 9"/>
    <w:basedOn w:val="Normal"/>
    <w:next w:val="Normal"/>
    <w:autoRedefine/>
    <w:unhideWhenUsed/>
    <w:rsid w:val="0038237D"/>
    <w:pPr>
      <w:suppressAutoHyphens w:val="0"/>
      <w:spacing w:line="240" w:lineRule="auto"/>
      <w:ind w:left="2080"/>
    </w:pPr>
    <w:rPr>
      <w:rFonts w:ascii="Calibri" w:hAnsi="Calibri"/>
      <w:spacing w:val="0"/>
      <w:w w:val="100"/>
      <w:kern w:val="0"/>
      <w:sz w:val="18"/>
      <w:szCs w:val="18"/>
      <w:lang w:val="da-DK"/>
    </w:rPr>
  </w:style>
  <w:style w:type="character" w:customStyle="1" w:styleId="Heading4Char">
    <w:name w:val="Heading 4 Char"/>
    <w:link w:val="Heading4"/>
    <w:rsid w:val="0038237D"/>
    <w:rPr>
      <w:lang w:eastAsia="en-US" w:bidi="ar-SA"/>
    </w:rPr>
  </w:style>
  <w:style w:type="character" w:customStyle="1" w:styleId="Heading6Char">
    <w:name w:val="Heading 6 Char"/>
    <w:link w:val="Heading6"/>
    <w:rsid w:val="0038237D"/>
    <w:rPr>
      <w:lang w:eastAsia="en-US" w:bidi="ar-SA"/>
    </w:rPr>
  </w:style>
  <w:style w:type="character" w:customStyle="1" w:styleId="SubtitleChar">
    <w:name w:val="Subtitle Char"/>
    <w:link w:val="Subtitle"/>
    <w:rsid w:val="0038237D"/>
    <w:rPr>
      <w:rFonts w:ascii="Arial" w:hAnsi="Arial"/>
      <w:sz w:val="24"/>
      <w:szCs w:val="24"/>
      <w:lang w:eastAsia="en-US" w:bidi="ar-SA"/>
    </w:rPr>
  </w:style>
  <w:style w:type="character" w:styleId="SubtleEmphasis">
    <w:name w:val="Subtle Emphasis"/>
    <w:qFormat/>
    <w:rsid w:val="0038237D"/>
    <w:rPr>
      <w:i/>
      <w:iCs/>
      <w:color w:val="808080"/>
    </w:rPr>
  </w:style>
  <w:style w:type="paragraph" w:customStyle="1" w:styleId="Default">
    <w:name w:val="Default"/>
    <w:rsid w:val="0038237D"/>
    <w:pPr>
      <w:autoSpaceDE w:val="0"/>
      <w:autoSpaceDN w:val="0"/>
      <w:adjustRightInd w:val="0"/>
    </w:pPr>
    <w:rPr>
      <w:color w:val="000000"/>
      <w:sz w:val="24"/>
      <w:szCs w:val="24"/>
      <w:lang w:val="da-DK" w:eastAsia="da-DK"/>
    </w:rPr>
  </w:style>
  <w:style w:type="paragraph" w:customStyle="1" w:styleId="ListParagraph1">
    <w:name w:val="List Paragraph1"/>
    <w:basedOn w:val="Normal"/>
    <w:rsid w:val="0038237D"/>
    <w:pPr>
      <w:suppressAutoHyphens w:val="0"/>
      <w:spacing w:after="200" w:line="276" w:lineRule="auto"/>
      <w:ind w:left="720"/>
      <w:contextualSpacing/>
    </w:pPr>
    <w:rPr>
      <w:rFonts w:ascii="Calibri" w:hAnsi="Calibri" w:cs="Calibri"/>
      <w:spacing w:val="0"/>
      <w:w w:val="100"/>
      <w:kern w:val="0"/>
      <w:sz w:val="22"/>
      <w:szCs w:val="22"/>
      <w:lang w:val="da-DK"/>
    </w:rPr>
  </w:style>
  <w:style w:type="paragraph" w:customStyle="1" w:styleId="Broedtekst">
    <w:name w:val="Broedtekst"/>
    <w:basedOn w:val="Normal"/>
    <w:rsid w:val="0038237D"/>
    <w:pPr>
      <w:suppressAutoHyphens w:val="0"/>
      <w:spacing w:line="240" w:lineRule="auto"/>
    </w:pPr>
    <w:rPr>
      <w:spacing w:val="0"/>
      <w:w w:val="100"/>
      <w:kern w:val="0"/>
      <w:sz w:val="22"/>
      <w:szCs w:val="22"/>
      <w:lang w:val="da-DK"/>
    </w:rPr>
  </w:style>
  <w:style w:type="paragraph" w:customStyle="1" w:styleId="Little">
    <w:name w:val="Little"/>
    <w:basedOn w:val="Normal"/>
    <w:rsid w:val="0038237D"/>
    <w:pPr>
      <w:suppressAutoHyphens w:val="0"/>
      <w:spacing w:line="200" w:lineRule="exact"/>
    </w:pPr>
    <w:rPr>
      <w:rFonts w:ascii="Arial" w:hAnsi="Arial"/>
      <w:spacing w:val="0"/>
      <w:w w:val="100"/>
      <w:kern w:val="0"/>
      <w:sz w:val="14"/>
      <w:lang w:val="da-DK" w:eastAsia="en-GB"/>
    </w:rPr>
  </w:style>
  <w:style w:type="paragraph" w:customStyle="1" w:styleId="StyleLittleBold">
    <w:name w:val="Style Little + Bold"/>
    <w:basedOn w:val="Little"/>
    <w:rsid w:val="0038237D"/>
    <w:rPr>
      <w:b/>
    </w:rPr>
  </w:style>
  <w:style w:type="character" w:customStyle="1" w:styleId="longtext">
    <w:name w:val="long_text"/>
    <w:rsid w:val="0038237D"/>
  </w:style>
  <w:style w:type="table" w:styleId="LightList-Accent4">
    <w:name w:val="Light List Accent 4"/>
    <w:basedOn w:val="TableNormal"/>
    <w:rsid w:val="0038237D"/>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Heading7Char">
    <w:name w:val="Heading 7 Char"/>
    <w:link w:val="Heading7"/>
    <w:rsid w:val="0038237D"/>
    <w:rPr>
      <w:lang w:eastAsia="en-US" w:bidi="ar-SA"/>
    </w:rPr>
  </w:style>
  <w:style w:type="paragraph" w:styleId="NoSpacing">
    <w:name w:val="No Spacing"/>
    <w:link w:val="NoSpacingChar"/>
    <w:qFormat/>
    <w:rsid w:val="0038237D"/>
    <w:rPr>
      <w:rFonts w:ascii="Garamond" w:hAnsi="Garamond"/>
      <w:sz w:val="26"/>
      <w:lang w:val="da-DK"/>
    </w:rPr>
  </w:style>
  <w:style w:type="table" w:styleId="DarkList-Accent4">
    <w:name w:val="Dark List Accent 4"/>
    <w:basedOn w:val="TableNormal"/>
    <w:rsid w:val="0038237D"/>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NoSpacingChar">
    <w:name w:val="No Spacing Char"/>
    <w:link w:val="NoSpacing"/>
    <w:rsid w:val="0038237D"/>
    <w:rPr>
      <w:rFonts w:ascii="Garamond" w:hAnsi="Garamond"/>
      <w:sz w:val="26"/>
      <w:lang w:val="da-DK" w:eastAsia="en-US" w:bidi="ar-SA"/>
    </w:rPr>
  </w:style>
  <w:style w:type="character" w:customStyle="1" w:styleId="CommentTextChar1">
    <w:name w:val="Comment Text Char1"/>
    <w:link w:val="CommentText"/>
    <w:semiHidden/>
    <w:rsid w:val="0038237D"/>
    <w:rPr>
      <w:spacing w:val="4"/>
      <w:w w:val="103"/>
      <w:kern w:val="14"/>
      <w:lang w:val="es-ES" w:eastAsia="en-US" w:bidi="ar-SA"/>
    </w:rPr>
  </w:style>
  <w:style w:type="character" w:customStyle="1" w:styleId="CommentSubjectChar">
    <w:name w:val="Comment Subject Char"/>
    <w:link w:val="CommentSubject"/>
    <w:rsid w:val="0038237D"/>
    <w:rPr>
      <w:b/>
      <w:bCs/>
      <w:spacing w:val="4"/>
      <w:w w:val="103"/>
      <w:kern w:val="14"/>
      <w:lang w:val="es-ES" w:eastAsia="en-US" w:bidi="ar-SA"/>
    </w:rPr>
  </w:style>
  <w:style w:type="paragraph" w:customStyle="1" w:styleId="BMBrdtekst">
    <w:name w:val="BMBrødtekst"/>
    <w:basedOn w:val="Normal"/>
    <w:link w:val="BMBrdtekstTegn"/>
    <w:rsid w:val="0038237D"/>
    <w:pPr>
      <w:suppressAutoHyphens w:val="0"/>
      <w:spacing w:line="260" w:lineRule="atLeast"/>
    </w:pPr>
    <w:rPr>
      <w:spacing w:val="0"/>
      <w:w w:val="100"/>
      <w:kern w:val="0"/>
      <w:sz w:val="22"/>
      <w:szCs w:val="24"/>
      <w:lang w:val="da-DK" w:eastAsia="da-DK"/>
    </w:rPr>
  </w:style>
  <w:style w:type="character" w:customStyle="1" w:styleId="BMBrdtekstTegn">
    <w:name w:val="BMBrødtekst Tegn"/>
    <w:link w:val="BMBrdtekst"/>
    <w:locked/>
    <w:rsid w:val="0038237D"/>
    <w:rPr>
      <w:sz w:val="22"/>
      <w:szCs w:val="24"/>
      <w:lang w:val="da-DK" w:eastAsia="da-DK" w:bidi="ar-SA"/>
    </w:rPr>
  </w:style>
  <w:style w:type="paragraph" w:customStyle="1" w:styleId="TegnTegnTegn0">
    <w:name w:val=" Tegn Tegn Tegn"/>
    <w:basedOn w:val="Normal"/>
    <w:rsid w:val="0038237D"/>
    <w:pPr>
      <w:suppressAutoHyphens w:val="0"/>
      <w:spacing w:after="160"/>
    </w:pPr>
    <w:rPr>
      <w:rFonts w:ascii="Tahoma" w:hAnsi="Tahoma"/>
      <w:spacing w:val="0"/>
      <w:w w:val="100"/>
      <w:kern w:val="0"/>
      <w:lang w:val="en-US"/>
    </w:rPr>
  </w:style>
  <w:style w:type="paragraph" w:customStyle="1" w:styleId="xmsonormal">
    <w:name w:val="x_msonormal"/>
    <w:basedOn w:val="Normal"/>
    <w:rsid w:val="0038237D"/>
    <w:pPr>
      <w:suppressAutoHyphens w:val="0"/>
      <w:spacing w:before="100" w:beforeAutospacing="1" w:after="100" w:afterAutospacing="1" w:line="240" w:lineRule="auto"/>
    </w:pPr>
    <w:rPr>
      <w:spacing w:val="0"/>
      <w:w w:val="100"/>
      <w:kern w:val="0"/>
      <w:sz w:val="24"/>
      <w:szCs w:val="24"/>
      <w:lang w:val="fo-FO" w:eastAsia="fo-FO"/>
    </w:rPr>
  </w:style>
  <w:style w:type="paragraph" w:customStyle="1" w:styleId="xmsolistparagraph">
    <w:name w:val="x_msolistparagraph"/>
    <w:basedOn w:val="Normal"/>
    <w:rsid w:val="0038237D"/>
    <w:pPr>
      <w:suppressAutoHyphens w:val="0"/>
      <w:spacing w:before="100" w:beforeAutospacing="1" w:after="100" w:afterAutospacing="1" w:line="240" w:lineRule="auto"/>
    </w:pPr>
    <w:rPr>
      <w:spacing w:val="0"/>
      <w:w w:val="100"/>
      <w:kern w:val="0"/>
      <w:sz w:val="24"/>
      <w:szCs w:val="24"/>
      <w:lang w:val="fo-FO" w:eastAsia="fo-FO"/>
    </w:rPr>
  </w:style>
  <w:style w:type="character" w:customStyle="1" w:styleId="apple-converted-space">
    <w:name w:val="apple-converted-space"/>
    <w:rsid w:val="0038237D"/>
  </w:style>
  <w:style w:type="character" w:customStyle="1" w:styleId="hps">
    <w:name w:val="hps"/>
    <w:rsid w:val="0038237D"/>
    <w:rPr>
      <w:rFonts w:cs="Times New Roman"/>
    </w:rPr>
  </w:style>
  <w:style w:type="character" w:customStyle="1" w:styleId="tw4winMark">
    <w:name w:val="tw4winMark"/>
    <w:rsid w:val="0038237D"/>
    <w:rPr>
      <w:rFonts w:ascii="Courier New" w:hAnsi="Courier New"/>
      <w:vanish/>
      <w:color w:val="800080"/>
      <w:vertAlign w:val="subscript"/>
    </w:rPr>
  </w:style>
  <w:style w:type="paragraph" w:styleId="Revision">
    <w:name w:val="Revision"/>
    <w:hidden/>
    <w:semiHidden/>
    <w:rsid w:val="0038237D"/>
    <w:rPr>
      <w:lang w:val="en-GB"/>
    </w:rPr>
  </w:style>
  <w:style w:type="paragraph" w:styleId="DocumentMap">
    <w:name w:val="Document Map"/>
    <w:basedOn w:val="Normal"/>
    <w:semiHidden/>
    <w:rsid w:val="00FB6061"/>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www.fremtidenerdin.dk" TargetMode="External"/><Relationship Id="rId3" Type="http://schemas.openxmlformats.org/officeDocument/2006/relationships/settings" Target="settings.xml"/><Relationship Id="rId21" Type="http://schemas.openxmlformats.org/officeDocument/2006/relationships/hyperlink" Target="http://www.servicestyrelsen.dk/udsatte/vold-i-familie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miliki.dk/ligestilling/nyheder/nyhed-om-ligestilling/artikel/anbefalinger-om-det-koensopdelte-uddannelsesvalg/" TargetMode="External"/><Relationship Id="rId2" Type="http://schemas.openxmlformats.org/officeDocument/2006/relationships/styles" Target="styles.xml"/><Relationship Id="rId16" Type="http://schemas.openxmlformats.org/officeDocument/2006/relationships/hyperlink" Target="http://www.ligebehandlingsnaevnet.dk/artikler/default.aspx?page=1171"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doc.un.org/Users/b000380/AppData/Local/Microsoft/Windows/Temporary%20Internet%20Files/page_pic/pdf/ACT_no_387_of_27_May_2008_on_the_Board_of_Equal_Treatment_02_02_2011_16_11.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kiftjob.d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m.dk/Publikationer/Sider/VisPublikation.aspx?Publication=704" TargetMode="External"/><Relationship Id="rId1" Type="http://schemas.openxmlformats.org/officeDocument/2006/relationships/hyperlink" Target="http://www.sm.dk/data/Dokumentertilnyheder/2011/Ung%20i%202011_rappor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336</TotalTime>
  <Pages>1</Pages>
  <Words>16434</Words>
  <Characters>93680</Characters>
  <Application>Microsoft Office Outlook</Application>
  <DocSecurity>4</DocSecurity>
  <Lines>780</Lines>
  <Paragraphs>219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109895</CharactersWithSpaces>
  <SharedDoc>false</SharedDoc>
  <HLinks>
    <vt:vector size="48" baseType="variant">
      <vt:variant>
        <vt:i4>7208999</vt:i4>
      </vt:variant>
      <vt:variant>
        <vt:i4>18</vt:i4>
      </vt:variant>
      <vt:variant>
        <vt:i4>0</vt:i4>
      </vt:variant>
      <vt:variant>
        <vt:i4>5</vt:i4>
      </vt:variant>
      <vt:variant>
        <vt:lpwstr>http://www.servicestyrelsen.dk/udsatte/vold-i-familien</vt:lpwstr>
      </vt:variant>
      <vt:variant>
        <vt:lpwstr/>
      </vt:variant>
      <vt:variant>
        <vt:i4>7274545</vt:i4>
      </vt:variant>
      <vt:variant>
        <vt:i4>12</vt:i4>
      </vt:variant>
      <vt:variant>
        <vt:i4>0</vt:i4>
      </vt:variant>
      <vt:variant>
        <vt:i4>5</vt:i4>
      </vt:variant>
      <vt:variant>
        <vt:lpwstr>http://www.skiftjob.dk/</vt:lpwstr>
      </vt:variant>
      <vt:variant>
        <vt:lpwstr/>
      </vt:variant>
      <vt:variant>
        <vt:i4>524360</vt:i4>
      </vt:variant>
      <vt:variant>
        <vt:i4>9</vt:i4>
      </vt:variant>
      <vt:variant>
        <vt:i4>0</vt:i4>
      </vt:variant>
      <vt:variant>
        <vt:i4>5</vt:i4>
      </vt:variant>
      <vt:variant>
        <vt:lpwstr>http://www.fremtidenerdin.dk/</vt:lpwstr>
      </vt:variant>
      <vt:variant>
        <vt:lpwstr/>
      </vt:variant>
      <vt:variant>
        <vt:i4>6029330</vt:i4>
      </vt:variant>
      <vt:variant>
        <vt:i4>6</vt:i4>
      </vt:variant>
      <vt:variant>
        <vt:i4>0</vt:i4>
      </vt:variant>
      <vt:variant>
        <vt:i4>5</vt:i4>
      </vt:variant>
      <vt:variant>
        <vt:lpwstr>http://miliki.dk/ligestilling/nyheder/nyhed-om-ligestilling/artikel/anbefalinger-om-det-koensopdelte-uddannelsesvalg/</vt:lpwstr>
      </vt:variant>
      <vt:variant>
        <vt:lpwstr/>
      </vt:variant>
      <vt:variant>
        <vt:i4>5308482</vt:i4>
      </vt:variant>
      <vt:variant>
        <vt:i4>3</vt:i4>
      </vt:variant>
      <vt:variant>
        <vt:i4>0</vt:i4>
      </vt:variant>
      <vt:variant>
        <vt:i4>5</vt:i4>
      </vt:variant>
      <vt:variant>
        <vt:lpwstr>http://www.ligebehandlingsnaevnet.dk/artikler/default.aspx?page=1171</vt:lpwstr>
      </vt:variant>
      <vt:variant>
        <vt:lpwstr/>
      </vt:variant>
      <vt:variant>
        <vt:i4>983106</vt:i4>
      </vt:variant>
      <vt:variant>
        <vt:i4>0</vt:i4>
      </vt:variant>
      <vt:variant>
        <vt:i4>0</vt:i4>
      </vt:variant>
      <vt:variant>
        <vt:i4>5</vt:i4>
      </vt:variant>
      <vt:variant>
        <vt:lpwstr>https://edoc.un.org/Users/b000380/AppData/Local/Microsoft/Windows/Temporary Internet Files/page_pic/pdf/ACT_no_387_of_27_May_2008_on_the_Board_of_Equal_Treatment_02_02_2011_16_11.pdf</vt:lpwstr>
      </vt:variant>
      <vt:variant>
        <vt:lpwstr/>
      </vt:variant>
      <vt:variant>
        <vt:i4>4194368</vt:i4>
      </vt:variant>
      <vt:variant>
        <vt:i4>3</vt:i4>
      </vt:variant>
      <vt:variant>
        <vt:i4>0</vt:i4>
      </vt:variant>
      <vt:variant>
        <vt:i4>5</vt:i4>
      </vt:variant>
      <vt:variant>
        <vt:lpwstr>http://www.sm.dk/Publikationer/Sider/VisPublikation.aspx?Publication=704</vt:lpwstr>
      </vt:variant>
      <vt:variant>
        <vt:lpwstr/>
      </vt:variant>
      <vt:variant>
        <vt:i4>7209054</vt:i4>
      </vt:variant>
      <vt:variant>
        <vt:i4>0</vt:i4>
      </vt:variant>
      <vt:variant>
        <vt:i4>0</vt:i4>
      </vt:variant>
      <vt:variant>
        <vt:i4>5</vt:i4>
      </vt:variant>
      <vt:variant>
        <vt:lpwstr>http://www.sm.dk/data/Dokumentertilnyheder/2011/Ung i 2011_rapport.pdf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58</cp:revision>
  <cp:lastPrinted>2014-02-24T11:18:00Z</cp:lastPrinted>
  <dcterms:created xsi:type="dcterms:W3CDTF">2014-02-21T15:23:00Z</dcterms:created>
  <dcterms:modified xsi:type="dcterms:W3CDTF">2014-02-24T13:15:00Z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1362163</vt:lpwstr>
  </property>
  <property fmtid="{D5CDD505-2E9C-101B-9397-08002B2CF9AE}" pid="3" name="Symbol1">
    <vt:lpwstr>CEDAW/C/DNK/8</vt:lpwstr>
  </property>
  <property fmtid="{D5CDD505-2E9C-101B-9397-08002B2CF9AE}" pid="4" name="Symbol2">
    <vt:lpwstr/>
  </property>
  <property fmtid="{D5CDD505-2E9C-101B-9397-08002B2CF9AE}" pid="5" name="Distribution">
    <vt:lpwstr>general</vt:lpwstr>
  </property>
  <property fmtid="{D5CDD505-2E9C-101B-9397-08002B2CF9AE}" pid="6" name="Publication Date">
    <vt:lpwstr>16 de diciembre de 2013</vt:lpwstr>
  </property>
  <property fmtid="{D5CDD505-2E9C-101B-9397-08002B2CF9AE}" pid="7" name="Original">
    <vt:lpwstr>inglés</vt:lpwstr>
  </property>
  <property fmtid="{D5CDD505-2E9C-101B-9397-08002B2CF9AE}" pid="8" name="Release Date">
    <vt:lpwstr>210214</vt:lpwstr>
  </property>
  <property fmtid="{D5CDD505-2E9C-101B-9397-08002B2CF9AE}" pid="9" name="Comment">
    <vt:lpwstr>cont. 22/2/14 (toc y mejora formato)</vt:lpwstr>
  </property>
  <property fmtid="{D5CDD505-2E9C-101B-9397-08002B2CF9AE}" pid="10" name="DraftPages">
    <vt:lpwstr> 42</vt:lpwstr>
  </property>
  <property fmtid="{D5CDD505-2E9C-101B-9397-08002B2CF9AE}" pid="11" name="Operator">
    <vt:lpwstr>lvr/lvr</vt:lpwstr>
  </property>
  <property fmtid="{D5CDD505-2E9C-101B-9397-08002B2CF9AE}" pid="12" name="Translator">
    <vt:lpwstr>lvr/lvr</vt:lpwstr>
  </property>
</Properties>
</file>