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 xml:space="preserve">в отношении женщин 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Рассмотрение докладов, представленных государствами-участниками в соответствии со статьей 18 Конвенции о ликвидации всех форм дискриминации в 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Пятые периодические доклады государств-участников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Дания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Добавление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pStyle w:val="H1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Статья 2 — Конституция и законодательство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ab/>
        <w:t>Закон № 338 от мая 2000 года о равном отн</w:t>
      </w:r>
      <w:r>
        <w:t>о</w:t>
      </w:r>
      <w:r>
        <w:t>шении к женщинам и мужчинам предусматривает новую организацию работы по обеспечению раве</w:t>
      </w:r>
      <w:r>
        <w:t>н</w:t>
      </w:r>
      <w:r>
        <w:t>ства между мужчинами и женщинами путем учре</w:t>
      </w:r>
      <w:r>
        <w:t>ж</w:t>
      </w:r>
      <w:r>
        <w:t>дения летом 2000 года подразделения на уровне д</w:t>
      </w:r>
      <w:r>
        <w:t>е</w:t>
      </w:r>
      <w:r>
        <w:t>партамента, создания комиссии по рассмотрению жалоб в отношении по дискриминации признаку пола. Комиссии по вопросам равенства между му</w:t>
      </w:r>
      <w:r>
        <w:t>ж</w:t>
      </w:r>
      <w:r>
        <w:t>чинами и женщинами, а также, в конце 2000 года, создания Информационного центра по вопросам р</w:t>
      </w:r>
      <w:r>
        <w:t>а</w:t>
      </w:r>
      <w:r>
        <w:t>венства между мужчинами и женщинами, который уже пр</w:t>
      </w:r>
      <w:r>
        <w:t>и</w:t>
      </w:r>
      <w:r>
        <w:t>ступил к своей работе.</w:t>
      </w:r>
    </w:p>
    <w:p w:rsidR="00000000" w:rsidRDefault="00000000">
      <w:pPr>
        <w:pStyle w:val="DualTxt"/>
      </w:pPr>
      <w:r>
        <w:tab/>
        <w:t>В основе этого закона лежит осуществление принципа включения гендерной проблематики в к</w:t>
      </w:r>
      <w:r>
        <w:t>а</w:t>
      </w:r>
      <w:r>
        <w:t>честве основного компонента во все сферы госуда</w:t>
      </w:r>
      <w:r>
        <w:t>р</w:t>
      </w:r>
      <w:r>
        <w:t>ственного управления. Министр по вопросам р</w:t>
      </w:r>
      <w:r>
        <w:t>а</w:t>
      </w:r>
      <w:r>
        <w:t>венства между мужчинами и женщинами раз в год должен представлять Фолькетингу (датский парл</w:t>
      </w:r>
      <w:r>
        <w:t>а</w:t>
      </w:r>
      <w:r>
        <w:t>мент) доклад по вопросам равенства между мужч</w:t>
      </w:r>
      <w:r>
        <w:t>и</w:t>
      </w:r>
      <w:r>
        <w:t>нами и женщинами; кроме того принимаются меры по недопущению дискриминации по признаку пола вне рынка рабочей силы. Может быть начато ос</w:t>
      </w:r>
      <w:r>
        <w:t>у</w:t>
      </w:r>
      <w:r>
        <w:t>ществление мер по поощрению равного положения мужчин и женщин, направленных на недопущение дискриминации или обеспечение компенсации за нее. Ужесточается выполнение правил, касающихся гендерного состава государственных комитетов и советов, назначаемых министром, а в законе гов</w:t>
      </w:r>
      <w:r>
        <w:t>о</w:t>
      </w:r>
      <w:r>
        <w:t>рится, что представительство женщин и мужчин в таких комитетах и советах должно быть равным. В 2000 году 40 процентов от общего числа членов н</w:t>
      </w:r>
      <w:r>
        <w:t>о</w:t>
      </w:r>
      <w:r>
        <w:t>вых комитетов с</w:t>
      </w:r>
      <w:r>
        <w:t>о</w:t>
      </w:r>
      <w:r>
        <w:t>ставляли женщины.</w:t>
      </w:r>
    </w:p>
    <w:p w:rsidR="00000000" w:rsidRDefault="00000000">
      <w:pPr>
        <w:pStyle w:val="DualTxt"/>
      </w:pPr>
      <w:r>
        <w:tab/>
        <w:t>Закон № 440 от 7 июня 2001 года, содержащий поправки к Закону о равном отношении к мужчинам и женщинам, Закону о равной оплате труда, Закону об уходе за детьми, Закону о равенстве между му</w:t>
      </w:r>
      <w:r>
        <w:t>ж</w:t>
      </w:r>
      <w:r>
        <w:t>чинами и женщинами и Закону о программах пе</w:t>
      </w:r>
      <w:r>
        <w:t>н</w:t>
      </w:r>
      <w:r>
        <w:t>сий за работу на производстве, вступил в силу 1 июля 2001 года. Этот закон предусматривает так называемое совместное бремя доказывания в случ</w:t>
      </w:r>
      <w:r>
        <w:t>а</w:t>
      </w:r>
      <w:r>
        <w:t>ях, связанных с дискриминацией по признаку пола, сфере действия отдельных законов. Это означает, что подающее жалобу лицо должно доказать факт наличия конкретных обстоятельств, которые дают основание предполагать дискриминацию по пр</w:t>
      </w:r>
      <w:r>
        <w:t>и</w:t>
      </w:r>
      <w:r>
        <w:t>знаку пола, после чего лицо, на которое подается жалоба, должно доказать, что дискриминации не было.</w:t>
      </w:r>
    </w:p>
    <w:p w:rsidR="00000000" w:rsidRDefault="00000000">
      <w:pPr>
        <w:pStyle w:val="DualTxt"/>
      </w:pPr>
      <w:r>
        <w:tab/>
        <w:t>Большая часть закона касается осуществления Директивы Совета 97/80/EEC, касающейся бремени доказывания в связи со случаями дискриминации на производстве по гендерному принципу (Директива о бремени док</w:t>
      </w:r>
      <w:r>
        <w:t>а</w:t>
      </w:r>
      <w:r>
        <w:t>зывания).</w:t>
      </w:r>
    </w:p>
    <w:p w:rsidR="00000000" w:rsidRDefault="00000000">
      <w:pPr>
        <w:pStyle w:val="DualTxt"/>
      </w:pPr>
      <w:r>
        <w:tab/>
        <w:t>Главная цель Директивы о бремени доказыв</w:t>
      </w:r>
      <w:r>
        <w:t>а</w:t>
      </w:r>
      <w:r>
        <w:t>ния заключается в поиске путей более эффективн</w:t>
      </w:r>
      <w:r>
        <w:t>о</w:t>
      </w:r>
      <w:r>
        <w:t>го осуществления основополагающего принципа равноправного отношения. Директива Совета п</w:t>
      </w:r>
      <w:r>
        <w:t>о</w:t>
      </w:r>
      <w:r>
        <w:t>крывает лишь случаи, касающиеся вопросов равн</w:t>
      </w:r>
      <w:r>
        <w:t>о</w:t>
      </w:r>
      <w:r>
        <w:t>правного отношения на производстве, однако было также принято решение включить подобные прав</w:t>
      </w:r>
      <w:r>
        <w:t>и</w:t>
      </w:r>
      <w:r>
        <w:t>ла о совместном бремени доказывания в сферу де</w:t>
      </w:r>
      <w:r>
        <w:t>й</w:t>
      </w:r>
      <w:r>
        <w:t>ствия закона о равном отношении к мужчинам и женщинам, т.е. случаи, касающиеся дискриминации вне производства. Через эту поправку законод</w:t>
      </w:r>
      <w:r>
        <w:t>а</w:t>
      </w:r>
      <w:r>
        <w:t>тельным порядком было принято определение н</w:t>
      </w:r>
      <w:r>
        <w:t>е</w:t>
      </w:r>
      <w:r>
        <w:t>прямой дискриминации. В законе также предусмо</w:t>
      </w:r>
      <w:r>
        <w:t>т</w:t>
      </w:r>
      <w:r>
        <w:t>рено, что сексуальные домогательства представл</w:t>
      </w:r>
      <w:r>
        <w:t>я</w:t>
      </w:r>
      <w:r>
        <w:t>ют собой дискриминацию и посягательство на п</w:t>
      </w:r>
      <w:r>
        <w:t>о</w:t>
      </w:r>
      <w:r>
        <w:t>ложения, касающиеся равного отношения к мужч</w:t>
      </w:r>
      <w:r>
        <w:t>и</w:t>
      </w:r>
      <w:r>
        <w:t>нам и женщинам, которые уже много лет сущес</w:t>
      </w:r>
      <w:r>
        <w:t>т</w:t>
      </w:r>
      <w:r>
        <w:t>вуют в прец</w:t>
      </w:r>
      <w:r>
        <w:t>е</w:t>
      </w:r>
      <w:r>
        <w:t>дентном праве.</w:t>
      </w:r>
    </w:p>
    <w:p w:rsidR="00000000" w:rsidRDefault="00000000">
      <w:pPr>
        <w:pStyle w:val="DualTxt"/>
      </w:pPr>
      <w:r>
        <w:tab/>
        <w:t>В Законе № 445 от 7 июня 2001 года соде</w:t>
      </w:r>
      <w:r>
        <w:t>р</w:t>
      </w:r>
      <w:r>
        <w:t>жится поправка к Закону о равной оплате труда. Эта поправка состоит из двух основных элементов: пр</w:t>
      </w:r>
      <w:r>
        <w:t>а</w:t>
      </w:r>
      <w:r>
        <w:t>во наемного работника сообщать информацию о своей заработной плате любым лицам без исключ</w:t>
      </w:r>
      <w:r>
        <w:t>е</w:t>
      </w:r>
      <w:r>
        <w:t>ния; обязанность предпринимателей, имеющих б</w:t>
      </w:r>
      <w:r>
        <w:t>о</w:t>
      </w:r>
      <w:r>
        <w:t>лее 10 наемных работников, по запросу предста</w:t>
      </w:r>
      <w:r>
        <w:t>в</w:t>
      </w:r>
      <w:r>
        <w:t>лять статистические данные о заработной плате р</w:t>
      </w:r>
      <w:r>
        <w:t>а</w:t>
      </w:r>
      <w:r>
        <w:t>ботников с разбивкой по мужчинам и по женщинам. Эти поправки призваны обеспечить большую о</w:t>
      </w:r>
      <w:r>
        <w:t>т</w:t>
      </w:r>
      <w:r>
        <w:t>крытость в вопросе о заработной плате и предост</w:t>
      </w:r>
      <w:r>
        <w:t>а</w:t>
      </w:r>
      <w:r>
        <w:t>вить для цеховых старост и профсоюзов более э</w:t>
      </w:r>
      <w:r>
        <w:t>ф</w:t>
      </w:r>
      <w:r>
        <w:t xml:space="preserve">фективные возможности содействия обеспечению равной оплаты. </w:t>
      </w:r>
    </w:p>
    <w:p w:rsidR="00000000" w:rsidRDefault="00000000">
      <w:pPr>
        <w:pStyle w:val="DualTxt"/>
      </w:pPr>
      <w:r>
        <w:rPr>
          <w:lang w:val="en-US"/>
        </w:rPr>
        <w:tab/>
      </w:r>
      <w:r>
        <w:t>В то же время министру труда и министру по вопросам равенства между мужчинами и женщин</w:t>
      </w:r>
      <w:r>
        <w:t>а</w:t>
      </w:r>
      <w:r>
        <w:t>ми было поручено подготовить доклад по вопросам равной оплаты для представления Фолькетингу раз в три года. В этом докладе будет содержаться стат</w:t>
      </w:r>
      <w:r>
        <w:t>и</w:t>
      </w:r>
      <w:r>
        <w:t>стический материал, предоставляющий достато</w:t>
      </w:r>
      <w:r>
        <w:t>ч</w:t>
      </w:r>
      <w:r>
        <w:t>ную информацию для выявления случаев неравной оплаты, а также, в частности, будет содержаться о</w:t>
      </w:r>
      <w:r>
        <w:t>т</w:t>
      </w:r>
      <w:r>
        <w:t>чет об уже осуществленных в этой области иници</w:t>
      </w:r>
      <w:r>
        <w:t>а</w:t>
      </w:r>
      <w:r>
        <w:t>тивах и о любых предложениях, касающихся новых инициатив. Первый такой доклад должен быть по</w:t>
      </w:r>
      <w:r>
        <w:t>д</w:t>
      </w:r>
      <w:r>
        <w:t xml:space="preserve">готовлен в 2003 году. Указанный закон вступил в силу 1 июля 2001 года. 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1"/>
        <w:keepNext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Статья 3 — Обеспечение учета гендерной проблематики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ab/>
        <w:t>В контексте осуществления Закона о равенстве между мужчинами и женщинами была создана междепартаментская координационная группа по осуществлению стратегии в области обеспечения учета гендерной проблематики. В состав координ</w:t>
      </w:r>
      <w:r>
        <w:t>а</w:t>
      </w:r>
      <w:r>
        <w:t>ционной группы, численностью 21 человек, входят высокопоставленные должностные лица всех мин</w:t>
      </w:r>
      <w:r>
        <w:t>и</w:t>
      </w:r>
      <w:r>
        <w:t>стерств, назначаемые министрами. Группа прист</w:t>
      </w:r>
      <w:r>
        <w:t>у</w:t>
      </w:r>
      <w:r>
        <w:t>пила к работе в марте 2001 года.</w:t>
      </w:r>
    </w:p>
    <w:p w:rsidR="00000000" w:rsidRDefault="00000000">
      <w:pPr>
        <w:pStyle w:val="DualTxt"/>
      </w:pPr>
      <w:r>
        <w:tab/>
        <w:t>Вышеупомянутая координационная группа о</w:t>
      </w:r>
      <w:r>
        <w:t>т</w:t>
      </w:r>
      <w:r>
        <w:t>вечает за общее осуществление стратегии во всех секторах и правительственных подразделениях. К</w:t>
      </w:r>
      <w:r>
        <w:t>о</w:t>
      </w:r>
      <w:r>
        <w:t>ординационная группа была создана с целью обе</w:t>
      </w:r>
      <w:r>
        <w:t>с</w:t>
      </w:r>
      <w:r>
        <w:t>печить заинтересованность руководства в процессе осуществления и его приверженность этому пр</w:t>
      </w:r>
      <w:r>
        <w:t>о</w:t>
      </w:r>
      <w:r>
        <w:t>цессу. Возложенные на группу обязанности предп</w:t>
      </w:r>
      <w:r>
        <w:t>о</w:t>
      </w:r>
      <w:r>
        <w:t>лагают инициативы по осуществлению проектов во всех министерствах, а также функции по разработке общего видения и плана действий по осуществл</w:t>
      </w:r>
      <w:r>
        <w:t>е</w:t>
      </w:r>
      <w:r>
        <w:t>нию стратегии. Предполагается, что осуществление за</w:t>
      </w:r>
      <w:r>
        <w:t>й</w:t>
      </w:r>
      <w:r>
        <w:t>мет пять лет — 2001–2005 годы.</w:t>
      </w:r>
    </w:p>
    <w:p w:rsidR="00000000" w:rsidRDefault="00000000">
      <w:pPr>
        <w:pStyle w:val="DualTxt"/>
      </w:pPr>
      <w:r>
        <w:tab/>
        <w:t>Департаментская группа по равенству между мужчинами и женщинами выступает в качестве секретариата координационной группы и выделила эксперта в связи с осуществлением этого проекта для оказания помощи и поддержки координацио</w:t>
      </w:r>
      <w:r>
        <w:t>н</w:t>
      </w:r>
      <w:r>
        <w:t>ной группе. Департаментская группа также создала сеть в составе основных должностных лиц прое</w:t>
      </w:r>
      <w:r>
        <w:t>к</w:t>
      </w:r>
      <w:r>
        <w:t>тов, направленных на учет гендерной проблемат</w:t>
      </w:r>
      <w:r>
        <w:t>и</w:t>
      </w:r>
      <w:r>
        <w:t>ки, в о</w:t>
      </w:r>
      <w:r>
        <w:t>т</w:t>
      </w:r>
      <w:r>
        <w:t>дельных министерствах.</w:t>
      </w:r>
    </w:p>
    <w:p w:rsidR="00000000" w:rsidRDefault="00000000">
      <w:pPr>
        <w:pStyle w:val="DualTxt"/>
      </w:pPr>
      <w:r>
        <w:tab/>
        <w:t>Цель создания сети заключается в расширении знаний и опыта в вопросах учета гендерной пр</w:t>
      </w:r>
      <w:r>
        <w:t>о</w:t>
      </w:r>
      <w:r>
        <w:t>блематики, подготовке членов по вопросам раве</w:t>
      </w:r>
      <w:r>
        <w:t>н</w:t>
      </w:r>
      <w:r>
        <w:t>ства между мужчинами и женщинами и обеспеч</w:t>
      </w:r>
      <w:r>
        <w:t>е</w:t>
      </w:r>
      <w:r>
        <w:t>нию учета гендерной проблематики, создании си</w:t>
      </w:r>
      <w:r>
        <w:t>с</w:t>
      </w:r>
      <w:r>
        <w:t>темы взаимоподдержки, а также оказании помощи членам в обмене опытом практической работы в д</w:t>
      </w:r>
      <w:r>
        <w:t>е</w:t>
      </w:r>
      <w:r>
        <w:t>ле обеспечения учета гендерной проблематики. С</w:t>
      </w:r>
      <w:r>
        <w:t>е</w:t>
      </w:r>
      <w:r>
        <w:t>ти также принадлежит роль «посла» в деле учета гендерной проблем</w:t>
      </w:r>
      <w:r>
        <w:t>а</w:t>
      </w:r>
      <w:r>
        <w:t>тики.</w:t>
      </w:r>
    </w:p>
    <w:p w:rsidR="00000000" w:rsidRDefault="00000000">
      <w:pPr>
        <w:pStyle w:val="DualTxt"/>
      </w:pPr>
      <w:r>
        <w:tab/>
        <w:t>В настоящее время все 21 министерство либо находятся в процессе составления описаний прое</w:t>
      </w:r>
      <w:r>
        <w:t>к</w:t>
      </w:r>
      <w:r>
        <w:t>та, либо уже приступили к осуществлению прое</w:t>
      </w:r>
      <w:r>
        <w:t>к</w:t>
      </w:r>
      <w:r>
        <w:t>тов в качестве элементов своей основной деятел</w:t>
      </w:r>
      <w:r>
        <w:t>ь</w:t>
      </w:r>
      <w:r>
        <w:t>ности. Одним из примеров является проект мин</w:t>
      </w:r>
      <w:r>
        <w:t>и</w:t>
      </w:r>
      <w:r>
        <w:t>стерства транспорта, предусматривающий включ</w:t>
      </w:r>
      <w:r>
        <w:t>е</w:t>
      </w:r>
      <w:r>
        <w:t>ние в рамки основной деятельности кампаний по обеспечению безопасности движения, исходным моментом которого является различный характер действий мужчин и женщин в случае дорожно-транспортных происшествий с их участием. Другим примером является проект министерства прод</w:t>
      </w:r>
      <w:r>
        <w:t>о</w:t>
      </w:r>
      <w:r>
        <w:t>вольствия, сельского хозяйства и рыболовства по вопросам информации о продуктах питания, в ра</w:t>
      </w:r>
      <w:r>
        <w:t>м</w:t>
      </w:r>
      <w:r>
        <w:t>ках которого имеющиеся данные о различных пр</w:t>
      </w:r>
      <w:r>
        <w:t>и</w:t>
      </w:r>
      <w:r>
        <w:t>вычках женщин и мужчин в отношении продуктов питания будут использоваться в будущих исслед</w:t>
      </w:r>
      <w:r>
        <w:t>о</w:t>
      </w:r>
      <w:r>
        <w:t>ваниях по вопросам привычек в отношении проду</w:t>
      </w:r>
      <w:r>
        <w:t>к</w:t>
      </w:r>
      <w:r>
        <w:t>тов питания, в подготовке информации о питател</w:t>
      </w:r>
      <w:r>
        <w:t>ь</w:t>
      </w:r>
      <w:r>
        <w:t>ных элементах и данных о потреблении продовол</w:t>
      </w:r>
      <w:r>
        <w:t>ь</w:t>
      </w:r>
      <w:r>
        <w:t>ствия. Третьим примером является проект мин</w:t>
      </w:r>
      <w:r>
        <w:t>и</w:t>
      </w:r>
      <w:r>
        <w:t>стерства жилищного строительства и городов, пр</w:t>
      </w:r>
      <w:r>
        <w:t>е</w:t>
      </w:r>
      <w:r>
        <w:t>дусматривающий учет планирования и политики в области жилищного строительства в качестве с</w:t>
      </w:r>
      <w:r>
        <w:t>о</w:t>
      </w:r>
      <w:r>
        <w:t>ставного элемента программы повышения качества услуг для нас</w:t>
      </w:r>
      <w:r>
        <w:t>е</w:t>
      </w:r>
      <w:r>
        <w:t>ления.</w:t>
      </w:r>
    </w:p>
    <w:p w:rsidR="00000000" w:rsidRDefault="00000000">
      <w:pPr>
        <w:pStyle w:val="DualTxt"/>
      </w:pPr>
      <w:r>
        <w:tab/>
        <w:t>Указанные проекты затрагивают различные аспекты государственной политики и содержат мн</w:t>
      </w:r>
      <w:r>
        <w:t>о</w:t>
      </w:r>
      <w:r>
        <w:t>гие основные элементы деятельности по обеспеч</w:t>
      </w:r>
      <w:r>
        <w:t>е</w:t>
      </w:r>
      <w:r>
        <w:t>нию учета гендерной проблематики: анализ данных, вклад в разработку стратегий и законодательства, стратегии, касающиеся коммуникации и проведения кампаний, анализ ресурсов, расширение знаний в вопросах равенства межу мужчинами и женщинами.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Статья 4 — Органы по обеспечению равенства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Департаментская группа по вопросам равенства между мужчинами и женщинами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ab/>
        <w:t>Департаментская группа по вопросам равенс</w:t>
      </w:r>
      <w:r>
        <w:t>т</w:t>
      </w:r>
      <w:r>
        <w:t>ва между мужчинами и женщинами была создана под руководством министра по вопросам равенства между мужчинами и женщинами. Эта группа зан</w:t>
      </w:r>
      <w:r>
        <w:t>и</w:t>
      </w:r>
      <w:r>
        <w:t>мается деятельностью правительства по обеспеч</w:t>
      </w:r>
      <w:r>
        <w:t>е</w:t>
      </w:r>
      <w:r>
        <w:t>нию равенства между мужчинами и женщинами п</w:t>
      </w:r>
      <w:r>
        <w:t>у</w:t>
      </w:r>
      <w:r>
        <w:t>тем координации, разработки и осуществления г</w:t>
      </w:r>
      <w:r>
        <w:t>о</w:t>
      </w:r>
      <w:r>
        <w:t>сударственной политики в области равенства между мужчинами и женщинами и предоставляет услуги министру и Фолькетингу в вопросах, касающихся равенства между мужчинами и же</w:t>
      </w:r>
      <w:r>
        <w:t>н</w:t>
      </w:r>
      <w:r>
        <w:t>щинами.</w:t>
      </w:r>
    </w:p>
    <w:p w:rsidR="00000000" w:rsidRDefault="00000000">
      <w:pPr>
        <w:pStyle w:val="DualTxt"/>
      </w:pPr>
      <w:r>
        <w:tab/>
        <w:t>На группу возложены следующие зад</w:t>
      </w:r>
      <w:r>
        <w:t>а</w:t>
      </w:r>
      <w:r>
        <w:t>чи: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подготовка законов и административных пр</w:t>
      </w:r>
      <w:r>
        <w:t>а</w:t>
      </w:r>
      <w:r>
        <w:t>вил, касающихся равенства между мужчинами и же</w:t>
      </w:r>
      <w:r>
        <w:t>н</w:t>
      </w:r>
      <w:r>
        <w:t>щинами;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координация усилий государственных органов по обеспечению равенства между мужчинами и женщинами в контексте осуществления стратегии обеспечения учета гендерной пр</w:t>
      </w:r>
      <w:r>
        <w:t>о</w:t>
      </w:r>
      <w:r>
        <w:t>блем</w:t>
      </w:r>
      <w:r>
        <w:t>а</w:t>
      </w:r>
      <w:r>
        <w:t>тики;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подготовка для Фолькетинга ежегодного до</w:t>
      </w:r>
      <w:r>
        <w:t>к</w:t>
      </w:r>
      <w:r>
        <w:t>лада по вопросам равенства между мужчинами и женщинами;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осуществление и оценка перспективного плана и плана действий министра по обеспечению равенства между мужчинами и женщинами;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ответственность за деятельность в приорите</w:t>
      </w:r>
      <w:r>
        <w:t>т</w:t>
      </w:r>
      <w:r>
        <w:t>ных областях мин</w:t>
      </w:r>
      <w:r>
        <w:t>и</w:t>
      </w:r>
      <w:r>
        <w:t>стра;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секретариатское обслуживание Комиссии по обеспечению равенства между мужчинами и женщинами;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контроль за изменением положения дел в о</w:t>
      </w:r>
      <w:r>
        <w:t>б</w:t>
      </w:r>
      <w:r>
        <w:t>ласти гендерного состава некоторых госуда</w:t>
      </w:r>
      <w:r>
        <w:t>р</w:t>
      </w:r>
      <w:r>
        <w:t>ственных комитетов и коми</w:t>
      </w:r>
      <w:r>
        <w:t>с</w:t>
      </w:r>
      <w:r>
        <w:t>сий;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представление информации по вопросам р</w:t>
      </w:r>
      <w:r>
        <w:t>а</w:t>
      </w:r>
      <w:r>
        <w:t>венства между мужчинами и женщинами на некоторых международных форумах, включая Организацию Объединенных Наций, ЕС и С</w:t>
      </w:r>
      <w:r>
        <w:t>о</w:t>
      </w:r>
      <w:r>
        <w:t>вет министров стран Сев</w:t>
      </w:r>
      <w:r>
        <w:t>е</w:t>
      </w:r>
      <w:r>
        <w:t>рной Европы.</w:t>
      </w:r>
    </w:p>
    <w:p w:rsidR="00000000" w:rsidRDefault="00000000">
      <w:pPr>
        <w:pStyle w:val="DualTxt"/>
      </w:pPr>
      <w:r>
        <w:tab/>
        <w:t>Указанная департаментская группа в насто</w:t>
      </w:r>
      <w:r>
        <w:t>я</w:t>
      </w:r>
      <w:r>
        <w:t>щее время в организационном отношении относи</w:t>
      </w:r>
      <w:r>
        <w:t>т</w:t>
      </w:r>
      <w:r>
        <w:t>ся к министерству жилищного строительства и г</w:t>
      </w:r>
      <w:r>
        <w:t>о</w:t>
      </w:r>
      <w:r>
        <w:t>родских районов, поскольку министр по этим в</w:t>
      </w:r>
      <w:r>
        <w:t>о</w:t>
      </w:r>
      <w:r>
        <w:t>просам также является министром по вопросам р</w:t>
      </w:r>
      <w:r>
        <w:t>а</w:t>
      </w:r>
      <w:r>
        <w:t>венства между мужчинами и женщинами.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Информационный центр по вопросам равенства между мужчинами и женщинами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ab/>
        <w:t>Информационный центр по вопросам равенс</w:t>
      </w:r>
      <w:r>
        <w:t>т</w:t>
      </w:r>
      <w:r>
        <w:t>ва между мужчинами и женщинами является н</w:t>
      </w:r>
      <w:r>
        <w:t>е</w:t>
      </w:r>
      <w:r>
        <w:t>коммерческой организацией, цель которой состоит в поощрении, квалифицировании и организации ди</w:t>
      </w:r>
      <w:r>
        <w:t>с</w:t>
      </w:r>
      <w:r>
        <w:t>куссий по проблемам равенства между мужчинами и женщинами, а также в поддержке усилий по включению этих вопросов во все стратегии, пр</w:t>
      </w:r>
      <w:r>
        <w:t>о</w:t>
      </w:r>
      <w:r>
        <w:t>цесс планирования и упра</w:t>
      </w:r>
      <w:r>
        <w:t>в</w:t>
      </w:r>
      <w:r>
        <w:t>ления.</w:t>
      </w:r>
    </w:p>
    <w:p w:rsidR="00000000" w:rsidRDefault="00000000">
      <w:pPr>
        <w:pStyle w:val="DualTxt"/>
      </w:pPr>
      <w:r>
        <w:tab/>
        <w:t>Центр отвечает за распространение среди ш</w:t>
      </w:r>
      <w:r>
        <w:t>и</w:t>
      </w:r>
      <w:r>
        <w:t>роких кругов общественности информации, каса</w:t>
      </w:r>
      <w:r>
        <w:t>ю</w:t>
      </w:r>
      <w:r>
        <w:t>щейся равенства между мужчинами и женщинами.</w:t>
      </w:r>
    </w:p>
    <w:p w:rsidR="00000000" w:rsidRDefault="00000000">
      <w:pPr>
        <w:pStyle w:val="DualTxt"/>
      </w:pPr>
      <w:r>
        <w:tab/>
        <w:t>Центр может указывать на необходимость о</w:t>
      </w:r>
      <w:r>
        <w:t>б</w:t>
      </w:r>
      <w:r>
        <w:t>зоров, исследований и анализа и подобных им м</w:t>
      </w:r>
      <w:r>
        <w:t>е</w:t>
      </w:r>
      <w:r>
        <w:t>роприятий, которые имеют большое значение для широкого обсуждения вопросов равенства между мужчинами и женщинами, а также обеспечивать их проведение.</w:t>
      </w:r>
    </w:p>
    <w:p w:rsidR="00000000" w:rsidRDefault="00000000">
      <w:pPr>
        <w:pStyle w:val="DualTxt"/>
      </w:pPr>
      <w:r>
        <w:tab/>
        <w:t>Центр возглавляет совет в составе представ</w:t>
      </w:r>
      <w:r>
        <w:t>и</w:t>
      </w:r>
      <w:r>
        <w:t>телей рынка труда, женских и мужских организаций и исследователей. Центр должен обеспечивать связь между организациями, органами власти, исследов</w:t>
      </w:r>
      <w:r>
        <w:t>а</w:t>
      </w:r>
      <w:r>
        <w:t>телями и другими лицами, занимающимися вопр</w:t>
      </w:r>
      <w:r>
        <w:t>о</w:t>
      </w:r>
      <w:r>
        <w:t>сами равенства между мужчинами и женщинами.</w:t>
      </w:r>
    </w:p>
    <w:p w:rsidR="00000000" w:rsidRDefault="00000000">
      <w:pPr>
        <w:pStyle w:val="DualTxt"/>
      </w:pPr>
      <w:r>
        <w:tab/>
        <w:t>Центр обеспечивает форум для обсуждения, участники которого владеют информацией по пр</w:t>
      </w:r>
      <w:r>
        <w:t>о</w:t>
      </w:r>
      <w:r>
        <w:t>блематике равенства между мужчинами и женщ</w:t>
      </w:r>
      <w:r>
        <w:t>и</w:t>
      </w:r>
      <w:r>
        <w:t>нами и по другим связанным с нею социальным а</w:t>
      </w:r>
      <w:r>
        <w:t>с</w:t>
      </w:r>
      <w:r>
        <w:t>пектам и проявляют к ним интерес. Его состав о</w:t>
      </w:r>
      <w:r>
        <w:t>т</w:t>
      </w:r>
      <w:r>
        <w:t>ражает весь спектр участников обсуждения вопр</w:t>
      </w:r>
      <w:r>
        <w:t>о</w:t>
      </w:r>
      <w:r>
        <w:t>сов равенства между мужчинами и женщинами в том, что касается гендерного аспекта, возраста, р</w:t>
      </w:r>
      <w:r>
        <w:t>о</w:t>
      </w:r>
      <w:r>
        <w:t xml:space="preserve">да занятий и этнического происхождения. </w:t>
      </w:r>
    </w:p>
    <w:p w:rsidR="00000000" w:rsidRDefault="00000000">
      <w:pPr>
        <w:pStyle w:val="DualTxt"/>
      </w:pPr>
      <w:r>
        <w:tab/>
        <w:t>В настоящее время Центр ведет работу по сл</w:t>
      </w:r>
      <w:r>
        <w:t>е</w:t>
      </w:r>
      <w:r>
        <w:t>дующим восьми темам, касающимся вопросов р</w:t>
      </w:r>
      <w:r>
        <w:t>а</w:t>
      </w:r>
      <w:r>
        <w:t>венства между мужчинами и женщинами: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уменьшение неравенства между мужчинами и женщинами в трудовой сфере — равная опл</w:t>
      </w:r>
      <w:r>
        <w:t>а</w:t>
      </w:r>
      <w:r>
        <w:t>та;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в каком направлении движутся мужчины? Мужчины и равенство между мужчинами и женщинами;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благосостояние родителей детей младшего возраста, разделение обязанностей, экономика, условия труда и часы работы;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гендерные вопросы, равный статус и этнич</w:t>
      </w:r>
      <w:r>
        <w:t>е</w:t>
      </w:r>
      <w:r>
        <w:t>ские факторы;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учет гендерной проблематики;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сексуализация государственной сферы;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проституция и торговля женщинами;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насилие в семьях и союзах.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Комиссия по вопросам равенства между мужчинами и женщинами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ab/>
        <w:t>Комиссия по вопросам равенства между му</w:t>
      </w:r>
      <w:r>
        <w:t>ж</w:t>
      </w:r>
      <w:r>
        <w:t>чинами и женщинами состоит из председателя, я</w:t>
      </w:r>
      <w:r>
        <w:t>в</w:t>
      </w:r>
      <w:r>
        <w:t>ляющегося судьей, и еще двух членов, являющихся юристами с опытом работы соответственно в обла</w:t>
      </w:r>
      <w:r>
        <w:t>с</w:t>
      </w:r>
      <w:r>
        <w:t>тях равенства между мужчинами и женщинами и условий рынка рабочей с</w:t>
      </w:r>
      <w:r>
        <w:t>и</w:t>
      </w:r>
      <w:r>
        <w:t>лы.</w:t>
      </w:r>
    </w:p>
    <w:p w:rsidR="00000000" w:rsidRDefault="00000000">
      <w:pPr>
        <w:pStyle w:val="DualTxt"/>
      </w:pPr>
      <w:r>
        <w:tab/>
        <w:t>Комиссия рассматривает конкретные жалобы в отношении дискриминационного обращения с женщинами или мужчинами. Любой гражданин может обратиться с заявлением в Комиссию, кот</w:t>
      </w:r>
      <w:r>
        <w:t>о</w:t>
      </w:r>
      <w:r>
        <w:t>рая стремится предоставить этому гражданину бе</w:t>
      </w:r>
      <w:r>
        <w:t>с</w:t>
      </w:r>
      <w:r>
        <w:t>платно и в облегченной форме доступ к органам для вынесения решений по жалобам, касающимся ди</w:t>
      </w:r>
      <w:r>
        <w:t>с</w:t>
      </w:r>
      <w:r>
        <w:t>криминации по признаку пола. Если работник явл</w:t>
      </w:r>
      <w:r>
        <w:t>я</w:t>
      </w:r>
      <w:r>
        <w:t>ется членом профсоюза и вопрос, составляющий суть жалобы, охватывается трудовым соглашением, то указанное лицо сначала должно обратиться в свой профсоюз. Если профсоюз либо не может, л</w:t>
      </w:r>
      <w:r>
        <w:t>и</w:t>
      </w:r>
      <w:r>
        <w:t>бо не желает представить этот вопрос для арби</w:t>
      </w:r>
      <w:r>
        <w:t>т</w:t>
      </w:r>
      <w:r>
        <w:t>ражного разбирательства или рассмотрения в Пр</w:t>
      </w:r>
      <w:r>
        <w:t>о</w:t>
      </w:r>
      <w:r>
        <w:t>мышленном суде, Комиссия компетентна рассма</w:t>
      </w:r>
      <w:r>
        <w:t>т</w:t>
      </w:r>
      <w:r>
        <w:t xml:space="preserve">ривать это дело. </w:t>
      </w:r>
    </w:p>
    <w:p w:rsidR="00000000" w:rsidRDefault="00000000">
      <w:pPr>
        <w:pStyle w:val="DualTxt"/>
      </w:pPr>
      <w:r>
        <w:tab/>
        <w:t>Гражданин может обратиться с жалобой на дискриминацию в производственной сфере, в сфере образования и здравоохранения и в социальных секторах, на частных предприятиях и в финансовом секторе.</w:t>
      </w:r>
    </w:p>
    <w:p w:rsidR="00000000" w:rsidRDefault="00000000">
      <w:pPr>
        <w:pStyle w:val="DualTxt"/>
      </w:pPr>
      <w:r>
        <w:tab/>
        <w:t>Решения Комиссии имеют обязательный х</w:t>
      </w:r>
      <w:r>
        <w:t>а</w:t>
      </w:r>
      <w:r>
        <w:t>рактер и в административном отношении являются окончательными, и Комиссия имеет право прису</w:t>
      </w:r>
      <w:r>
        <w:t>ж</w:t>
      </w:r>
      <w:r>
        <w:t>дать компенсацию лицу, обратившемуся с жалобой, если имеет факт нарушения Закона о равенстве м</w:t>
      </w:r>
      <w:r>
        <w:t>е</w:t>
      </w:r>
      <w:r>
        <w:t>жду мужчинами и женщинами. В особых случаях Комиссия может пересмотреть решение о закрытии дела, если устанавливается факт нарушения раб</w:t>
      </w:r>
      <w:r>
        <w:t>о</w:t>
      </w:r>
      <w:r>
        <w:t>чих отношений.</w:t>
      </w:r>
    </w:p>
    <w:p w:rsidR="00000000" w:rsidRDefault="00000000">
      <w:pPr>
        <w:pStyle w:val="DualTxt"/>
      </w:pPr>
      <w:r>
        <w:tab/>
        <w:t>Комиссия провела свое первое заседание в июле 2000 года, после чего провела еще 11 заседаний и вынесла решения по 26 случаям. Секретариат Комиссии получил приблизительно 55 письменных жалоб: были урегулированы две из них, а 14 были признаны не подлежащими рассмо</w:t>
      </w:r>
      <w:r>
        <w:t>т</w:t>
      </w:r>
      <w:r>
        <w:t>рению или отклонены, поскольку они выходят за рамки полномочий К</w:t>
      </w:r>
      <w:r>
        <w:t>о</w:t>
      </w:r>
      <w:r>
        <w:t>миссии.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Статья 5 — Приоритеты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ab/>
        <w:t>Датское правительство считает важным пост</w:t>
      </w:r>
      <w:r>
        <w:t>о</w:t>
      </w:r>
      <w:r>
        <w:t>янное включение вопросов равенства между му</w:t>
      </w:r>
      <w:r>
        <w:t>ж</w:t>
      </w:r>
      <w:r>
        <w:t>чинами и женщинами в политическую повестку дня. Так, в Законе о равенстве между мужчинами и женщинами указывается, что один раз в два года правительственные учреждения должны подгота</w:t>
      </w:r>
      <w:r>
        <w:t>в</w:t>
      </w:r>
      <w:r>
        <w:t>ливать доклады по вопросам равенства между му</w:t>
      </w:r>
      <w:r>
        <w:t>ж</w:t>
      </w:r>
      <w:r>
        <w:t>чинами и женщинами и каждый год министр по в</w:t>
      </w:r>
      <w:r>
        <w:t>о</w:t>
      </w:r>
      <w:r>
        <w:t>просам равенства между мужчинами и женщинами должен представлять Фолькетингу доклад и пе</w:t>
      </w:r>
      <w:r>
        <w:t>р</w:t>
      </w:r>
      <w:r>
        <w:t>спективный план и план действий в области обе</w:t>
      </w:r>
      <w:r>
        <w:t>с</w:t>
      </w:r>
      <w:r>
        <w:t>печения равенства между мужчинами и женщин</w:t>
      </w:r>
      <w:r>
        <w:t>а</w:t>
      </w:r>
      <w:r>
        <w:t>ми. Министр представил Фолькетингу доклад за 2001 год 2 марта 2001 года.</w:t>
      </w:r>
    </w:p>
    <w:p w:rsidR="00000000" w:rsidRDefault="00000000">
      <w:pPr>
        <w:pStyle w:val="DualTxt"/>
      </w:pPr>
      <w:r>
        <w:tab/>
        <w:t>Приоритетными областями деятельности м</w:t>
      </w:r>
      <w:r>
        <w:t>и</w:t>
      </w:r>
      <w:r>
        <w:t>нистра по вопросам равенства между мужчинами и женщинами в 2001 году являю</w:t>
      </w:r>
      <w:r>
        <w:t>т</w:t>
      </w:r>
      <w:r>
        <w:t>ся: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борьба с проблемой неравенства в оплате тр</w:t>
      </w:r>
      <w:r>
        <w:t>у</w:t>
      </w:r>
      <w:r>
        <w:t>да;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обеспечение согласованности производстве</w:t>
      </w:r>
      <w:r>
        <w:t>н</w:t>
      </w:r>
      <w:r>
        <w:t>ной жизни и семейной жи</w:t>
      </w:r>
      <w:r>
        <w:t>з</w:t>
      </w:r>
      <w:r>
        <w:t>ни;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многообразие как ресурс — на предприятиях и в других секторах общ</w:t>
      </w:r>
      <w:r>
        <w:t>е</w:t>
      </w:r>
      <w:r>
        <w:t>ства;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диалог по вопросам равенства между мужч</w:t>
      </w:r>
      <w:r>
        <w:t>и</w:t>
      </w:r>
      <w:r>
        <w:t>нами и женщинами и этнических мен</w:t>
      </w:r>
      <w:r>
        <w:t>ь</w:t>
      </w:r>
      <w:r>
        <w:t>шинств;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борьба с насилием в отношении женщин и торговлей люд</w:t>
      </w:r>
      <w:r>
        <w:t>ь</w:t>
      </w:r>
      <w:r>
        <w:t>ми;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учет гендерной проблематики — стратегия в области обеспечения равенства между мужч</w:t>
      </w:r>
      <w:r>
        <w:t>и</w:t>
      </w:r>
      <w:r>
        <w:t>нами и женщ</w:t>
      </w:r>
      <w:r>
        <w:t>и</w:t>
      </w:r>
      <w:r>
        <w:t>нами.</w:t>
      </w:r>
    </w:p>
    <w:p w:rsidR="00000000" w:rsidRDefault="00000000">
      <w:pPr>
        <w:pStyle w:val="DualTxt"/>
      </w:pPr>
      <w:r>
        <w:tab/>
        <w:t>Цель государственной политики в области обеспечения равенства между мужчинами и же</w:t>
      </w:r>
      <w:r>
        <w:t>н</w:t>
      </w:r>
      <w:r>
        <w:t>щинами выражена в докладе: равенство между мужчинами и женщинами является предварител</w:t>
      </w:r>
      <w:r>
        <w:t>ь</w:t>
      </w:r>
      <w:r>
        <w:t>ным условием для сохранения и развития системы социального вспомоществования и демократии в датском обществе. Задача обеспечения равенства между мужчинами и женщинами должна занимать видное место в программе действий по улучшению жизни людей, которая обеспечивает равное обращ</w:t>
      </w:r>
      <w:r>
        <w:t>е</w:t>
      </w:r>
      <w:r>
        <w:t>ние с женщинами и мужчинами и которая рассма</w:t>
      </w:r>
      <w:r>
        <w:t>т</w:t>
      </w:r>
      <w:r>
        <w:t>ривает различия между людьми как один из ресу</w:t>
      </w:r>
      <w:r>
        <w:t>р</w:t>
      </w:r>
      <w:r>
        <w:t>сов и основу для экономического роста. Задача з</w:t>
      </w:r>
      <w:r>
        <w:t>а</w:t>
      </w:r>
      <w:r>
        <w:t>ключается в том, чтобы все граждане — как же</w:t>
      </w:r>
      <w:r>
        <w:t>н</w:t>
      </w:r>
      <w:r>
        <w:t>щины, так и мужчины — получили возможность в полной мере и всесторонне вносить вклад своими ресурсами и потенциалом на благо отдельных лиц и всего общества в ц</w:t>
      </w:r>
      <w:r>
        <w:t>е</w:t>
      </w:r>
      <w:r>
        <w:t>лом.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Ликвидация неравенства в оплате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ab/>
        <w:t>В феврале 2000 года министр по вопросам р</w:t>
      </w:r>
      <w:r>
        <w:t>а</w:t>
      </w:r>
      <w:r>
        <w:t>венства между мужчинами и женщинами и министр по вопросам труда провели конференцию в ознам</w:t>
      </w:r>
      <w:r>
        <w:t>е</w:t>
      </w:r>
      <w:r>
        <w:t>нование двадцать пятой годовщины принятия Зак</w:t>
      </w:r>
      <w:r>
        <w:t>о</w:t>
      </w:r>
      <w:r>
        <w:t>на о равной оплате. На протяжении нескольких н</w:t>
      </w:r>
      <w:r>
        <w:t>е</w:t>
      </w:r>
      <w:r>
        <w:t>дель, предшествовавших конференции, проводилась кампания под девизом «Разница отнюдь не мала». Цель кампании заключалась в том, чтобы повысить уровень осведомленности широких кругов насел</w:t>
      </w:r>
      <w:r>
        <w:t>е</w:t>
      </w:r>
      <w:r>
        <w:t>ния о все еще сохраняющейся разнице в оплате труда женщин и мужчин.</w:t>
      </w:r>
    </w:p>
    <w:p w:rsidR="00000000" w:rsidRDefault="00000000">
      <w:pPr>
        <w:pStyle w:val="DualTxt"/>
      </w:pPr>
      <w:r>
        <w:tab/>
        <w:t>Для разработки новых методов по обеспеч</w:t>
      </w:r>
      <w:r>
        <w:t>е</w:t>
      </w:r>
      <w:r>
        <w:t xml:space="preserve">нию равной оплаты министр по вопросам равенства между мужчинами и женщинами и министр </w:t>
      </w:r>
      <w:r>
        <w:rPr>
          <w:lang/>
        </w:rPr>
        <w:t>по в</w:t>
      </w:r>
      <w:r>
        <w:rPr>
          <w:lang/>
        </w:rPr>
        <w:t>о</w:t>
      </w:r>
      <w:r>
        <w:rPr>
          <w:lang/>
        </w:rPr>
        <w:t xml:space="preserve">просам </w:t>
      </w:r>
      <w:r>
        <w:t>труда создали сеть, включающую в себя представителей 15 крупных компаний. Цель этой системы заключается в том, чтобы создать форум, в рамках которого фирмы могли бы обмениваться опытом о путях обеспечения равной оплаты за ра</w:t>
      </w:r>
      <w:r>
        <w:t>в</w:t>
      </w:r>
      <w:r>
        <w:t>ный труд или за труд равной стоимости. Одной из задач, стоящих перед Рабочей группой, является разработка и опробование моделей оценки выпо</w:t>
      </w:r>
      <w:r>
        <w:t>л</w:t>
      </w:r>
      <w:r>
        <w:t xml:space="preserve">няемой работы. </w:t>
      </w:r>
    </w:p>
    <w:p w:rsidR="00000000" w:rsidRDefault="00000000">
      <w:pPr>
        <w:pStyle w:val="DualTxt"/>
        <w:spacing w:after="0" w:line="120" w:lineRule="exact"/>
        <w:rPr>
          <w:sz w:val="10"/>
          <w:lang w:val="en-US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Согласованность между производственной жизнью и семейной жизнью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rPr>
          <w:lang w:val="en-US"/>
        </w:rPr>
        <w:tab/>
      </w:r>
      <w:r>
        <w:t>Министр по вопросам равенства между му</w:t>
      </w:r>
      <w:r>
        <w:t>ж</w:t>
      </w:r>
      <w:r>
        <w:t>чинами и женщинами уделяет особое внимание п</w:t>
      </w:r>
      <w:r>
        <w:t>о</w:t>
      </w:r>
      <w:r>
        <w:t>литике в отношении семьи в контексте производс</w:t>
      </w:r>
      <w:r>
        <w:t>т</w:t>
      </w:r>
      <w:r>
        <w:t>венной деятельности. В августе 2001 года было проведено слушание по теме: «Отец, мать, раб</w:t>
      </w:r>
      <w:r>
        <w:t>о</w:t>
      </w:r>
      <w:r>
        <w:t>та — и дети». Слушание преследовало две цели: обсудить пути, дающие возможность предприятиям поощрять такую культуру, которая была бы в ра</w:t>
      </w:r>
      <w:r>
        <w:t>в</w:t>
      </w:r>
      <w:r>
        <w:t>ной степени приемлема для отцов и матерей, в пл</w:t>
      </w:r>
      <w:r>
        <w:t>а</w:t>
      </w:r>
      <w:r>
        <w:t>не уделения времени (рабочего) своим детям; обс</w:t>
      </w:r>
      <w:r>
        <w:t>у</w:t>
      </w:r>
      <w:r>
        <w:t>дить пути возможной адаптации рабочего времени к сложным периодам жизни, а также найти пути и</w:t>
      </w:r>
      <w:r>
        <w:t>з</w:t>
      </w:r>
      <w:r>
        <w:t>бежания такой ситуации, когда матери делают свое рабочее время «гибким» в сторону его сокращения, в то время как для отцов «гибкость» рабочего вр</w:t>
      </w:r>
      <w:r>
        <w:t>е</w:t>
      </w:r>
      <w:r>
        <w:t>мени выражается в его увелич</w:t>
      </w:r>
      <w:r>
        <w:t>е</w:t>
      </w:r>
      <w:r>
        <w:t>нии.</w:t>
      </w:r>
    </w:p>
    <w:p w:rsidR="00000000" w:rsidRDefault="00000000">
      <w:pPr>
        <w:pStyle w:val="DualTxt"/>
      </w:pPr>
      <w:r>
        <w:tab/>
        <w:t>В связи с этим слушанием была опубликована брошюра, озаглавленная «Благоприятные для семьи рабочие места — 2001 год», в которой представл</w:t>
      </w:r>
      <w:r>
        <w:t>е</w:t>
      </w:r>
      <w:r>
        <w:t>ны типичные примеры различных учитывающих интересы семьи предприятий. В то же время пре</w:t>
      </w:r>
      <w:r>
        <w:t>д</w:t>
      </w:r>
      <w:r>
        <w:t>ставлены собственные интересы предприятий в принятии мер в интересах семей, особенно в усл</w:t>
      </w:r>
      <w:r>
        <w:t>о</w:t>
      </w:r>
      <w:r>
        <w:t>виях трудностей набора рабочей силы и низкой р</w:t>
      </w:r>
      <w:r>
        <w:t>о</w:t>
      </w:r>
      <w:r>
        <w:t>ждаемости. Кроме того, указывалось, что конце</w:t>
      </w:r>
      <w:r>
        <w:t>п</w:t>
      </w:r>
      <w:r>
        <w:t>ция «учета интересов семьи» применима не только к семьям с маленькими детьми. Гибкость для в</w:t>
      </w:r>
      <w:r>
        <w:t>ы</w:t>
      </w:r>
      <w:r>
        <w:t>полнения связанных с семьей задач может треб</w:t>
      </w:r>
      <w:r>
        <w:t>о</w:t>
      </w:r>
      <w:r>
        <w:t>ваться также и более старшим сотрудникам, а также сотрудникам без детей или с детьми более старшего во</w:t>
      </w:r>
      <w:r>
        <w:t>з</w:t>
      </w:r>
      <w:r>
        <w:t>раста.</w:t>
      </w:r>
    </w:p>
    <w:p w:rsidR="00000000" w:rsidRDefault="00000000">
      <w:pPr>
        <w:pStyle w:val="DualTxt"/>
      </w:pPr>
      <w:r>
        <w:tab/>
        <w:t>В рамках проведенного министром слушания особое внимание уделялось динамике изменения часов работы женщин и мужчин. Тенденция пре</w:t>
      </w:r>
      <w:r>
        <w:t>д</w:t>
      </w:r>
      <w:r>
        <w:t>ставляется четкой: женщины работают больше, а мужчины р</w:t>
      </w:r>
      <w:r>
        <w:t>а</w:t>
      </w:r>
      <w:r>
        <w:t xml:space="preserve">ботают меньше. </w:t>
      </w:r>
    </w:p>
    <w:p w:rsidR="00000000" w:rsidRDefault="00000000">
      <w:pPr>
        <w:pStyle w:val="DualTxt"/>
      </w:pPr>
      <w:r>
        <w:tab/>
        <w:t>В то же время по</w:t>
      </w:r>
      <w:r>
        <w:noBreakHyphen/>
        <w:t>прежнему сохраняется ра</w:t>
      </w:r>
      <w:r>
        <w:t>з</w:t>
      </w:r>
      <w:r>
        <w:t>ница в количестве часов в неделю, которые женщ</w:t>
      </w:r>
      <w:r>
        <w:t>и</w:t>
      </w:r>
      <w:r>
        <w:t>ны и мужчины проводят на работе. Самые после</w:t>
      </w:r>
      <w:r>
        <w:t>д</w:t>
      </w:r>
      <w:r>
        <w:t>ние данные за 2001 год показывают, что если 75 процентов от общего числа людей, которые раб</w:t>
      </w:r>
      <w:r>
        <w:t>о</w:t>
      </w:r>
      <w:r>
        <w:t>тают меньше полного рабочего времени (37 часов), составляют женщины, то 75 процентов от общего числа людей, которые работают больше 37 часов, — это мужчины. В первую очередь к числу людей, р</w:t>
      </w:r>
      <w:r>
        <w:t>а</w:t>
      </w:r>
      <w:r>
        <w:t>ботающих меньше 37 часов, относятся женщины, занятые наемным трудом на низком уровне, а среди людей, работающих больше 37 часов, преобладают мужчины-руководители и мужчины-представители св</w:t>
      </w:r>
      <w:r>
        <w:t>о</w:t>
      </w:r>
      <w:r>
        <w:t>бодных профессий.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 xml:space="preserve">Многообразие как ресурс — на предприятиях и в других секторах </w:t>
      </w:r>
      <w:r>
        <w:br/>
        <w:t>общества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rPr>
          <w:lang w:val="en-US"/>
        </w:rPr>
        <w:tab/>
      </w:r>
      <w:r>
        <w:t>Многообразие как ресурс в деле обеспечения равенства между мужчинами и женщинами измен</w:t>
      </w:r>
      <w:r>
        <w:t>и</w:t>
      </w:r>
      <w:r>
        <w:t>ло понимание того, что такое равенство требует и означает, чтобы все были одинаковы. Должен быть простор для многообразия и должны быть созданы возможности для развития как отдельных лиц, так и общины — на работе, в политической жизни и др</w:t>
      </w:r>
      <w:r>
        <w:t>у</w:t>
      </w:r>
      <w:r>
        <w:t>гих сферах общества. Многообразие дает силу — силу работать, социальную силу и более высокую конкурентоспособность. Многообразие должно ра</w:t>
      </w:r>
      <w:r>
        <w:t>с</w:t>
      </w:r>
      <w:r>
        <w:t>сматриваться не как проблема, а как р</w:t>
      </w:r>
      <w:r>
        <w:t>е</w:t>
      </w:r>
      <w:r>
        <w:t>сурс.</w:t>
      </w:r>
    </w:p>
    <w:p w:rsidR="00000000" w:rsidRDefault="00000000">
      <w:pPr>
        <w:pStyle w:val="DualTxt"/>
      </w:pPr>
      <w:r>
        <w:tab/>
        <w:t>Министр по вопросам равенства между му</w:t>
      </w:r>
      <w:r>
        <w:t>ж</w:t>
      </w:r>
      <w:r>
        <w:t>чинами и женщинами выдвинул инициативу по осуществлению такой программы действий на ме</w:t>
      </w:r>
      <w:r>
        <w:t>ж</w:t>
      </w:r>
      <w:r>
        <w:t>дународной конференции в Вильнюсе в июне 2001 года: «Женщины/мужчины и демократия», в ходе семинара по теме «Гендерные аспекты пр</w:t>
      </w:r>
      <w:r>
        <w:t>о</w:t>
      </w:r>
      <w:r>
        <w:t>блематики меньшинств», который получил по</w:t>
      </w:r>
      <w:r>
        <w:t>д</w:t>
      </w:r>
      <w:r>
        <w:t>держку и одобрение за новаторский подход в ра</w:t>
      </w:r>
      <w:r>
        <w:t>с</w:t>
      </w:r>
      <w:r>
        <w:t>смотрении этого в</w:t>
      </w:r>
      <w:r>
        <w:t>о</w:t>
      </w:r>
      <w:r>
        <w:t>проса.</w:t>
      </w:r>
    </w:p>
    <w:p w:rsidR="00000000" w:rsidRDefault="00000000">
      <w:pPr>
        <w:pStyle w:val="DualTxt"/>
      </w:pPr>
      <w:r>
        <w:tab/>
        <w:t>В октябре 2001 года Департаментская группа по вопросам равенства между мужчинами и же</w:t>
      </w:r>
      <w:r>
        <w:t>н</w:t>
      </w:r>
      <w:r>
        <w:t>щинами должна провести в Копенгагене семинар по вопросам многообразия с использованием матери</w:t>
      </w:r>
      <w:r>
        <w:t>а</w:t>
      </w:r>
      <w:r>
        <w:t>лов, представленных национальными и междун</w:t>
      </w:r>
      <w:r>
        <w:t>а</w:t>
      </w:r>
      <w:r>
        <w:t>родными организациями по теме: «Многообразие — средства, методы и результаты». В число участн</w:t>
      </w:r>
      <w:r>
        <w:t>и</w:t>
      </w:r>
      <w:r>
        <w:t>ков семинара будут входить лица, активно зан</w:t>
      </w:r>
      <w:r>
        <w:t>и</w:t>
      </w:r>
      <w:r>
        <w:t>мающиеся вопросами многообразия в частных и г</w:t>
      </w:r>
      <w:r>
        <w:t>о</w:t>
      </w:r>
      <w:r>
        <w:t>сударственных предприятиях, а также в организ</w:t>
      </w:r>
      <w:r>
        <w:t>а</w:t>
      </w:r>
      <w:r>
        <w:t>циях и научно-исследовательских учрежден</w:t>
      </w:r>
      <w:r>
        <w:t>и</w:t>
      </w:r>
      <w:r>
        <w:t xml:space="preserve">ях. </w:t>
      </w:r>
    </w:p>
    <w:p w:rsidR="00000000" w:rsidRDefault="00000000">
      <w:pPr>
        <w:pStyle w:val="DualTxt"/>
      </w:pPr>
      <w:r>
        <w:tab/>
        <w:t>В январе 2002 года министр по вопросам р</w:t>
      </w:r>
      <w:r>
        <w:t>а</w:t>
      </w:r>
      <w:r>
        <w:t>венства между мужчинами и женщинами планирует провести конференцию по теме многообразия в с</w:t>
      </w:r>
      <w:r>
        <w:t>о</w:t>
      </w:r>
      <w:r>
        <w:t>тру</w:t>
      </w:r>
      <w:r>
        <w:t>д</w:t>
      </w:r>
      <w:r>
        <w:t>ничестве с участниками рынка рабочей силы.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Диалог по вопросам равенства между мужчинами и женщинами и этнических меньшинств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ab/>
        <w:t>Цель деятельности по вопросам равенства м</w:t>
      </w:r>
      <w:r>
        <w:t>е</w:t>
      </w:r>
      <w:r>
        <w:t>жду мужчинами и женщинами и этнических мен</w:t>
      </w:r>
      <w:r>
        <w:t>ь</w:t>
      </w:r>
      <w:r>
        <w:t>шинств заключается в поощрении равенства между мужчинами и женщинами среди этнических мен</w:t>
      </w:r>
      <w:r>
        <w:t>ь</w:t>
      </w:r>
      <w:r>
        <w:t>шинств, поскольку это — одно из предварительных условий успешной интеграции. Право отдельных женщин и мужчин участвовать в жизни общества и функционировании рынка труда применимо ко всем. Лица различного этнического происхождения представляют собой проявление многообразия и я</w:t>
      </w:r>
      <w:r>
        <w:t>в</w:t>
      </w:r>
      <w:r>
        <w:t>ляются одним из ресурсов в датском обществе. Что касается семейной жизни, то важно, чтобы все гр</w:t>
      </w:r>
      <w:r>
        <w:t>а</w:t>
      </w:r>
      <w:r>
        <w:t>ждане имели одинаковые возможности определять свою жизнь. Поэтому все молодые люди, независ</w:t>
      </w:r>
      <w:r>
        <w:t>и</w:t>
      </w:r>
      <w:r>
        <w:t>мо от этнического происхождения, также имеют право решать, с кем они будут делить свою жизнь. Принудительные браки являются нарушением цел</w:t>
      </w:r>
      <w:r>
        <w:t>о</w:t>
      </w:r>
      <w:r>
        <w:t>стности индивидуума и поэтому являются неприе</w:t>
      </w:r>
      <w:r>
        <w:t>м</w:t>
      </w:r>
      <w:r>
        <w:t xml:space="preserve">лемыми. </w:t>
      </w:r>
    </w:p>
    <w:p w:rsidR="00000000" w:rsidRDefault="00000000">
      <w:pPr>
        <w:pStyle w:val="DualTxt"/>
      </w:pPr>
      <w:r>
        <w:tab/>
        <w:t>Правительство приступило к осуществлению следующих инициатив: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  <w:rPr>
          <w:lang w:val="en-US"/>
        </w:rPr>
      </w:pPr>
      <w:r>
        <w:tab/>
        <w:t>•</w:t>
      </w:r>
      <w:r>
        <w:tab/>
      </w:r>
      <w:r>
        <w:rPr>
          <w:lang/>
        </w:rPr>
        <w:t>к</w:t>
      </w:r>
      <w:r>
        <w:t>ампания по гендерной проблематике и этн</w:t>
      </w:r>
      <w:r>
        <w:t>и</w:t>
      </w:r>
      <w:r>
        <w:t>ческим меньшинствам. Министр по вопросам равенства между мужчинами и женщинами и министр внутренних дел проводят кампанию по гендерной проблематике и этническим меньшинствам, включающую в себя ряд пое</w:t>
      </w:r>
      <w:r>
        <w:t>з</w:t>
      </w:r>
      <w:r>
        <w:t>док по территории Дании, в ходе которых они встречаются с многочисленными и разноо</w:t>
      </w:r>
      <w:r>
        <w:t>б</w:t>
      </w:r>
      <w:r>
        <w:t>разными группами этнических меньшинств и беседуют в первую очередь с этническими женщинами и девочками касательно их усл</w:t>
      </w:r>
      <w:r>
        <w:t>о</w:t>
      </w:r>
      <w:r>
        <w:t>вий жизни и повс</w:t>
      </w:r>
      <w:r>
        <w:t>е</w:t>
      </w:r>
      <w:r>
        <w:t>дневной жизни</w:t>
      </w:r>
      <w:r>
        <w:rPr>
          <w:lang/>
        </w:rPr>
        <w:t>;</w:t>
      </w:r>
    </w:p>
    <w:p w:rsidR="00000000" w:rsidRDefault="00000000">
      <w:pPr>
        <w:pStyle w:val="DualTxt"/>
        <w:tabs>
          <w:tab w:val="clear" w:pos="480"/>
          <w:tab w:val="right" w:pos="360"/>
          <w:tab w:val="left" w:pos="475"/>
        </w:tabs>
        <w:ind w:left="475" w:hanging="475"/>
      </w:pPr>
      <w:r>
        <w:tab/>
        <w:t>•</w:t>
      </w:r>
      <w:r>
        <w:tab/>
        <w:t>создание сети по гендерной проблематике и этническим меньшинствам. Создана постоя</w:t>
      </w:r>
      <w:r>
        <w:t>н</w:t>
      </w:r>
      <w:r>
        <w:t>ная сеть по гендерной проблематике и этнич</w:t>
      </w:r>
      <w:r>
        <w:t>е</w:t>
      </w:r>
      <w:r>
        <w:t>ским меньшинствам. Эта сеть включает в себя организации, представляющие этнические меньшинства, исследователей, а также н</w:t>
      </w:r>
      <w:r>
        <w:t>е</w:t>
      </w:r>
      <w:r>
        <w:t>сколько организаций, на повседневной основе занимающихся проблемами этнических мен</w:t>
      </w:r>
      <w:r>
        <w:t>ь</w:t>
      </w:r>
      <w:r>
        <w:t>шинств и девочек/женщин. Сеть следит за проводимым обсуждением вопросов гендерн</w:t>
      </w:r>
      <w:r>
        <w:t>о</w:t>
      </w:r>
      <w:r>
        <w:t>го и этнического равенства и выискивает н</w:t>
      </w:r>
      <w:r>
        <w:t>о</w:t>
      </w:r>
      <w:r>
        <w:t>вые точки зрения. При этом в рамках сети производится обмен опытом и информацией о деятельности в этой области, и ее члены могут указывать на необходимость проведения ко</w:t>
      </w:r>
      <w:r>
        <w:t>н</w:t>
      </w:r>
      <w:r>
        <w:t>кретных исследований, слушаний и т.п.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Насилие в отношении женщин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ab/>
        <w:t>На основе обсуждений проблемы насилия в отношении женщин в семье в течение 2000 и 2001 годов междепартаментская рабочая группа, упомянутая в пятом периодическом докладе, подг</w:t>
      </w:r>
      <w:r>
        <w:t>о</w:t>
      </w:r>
      <w:r>
        <w:t>товила доклад о положении дел в связи с насилием в семье в отношении женщин в Дании, а также п</w:t>
      </w:r>
      <w:r>
        <w:t>е</w:t>
      </w:r>
      <w:r>
        <w:t>речень рекомендаций. В конце октября 2001 года правительство опубликует предложение относ</w:t>
      </w:r>
      <w:r>
        <w:t>и</w:t>
      </w:r>
      <w:r>
        <w:t>тельно национального плана действий по борьбе с насилием в отношении женщин. В целом прав</w:t>
      </w:r>
      <w:r>
        <w:t>и</w:t>
      </w:r>
      <w:r>
        <w:t>тельство намерено активизировать деятельность по борьбе с насилием в семье путем скоординирова</w:t>
      </w:r>
      <w:r>
        <w:t>н</w:t>
      </w:r>
      <w:r>
        <w:t>ных всеобъемлющих усилий, поощряющих ме</w:t>
      </w:r>
      <w:r>
        <w:t>ж</w:t>
      </w:r>
      <w:r>
        <w:t>дисциплинарное сотрудничество между группами специалистов, работающих с жертвами насилия и лицами, совершающими его. Основными областями при этом являются: общенациональная кампания междисциплинарного сотрудничества; анализ во</w:t>
      </w:r>
      <w:r>
        <w:t>з</w:t>
      </w:r>
      <w:r>
        <w:t>можностей кризисных центров; служба для пров</w:t>
      </w:r>
      <w:r>
        <w:t>е</w:t>
      </w:r>
      <w:r>
        <w:t>дения работы с мужчинами, совершающими нас</w:t>
      </w:r>
      <w:r>
        <w:t>и</w:t>
      </w:r>
      <w:r>
        <w:t>лие; лучшее информирование жертв насилия. Чтобы обеспечить максимально высокое качество рек</w:t>
      </w:r>
      <w:r>
        <w:t>о</w:t>
      </w:r>
      <w:r>
        <w:t>мендаций, в декабре 2001 года правительство пр</w:t>
      </w:r>
      <w:r>
        <w:t>о</w:t>
      </w:r>
      <w:r>
        <w:t>ведет широкое слушание по предложению о плане действий, в котором примут участие представители неправительственных организаций, эксперты и др</w:t>
      </w:r>
      <w:r>
        <w:t>у</w:t>
      </w:r>
      <w:r>
        <w:t>гие заи</w:t>
      </w:r>
      <w:r>
        <w:t>н</w:t>
      </w:r>
      <w:r>
        <w:t xml:space="preserve">тересованные лица. </w:t>
      </w:r>
    </w:p>
    <w:p w:rsidR="00000000" w:rsidRDefault="00000000">
      <w:pPr>
        <w:pStyle w:val="DualTxt"/>
      </w:pPr>
      <w:r>
        <w:tab/>
        <w:t>Правительство представило законопроект с поправкой к уголовному кодексу, призванный уж</w:t>
      </w:r>
      <w:r>
        <w:t>е</w:t>
      </w:r>
      <w:r>
        <w:t>сточить наказание за изнасилование. Причина пре</w:t>
      </w:r>
      <w:r>
        <w:t>д</w:t>
      </w:r>
      <w:r>
        <w:t>ставления этого законопроекта заключается в том, что нынешний уровень наказания не отражает до</w:t>
      </w:r>
      <w:r>
        <w:t>с</w:t>
      </w:r>
      <w:r>
        <w:t>таточным образом глубину ущерба, нанесенного личности и сексуальному самоопределению жер</w:t>
      </w:r>
      <w:r>
        <w:t>т</w:t>
      </w:r>
      <w:r>
        <w:t>вы.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Торговля женщинами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rPr>
          <w:i/>
        </w:rPr>
        <w:tab/>
      </w:r>
      <w:r>
        <w:t>Междепартаментская группа, упомянутая в пятом периодическом докладе, на основе своих о</w:t>
      </w:r>
      <w:r>
        <w:t>б</w:t>
      </w:r>
      <w:r>
        <w:t>суждений проблемы торговли женщинами и детьми подготовит доклад о положении дел в этой области в Дании и перечень возможных инициатив. Прав</w:t>
      </w:r>
      <w:r>
        <w:t>и</w:t>
      </w:r>
      <w:r>
        <w:t>тельство предполагает, что таким образом будет создана основа для предложения о национальном плане действий по борьбе с торговлей людьми. Ожидается, что это предложение будет обнародов</w:t>
      </w:r>
      <w:r>
        <w:t>а</w:t>
      </w:r>
      <w:r>
        <w:t>но в конце 2001 года.</w:t>
      </w:r>
    </w:p>
    <w:p w:rsidR="00000000" w:rsidRDefault="00000000">
      <w:pPr>
        <w:pStyle w:val="DualTxt"/>
      </w:pPr>
      <w:r>
        <w:tab/>
        <w:t>Министр по вопросам равенства между му</w:t>
      </w:r>
      <w:r>
        <w:t>ж</w:t>
      </w:r>
      <w:r>
        <w:t>чинами и женщинами, министерство социальных дел и Национальная комиссия датской полиции с</w:t>
      </w:r>
      <w:r>
        <w:t>о</w:t>
      </w:r>
      <w:r>
        <w:t>трудничают с государствами Балтии в рамках ос</w:t>
      </w:r>
      <w:r>
        <w:t>у</w:t>
      </w:r>
      <w:r>
        <w:t>ществления проекта поддержки в Восточной Евр</w:t>
      </w:r>
      <w:r>
        <w:t>о</w:t>
      </w:r>
      <w:r>
        <w:t>пе. Рабочая группа рассматривает возможность проведения информационных кампаний, организ</w:t>
      </w:r>
      <w:r>
        <w:t>а</w:t>
      </w:r>
      <w:r>
        <w:t>ции учебных семинаров для специалистов и расш</w:t>
      </w:r>
      <w:r>
        <w:t>и</w:t>
      </w:r>
      <w:r>
        <w:t>рения возможностей по репатриации в одной или более балтийских странах пр</w:t>
      </w:r>
      <w:r>
        <w:t>о</w:t>
      </w:r>
      <w:r>
        <w:t>исхождения.</w:t>
      </w:r>
    </w:p>
    <w:p w:rsidR="00000000" w:rsidRDefault="00000000">
      <w:pPr>
        <w:pStyle w:val="DualTxt"/>
      </w:pPr>
      <w:r>
        <w:tab/>
        <w:t>Дания совместно с другими странами Севе</w:t>
      </w:r>
      <w:r>
        <w:t>р</w:t>
      </w:r>
      <w:r>
        <w:t>ной Европы и странами Балтии участвует в де</w:t>
      </w:r>
      <w:r>
        <w:t>я</w:t>
      </w:r>
      <w:r>
        <w:t>тельности двух рабочих групп под эгидой Совета министров стран Северной Европы. Планируется ряд инициатив по борьбе с торговлей женщинами, включая совместную общенациональную информ</w:t>
      </w:r>
      <w:r>
        <w:t>а</w:t>
      </w:r>
      <w:r>
        <w:t>ционную кампанию для стран Северной Европы.</w:t>
      </w:r>
    </w:p>
    <w:p w:rsidR="00000000" w:rsidRDefault="00000000">
      <w:pPr>
        <w:pStyle w:val="DualTxt"/>
      </w:pPr>
      <w:r>
        <w:tab/>
        <w:t>Правительство планирует представить закон</w:t>
      </w:r>
      <w:r>
        <w:t>о</w:t>
      </w:r>
      <w:r>
        <w:t>проект с поправкой к уголовному кодексу, пред</w:t>
      </w:r>
      <w:r>
        <w:t>у</w:t>
      </w:r>
      <w:r>
        <w:t>сматривающей увеличение до восьми лет макс</w:t>
      </w:r>
      <w:r>
        <w:t>и</w:t>
      </w:r>
      <w:r>
        <w:t>мального срока тюремного заключения для лиц, признанных виновными в то</w:t>
      </w:r>
      <w:r>
        <w:t>р</w:t>
      </w:r>
      <w:r>
        <w:t>говле людьми.</w:t>
      </w:r>
    </w:p>
    <w:p w:rsidR="00000000" w:rsidRDefault="00000000">
      <w:pPr>
        <w:pStyle w:val="DualTxt"/>
      </w:pPr>
      <w:r>
        <w:rPr>
          <w:w w:val="100"/>
        </w:rPr>
        <w:pict>
          <v:line id="_x0000_s2050" style="position:absolute;left:0;text-align:left;z-index:1;mso-position-horizontal:absolute;mso-position-horizontal-relative:text;mso-position-vertical:absolute;mso-position-vertical-relative:text" from="84pt,30pt" to="156pt,30pt" o:allowincell="f" strokeweight=".25pt"/>
        </w:pict>
      </w: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NO&gt;&gt;N0158220R&lt;&lt;ODS JOB NO&gt;&gt;</w:t>
      </w:r>
    </w:p>
    <w:p w:rsidR="00000000" w:rsidRDefault="00000000">
      <w:pPr>
        <w:pStyle w:val="CommentText"/>
      </w:pPr>
      <w:r>
        <w:t>&lt;&lt;ODS DOC SYMBOL1&gt;&gt;CEDAW/C/DEN/5/Add.1&lt;&lt;ODS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8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7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01-58220 (R)    021101    0</w:t>
    </w:r>
    <w:r>
      <w:rPr>
        <w:b w:val="0"/>
        <w:noProof w:val="0"/>
        <w:sz w:val="20"/>
        <w:lang/>
      </w:rPr>
      <w:t>5</w:t>
    </w:r>
    <w:r>
      <w:rPr>
        <w:b w:val="0"/>
        <w:sz w:val="20"/>
      </w:rPr>
      <w:t>1101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*0158220*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CEDAW/C/DEN/5/Add.1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CEDAW/C/DEN/5/Add.1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/C/DEN/5/Add.1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16 October 2001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2/11/2001 4:24: PM"/>
    <w:docVar w:name="DocCategory" w:val="Doc"/>
    <w:docVar w:name="DocType" w:val="Final"/>
    <w:docVar w:name="JobNo" w:val="0158220R"/>
    <w:docVar w:name="OandT" w:val=" "/>
    <w:docVar w:name="Symbol1" w:val="CEDAW/C/DEN/5/Add.1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3312</Words>
  <Characters>22191</Characters>
  <Application>Microsoft Office Word</Application>
  <DocSecurity>4</DocSecurity>
  <Lines>652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26496</CharactersWithSpaces>
  <SharedDoc>false</SharedDoc>
  <HLinks>
    <vt:vector size="6" baseType="variant">
      <vt:variant>
        <vt:i4>4522087</vt:i4>
      </vt:variant>
      <vt:variant>
        <vt:i4>53436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3</cp:revision>
  <cp:lastPrinted>2001-11-05T11:57:00Z</cp:lastPrinted>
  <dcterms:created xsi:type="dcterms:W3CDTF">2001-11-05T11:57:00Z</dcterms:created>
  <dcterms:modified xsi:type="dcterms:W3CDTF">2001-11-05T11:59:00Z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0158220</vt:lpwstr>
  </property>
  <property fmtid="{D5CDD505-2E9C-101B-9397-08002B2CF9AE}" pid="3" name="Symbol1">
    <vt:lpwstr>CEDAW/C/DEN/5/Add.1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7</vt:lpwstr>
  </property>
  <property fmtid="{D5CDD505-2E9C-101B-9397-08002B2CF9AE}" pid="8" name="Operator">
    <vt:lpwstr>Sergueenko</vt:lpwstr>
  </property>
</Properties>
</file>