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5445EF" w14:paraId="41AE52AB" w14:textId="77777777" w:rsidTr="00912700">
        <w:trPr>
          <w:trHeight w:hRule="exact" w:val="851"/>
        </w:trPr>
        <w:tc>
          <w:tcPr>
            <w:tcW w:w="1274" w:type="dxa"/>
            <w:tcBorders>
              <w:bottom w:val="single" w:sz="4" w:space="0" w:color="auto"/>
            </w:tcBorders>
          </w:tcPr>
          <w:p w14:paraId="780C33C4" w14:textId="77777777" w:rsidR="006B3E27" w:rsidRPr="005445EF" w:rsidRDefault="006B3E27" w:rsidP="00CD0E83">
            <w:pPr>
              <w:kinsoku w:val="0"/>
              <w:overflowPunct w:val="0"/>
              <w:autoSpaceDE w:val="0"/>
              <w:autoSpaceDN w:val="0"/>
              <w:adjustRightInd w:val="0"/>
              <w:snapToGrid w:val="0"/>
              <w:spacing w:after="80" w:line="480" w:lineRule="exact"/>
              <w:jc w:val="left"/>
              <w:rPr>
                <w:rFonts w:hint="cs"/>
                <w:szCs w:val="40"/>
                <w:rtl/>
              </w:rPr>
            </w:pPr>
          </w:p>
        </w:tc>
        <w:tc>
          <w:tcPr>
            <w:tcW w:w="4679" w:type="dxa"/>
            <w:tcBorders>
              <w:bottom w:val="single" w:sz="4" w:space="0" w:color="auto"/>
            </w:tcBorders>
            <w:vAlign w:val="bottom"/>
          </w:tcPr>
          <w:p w14:paraId="072ADE18" w14:textId="77777777" w:rsidR="006B3E27" w:rsidRPr="005445EF" w:rsidRDefault="006B3E27" w:rsidP="00F83E84">
            <w:pPr>
              <w:spacing w:after="80" w:line="480" w:lineRule="exact"/>
              <w:ind w:left="57"/>
              <w:jc w:val="left"/>
              <w:rPr>
                <w:sz w:val="30"/>
                <w:szCs w:val="30"/>
                <w:rtl/>
              </w:rPr>
            </w:pPr>
            <w:r w:rsidRPr="005445EF">
              <w:rPr>
                <w:rFonts w:hint="cs"/>
                <w:sz w:val="30"/>
                <w:szCs w:val="30"/>
                <w:rtl/>
              </w:rPr>
              <w:t>الأمم المتحدة</w:t>
            </w:r>
          </w:p>
        </w:tc>
        <w:tc>
          <w:tcPr>
            <w:tcW w:w="3686" w:type="dxa"/>
            <w:tcBorders>
              <w:bottom w:val="single" w:sz="4" w:space="0" w:color="auto"/>
            </w:tcBorders>
            <w:vAlign w:val="bottom"/>
          </w:tcPr>
          <w:p w14:paraId="1296E3D0" w14:textId="661392E7" w:rsidR="006B3E27" w:rsidRPr="007C12F9" w:rsidRDefault="007C12F9" w:rsidP="007C12F9">
            <w:pPr>
              <w:bidi w:val="0"/>
              <w:jc w:val="left"/>
            </w:pPr>
            <w:r w:rsidRPr="007C12F9">
              <w:rPr>
                <w:sz w:val="40"/>
              </w:rPr>
              <w:t>CERD</w:t>
            </w:r>
            <w:r>
              <w:t>/C/NLD/CO/</w:t>
            </w:r>
            <w:r w:rsidRPr="00A00A38">
              <w:t>22</w:t>
            </w:r>
            <w:r>
              <w:t>-</w:t>
            </w:r>
            <w:r w:rsidRPr="00A00A38">
              <w:t>24</w:t>
            </w:r>
          </w:p>
        </w:tc>
      </w:tr>
      <w:tr w:rsidR="006B3E27" w:rsidRPr="005445EF" w14:paraId="7040B741" w14:textId="77777777" w:rsidTr="00912700">
        <w:trPr>
          <w:trHeight w:hRule="exact" w:val="2835"/>
        </w:trPr>
        <w:tc>
          <w:tcPr>
            <w:tcW w:w="1274" w:type="dxa"/>
            <w:tcBorders>
              <w:top w:val="single" w:sz="4" w:space="0" w:color="auto"/>
              <w:bottom w:val="single" w:sz="12" w:space="0" w:color="auto"/>
            </w:tcBorders>
          </w:tcPr>
          <w:p w14:paraId="57A63520" w14:textId="77777777" w:rsidR="006B3E27" w:rsidRPr="005445EF" w:rsidRDefault="0059622A" w:rsidP="00912700">
            <w:pPr>
              <w:jc w:val="center"/>
              <w:rPr>
                <w:rtl/>
              </w:rPr>
            </w:pPr>
            <w:r w:rsidRPr="005445EF">
              <w:rPr>
                <w:noProof/>
              </w:rPr>
              <w:drawing>
                <wp:inline distT="0" distB="0" distL="0" distR="0" wp14:anchorId="444DC859" wp14:editId="770BCCA1">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1E50DFA6" w14:textId="77777777" w:rsidR="006B3E27" w:rsidRPr="00A00A38" w:rsidRDefault="001E1CAD" w:rsidP="00F83E84">
            <w:pPr>
              <w:spacing w:before="120" w:after="40" w:line="640" w:lineRule="exact"/>
              <w:ind w:left="57"/>
              <w:jc w:val="left"/>
              <w:rPr>
                <w:b/>
                <w:bCs/>
                <w:sz w:val="46"/>
                <w:szCs w:val="46"/>
                <w:rtl/>
              </w:rPr>
            </w:pPr>
            <w:r w:rsidRPr="00A00A38">
              <w:rPr>
                <w:rFonts w:hint="cs"/>
                <w:b/>
                <w:bCs/>
                <w:sz w:val="46"/>
                <w:szCs w:val="46"/>
                <w:rtl/>
              </w:rPr>
              <w:t>ا</w:t>
            </w:r>
            <w:r w:rsidR="00523BAE" w:rsidRPr="00A00A38">
              <w:rPr>
                <w:rFonts w:hint="cs"/>
                <w:b/>
                <w:bCs/>
                <w:sz w:val="46"/>
                <w:szCs w:val="46"/>
                <w:rtl/>
              </w:rPr>
              <w:t>لا</w:t>
            </w:r>
            <w:r w:rsidR="004A14A6" w:rsidRPr="00A00A38">
              <w:rPr>
                <w:rFonts w:hint="cs"/>
                <w:b/>
                <w:bCs/>
                <w:sz w:val="46"/>
                <w:szCs w:val="46"/>
                <w:rtl/>
              </w:rPr>
              <w:t>تفاقي</w:t>
            </w:r>
            <w:r w:rsidR="00523BAE" w:rsidRPr="00A00A38">
              <w:rPr>
                <w:rFonts w:hint="cs"/>
                <w:b/>
                <w:bCs/>
                <w:sz w:val="46"/>
                <w:szCs w:val="46"/>
                <w:rtl/>
              </w:rPr>
              <w:t>ـ</w:t>
            </w:r>
            <w:r w:rsidR="004A14A6" w:rsidRPr="00A00A38">
              <w:rPr>
                <w:rFonts w:hint="cs"/>
                <w:b/>
                <w:bCs/>
                <w:sz w:val="46"/>
                <w:szCs w:val="46"/>
                <w:rtl/>
              </w:rPr>
              <w:t xml:space="preserve">ة </w:t>
            </w:r>
            <w:r w:rsidR="00523BAE" w:rsidRPr="00A00A38">
              <w:rPr>
                <w:rFonts w:hint="cs"/>
                <w:b/>
                <w:bCs/>
                <w:sz w:val="46"/>
                <w:szCs w:val="46"/>
                <w:rtl/>
              </w:rPr>
              <w:t>الدوليـة ل</w:t>
            </w:r>
            <w:r w:rsidR="004A14A6" w:rsidRPr="00A00A38">
              <w:rPr>
                <w:rFonts w:hint="cs"/>
                <w:b/>
                <w:bCs/>
                <w:sz w:val="46"/>
                <w:szCs w:val="46"/>
                <w:rtl/>
              </w:rPr>
              <w:t>لقض</w:t>
            </w:r>
            <w:r w:rsidR="00523BAE" w:rsidRPr="00A00A38">
              <w:rPr>
                <w:rFonts w:hint="cs"/>
                <w:b/>
                <w:bCs/>
                <w:sz w:val="46"/>
                <w:szCs w:val="46"/>
                <w:rtl/>
              </w:rPr>
              <w:t>ــ</w:t>
            </w:r>
            <w:r w:rsidR="004A14A6" w:rsidRPr="00A00A38">
              <w:rPr>
                <w:rFonts w:hint="cs"/>
                <w:b/>
                <w:bCs/>
                <w:sz w:val="46"/>
                <w:szCs w:val="46"/>
                <w:rtl/>
              </w:rPr>
              <w:t>اء عل</w:t>
            </w:r>
            <w:r w:rsidR="00523BAE" w:rsidRPr="00A00A38">
              <w:rPr>
                <w:rFonts w:hint="cs"/>
                <w:b/>
                <w:bCs/>
                <w:sz w:val="46"/>
                <w:szCs w:val="46"/>
                <w:rtl/>
              </w:rPr>
              <w:t>ـ</w:t>
            </w:r>
            <w:r w:rsidR="004A14A6" w:rsidRPr="00A00A38">
              <w:rPr>
                <w:rFonts w:hint="cs"/>
                <w:b/>
                <w:bCs/>
                <w:sz w:val="46"/>
                <w:szCs w:val="46"/>
                <w:rtl/>
              </w:rPr>
              <w:t xml:space="preserve">ى جميع أشكال التمييز </w:t>
            </w:r>
            <w:r w:rsidR="00523BAE" w:rsidRPr="00A00A38">
              <w:rPr>
                <w:rFonts w:hint="cs"/>
                <w:b/>
                <w:bCs/>
                <w:sz w:val="46"/>
                <w:szCs w:val="46"/>
                <w:rtl/>
              </w:rPr>
              <w:t>العنصري</w:t>
            </w:r>
          </w:p>
        </w:tc>
        <w:tc>
          <w:tcPr>
            <w:tcW w:w="3686" w:type="dxa"/>
            <w:tcBorders>
              <w:top w:val="single" w:sz="4" w:space="0" w:color="auto"/>
              <w:bottom w:val="single" w:sz="12" w:space="0" w:color="auto"/>
            </w:tcBorders>
          </w:tcPr>
          <w:p w14:paraId="50F49C98" w14:textId="77777777" w:rsidR="006B3E27" w:rsidRDefault="007C12F9" w:rsidP="002E002F">
            <w:pPr>
              <w:bidi w:val="0"/>
              <w:spacing w:before="240"/>
              <w:jc w:val="left"/>
            </w:pPr>
            <w:r>
              <w:t>Distr.: General</w:t>
            </w:r>
          </w:p>
          <w:p w14:paraId="4278D761" w14:textId="4E8A3A55" w:rsidR="007C12F9" w:rsidRDefault="00DB7CC0" w:rsidP="007C12F9">
            <w:pPr>
              <w:bidi w:val="0"/>
              <w:spacing w:line="240" w:lineRule="exact"/>
              <w:jc w:val="left"/>
            </w:pPr>
            <w:r w:rsidRPr="00A00A38">
              <w:t xml:space="preserve">16 November </w:t>
            </w:r>
            <w:r w:rsidR="007C12F9" w:rsidRPr="00A00A38">
              <w:t>2021</w:t>
            </w:r>
          </w:p>
          <w:p w14:paraId="5C565334" w14:textId="77777777" w:rsidR="007C12F9" w:rsidRDefault="007C12F9" w:rsidP="007C12F9">
            <w:pPr>
              <w:bidi w:val="0"/>
              <w:spacing w:line="240" w:lineRule="exact"/>
              <w:jc w:val="left"/>
            </w:pPr>
            <w:r>
              <w:t>Arabic</w:t>
            </w:r>
          </w:p>
          <w:p w14:paraId="1FA0A0AC" w14:textId="2E27C767" w:rsidR="007C12F9" w:rsidRPr="007C12F9" w:rsidRDefault="007C12F9" w:rsidP="007C12F9">
            <w:pPr>
              <w:bidi w:val="0"/>
              <w:spacing w:line="240" w:lineRule="exact"/>
              <w:jc w:val="left"/>
            </w:pPr>
            <w:r>
              <w:t>Original: English</w:t>
            </w:r>
          </w:p>
        </w:tc>
      </w:tr>
    </w:tbl>
    <w:p w14:paraId="56DB8855" w14:textId="50764087" w:rsidR="00ED7B52" w:rsidRPr="00A00A38" w:rsidRDefault="00ED7B52" w:rsidP="00ED7B52">
      <w:pPr>
        <w:pStyle w:val="SingleTxtGA"/>
        <w:spacing w:before="120" w:after="0"/>
        <w:ind w:left="0" w:right="284"/>
        <w:jc w:val="left"/>
        <w:rPr>
          <w:b/>
          <w:bCs/>
          <w:sz w:val="26"/>
          <w:szCs w:val="26"/>
          <w:lang w:val="ar-SA" w:eastAsia="zh-TW" w:bidi="en-GB"/>
        </w:rPr>
      </w:pPr>
      <w:r w:rsidRPr="00A00A38">
        <w:rPr>
          <w:b/>
          <w:bCs/>
          <w:sz w:val="26"/>
          <w:szCs w:val="26"/>
          <w:rtl/>
        </w:rPr>
        <w:t>لجنة القضاء على التمييز العنصري</w:t>
      </w:r>
    </w:p>
    <w:p w14:paraId="3F09F859" w14:textId="1E0F825C" w:rsidR="00ED7B52" w:rsidRPr="00A00A38" w:rsidRDefault="00ED7B52" w:rsidP="00ED7B52">
      <w:pPr>
        <w:pStyle w:val="HChGA"/>
        <w:rPr>
          <w:lang w:val="en-US" w:eastAsia="zh-TW" w:bidi="en-GB"/>
        </w:rPr>
      </w:pPr>
      <w:r w:rsidRPr="00A00A38">
        <w:rPr>
          <w:rtl/>
        </w:rPr>
        <w:tab/>
      </w:r>
      <w:r w:rsidRPr="00A00A38">
        <w:rPr>
          <w:rtl/>
        </w:rPr>
        <w:tab/>
        <w:t>الملاحظات الختامية بشأن التقرير الجامع للتقارير الدورية من الثاني والعشرين إلى الرابع والعشرين لمملكة هولندا</w:t>
      </w:r>
      <w:r w:rsidR="00DB7CC0" w:rsidRPr="00A00A38">
        <w:rPr>
          <w:rStyle w:val="FootnoteReference"/>
          <w:sz w:val="22"/>
          <w:szCs w:val="22"/>
          <w:vertAlign w:val="baseline"/>
          <w:rtl/>
          <w:lang w:val="en-US" w:eastAsia="zh-TW"/>
        </w:rPr>
        <w:footnoteReference w:customMarkFollows="1" w:id="1"/>
        <w:t>*</w:t>
      </w:r>
      <w:r w:rsidR="00DB7CC0" w:rsidRPr="00A00A38">
        <w:rPr>
          <w:rtl/>
          <w:lang w:val="en-US" w:eastAsia="zh-TW"/>
        </w:rPr>
        <w:t xml:space="preserve"> </w:t>
      </w:r>
      <w:r w:rsidR="00DB7CC0" w:rsidRPr="00A00A38">
        <w:rPr>
          <w:rStyle w:val="FootnoteReference"/>
          <w:sz w:val="22"/>
          <w:szCs w:val="22"/>
          <w:vertAlign w:val="baseline"/>
          <w:rtl/>
          <w:lang w:val="en-US" w:eastAsia="zh-TW"/>
        </w:rPr>
        <w:footnoteReference w:customMarkFollows="1" w:id="2"/>
        <w:t>**</w:t>
      </w:r>
    </w:p>
    <w:p w14:paraId="7C895581" w14:textId="52EEEE6A" w:rsidR="00ED7B52" w:rsidRPr="00ED7B52" w:rsidRDefault="00ED7B52" w:rsidP="00ED7B52">
      <w:pPr>
        <w:pStyle w:val="SingleTxtGA"/>
        <w:rPr>
          <w:rFonts w:eastAsiaTheme="minorEastAsia"/>
          <w:lang w:val="ar-SA" w:eastAsia="zh-TW" w:bidi="en-GB"/>
        </w:rPr>
      </w:pPr>
      <w:r w:rsidRPr="00A00A38">
        <w:rPr>
          <w:rFonts w:eastAsiaTheme="minorEastAsia"/>
          <w:rtl/>
        </w:rPr>
        <w:t>1</w:t>
      </w:r>
      <w:r w:rsidRPr="00ED7B52">
        <w:rPr>
          <w:rFonts w:eastAsiaTheme="minorEastAsia"/>
          <w:rtl/>
        </w:rPr>
        <w:t>-</w:t>
      </w:r>
      <w:r w:rsidRPr="00ED7B52">
        <w:rPr>
          <w:rFonts w:eastAsiaTheme="minorEastAsia"/>
          <w:rtl/>
        </w:rPr>
        <w:tab/>
        <w:t>نظرت اللجنة في تقرير مملكة هولندا</w:t>
      </w:r>
      <w:r w:rsidR="00DB7CC0" w:rsidRPr="00A00A38">
        <w:rPr>
          <w:rStyle w:val="FootnoteReference"/>
          <w:rFonts w:eastAsiaTheme="minorEastAsia"/>
          <w:szCs w:val="22"/>
          <w:rtl/>
        </w:rPr>
        <w:t>(</w:t>
      </w:r>
      <w:r w:rsidR="00DB7CC0" w:rsidRPr="00A00A38">
        <w:rPr>
          <w:rStyle w:val="FootnoteReference"/>
          <w:rFonts w:eastAsiaTheme="minorEastAsia"/>
          <w:szCs w:val="22"/>
          <w:lang w:val="en-US"/>
        </w:rPr>
        <w:footnoteReference w:id="3"/>
      </w:r>
      <w:r w:rsidR="00DB7CC0" w:rsidRPr="00A00A38">
        <w:rPr>
          <w:rStyle w:val="FootnoteReference"/>
          <w:rFonts w:eastAsiaTheme="minorEastAsia"/>
          <w:szCs w:val="22"/>
          <w:rtl/>
        </w:rPr>
        <w:t>)</w:t>
      </w:r>
      <w:r w:rsidRPr="00ED7B52">
        <w:rPr>
          <w:rFonts w:eastAsiaTheme="minorEastAsia"/>
          <w:rtl/>
        </w:rPr>
        <w:t xml:space="preserve"> الجامع للتقارير الدورية من الثاني والعشرين والرابع والعشرين، في جلستيها </w:t>
      </w:r>
      <w:r w:rsidRPr="00A00A38">
        <w:rPr>
          <w:rFonts w:eastAsiaTheme="minorEastAsia"/>
          <w:rtl/>
        </w:rPr>
        <w:t>2828</w:t>
      </w:r>
      <w:r w:rsidRPr="00ED7B52">
        <w:rPr>
          <w:rFonts w:eastAsiaTheme="minorEastAsia"/>
          <w:rtl/>
        </w:rPr>
        <w:t xml:space="preserve"> و</w:t>
      </w:r>
      <w:r w:rsidRPr="00A00A38">
        <w:rPr>
          <w:rFonts w:eastAsiaTheme="minorEastAsia"/>
          <w:rtl/>
        </w:rPr>
        <w:t>2829</w:t>
      </w:r>
      <w:r w:rsidRPr="00A00A38">
        <w:rPr>
          <w:rStyle w:val="FootnoteReference"/>
          <w:rFonts w:eastAsiaTheme="minorEastAsia"/>
          <w:szCs w:val="22"/>
          <w:rtl/>
        </w:rPr>
        <w:t>(</w:t>
      </w:r>
      <w:r w:rsidRPr="00A00A38">
        <w:rPr>
          <w:rStyle w:val="FootnoteReference"/>
          <w:rFonts w:eastAsiaTheme="minorEastAsia"/>
          <w:szCs w:val="22"/>
          <w:lang w:val="en-US"/>
        </w:rPr>
        <w:footnoteReference w:id="4"/>
      </w:r>
      <w:r w:rsidRPr="00A00A38">
        <w:rPr>
          <w:rStyle w:val="FootnoteReference"/>
          <w:rFonts w:eastAsiaTheme="minorEastAsia"/>
          <w:szCs w:val="22"/>
          <w:rtl/>
        </w:rPr>
        <w:t>)</w:t>
      </w:r>
      <w:r w:rsidRPr="00ED7B52">
        <w:rPr>
          <w:rFonts w:eastAsiaTheme="minorEastAsia"/>
          <w:rtl/>
        </w:rPr>
        <w:t>، المعقودتين عن بُعد بسبب جائحة مرض فيروس كورونا</w:t>
      </w:r>
      <w:r>
        <w:rPr>
          <w:rFonts w:eastAsiaTheme="minorEastAsia" w:hint="cs"/>
          <w:rtl/>
        </w:rPr>
        <w:t> </w:t>
      </w:r>
      <w:r w:rsidRPr="00ED7B52">
        <w:rPr>
          <w:rFonts w:eastAsiaTheme="minorEastAsia"/>
          <w:rtl/>
        </w:rPr>
        <w:t>(كوفيد-</w:t>
      </w:r>
      <w:r w:rsidRPr="00A00A38">
        <w:rPr>
          <w:rFonts w:eastAsiaTheme="minorEastAsia"/>
          <w:rtl/>
        </w:rPr>
        <w:t>19</w:t>
      </w:r>
      <w:r w:rsidRPr="00ED7B52">
        <w:rPr>
          <w:rFonts w:eastAsiaTheme="minorEastAsia"/>
          <w:rtl/>
        </w:rPr>
        <w:t xml:space="preserve">)، يومي </w:t>
      </w:r>
      <w:r w:rsidRPr="00A00A38">
        <w:rPr>
          <w:rFonts w:eastAsiaTheme="minorEastAsia"/>
          <w:rtl/>
        </w:rPr>
        <w:t>16</w:t>
      </w:r>
      <w:r w:rsidRPr="00ED7B52">
        <w:rPr>
          <w:rFonts w:eastAsiaTheme="minorEastAsia"/>
          <w:rtl/>
        </w:rPr>
        <w:t xml:space="preserve"> و</w:t>
      </w:r>
      <w:r w:rsidRPr="00A00A38">
        <w:rPr>
          <w:rFonts w:eastAsiaTheme="minorEastAsia"/>
          <w:rtl/>
        </w:rPr>
        <w:t>17</w:t>
      </w:r>
      <w:r w:rsidRPr="00ED7B52">
        <w:rPr>
          <w:rFonts w:eastAsiaTheme="minorEastAsia"/>
          <w:rtl/>
        </w:rPr>
        <w:t xml:space="preserve"> آب/أغسطس </w:t>
      </w:r>
      <w:r w:rsidRPr="00A00A38">
        <w:rPr>
          <w:rFonts w:eastAsiaTheme="minorEastAsia"/>
          <w:rtl/>
        </w:rPr>
        <w:t>2021</w:t>
      </w:r>
      <w:r w:rsidRPr="00ED7B52">
        <w:rPr>
          <w:rFonts w:eastAsiaTheme="minorEastAsia"/>
          <w:rtl/>
        </w:rPr>
        <w:t xml:space="preserve">. واعتمدت هذه الملاحظات الختامية في جلستها </w:t>
      </w:r>
      <w:r w:rsidRPr="00A00A38">
        <w:rPr>
          <w:rFonts w:eastAsiaTheme="minorEastAsia"/>
          <w:rtl/>
        </w:rPr>
        <w:t>2834</w:t>
      </w:r>
      <w:r w:rsidRPr="00ED7B52">
        <w:rPr>
          <w:rFonts w:eastAsiaTheme="minorEastAsia"/>
          <w:rtl/>
        </w:rPr>
        <w:t xml:space="preserve">، المعقودة في </w:t>
      </w:r>
      <w:r w:rsidRPr="00A00A38">
        <w:rPr>
          <w:rFonts w:eastAsiaTheme="minorEastAsia"/>
          <w:rtl/>
        </w:rPr>
        <w:t>24</w:t>
      </w:r>
      <w:r w:rsidRPr="00ED7B52">
        <w:rPr>
          <w:rFonts w:eastAsiaTheme="minorEastAsia"/>
          <w:rtl/>
        </w:rPr>
        <w:t xml:space="preserve"> آب/أغسطس </w:t>
      </w:r>
      <w:r w:rsidRPr="00A00A38">
        <w:rPr>
          <w:rFonts w:eastAsiaTheme="minorEastAsia"/>
          <w:rtl/>
        </w:rPr>
        <w:t>2021</w:t>
      </w:r>
      <w:r w:rsidRPr="00ED7B52">
        <w:rPr>
          <w:rFonts w:eastAsiaTheme="minorEastAsia"/>
          <w:rtl/>
        </w:rPr>
        <w:t>.</w:t>
      </w:r>
    </w:p>
    <w:p w14:paraId="3BA23AA3" w14:textId="50601B78" w:rsidR="00ED7B52" w:rsidRPr="00F55CCB" w:rsidRDefault="00ED7B52" w:rsidP="00ED7B52">
      <w:pPr>
        <w:pStyle w:val="H1GA"/>
        <w:rPr>
          <w:lang w:val="en-US" w:eastAsia="zh-TW" w:bidi="en-GB"/>
        </w:rPr>
      </w:pPr>
      <w:r>
        <w:rPr>
          <w:rtl/>
        </w:rPr>
        <w:tab/>
      </w:r>
      <w:r w:rsidRPr="00ED7B52">
        <w:rPr>
          <w:rtl/>
        </w:rPr>
        <w:t>ألف-</w:t>
      </w:r>
      <w:r w:rsidRPr="00ED7B52">
        <w:rPr>
          <w:rtl/>
        </w:rPr>
        <w:tab/>
        <w:t>مقدمة</w:t>
      </w:r>
    </w:p>
    <w:p w14:paraId="59B053F5" w14:textId="13D4D452" w:rsidR="00ED7B52" w:rsidRPr="00ED7B52" w:rsidRDefault="00ED7B52" w:rsidP="00ED7B52">
      <w:pPr>
        <w:pStyle w:val="SingleTxtGA"/>
        <w:rPr>
          <w:rFonts w:eastAsiaTheme="minorEastAsia"/>
          <w:lang w:val="en-US" w:eastAsia="zh-TW" w:bidi="en-GB"/>
        </w:rPr>
      </w:pPr>
      <w:r w:rsidRPr="00A00A38">
        <w:rPr>
          <w:rFonts w:eastAsiaTheme="minorEastAsia"/>
          <w:rtl/>
        </w:rPr>
        <w:t>2</w:t>
      </w:r>
      <w:r w:rsidRPr="00ED7B52">
        <w:rPr>
          <w:rFonts w:eastAsiaTheme="minorEastAsia"/>
          <w:rtl/>
        </w:rPr>
        <w:t>-</w:t>
      </w:r>
      <w:r w:rsidRPr="00ED7B52">
        <w:rPr>
          <w:rFonts w:eastAsiaTheme="minorEastAsia"/>
          <w:rtl/>
        </w:rPr>
        <w:tab/>
        <w:t>ترحّب اللجنة بتقديم الدولة الطرف تقريرها الجامع للتقارير الدورية من الثانية والعشرين إلى الرابعة والعشرين، وتقدر قبول الدولة الطرف إجراء حوار عن بُعد بسبب جائحة كوفيد-</w:t>
      </w:r>
      <w:r w:rsidRPr="00A00A38">
        <w:rPr>
          <w:rFonts w:eastAsiaTheme="minorEastAsia"/>
          <w:rtl/>
        </w:rPr>
        <w:t>19</w:t>
      </w:r>
      <w:r w:rsidRPr="00ED7B52">
        <w:rPr>
          <w:rFonts w:eastAsiaTheme="minorEastAsia"/>
          <w:rtl/>
        </w:rPr>
        <w:t>. وترحب بالحوار البناء مع وفد الدولة الطرف وتشكره على الردود والمعلومات التكميلية المقدّمة بشأن الأسئلة التي أثارها أعضا</w:t>
      </w:r>
      <w:r w:rsidR="00770A5E">
        <w:rPr>
          <w:rFonts w:eastAsiaTheme="minorEastAsia" w:hint="cs"/>
          <w:rtl/>
        </w:rPr>
        <w:t>ء</w:t>
      </w:r>
      <w:r w:rsidRPr="00ED7B52">
        <w:rPr>
          <w:rFonts w:eastAsiaTheme="minorEastAsia"/>
          <w:rtl/>
        </w:rPr>
        <w:t xml:space="preserve"> اللجنة أثناء الح</w:t>
      </w:r>
      <w:r w:rsidR="009F0C2F">
        <w:rPr>
          <w:rFonts w:eastAsiaTheme="minorEastAsia" w:hint="cs"/>
          <w:rtl/>
        </w:rPr>
        <w:t>و</w:t>
      </w:r>
      <w:r w:rsidRPr="00ED7B52">
        <w:rPr>
          <w:rFonts w:eastAsiaTheme="minorEastAsia"/>
          <w:rtl/>
        </w:rPr>
        <w:t>ار.</w:t>
      </w:r>
    </w:p>
    <w:p w14:paraId="5C91C88D" w14:textId="120AAB2E" w:rsidR="00ED7B52" w:rsidRPr="00ED7B52" w:rsidRDefault="00ED7B52" w:rsidP="00ED7B52">
      <w:pPr>
        <w:pStyle w:val="H1GA"/>
        <w:rPr>
          <w:lang w:val="en-US" w:eastAsia="zh-TW" w:bidi="en-GB"/>
        </w:rPr>
      </w:pPr>
      <w:r>
        <w:rPr>
          <w:rtl/>
        </w:rPr>
        <w:tab/>
      </w:r>
      <w:r w:rsidRPr="00ED7B52">
        <w:rPr>
          <w:rtl/>
        </w:rPr>
        <w:t>باء-</w:t>
      </w:r>
      <w:r w:rsidRPr="00ED7B52">
        <w:rPr>
          <w:rtl/>
        </w:rPr>
        <w:tab/>
        <w:t>الجوانب الإيجابية</w:t>
      </w:r>
    </w:p>
    <w:p w14:paraId="5FC7AE4D" w14:textId="7A27D52F" w:rsidR="00ED7B52" w:rsidRPr="00F55CCB" w:rsidRDefault="00ED7B52" w:rsidP="00ED7B52">
      <w:pPr>
        <w:pStyle w:val="SingleTxtGA"/>
        <w:rPr>
          <w:rFonts w:eastAsiaTheme="minorEastAsia"/>
          <w:lang w:val="en-US" w:eastAsia="zh-TW" w:bidi="en-GB"/>
        </w:rPr>
      </w:pPr>
      <w:r w:rsidRPr="00A00A38">
        <w:rPr>
          <w:rFonts w:eastAsiaTheme="minorEastAsia"/>
          <w:rtl/>
        </w:rPr>
        <w:t>3</w:t>
      </w:r>
      <w:r w:rsidRPr="00ED7B52">
        <w:rPr>
          <w:rFonts w:eastAsiaTheme="minorEastAsia"/>
          <w:rtl/>
        </w:rPr>
        <w:t>-</w:t>
      </w:r>
      <w:r>
        <w:rPr>
          <w:rFonts w:eastAsiaTheme="minorEastAsia"/>
          <w:rtl/>
        </w:rPr>
        <w:tab/>
      </w:r>
      <w:r w:rsidRPr="00ED7B52">
        <w:rPr>
          <w:rFonts w:eastAsiaTheme="minorEastAsia"/>
          <w:rtl/>
        </w:rPr>
        <w:t xml:space="preserve">ترحب اللجنة بتصديق الدولة الطرف على اتفاقية حقوق الأشخاص ذوي الإعاقة في </w:t>
      </w:r>
      <w:r w:rsidRPr="00A00A38">
        <w:rPr>
          <w:rFonts w:eastAsiaTheme="minorEastAsia"/>
          <w:rtl/>
        </w:rPr>
        <w:t>14</w:t>
      </w:r>
      <w:r w:rsidRPr="00ED7B52">
        <w:rPr>
          <w:rFonts w:eastAsiaTheme="minorEastAsia"/>
          <w:rtl/>
        </w:rPr>
        <w:t xml:space="preserve"> حزيران/</w:t>
      </w:r>
      <w:proofErr w:type="gramStart"/>
      <w:r w:rsidRPr="00ED7B52">
        <w:rPr>
          <w:rFonts w:eastAsiaTheme="minorEastAsia"/>
          <w:rtl/>
        </w:rPr>
        <w:t>يونيه</w:t>
      </w:r>
      <w:proofErr w:type="gramEnd"/>
      <w:r w:rsidRPr="00ED7B52">
        <w:rPr>
          <w:rFonts w:eastAsiaTheme="minorEastAsia"/>
          <w:rtl/>
        </w:rPr>
        <w:t xml:space="preserve"> </w:t>
      </w:r>
      <w:r w:rsidRPr="00A00A38">
        <w:rPr>
          <w:rFonts w:eastAsiaTheme="minorEastAsia"/>
          <w:rtl/>
        </w:rPr>
        <w:t>2016</w:t>
      </w:r>
      <w:r w:rsidRPr="00ED7B52">
        <w:rPr>
          <w:rFonts w:eastAsiaTheme="minorEastAsia"/>
          <w:rtl/>
        </w:rPr>
        <w:t>.</w:t>
      </w:r>
    </w:p>
    <w:p w14:paraId="0A769B17" w14:textId="47F6D6BE" w:rsidR="00ED7B52" w:rsidRPr="00F55CCB" w:rsidRDefault="00ED7B52" w:rsidP="00ED7B52">
      <w:pPr>
        <w:pStyle w:val="SingleTxtGA"/>
        <w:rPr>
          <w:rFonts w:eastAsiaTheme="minorEastAsia"/>
          <w:lang w:val="en-US" w:eastAsia="zh-TW" w:bidi="en-GB"/>
        </w:rPr>
      </w:pPr>
      <w:r w:rsidRPr="00A00A38">
        <w:rPr>
          <w:rFonts w:eastAsiaTheme="minorEastAsia"/>
          <w:rtl/>
        </w:rPr>
        <w:t>4</w:t>
      </w:r>
      <w:r>
        <w:rPr>
          <w:rFonts w:eastAsiaTheme="minorEastAsia"/>
          <w:rtl/>
        </w:rPr>
        <w:t>-</w:t>
      </w:r>
      <w:r>
        <w:rPr>
          <w:rFonts w:eastAsiaTheme="minorEastAsia"/>
          <w:rtl/>
        </w:rPr>
        <w:tab/>
      </w:r>
      <w:r w:rsidRPr="00ED7B52">
        <w:rPr>
          <w:rFonts w:eastAsiaTheme="minorEastAsia"/>
          <w:rtl/>
        </w:rPr>
        <w:t>وترحّب اللجنة أيض</w:t>
      </w:r>
      <w:r>
        <w:rPr>
          <w:rFonts w:eastAsiaTheme="minorEastAsia"/>
          <w:rtl/>
        </w:rPr>
        <w:t xml:space="preserve">اً </w:t>
      </w:r>
      <w:r w:rsidRPr="00ED7B52">
        <w:rPr>
          <w:rFonts w:eastAsiaTheme="minorEastAsia"/>
          <w:rtl/>
        </w:rPr>
        <w:t>بالتدابير التشريعية والمؤسسية والسياساتية التالية التي اتخذتها الدولة</w:t>
      </w:r>
      <w:r>
        <w:rPr>
          <w:rFonts w:eastAsiaTheme="minorEastAsia" w:hint="cs"/>
          <w:rtl/>
        </w:rPr>
        <w:t> </w:t>
      </w:r>
      <w:r w:rsidRPr="00ED7B52">
        <w:rPr>
          <w:rFonts w:eastAsiaTheme="minorEastAsia"/>
          <w:rtl/>
        </w:rPr>
        <w:t>الطرف:</w:t>
      </w:r>
    </w:p>
    <w:p w14:paraId="0328700A" w14:textId="408E7DFA" w:rsidR="00ED7B52" w:rsidRPr="00ED7B52" w:rsidRDefault="00ED7B52" w:rsidP="00ED7B52">
      <w:pPr>
        <w:pStyle w:val="SingleTxtGA"/>
        <w:rPr>
          <w:rFonts w:eastAsiaTheme="minorEastAsia"/>
          <w:lang w:val="ar-SA" w:eastAsia="zh-TW" w:bidi="en-GB"/>
        </w:rPr>
      </w:pPr>
      <w:r>
        <w:rPr>
          <w:rFonts w:eastAsiaTheme="minorEastAsia"/>
          <w:rtl/>
        </w:rPr>
        <w:tab/>
      </w:r>
      <w:r w:rsidRPr="00ED7B52">
        <w:rPr>
          <w:rFonts w:eastAsiaTheme="minorEastAsia"/>
          <w:rtl/>
        </w:rPr>
        <w:t>(أ)</w:t>
      </w:r>
      <w:r>
        <w:rPr>
          <w:rFonts w:eastAsiaTheme="minorEastAsia"/>
          <w:rtl/>
        </w:rPr>
        <w:tab/>
      </w:r>
      <w:r w:rsidRPr="00ED7B52">
        <w:rPr>
          <w:rFonts w:eastAsiaTheme="minorEastAsia"/>
          <w:rtl/>
        </w:rPr>
        <w:t>وضع برنامج عمل وطني بشأن مسألة التمييز (</w:t>
      </w:r>
      <w:r w:rsidRPr="00A00A38">
        <w:rPr>
          <w:rFonts w:eastAsiaTheme="minorEastAsia"/>
          <w:rtl/>
        </w:rPr>
        <w:t>2016</w:t>
      </w:r>
      <w:r w:rsidRPr="00ED7B52">
        <w:rPr>
          <w:rFonts w:eastAsiaTheme="minorEastAsia"/>
          <w:rtl/>
        </w:rPr>
        <w:t>)؛</w:t>
      </w:r>
    </w:p>
    <w:p w14:paraId="415EE954" w14:textId="3583BD42" w:rsidR="00ED7B52" w:rsidRPr="00ED7B52" w:rsidRDefault="00ED7B52" w:rsidP="00ED7B52">
      <w:pPr>
        <w:pStyle w:val="SingleTxtGA"/>
        <w:rPr>
          <w:rFonts w:eastAsiaTheme="minorEastAsia"/>
          <w:lang w:val="ar-SA" w:eastAsia="zh-TW" w:bidi="en-GB"/>
        </w:rPr>
      </w:pPr>
      <w:r>
        <w:rPr>
          <w:rFonts w:eastAsiaTheme="minorEastAsia"/>
          <w:rtl/>
        </w:rPr>
        <w:tab/>
      </w:r>
      <w:r w:rsidRPr="00ED7B52">
        <w:rPr>
          <w:rFonts w:eastAsiaTheme="minorEastAsia"/>
          <w:rtl/>
        </w:rPr>
        <w:t>(ب)</w:t>
      </w:r>
      <w:r w:rsidRPr="00ED7B52">
        <w:rPr>
          <w:rFonts w:eastAsiaTheme="minorEastAsia"/>
          <w:rtl/>
        </w:rPr>
        <w:tab/>
        <w:t>وضع إطار سياساتي لمواقع استقبال الرحل التابعة للبلديات (</w:t>
      </w:r>
      <w:r w:rsidRPr="00A00A38">
        <w:rPr>
          <w:rFonts w:eastAsiaTheme="minorEastAsia"/>
          <w:rtl/>
        </w:rPr>
        <w:t>2018</w:t>
      </w:r>
      <w:r w:rsidRPr="00ED7B52">
        <w:rPr>
          <w:rFonts w:eastAsiaTheme="minorEastAsia"/>
          <w:rtl/>
        </w:rPr>
        <w:t>)؛</w:t>
      </w:r>
    </w:p>
    <w:p w14:paraId="712A101C" w14:textId="1A0053DD" w:rsidR="00ED7B52" w:rsidRPr="00ED7B52" w:rsidRDefault="00ED7B52" w:rsidP="00ED7B52">
      <w:pPr>
        <w:pStyle w:val="SingleTxtGA"/>
        <w:rPr>
          <w:rFonts w:eastAsiaTheme="minorEastAsia"/>
          <w:lang w:val="ar-SA" w:eastAsia="zh-TW" w:bidi="en-GB"/>
        </w:rPr>
      </w:pPr>
      <w:r>
        <w:rPr>
          <w:rFonts w:eastAsiaTheme="minorEastAsia"/>
          <w:rtl/>
        </w:rPr>
        <w:lastRenderedPageBreak/>
        <w:tab/>
      </w:r>
      <w:r w:rsidRPr="00ED7B52">
        <w:rPr>
          <w:rFonts w:eastAsiaTheme="minorEastAsia"/>
          <w:rtl/>
        </w:rPr>
        <w:t>(ج)</w:t>
      </w:r>
      <w:r w:rsidRPr="00ED7B52">
        <w:rPr>
          <w:rFonts w:eastAsiaTheme="minorEastAsia"/>
          <w:rtl/>
        </w:rPr>
        <w:tab/>
        <w:t>وضع خطة عمل بشأن مسألة التمييز في سوق العمل (</w:t>
      </w:r>
      <w:r w:rsidRPr="00A00A38">
        <w:rPr>
          <w:rFonts w:eastAsiaTheme="minorEastAsia"/>
          <w:rtl/>
        </w:rPr>
        <w:t>2018</w:t>
      </w:r>
      <w:r w:rsidRPr="00ED7B52">
        <w:rPr>
          <w:rFonts w:eastAsiaTheme="minorEastAsia"/>
          <w:rtl/>
        </w:rPr>
        <w:t>-</w:t>
      </w:r>
      <w:r w:rsidRPr="00A00A38">
        <w:rPr>
          <w:rFonts w:eastAsiaTheme="minorEastAsia"/>
          <w:rtl/>
        </w:rPr>
        <w:t>2021</w:t>
      </w:r>
      <w:r w:rsidRPr="00ED7B52">
        <w:rPr>
          <w:rFonts w:eastAsiaTheme="minorEastAsia"/>
          <w:rtl/>
        </w:rPr>
        <w:t>)؛</w:t>
      </w:r>
    </w:p>
    <w:p w14:paraId="75B8F5C9" w14:textId="3DE11B59" w:rsidR="00ED7B52" w:rsidRPr="00ED7B52" w:rsidRDefault="00ED7B52" w:rsidP="00ED7B52">
      <w:pPr>
        <w:pStyle w:val="SingleTxtGA"/>
        <w:rPr>
          <w:rFonts w:eastAsiaTheme="minorEastAsia"/>
          <w:lang w:val="ar-SA" w:eastAsia="zh-TW" w:bidi="en-GB"/>
        </w:rPr>
      </w:pPr>
      <w:r>
        <w:rPr>
          <w:rFonts w:eastAsiaTheme="minorEastAsia"/>
          <w:rtl/>
        </w:rPr>
        <w:tab/>
      </w:r>
      <w:r w:rsidRPr="00ED7B52">
        <w:rPr>
          <w:rFonts w:eastAsiaTheme="minorEastAsia"/>
          <w:rtl/>
        </w:rPr>
        <w:t>(د)</w:t>
      </w:r>
      <w:r w:rsidRPr="00ED7B52">
        <w:rPr>
          <w:rFonts w:eastAsiaTheme="minorEastAsia"/>
          <w:rtl/>
        </w:rPr>
        <w:tab/>
        <w:t>إنشاء مكتب لتلقي الشكاوى بشأن التمييز على الانترنت.</w:t>
      </w:r>
    </w:p>
    <w:p w14:paraId="53BA0459" w14:textId="7FE2FA99" w:rsidR="00ED7B52" w:rsidRPr="00ED7B52" w:rsidRDefault="00ED7B52" w:rsidP="00ED7B52">
      <w:pPr>
        <w:pStyle w:val="H1GA"/>
        <w:rPr>
          <w:lang w:val="ar-SA" w:eastAsia="zh-TW" w:bidi="en-GB"/>
        </w:rPr>
      </w:pPr>
      <w:r>
        <w:rPr>
          <w:rtl/>
        </w:rPr>
        <w:tab/>
      </w:r>
      <w:r w:rsidRPr="00ED7B52">
        <w:rPr>
          <w:rtl/>
        </w:rPr>
        <w:t>جيم-</w:t>
      </w:r>
      <w:r w:rsidRPr="00ED7B52">
        <w:rPr>
          <w:rtl/>
        </w:rPr>
        <w:tab/>
        <w:t xml:space="preserve">دواعي القلق والتوصيات </w:t>
      </w:r>
    </w:p>
    <w:p w14:paraId="2245AC91" w14:textId="77777777" w:rsidR="00ED7B52" w:rsidRPr="00ED7B52" w:rsidRDefault="00ED7B52" w:rsidP="00ED7B52">
      <w:pPr>
        <w:pStyle w:val="H23GA"/>
        <w:rPr>
          <w:lang w:val="ar-SA" w:eastAsia="zh-TW" w:bidi="en-GB"/>
        </w:rPr>
      </w:pPr>
      <w:r w:rsidRPr="00ED7B52">
        <w:rPr>
          <w:rtl/>
        </w:rPr>
        <w:tab/>
      </w:r>
      <w:r w:rsidRPr="00ED7B52">
        <w:rPr>
          <w:rtl/>
        </w:rPr>
        <w:tab/>
        <w:t>جمع البيانات</w:t>
      </w:r>
    </w:p>
    <w:p w14:paraId="65F9EF2B" w14:textId="4C7F272A" w:rsidR="00ED7B52" w:rsidRPr="00ED7B52" w:rsidRDefault="00ED7B52" w:rsidP="00ED7B52">
      <w:pPr>
        <w:pStyle w:val="SingleTxtGA"/>
        <w:rPr>
          <w:rFonts w:eastAsiaTheme="minorEastAsia"/>
          <w:lang w:val="ar-SA" w:eastAsia="zh-TW" w:bidi="en-GB"/>
        </w:rPr>
      </w:pPr>
      <w:r w:rsidRPr="00A00A38">
        <w:rPr>
          <w:rFonts w:eastAsiaTheme="minorEastAsia"/>
          <w:rtl/>
        </w:rPr>
        <w:t>5</w:t>
      </w:r>
      <w:r w:rsidRPr="00ED7B52">
        <w:rPr>
          <w:rFonts w:eastAsiaTheme="minorEastAsia"/>
          <w:rtl/>
        </w:rPr>
        <w:t>-</w:t>
      </w:r>
      <w:r w:rsidRPr="00ED7B52">
        <w:rPr>
          <w:rFonts w:eastAsiaTheme="minorEastAsia"/>
          <w:rtl/>
        </w:rPr>
        <w:tab/>
        <w:t xml:space="preserve">تلاحظ اللجنة أن قوانين الدولة الطرف بشأن الخصوصية تمنعها من جمع بعض البيانات المصنفة ذات الصلة بالمادة </w:t>
      </w:r>
      <w:r w:rsidRPr="00A00A38">
        <w:rPr>
          <w:rFonts w:eastAsiaTheme="minorEastAsia"/>
          <w:rtl/>
        </w:rPr>
        <w:t>1</w:t>
      </w:r>
      <w:r w:rsidRPr="00ED7B52">
        <w:rPr>
          <w:rFonts w:eastAsiaTheme="minorEastAsia"/>
          <w:rtl/>
        </w:rPr>
        <w:t xml:space="preserve"> من الاتفاقية، بما في ذلك بيانات الانتماء الإثني. ويساور اللجنة القلق لأن عدم وجود هذه البيانات المصنفة يعوق جهود الدولة الطرف لوضع وتنفيذ سياسات عامة فعالة تتماشى مع الاتفاقية، ويعوق إجراء تقييم دقيق للتقدم المحرز نحو التحقيق المادي للمساواة العرقية في الدولة</w:t>
      </w:r>
      <w:r>
        <w:rPr>
          <w:rFonts w:eastAsiaTheme="minorEastAsia" w:hint="cs"/>
          <w:rtl/>
        </w:rPr>
        <w:t> </w:t>
      </w:r>
      <w:r w:rsidRPr="00ED7B52">
        <w:rPr>
          <w:rFonts w:eastAsiaTheme="minorEastAsia"/>
          <w:rtl/>
        </w:rPr>
        <w:t xml:space="preserve">الطرف. </w:t>
      </w:r>
    </w:p>
    <w:p w14:paraId="4059432D" w14:textId="7ACF3D72" w:rsidR="00ED7B52" w:rsidRPr="00F15F07" w:rsidRDefault="00ED7B52" w:rsidP="00ED7B52">
      <w:pPr>
        <w:pStyle w:val="SingleTxtGA"/>
        <w:rPr>
          <w:rFonts w:eastAsiaTheme="minorEastAsia"/>
          <w:bCs/>
          <w:lang w:val="ar-SA" w:eastAsia="zh-TW" w:bidi="en-GB"/>
        </w:rPr>
      </w:pPr>
      <w:r w:rsidRPr="00A00A38">
        <w:rPr>
          <w:rFonts w:eastAsiaTheme="minorEastAsia"/>
          <w:rtl/>
        </w:rPr>
        <w:t>6</w:t>
      </w:r>
      <w:r w:rsidRPr="00ED7B52">
        <w:rPr>
          <w:rFonts w:eastAsiaTheme="minorEastAsia"/>
          <w:rtl/>
        </w:rPr>
        <w:t>-</w:t>
      </w:r>
      <w:r w:rsidRPr="00ED7B52">
        <w:rPr>
          <w:rFonts w:eastAsiaTheme="minorEastAsia"/>
          <w:rtl/>
        </w:rPr>
        <w:tab/>
      </w:r>
      <w:r w:rsidRPr="00A00A38">
        <w:rPr>
          <w:rFonts w:eastAsiaTheme="minorEastAsia"/>
          <w:bCs/>
          <w:rtl/>
        </w:rPr>
        <w:t>وإذ تشير اللجنة إلى توصيتها العامة رقم 24(1999) وأهمية البيانات المصنفة لتحديد التمييز العنصري ومكافحته بفعالية، توصي بأن تكفل الدولة الطرف جمع بيانات ومعلومات مصنفة عن التركيبة الديمغرافية لسكانها، في ضوء أحكام المادة 1 من الاتفاقية والفقرات من 10 إلى 12 من المبادئ التوجيهية للجنة بشأن الإبلاغ</w:t>
      </w:r>
      <w:r w:rsidR="00F15F07" w:rsidRPr="00A00A38">
        <w:rPr>
          <w:rStyle w:val="FootnoteReference"/>
          <w:rFonts w:eastAsiaTheme="minorEastAsia"/>
          <w:b/>
          <w:szCs w:val="22"/>
          <w:rtl/>
        </w:rPr>
        <w:t>(</w:t>
      </w:r>
      <w:r w:rsidR="00F15F07" w:rsidRPr="00E053F3">
        <w:rPr>
          <w:rStyle w:val="FootnoteReference"/>
          <w:rFonts w:eastAsiaTheme="minorEastAsia"/>
          <w:bCs/>
          <w:szCs w:val="22"/>
          <w:lang w:val="en-US"/>
        </w:rPr>
        <w:footnoteReference w:id="5"/>
      </w:r>
      <w:r w:rsidR="00F15F07" w:rsidRPr="00A00A38">
        <w:rPr>
          <w:rStyle w:val="FootnoteReference"/>
          <w:rFonts w:eastAsiaTheme="minorEastAsia"/>
          <w:b/>
          <w:szCs w:val="22"/>
          <w:rtl/>
        </w:rPr>
        <w:t>)</w:t>
      </w:r>
      <w:r w:rsidRPr="00A00A38">
        <w:rPr>
          <w:rFonts w:eastAsiaTheme="minorEastAsia"/>
          <w:bCs/>
          <w:rtl/>
        </w:rPr>
        <w:t>، وبأن تضع سياساتها لمكافحة التمييز العنصري استناداً إلى هذه البيانات</w:t>
      </w:r>
      <w:r w:rsidR="00F15F07" w:rsidRPr="00F15F07">
        <w:rPr>
          <w:rFonts w:eastAsiaTheme="minorEastAsia" w:hint="cs"/>
          <w:bCs/>
          <w:rtl/>
        </w:rPr>
        <w:t>.</w:t>
      </w:r>
      <w:r w:rsidRPr="00F15F07">
        <w:rPr>
          <w:rFonts w:eastAsiaTheme="minorEastAsia"/>
          <w:bCs/>
          <w:rtl/>
        </w:rPr>
        <w:t xml:space="preserve"> </w:t>
      </w:r>
      <w:r w:rsidRPr="00A00A38">
        <w:rPr>
          <w:rFonts w:eastAsiaTheme="minorEastAsia"/>
          <w:bCs/>
          <w:rtl/>
        </w:rPr>
        <w:t>ولهذا الغرض، ينبغي للدولة الطرف أن تنظر في التماس الدعم التقني من مفوضية الأمم المتحدة لحقوق الإنسان وغيرها من الآليات ذات الصلة.</w:t>
      </w:r>
    </w:p>
    <w:p w14:paraId="3B72E72C" w14:textId="77777777" w:rsidR="00ED7B52" w:rsidRPr="00ED7B52" w:rsidRDefault="00ED7B52" w:rsidP="00ED7B52">
      <w:pPr>
        <w:pStyle w:val="H23GA"/>
        <w:rPr>
          <w:lang w:val="ar-SA" w:eastAsia="zh-TW" w:bidi="en-GB"/>
        </w:rPr>
      </w:pPr>
      <w:r w:rsidRPr="00ED7B52">
        <w:rPr>
          <w:rtl/>
        </w:rPr>
        <w:tab/>
      </w:r>
      <w:r w:rsidRPr="00ED7B52">
        <w:rPr>
          <w:rtl/>
        </w:rPr>
        <w:tab/>
        <w:t xml:space="preserve">تعريف التمييز العنصري وحظره </w:t>
      </w:r>
    </w:p>
    <w:p w14:paraId="421B43F3" w14:textId="39228662" w:rsidR="00ED7B52" w:rsidRPr="00ED7B52" w:rsidRDefault="00ED7B52" w:rsidP="00ED7B52">
      <w:pPr>
        <w:pStyle w:val="SingleTxtGA"/>
        <w:rPr>
          <w:rFonts w:eastAsiaTheme="minorEastAsia"/>
          <w:lang w:val="ar-SA" w:eastAsia="zh-TW" w:bidi="en-GB"/>
        </w:rPr>
      </w:pPr>
      <w:r w:rsidRPr="00A00A38">
        <w:rPr>
          <w:rFonts w:eastAsiaTheme="minorEastAsia"/>
          <w:rtl/>
        </w:rPr>
        <w:t>7</w:t>
      </w:r>
      <w:r w:rsidRPr="00ED7B52">
        <w:rPr>
          <w:rFonts w:eastAsiaTheme="minorEastAsia"/>
          <w:rtl/>
        </w:rPr>
        <w:t>-</w:t>
      </w:r>
      <w:r w:rsidRPr="00ED7B52">
        <w:rPr>
          <w:rFonts w:eastAsiaTheme="minorEastAsia"/>
          <w:rtl/>
        </w:rPr>
        <w:tab/>
        <w:t>تلاحظ اللجنة أن مصطلح "العرق" في تشريعات الدولة الطرف المناهضة للتمييز يفسر وفق</w:t>
      </w:r>
      <w:r>
        <w:rPr>
          <w:rFonts w:eastAsiaTheme="minorEastAsia"/>
          <w:rtl/>
        </w:rPr>
        <w:t>اً</w:t>
      </w:r>
      <w:r>
        <w:rPr>
          <w:rFonts w:eastAsiaTheme="minorEastAsia" w:hint="cs"/>
          <w:rtl/>
        </w:rPr>
        <w:t> </w:t>
      </w:r>
      <w:r w:rsidRPr="00ED7B52">
        <w:rPr>
          <w:rFonts w:eastAsiaTheme="minorEastAsia"/>
          <w:rtl/>
        </w:rPr>
        <w:t xml:space="preserve">للتعريف الوارد في المادة </w:t>
      </w:r>
      <w:r w:rsidRPr="00A00A38">
        <w:rPr>
          <w:rFonts w:eastAsiaTheme="minorEastAsia"/>
          <w:rtl/>
        </w:rPr>
        <w:t>1</w:t>
      </w:r>
      <w:r w:rsidRPr="00ED7B52">
        <w:rPr>
          <w:rFonts w:eastAsiaTheme="minorEastAsia"/>
          <w:rtl/>
        </w:rPr>
        <w:t xml:space="preserve"> من الاتفاقية. غير أن اللجنة قلقة لعدم إدراج تعريف للتمييز العنصري يتضمن جميع الأسباب الواردة في المادة </w:t>
      </w:r>
      <w:r w:rsidRPr="00A00A38">
        <w:rPr>
          <w:rFonts w:eastAsiaTheme="minorEastAsia"/>
          <w:rtl/>
        </w:rPr>
        <w:t>1</w:t>
      </w:r>
      <w:r w:rsidRPr="00ED7B52">
        <w:rPr>
          <w:rFonts w:eastAsiaTheme="minorEastAsia"/>
          <w:rtl/>
        </w:rPr>
        <w:t xml:space="preserve"> من الاتفاقية في دستور الدولة الطرف أو في تشريعاتها لمكافحة التمييز (المادتان </w:t>
      </w:r>
      <w:r w:rsidRPr="00A00A38">
        <w:rPr>
          <w:rFonts w:eastAsiaTheme="minorEastAsia"/>
          <w:rtl/>
        </w:rPr>
        <w:t>1</w:t>
      </w:r>
      <w:r w:rsidRPr="00ED7B52">
        <w:rPr>
          <w:rFonts w:eastAsiaTheme="minorEastAsia"/>
          <w:rtl/>
        </w:rPr>
        <w:t>-</w:t>
      </w:r>
      <w:r w:rsidRPr="00A00A38">
        <w:rPr>
          <w:rFonts w:eastAsiaTheme="minorEastAsia"/>
          <w:rtl/>
        </w:rPr>
        <w:t>2</w:t>
      </w:r>
      <w:r w:rsidRPr="00ED7B52">
        <w:rPr>
          <w:rFonts w:eastAsiaTheme="minorEastAsia"/>
          <w:rtl/>
        </w:rPr>
        <w:t>).</w:t>
      </w:r>
    </w:p>
    <w:p w14:paraId="2B0A8743" w14:textId="5C8686D8" w:rsidR="00ED7B52" w:rsidRPr="00A00A38" w:rsidRDefault="00ED7B52" w:rsidP="00ED7B52">
      <w:pPr>
        <w:pStyle w:val="SingleTxtGA"/>
        <w:rPr>
          <w:rFonts w:eastAsiaTheme="minorEastAsia"/>
          <w:bCs/>
          <w:lang w:val="ar-SA" w:eastAsia="zh-TW" w:bidi="en-GB"/>
        </w:rPr>
      </w:pPr>
      <w:r w:rsidRPr="00A00A38">
        <w:rPr>
          <w:rFonts w:eastAsiaTheme="minorEastAsia"/>
          <w:rtl/>
        </w:rPr>
        <w:t>8</w:t>
      </w:r>
      <w:r w:rsidRPr="00ED7B52">
        <w:rPr>
          <w:rFonts w:eastAsiaTheme="minorEastAsia"/>
          <w:rtl/>
        </w:rPr>
        <w:t>-</w:t>
      </w:r>
      <w:r w:rsidRPr="00ED7B52">
        <w:rPr>
          <w:rFonts w:eastAsiaTheme="minorEastAsia"/>
          <w:rtl/>
        </w:rPr>
        <w:tab/>
      </w:r>
      <w:r w:rsidRPr="00A00A38">
        <w:rPr>
          <w:rFonts w:eastAsiaTheme="minorEastAsia"/>
          <w:bCs/>
          <w:rtl/>
        </w:rPr>
        <w:t>وتوصي اللجنة الدولة الطرف بأن تحظر التمييز العنصري وتعرفه في دستورها وتشريعاتها الإدارية والمدنية بما يتفق تماماً مع المادة 1 من الاتفاقية.</w:t>
      </w:r>
    </w:p>
    <w:p w14:paraId="4DF3E1D7" w14:textId="77777777" w:rsidR="00ED7B52" w:rsidRPr="00ED7B52" w:rsidRDefault="00ED7B52" w:rsidP="00ED7B52">
      <w:pPr>
        <w:pStyle w:val="H23GA"/>
        <w:rPr>
          <w:lang w:val="ar-SA" w:eastAsia="zh-TW" w:bidi="en-GB"/>
        </w:rPr>
      </w:pPr>
      <w:r w:rsidRPr="00ED7B52">
        <w:rPr>
          <w:rtl/>
        </w:rPr>
        <w:tab/>
      </w:r>
      <w:r w:rsidRPr="00ED7B52">
        <w:rPr>
          <w:rtl/>
        </w:rPr>
        <w:tab/>
        <w:t>تنفيذ تشريعات مناهضة التمييز</w:t>
      </w:r>
    </w:p>
    <w:p w14:paraId="202BE068" w14:textId="0E189749" w:rsidR="00ED7B52" w:rsidRPr="00ED7B52" w:rsidRDefault="00ED7B52" w:rsidP="00ED7B52">
      <w:pPr>
        <w:pStyle w:val="SingleTxtGA"/>
        <w:rPr>
          <w:rFonts w:eastAsiaTheme="minorEastAsia"/>
          <w:lang w:val="ar-SA" w:eastAsia="zh-TW" w:bidi="en-GB"/>
        </w:rPr>
      </w:pPr>
      <w:r w:rsidRPr="00A00A38">
        <w:rPr>
          <w:rFonts w:eastAsiaTheme="minorEastAsia"/>
          <w:rtl/>
        </w:rPr>
        <w:t>9</w:t>
      </w:r>
      <w:r w:rsidRPr="00ED7B52">
        <w:rPr>
          <w:rFonts w:eastAsiaTheme="minorEastAsia"/>
          <w:rtl/>
        </w:rPr>
        <w:t>-</w:t>
      </w:r>
      <w:r w:rsidRPr="00ED7B52">
        <w:rPr>
          <w:rFonts w:eastAsiaTheme="minorEastAsia"/>
          <w:rtl/>
        </w:rPr>
        <w:tab/>
        <w:t>تؤكد اللجنة أن مملكة هولندا، بوصفها دولة طرف</w:t>
      </w:r>
      <w:r>
        <w:rPr>
          <w:rFonts w:eastAsiaTheme="minorEastAsia"/>
          <w:rtl/>
        </w:rPr>
        <w:t xml:space="preserve">اً، </w:t>
      </w:r>
      <w:r w:rsidRPr="00ED7B52">
        <w:rPr>
          <w:rFonts w:eastAsiaTheme="minorEastAsia"/>
          <w:rtl/>
        </w:rPr>
        <w:t>مسؤولة عن امتثال الاتفاقية وتنفيذها فيما</w:t>
      </w:r>
      <w:r>
        <w:rPr>
          <w:rFonts w:eastAsiaTheme="minorEastAsia" w:hint="cs"/>
          <w:rtl/>
        </w:rPr>
        <w:t> </w:t>
      </w:r>
      <w:r w:rsidRPr="00ED7B52">
        <w:rPr>
          <w:rFonts w:eastAsiaTheme="minorEastAsia"/>
          <w:rtl/>
        </w:rPr>
        <w:t>يتعلق بكل أراضيها، بما فيها الأجزاء المستقلة ذاتي</w:t>
      </w:r>
      <w:r>
        <w:rPr>
          <w:rFonts w:eastAsiaTheme="minorEastAsia"/>
          <w:rtl/>
        </w:rPr>
        <w:t xml:space="preserve">اً </w:t>
      </w:r>
      <w:r w:rsidRPr="00ED7B52">
        <w:rPr>
          <w:rFonts w:eastAsiaTheme="minorEastAsia"/>
          <w:rtl/>
        </w:rPr>
        <w:t>في إطار النظام الدستوري لمملكة هولندا. ويساور اللجنة القلق لأن القانون العام للمساواة في المعاملة، وقانون المعهد الهولندي لحقوق الإنسان الذي أنشئ بموجبه المعهد الهولندي لحقوق الإنسان ويخوله إجراء تحقيقات في مجال حماية حقوق الإنسان، لا</w:t>
      </w:r>
      <w:r>
        <w:rPr>
          <w:rFonts w:eastAsiaTheme="minorEastAsia" w:hint="cs"/>
          <w:rtl/>
        </w:rPr>
        <w:t> </w:t>
      </w:r>
      <w:r w:rsidRPr="00ED7B52">
        <w:rPr>
          <w:rFonts w:eastAsiaTheme="minorEastAsia"/>
          <w:rtl/>
        </w:rPr>
        <w:t>ينطبقان كلي</w:t>
      </w:r>
      <w:r>
        <w:rPr>
          <w:rFonts w:eastAsiaTheme="minorEastAsia"/>
          <w:rtl/>
        </w:rPr>
        <w:t xml:space="preserve">اً </w:t>
      </w:r>
      <w:r w:rsidRPr="00ED7B52">
        <w:rPr>
          <w:rFonts w:eastAsiaTheme="minorEastAsia"/>
          <w:rtl/>
        </w:rPr>
        <w:t>في الأقاليم الكاريبية لمملكة هولندا، وإن كانت تلاحظ وجود مناقشات بشأن تمديد ولاية القانون الأخير ليشمل هذه الأقاليم. وبينما تشير اللجنة إلى وجود مناقشات بشأن إصلاح الدوائر البلدية لمكافحة التمييز، فإنه يساروها القلق إزاء النقص الحالي في المعلومات بشأن تنفيذ قانون الدوائر البلدية</w:t>
      </w:r>
      <w:r w:rsidR="00F15F07">
        <w:rPr>
          <w:rFonts w:eastAsiaTheme="minorEastAsia" w:hint="cs"/>
          <w:rtl/>
        </w:rPr>
        <w:t> </w:t>
      </w:r>
      <w:r w:rsidRPr="00ED7B52">
        <w:rPr>
          <w:rFonts w:eastAsiaTheme="minorEastAsia"/>
          <w:rtl/>
        </w:rPr>
        <w:t>لمكافحة التمييز، وإزاء عدم وجود هيئة لرصد التنفيذ الفعال لهذا القانون من قبل البلديات، وهو</w:t>
      </w:r>
      <w:r w:rsidR="00F15F07">
        <w:rPr>
          <w:rFonts w:eastAsiaTheme="minorEastAsia" w:hint="cs"/>
          <w:rtl/>
        </w:rPr>
        <w:t> </w:t>
      </w:r>
      <w:r w:rsidRPr="00ED7B52">
        <w:rPr>
          <w:rFonts w:eastAsiaTheme="minorEastAsia"/>
          <w:rtl/>
        </w:rPr>
        <w:t>ما</w:t>
      </w:r>
      <w:r w:rsidR="00F15F07">
        <w:rPr>
          <w:rFonts w:eastAsiaTheme="minorEastAsia" w:hint="cs"/>
          <w:rtl/>
        </w:rPr>
        <w:t> </w:t>
      </w:r>
      <w:r w:rsidRPr="00ED7B52">
        <w:rPr>
          <w:rFonts w:eastAsiaTheme="minorEastAsia"/>
          <w:rtl/>
        </w:rPr>
        <w:t xml:space="preserve">قد يعوق التمتع بالحقوق بموجب الاتفاقية (المادة </w:t>
      </w:r>
      <w:r w:rsidRPr="00A00A38">
        <w:rPr>
          <w:rFonts w:eastAsiaTheme="minorEastAsia"/>
          <w:rtl/>
        </w:rPr>
        <w:t>2</w:t>
      </w:r>
      <w:r w:rsidRPr="00ED7B52">
        <w:rPr>
          <w:rFonts w:eastAsiaTheme="minorEastAsia"/>
          <w:rtl/>
        </w:rPr>
        <w:t>).</w:t>
      </w:r>
      <w:bookmarkStart w:id="0" w:name="_Hlk83715712"/>
      <w:bookmarkEnd w:id="0"/>
    </w:p>
    <w:p w14:paraId="4E4CAD74" w14:textId="5FB0ADB3" w:rsidR="00ED7B52" w:rsidRPr="00A00A38" w:rsidRDefault="00ED7B52" w:rsidP="00ED7B52">
      <w:pPr>
        <w:pStyle w:val="SingleTxtGA"/>
        <w:rPr>
          <w:rFonts w:eastAsiaTheme="minorEastAsia"/>
          <w:b/>
          <w:lang w:val="ar-SA" w:eastAsia="zh-TW" w:bidi="en-GB"/>
        </w:rPr>
      </w:pPr>
      <w:r w:rsidRPr="00A00A38">
        <w:rPr>
          <w:rFonts w:eastAsiaTheme="minorEastAsia"/>
          <w:rtl/>
        </w:rPr>
        <w:lastRenderedPageBreak/>
        <w:t>10</w:t>
      </w:r>
      <w:r w:rsidRPr="00ED7B52">
        <w:rPr>
          <w:rFonts w:eastAsiaTheme="minorEastAsia"/>
          <w:rtl/>
        </w:rPr>
        <w:t>-</w:t>
      </w:r>
      <w:r w:rsidRPr="00ED7B52">
        <w:rPr>
          <w:rFonts w:eastAsiaTheme="minorEastAsia"/>
          <w:rtl/>
        </w:rPr>
        <w:tab/>
      </w:r>
      <w:r w:rsidRPr="00A00A38">
        <w:rPr>
          <w:rFonts w:eastAsiaTheme="minorEastAsia"/>
          <w:bCs/>
          <w:rtl/>
        </w:rPr>
        <w:t>توصي اللجنة الدولة الطرف بما يلي:</w:t>
      </w:r>
    </w:p>
    <w:p w14:paraId="6EA71367" w14:textId="6E2DE2A5" w:rsidR="00ED7B52" w:rsidRPr="00A00A38" w:rsidRDefault="00ED7B52" w:rsidP="00ED7B52">
      <w:pPr>
        <w:pStyle w:val="SingleTxtGA"/>
        <w:rPr>
          <w:rFonts w:eastAsiaTheme="minorEastAsia"/>
          <w:bCs/>
          <w:lang w:val="en-US" w:eastAsia="zh-TW" w:bidi="en-GB"/>
        </w:rPr>
      </w:pPr>
      <w:r>
        <w:rPr>
          <w:rFonts w:eastAsiaTheme="minorEastAsia"/>
          <w:rtl/>
        </w:rPr>
        <w:tab/>
      </w:r>
      <w:r w:rsidRPr="00ED7B52">
        <w:rPr>
          <w:rFonts w:eastAsiaTheme="minorEastAsia"/>
          <w:rtl/>
        </w:rPr>
        <w:t>(أ)</w:t>
      </w:r>
      <w:r w:rsidRPr="00ED7B52">
        <w:rPr>
          <w:rFonts w:eastAsiaTheme="minorEastAsia"/>
          <w:rtl/>
        </w:rPr>
        <w:tab/>
      </w:r>
      <w:r w:rsidRPr="00A00A38">
        <w:rPr>
          <w:rFonts w:eastAsiaTheme="minorEastAsia"/>
          <w:bCs/>
          <w:rtl/>
        </w:rPr>
        <w:t>اتخاذ التدابير اللازمة لضمان تطبيق الاتفاقية وجميع التشريعات التي تعزز تنفيذها، ولا سيما القانون العام للمساواة في المعاملة وقانون المعهد الهولندي لحقوق الإنسان، تطبيقاً كاملاً في جميع أنحاء إقليم مملكة هولندا؛</w:t>
      </w:r>
      <w:r w:rsidRPr="00F15F07">
        <w:rPr>
          <w:rFonts w:eastAsiaTheme="minorEastAsia"/>
          <w:bCs/>
          <w:rtl/>
        </w:rPr>
        <w:t xml:space="preserve"> </w:t>
      </w:r>
    </w:p>
    <w:p w14:paraId="1AA05593" w14:textId="1A585D96" w:rsidR="00ED7B52" w:rsidRPr="00A00A38" w:rsidRDefault="00ED7B52" w:rsidP="00ED7B52">
      <w:pPr>
        <w:pStyle w:val="SingleTxtGA"/>
        <w:rPr>
          <w:rFonts w:eastAsiaTheme="minorEastAsia"/>
          <w:bCs/>
          <w:lang w:val="ar-SA" w:eastAsia="zh-TW" w:bidi="en-GB"/>
        </w:rPr>
      </w:pPr>
      <w:r>
        <w:rPr>
          <w:rFonts w:eastAsiaTheme="minorEastAsia"/>
          <w:rtl/>
        </w:rPr>
        <w:tab/>
      </w:r>
      <w:r w:rsidRPr="00ED7B52">
        <w:rPr>
          <w:rFonts w:eastAsiaTheme="minorEastAsia"/>
          <w:rtl/>
        </w:rPr>
        <w:t>(ب)</w:t>
      </w:r>
      <w:r w:rsidRPr="00ED7B52">
        <w:rPr>
          <w:rFonts w:eastAsiaTheme="minorEastAsia"/>
          <w:rtl/>
        </w:rPr>
        <w:tab/>
      </w:r>
      <w:r w:rsidRPr="00A00A38">
        <w:rPr>
          <w:rFonts w:eastAsiaTheme="minorEastAsia"/>
          <w:bCs/>
          <w:rtl/>
        </w:rPr>
        <w:t>وضع آلية لرصد وتقييم تنفيذ البلديات لقانون الدوائر البلدية لمكافحة التمييز، وضمان أن يفضي أي إصلاح لهذه الدوائر إلى هيكل مؤسسي أكثر فعالية، وأن تكون الدوائر مزودة بالموارد والخبرات اللازمة.</w:t>
      </w:r>
    </w:p>
    <w:p w14:paraId="13FFA552" w14:textId="77777777" w:rsidR="00ED7B52" w:rsidRPr="00ED7B52" w:rsidRDefault="00ED7B52" w:rsidP="00ED7B52">
      <w:pPr>
        <w:pStyle w:val="H23GA"/>
        <w:rPr>
          <w:lang w:val="ar-SA" w:eastAsia="zh-TW" w:bidi="en-GB"/>
        </w:rPr>
      </w:pPr>
      <w:r w:rsidRPr="00ED7B52">
        <w:rPr>
          <w:rtl/>
        </w:rPr>
        <w:tab/>
      </w:r>
      <w:r w:rsidRPr="00ED7B52">
        <w:rPr>
          <w:rtl/>
        </w:rPr>
        <w:tab/>
        <w:t>خطاب الكراهية العنصرية والجرائم بدافع الكراهية</w:t>
      </w:r>
    </w:p>
    <w:p w14:paraId="5176081D" w14:textId="0EB6DE79" w:rsidR="00ED7B52" w:rsidRPr="00ED7B52" w:rsidRDefault="00ED7B52" w:rsidP="00ED7B52">
      <w:pPr>
        <w:pStyle w:val="SingleTxtGA"/>
        <w:rPr>
          <w:rFonts w:eastAsiaTheme="minorEastAsia"/>
          <w:lang w:val="ar-SA" w:eastAsia="zh-TW" w:bidi="en-GB"/>
        </w:rPr>
      </w:pPr>
      <w:r w:rsidRPr="00A00A38">
        <w:rPr>
          <w:rFonts w:eastAsiaTheme="minorEastAsia"/>
          <w:rtl/>
        </w:rPr>
        <w:t>11</w:t>
      </w:r>
      <w:r w:rsidRPr="00ED7B52">
        <w:rPr>
          <w:rFonts w:eastAsiaTheme="minorEastAsia"/>
          <w:rtl/>
        </w:rPr>
        <w:t>-</w:t>
      </w:r>
      <w:r w:rsidRPr="00ED7B52">
        <w:rPr>
          <w:rFonts w:eastAsiaTheme="minorEastAsia"/>
          <w:rtl/>
        </w:rPr>
        <w:tab/>
        <w:t>تلاحظ اللجنة الجهود التي تبذلها الدولة الطرف لمكافحة خطاب الكراهية العنصرية، بطرق منها تعيين منسق وطني لمناهضة التمييز والعنصرية ومنسّق وطني لمعاداة السامية. وتحيط علم</w:t>
      </w:r>
      <w:r>
        <w:rPr>
          <w:rFonts w:eastAsiaTheme="minorEastAsia"/>
          <w:rtl/>
        </w:rPr>
        <w:t xml:space="preserve">اً </w:t>
      </w:r>
      <w:r w:rsidRPr="00ED7B52">
        <w:rPr>
          <w:rFonts w:eastAsiaTheme="minorEastAsia"/>
          <w:rtl/>
        </w:rPr>
        <w:t>بإنشاء مكتب تلقي الشكاوى بشأن التمييز على الإنترنت، الذي أبرم اتفاقات لتحسين التعاون مع شركات وسائل التواصل الاجتماعي. بيد أن اللجنة تشعر بالقلق إزاء ما يلي</w:t>
      </w:r>
      <w:r w:rsidRPr="00ED7B52">
        <w:rPr>
          <w:rFonts w:eastAsiaTheme="minorEastAsia"/>
        </w:rPr>
        <w:t>:</w:t>
      </w:r>
      <w:r w:rsidRPr="00ED7B52">
        <w:rPr>
          <w:rFonts w:eastAsiaTheme="minorEastAsia"/>
          <w:rtl/>
        </w:rPr>
        <w:t xml:space="preserve"> </w:t>
      </w:r>
    </w:p>
    <w:p w14:paraId="38222BC2" w14:textId="3C910A2B" w:rsidR="00ED7B52" w:rsidRPr="00ED7B52" w:rsidRDefault="00ED7B52" w:rsidP="00ED7B52">
      <w:pPr>
        <w:pStyle w:val="SingleTxtGA"/>
        <w:rPr>
          <w:rFonts w:eastAsiaTheme="minorEastAsia"/>
          <w:lang w:val="ar-SA" w:eastAsia="zh-TW" w:bidi="en-GB"/>
        </w:rPr>
      </w:pPr>
      <w:r>
        <w:rPr>
          <w:rFonts w:eastAsiaTheme="minorEastAsia"/>
          <w:rtl/>
        </w:rPr>
        <w:tab/>
      </w:r>
      <w:r w:rsidRPr="00ED7B52">
        <w:rPr>
          <w:rFonts w:eastAsiaTheme="minorEastAsia"/>
          <w:rtl/>
        </w:rPr>
        <w:t>(أ)</w:t>
      </w:r>
      <w:r>
        <w:rPr>
          <w:rFonts w:eastAsiaTheme="minorEastAsia"/>
          <w:rtl/>
        </w:rPr>
        <w:tab/>
      </w:r>
      <w:r w:rsidRPr="00ED7B52">
        <w:rPr>
          <w:rFonts w:eastAsiaTheme="minorEastAsia"/>
          <w:rtl/>
        </w:rPr>
        <w:t>استمرار تعرض الأشخاص المحميين بالاتفاقية، بمن فيهم على سبيل المثال لا</w:t>
      </w:r>
      <w:r>
        <w:rPr>
          <w:rFonts w:eastAsiaTheme="minorEastAsia" w:hint="cs"/>
          <w:rtl/>
        </w:rPr>
        <w:t> </w:t>
      </w:r>
      <w:r w:rsidRPr="00ED7B52">
        <w:rPr>
          <w:rFonts w:eastAsiaTheme="minorEastAsia"/>
          <w:rtl/>
        </w:rPr>
        <w:t xml:space="preserve">الحصر، المنحدرون من أصل أفريقي والآسيويون والمنحدرون من أصل آسيوي وأفراد المجتمعات اليهودية والإسلامية والمهاجرون، لخطاب الكراهية وجرائم الكراهية؛ </w:t>
      </w:r>
    </w:p>
    <w:p w14:paraId="11F5888C" w14:textId="4D486A05" w:rsidR="00ED7B52" w:rsidRPr="00ED7B52" w:rsidRDefault="00ED7B52" w:rsidP="00ED7B52">
      <w:pPr>
        <w:pStyle w:val="SingleTxtGA"/>
        <w:rPr>
          <w:rFonts w:eastAsiaTheme="minorEastAsia"/>
          <w:lang w:val="ar-SA" w:eastAsia="zh-TW" w:bidi="en-GB"/>
        </w:rPr>
      </w:pPr>
      <w:r>
        <w:rPr>
          <w:rFonts w:eastAsiaTheme="minorEastAsia"/>
          <w:rtl/>
        </w:rPr>
        <w:tab/>
      </w:r>
      <w:r w:rsidRPr="00ED7B52">
        <w:rPr>
          <w:rFonts w:eastAsiaTheme="minorEastAsia"/>
          <w:rtl/>
        </w:rPr>
        <w:t>(ب)</w:t>
      </w:r>
      <w:r w:rsidRPr="00ED7B52">
        <w:rPr>
          <w:rFonts w:eastAsiaTheme="minorEastAsia"/>
          <w:rtl/>
        </w:rPr>
        <w:tab/>
        <w:t xml:space="preserve">بقاء عدد كبير من عبارات الكراهية منشورة على الإنترنت لأسابيع أو أشهر أو سنوات ما لم يبلّغ عنها إلى مكتب تلقي الشكاوى بشأن التمييز على الإنترنت؛ </w:t>
      </w:r>
    </w:p>
    <w:p w14:paraId="138418E3" w14:textId="6E182FB9" w:rsidR="00ED7B52" w:rsidRPr="00F55CCB" w:rsidRDefault="00ED7B52" w:rsidP="00ED7B52">
      <w:pPr>
        <w:pStyle w:val="SingleTxtGA"/>
        <w:rPr>
          <w:rFonts w:eastAsiaTheme="minorEastAsia"/>
          <w:lang w:val="en-US" w:eastAsia="zh-TW" w:bidi="en-GB"/>
        </w:rPr>
      </w:pPr>
      <w:r>
        <w:rPr>
          <w:rFonts w:eastAsiaTheme="minorEastAsia"/>
          <w:rtl/>
        </w:rPr>
        <w:tab/>
      </w:r>
      <w:r w:rsidRPr="00ED7B52">
        <w:rPr>
          <w:rFonts w:eastAsiaTheme="minorEastAsia"/>
          <w:rtl/>
        </w:rPr>
        <w:t>(ج)</w:t>
      </w:r>
      <w:r w:rsidRPr="00ED7B52">
        <w:rPr>
          <w:rFonts w:eastAsiaTheme="minorEastAsia"/>
          <w:rtl/>
        </w:rPr>
        <w:tab/>
        <w:t xml:space="preserve">خضوع النقاش السياسي بشأن الهجرة للاستقطاب وتسببه في تفاقم أشكال التمييز العنصري (المادة </w:t>
      </w:r>
      <w:r w:rsidRPr="00A00A38">
        <w:rPr>
          <w:rFonts w:eastAsiaTheme="minorEastAsia"/>
          <w:rtl/>
        </w:rPr>
        <w:t>4</w:t>
      </w:r>
      <w:r w:rsidRPr="00ED7B52">
        <w:rPr>
          <w:rFonts w:eastAsiaTheme="minorEastAsia"/>
          <w:rtl/>
        </w:rPr>
        <w:t>).</w:t>
      </w:r>
    </w:p>
    <w:p w14:paraId="4DBB6E84" w14:textId="6F663871" w:rsidR="00ED7B52" w:rsidRPr="00A00A38" w:rsidRDefault="00ED7B52" w:rsidP="00ED7B52">
      <w:pPr>
        <w:pStyle w:val="SingleTxtGA"/>
        <w:rPr>
          <w:rFonts w:eastAsiaTheme="minorEastAsia"/>
          <w:bCs/>
          <w:lang w:val="ar-SA" w:eastAsia="zh-TW" w:bidi="en-GB"/>
        </w:rPr>
      </w:pPr>
      <w:r w:rsidRPr="00A00A38">
        <w:rPr>
          <w:rFonts w:eastAsiaTheme="minorEastAsia"/>
          <w:rtl/>
        </w:rPr>
        <w:t>12</w:t>
      </w:r>
      <w:r w:rsidRPr="00ED7B52">
        <w:rPr>
          <w:rFonts w:eastAsiaTheme="minorEastAsia"/>
          <w:rtl/>
        </w:rPr>
        <w:t>-</w:t>
      </w:r>
      <w:r w:rsidRPr="00ED7B52">
        <w:rPr>
          <w:rFonts w:eastAsiaTheme="minorEastAsia"/>
          <w:rtl/>
        </w:rPr>
        <w:tab/>
      </w:r>
      <w:r w:rsidRPr="00A00A38">
        <w:rPr>
          <w:rFonts w:eastAsiaTheme="minorEastAsia"/>
          <w:bCs/>
          <w:rtl/>
        </w:rPr>
        <w:t>وتوصي اللجنة الدولة الطرف باتخاذ التدابير اللازمة لزيادة الوعي بمسألة حظر خطاب الكراهية، بما في ذلك على شبكة الإنترنت، بين السكان، ولا سيما بين الضحايا المحتملين لخطاب الكراهية، وبسبل الانتصاف المتاحة لهم، بما في ذلك عن طريق مكتب تلقي الشكاوى بشأن التمييز على الإنترنت.</w:t>
      </w:r>
      <w:r w:rsidRPr="00F15F07">
        <w:rPr>
          <w:rFonts w:eastAsiaTheme="minorEastAsia"/>
          <w:bCs/>
          <w:rtl/>
        </w:rPr>
        <w:t xml:space="preserve"> </w:t>
      </w:r>
      <w:r w:rsidRPr="00A00A38">
        <w:rPr>
          <w:rFonts w:eastAsiaTheme="minorEastAsia"/>
          <w:bCs/>
          <w:rtl/>
        </w:rPr>
        <w:t>وتوصي الدولة الطرف أيضاً بما يلي:</w:t>
      </w:r>
    </w:p>
    <w:p w14:paraId="2A8BA4AE" w14:textId="30EBCF08" w:rsidR="00ED7B52" w:rsidRPr="00A00A38" w:rsidRDefault="00ED7B52" w:rsidP="00ED7B52">
      <w:pPr>
        <w:pStyle w:val="SingleTxtGA"/>
        <w:rPr>
          <w:rFonts w:eastAsiaTheme="minorEastAsia"/>
          <w:bCs/>
          <w:lang w:val="ar-SA" w:eastAsia="zh-TW" w:bidi="en-GB"/>
        </w:rPr>
      </w:pPr>
      <w:r>
        <w:rPr>
          <w:rFonts w:eastAsiaTheme="minorEastAsia"/>
          <w:rtl/>
        </w:rPr>
        <w:tab/>
      </w:r>
      <w:r w:rsidRPr="00ED7B52">
        <w:rPr>
          <w:rFonts w:eastAsiaTheme="minorEastAsia"/>
          <w:rtl/>
        </w:rPr>
        <w:t>(أ)</w:t>
      </w:r>
      <w:r w:rsidRPr="00ED7B52">
        <w:rPr>
          <w:rFonts w:eastAsiaTheme="minorEastAsia"/>
          <w:rtl/>
        </w:rPr>
        <w:tab/>
      </w:r>
      <w:r w:rsidRPr="00A00A38">
        <w:rPr>
          <w:rFonts w:eastAsiaTheme="minorEastAsia"/>
          <w:bCs/>
          <w:rtl/>
        </w:rPr>
        <w:t>الإثبات أنه بإمكان مكتب تلقي الشكاوى بشأن التمييز على الإنترنت أن يحدّد بشكل استباقي وبحكم منصبه المحتوى التمييزي عبر الإنترنت وأن يطلب بإزالته؛</w:t>
      </w:r>
    </w:p>
    <w:p w14:paraId="4A39822C" w14:textId="77DECA3A" w:rsidR="00ED7B52" w:rsidRPr="00A00A38" w:rsidRDefault="00ED7B52" w:rsidP="00ED7B52">
      <w:pPr>
        <w:pStyle w:val="SingleTxtGA"/>
        <w:rPr>
          <w:rFonts w:eastAsiaTheme="minorEastAsia"/>
          <w:bCs/>
          <w:lang w:val="ar-SA" w:eastAsia="zh-TW" w:bidi="en-GB"/>
        </w:rPr>
      </w:pPr>
      <w:r>
        <w:rPr>
          <w:rFonts w:eastAsiaTheme="minorEastAsia"/>
          <w:rtl/>
        </w:rPr>
        <w:tab/>
      </w:r>
      <w:r w:rsidRPr="00ED7B52">
        <w:rPr>
          <w:rFonts w:eastAsiaTheme="minorEastAsia"/>
          <w:rtl/>
        </w:rPr>
        <w:t>(ب)</w:t>
      </w:r>
      <w:r w:rsidRPr="00ED7B52">
        <w:rPr>
          <w:rFonts w:eastAsiaTheme="minorEastAsia"/>
          <w:rtl/>
        </w:rPr>
        <w:tab/>
      </w:r>
      <w:r w:rsidRPr="00A00A38">
        <w:rPr>
          <w:rFonts w:eastAsiaTheme="minorEastAsia"/>
          <w:bCs/>
          <w:rtl/>
        </w:rPr>
        <w:t>ضمان أن يعمل مكتب تلقي الشكاوى بلغات أخرى، إلى جانب الهولندية؛</w:t>
      </w:r>
    </w:p>
    <w:p w14:paraId="1B43BF75" w14:textId="61724570" w:rsidR="00ED7B52" w:rsidRPr="00A00A38" w:rsidRDefault="00ED7B52" w:rsidP="00ED7B52">
      <w:pPr>
        <w:pStyle w:val="SingleTxtGA"/>
        <w:rPr>
          <w:rFonts w:eastAsiaTheme="minorEastAsia"/>
          <w:b/>
          <w:lang w:val="ar-SA" w:eastAsia="zh-TW" w:bidi="en-GB"/>
        </w:rPr>
      </w:pPr>
      <w:r>
        <w:rPr>
          <w:rFonts w:eastAsiaTheme="minorEastAsia"/>
          <w:rtl/>
        </w:rPr>
        <w:tab/>
      </w:r>
      <w:r w:rsidRPr="00ED7B52">
        <w:rPr>
          <w:rFonts w:eastAsiaTheme="minorEastAsia"/>
          <w:rtl/>
        </w:rPr>
        <w:t>(ج)</w:t>
      </w:r>
      <w:r w:rsidRPr="00ED7B52">
        <w:rPr>
          <w:rFonts w:eastAsiaTheme="minorEastAsia"/>
          <w:rtl/>
        </w:rPr>
        <w:tab/>
      </w:r>
      <w:r w:rsidRPr="00A00A38">
        <w:rPr>
          <w:rFonts w:eastAsiaTheme="minorEastAsia"/>
          <w:bCs/>
          <w:rtl/>
        </w:rPr>
        <w:t>ضمان التنفيذ الفعال للاتفاقات المبرمة بين شركات وسائل التواصل الاجتماعي ومكتب تلقي الشكاوى بشأن التمييز على الإنترنت، وتقييم تأثيرها على نشر القوالب النمطية العنصرية والمواقف التمييزية؛</w:t>
      </w:r>
    </w:p>
    <w:p w14:paraId="1114AD72" w14:textId="3C04DB51" w:rsidR="00ED7B52" w:rsidRPr="00F55CCB" w:rsidRDefault="00ED7B52" w:rsidP="00ED7B52">
      <w:pPr>
        <w:pStyle w:val="SingleTxtGA"/>
        <w:rPr>
          <w:rFonts w:eastAsiaTheme="minorEastAsia"/>
          <w:bCs/>
          <w:spacing w:val="-4"/>
        </w:rPr>
      </w:pPr>
      <w:r w:rsidRPr="00F55CCB">
        <w:rPr>
          <w:rFonts w:eastAsiaTheme="minorEastAsia"/>
          <w:spacing w:val="-4"/>
          <w:rtl/>
        </w:rPr>
        <w:tab/>
        <w:t>(د)</w:t>
      </w:r>
      <w:r w:rsidRPr="00F55CCB">
        <w:rPr>
          <w:rFonts w:eastAsiaTheme="minorEastAsia"/>
          <w:spacing w:val="-4"/>
          <w:rtl/>
        </w:rPr>
        <w:tab/>
      </w:r>
      <w:r w:rsidRPr="00F55CCB">
        <w:rPr>
          <w:rFonts w:eastAsiaTheme="minorEastAsia"/>
          <w:bCs/>
          <w:spacing w:val="-4"/>
          <w:rtl/>
        </w:rPr>
        <w:t>النأي بنفسها عن الخطاب السياسي الذي يتناول الهجرة ويسفر عن التمييز العنصري، وضمان التحقيق الشامل في عبارات الكراهية التي يستخدمها السياسيون ومعاقبتهم كما</w:t>
      </w:r>
      <w:r w:rsidR="00F15F07" w:rsidRPr="00F55CCB">
        <w:rPr>
          <w:rFonts w:eastAsiaTheme="minorEastAsia" w:hint="cs"/>
          <w:bCs/>
          <w:spacing w:val="-4"/>
          <w:rtl/>
        </w:rPr>
        <w:t> </w:t>
      </w:r>
      <w:r w:rsidRPr="00F55CCB">
        <w:rPr>
          <w:rFonts w:eastAsiaTheme="minorEastAsia"/>
          <w:bCs/>
          <w:spacing w:val="-4"/>
          <w:rtl/>
        </w:rPr>
        <w:t>يجب.</w:t>
      </w:r>
    </w:p>
    <w:p w14:paraId="614E9BE5" w14:textId="77777777" w:rsidR="00ED7B52" w:rsidRPr="00ED7B52" w:rsidRDefault="00ED7B52" w:rsidP="00ED7B52">
      <w:pPr>
        <w:pStyle w:val="H23GA"/>
        <w:rPr>
          <w:lang w:val="ar-SA" w:eastAsia="zh-TW" w:bidi="en-GB"/>
        </w:rPr>
      </w:pPr>
      <w:r w:rsidRPr="00ED7B52">
        <w:rPr>
          <w:rtl/>
        </w:rPr>
        <w:lastRenderedPageBreak/>
        <w:tab/>
      </w:r>
      <w:r w:rsidRPr="00ED7B52">
        <w:rPr>
          <w:rtl/>
        </w:rPr>
        <w:tab/>
        <w:t>العنصرية في الرياضة</w:t>
      </w:r>
    </w:p>
    <w:p w14:paraId="1FBF83D9" w14:textId="77777777" w:rsidR="00ED7B52" w:rsidRPr="00ED7B52" w:rsidRDefault="00ED7B52" w:rsidP="00ED7B52">
      <w:pPr>
        <w:pStyle w:val="SingleTxtGA"/>
        <w:rPr>
          <w:rFonts w:eastAsiaTheme="minorEastAsia"/>
          <w:lang w:val="ar-SA" w:eastAsia="zh-TW" w:bidi="en-GB"/>
        </w:rPr>
      </w:pPr>
      <w:r w:rsidRPr="00A00A38">
        <w:rPr>
          <w:rFonts w:eastAsiaTheme="minorEastAsia"/>
          <w:rtl/>
        </w:rPr>
        <w:t>13</w:t>
      </w:r>
      <w:r w:rsidRPr="00ED7B52">
        <w:rPr>
          <w:rFonts w:eastAsiaTheme="minorEastAsia"/>
          <w:rtl/>
        </w:rPr>
        <w:t>-</w:t>
      </w:r>
      <w:r w:rsidRPr="00ED7B52">
        <w:rPr>
          <w:rFonts w:eastAsiaTheme="minorEastAsia"/>
          <w:rtl/>
        </w:rPr>
        <w:tab/>
        <w:t xml:space="preserve">تلاحظ اللجنة أن الدولة الطرف نفّذت عدة مشاريع لمكافحة خطاب الكراهية وجرائم الكراهية في كرة القدم. غير أنه يساورها القلق إزاء تزايد حالات الإساءة العنصرية في كرة القدم في الدولة الطرف خلال السنوات الماضية (المادة </w:t>
      </w:r>
      <w:r w:rsidRPr="00A00A38">
        <w:rPr>
          <w:rFonts w:eastAsiaTheme="minorEastAsia"/>
          <w:rtl/>
        </w:rPr>
        <w:t>4</w:t>
      </w:r>
      <w:r w:rsidRPr="00ED7B52">
        <w:rPr>
          <w:rFonts w:eastAsiaTheme="minorEastAsia"/>
          <w:rtl/>
        </w:rPr>
        <w:t>).</w:t>
      </w:r>
    </w:p>
    <w:p w14:paraId="1131E5A4" w14:textId="1BE83FC0" w:rsidR="00ED7B52" w:rsidRPr="00A00A38" w:rsidRDefault="00ED7B52" w:rsidP="00ED7B52">
      <w:pPr>
        <w:pStyle w:val="SingleTxtGA"/>
        <w:rPr>
          <w:rFonts w:eastAsiaTheme="minorEastAsia"/>
          <w:bCs/>
          <w:lang w:val="ar-SA" w:eastAsia="zh-TW" w:bidi="en-GB"/>
        </w:rPr>
      </w:pPr>
      <w:r w:rsidRPr="00A00A38">
        <w:rPr>
          <w:rFonts w:eastAsiaTheme="minorEastAsia"/>
          <w:rtl/>
        </w:rPr>
        <w:t>14</w:t>
      </w:r>
      <w:r w:rsidRPr="00ED7B52">
        <w:rPr>
          <w:rFonts w:eastAsiaTheme="minorEastAsia"/>
          <w:rtl/>
        </w:rPr>
        <w:t>-</w:t>
      </w:r>
      <w:r w:rsidRPr="00ED7B52">
        <w:rPr>
          <w:rFonts w:eastAsiaTheme="minorEastAsia"/>
          <w:rtl/>
        </w:rPr>
        <w:tab/>
      </w:r>
      <w:r w:rsidRPr="00A00A38">
        <w:rPr>
          <w:rFonts w:eastAsiaTheme="minorEastAsia"/>
          <w:bCs/>
          <w:rtl/>
        </w:rPr>
        <w:t>وتوصي اللجنة الدولة الطرف بأن تكفل تنفيذ مبادراتها الرامية إلى مكافحة التمييز العنصري في كرة القدم تنفيذاً كاملاً وتقييم أثرها.</w:t>
      </w:r>
      <w:r w:rsidRPr="00F15F07">
        <w:rPr>
          <w:rFonts w:eastAsiaTheme="minorEastAsia"/>
          <w:bCs/>
          <w:rtl/>
        </w:rPr>
        <w:t xml:space="preserve"> </w:t>
      </w:r>
      <w:r w:rsidRPr="00A00A38">
        <w:rPr>
          <w:rFonts w:eastAsiaTheme="minorEastAsia"/>
          <w:bCs/>
          <w:rtl/>
        </w:rPr>
        <w:t>كما توصيها بوضع برامج تثقيفية قوية ومجدية من أجل التصدي للتنميط والتمييز العنصريين داخل مجتمع كرة القدم وداخل جميع شرائح المجتمع المعنية بهذه المشكلة بصورة مباشرة أو غير مباشرة.</w:t>
      </w:r>
    </w:p>
    <w:p w14:paraId="424374D5" w14:textId="77777777" w:rsidR="00ED7B52" w:rsidRPr="00ED7B52" w:rsidRDefault="00ED7B52" w:rsidP="00ED7B52">
      <w:pPr>
        <w:pStyle w:val="H23GA"/>
        <w:rPr>
          <w:lang w:val="ar-SA" w:eastAsia="zh-TW" w:bidi="en-GB"/>
        </w:rPr>
      </w:pPr>
      <w:r w:rsidRPr="00ED7B52">
        <w:rPr>
          <w:rtl/>
        </w:rPr>
        <w:tab/>
      </w:r>
      <w:r w:rsidRPr="00ED7B52">
        <w:rPr>
          <w:rtl/>
        </w:rPr>
        <w:tab/>
        <w:t xml:space="preserve">التنميط العرقي </w:t>
      </w:r>
    </w:p>
    <w:p w14:paraId="30E5E852" w14:textId="6376CDD6" w:rsidR="00ED7B52" w:rsidRPr="00ED7B52" w:rsidRDefault="00ED7B52" w:rsidP="00ED7B52">
      <w:pPr>
        <w:pStyle w:val="SingleTxtGA"/>
        <w:rPr>
          <w:rFonts w:eastAsiaTheme="minorEastAsia"/>
          <w:lang w:val="ar-SA" w:eastAsia="zh-TW" w:bidi="en-GB"/>
        </w:rPr>
      </w:pPr>
      <w:r w:rsidRPr="00A00A38">
        <w:rPr>
          <w:rFonts w:eastAsiaTheme="minorEastAsia"/>
          <w:rtl/>
        </w:rPr>
        <w:t>15</w:t>
      </w:r>
      <w:r>
        <w:rPr>
          <w:rFonts w:eastAsiaTheme="minorEastAsia"/>
          <w:rtl/>
        </w:rPr>
        <w:t>-</w:t>
      </w:r>
      <w:r>
        <w:rPr>
          <w:rFonts w:eastAsiaTheme="minorEastAsia"/>
          <w:rtl/>
        </w:rPr>
        <w:tab/>
      </w:r>
      <w:r w:rsidRPr="00ED7B52">
        <w:rPr>
          <w:rFonts w:eastAsiaTheme="minorEastAsia"/>
          <w:rtl/>
        </w:rPr>
        <w:t>يساور اللجنة القلق إزاء التقارير التي تفيد باستمرار تعرض الأفراد للتنميط على يد الشرطة على أساس عرقهم ونسبهم ولون بشرتهم، عند مراقبة حركة المرور، وتفتيش الهوية، والتفتيش الوقائي، و</w:t>
      </w:r>
      <w:r w:rsidRPr="00ED7B52">
        <w:rPr>
          <w:rFonts w:eastAsiaTheme="minorEastAsia"/>
          <w:rtl/>
          <w:lang w:val="fr-CH"/>
        </w:rPr>
        <w:t>عند</w:t>
      </w:r>
      <w:r>
        <w:rPr>
          <w:rFonts w:eastAsiaTheme="minorEastAsia" w:hint="cs"/>
          <w:rtl/>
          <w:lang w:val="fr-CH"/>
        </w:rPr>
        <w:t> </w:t>
      </w:r>
      <w:r w:rsidRPr="00ED7B52">
        <w:rPr>
          <w:rFonts w:eastAsiaTheme="minorEastAsia"/>
          <w:rtl/>
          <w:lang w:val="fr-CH"/>
        </w:rPr>
        <w:t>الحواجز</w:t>
      </w:r>
      <w:r w:rsidRPr="00ED7B52">
        <w:rPr>
          <w:rFonts w:eastAsiaTheme="minorEastAsia"/>
          <w:rtl/>
        </w:rPr>
        <w:t xml:space="preserve"> الحدودية. كما يساورها القلق لأن مشكلة التنميط العنصري لا يُعترف بها كمشكلة </w:t>
      </w:r>
      <w:r w:rsidRPr="00ED7B52">
        <w:rPr>
          <w:rFonts w:eastAsiaTheme="minorEastAsia"/>
          <w:rtl/>
          <w:lang w:val="fr-CH"/>
        </w:rPr>
        <w:t>بنيوي</w:t>
      </w:r>
      <w:r w:rsidRPr="00ED7B52">
        <w:rPr>
          <w:rFonts w:eastAsiaTheme="minorEastAsia"/>
          <w:rtl/>
        </w:rPr>
        <w:t>ة</w:t>
      </w:r>
      <w:r>
        <w:rPr>
          <w:rFonts w:eastAsiaTheme="minorEastAsia" w:hint="cs"/>
          <w:rtl/>
        </w:rPr>
        <w:t> </w:t>
      </w:r>
      <w:r w:rsidRPr="00ED7B52">
        <w:rPr>
          <w:rFonts w:eastAsiaTheme="minorEastAsia"/>
          <w:rtl/>
        </w:rPr>
        <w:t xml:space="preserve">(المادة </w:t>
      </w:r>
      <w:r w:rsidRPr="00A00A38">
        <w:rPr>
          <w:rFonts w:eastAsiaTheme="minorEastAsia"/>
          <w:rtl/>
        </w:rPr>
        <w:t>4</w:t>
      </w:r>
      <w:r w:rsidRPr="00ED7B52">
        <w:rPr>
          <w:rFonts w:eastAsiaTheme="minorEastAsia"/>
          <w:rtl/>
        </w:rPr>
        <w:t>).</w:t>
      </w:r>
    </w:p>
    <w:p w14:paraId="7F0E5C90" w14:textId="11514173" w:rsidR="00ED7B52" w:rsidRPr="00A00A38" w:rsidRDefault="00ED7B52" w:rsidP="00ED7B52">
      <w:pPr>
        <w:pStyle w:val="SingleTxtGA"/>
        <w:rPr>
          <w:rFonts w:eastAsiaTheme="minorEastAsia"/>
          <w:b/>
          <w:bCs/>
          <w:lang w:val="ar-SA" w:eastAsia="zh-TW" w:bidi="en-GB"/>
        </w:rPr>
      </w:pPr>
      <w:r w:rsidRPr="00A00A38">
        <w:rPr>
          <w:rFonts w:eastAsiaTheme="minorEastAsia"/>
          <w:rtl/>
        </w:rPr>
        <w:t>16</w:t>
      </w:r>
      <w:r w:rsidRPr="00ED7B52">
        <w:rPr>
          <w:rFonts w:eastAsiaTheme="minorEastAsia"/>
          <w:rtl/>
        </w:rPr>
        <w:t>-</w:t>
      </w:r>
      <w:r w:rsidRPr="00ED7B52">
        <w:rPr>
          <w:rFonts w:eastAsiaTheme="minorEastAsia"/>
          <w:rtl/>
        </w:rPr>
        <w:tab/>
      </w:r>
      <w:r w:rsidRPr="00F15F07">
        <w:rPr>
          <w:rFonts w:eastAsiaTheme="minorEastAsia"/>
          <w:b/>
          <w:bCs/>
          <w:rtl/>
        </w:rPr>
        <w:t>و</w:t>
      </w:r>
      <w:r w:rsidRPr="00A00A38">
        <w:rPr>
          <w:rFonts w:eastAsiaTheme="minorEastAsia"/>
          <w:b/>
          <w:bCs/>
          <w:rtl/>
        </w:rPr>
        <w:t>توصي اللجنة، في ضوء توصيتها العامة رقم 36(2020)، الدولة الطرف بأن تُضمِّن تشريعاتها حظراً صريحاً للتنميط العنصري.</w:t>
      </w:r>
      <w:r w:rsidRPr="00F15F07">
        <w:rPr>
          <w:rFonts w:eastAsiaTheme="minorEastAsia"/>
          <w:b/>
          <w:bCs/>
          <w:rtl/>
        </w:rPr>
        <w:t xml:space="preserve"> </w:t>
      </w:r>
      <w:r w:rsidRPr="00A00A38">
        <w:rPr>
          <w:rFonts w:eastAsiaTheme="minorEastAsia"/>
          <w:b/>
          <w:bCs/>
          <w:rtl/>
        </w:rPr>
        <w:t>وتوصيها أيضاً باتخاذ تدابير لضمان تيسير جميع الشكاوى المتعلقة بالتنميط العنصري وتسجيلها ومتابعتها.</w:t>
      </w:r>
      <w:r w:rsidRPr="00F15F07">
        <w:rPr>
          <w:rFonts w:eastAsiaTheme="minorEastAsia"/>
          <w:b/>
          <w:bCs/>
          <w:rtl/>
        </w:rPr>
        <w:t xml:space="preserve"> </w:t>
      </w:r>
      <w:r w:rsidRPr="00A00A38">
        <w:rPr>
          <w:rFonts w:eastAsiaTheme="minorEastAsia"/>
          <w:b/>
          <w:bCs/>
          <w:rtl/>
        </w:rPr>
        <w:t>وتوصيها كذلك بتدريب أجهزة شرطتها على معالجة الشكاوى المتعلقة تحديداً بالتنميط العرقي أو العنصري.</w:t>
      </w:r>
      <w:r w:rsidRPr="00F15F07">
        <w:rPr>
          <w:rFonts w:eastAsiaTheme="minorEastAsia"/>
          <w:b/>
          <w:bCs/>
          <w:rtl/>
        </w:rPr>
        <w:t xml:space="preserve"> </w:t>
      </w:r>
      <w:r w:rsidRPr="00A00A38">
        <w:rPr>
          <w:rFonts w:eastAsiaTheme="minorEastAsia"/>
          <w:b/>
          <w:bCs/>
          <w:rtl/>
        </w:rPr>
        <w:t>كما توصي اللجنة الدولة الطرف بأن تقوم برصد وجمع البيانات لتقييم أثر جميع تدابير مكافحة التنميط العنصري.</w:t>
      </w:r>
      <w:r w:rsidRPr="00F15F07">
        <w:rPr>
          <w:rFonts w:eastAsiaTheme="minorEastAsia"/>
          <w:b/>
          <w:bCs/>
          <w:rtl/>
        </w:rPr>
        <w:t xml:space="preserve"> </w:t>
      </w:r>
    </w:p>
    <w:p w14:paraId="65020B27" w14:textId="77777777" w:rsidR="00ED7B52" w:rsidRPr="00ED7B52" w:rsidRDefault="00ED7B52" w:rsidP="00ED7B52">
      <w:pPr>
        <w:pStyle w:val="H23GA"/>
        <w:rPr>
          <w:lang w:val="ar-SA" w:eastAsia="zh-TW" w:bidi="en-GB"/>
        </w:rPr>
      </w:pPr>
      <w:r w:rsidRPr="00ED7B52">
        <w:rPr>
          <w:rtl/>
        </w:rPr>
        <w:tab/>
      </w:r>
      <w:r w:rsidRPr="00ED7B52">
        <w:rPr>
          <w:rtl/>
        </w:rPr>
        <w:tab/>
        <w:t xml:space="preserve">النظر في الدوافع العنصرية في إطار القانون الجنائي </w:t>
      </w:r>
    </w:p>
    <w:p w14:paraId="1A72C757" w14:textId="00A34173" w:rsidR="00ED7B52" w:rsidRPr="00ED7B52" w:rsidRDefault="00ED7B52" w:rsidP="00ED7B52">
      <w:pPr>
        <w:pStyle w:val="SingleTxtGA"/>
        <w:rPr>
          <w:rFonts w:eastAsiaTheme="minorEastAsia"/>
          <w:lang w:val="ar-SA" w:eastAsia="zh-TW" w:bidi="en-GB"/>
        </w:rPr>
      </w:pPr>
      <w:r w:rsidRPr="00A00A38">
        <w:rPr>
          <w:rFonts w:eastAsiaTheme="minorEastAsia"/>
          <w:rtl/>
        </w:rPr>
        <w:t>17</w:t>
      </w:r>
      <w:r w:rsidRPr="00ED7B52">
        <w:rPr>
          <w:rFonts w:eastAsiaTheme="minorEastAsia"/>
          <w:rtl/>
        </w:rPr>
        <w:t>-</w:t>
      </w:r>
      <w:r w:rsidRPr="00ED7B52">
        <w:rPr>
          <w:rFonts w:eastAsiaTheme="minorEastAsia"/>
          <w:rtl/>
        </w:rPr>
        <w:tab/>
        <w:t>في حين تشير اللجنة إلى أن مشروع قانون ينص على التمييز بوصفه ظرف</w:t>
      </w:r>
      <w:r>
        <w:rPr>
          <w:rFonts w:eastAsiaTheme="minorEastAsia"/>
          <w:rtl/>
        </w:rPr>
        <w:t xml:space="preserve">اً </w:t>
      </w:r>
      <w:r w:rsidRPr="00ED7B52">
        <w:rPr>
          <w:rFonts w:eastAsiaTheme="minorEastAsia"/>
          <w:rtl/>
        </w:rPr>
        <w:t>مشدد</w:t>
      </w:r>
      <w:r>
        <w:rPr>
          <w:rFonts w:eastAsiaTheme="minorEastAsia"/>
          <w:rtl/>
        </w:rPr>
        <w:t xml:space="preserve">اً </w:t>
      </w:r>
      <w:r w:rsidRPr="00ED7B52">
        <w:rPr>
          <w:rFonts w:eastAsiaTheme="minorEastAsia"/>
          <w:rtl/>
        </w:rPr>
        <w:t xml:space="preserve">لجميع الجرائم قُدم إلى </w:t>
      </w:r>
      <w:proofErr w:type="gramStart"/>
      <w:r w:rsidRPr="00ED7B52">
        <w:rPr>
          <w:rFonts w:eastAsiaTheme="minorEastAsia"/>
          <w:rtl/>
        </w:rPr>
        <w:t>البرلمان</w:t>
      </w:r>
      <w:proofErr w:type="gramEnd"/>
      <w:r w:rsidRPr="00ED7B52">
        <w:rPr>
          <w:rFonts w:eastAsiaTheme="minorEastAsia"/>
          <w:rtl/>
        </w:rPr>
        <w:t xml:space="preserve"> في كانون الثاني/يناير </w:t>
      </w:r>
      <w:r w:rsidRPr="00A00A38">
        <w:rPr>
          <w:rFonts w:eastAsiaTheme="minorEastAsia"/>
          <w:rtl/>
        </w:rPr>
        <w:t>2021</w:t>
      </w:r>
      <w:r w:rsidRPr="00ED7B52">
        <w:rPr>
          <w:rFonts w:eastAsiaTheme="minorEastAsia"/>
          <w:rtl/>
        </w:rPr>
        <w:t xml:space="preserve"> لكنه لم يعتمد بعد، يساورها القلق لأن الدافع العنصري لا يشكل حالي</w:t>
      </w:r>
      <w:r>
        <w:rPr>
          <w:rFonts w:eastAsiaTheme="minorEastAsia"/>
          <w:rtl/>
        </w:rPr>
        <w:t xml:space="preserve">اً، </w:t>
      </w:r>
      <w:r w:rsidRPr="00ED7B52">
        <w:rPr>
          <w:rFonts w:eastAsiaTheme="minorEastAsia"/>
          <w:rtl/>
        </w:rPr>
        <w:t>بموجب القانون، عامل</w:t>
      </w:r>
      <w:r>
        <w:rPr>
          <w:rFonts w:eastAsiaTheme="minorEastAsia"/>
          <w:rtl/>
        </w:rPr>
        <w:t xml:space="preserve">اً </w:t>
      </w:r>
      <w:r w:rsidRPr="00ED7B52">
        <w:rPr>
          <w:rFonts w:eastAsiaTheme="minorEastAsia"/>
          <w:rtl/>
        </w:rPr>
        <w:t>مشدد</w:t>
      </w:r>
      <w:r>
        <w:rPr>
          <w:rFonts w:eastAsiaTheme="minorEastAsia"/>
          <w:rtl/>
        </w:rPr>
        <w:t xml:space="preserve">اً </w:t>
      </w:r>
      <w:r w:rsidRPr="00ED7B52">
        <w:rPr>
          <w:rFonts w:eastAsiaTheme="minorEastAsia"/>
          <w:rtl/>
        </w:rPr>
        <w:t xml:space="preserve">للجرائم الجنائية (المادة </w:t>
      </w:r>
      <w:r w:rsidRPr="00A00A38">
        <w:rPr>
          <w:rFonts w:eastAsiaTheme="minorEastAsia"/>
          <w:rtl/>
        </w:rPr>
        <w:t>4</w:t>
      </w:r>
      <w:r w:rsidRPr="00ED7B52">
        <w:rPr>
          <w:rFonts w:eastAsiaTheme="minorEastAsia"/>
          <w:rtl/>
        </w:rPr>
        <w:t>).</w:t>
      </w:r>
    </w:p>
    <w:p w14:paraId="405604DC" w14:textId="4BC50B3F" w:rsidR="00ED7B52" w:rsidRPr="00A00A38" w:rsidRDefault="00ED7B52" w:rsidP="00ED7B52">
      <w:pPr>
        <w:pStyle w:val="SingleTxtGA"/>
        <w:rPr>
          <w:rFonts w:eastAsiaTheme="minorEastAsia"/>
          <w:bCs/>
          <w:lang w:val="ar-SA" w:eastAsia="zh-TW" w:bidi="en-GB"/>
        </w:rPr>
      </w:pPr>
      <w:r w:rsidRPr="00A00A38">
        <w:rPr>
          <w:rFonts w:eastAsiaTheme="minorEastAsia"/>
          <w:rtl/>
        </w:rPr>
        <w:t>18</w:t>
      </w:r>
      <w:r>
        <w:rPr>
          <w:rFonts w:eastAsiaTheme="minorEastAsia"/>
          <w:rtl/>
        </w:rPr>
        <w:t>-</w:t>
      </w:r>
      <w:r>
        <w:rPr>
          <w:rFonts w:eastAsiaTheme="minorEastAsia"/>
          <w:rtl/>
        </w:rPr>
        <w:tab/>
      </w:r>
      <w:r w:rsidRPr="00A00A38">
        <w:rPr>
          <w:rFonts w:eastAsiaTheme="minorEastAsia"/>
          <w:bCs/>
          <w:rtl/>
        </w:rPr>
        <w:t>وتوصي اللجنة الدولة الطرف بأن تكفل من خلال تشريعاتها الجنائية أخذ الدافع العنصري بعين الاعتبار بوصفه ظرفاً مشدداً للجرائم الجنائية وبأن تتخذ التدابير لضمان قيام الشرطة ومكتب الادعاء العام بالتحقيق في الدوافع التمييزية أو السياق التمييزي للجريمة وتسجيلها، بما في ذلك عن طريق تحديث المبادئ التوجيهية وتيسير سبل تسجيل هذه الدوافع وتدريب موظفي إنفاذ القانون.</w:t>
      </w:r>
    </w:p>
    <w:p w14:paraId="3F0544DD" w14:textId="77777777" w:rsidR="00ED7B52" w:rsidRPr="00ED7B52" w:rsidRDefault="00ED7B52" w:rsidP="00ED7B52">
      <w:pPr>
        <w:pStyle w:val="H23GA"/>
        <w:rPr>
          <w:lang w:val="en-US" w:eastAsia="zh-TW" w:bidi="en-GB"/>
        </w:rPr>
      </w:pPr>
      <w:r w:rsidRPr="00ED7B52">
        <w:rPr>
          <w:rtl/>
        </w:rPr>
        <w:tab/>
      </w:r>
      <w:r w:rsidRPr="00ED7B52">
        <w:rPr>
          <w:rtl/>
        </w:rPr>
        <w:tab/>
        <w:t>التمييز في التعليم</w:t>
      </w:r>
    </w:p>
    <w:p w14:paraId="482F9D10" w14:textId="6C7CBCF7" w:rsidR="00ED7B52" w:rsidRPr="00ED7B52" w:rsidRDefault="00ED7B52" w:rsidP="00ED7B52">
      <w:pPr>
        <w:pStyle w:val="SingleTxtGA"/>
        <w:rPr>
          <w:rFonts w:eastAsiaTheme="minorEastAsia"/>
          <w:lang w:val="ar-SA" w:eastAsia="zh-TW" w:bidi="en-GB"/>
        </w:rPr>
      </w:pPr>
      <w:r w:rsidRPr="00A00A38">
        <w:rPr>
          <w:rFonts w:eastAsiaTheme="minorEastAsia"/>
          <w:rtl/>
        </w:rPr>
        <w:t>19</w:t>
      </w:r>
      <w:r w:rsidRPr="00ED7B52">
        <w:rPr>
          <w:rFonts w:eastAsiaTheme="minorEastAsia"/>
          <w:rtl/>
        </w:rPr>
        <w:t>-</w:t>
      </w:r>
      <w:r w:rsidRPr="00ED7B52">
        <w:rPr>
          <w:rFonts w:eastAsiaTheme="minorEastAsia"/>
          <w:rtl/>
        </w:rPr>
        <w:tab/>
        <w:t>يساور اللجنة القلق إزاء التقارير التي تشير إلى تعرض الطلاب المهاجرين والمنتمين إلى الأقليات الإثنية إلى التمييز، بما في ذلك التقارير التي تتحدث عن احتمال أن يحصلوا على تقييم ضعيف من مدرسيهم لقبولهم في المدارس الثانوية مقارنة بما كانوا سيحصلون عليه على أساس نتائجهم المدرسية وحدها. ويساور اللجنة القلق أيض</w:t>
      </w:r>
      <w:r>
        <w:rPr>
          <w:rFonts w:eastAsiaTheme="minorEastAsia"/>
          <w:rtl/>
        </w:rPr>
        <w:t xml:space="preserve">اً </w:t>
      </w:r>
      <w:r w:rsidRPr="00ED7B52">
        <w:rPr>
          <w:rFonts w:eastAsiaTheme="minorEastAsia"/>
          <w:rtl/>
        </w:rPr>
        <w:t>إزاء ما يلي</w:t>
      </w:r>
      <w:r w:rsidRPr="00ED7B52">
        <w:rPr>
          <w:rFonts w:eastAsiaTheme="minorEastAsia"/>
        </w:rPr>
        <w:t>:</w:t>
      </w:r>
      <w:r w:rsidRPr="00ED7B52">
        <w:rPr>
          <w:rFonts w:eastAsiaTheme="minorEastAsia"/>
          <w:rtl/>
        </w:rPr>
        <w:t xml:space="preserve"> </w:t>
      </w:r>
    </w:p>
    <w:p w14:paraId="65A9534A" w14:textId="6F16B1C3" w:rsidR="00ED7B52" w:rsidRPr="00ED7B52" w:rsidRDefault="00ED7B52" w:rsidP="00ED7B52">
      <w:pPr>
        <w:pStyle w:val="SingleTxtGA"/>
        <w:rPr>
          <w:rFonts w:eastAsiaTheme="minorEastAsia"/>
          <w:lang w:val="ar-SA" w:eastAsia="zh-TW" w:bidi="en-GB"/>
        </w:rPr>
      </w:pPr>
      <w:r>
        <w:rPr>
          <w:rFonts w:eastAsiaTheme="minorEastAsia"/>
          <w:rtl/>
        </w:rPr>
        <w:tab/>
      </w:r>
      <w:r w:rsidRPr="00ED7B52">
        <w:rPr>
          <w:rFonts w:eastAsiaTheme="minorEastAsia"/>
          <w:rtl/>
        </w:rPr>
        <w:t>(أ)</w:t>
      </w:r>
      <w:r w:rsidRPr="00ED7B52">
        <w:rPr>
          <w:rFonts w:eastAsiaTheme="minorEastAsia"/>
          <w:rtl/>
        </w:rPr>
        <w:tab/>
        <w:t>استمرار تعرض الطلاب المهاجرين أو المنتمين إلى أقلية إثنية للتمييز فيما يتعلق بالاستفادة من تدريب داخلي، مما يؤثر سلب</w:t>
      </w:r>
      <w:r>
        <w:rPr>
          <w:rFonts w:eastAsiaTheme="minorEastAsia"/>
          <w:rtl/>
        </w:rPr>
        <w:t xml:space="preserve">اً </w:t>
      </w:r>
      <w:r w:rsidRPr="00ED7B52">
        <w:rPr>
          <w:rFonts w:eastAsiaTheme="minorEastAsia"/>
          <w:rtl/>
        </w:rPr>
        <w:t>على آفاقهم المستقبلية في سوق العمل؛</w:t>
      </w:r>
    </w:p>
    <w:p w14:paraId="2BED2DFA" w14:textId="44CA4C45" w:rsidR="00ED7B52" w:rsidRPr="00ED7B52" w:rsidRDefault="00ED7B52" w:rsidP="00ED7B52">
      <w:pPr>
        <w:pStyle w:val="SingleTxtGA"/>
        <w:rPr>
          <w:rFonts w:eastAsiaTheme="minorEastAsia"/>
          <w:lang w:val="ar-SA" w:eastAsia="zh-TW" w:bidi="en-GB"/>
        </w:rPr>
      </w:pPr>
      <w:r>
        <w:rPr>
          <w:rFonts w:eastAsiaTheme="minorEastAsia"/>
          <w:rtl/>
        </w:rPr>
        <w:lastRenderedPageBreak/>
        <w:tab/>
      </w:r>
      <w:r w:rsidRPr="00ED7B52">
        <w:rPr>
          <w:rFonts w:eastAsiaTheme="minorEastAsia"/>
          <w:rtl/>
        </w:rPr>
        <w:t>(ب)</w:t>
      </w:r>
      <w:r w:rsidRPr="00ED7B52">
        <w:rPr>
          <w:rFonts w:eastAsiaTheme="minorEastAsia"/>
          <w:rtl/>
        </w:rPr>
        <w:tab/>
        <w:t xml:space="preserve">مزاعم منع الطلاب </w:t>
      </w:r>
      <w:proofErr w:type="spellStart"/>
      <w:r w:rsidRPr="00ED7B52">
        <w:rPr>
          <w:rFonts w:eastAsiaTheme="minorEastAsia"/>
          <w:rtl/>
        </w:rPr>
        <w:t>المتعدد</w:t>
      </w:r>
      <w:r w:rsidR="00F15F07">
        <w:rPr>
          <w:rFonts w:eastAsiaTheme="minorEastAsia" w:hint="cs"/>
          <w:rtl/>
        </w:rPr>
        <w:t>ي</w:t>
      </w:r>
      <w:proofErr w:type="spellEnd"/>
      <w:r w:rsidRPr="00ED7B52">
        <w:rPr>
          <w:rFonts w:eastAsiaTheme="minorEastAsia"/>
          <w:rtl/>
        </w:rPr>
        <w:t xml:space="preserve"> اللغات المهاجرين أو المنتمين إلى أقلية اثنية من التحدث بلغاتهم الأصلية في المدرسة أو معاقبتهم على ذلك؛</w:t>
      </w:r>
    </w:p>
    <w:p w14:paraId="45099F78" w14:textId="1D795709" w:rsidR="00ED7B52" w:rsidRPr="00ED7B52" w:rsidRDefault="00ED7B52" w:rsidP="00ED7B52">
      <w:pPr>
        <w:pStyle w:val="SingleTxtGA"/>
        <w:rPr>
          <w:rFonts w:eastAsiaTheme="minorEastAsia"/>
          <w:lang w:val="ar-SA" w:eastAsia="zh-TW" w:bidi="en-GB"/>
        </w:rPr>
      </w:pPr>
      <w:r>
        <w:rPr>
          <w:rFonts w:eastAsiaTheme="minorEastAsia"/>
          <w:rtl/>
        </w:rPr>
        <w:tab/>
      </w:r>
      <w:r w:rsidRPr="00ED7B52">
        <w:rPr>
          <w:rFonts w:eastAsiaTheme="minorEastAsia"/>
          <w:rtl/>
        </w:rPr>
        <w:t>(ج)</w:t>
      </w:r>
      <w:r w:rsidRPr="00ED7B52">
        <w:rPr>
          <w:rFonts w:eastAsiaTheme="minorEastAsia"/>
          <w:rtl/>
        </w:rPr>
        <w:tab/>
        <w:t>التأثير المفرط لجائحة كوفيد-</w:t>
      </w:r>
      <w:r w:rsidRPr="00A00A38">
        <w:rPr>
          <w:rFonts w:eastAsiaTheme="minorEastAsia"/>
          <w:rtl/>
        </w:rPr>
        <w:t>19</w:t>
      </w:r>
      <w:r w:rsidRPr="00ED7B52">
        <w:rPr>
          <w:rFonts w:eastAsiaTheme="minorEastAsia"/>
          <w:rtl/>
        </w:rPr>
        <w:t xml:space="preserve"> على تعليم الأطفال المنتمين إلى أقليات إثنية وإلى فئات السكان الضعيفة اجتماعي</w:t>
      </w:r>
      <w:r>
        <w:rPr>
          <w:rFonts w:eastAsiaTheme="minorEastAsia"/>
          <w:rtl/>
        </w:rPr>
        <w:t xml:space="preserve">اً </w:t>
      </w:r>
      <w:r w:rsidRPr="00ED7B52">
        <w:rPr>
          <w:rFonts w:eastAsiaTheme="minorEastAsia"/>
          <w:rtl/>
        </w:rPr>
        <w:t>واقتصادي</w:t>
      </w:r>
      <w:r>
        <w:rPr>
          <w:rFonts w:eastAsiaTheme="minorEastAsia"/>
          <w:rtl/>
        </w:rPr>
        <w:t xml:space="preserve">اً </w:t>
      </w:r>
      <w:r w:rsidRPr="00ED7B52">
        <w:rPr>
          <w:rFonts w:eastAsiaTheme="minorEastAsia"/>
          <w:rtl/>
        </w:rPr>
        <w:t xml:space="preserve">(المادة </w:t>
      </w:r>
      <w:r w:rsidRPr="00A00A38">
        <w:rPr>
          <w:rFonts w:eastAsiaTheme="minorEastAsia"/>
          <w:rtl/>
        </w:rPr>
        <w:t>5</w:t>
      </w:r>
      <w:r w:rsidRPr="00ED7B52">
        <w:rPr>
          <w:rFonts w:eastAsiaTheme="minorEastAsia"/>
          <w:rtl/>
        </w:rPr>
        <w:t xml:space="preserve">). </w:t>
      </w:r>
    </w:p>
    <w:p w14:paraId="1D379BA8" w14:textId="278F076F" w:rsidR="00ED7B52" w:rsidRPr="00A00A38" w:rsidRDefault="00ED7B52" w:rsidP="00ED7B52">
      <w:pPr>
        <w:pStyle w:val="SingleTxtGA"/>
        <w:rPr>
          <w:rFonts w:eastAsiaTheme="minorEastAsia"/>
          <w:bCs/>
          <w:lang w:val="ar-SA" w:eastAsia="zh-TW" w:bidi="en-GB"/>
        </w:rPr>
      </w:pPr>
      <w:r w:rsidRPr="00A00A38">
        <w:rPr>
          <w:rFonts w:eastAsiaTheme="minorEastAsia"/>
          <w:rtl/>
        </w:rPr>
        <w:t>20</w:t>
      </w:r>
      <w:r w:rsidRPr="00ED7B52">
        <w:rPr>
          <w:rFonts w:eastAsiaTheme="minorEastAsia"/>
          <w:rtl/>
        </w:rPr>
        <w:t>-</w:t>
      </w:r>
      <w:r w:rsidRPr="00ED7B52">
        <w:rPr>
          <w:rFonts w:eastAsiaTheme="minorEastAsia"/>
          <w:rtl/>
        </w:rPr>
        <w:tab/>
      </w:r>
      <w:r w:rsidRPr="00A00A38">
        <w:rPr>
          <w:rFonts w:eastAsiaTheme="minorEastAsia"/>
          <w:bCs/>
          <w:rtl/>
        </w:rPr>
        <w:t>وتوصي اللجنة الدولة الطرف باتخاذ التدابير اللازمة لزيادة تكافؤ فرص جميع الأطفال في التعليم، بغض النظر عن أصلهم، وبرصد مدى فعاليتها.</w:t>
      </w:r>
      <w:r w:rsidRPr="00F15F07">
        <w:rPr>
          <w:rFonts w:eastAsiaTheme="minorEastAsia"/>
          <w:bCs/>
          <w:rtl/>
        </w:rPr>
        <w:t xml:space="preserve"> </w:t>
      </w:r>
      <w:r w:rsidRPr="00A00A38">
        <w:rPr>
          <w:rFonts w:eastAsiaTheme="minorEastAsia"/>
          <w:bCs/>
          <w:rtl/>
        </w:rPr>
        <w:t>وتوصيها أيضاً بما يلي:</w:t>
      </w:r>
    </w:p>
    <w:p w14:paraId="795B466F" w14:textId="119312FB" w:rsidR="00ED7B52" w:rsidRPr="00A00A38" w:rsidRDefault="00ED7B52" w:rsidP="00ED7B52">
      <w:pPr>
        <w:pStyle w:val="SingleTxtGA"/>
        <w:rPr>
          <w:rFonts w:eastAsiaTheme="minorEastAsia"/>
          <w:bCs/>
          <w:lang w:val="ar-SA" w:eastAsia="zh-TW" w:bidi="en-GB"/>
        </w:rPr>
      </w:pPr>
      <w:r>
        <w:rPr>
          <w:rFonts w:eastAsiaTheme="minorEastAsia"/>
          <w:rtl/>
        </w:rPr>
        <w:tab/>
      </w:r>
      <w:r w:rsidRPr="00ED7B52">
        <w:rPr>
          <w:rFonts w:eastAsiaTheme="minorEastAsia"/>
          <w:rtl/>
        </w:rPr>
        <w:t>(أ)</w:t>
      </w:r>
      <w:r w:rsidRPr="00ED7B52">
        <w:rPr>
          <w:rFonts w:eastAsiaTheme="minorEastAsia"/>
          <w:rtl/>
        </w:rPr>
        <w:tab/>
      </w:r>
      <w:r w:rsidRPr="00A00A38">
        <w:rPr>
          <w:rFonts w:eastAsiaTheme="minorEastAsia"/>
          <w:bCs/>
          <w:rtl/>
        </w:rPr>
        <w:t>ضمان حصول جميع الأطفال على تقييم عادل من معلميهم لقبولهم في المدرسة الثانوية – وذلك على نحو خال من التمييز، بما فيه التحيّز الضمني، على أساس العرق أو اللون أو</w:t>
      </w:r>
      <w:r w:rsidRPr="00A00A38">
        <w:rPr>
          <w:rFonts w:eastAsiaTheme="minorEastAsia" w:hint="cs"/>
          <w:bCs/>
          <w:rtl/>
        </w:rPr>
        <w:t> </w:t>
      </w:r>
      <w:r w:rsidRPr="00A00A38">
        <w:rPr>
          <w:rFonts w:eastAsiaTheme="minorEastAsia"/>
          <w:bCs/>
          <w:rtl/>
        </w:rPr>
        <w:t>النسب أو الأصل القومي أو العرقي؛</w:t>
      </w:r>
    </w:p>
    <w:p w14:paraId="3DA9F853" w14:textId="0904905D"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(ب)</w:t>
      </w:r>
      <w:r w:rsidRPr="00ED7B52">
        <w:rPr>
          <w:rFonts w:eastAsiaTheme="minorEastAsia"/>
          <w:rtl/>
        </w:rPr>
        <w:tab/>
      </w:r>
      <w:r w:rsidRPr="00A00A38">
        <w:rPr>
          <w:rFonts w:eastAsiaTheme="minorEastAsia"/>
          <w:bCs/>
          <w:rtl/>
        </w:rPr>
        <w:t>اتخاذ التدابير اللازمة لمكافحة التمييز ومنعه فيما يتعلق بالاستفادة من تدريب داخلي، ووضع بروتوكولات أو مبادئ توجيهية يمكن للمدرسين اتباعها عندما يبلّغ الطلاب عن هذا التمييز، وضمان أن يكون المعلمون على دراية بهذه البروتوكولات؛</w:t>
      </w:r>
    </w:p>
    <w:p w14:paraId="3CA8667D" w14:textId="0F230121"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(ج)</w:t>
      </w:r>
      <w:r w:rsidRPr="00ED7B52">
        <w:rPr>
          <w:rFonts w:eastAsiaTheme="minorEastAsia"/>
          <w:rtl/>
        </w:rPr>
        <w:tab/>
      </w:r>
      <w:r w:rsidRPr="00A00A38">
        <w:rPr>
          <w:rFonts w:eastAsiaTheme="minorEastAsia"/>
          <w:bCs/>
          <w:rtl/>
        </w:rPr>
        <w:t xml:space="preserve">اتخاذ التدابير اللازمة لضمان عدم منع الطلاب </w:t>
      </w:r>
      <w:proofErr w:type="spellStart"/>
      <w:r w:rsidRPr="00A00A38">
        <w:rPr>
          <w:rFonts w:eastAsiaTheme="minorEastAsia"/>
          <w:bCs/>
          <w:rtl/>
        </w:rPr>
        <w:t>المتعددي</w:t>
      </w:r>
      <w:proofErr w:type="spellEnd"/>
      <w:r w:rsidRPr="00A00A38">
        <w:rPr>
          <w:rFonts w:eastAsiaTheme="minorEastAsia"/>
          <w:bCs/>
          <w:rtl/>
        </w:rPr>
        <w:t xml:space="preserve"> اللغات المنتمين إلى الأقليات العرقية أو معاقبتهم على التحدث بلغاتهم الأصلية في المدرسة، وتعزيز تدريب المعلمين على التعليم المتعدد اللغات؛</w:t>
      </w:r>
    </w:p>
    <w:p w14:paraId="23709730" w14:textId="44D3A61C"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(د)</w:t>
      </w:r>
      <w:r w:rsidRPr="00ED7B52">
        <w:rPr>
          <w:rFonts w:eastAsiaTheme="minorEastAsia"/>
          <w:rtl/>
        </w:rPr>
        <w:tab/>
      </w:r>
      <w:r w:rsidRPr="00A00A38">
        <w:rPr>
          <w:rFonts w:eastAsiaTheme="minorEastAsia"/>
          <w:bCs/>
          <w:rtl/>
        </w:rPr>
        <w:t xml:space="preserve">ضمان أن تراعي البرامج التي اعتمدتها الدولة الطرف لتدارك التعليم غير المحصّل أثناء الجائحة احتياجات جميع الطلاب بغض النظر عن </w:t>
      </w:r>
      <w:r w:rsidR="00F15F07" w:rsidRPr="00A00A38">
        <w:rPr>
          <w:rFonts w:eastAsiaTheme="minorEastAsia" w:hint="cs"/>
          <w:bCs/>
          <w:rtl/>
        </w:rPr>
        <w:t>أ</w:t>
      </w:r>
      <w:r w:rsidRPr="00A00A38">
        <w:rPr>
          <w:rFonts w:eastAsiaTheme="minorEastAsia"/>
          <w:bCs/>
          <w:rtl/>
        </w:rPr>
        <w:t>صلهم.</w:t>
      </w:r>
    </w:p>
    <w:p w14:paraId="3164D4BF" w14:textId="77777777" w:rsidR="00ED7B52" w:rsidRPr="00F55CCB" w:rsidRDefault="00ED7B52" w:rsidP="00ED7B52">
      <w:pPr>
        <w:pStyle w:val="H23GA"/>
        <w:rPr>
          <w:lang w:val="en-US" w:eastAsia="zh-TW" w:bidi="en-GB"/>
        </w:rPr>
      </w:pPr>
      <w:r w:rsidRPr="00ED7B52">
        <w:rPr>
          <w:rtl/>
        </w:rPr>
        <w:tab/>
      </w:r>
      <w:r w:rsidRPr="00ED7B52">
        <w:rPr>
          <w:rtl/>
        </w:rPr>
        <w:tab/>
        <w:t>التمييز في العمالة</w:t>
      </w:r>
    </w:p>
    <w:p w14:paraId="044261BB" w14:textId="316CF8B0" w:rsidR="00ED7B52" w:rsidRPr="00ED7B52" w:rsidRDefault="00ED7B52" w:rsidP="00ED7B52">
      <w:pPr>
        <w:pStyle w:val="SingleTxtGA"/>
        <w:rPr>
          <w:rFonts w:eastAsiaTheme="minorEastAsia"/>
          <w:lang w:val="ar-SA" w:eastAsia="zh-TW" w:bidi="en-GB"/>
        </w:rPr>
      </w:pPr>
      <w:r w:rsidRPr="00A00A38">
        <w:rPr>
          <w:rFonts w:eastAsiaTheme="minorEastAsia"/>
          <w:rtl/>
        </w:rPr>
        <w:t>21</w:t>
      </w:r>
      <w:r w:rsidRPr="00ED7B52">
        <w:rPr>
          <w:rFonts w:eastAsiaTheme="minorEastAsia"/>
          <w:rtl/>
        </w:rPr>
        <w:t>-</w:t>
      </w:r>
      <w:r w:rsidRPr="00ED7B52">
        <w:rPr>
          <w:rFonts w:eastAsiaTheme="minorEastAsia"/>
          <w:rtl/>
        </w:rPr>
        <w:tab/>
        <w:t>يساور اللجنة القلق لأن كثير</w:t>
      </w:r>
      <w:r>
        <w:rPr>
          <w:rFonts w:eastAsiaTheme="minorEastAsia"/>
          <w:rtl/>
        </w:rPr>
        <w:t xml:space="preserve">اً </w:t>
      </w:r>
      <w:r w:rsidRPr="00ED7B52">
        <w:rPr>
          <w:rFonts w:eastAsiaTheme="minorEastAsia"/>
          <w:rtl/>
        </w:rPr>
        <w:t xml:space="preserve">من الأشخاص المهاجرين ما زلوا يواجهون التمييز في الحصول على عمل. وتعرب اللجنة عن أسفها لعدم القيام حتى الآن باعتماد مشروع قانون يلزم الشركات باعتماد سياسة توظيف واختيار تقضي على التحيز العنصري، منذ تقديمه إلى </w:t>
      </w:r>
      <w:proofErr w:type="gramStart"/>
      <w:r w:rsidRPr="00ED7B52">
        <w:rPr>
          <w:rFonts w:eastAsiaTheme="minorEastAsia"/>
          <w:rtl/>
        </w:rPr>
        <w:t>البرلمان</w:t>
      </w:r>
      <w:proofErr w:type="gramEnd"/>
      <w:r w:rsidRPr="00ED7B52">
        <w:rPr>
          <w:rFonts w:eastAsiaTheme="minorEastAsia"/>
          <w:rtl/>
        </w:rPr>
        <w:t xml:space="preserve"> في عام </w:t>
      </w:r>
      <w:r w:rsidRPr="00A00A38">
        <w:rPr>
          <w:rFonts w:eastAsiaTheme="minorEastAsia"/>
          <w:rtl/>
        </w:rPr>
        <w:t>2020</w:t>
      </w:r>
      <w:r w:rsidRPr="00ED7B52">
        <w:rPr>
          <w:rFonts w:eastAsiaTheme="minorEastAsia"/>
          <w:rtl/>
        </w:rPr>
        <w:t xml:space="preserve"> بسبب استقالة مجلس الوزراء في الدولة الطرف (المادة </w:t>
      </w:r>
      <w:r w:rsidRPr="00A00A38">
        <w:rPr>
          <w:rFonts w:eastAsiaTheme="minorEastAsia"/>
          <w:rtl/>
        </w:rPr>
        <w:t>5</w:t>
      </w:r>
      <w:r w:rsidRPr="00ED7B52">
        <w:rPr>
          <w:rFonts w:eastAsiaTheme="minorEastAsia"/>
          <w:rtl/>
        </w:rPr>
        <w:t>).</w:t>
      </w:r>
    </w:p>
    <w:p w14:paraId="01ABFB35" w14:textId="77777777" w:rsidR="00ED7B52" w:rsidRPr="00A00A38" w:rsidRDefault="00ED7B52" w:rsidP="00ED7B52">
      <w:pPr>
        <w:pStyle w:val="SingleTxtGA"/>
        <w:rPr>
          <w:rFonts w:eastAsiaTheme="minorEastAsia"/>
          <w:bCs/>
          <w:lang w:val="en-US" w:eastAsia="zh-TW" w:bidi="en-GB"/>
        </w:rPr>
      </w:pPr>
      <w:r w:rsidRPr="00A00A38">
        <w:rPr>
          <w:rFonts w:eastAsiaTheme="minorEastAsia"/>
          <w:rtl/>
        </w:rPr>
        <w:t>22</w:t>
      </w:r>
      <w:r w:rsidRPr="00ED7B52">
        <w:rPr>
          <w:rFonts w:eastAsiaTheme="minorEastAsia"/>
          <w:rtl/>
        </w:rPr>
        <w:t>-</w:t>
      </w:r>
      <w:r w:rsidRPr="00ED7B52">
        <w:rPr>
          <w:rFonts w:eastAsiaTheme="minorEastAsia"/>
          <w:rtl/>
        </w:rPr>
        <w:tab/>
      </w:r>
      <w:r w:rsidRPr="00A00A38">
        <w:rPr>
          <w:rFonts w:eastAsiaTheme="minorEastAsia"/>
          <w:bCs/>
          <w:rtl/>
        </w:rPr>
        <w:t>وتوصي اللجنة الدولة الطرف باعتماد مشروع القانون الذي يلزم الشركات بأن تعتمد سياسة للتوظيف والاختيار تقضي على التحيز العنصري، وبوضع أهداف واضحة تركّز على منع التمييز العنصري في العمالة والتصدي له، وباتخاذ تدابير سياساتية محدّدة لتحقيق هذه الغاية، وبكفالة الرصد والتقييم الفعالين لمثل هذا الإجراء.</w:t>
      </w:r>
      <w:r w:rsidRPr="00F15F07">
        <w:rPr>
          <w:rFonts w:eastAsiaTheme="minorEastAsia"/>
          <w:bCs/>
          <w:rtl/>
        </w:rPr>
        <w:t xml:space="preserve"> </w:t>
      </w:r>
    </w:p>
    <w:p w14:paraId="3DD0E38A" w14:textId="77777777" w:rsidR="00ED7B52" w:rsidRPr="00ED7B52" w:rsidRDefault="00ED7B52" w:rsidP="00ED7B52">
      <w:pPr>
        <w:pStyle w:val="H23GA"/>
        <w:rPr>
          <w:lang w:val="ar-SA" w:eastAsia="zh-TW" w:bidi="en-GB"/>
        </w:rPr>
      </w:pPr>
      <w:r w:rsidRPr="00ED7B52">
        <w:rPr>
          <w:rtl/>
        </w:rPr>
        <w:tab/>
      </w:r>
      <w:r w:rsidRPr="00ED7B52">
        <w:rPr>
          <w:rtl/>
        </w:rPr>
        <w:tab/>
        <w:t>الحصول على الرعاية الصحية</w:t>
      </w:r>
    </w:p>
    <w:p w14:paraId="11B60353" w14:textId="77777777" w:rsidR="00ED7B52" w:rsidRPr="00ED7B52" w:rsidRDefault="00ED7B52" w:rsidP="00ED7B52">
      <w:pPr>
        <w:pStyle w:val="SingleTxtGA"/>
        <w:rPr>
          <w:rFonts w:eastAsiaTheme="minorEastAsia"/>
          <w:lang w:val="ar-SA" w:eastAsia="zh-TW" w:bidi="en-GB"/>
        </w:rPr>
      </w:pPr>
      <w:r w:rsidRPr="00A00A38">
        <w:rPr>
          <w:rFonts w:eastAsiaTheme="minorEastAsia"/>
          <w:rtl/>
        </w:rPr>
        <w:t>23</w:t>
      </w:r>
      <w:r w:rsidRPr="00ED7B52">
        <w:rPr>
          <w:rFonts w:eastAsiaTheme="minorEastAsia"/>
          <w:rtl/>
        </w:rPr>
        <w:t>-</w:t>
      </w:r>
      <w:r w:rsidRPr="00ED7B52">
        <w:rPr>
          <w:rFonts w:eastAsiaTheme="minorEastAsia"/>
          <w:rtl/>
        </w:rPr>
        <w:tab/>
        <w:t xml:space="preserve">يساور اللجنة القلق إزاء ما </w:t>
      </w:r>
      <w:proofErr w:type="spellStart"/>
      <w:r w:rsidRPr="00ED7B52">
        <w:rPr>
          <w:rFonts w:eastAsiaTheme="minorEastAsia"/>
          <w:rtl/>
        </w:rPr>
        <w:t>يواجهه</w:t>
      </w:r>
      <w:proofErr w:type="spellEnd"/>
      <w:r w:rsidRPr="00ED7B52">
        <w:rPr>
          <w:rFonts w:eastAsiaTheme="minorEastAsia"/>
          <w:rtl/>
        </w:rPr>
        <w:t xml:space="preserve"> الأشخاص غير المتقنين للغة الهولندية من صعوبات في الحصول على الرعاية الصحية (المادة </w:t>
      </w:r>
      <w:r w:rsidRPr="00A00A38">
        <w:rPr>
          <w:rFonts w:eastAsiaTheme="minorEastAsia"/>
          <w:rtl/>
        </w:rPr>
        <w:t>5</w:t>
      </w:r>
      <w:r w:rsidRPr="00ED7B52">
        <w:rPr>
          <w:rFonts w:eastAsiaTheme="minorEastAsia"/>
          <w:rtl/>
        </w:rPr>
        <w:t>).</w:t>
      </w:r>
    </w:p>
    <w:p w14:paraId="0EAA37A2" w14:textId="77777777" w:rsidR="00ED7B52" w:rsidRPr="00A00A38" w:rsidRDefault="00ED7B52" w:rsidP="00ED7B52">
      <w:pPr>
        <w:pStyle w:val="SingleTxtGA"/>
        <w:rPr>
          <w:rFonts w:eastAsiaTheme="minorEastAsia"/>
          <w:bCs/>
          <w:lang w:val="ar-SA" w:eastAsia="zh-TW" w:bidi="en-GB"/>
        </w:rPr>
      </w:pPr>
      <w:r w:rsidRPr="00A00A38">
        <w:rPr>
          <w:rFonts w:eastAsiaTheme="minorEastAsia"/>
          <w:rtl/>
        </w:rPr>
        <w:t>24</w:t>
      </w:r>
      <w:r w:rsidRPr="00ED7B52">
        <w:rPr>
          <w:rFonts w:eastAsiaTheme="minorEastAsia"/>
          <w:rtl/>
        </w:rPr>
        <w:t>-</w:t>
      </w:r>
      <w:r w:rsidRPr="00ED7B52">
        <w:rPr>
          <w:rFonts w:eastAsiaTheme="minorEastAsia"/>
          <w:rtl/>
        </w:rPr>
        <w:tab/>
      </w:r>
      <w:r w:rsidRPr="00A00A38">
        <w:rPr>
          <w:rFonts w:eastAsiaTheme="minorEastAsia"/>
          <w:bCs/>
          <w:rtl/>
        </w:rPr>
        <w:t>وتوصي اللجنة الدولة الطرف باتخاذ التدابير اللازمة لإزالة الحواجز اللغوية في مجال الرعاية الصحية، والعمل مع المنظمات التي تمثل المهنيين الصحيين والمرضى لضمان حصول الأشخاص غير المتقنين للغة الهولندية على الرعاية الطبية دون تمييز.</w:t>
      </w:r>
    </w:p>
    <w:p w14:paraId="33250956" w14:textId="77777777" w:rsidR="00ED7B52" w:rsidRPr="00ED7B52" w:rsidRDefault="00ED7B52" w:rsidP="00ED7B52">
      <w:pPr>
        <w:pStyle w:val="H23GA"/>
        <w:rPr>
          <w:lang w:val="ar-SA" w:eastAsia="zh-TW" w:bidi="en-GB"/>
        </w:rPr>
      </w:pPr>
      <w:r w:rsidRPr="00ED7B52">
        <w:rPr>
          <w:rtl/>
        </w:rPr>
        <w:lastRenderedPageBreak/>
        <w:tab/>
      </w:r>
      <w:r w:rsidRPr="00ED7B52">
        <w:rPr>
          <w:rtl/>
        </w:rPr>
        <w:tab/>
        <w:t>التمييز ضد الأقليات</w:t>
      </w:r>
    </w:p>
    <w:p w14:paraId="2EE3E6A9" w14:textId="55382D97" w:rsidR="00ED7B52" w:rsidRPr="00ED7B52" w:rsidRDefault="00ED7B52" w:rsidP="00ED7B52">
      <w:pPr>
        <w:pStyle w:val="SingleTxtGA"/>
        <w:rPr>
          <w:rFonts w:eastAsiaTheme="minorEastAsia"/>
          <w:lang w:val="ar-SA" w:eastAsia="zh-TW" w:bidi="en-GB"/>
        </w:rPr>
      </w:pPr>
      <w:r w:rsidRPr="00A00A38">
        <w:rPr>
          <w:rFonts w:eastAsiaTheme="minorEastAsia"/>
          <w:rtl/>
        </w:rPr>
        <w:t>25</w:t>
      </w:r>
      <w:r w:rsidRPr="00ED7B52">
        <w:rPr>
          <w:rFonts w:eastAsiaTheme="minorEastAsia"/>
          <w:rtl/>
        </w:rPr>
        <w:t>-</w:t>
      </w:r>
      <w:r w:rsidRPr="00ED7B52">
        <w:rPr>
          <w:rFonts w:eastAsiaTheme="minorEastAsia"/>
          <w:rtl/>
        </w:rPr>
        <w:tab/>
        <w:t>يساور اللجنة القلق إزاء استمرار تعرض الأقليات للتمييز العنصري في مجالات عديدة من الحياة، بما في ذلك في مجالات العمالة والسكن والتعليم والرعاية الصحية والاجتماعية، وإزاء سوء تمثيلها في الهيئات المنتخبة وفي القطاع العام. ونظر</w:t>
      </w:r>
      <w:r>
        <w:rPr>
          <w:rFonts w:eastAsiaTheme="minorEastAsia"/>
          <w:rtl/>
        </w:rPr>
        <w:t xml:space="preserve">اً </w:t>
      </w:r>
      <w:r w:rsidRPr="00ED7B52">
        <w:rPr>
          <w:rFonts w:eastAsiaTheme="minorEastAsia"/>
          <w:rtl/>
        </w:rPr>
        <w:t>لتقاطع البعدين الديني والإثني في الدولة الطرف، يساور اللجنة القلق أيض</w:t>
      </w:r>
      <w:r>
        <w:rPr>
          <w:rFonts w:eastAsiaTheme="minorEastAsia"/>
          <w:rtl/>
        </w:rPr>
        <w:t xml:space="preserve">اً </w:t>
      </w:r>
      <w:r w:rsidRPr="00ED7B52">
        <w:rPr>
          <w:rFonts w:eastAsiaTheme="minorEastAsia"/>
          <w:rtl/>
        </w:rPr>
        <w:t>إزاء التقارير التي تشير إلى شعور بعض أفراد الطوائف الإثنية</w:t>
      </w:r>
      <w:r>
        <w:rPr>
          <w:rFonts w:eastAsiaTheme="minorEastAsia" w:hint="cs"/>
          <w:rtl/>
        </w:rPr>
        <w:t xml:space="preserve"> </w:t>
      </w:r>
      <w:r w:rsidRPr="00ED7B52">
        <w:rPr>
          <w:rFonts w:eastAsiaTheme="minorEastAsia"/>
          <w:rtl/>
        </w:rPr>
        <w:t>-</w:t>
      </w:r>
      <w:r>
        <w:rPr>
          <w:rFonts w:eastAsiaTheme="minorEastAsia" w:hint="cs"/>
          <w:rtl/>
        </w:rPr>
        <w:t xml:space="preserve"> </w:t>
      </w:r>
      <w:r w:rsidRPr="00ED7B52">
        <w:rPr>
          <w:rFonts w:eastAsiaTheme="minorEastAsia"/>
          <w:rtl/>
        </w:rPr>
        <w:t>الدينية، ولا سيما الطوائف المسلمة، بالتمييز والاستبعاد والعزلة، استناد</w:t>
      </w:r>
      <w:r>
        <w:rPr>
          <w:rFonts w:eastAsiaTheme="minorEastAsia"/>
          <w:rtl/>
        </w:rPr>
        <w:t xml:space="preserve">اً </w:t>
      </w:r>
      <w:r w:rsidRPr="00ED7B52">
        <w:rPr>
          <w:rFonts w:eastAsiaTheme="minorEastAsia"/>
          <w:rtl/>
        </w:rPr>
        <w:t xml:space="preserve">إلى أمور منها قانون الحظر الجزئي لتغطية الوجه وقانون نزع جنسية (المادة </w:t>
      </w:r>
      <w:r w:rsidRPr="00A00A38">
        <w:rPr>
          <w:rFonts w:eastAsiaTheme="minorEastAsia"/>
          <w:rtl/>
        </w:rPr>
        <w:t>5</w:t>
      </w:r>
      <w:r w:rsidRPr="00ED7B52">
        <w:rPr>
          <w:rFonts w:eastAsiaTheme="minorEastAsia"/>
          <w:rtl/>
        </w:rPr>
        <w:t xml:space="preserve">). </w:t>
      </w:r>
    </w:p>
    <w:p w14:paraId="7814A0A2" w14:textId="1762A78F" w:rsidR="00ED7B52" w:rsidRPr="00A00A38" w:rsidRDefault="00ED7B52" w:rsidP="00ED7B52">
      <w:pPr>
        <w:pStyle w:val="SingleTxtGA"/>
        <w:rPr>
          <w:rFonts w:eastAsiaTheme="minorEastAsia"/>
          <w:bCs/>
          <w:lang w:val="ar-SA" w:eastAsia="zh-TW" w:bidi="en-GB"/>
        </w:rPr>
      </w:pPr>
      <w:r w:rsidRPr="00A00A38">
        <w:rPr>
          <w:rFonts w:eastAsiaTheme="minorEastAsia"/>
          <w:rtl/>
        </w:rPr>
        <w:t>26</w:t>
      </w:r>
      <w:r>
        <w:rPr>
          <w:rFonts w:eastAsiaTheme="minorEastAsia"/>
          <w:rtl/>
        </w:rPr>
        <w:t>-</w:t>
      </w:r>
      <w:r>
        <w:rPr>
          <w:rFonts w:eastAsiaTheme="minorEastAsia"/>
          <w:rtl/>
        </w:rPr>
        <w:tab/>
      </w:r>
      <w:r w:rsidRPr="00A00A38">
        <w:rPr>
          <w:rFonts w:eastAsiaTheme="minorEastAsia"/>
          <w:bCs/>
          <w:rtl/>
        </w:rPr>
        <w:t>وتوصي اللجنة بأن يراعي المنسق الوطني المعني بمكافحة التمييز والعنصرية المقرر إنشاؤه هذا التقاطع وبأن يكفل استشارة جميع الأقليات الإثنية بشأن المسائل التي تؤثر عليها، ولا سيما أثناء صياغة سياسات وتشريعات جديدة.</w:t>
      </w:r>
      <w:r w:rsidRPr="00695151">
        <w:rPr>
          <w:rFonts w:eastAsiaTheme="minorEastAsia"/>
          <w:bCs/>
          <w:rtl/>
        </w:rPr>
        <w:t xml:space="preserve"> </w:t>
      </w:r>
      <w:r w:rsidRPr="00A00A38">
        <w:rPr>
          <w:rFonts w:eastAsiaTheme="minorEastAsia"/>
          <w:bCs/>
          <w:rtl/>
        </w:rPr>
        <w:t>وتوصيها كذلك بما يلي:</w:t>
      </w:r>
      <w:r w:rsidRPr="00695151">
        <w:rPr>
          <w:rFonts w:eastAsiaTheme="minorEastAsia"/>
          <w:bCs/>
          <w:rtl/>
        </w:rPr>
        <w:t xml:space="preserve"> </w:t>
      </w:r>
    </w:p>
    <w:p w14:paraId="4A634C61" w14:textId="082FA594"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(أ)</w:t>
      </w:r>
      <w:r w:rsidRPr="00ED7B52">
        <w:rPr>
          <w:rFonts w:eastAsiaTheme="minorEastAsia"/>
          <w:rtl/>
        </w:rPr>
        <w:tab/>
      </w:r>
      <w:r w:rsidRPr="00A00A38">
        <w:rPr>
          <w:rFonts w:eastAsiaTheme="minorEastAsia"/>
          <w:bCs/>
          <w:rtl/>
        </w:rPr>
        <w:t>اتخاذ التدابير اللازمة من أجل التصدي للتمييز ضد الأقليات في مجالات العمالة والسكن والتعليم والرعاية الصحية والاجتماعية؛</w:t>
      </w:r>
    </w:p>
    <w:p w14:paraId="5E7603DF" w14:textId="26EFD491" w:rsidR="00ED7B52" w:rsidRPr="00A00A38" w:rsidRDefault="00ED7B52" w:rsidP="00ED7B52">
      <w:pPr>
        <w:pStyle w:val="SingleTxtGA"/>
        <w:rPr>
          <w:rFonts w:eastAsiaTheme="minorEastAsia"/>
          <w:b/>
          <w:lang w:val="ar-SA" w:eastAsia="zh-TW" w:bidi="en-GB"/>
        </w:rPr>
      </w:pPr>
      <w:r>
        <w:rPr>
          <w:rFonts w:eastAsiaTheme="minorEastAsia"/>
          <w:rtl/>
        </w:rPr>
        <w:tab/>
      </w:r>
      <w:r w:rsidRPr="00ED7B52">
        <w:rPr>
          <w:rFonts w:eastAsiaTheme="minorEastAsia"/>
          <w:rtl/>
        </w:rPr>
        <w:t>(ب)</w:t>
      </w:r>
      <w:r w:rsidRPr="00ED7B52">
        <w:rPr>
          <w:rFonts w:eastAsiaTheme="minorEastAsia"/>
          <w:rtl/>
        </w:rPr>
        <w:tab/>
      </w:r>
      <w:r w:rsidRPr="00A00A38">
        <w:rPr>
          <w:rFonts w:eastAsiaTheme="minorEastAsia"/>
          <w:bCs/>
          <w:rtl/>
        </w:rPr>
        <w:t>دعم التمثيل العادل للأقليات العرقية في الهيئات المنتخبة والقطاع العام؛</w:t>
      </w:r>
    </w:p>
    <w:p w14:paraId="707F6BA8" w14:textId="59BA822F"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(ج)</w:t>
      </w:r>
      <w:r w:rsidRPr="00ED7B52">
        <w:rPr>
          <w:rFonts w:eastAsiaTheme="minorEastAsia"/>
          <w:rtl/>
        </w:rPr>
        <w:tab/>
      </w:r>
      <w:r w:rsidRPr="00A00A38">
        <w:rPr>
          <w:rFonts w:eastAsiaTheme="minorEastAsia"/>
          <w:bCs/>
          <w:rtl/>
        </w:rPr>
        <w:t>ضمان ألا يكون للقوانين والممارسات الإدارية تأثير متباين على أفراد مجتمعات معينة تحميها الاتفاقية، ولا سيما الأشخاص المنتمين إلى طوائف عرقية - دينية، وأن تلتمس الدولة الطرف آراء المجتمعات المسلمة عند تقييم القوانين والممارسات التي قد يكون لها مثل هذا الأثر؛</w:t>
      </w:r>
    </w:p>
    <w:p w14:paraId="63521094" w14:textId="56E4C4E1"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(د)</w:t>
      </w:r>
      <w:r w:rsidRPr="00ED7B52">
        <w:rPr>
          <w:rFonts w:eastAsiaTheme="minorEastAsia"/>
          <w:rtl/>
        </w:rPr>
        <w:tab/>
      </w:r>
      <w:r w:rsidRPr="00A00A38">
        <w:rPr>
          <w:rFonts w:eastAsiaTheme="minorEastAsia"/>
          <w:bCs/>
          <w:rtl/>
        </w:rPr>
        <w:t>اتخاذ التدابير اللازمة لضمان عدم تطبيق سياستها لنزع الجنسية المزدوجة إلا</w:t>
      </w:r>
      <w:r w:rsidR="00235456" w:rsidRPr="00A00A38">
        <w:rPr>
          <w:rFonts w:eastAsiaTheme="minorEastAsia" w:hint="cs"/>
          <w:bCs/>
          <w:rtl/>
        </w:rPr>
        <w:t> </w:t>
      </w:r>
      <w:r w:rsidRPr="00A00A38">
        <w:rPr>
          <w:rFonts w:eastAsiaTheme="minorEastAsia"/>
          <w:bCs/>
          <w:rtl/>
        </w:rPr>
        <w:t>عندما يتعلق الأمر بالجرائم الجنائية الخطيرة، وعدم تسببها في انعدام الجنسية، وخضوعها لسبل انتصاف قانونية فعالة، وعدم تسببها في آثار تمييزية على أساس العرق أو الأصل الإثني أو الأصل القومي أو النسب.</w:t>
      </w:r>
    </w:p>
    <w:p w14:paraId="5E52E40B" w14:textId="77777777" w:rsidR="00ED7B52" w:rsidRPr="00ED7B52" w:rsidRDefault="00ED7B52" w:rsidP="00ED7B52">
      <w:pPr>
        <w:pStyle w:val="H23GA"/>
        <w:rPr>
          <w:lang w:val="ar-SA" w:eastAsia="zh-TW" w:bidi="en-GB"/>
        </w:rPr>
      </w:pPr>
      <w:r w:rsidRPr="00ED7B52">
        <w:rPr>
          <w:rtl/>
        </w:rPr>
        <w:tab/>
      </w:r>
      <w:r w:rsidRPr="00ED7B52">
        <w:rPr>
          <w:rtl/>
        </w:rPr>
        <w:tab/>
        <w:t>التمييز ضد السكان المنحدرين من أصل أفريقي</w:t>
      </w:r>
    </w:p>
    <w:p w14:paraId="2D035184" w14:textId="33DC5E69" w:rsidR="00ED7B52" w:rsidRPr="00ED7B52" w:rsidRDefault="00ED7B52" w:rsidP="00ED7B52">
      <w:pPr>
        <w:pStyle w:val="SingleTxtGA"/>
        <w:rPr>
          <w:rFonts w:eastAsiaTheme="minorEastAsia"/>
          <w:lang w:val="ar-SA" w:eastAsia="zh-TW" w:bidi="en-GB"/>
        </w:rPr>
      </w:pPr>
      <w:r w:rsidRPr="00A00A38">
        <w:rPr>
          <w:rFonts w:eastAsiaTheme="minorEastAsia"/>
          <w:rtl/>
        </w:rPr>
        <w:t>27</w:t>
      </w:r>
      <w:r>
        <w:rPr>
          <w:rFonts w:eastAsiaTheme="minorEastAsia"/>
          <w:rtl/>
        </w:rPr>
        <w:t>-</w:t>
      </w:r>
      <w:r>
        <w:rPr>
          <w:rFonts w:eastAsiaTheme="minorEastAsia"/>
          <w:rtl/>
        </w:rPr>
        <w:tab/>
      </w:r>
      <w:r w:rsidRPr="00ED7B52">
        <w:rPr>
          <w:rFonts w:eastAsiaTheme="minorEastAsia"/>
          <w:rtl/>
        </w:rPr>
        <w:t>تلاحظ اللجنة أن الدولة الطرف تضطلع بعدة أنشطة للتحقيق في دورها في تجارة الرقيق وتسليط الضوء عليه، بما في ذلك إجراء تحقيق مستقل في التاريخ الوطني للعبودية وتنقيح المناهج الدراسية في البلد. غير أن اللجنة تشعر بالقلق لاستمرار الوصم واستخدام القوالب النمطية السلبية حيال الأشخاص المنحدرين من أصل أفريقي في المجتمع، بما في ذلك عن طريق شخصية الخادمة السوداء بيت. كما</w:t>
      </w:r>
      <w:r>
        <w:rPr>
          <w:rFonts w:eastAsiaTheme="minorEastAsia" w:hint="cs"/>
          <w:rtl/>
        </w:rPr>
        <w:t> </w:t>
      </w:r>
      <w:r w:rsidRPr="00ED7B52">
        <w:rPr>
          <w:rFonts w:eastAsiaTheme="minorEastAsia"/>
          <w:rtl/>
        </w:rPr>
        <w:t xml:space="preserve">يساورها القلق لأن عدم وجود بيانات مفصّلة عن الحالة الاجتماعية والاقتصادية للسكان المنحدرين من أصل أفريقي في الدولة الطرف يحول دون اتخاذ تدابير محدّدة الأهداف وفعالة من أجل التصدي للتمييز ضدهم (المادتان </w:t>
      </w:r>
      <w:r w:rsidRPr="00A00A38">
        <w:rPr>
          <w:rFonts w:eastAsiaTheme="minorEastAsia"/>
          <w:rtl/>
        </w:rPr>
        <w:t>2</w:t>
      </w:r>
      <w:r w:rsidRPr="00ED7B52">
        <w:rPr>
          <w:rFonts w:eastAsiaTheme="minorEastAsia"/>
          <w:rtl/>
        </w:rPr>
        <w:t xml:space="preserve"> و</w:t>
      </w:r>
      <w:r w:rsidRPr="00A00A38">
        <w:rPr>
          <w:rFonts w:eastAsiaTheme="minorEastAsia"/>
          <w:rtl/>
        </w:rPr>
        <w:t>5</w:t>
      </w:r>
      <w:r w:rsidRPr="00ED7B52">
        <w:rPr>
          <w:rFonts w:eastAsiaTheme="minorEastAsia"/>
          <w:rtl/>
        </w:rPr>
        <w:t>).</w:t>
      </w:r>
    </w:p>
    <w:p w14:paraId="735AEE6C" w14:textId="3C21BB1C" w:rsidR="00ED7B52" w:rsidRPr="00A00A38" w:rsidRDefault="00ED7B52" w:rsidP="00ED7B52">
      <w:pPr>
        <w:pStyle w:val="SingleTxtGA"/>
        <w:rPr>
          <w:rFonts w:eastAsiaTheme="minorEastAsia"/>
          <w:bCs/>
        </w:rPr>
      </w:pPr>
      <w:r w:rsidRPr="00A00A38">
        <w:rPr>
          <w:rFonts w:eastAsiaTheme="minorEastAsia"/>
          <w:rtl/>
        </w:rPr>
        <w:t>28</w:t>
      </w:r>
      <w:r>
        <w:rPr>
          <w:rFonts w:eastAsiaTheme="minorEastAsia"/>
          <w:rtl/>
        </w:rPr>
        <w:t>-</w:t>
      </w:r>
      <w:r>
        <w:rPr>
          <w:rFonts w:eastAsiaTheme="minorEastAsia"/>
          <w:rtl/>
        </w:rPr>
        <w:tab/>
      </w:r>
      <w:r w:rsidRPr="00A00A38">
        <w:rPr>
          <w:rFonts w:eastAsiaTheme="minorEastAsia"/>
          <w:bCs/>
          <w:rtl/>
        </w:rPr>
        <w:t>وتوصي اللجنة الدولة الطرف بأن تكافح بحزم القوالب النمطية وبأن تضع وتنفذ تدابير وسياسات محددة للقضاء على التمييز العنصري المتأصل تاريخياً ضد السكان المنحدرين من أصل أفريقي في المجالات السياسية والاجتماعية والاقتصادية، بطرق منها زيادة مشاركتهم في الشأن العام. وتوصيها على وجه الخصوص بما يلي:</w:t>
      </w:r>
    </w:p>
    <w:p w14:paraId="02798B4A" w14:textId="0C747D1A"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(أ)</w:t>
      </w:r>
      <w:r w:rsidRPr="00ED7B52">
        <w:rPr>
          <w:rFonts w:eastAsiaTheme="minorEastAsia"/>
          <w:rtl/>
        </w:rPr>
        <w:tab/>
      </w:r>
      <w:r w:rsidRPr="00A00A38">
        <w:rPr>
          <w:rFonts w:eastAsiaTheme="minorEastAsia"/>
          <w:bCs/>
          <w:rtl/>
        </w:rPr>
        <w:t>النظر في الاعتذار عن دور البلد في تجارة الرقيق، كما أوصى بذلك تقرير اللجنة الاستشارية المعنية بتاريخ العبودية التي أنشأتها الحكومة؛</w:t>
      </w:r>
    </w:p>
    <w:p w14:paraId="0BE158A6" w14:textId="6BEFF9C0" w:rsidR="00ED7B52" w:rsidRPr="00A00A38" w:rsidRDefault="00ED7B52" w:rsidP="00ED7B52">
      <w:pPr>
        <w:pStyle w:val="SingleTxtGA"/>
        <w:rPr>
          <w:rFonts w:eastAsiaTheme="minorEastAsia"/>
          <w:bCs/>
        </w:rPr>
      </w:pPr>
      <w:r>
        <w:rPr>
          <w:rFonts w:eastAsiaTheme="minorEastAsia"/>
          <w:rtl/>
        </w:rPr>
        <w:lastRenderedPageBreak/>
        <w:tab/>
      </w:r>
      <w:r w:rsidRPr="00ED7B52">
        <w:rPr>
          <w:rFonts w:eastAsiaTheme="minorEastAsia"/>
          <w:rtl/>
        </w:rPr>
        <w:t>(ب)</w:t>
      </w:r>
      <w:r w:rsidRPr="00ED7B52">
        <w:rPr>
          <w:rFonts w:eastAsiaTheme="minorEastAsia"/>
          <w:rtl/>
        </w:rPr>
        <w:tab/>
      </w:r>
      <w:r w:rsidRPr="00A00A38">
        <w:rPr>
          <w:rFonts w:eastAsiaTheme="minorEastAsia"/>
          <w:bCs/>
          <w:rtl/>
        </w:rPr>
        <w:t>المضي في توعية عموم الناس بقضايا الاستعمار وتجارة الرقيق، بما في ذلك تأثيرهما المستمر على السكان المنحدرين من أصل أفريقي الذين يعيشون اليوم في مملكة هولندا؛</w:t>
      </w:r>
    </w:p>
    <w:p w14:paraId="5F1285B6" w14:textId="31665F0E"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(ج)</w:t>
      </w:r>
      <w:r w:rsidRPr="00ED7B52">
        <w:rPr>
          <w:rFonts w:eastAsiaTheme="minorEastAsia"/>
          <w:rtl/>
        </w:rPr>
        <w:tab/>
      </w:r>
      <w:r w:rsidRPr="00A00A38">
        <w:rPr>
          <w:rFonts w:eastAsiaTheme="minorEastAsia"/>
          <w:bCs/>
          <w:rtl/>
        </w:rPr>
        <w:t>تعزيز الحوار مع ممثلي السكان المنحدرين من أصل أفريقي بشأن مسائل التمييز</w:t>
      </w:r>
      <w:r w:rsidRPr="00A00A38">
        <w:rPr>
          <w:rFonts w:eastAsiaTheme="minorEastAsia" w:hint="cs"/>
          <w:bCs/>
          <w:rtl/>
        </w:rPr>
        <w:t> </w:t>
      </w:r>
      <w:r w:rsidRPr="00A00A38">
        <w:rPr>
          <w:rFonts w:eastAsiaTheme="minorEastAsia"/>
          <w:bCs/>
          <w:rtl/>
        </w:rPr>
        <w:t xml:space="preserve">العنصري؛ </w:t>
      </w:r>
    </w:p>
    <w:p w14:paraId="64A08ACC" w14:textId="3F596AE9"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(د)</w:t>
      </w:r>
      <w:r w:rsidRPr="00ED7B52">
        <w:rPr>
          <w:rFonts w:eastAsiaTheme="minorEastAsia"/>
          <w:rtl/>
        </w:rPr>
        <w:tab/>
      </w:r>
      <w:r w:rsidRPr="00A00A38">
        <w:rPr>
          <w:rFonts w:eastAsiaTheme="minorEastAsia"/>
          <w:bCs/>
          <w:rtl/>
        </w:rPr>
        <w:t xml:space="preserve">القيام على نحو نشط بتوعية عموم الناس بالأثر السلبي لشخصية الخادمة السوداء بيت على كرامة الأطفال والبالغين المنحدرين من أصل أفريقي وعلى احترامهم لذاتهم، والدعوة إلى القضاء على سمات شخصية الخادمة السوداء بيت التي تعكس قوالب نمطية تمييزية؛ </w:t>
      </w:r>
    </w:p>
    <w:p w14:paraId="7DF9900B" w14:textId="646749C7"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(هـ)</w:t>
      </w:r>
      <w:r w:rsidRPr="00ED7B52">
        <w:rPr>
          <w:rFonts w:eastAsiaTheme="minorEastAsia"/>
          <w:rtl/>
        </w:rPr>
        <w:tab/>
      </w:r>
      <w:r w:rsidRPr="00A00A38">
        <w:rPr>
          <w:rFonts w:eastAsiaTheme="minorEastAsia"/>
          <w:bCs/>
          <w:rtl/>
        </w:rPr>
        <w:t>تقديم بيانات مفصلة في تقريرها الدوري المقبل عن الحالة الاجتماعية والاقتصادية للسكان المنحدرين من أصل أفريقي، بما في ذلك من منظور جنساني.</w:t>
      </w:r>
    </w:p>
    <w:p w14:paraId="6A17F153" w14:textId="77777777" w:rsidR="00ED7B52" w:rsidRPr="00ED7B52" w:rsidRDefault="00ED7B52" w:rsidP="00ED7B52">
      <w:pPr>
        <w:pStyle w:val="H23GA"/>
        <w:rPr>
          <w:lang w:val="ar-SA" w:eastAsia="zh-TW" w:bidi="en-GB"/>
        </w:rPr>
      </w:pPr>
      <w:r w:rsidRPr="00ED7B52">
        <w:rPr>
          <w:rtl/>
        </w:rPr>
        <w:tab/>
      </w:r>
      <w:r w:rsidRPr="00ED7B52">
        <w:rPr>
          <w:rtl/>
        </w:rPr>
        <w:tab/>
        <w:t>التمييز ضد مواطني مملكة هولندا المولودين في منطقة البحر الكاريبي</w:t>
      </w:r>
    </w:p>
    <w:p w14:paraId="3391FCC2" w14:textId="39F14448" w:rsidR="00ED7B52" w:rsidRPr="00ED7B52" w:rsidRDefault="00ED7B52" w:rsidP="00ED7B52">
      <w:pPr>
        <w:pStyle w:val="SingleTxtGA"/>
        <w:rPr>
          <w:rFonts w:eastAsiaTheme="minorEastAsia"/>
          <w:lang w:val="ar-SA" w:eastAsia="zh-TW" w:bidi="en-GB"/>
        </w:rPr>
      </w:pPr>
      <w:r w:rsidRPr="00A00A38">
        <w:rPr>
          <w:rFonts w:eastAsiaTheme="minorEastAsia"/>
          <w:rtl/>
        </w:rPr>
        <w:t>29</w:t>
      </w:r>
      <w:r w:rsidRPr="00ED7B52">
        <w:rPr>
          <w:rFonts w:eastAsiaTheme="minorEastAsia"/>
          <w:rtl/>
        </w:rPr>
        <w:t>-</w:t>
      </w:r>
      <w:r w:rsidRPr="00ED7B52">
        <w:rPr>
          <w:rFonts w:eastAsiaTheme="minorEastAsia"/>
          <w:rtl/>
        </w:rPr>
        <w:tab/>
        <w:t xml:space="preserve">يساور اللجنة القلق إزاء تقرير يفيد بأن الدعم الاقتصادي المقدم إلى </w:t>
      </w:r>
      <w:proofErr w:type="gramStart"/>
      <w:r w:rsidRPr="00ED7B52">
        <w:rPr>
          <w:rFonts w:eastAsiaTheme="minorEastAsia"/>
          <w:rtl/>
        </w:rPr>
        <w:t>أروبا</w:t>
      </w:r>
      <w:proofErr w:type="gramEnd"/>
      <w:r w:rsidRPr="00ED7B52">
        <w:rPr>
          <w:rFonts w:eastAsiaTheme="minorEastAsia"/>
          <w:rtl/>
        </w:rPr>
        <w:t xml:space="preserve"> </w:t>
      </w:r>
      <w:proofErr w:type="spellStart"/>
      <w:r w:rsidRPr="00ED7B52">
        <w:rPr>
          <w:rFonts w:eastAsiaTheme="minorEastAsia"/>
          <w:rtl/>
        </w:rPr>
        <w:t>وكوراساو</w:t>
      </w:r>
      <w:proofErr w:type="spellEnd"/>
      <w:r w:rsidRPr="00ED7B52">
        <w:rPr>
          <w:rFonts w:eastAsiaTheme="minorEastAsia"/>
          <w:rtl/>
        </w:rPr>
        <w:t xml:space="preserve"> وسان مارتن في سياق جائحة كوفيد-</w:t>
      </w:r>
      <w:r w:rsidRPr="00A00A38">
        <w:rPr>
          <w:rFonts w:eastAsiaTheme="minorEastAsia"/>
          <w:rtl/>
        </w:rPr>
        <w:t>19</w:t>
      </w:r>
      <w:r w:rsidRPr="00ED7B52">
        <w:rPr>
          <w:rFonts w:eastAsiaTheme="minorEastAsia"/>
          <w:rtl/>
        </w:rPr>
        <w:t xml:space="preserve"> كان مرتبط</w:t>
      </w:r>
      <w:r>
        <w:rPr>
          <w:rFonts w:eastAsiaTheme="minorEastAsia"/>
          <w:rtl/>
        </w:rPr>
        <w:t xml:space="preserve">اً </w:t>
      </w:r>
      <w:r w:rsidRPr="00ED7B52">
        <w:rPr>
          <w:rFonts w:eastAsiaTheme="minorEastAsia"/>
          <w:rtl/>
        </w:rPr>
        <w:t>بشروط، وبالتالي كان أقل أهمية من الدعم المقدم إلى هولندا، وكانت المساعدة المقدمة لتخفيف الأثر الاقتصادي السلبي للجائحة على الأقليات العرقية في الأجزاء غير الأوروبية من المملكة ضعيفة. وتلاحظ اللجنة أيض</w:t>
      </w:r>
      <w:r>
        <w:rPr>
          <w:rFonts w:eastAsiaTheme="minorEastAsia"/>
          <w:rtl/>
        </w:rPr>
        <w:t xml:space="preserve">اً </w:t>
      </w:r>
      <w:r w:rsidRPr="00ED7B52">
        <w:rPr>
          <w:rFonts w:eastAsiaTheme="minorEastAsia"/>
          <w:rtl/>
        </w:rPr>
        <w:t xml:space="preserve">بقلق التقارير التي تتحدث عما </w:t>
      </w:r>
      <w:proofErr w:type="spellStart"/>
      <w:r w:rsidRPr="00ED7B52">
        <w:rPr>
          <w:rFonts w:eastAsiaTheme="minorEastAsia"/>
          <w:rtl/>
        </w:rPr>
        <w:t>يواجهه</w:t>
      </w:r>
      <w:proofErr w:type="spellEnd"/>
      <w:r w:rsidRPr="00ED7B52">
        <w:rPr>
          <w:rFonts w:eastAsiaTheme="minorEastAsia"/>
          <w:rtl/>
        </w:rPr>
        <w:t xml:space="preserve"> سكان الجزء الكاريبي من مملكة هولندا من صعوبات لإعمال حقهم في تقرير المصير إعمال</w:t>
      </w:r>
      <w:r>
        <w:rPr>
          <w:rFonts w:eastAsiaTheme="minorEastAsia"/>
          <w:rtl/>
        </w:rPr>
        <w:t xml:space="preserve">اً </w:t>
      </w:r>
      <w:r w:rsidRPr="00ED7B52">
        <w:rPr>
          <w:rFonts w:eastAsiaTheme="minorEastAsia"/>
          <w:rtl/>
        </w:rPr>
        <w:t>كامل</w:t>
      </w:r>
      <w:r>
        <w:rPr>
          <w:rFonts w:eastAsiaTheme="minorEastAsia"/>
          <w:rtl/>
        </w:rPr>
        <w:t xml:space="preserve">اً. </w:t>
      </w:r>
      <w:r w:rsidRPr="00ED7B52">
        <w:rPr>
          <w:rFonts w:eastAsiaTheme="minorEastAsia"/>
          <w:rtl/>
        </w:rPr>
        <w:t xml:space="preserve">ويساور اللجنة القلق إزاء التقارير التي تفيد بأن الهيئة التشريعية والحكومات المحلية، داخل هولندا، تميز بين مواطني مملكة هولندا المولودين في هولندا وموطنيها المولودين في </w:t>
      </w:r>
      <w:proofErr w:type="gramStart"/>
      <w:r w:rsidRPr="00ED7B52">
        <w:rPr>
          <w:rFonts w:eastAsiaTheme="minorEastAsia"/>
          <w:rtl/>
        </w:rPr>
        <w:t>أروبا</w:t>
      </w:r>
      <w:proofErr w:type="gramEnd"/>
      <w:r w:rsidRPr="00ED7B52">
        <w:rPr>
          <w:rFonts w:eastAsiaTheme="minorEastAsia"/>
          <w:rtl/>
        </w:rPr>
        <w:t xml:space="preserve"> </w:t>
      </w:r>
      <w:proofErr w:type="spellStart"/>
      <w:r w:rsidRPr="00ED7B52">
        <w:rPr>
          <w:rFonts w:eastAsiaTheme="minorEastAsia"/>
          <w:rtl/>
        </w:rPr>
        <w:t>وكوراساو</w:t>
      </w:r>
      <w:proofErr w:type="spellEnd"/>
      <w:r w:rsidRPr="00ED7B52">
        <w:rPr>
          <w:rFonts w:eastAsiaTheme="minorEastAsia"/>
          <w:rtl/>
        </w:rPr>
        <w:t xml:space="preserve"> وسان مارتن أو المهاجرين منها، وذلك مثل</w:t>
      </w:r>
      <w:r>
        <w:rPr>
          <w:rFonts w:eastAsiaTheme="minorEastAsia"/>
          <w:rtl/>
        </w:rPr>
        <w:t xml:space="preserve">اً </w:t>
      </w:r>
      <w:r w:rsidRPr="00ED7B52">
        <w:rPr>
          <w:rFonts w:eastAsiaTheme="minorEastAsia"/>
          <w:rtl/>
        </w:rPr>
        <w:t xml:space="preserve">فيما يتعلق بحرية التنقل (المادتان </w:t>
      </w:r>
      <w:r w:rsidRPr="00A00A38">
        <w:rPr>
          <w:rFonts w:eastAsiaTheme="minorEastAsia"/>
          <w:rtl/>
        </w:rPr>
        <w:t>2</w:t>
      </w:r>
      <w:r w:rsidRPr="00ED7B52">
        <w:rPr>
          <w:rFonts w:eastAsiaTheme="minorEastAsia"/>
          <w:rtl/>
        </w:rPr>
        <w:t xml:space="preserve"> و</w:t>
      </w:r>
      <w:r w:rsidRPr="00A00A38">
        <w:rPr>
          <w:rFonts w:eastAsiaTheme="minorEastAsia"/>
          <w:rtl/>
        </w:rPr>
        <w:t>5</w:t>
      </w:r>
      <w:r w:rsidRPr="00ED7B52">
        <w:rPr>
          <w:rFonts w:eastAsiaTheme="minorEastAsia"/>
          <w:rtl/>
        </w:rPr>
        <w:t>).</w:t>
      </w:r>
    </w:p>
    <w:p w14:paraId="029A5EC5" w14:textId="70D8F523" w:rsidR="00ED7B52" w:rsidRPr="00A00A38" w:rsidRDefault="00ED7B52" w:rsidP="00ED7B52">
      <w:pPr>
        <w:pStyle w:val="SingleTxtGA"/>
        <w:rPr>
          <w:rFonts w:eastAsiaTheme="minorEastAsia"/>
          <w:bCs/>
        </w:rPr>
      </w:pPr>
      <w:r w:rsidRPr="00A00A38">
        <w:rPr>
          <w:rFonts w:eastAsiaTheme="minorEastAsia"/>
          <w:rtl/>
        </w:rPr>
        <w:t>30</w:t>
      </w:r>
      <w:r w:rsidRPr="00ED7B52">
        <w:rPr>
          <w:rFonts w:eastAsiaTheme="minorEastAsia"/>
          <w:rtl/>
        </w:rPr>
        <w:t>-</w:t>
      </w:r>
      <w:r w:rsidRPr="00ED7B52">
        <w:rPr>
          <w:rFonts w:eastAsiaTheme="minorEastAsia"/>
          <w:rtl/>
        </w:rPr>
        <w:tab/>
      </w:r>
      <w:r w:rsidRPr="00A00A38">
        <w:rPr>
          <w:rFonts w:eastAsiaTheme="minorEastAsia"/>
          <w:bCs/>
          <w:rtl/>
        </w:rPr>
        <w:t xml:space="preserve">وتوصي اللجنة الدولة الطرف بتقييم أثر الدعم الاقتصادي المقدم خلال جائحة كوفيد-19 على سكان </w:t>
      </w:r>
      <w:proofErr w:type="gramStart"/>
      <w:r w:rsidRPr="00A00A38">
        <w:rPr>
          <w:rFonts w:eastAsiaTheme="minorEastAsia"/>
          <w:bCs/>
          <w:rtl/>
        </w:rPr>
        <w:t>أروبا</w:t>
      </w:r>
      <w:proofErr w:type="gramEnd"/>
      <w:r w:rsidRPr="00A00A38">
        <w:rPr>
          <w:rFonts w:eastAsiaTheme="minorEastAsia"/>
          <w:bCs/>
          <w:rtl/>
        </w:rPr>
        <w:t xml:space="preserve"> </w:t>
      </w:r>
      <w:proofErr w:type="spellStart"/>
      <w:r w:rsidRPr="00A00A38">
        <w:rPr>
          <w:rFonts w:eastAsiaTheme="minorEastAsia"/>
          <w:bCs/>
          <w:rtl/>
        </w:rPr>
        <w:t>وكوراساو</w:t>
      </w:r>
      <w:proofErr w:type="spellEnd"/>
      <w:r w:rsidRPr="00A00A38">
        <w:rPr>
          <w:rFonts w:eastAsiaTheme="minorEastAsia"/>
          <w:bCs/>
          <w:rtl/>
        </w:rPr>
        <w:t xml:space="preserve"> وسان مارتن، مقارنة بتأثيره على سكان هولندا، وضمان عدم حدوث أي</w:t>
      </w:r>
      <w:r w:rsidR="00695151" w:rsidRPr="00A00A38">
        <w:rPr>
          <w:rFonts w:eastAsiaTheme="minorEastAsia" w:hint="cs"/>
          <w:bCs/>
          <w:rtl/>
        </w:rPr>
        <w:t> </w:t>
      </w:r>
      <w:r w:rsidRPr="00A00A38">
        <w:rPr>
          <w:rFonts w:eastAsiaTheme="minorEastAsia"/>
          <w:bCs/>
          <w:rtl/>
        </w:rPr>
        <w:t xml:space="preserve">تمييز في التمتع بحقوقهم بموجب الاتفاقية. وتوصيها اللجنة أيضاً بأن تكفل استقلالية شعوب الجزء الكاريبي من المملكة وأن تكفل مشاركتها في عمليات صنع القرار التي تهمها بشكل خاص في الدولة الطرف. وتوصيها كذلك بالتحاور مع ممثلي سكان الجزء الكاريبي من المملكة الذين تعرضوا للتمييز بسبب عرقهم أو أصلهم الإثني، لفهم شواغلهم ومعالجتها. وتوصي اللجنة الدولة الطرف باتخاذ التدابير اللازمة من أجل التصدي لأي تمييز بين مواطني مملكة هولندا المولودين في </w:t>
      </w:r>
      <w:proofErr w:type="gramStart"/>
      <w:r w:rsidRPr="00A00A38">
        <w:rPr>
          <w:rFonts w:eastAsiaTheme="minorEastAsia"/>
          <w:bCs/>
          <w:rtl/>
        </w:rPr>
        <w:t>أروبا</w:t>
      </w:r>
      <w:proofErr w:type="gramEnd"/>
      <w:r w:rsidRPr="00A00A38">
        <w:rPr>
          <w:rFonts w:eastAsiaTheme="minorEastAsia"/>
          <w:bCs/>
          <w:rtl/>
        </w:rPr>
        <w:t xml:space="preserve"> </w:t>
      </w:r>
      <w:proofErr w:type="spellStart"/>
      <w:r w:rsidRPr="00A00A38">
        <w:rPr>
          <w:rFonts w:eastAsiaTheme="minorEastAsia"/>
          <w:bCs/>
          <w:rtl/>
        </w:rPr>
        <w:t>وكوراساو</w:t>
      </w:r>
      <w:proofErr w:type="spellEnd"/>
      <w:r w:rsidRPr="00A00A38">
        <w:rPr>
          <w:rFonts w:eastAsiaTheme="minorEastAsia"/>
          <w:bCs/>
          <w:rtl/>
        </w:rPr>
        <w:t xml:space="preserve"> وسان مارتن ومواطنيها المولودين في هولندا، وتعزيز المساواة بينهم. </w:t>
      </w:r>
    </w:p>
    <w:p w14:paraId="77325932" w14:textId="77777777" w:rsidR="00ED7B52" w:rsidRPr="00ED7B52" w:rsidRDefault="00ED7B52" w:rsidP="00ED7B52">
      <w:pPr>
        <w:pStyle w:val="H23GA"/>
        <w:rPr>
          <w:lang w:val="ar-SA" w:eastAsia="zh-TW" w:bidi="en-GB"/>
        </w:rPr>
      </w:pPr>
      <w:r w:rsidRPr="00ED7B52">
        <w:rPr>
          <w:rtl/>
        </w:rPr>
        <w:tab/>
      </w:r>
      <w:r w:rsidRPr="00ED7B52">
        <w:rPr>
          <w:rtl/>
        </w:rPr>
        <w:tab/>
        <w:t>التمييز ضد الروما والسنتي والرحل</w:t>
      </w:r>
    </w:p>
    <w:p w14:paraId="6194C4C2" w14:textId="765D33E5" w:rsidR="00ED7B52" w:rsidRPr="00ED7B52" w:rsidRDefault="00ED7B52" w:rsidP="00ED7B52">
      <w:pPr>
        <w:pStyle w:val="SingleTxtGA"/>
        <w:rPr>
          <w:rFonts w:eastAsiaTheme="minorEastAsia"/>
          <w:lang w:val="ar-SA" w:eastAsia="zh-TW" w:bidi="en-GB"/>
        </w:rPr>
      </w:pPr>
      <w:r w:rsidRPr="00A00A38">
        <w:rPr>
          <w:rFonts w:eastAsiaTheme="minorEastAsia"/>
          <w:rtl/>
        </w:rPr>
        <w:t>31</w:t>
      </w:r>
      <w:r>
        <w:rPr>
          <w:rFonts w:eastAsiaTheme="minorEastAsia"/>
          <w:rtl/>
        </w:rPr>
        <w:t>-</w:t>
      </w:r>
      <w:r>
        <w:rPr>
          <w:rFonts w:eastAsiaTheme="minorEastAsia"/>
          <w:rtl/>
        </w:rPr>
        <w:tab/>
      </w:r>
      <w:r w:rsidRPr="00ED7B52">
        <w:rPr>
          <w:rFonts w:eastAsiaTheme="minorEastAsia"/>
          <w:rtl/>
        </w:rPr>
        <w:t>يساور اللجنة القلق إزاء البحوث التي تبين أن الإدماج الاجتماعي للروما والسنتي والرحل لا</w:t>
      </w:r>
      <w:r>
        <w:rPr>
          <w:rFonts w:eastAsiaTheme="minorEastAsia" w:hint="cs"/>
          <w:rtl/>
        </w:rPr>
        <w:t> </w:t>
      </w:r>
      <w:r w:rsidRPr="00ED7B52">
        <w:rPr>
          <w:rFonts w:eastAsiaTheme="minorEastAsia"/>
          <w:rtl/>
        </w:rPr>
        <w:t>يزال ضعيف</w:t>
      </w:r>
      <w:r>
        <w:rPr>
          <w:rFonts w:eastAsiaTheme="minorEastAsia"/>
          <w:rtl/>
        </w:rPr>
        <w:t xml:space="preserve">اً </w:t>
      </w:r>
      <w:r w:rsidRPr="00ED7B52">
        <w:rPr>
          <w:rFonts w:eastAsiaTheme="minorEastAsia"/>
          <w:rtl/>
        </w:rPr>
        <w:t xml:space="preserve">مقارنة بغيرهم من المقيمين في البلديات فيما يتعلق بالعمالة والتعليم والسكن. كما تشعر اللجنة بالقلق إزاء التقارير التي تفيد بأن بعض البلديات لم تنفذ بعد الإطار </w:t>
      </w:r>
      <w:proofErr w:type="spellStart"/>
      <w:r w:rsidRPr="00ED7B52">
        <w:rPr>
          <w:rFonts w:eastAsiaTheme="minorEastAsia"/>
          <w:rtl/>
        </w:rPr>
        <w:t>السياساتي</w:t>
      </w:r>
      <w:proofErr w:type="spellEnd"/>
      <w:r w:rsidRPr="00ED7B52">
        <w:rPr>
          <w:rFonts w:eastAsiaTheme="minorEastAsia"/>
          <w:rtl/>
        </w:rPr>
        <w:t xml:space="preserve"> لعام </w:t>
      </w:r>
      <w:r w:rsidRPr="00A00A38">
        <w:rPr>
          <w:rFonts w:eastAsiaTheme="minorEastAsia"/>
          <w:rtl/>
        </w:rPr>
        <w:t>2018</w:t>
      </w:r>
      <w:r w:rsidRPr="00ED7B52">
        <w:rPr>
          <w:rFonts w:eastAsiaTheme="minorEastAsia"/>
          <w:rtl/>
        </w:rPr>
        <w:t xml:space="preserve"> لمواقع استقبال الرحل في البلديات (المادة </w:t>
      </w:r>
      <w:r w:rsidRPr="00A00A38">
        <w:rPr>
          <w:rFonts w:eastAsiaTheme="minorEastAsia"/>
          <w:rtl/>
        </w:rPr>
        <w:t>5</w:t>
      </w:r>
      <w:r w:rsidRPr="00ED7B52">
        <w:rPr>
          <w:rFonts w:eastAsiaTheme="minorEastAsia"/>
          <w:rtl/>
        </w:rPr>
        <w:t>).</w:t>
      </w:r>
    </w:p>
    <w:p w14:paraId="234D1F1E" w14:textId="353E6E93" w:rsidR="00ED7B52" w:rsidRPr="00A00A38" w:rsidRDefault="00ED7B52" w:rsidP="00ED7B52">
      <w:pPr>
        <w:pStyle w:val="SingleTxtGA"/>
        <w:rPr>
          <w:rFonts w:eastAsiaTheme="minorEastAsia"/>
          <w:bCs/>
          <w:lang w:val="en-US" w:eastAsia="zh-TW" w:bidi="en-GB"/>
        </w:rPr>
      </w:pPr>
      <w:r w:rsidRPr="00A00A38">
        <w:rPr>
          <w:rFonts w:eastAsiaTheme="minorEastAsia"/>
          <w:rtl/>
        </w:rPr>
        <w:t>32</w:t>
      </w:r>
      <w:r w:rsidRPr="00ED7B52">
        <w:rPr>
          <w:rFonts w:eastAsiaTheme="minorEastAsia"/>
          <w:rtl/>
        </w:rPr>
        <w:t>-</w:t>
      </w:r>
      <w:r w:rsidRPr="00ED7B52">
        <w:rPr>
          <w:rFonts w:eastAsiaTheme="minorEastAsia"/>
          <w:rtl/>
        </w:rPr>
        <w:tab/>
      </w:r>
      <w:r w:rsidRPr="00A00A38">
        <w:rPr>
          <w:rFonts w:eastAsiaTheme="minorEastAsia"/>
          <w:bCs/>
          <w:rtl/>
        </w:rPr>
        <w:t>وتذكر اللجنة بالتوصية العامة رقم 27(2000) والتوصية العام رقم 32(2009) وتوصي الدولة الطرف بتقديم دعم موجه للروما والسنتي والرحل في مجالات السكن والتعليم والعمالة.</w:t>
      </w:r>
      <w:r w:rsidRPr="00695151">
        <w:rPr>
          <w:rFonts w:eastAsiaTheme="minorEastAsia"/>
          <w:bCs/>
          <w:rtl/>
        </w:rPr>
        <w:t xml:space="preserve"> </w:t>
      </w:r>
      <w:r w:rsidRPr="00A00A38">
        <w:rPr>
          <w:rFonts w:eastAsiaTheme="minorEastAsia"/>
          <w:bCs/>
          <w:rtl/>
        </w:rPr>
        <w:t>وتوصيها</w:t>
      </w:r>
      <w:r w:rsidRPr="00A00A38">
        <w:rPr>
          <w:rFonts w:eastAsiaTheme="minorEastAsia" w:hint="cs"/>
          <w:bCs/>
          <w:rtl/>
        </w:rPr>
        <w:t> </w:t>
      </w:r>
      <w:r w:rsidRPr="00A00A38">
        <w:rPr>
          <w:rFonts w:eastAsiaTheme="minorEastAsia"/>
          <w:bCs/>
          <w:rtl/>
        </w:rPr>
        <w:t>أيضاً باتخاذ التدابير اللازمة من أجل التصدي لظاهرة معاداة الغجر.</w:t>
      </w:r>
      <w:r w:rsidRPr="00695151">
        <w:rPr>
          <w:rFonts w:eastAsiaTheme="minorEastAsia"/>
          <w:bCs/>
          <w:rtl/>
        </w:rPr>
        <w:t xml:space="preserve"> </w:t>
      </w:r>
      <w:r w:rsidRPr="00A00A38">
        <w:rPr>
          <w:rFonts w:eastAsiaTheme="minorEastAsia"/>
          <w:bCs/>
          <w:rtl/>
        </w:rPr>
        <w:t>وتوصيها على وجه الخصوص بما يلي:</w:t>
      </w:r>
    </w:p>
    <w:p w14:paraId="60AF972A" w14:textId="7725C22A" w:rsidR="00ED7B52" w:rsidRPr="00A00A38" w:rsidRDefault="00ED7B52" w:rsidP="00ED7B52">
      <w:pPr>
        <w:pStyle w:val="SingleTxtGA"/>
        <w:rPr>
          <w:rFonts w:eastAsiaTheme="minorEastAsia"/>
          <w:bCs/>
          <w:lang w:val="ar-SA" w:eastAsia="zh-TW" w:bidi="en-GB"/>
        </w:rPr>
      </w:pPr>
      <w:r>
        <w:rPr>
          <w:rFonts w:eastAsiaTheme="minorEastAsia"/>
          <w:rtl/>
        </w:rPr>
        <w:lastRenderedPageBreak/>
        <w:tab/>
      </w:r>
      <w:r w:rsidRPr="00ED7B52">
        <w:rPr>
          <w:rFonts w:eastAsiaTheme="minorEastAsia"/>
          <w:rtl/>
        </w:rPr>
        <w:t>(أ)</w:t>
      </w:r>
      <w:r w:rsidRPr="00ED7B52">
        <w:rPr>
          <w:rFonts w:eastAsiaTheme="minorEastAsia"/>
          <w:rtl/>
        </w:rPr>
        <w:tab/>
      </w:r>
      <w:r w:rsidRPr="00A00A38">
        <w:rPr>
          <w:rFonts w:eastAsiaTheme="minorEastAsia"/>
          <w:bCs/>
          <w:rtl/>
        </w:rPr>
        <w:t>تقييم مدى فعالية التدابير الحالية لدعم تعليم أطفال الروما والسنتي والرحالة، واتخاذ تدابير لتحسين نتائجها؛</w:t>
      </w:r>
    </w:p>
    <w:p w14:paraId="4B471B38" w14:textId="7E96C5C2"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(ب)</w:t>
      </w:r>
      <w:r w:rsidRPr="00ED7B52">
        <w:rPr>
          <w:rFonts w:eastAsiaTheme="minorEastAsia"/>
          <w:rtl/>
        </w:rPr>
        <w:tab/>
      </w:r>
      <w:r w:rsidRPr="00A00A38">
        <w:rPr>
          <w:rFonts w:eastAsiaTheme="minorEastAsia"/>
          <w:bCs/>
          <w:rtl/>
        </w:rPr>
        <w:t>تقديم الدعم إلى عديمي الجنسية من الروما والسنتي والرحل المؤهلين للحصول على جنسية مملكة هولندا لكن تواجههم مشاكل في إجراءات التجنس؛</w:t>
      </w:r>
    </w:p>
    <w:p w14:paraId="01EC21F1" w14:textId="792D9118"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(ج)</w:t>
      </w:r>
      <w:r w:rsidRPr="00ED7B52">
        <w:rPr>
          <w:rFonts w:eastAsiaTheme="minorEastAsia"/>
          <w:rtl/>
        </w:rPr>
        <w:tab/>
      </w:r>
      <w:r w:rsidRPr="00A00A38">
        <w:rPr>
          <w:rFonts w:eastAsiaTheme="minorEastAsia"/>
          <w:bCs/>
          <w:rtl/>
        </w:rPr>
        <w:t xml:space="preserve">ضمان أن يستند أي قرار يؤثر في الروما والسنتي والرحل إلى التشاور المسبق مع ممثلي هذه المجموعات؛ </w:t>
      </w:r>
    </w:p>
    <w:p w14:paraId="5ADED1EC" w14:textId="004976AD"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(د)</w:t>
      </w:r>
      <w:r w:rsidRPr="00ED7B52">
        <w:rPr>
          <w:rFonts w:eastAsiaTheme="minorEastAsia"/>
          <w:rtl/>
        </w:rPr>
        <w:tab/>
      </w:r>
      <w:r w:rsidRPr="00A00A38">
        <w:rPr>
          <w:rFonts w:eastAsiaTheme="minorEastAsia"/>
          <w:bCs/>
          <w:rtl/>
        </w:rPr>
        <w:t xml:space="preserve">تشجيع استخدام الدليل الذي وُضع مؤخراً وسيُنشر قريباً لمعالجة معاداة الغجر بين جميع السلطات المعنية وتقييم أثره؛ </w:t>
      </w:r>
    </w:p>
    <w:p w14:paraId="31282D7E" w14:textId="4573C4D4" w:rsidR="00ED7B52" w:rsidRPr="00A00A38" w:rsidRDefault="00ED7B52" w:rsidP="00ED7B52">
      <w:pPr>
        <w:pStyle w:val="SingleTxtGA"/>
        <w:rPr>
          <w:rFonts w:eastAsiaTheme="minorEastAsia"/>
          <w:bCs/>
        </w:rPr>
      </w:pPr>
      <w:r>
        <w:rPr>
          <w:rFonts w:eastAsiaTheme="minorEastAsia"/>
          <w:rtl/>
        </w:rPr>
        <w:tab/>
      </w:r>
      <w:r w:rsidRPr="00ED7B52">
        <w:rPr>
          <w:rFonts w:eastAsiaTheme="minorEastAsia"/>
          <w:rtl/>
        </w:rPr>
        <w:t>(هـ)</w:t>
      </w:r>
      <w:r w:rsidRPr="00ED7B52">
        <w:rPr>
          <w:rFonts w:eastAsiaTheme="minorEastAsia"/>
          <w:rtl/>
        </w:rPr>
        <w:tab/>
      </w:r>
      <w:r w:rsidRPr="00A00A38">
        <w:rPr>
          <w:rFonts w:eastAsiaTheme="minorEastAsia"/>
          <w:bCs/>
          <w:rtl/>
        </w:rPr>
        <w:t xml:space="preserve">ضمان تنفيذ جميع البلديات للإطار </w:t>
      </w:r>
      <w:proofErr w:type="spellStart"/>
      <w:r w:rsidR="00F55CCB">
        <w:rPr>
          <w:rFonts w:eastAsiaTheme="minorEastAsia" w:hint="cs"/>
          <w:bCs/>
          <w:rtl/>
        </w:rPr>
        <w:t>السياساتي</w:t>
      </w:r>
      <w:proofErr w:type="spellEnd"/>
      <w:r w:rsidRPr="00A00A38">
        <w:rPr>
          <w:rFonts w:eastAsiaTheme="minorEastAsia"/>
          <w:bCs/>
          <w:rtl/>
        </w:rPr>
        <w:t xml:space="preserve"> لعام 2018 بشأن مواقع استقبال الرحل في البلديات.</w:t>
      </w:r>
    </w:p>
    <w:p w14:paraId="6D6614AF" w14:textId="77777777" w:rsidR="00ED7B52" w:rsidRPr="00F55CCB" w:rsidRDefault="00ED7B52" w:rsidP="00ED7B52">
      <w:pPr>
        <w:pStyle w:val="H23GA"/>
        <w:rPr>
          <w:lang w:val="en-US" w:eastAsia="zh-TW" w:bidi="en-GB"/>
        </w:rPr>
      </w:pPr>
      <w:r w:rsidRPr="00ED7B52">
        <w:rPr>
          <w:rtl/>
        </w:rPr>
        <w:tab/>
      </w:r>
      <w:r w:rsidRPr="00ED7B52">
        <w:rPr>
          <w:rtl/>
        </w:rPr>
        <w:tab/>
        <w:t xml:space="preserve">الإدماج المدني </w:t>
      </w:r>
    </w:p>
    <w:p w14:paraId="00347C95" w14:textId="77777777" w:rsidR="00ED7B52" w:rsidRPr="00ED7B52" w:rsidRDefault="00ED7B52" w:rsidP="00ED7B52">
      <w:pPr>
        <w:pStyle w:val="SingleTxtGA"/>
        <w:rPr>
          <w:rFonts w:eastAsiaTheme="minorEastAsia"/>
          <w:lang w:val="ar-SA" w:eastAsia="zh-TW" w:bidi="en-GB"/>
        </w:rPr>
      </w:pPr>
      <w:r w:rsidRPr="00A00A38">
        <w:rPr>
          <w:rFonts w:eastAsiaTheme="minorEastAsia"/>
          <w:rtl/>
        </w:rPr>
        <w:t>33</w:t>
      </w:r>
      <w:r w:rsidRPr="00ED7B52">
        <w:rPr>
          <w:rFonts w:eastAsiaTheme="minorEastAsia"/>
          <w:rtl/>
        </w:rPr>
        <w:t>-</w:t>
      </w:r>
      <w:r w:rsidRPr="00ED7B52">
        <w:rPr>
          <w:rFonts w:eastAsiaTheme="minorEastAsia"/>
          <w:rtl/>
        </w:rPr>
        <w:tab/>
        <w:t xml:space="preserve">تلاحظ اللجنة أنه بموجب القانون الجديد المتعلق بالإدماج المدني الذي دخل حيز النفاذ في </w:t>
      </w:r>
      <w:r w:rsidRPr="00A00A38">
        <w:rPr>
          <w:rFonts w:eastAsiaTheme="minorEastAsia"/>
          <w:rtl/>
        </w:rPr>
        <w:t>1</w:t>
      </w:r>
      <w:r w:rsidRPr="00ED7B52">
        <w:rPr>
          <w:rFonts w:eastAsiaTheme="minorEastAsia"/>
          <w:rtl/>
        </w:rPr>
        <w:t xml:space="preserve"> كانون الثاني/يناير </w:t>
      </w:r>
      <w:r w:rsidRPr="00A00A38">
        <w:rPr>
          <w:rFonts w:eastAsiaTheme="minorEastAsia"/>
          <w:rtl/>
        </w:rPr>
        <w:t>2022</w:t>
      </w:r>
      <w:r w:rsidRPr="00ED7B52">
        <w:rPr>
          <w:rFonts w:eastAsiaTheme="minorEastAsia"/>
          <w:rtl/>
        </w:rPr>
        <w:t xml:space="preserve">، سيكون للبلديات دور أكبر في دعم الأفراد في عملية الإدماج المدني، بطرق منها تغطية تكاليف دورات اللغة والإدماج لحاملي صفة اللاجئ. ويساور اللجنة القلق لأن الشروط المرتفعة لإتقان اللغة في برنامج الإدماج المدني الجديد قد تزيد من صعوبة إتمامه بنجاح (المادة </w:t>
      </w:r>
      <w:r w:rsidRPr="00A00A38">
        <w:rPr>
          <w:rFonts w:eastAsiaTheme="minorEastAsia"/>
          <w:rtl/>
        </w:rPr>
        <w:t>5</w:t>
      </w:r>
      <w:r w:rsidRPr="00ED7B52">
        <w:rPr>
          <w:rFonts w:eastAsiaTheme="minorEastAsia"/>
          <w:rtl/>
        </w:rPr>
        <w:t>).</w:t>
      </w:r>
    </w:p>
    <w:p w14:paraId="789C0F1B" w14:textId="4405E560" w:rsidR="00ED7B52" w:rsidRPr="00A00A38" w:rsidRDefault="00ED7B52" w:rsidP="00ED7B52">
      <w:pPr>
        <w:pStyle w:val="SingleTxtGA"/>
        <w:rPr>
          <w:rFonts w:eastAsiaTheme="minorEastAsia"/>
          <w:b/>
          <w:lang w:val="ar-SA" w:eastAsia="zh-TW" w:bidi="en-GB"/>
        </w:rPr>
      </w:pPr>
      <w:r w:rsidRPr="00A00A38">
        <w:rPr>
          <w:rFonts w:eastAsiaTheme="minorEastAsia"/>
          <w:rtl/>
        </w:rPr>
        <w:t>34</w:t>
      </w:r>
      <w:r w:rsidRPr="00ED7B52">
        <w:rPr>
          <w:rFonts w:eastAsiaTheme="minorEastAsia"/>
          <w:rtl/>
        </w:rPr>
        <w:t>-</w:t>
      </w:r>
      <w:r w:rsidRPr="00ED7B52">
        <w:rPr>
          <w:rFonts w:eastAsiaTheme="minorEastAsia"/>
          <w:rtl/>
        </w:rPr>
        <w:tab/>
      </w:r>
      <w:r w:rsidRPr="00A00A38">
        <w:rPr>
          <w:rFonts w:eastAsiaTheme="minorEastAsia"/>
          <w:bCs/>
          <w:rtl/>
        </w:rPr>
        <w:t>وتوصي اللجنة الدولة الطرف بأن تكفل وضع مؤشرات وأهداف الإدماج لجميع الأهداف والتدابير التي يتضمنها القانون الجديد المتعلق بالإدماج المدني، وبأن ترصدها وفقاً لذلك. وتوصيها اللجنة أيضاً بأن تكفل تقديم دعم إضافي لتحصيل اللغة الهولندية.</w:t>
      </w:r>
      <w:r w:rsidRPr="00ED7B52">
        <w:rPr>
          <w:rFonts w:eastAsiaTheme="minorEastAsia"/>
          <w:rtl/>
        </w:rPr>
        <w:t xml:space="preserve"> </w:t>
      </w:r>
    </w:p>
    <w:p w14:paraId="15FC7ABF" w14:textId="77777777" w:rsidR="00ED7B52" w:rsidRPr="00ED7B52" w:rsidRDefault="00ED7B52" w:rsidP="00ED7B52">
      <w:pPr>
        <w:pStyle w:val="H23GA"/>
        <w:rPr>
          <w:lang w:val="ar-SA" w:eastAsia="zh-TW" w:bidi="en-GB"/>
        </w:rPr>
      </w:pPr>
      <w:r w:rsidRPr="00ED7B52">
        <w:rPr>
          <w:rtl/>
        </w:rPr>
        <w:tab/>
      </w:r>
      <w:r w:rsidRPr="00ED7B52">
        <w:rPr>
          <w:rtl/>
        </w:rPr>
        <w:tab/>
        <w:t>حالة اللاجئين وملتمسي اللجوء والمهاجرين غير القانونيين</w:t>
      </w:r>
    </w:p>
    <w:p w14:paraId="11FD9D86" w14:textId="0DF29E88" w:rsidR="00ED7B52" w:rsidRPr="00ED7B52" w:rsidRDefault="00ED7B52" w:rsidP="00ED7B52">
      <w:pPr>
        <w:pStyle w:val="SingleTxtGA"/>
        <w:rPr>
          <w:rFonts w:eastAsiaTheme="minorEastAsia"/>
          <w:lang w:val="ar-SA" w:eastAsia="zh-TW" w:bidi="en-GB"/>
        </w:rPr>
      </w:pPr>
      <w:r w:rsidRPr="00A00A38">
        <w:rPr>
          <w:rFonts w:eastAsiaTheme="minorEastAsia"/>
          <w:rtl/>
        </w:rPr>
        <w:t>35</w:t>
      </w:r>
      <w:r>
        <w:rPr>
          <w:rFonts w:eastAsiaTheme="minorEastAsia"/>
          <w:rtl/>
        </w:rPr>
        <w:t>-</w:t>
      </w:r>
      <w:r>
        <w:rPr>
          <w:rFonts w:eastAsiaTheme="minorEastAsia"/>
          <w:rtl/>
        </w:rPr>
        <w:tab/>
      </w:r>
      <w:r w:rsidRPr="00ED7B52">
        <w:rPr>
          <w:rFonts w:eastAsiaTheme="minorEastAsia"/>
          <w:rtl/>
        </w:rPr>
        <w:t xml:space="preserve">يساور اللجنة القلق إزاء التقارير التي تفيد بأن القوالب النمطية قد تظهر أثناء تقييم طلبات اللجوء على أساس الميل الجنسي. كما يساورها القلق إزاء الحواجز التي تعترض حصول الأشخاص غير الحاملين لوثائق على الرعاية الصحية (المادة </w:t>
      </w:r>
      <w:r w:rsidRPr="00A00A38">
        <w:rPr>
          <w:rFonts w:eastAsiaTheme="minorEastAsia"/>
          <w:rtl/>
        </w:rPr>
        <w:t>5</w:t>
      </w:r>
      <w:r w:rsidRPr="00ED7B52">
        <w:rPr>
          <w:rFonts w:eastAsiaTheme="minorEastAsia"/>
          <w:rtl/>
        </w:rPr>
        <w:t>).</w:t>
      </w:r>
    </w:p>
    <w:p w14:paraId="4990D0A1" w14:textId="1EE5BD4A" w:rsidR="00ED7B52" w:rsidRPr="00A00A38" w:rsidRDefault="00ED7B52" w:rsidP="00ED7B52">
      <w:pPr>
        <w:pStyle w:val="SingleTxtGA"/>
        <w:rPr>
          <w:rFonts w:eastAsiaTheme="minorEastAsia"/>
          <w:bCs/>
        </w:rPr>
      </w:pPr>
      <w:r w:rsidRPr="00A00A38">
        <w:rPr>
          <w:rFonts w:eastAsiaTheme="minorEastAsia"/>
          <w:rtl/>
        </w:rPr>
        <w:t>36</w:t>
      </w:r>
      <w:r w:rsidRPr="00ED7B52">
        <w:rPr>
          <w:rFonts w:eastAsiaTheme="minorEastAsia"/>
          <w:rtl/>
        </w:rPr>
        <w:t>-</w:t>
      </w:r>
      <w:r w:rsidRPr="00ED7B52">
        <w:rPr>
          <w:rFonts w:eastAsiaTheme="minorEastAsia"/>
          <w:rtl/>
        </w:rPr>
        <w:tab/>
      </w:r>
      <w:r w:rsidRPr="00A00A38">
        <w:rPr>
          <w:rFonts w:eastAsiaTheme="minorEastAsia"/>
          <w:bCs/>
          <w:rtl/>
        </w:rPr>
        <w:t>وتوصي اللجنة الدولة الطرف بالتحاور مع منظمات المجتمع المدني العاملة مع ملتمسي اللجوء من المثليات والمثليين ومزدوجي الميل الجنسي ومغايري الهوية الجنسانية وحاملي صفات الجنسين، وبشأن مسألة التماسهم اللجوء، بهدف بحث التحسينات الممكن إدخالها على تقييمات طلبات ملتمسي اللجوء منهم. وتوصيها أيضاً بأن تكفل توافر العلاج الطبي الأساسي للأشخاص غير الحاملين لوثائق في جميع أنحاء مملكة هولندا، وعِلم الأشخاص غير الحاملين لوثائق وكذلك المهنيين الطبيين بحق جميع الأشخاص المقيمين بصورة غير قانونية في المملكة في العلاج الطبي الأساسي.</w:t>
      </w:r>
    </w:p>
    <w:p w14:paraId="53A09E1C" w14:textId="77777777" w:rsidR="00ED7B52" w:rsidRPr="00ED7B52" w:rsidRDefault="00ED7B52" w:rsidP="00ED7B52">
      <w:pPr>
        <w:pStyle w:val="H23GA"/>
        <w:rPr>
          <w:lang w:val="ar-SA" w:eastAsia="zh-TW" w:bidi="en-GB"/>
        </w:rPr>
      </w:pPr>
      <w:r w:rsidRPr="00ED7B52">
        <w:rPr>
          <w:rtl/>
        </w:rPr>
        <w:tab/>
      </w:r>
      <w:r w:rsidRPr="00ED7B52">
        <w:rPr>
          <w:rtl/>
        </w:rPr>
        <w:tab/>
        <w:t xml:space="preserve">تغير المناخ </w:t>
      </w:r>
    </w:p>
    <w:p w14:paraId="53DE680B" w14:textId="372A9637" w:rsidR="00ED7B52" w:rsidRPr="00ED7B52" w:rsidRDefault="00ED7B52" w:rsidP="00ED7B52">
      <w:pPr>
        <w:pStyle w:val="SingleTxtGA"/>
        <w:rPr>
          <w:rFonts w:eastAsiaTheme="minorEastAsia"/>
          <w:lang w:val="ar-SA" w:eastAsia="zh-TW" w:bidi="en-GB"/>
        </w:rPr>
      </w:pPr>
      <w:r w:rsidRPr="00A00A38">
        <w:rPr>
          <w:rFonts w:eastAsiaTheme="minorEastAsia"/>
          <w:rtl/>
        </w:rPr>
        <w:t>37</w:t>
      </w:r>
      <w:r>
        <w:rPr>
          <w:rFonts w:eastAsiaTheme="minorEastAsia"/>
          <w:rtl/>
        </w:rPr>
        <w:t>-</w:t>
      </w:r>
      <w:r>
        <w:rPr>
          <w:rFonts w:eastAsiaTheme="minorEastAsia"/>
          <w:rtl/>
        </w:rPr>
        <w:tab/>
      </w:r>
      <w:r w:rsidRPr="00ED7B52">
        <w:rPr>
          <w:rFonts w:eastAsiaTheme="minorEastAsia"/>
          <w:rtl/>
        </w:rPr>
        <w:t>يساور اللجنة القلق إزاء التقارير التي تفيد بأن آثار تغير المناخ، التي هي ملموسة بالفعل في بعض الجزر الواقعة في الجزء الكاريبي من مملكة هولندا، ستهدد عدد</w:t>
      </w:r>
      <w:r>
        <w:rPr>
          <w:rFonts w:eastAsiaTheme="minorEastAsia"/>
          <w:rtl/>
        </w:rPr>
        <w:t xml:space="preserve">اً </w:t>
      </w:r>
      <w:r w:rsidRPr="00ED7B52">
        <w:rPr>
          <w:rFonts w:eastAsiaTheme="minorEastAsia"/>
          <w:rtl/>
        </w:rPr>
        <w:t>كبير</w:t>
      </w:r>
      <w:r>
        <w:rPr>
          <w:rFonts w:eastAsiaTheme="minorEastAsia"/>
          <w:rtl/>
        </w:rPr>
        <w:t xml:space="preserve">اً </w:t>
      </w:r>
      <w:r w:rsidRPr="00ED7B52">
        <w:rPr>
          <w:rFonts w:eastAsiaTheme="minorEastAsia"/>
          <w:rtl/>
        </w:rPr>
        <w:t>من حقوق الإنسان، مثل</w:t>
      </w:r>
      <w:r w:rsidR="00695151">
        <w:rPr>
          <w:rFonts w:eastAsiaTheme="minorEastAsia" w:hint="cs"/>
          <w:rtl/>
        </w:rPr>
        <w:t> </w:t>
      </w:r>
      <w:r w:rsidRPr="00ED7B52">
        <w:rPr>
          <w:rFonts w:eastAsiaTheme="minorEastAsia"/>
          <w:rtl/>
        </w:rPr>
        <w:t>الحق في العمل والصحة والسكن، وستؤثر بشكل غير متناسب على الفئات الضعيفة. ويساورها القلق أيض</w:t>
      </w:r>
      <w:r>
        <w:rPr>
          <w:rFonts w:eastAsiaTheme="minorEastAsia"/>
          <w:rtl/>
        </w:rPr>
        <w:t xml:space="preserve">اً </w:t>
      </w:r>
      <w:r w:rsidRPr="00ED7B52">
        <w:rPr>
          <w:rFonts w:eastAsiaTheme="minorEastAsia"/>
          <w:rtl/>
        </w:rPr>
        <w:t xml:space="preserve">إزاء التقارير التي تفيد بأن هذه الجزر لا تتلقى الدعم لمعالجة هذه المشاكل (المادة </w:t>
      </w:r>
      <w:r w:rsidRPr="00A00A38">
        <w:rPr>
          <w:rFonts w:eastAsiaTheme="minorEastAsia"/>
          <w:rtl/>
        </w:rPr>
        <w:t>5</w:t>
      </w:r>
      <w:r w:rsidRPr="00ED7B52">
        <w:rPr>
          <w:rFonts w:eastAsiaTheme="minorEastAsia"/>
          <w:rtl/>
        </w:rPr>
        <w:t>).</w:t>
      </w:r>
    </w:p>
    <w:p w14:paraId="164A5FF7" w14:textId="7BAEEE84" w:rsidR="00ED7B52" w:rsidRPr="00A00A38" w:rsidRDefault="00ED7B52" w:rsidP="00ED7B52">
      <w:pPr>
        <w:pStyle w:val="SingleTxtGA"/>
        <w:rPr>
          <w:rFonts w:eastAsiaTheme="minorEastAsia"/>
          <w:bCs/>
          <w:lang w:val="ar-SA" w:eastAsia="zh-TW" w:bidi="en-GB"/>
        </w:rPr>
      </w:pPr>
      <w:r w:rsidRPr="00A00A38">
        <w:rPr>
          <w:rFonts w:eastAsiaTheme="minorEastAsia"/>
          <w:rtl/>
        </w:rPr>
        <w:lastRenderedPageBreak/>
        <w:t>38</w:t>
      </w:r>
      <w:r w:rsidRPr="00ED7B52">
        <w:rPr>
          <w:rFonts w:eastAsiaTheme="minorEastAsia"/>
          <w:rtl/>
        </w:rPr>
        <w:t>-</w:t>
      </w:r>
      <w:r w:rsidRPr="00ED7B52">
        <w:rPr>
          <w:rFonts w:eastAsiaTheme="minorEastAsia"/>
          <w:rtl/>
        </w:rPr>
        <w:tab/>
      </w:r>
      <w:r w:rsidRPr="00A00A38">
        <w:rPr>
          <w:rFonts w:eastAsiaTheme="minorEastAsia"/>
          <w:bCs/>
          <w:rtl/>
        </w:rPr>
        <w:t>وتوصي اللجنة الدولة الطرف بأن تباشر الدراسات لفهم الأثر السلبي المحتمل لتغير المناخ على السكان الذين يعيشون في جزر تابعة للجزء الكاريبي من مملكة هولندا.</w:t>
      </w:r>
      <w:r w:rsidRPr="00695151">
        <w:rPr>
          <w:rFonts w:eastAsiaTheme="minorEastAsia"/>
          <w:bCs/>
          <w:rtl/>
        </w:rPr>
        <w:t xml:space="preserve"> </w:t>
      </w:r>
      <w:r w:rsidRPr="00A00A38">
        <w:rPr>
          <w:rFonts w:eastAsiaTheme="minorEastAsia"/>
          <w:bCs/>
          <w:rtl/>
        </w:rPr>
        <w:t>وتوصيها أيضاً بأن تتخذ التدابير اللازمة للتخفيف من الآثار السلبية لتغير المناخ وحماية الفئات الضعيفة، وبأن تنظر في سبل تقديم الدعم الكامل للمجتمعات المحلية المتضررة.</w:t>
      </w:r>
    </w:p>
    <w:p w14:paraId="3E5044C6" w14:textId="77777777" w:rsidR="00ED7B52" w:rsidRPr="00ED7B52" w:rsidRDefault="00ED7B52" w:rsidP="00ED7B52">
      <w:pPr>
        <w:pStyle w:val="H23GA"/>
        <w:rPr>
          <w:lang w:val="ar-SA" w:eastAsia="zh-TW" w:bidi="en-GB"/>
        </w:rPr>
      </w:pPr>
      <w:r w:rsidRPr="00ED7B52">
        <w:rPr>
          <w:rtl/>
        </w:rPr>
        <w:tab/>
      </w:r>
      <w:r w:rsidRPr="00ED7B52">
        <w:rPr>
          <w:rtl/>
        </w:rPr>
        <w:tab/>
        <w:t>سوء الإبلاغ عن الشكاوى المتعلقة بالتمييز العنصري</w:t>
      </w:r>
    </w:p>
    <w:p w14:paraId="286B22B1" w14:textId="3E0BAF5C" w:rsidR="00ED7B52" w:rsidRPr="00ED7B52" w:rsidRDefault="00ED7B52" w:rsidP="00ED7B52">
      <w:pPr>
        <w:pStyle w:val="SingleTxtGA"/>
        <w:rPr>
          <w:rFonts w:eastAsiaTheme="minorEastAsia"/>
          <w:lang w:val="ar-SA" w:eastAsia="zh-TW" w:bidi="en-GB"/>
        </w:rPr>
      </w:pPr>
      <w:r w:rsidRPr="00A00A38">
        <w:rPr>
          <w:rFonts w:eastAsiaTheme="minorEastAsia"/>
          <w:rtl/>
        </w:rPr>
        <w:t>39</w:t>
      </w:r>
      <w:r>
        <w:rPr>
          <w:rFonts w:eastAsiaTheme="minorEastAsia"/>
          <w:rtl/>
        </w:rPr>
        <w:t>-</w:t>
      </w:r>
      <w:r>
        <w:rPr>
          <w:rFonts w:eastAsiaTheme="minorEastAsia"/>
          <w:rtl/>
        </w:rPr>
        <w:tab/>
      </w:r>
      <w:r w:rsidRPr="00ED7B52">
        <w:rPr>
          <w:rFonts w:eastAsiaTheme="minorEastAsia"/>
          <w:rtl/>
        </w:rPr>
        <w:t>في حين تلاحظ اللجنة زيادة الوعي والاعتراف بوجود العنصرية في الدولة الطرف، لا يزال يساورها القلق إزاء سوء الإبلاغ عن أعمال التمييز العنصري وإحجام الضحايا عن تقديم الشكاوى، وذلك</w:t>
      </w:r>
      <w:r w:rsidR="00695151">
        <w:rPr>
          <w:rFonts w:eastAsiaTheme="minorEastAsia" w:hint="cs"/>
          <w:rtl/>
        </w:rPr>
        <w:t> </w:t>
      </w:r>
      <w:r w:rsidRPr="00ED7B52">
        <w:rPr>
          <w:rFonts w:eastAsiaTheme="minorEastAsia"/>
          <w:rtl/>
        </w:rPr>
        <w:t xml:space="preserve">بسبب أمور منها الخوف من اللوم الاجتماعي، وتوقع المعاملة غير المحترمة، وعدم الثقة في السلطات (المادة </w:t>
      </w:r>
      <w:r w:rsidRPr="00A00A38">
        <w:rPr>
          <w:rFonts w:eastAsiaTheme="minorEastAsia"/>
          <w:rtl/>
        </w:rPr>
        <w:t>6</w:t>
      </w:r>
      <w:r w:rsidRPr="00ED7B52">
        <w:rPr>
          <w:rFonts w:eastAsiaTheme="minorEastAsia"/>
          <w:rtl/>
        </w:rPr>
        <w:t>).</w:t>
      </w:r>
    </w:p>
    <w:p w14:paraId="311EB412" w14:textId="763804B1" w:rsidR="00ED7B52" w:rsidRPr="00A00A38" w:rsidRDefault="00ED7B52" w:rsidP="00ED7B52">
      <w:pPr>
        <w:pStyle w:val="SingleTxtGA"/>
        <w:rPr>
          <w:rFonts w:eastAsiaTheme="minorEastAsia"/>
          <w:b/>
          <w:bCs/>
          <w:lang w:val="ar-SA" w:eastAsia="zh-TW" w:bidi="en-GB"/>
        </w:rPr>
      </w:pPr>
      <w:r w:rsidRPr="00A00A38">
        <w:rPr>
          <w:rFonts w:eastAsiaTheme="minorEastAsia"/>
          <w:rtl/>
        </w:rPr>
        <w:t>40</w:t>
      </w:r>
      <w:r>
        <w:rPr>
          <w:rFonts w:eastAsiaTheme="minorEastAsia"/>
          <w:rtl/>
        </w:rPr>
        <w:t>-</w:t>
      </w:r>
      <w:r>
        <w:rPr>
          <w:rFonts w:eastAsiaTheme="minorEastAsia"/>
          <w:rtl/>
        </w:rPr>
        <w:tab/>
      </w:r>
      <w:r w:rsidRPr="00695151">
        <w:rPr>
          <w:rFonts w:eastAsiaTheme="minorEastAsia"/>
          <w:b/>
          <w:bCs/>
          <w:rtl/>
          <w:lang w:val="fr-CH"/>
        </w:rPr>
        <w:t>و</w:t>
      </w:r>
      <w:r w:rsidRPr="00A00A38">
        <w:rPr>
          <w:rFonts w:eastAsiaTheme="minorEastAsia"/>
          <w:b/>
          <w:bCs/>
          <w:rtl/>
        </w:rPr>
        <w:t>تشير اللجنة إلى توصيتها العامة رقم 31(2005)، وتذكّر الدولة الطرف بأن عدم تقديم ضحايا التمييز العنصري شكاوى وعدم رفعهم دعاوى قضائية قد يعني عدم المعرفة بسبل الطعن القانونية المتاحة، أو عدم وجود إرادة من جانب السلطات لملاحقة مرتكبي تلك الأفعال، أو انعدام الثقة في نظام العدالة الجنائية، أو خوف الضحايا من الانتقام.</w:t>
      </w:r>
      <w:r w:rsidRPr="00695151">
        <w:rPr>
          <w:rFonts w:eastAsiaTheme="minorEastAsia"/>
          <w:b/>
          <w:bCs/>
          <w:rtl/>
        </w:rPr>
        <w:t xml:space="preserve"> </w:t>
      </w:r>
      <w:r w:rsidRPr="00A00A38">
        <w:rPr>
          <w:rFonts w:eastAsiaTheme="minorEastAsia"/>
          <w:b/>
          <w:bCs/>
          <w:rtl/>
        </w:rPr>
        <w:t>وتوصي اللجنة الدولة الطرف باتخاذ تدابير تشريعية وإدارية لضمان معرفة الجمهور، ولا سيما الفئات الإثنية وملتمسي اللجوء وعديمي الجنسية، بحقوقهم، بما في ذلك جميع سبل الانتصاف القانونية في مجال التمييز العنصري.</w:t>
      </w:r>
      <w:r w:rsidRPr="00695151">
        <w:rPr>
          <w:rFonts w:eastAsiaTheme="minorEastAsia"/>
          <w:b/>
          <w:bCs/>
          <w:rtl/>
        </w:rPr>
        <w:t xml:space="preserve"> </w:t>
      </w:r>
      <w:r w:rsidRPr="00A00A38">
        <w:rPr>
          <w:rFonts w:eastAsiaTheme="minorEastAsia"/>
          <w:b/>
          <w:bCs/>
          <w:rtl/>
        </w:rPr>
        <w:t>وينبغي للدولة الطرف أن تكفل معاملة السلطات المختصة للمشتكين من أفعال التمييز العنصري باحترام، وتلقي ضحايا الجرائم ذات الدوافع العنصرية الدعم الكافي للمشاركة في الإجراءات الجنائية.</w:t>
      </w:r>
    </w:p>
    <w:p w14:paraId="01EEF33B" w14:textId="28B6F57A" w:rsidR="00ED7B52" w:rsidRPr="00ED7B52" w:rsidRDefault="00ED7B52" w:rsidP="00ED7B52">
      <w:pPr>
        <w:pStyle w:val="H1GA"/>
        <w:rPr>
          <w:lang w:val="ar-SA" w:eastAsia="zh-TW" w:bidi="en-GB"/>
        </w:rPr>
      </w:pPr>
      <w:r>
        <w:rPr>
          <w:rtl/>
        </w:rPr>
        <w:tab/>
      </w:r>
      <w:r w:rsidRPr="00ED7B52">
        <w:rPr>
          <w:rtl/>
        </w:rPr>
        <w:t>دال-</w:t>
      </w:r>
      <w:r w:rsidRPr="00ED7B52">
        <w:rPr>
          <w:rtl/>
        </w:rPr>
        <w:tab/>
        <w:t>توصيات أخرى</w:t>
      </w:r>
    </w:p>
    <w:p w14:paraId="46F5C5FF" w14:textId="77777777" w:rsidR="00ED7B52" w:rsidRPr="00ED7B52" w:rsidRDefault="00ED7B52" w:rsidP="00ED7B52">
      <w:pPr>
        <w:pStyle w:val="H23GA"/>
        <w:rPr>
          <w:lang w:val="ar-SA" w:eastAsia="zh-TW" w:bidi="en-GB"/>
        </w:rPr>
      </w:pPr>
      <w:r w:rsidRPr="00ED7B52">
        <w:rPr>
          <w:rtl/>
        </w:rPr>
        <w:tab/>
      </w:r>
      <w:r w:rsidRPr="00ED7B52">
        <w:rPr>
          <w:rtl/>
        </w:rPr>
        <w:tab/>
        <w:t>التصديق على المعاهدات الأخرى</w:t>
      </w:r>
    </w:p>
    <w:p w14:paraId="5DB99DE1" w14:textId="77777777" w:rsidR="00ED7B52" w:rsidRPr="00A00A38" w:rsidRDefault="00ED7B52" w:rsidP="00ED7B52">
      <w:pPr>
        <w:pStyle w:val="SingleTxtGA"/>
        <w:rPr>
          <w:rFonts w:eastAsiaTheme="minorEastAsia"/>
          <w:bCs/>
          <w:lang w:val="ar-SA" w:eastAsia="zh-TW" w:bidi="en-GB"/>
        </w:rPr>
      </w:pPr>
      <w:r w:rsidRPr="00A00A38">
        <w:rPr>
          <w:rFonts w:eastAsiaTheme="minorEastAsia"/>
          <w:rtl/>
        </w:rPr>
        <w:t>41</w:t>
      </w:r>
      <w:r w:rsidRPr="00ED7B52">
        <w:rPr>
          <w:rFonts w:eastAsiaTheme="minorEastAsia"/>
          <w:rtl/>
        </w:rPr>
        <w:t>-</w:t>
      </w:r>
      <w:r w:rsidRPr="00ED7B52">
        <w:rPr>
          <w:rFonts w:eastAsiaTheme="minorEastAsia"/>
          <w:rtl/>
        </w:rPr>
        <w:tab/>
      </w:r>
      <w:r w:rsidRPr="00A00A38">
        <w:rPr>
          <w:rFonts w:eastAsiaTheme="minorEastAsia"/>
          <w:bCs/>
          <w:rtl/>
        </w:rPr>
        <w:t>إن اللجنة، إذ تضع في اعتبارها عدم قابلية جميع حقوق الإنسان للتجزئة، تشجع الدولةَ الطرف على النظر في التصديق على المعاهدات الدولية لحقوق الإنسان التي لم تصدق عليها بعد، ولا سيما المعاهدات ذات الأحكام التي لها صلة مباشرة بالجماعات التي قد تتعرض للتمييز العنصري، بما في ذلك الاتفاقية الدولية لحماية حقوق جميع العمال المهاجرين وأفراد أسرهم.</w:t>
      </w:r>
    </w:p>
    <w:p w14:paraId="34EAB434" w14:textId="0552D22F" w:rsidR="00ED7B52" w:rsidRPr="00ED7B52" w:rsidRDefault="00ED7B52" w:rsidP="00ED7B52">
      <w:pPr>
        <w:pStyle w:val="H23GA"/>
        <w:rPr>
          <w:lang w:val="ar-SA" w:eastAsia="zh-TW" w:bidi="en-GB"/>
        </w:rPr>
      </w:pPr>
      <w:r w:rsidRPr="00ED7B52">
        <w:rPr>
          <w:rtl/>
        </w:rPr>
        <w:tab/>
      </w:r>
      <w:r w:rsidRPr="00ED7B52">
        <w:rPr>
          <w:rtl/>
        </w:rPr>
        <w:tab/>
        <w:t>متابعة إعلان وبرنامج عمل ديربان</w:t>
      </w:r>
    </w:p>
    <w:p w14:paraId="2B100536" w14:textId="77777777" w:rsidR="00ED7B52" w:rsidRPr="00A00A38" w:rsidRDefault="00ED7B52" w:rsidP="00ED7B52">
      <w:pPr>
        <w:pStyle w:val="SingleTxtGA"/>
        <w:rPr>
          <w:rFonts w:eastAsiaTheme="minorEastAsia"/>
          <w:bCs/>
          <w:lang w:val="en-US" w:eastAsia="zh-TW" w:bidi="en-GB"/>
        </w:rPr>
      </w:pPr>
      <w:r w:rsidRPr="00A00A38">
        <w:rPr>
          <w:rFonts w:eastAsiaTheme="minorEastAsia"/>
          <w:rtl/>
        </w:rPr>
        <w:t>42</w:t>
      </w:r>
      <w:r w:rsidRPr="00ED7B52">
        <w:rPr>
          <w:rFonts w:eastAsiaTheme="minorEastAsia"/>
          <w:rtl/>
        </w:rPr>
        <w:t>-</w:t>
      </w:r>
      <w:r w:rsidRPr="00ED7B52">
        <w:rPr>
          <w:rFonts w:eastAsiaTheme="minorEastAsia"/>
          <w:rtl/>
        </w:rPr>
        <w:tab/>
      </w:r>
      <w:r w:rsidRPr="00A00A38">
        <w:rPr>
          <w:rFonts w:eastAsiaTheme="minorEastAsia"/>
          <w:bCs/>
          <w:rtl/>
        </w:rPr>
        <w:t>في ضوء التوصية العامة للجنة رقم 33(2009) بشأن متابعة نتائج مؤتمر استعراض ديربان، توصي اللجنة بأن تفعِّل الدولة الطرف، في سياق تنفيذ الاتفاقية في نظامها القانوني المحلي، إعلان وبرنامج عمل ديربان الذي اعتُمد في أيلول/سبتمبر 2001 في المؤتمر العالمي لمناهضة العنصرية والتمييز العنصري وكره الأجانب وما يتصل بذلك من تعصب، مع مراعاة الوثيقة الختامية لمؤتمر استعراض ديربان المعقود في جنيف في نيسان/أبريل 2009.</w:t>
      </w:r>
      <w:r w:rsidRPr="00695151">
        <w:rPr>
          <w:rFonts w:eastAsiaTheme="minorEastAsia"/>
          <w:bCs/>
          <w:rtl/>
        </w:rPr>
        <w:t xml:space="preserve"> </w:t>
      </w:r>
      <w:r w:rsidRPr="00A00A38">
        <w:rPr>
          <w:rFonts w:eastAsiaTheme="minorEastAsia"/>
          <w:bCs/>
          <w:rtl/>
        </w:rPr>
        <w:t>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الوطني.</w:t>
      </w:r>
      <w:r w:rsidRPr="00695151">
        <w:rPr>
          <w:rFonts w:eastAsiaTheme="minorEastAsia"/>
          <w:bCs/>
          <w:rtl/>
        </w:rPr>
        <w:t xml:space="preserve"> </w:t>
      </w:r>
    </w:p>
    <w:p w14:paraId="20A4A5B0" w14:textId="77777777" w:rsidR="00ED7B52" w:rsidRPr="00ED7B52" w:rsidRDefault="00ED7B52" w:rsidP="00ED7B52">
      <w:pPr>
        <w:pStyle w:val="H23GA"/>
        <w:rPr>
          <w:lang w:val="ar-SA" w:eastAsia="zh-TW" w:bidi="en-GB"/>
        </w:rPr>
      </w:pPr>
      <w:r w:rsidRPr="00ED7B52">
        <w:rPr>
          <w:rtl/>
        </w:rPr>
        <w:tab/>
      </w:r>
      <w:r w:rsidRPr="00ED7B52">
        <w:rPr>
          <w:rtl/>
        </w:rPr>
        <w:tab/>
        <w:t xml:space="preserve">العقد الدولي للمنحدرين من أصل أفريقي </w:t>
      </w:r>
    </w:p>
    <w:p w14:paraId="677505D6" w14:textId="2D3DF56A" w:rsidR="00ED7B52" w:rsidRPr="00A00A38" w:rsidRDefault="00ED7B52" w:rsidP="00ED7B52">
      <w:pPr>
        <w:pStyle w:val="SingleTxtGA"/>
        <w:rPr>
          <w:rFonts w:eastAsiaTheme="minorEastAsia"/>
          <w:bCs/>
          <w:lang w:val="ar-SA" w:eastAsia="zh-TW" w:bidi="en-GB"/>
        </w:rPr>
      </w:pPr>
      <w:r w:rsidRPr="00A00A38">
        <w:rPr>
          <w:rFonts w:eastAsiaTheme="minorEastAsia"/>
          <w:rtl/>
        </w:rPr>
        <w:t>43</w:t>
      </w:r>
      <w:r w:rsidRPr="00ED7B52">
        <w:rPr>
          <w:rFonts w:eastAsiaTheme="minorEastAsia"/>
          <w:rtl/>
        </w:rPr>
        <w:t>-</w:t>
      </w:r>
      <w:r w:rsidRPr="00ED7B52">
        <w:rPr>
          <w:rFonts w:eastAsiaTheme="minorEastAsia"/>
          <w:rtl/>
        </w:rPr>
        <w:tab/>
      </w:r>
      <w:r w:rsidRPr="00A00A38">
        <w:rPr>
          <w:rFonts w:eastAsiaTheme="minorEastAsia"/>
          <w:bCs/>
          <w:rtl/>
        </w:rPr>
        <w:t xml:space="preserve">في ضوء قرار الجمعية العامة 68/237، الذي أعلنت فيه الفترة 2015-2024 عقداً دولياً للمنحدرين من أصل أفريقي، وقرارها </w:t>
      </w:r>
      <w:r w:rsidR="00695151" w:rsidRPr="00A00A38">
        <w:rPr>
          <w:rFonts w:eastAsiaTheme="minorEastAsia"/>
          <w:bCs/>
          <w:rtl/>
        </w:rPr>
        <w:t>69/16</w:t>
      </w:r>
      <w:r w:rsidRPr="00A00A38">
        <w:rPr>
          <w:rFonts w:eastAsiaTheme="minorEastAsia"/>
          <w:bCs/>
          <w:rtl/>
        </w:rPr>
        <w:t xml:space="preserve"> المتعلق ببرنامج الأنشطة لتنفيذ العقد، توصي اللجنة </w:t>
      </w:r>
      <w:r w:rsidRPr="00A00A38">
        <w:rPr>
          <w:rFonts w:eastAsiaTheme="minorEastAsia"/>
          <w:bCs/>
          <w:rtl/>
        </w:rPr>
        <w:lastRenderedPageBreak/>
        <w:t>الدولة الطرف بأن تواصل تنفيذ تدابير وسياسات مناسبة بالتعاون مع المنظمات والشعوب المنحدرة من أصل أفريقي.</w:t>
      </w:r>
      <w:r w:rsidRPr="00695151">
        <w:rPr>
          <w:rFonts w:eastAsiaTheme="minorEastAsia"/>
          <w:bCs/>
          <w:rtl/>
        </w:rPr>
        <w:t xml:space="preserve"> </w:t>
      </w:r>
      <w:r w:rsidRPr="00A00A38">
        <w:rPr>
          <w:rFonts w:eastAsiaTheme="minorEastAsia"/>
          <w:bCs/>
          <w:rtl/>
        </w:rPr>
        <w:t>وتطلب اللجنة إلى الدولة الطرف أن تدرج في تقريرها المقبل معلومات دقيقة عن التدابير الملموسة المعتمدة في ذلك الإطار، مع مراعاة توصيتها العامة رقم 34(2011) بشأن التمييز العنصري ضد المنحدرين من أصل أفريقي.</w:t>
      </w:r>
      <w:r w:rsidRPr="00695151">
        <w:rPr>
          <w:rFonts w:eastAsiaTheme="minorEastAsia"/>
          <w:bCs/>
          <w:rtl/>
        </w:rPr>
        <w:t xml:space="preserve"> </w:t>
      </w:r>
    </w:p>
    <w:p w14:paraId="0F6DC5BA" w14:textId="53D1C9C8" w:rsidR="00ED7B52" w:rsidRPr="00ED7B52" w:rsidRDefault="00ED7B52" w:rsidP="00ED7B52">
      <w:pPr>
        <w:pStyle w:val="H23GA"/>
        <w:rPr>
          <w:lang w:val="ar-SA" w:eastAsia="zh-TW" w:bidi="en-GB"/>
        </w:rPr>
      </w:pPr>
      <w:r w:rsidRPr="00ED7B52">
        <w:rPr>
          <w:rtl/>
        </w:rPr>
        <w:tab/>
      </w:r>
      <w:r w:rsidRPr="00ED7B52">
        <w:rPr>
          <w:rtl/>
        </w:rPr>
        <w:tab/>
        <w:t>التشاور مع المجتمع المدني</w:t>
      </w:r>
    </w:p>
    <w:p w14:paraId="01472207" w14:textId="2F8651BE" w:rsidR="00ED7B52" w:rsidRPr="00A00A38" w:rsidRDefault="00ED7B52" w:rsidP="00ED7B52">
      <w:pPr>
        <w:pStyle w:val="SingleTxtGA"/>
        <w:rPr>
          <w:rFonts w:eastAsiaTheme="minorEastAsia"/>
          <w:bCs/>
          <w:lang w:val="ar-SA" w:eastAsia="zh-TW" w:bidi="en-GB"/>
        </w:rPr>
      </w:pPr>
      <w:r w:rsidRPr="00A00A38">
        <w:rPr>
          <w:rFonts w:eastAsiaTheme="minorEastAsia"/>
          <w:rtl/>
        </w:rPr>
        <w:t>44</w:t>
      </w:r>
      <w:r>
        <w:rPr>
          <w:rFonts w:eastAsiaTheme="minorEastAsia"/>
          <w:rtl/>
        </w:rPr>
        <w:t>-</w:t>
      </w:r>
      <w:r>
        <w:rPr>
          <w:rFonts w:eastAsiaTheme="minorEastAsia"/>
          <w:rtl/>
        </w:rPr>
        <w:tab/>
      </w:r>
      <w:r w:rsidRPr="00A00A38">
        <w:rPr>
          <w:rFonts w:eastAsiaTheme="minorEastAsia"/>
          <w:bCs/>
          <w:rtl/>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14:paraId="20F11586" w14:textId="77777777" w:rsidR="00ED7B52" w:rsidRPr="00ED7B52" w:rsidRDefault="00ED7B52" w:rsidP="00ED7B52">
      <w:pPr>
        <w:pStyle w:val="H23GA"/>
        <w:rPr>
          <w:lang w:val="ar-SA" w:eastAsia="zh-TW" w:bidi="en-GB"/>
        </w:rPr>
      </w:pPr>
      <w:r w:rsidRPr="00ED7B52">
        <w:rPr>
          <w:rtl/>
        </w:rPr>
        <w:tab/>
      </w:r>
      <w:r w:rsidRPr="00ED7B52">
        <w:rPr>
          <w:rtl/>
        </w:rPr>
        <w:tab/>
        <w:t>نشر المعلومات</w:t>
      </w:r>
    </w:p>
    <w:p w14:paraId="5BD38B3F" w14:textId="26C8E125" w:rsidR="00ED7B52" w:rsidRPr="00A00A38" w:rsidRDefault="00ED7B52" w:rsidP="00ED7B52">
      <w:pPr>
        <w:pStyle w:val="SingleTxtGA"/>
        <w:rPr>
          <w:rFonts w:eastAsiaTheme="minorEastAsia"/>
          <w:bCs/>
          <w:lang w:val="ar-SA" w:eastAsia="zh-TW" w:bidi="en-GB"/>
        </w:rPr>
      </w:pPr>
      <w:r w:rsidRPr="00A00A38">
        <w:rPr>
          <w:rFonts w:eastAsiaTheme="minorEastAsia"/>
          <w:rtl/>
        </w:rPr>
        <w:t>45</w:t>
      </w:r>
      <w:r w:rsidRPr="00ED7B52">
        <w:rPr>
          <w:rFonts w:eastAsiaTheme="minorEastAsia"/>
          <w:rtl/>
        </w:rPr>
        <w:t>-</w:t>
      </w:r>
      <w:r w:rsidRPr="00ED7B52">
        <w:rPr>
          <w:rFonts w:eastAsiaTheme="minorEastAsia"/>
          <w:rtl/>
        </w:rPr>
        <w:tab/>
      </w:r>
      <w:r w:rsidRPr="00A00A38">
        <w:rPr>
          <w:rFonts w:eastAsiaTheme="minorEastAsia"/>
          <w:bCs/>
          <w:rtl/>
        </w:rPr>
        <w:t>توصي اللجنة الدولة الطرف بإتاحة تقاريرها لعامة الجمهور وتيسير الاطلاع عليها وقت تقديمها، وأيضاً بإتاحة الملاحظات الختامية للجنة المتعلقة بتلك التقارير لجميع الكيانات الحكومية والأقاليم والهيئات المكلّفة بتنفيذ الاتفاقية، بما فيها البلديات باللغات الرسمية وغيرها من اللغات الشائع استخدامها في البلد، حسب الاقتضاء.</w:t>
      </w:r>
    </w:p>
    <w:p w14:paraId="5D91E5DC" w14:textId="733D322A" w:rsidR="00ED7B52" w:rsidRPr="00ED7B52" w:rsidRDefault="00ED7B52" w:rsidP="00ED7B52">
      <w:pPr>
        <w:pStyle w:val="H23GA"/>
        <w:rPr>
          <w:lang w:val="ar-SA" w:eastAsia="zh-TW" w:bidi="en-GB"/>
        </w:rPr>
      </w:pPr>
      <w:r w:rsidRPr="00ED7B52">
        <w:rPr>
          <w:rtl/>
        </w:rPr>
        <w:tab/>
      </w:r>
      <w:r w:rsidRPr="00ED7B52">
        <w:rPr>
          <w:rtl/>
        </w:rPr>
        <w:tab/>
        <w:t>الوثيقة الأساسية الموحدة</w:t>
      </w:r>
    </w:p>
    <w:p w14:paraId="412C15B8" w14:textId="65F09BDD" w:rsidR="00ED7B52" w:rsidRPr="00A00A38" w:rsidRDefault="00ED7B52" w:rsidP="00ED7B52">
      <w:pPr>
        <w:pStyle w:val="SingleTxtGA"/>
        <w:rPr>
          <w:rFonts w:eastAsiaTheme="minorEastAsia"/>
          <w:bCs/>
          <w:lang w:val="ar-SA" w:eastAsia="zh-TW" w:bidi="en-GB"/>
        </w:rPr>
      </w:pPr>
      <w:r w:rsidRPr="00A00A38">
        <w:rPr>
          <w:rFonts w:eastAsiaTheme="minorEastAsia"/>
          <w:rtl/>
        </w:rPr>
        <w:t>46</w:t>
      </w:r>
      <w:r w:rsidRPr="00ED7B52">
        <w:rPr>
          <w:rFonts w:eastAsiaTheme="minorEastAsia"/>
          <w:rtl/>
        </w:rPr>
        <w:t>-</w:t>
      </w:r>
      <w:r w:rsidRPr="00ED7B52">
        <w:rPr>
          <w:rFonts w:eastAsiaTheme="minorEastAsia"/>
          <w:rtl/>
        </w:rPr>
        <w:tab/>
      </w:r>
      <w:r w:rsidRPr="00A00A38">
        <w:rPr>
          <w:rFonts w:eastAsiaTheme="minorEastAsia"/>
          <w:bCs/>
          <w:rtl/>
        </w:rPr>
        <w:t>تحث اللجنة الدولة الطرف على تحديث وثيقتها الأساسية الموحدة التي يعود تاريخها إلى 12 كانون الأول/ديسمبر 1995، وفقاً للمبادئ التوجيهية المنسقة لتقديم التقارير بموجب المعاهدات الدولية لحقوق الإنسان، وعلى وجه الخصوص المبادئ التوجيهية لتقديم وثيقة أساسية موحدة التي اعتُمدت في الاجتماع الخامس المشترك بين اللجان للهيئات المنشأة بموجب معاهدات حقوق الإنسان الذي عقد في حزيران/</w:t>
      </w:r>
      <w:proofErr w:type="gramStart"/>
      <w:r w:rsidRPr="00A00A38">
        <w:rPr>
          <w:rFonts w:eastAsiaTheme="minorEastAsia"/>
          <w:bCs/>
          <w:rtl/>
        </w:rPr>
        <w:t>يونيه</w:t>
      </w:r>
      <w:proofErr w:type="gramEnd"/>
      <w:r w:rsidRPr="00A00A38">
        <w:rPr>
          <w:rFonts w:eastAsiaTheme="minorEastAsia"/>
          <w:bCs/>
          <w:rtl/>
        </w:rPr>
        <w:t xml:space="preserve"> 2006</w:t>
      </w:r>
      <w:r w:rsidRPr="002C2137">
        <w:rPr>
          <w:rStyle w:val="FootnoteReference"/>
          <w:rFonts w:eastAsiaTheme="minorEastAsia"/>
          <w:b/>
          <w:szCs w:val="22"/>
          <w:rtl/>
        </w:rPr>
        <w:t>(</w:t>
      </w:r>
      <w:r w:rsidRPr="002C2137">
        <w:rPr>
          <w:rStyle w:val="FootnoteReference"/>
          <w:rFonts w:eastAsiaTheme="minorEastAsia"/>
          <w:bCs/>
          <w:szCs w:val="22"/>
          <w:lang w:val="en-US"/>
        </w:rPr>
        <w:footnoteReference w:id="6"/>
      </w:r>
      <w:r w:rsidRPr="00A00A38">
        <w:rPr>
          <w:rStyle w:val="FootnoteReference"/>
          <w:rFonts w:eastAsiaTheme="minorEastAsia"/>
          <w:b/>
          <w:szCs w:val="22"/>
          <w:rtl/>
        </w:rPr>
        <w:t>)</w:t>
      </w:r>
      <w:r w:rsidRPr="00695151">
        <w:rPr>
          <w:rFonts w:eastAsiaTheme="minorEastAsia" w:hint="cs"/>
          <w:b/>
          <w:rtl/>
        </w:rPr>
        <w:t>.</w:t>
      </w:r>
      <w:r w:rsidRPr="00695151">
        <w:rPr>
          <w:rFonts w:eastAsiaTheme="minorEastAsia"/>
          <w:bCs/>
          <w:rtl/>
        </w:rPr>
        <w:t xml:space="preserve"> </w:t>
      </w:r>
      <w:r w:rsidRPr="00A00A38">
        <w:rPr>
          <w:rFonts w:eastAsiaTheme="minorEastAsia"/>
          <w:bCs/>
          <w:rtl/>
        </w:rPr>
        <w:t>وفي ضوء قرار الجمعية العامة 68/268، تحث اللجنة الدولة الطرف على التقيد بالحد الأقصى لعدد الكلمات في هذه الوثائق، وهو 400 42 كلمة.</w:t>
      </w:r>
    </w:p>
    <w:p w14:paraId="534A03CB" w14:textId="0EDD9126" w:rsidR="00ED7B52" w:rsidRPr="00ED7B52" w:rsidRDefault="00ED7B52" w:rsidP="00ED7B52">
      <w:pPr>
        <w:pStyle w:val="H23GA"/>
        <w:rPr>
          <w:lang w:val="ar-SA" w:eastAsia="zh-TW" w:bidi="en-GB"/>
        </w:rPr>
      </w:pPr>
      <w:r w:rsidRPr="00ED7B52">
        <w:rPr>
          <w:rtl/>
        </w:rPr>
        <w:tab/>
      </w:r>
      <w:r w:rsidRPr="00ED7B52">
        <w:rPr>
          <w:rtl/>
        </w:rPr>
        <w:tab/>
        <w:t>متابعة هذه الملاحظات الختامية</w:t>
      </w:r>
    </w:p>
    <w:p w14:paraId="59805551" w14:textId="23C6CDCA" w:rsidR="00ED7B52" w:rsidRPr="00A00A38" w:rsidRDefault="00ED7B52" w:rsidP="00ED7B52">
      <w:pPr>
        <w:pStyle w:val="SingleTxtGA"/>
        <w:rPr>
          <w:rFonts w:eastAsiaTheme="minorEastAsia"/>
          <w:bCs/>
          <w:lang w:val="ar-SA" w:eastAsia="zh-TW" w:bidi="en-GB"/>
        </w:rPr>
      </w:pPr>
      <w:r w:rsidRPr="00A00A38">
        <w:rPr>
          <w:rFonts w:eastAsiaTheme="minorEastAsia"/>
          <w:rtl/>
        </w:rPr>
        <w:t>47</w:t>
      </w:r>
      <w:r w:rsidRPr="00ED7B52">
        <w:rPr>
          <w:rFonts w:eastAsiaTheme="minorEastAsia"/>
          <w:rtl/>
        </w:rPr>
        <w:t>-</w:t>
      </w:r>
      <w:r w:rsidRPr="00ED7B52">
        <w:rPr>
          <w:rFonts w:eastAsiaTheme="minorEastAsia"/>
          <w:rtl/>
        </w:rPr>
        <w:tab/>
      </w:r>
      <w:r w:rsidRPr="00A00A38">
        <w:rPr>
          <w:rFonts w:eastAsiaTheme="minorEastAsia"/>
          <w:bCs/>
          <w:rtl/>
        </w:rPr>
        <w:t>تطلب اللجنة إلى الدولة الطرف، وفقاً للفقرة (1) من المادة 9 من الاتفاقية والمادة 65 من نظامها الداخلي، أن تقدّم، في غضون سنة واحدة من اعتماد هذه الملاحظات الختامية، معلومات عن تنفيذها التوصيات الواردة في الفقرات 12</w:t>
      </w:r>
      <w:r w:rsidR="00695151" w:rsidRPr="00A00A38">
        <w:rPr>
          <w:rFonts w:eastAsiaTheme="minorEastAsia" w:hint="cs"/>
          <w:bCs/>
          <w:rtl/>
        </w:rPr>
        <w:t xml:space="preserve"> </w:t>
      </w:r>
      <w:r w:rsidRPr="00A00A38">
        <w:rPr>
          <w:rFonts w:eastAsiaTheme="minorEastAsia"/>
          <w:bCs/>
          <w:rtl/>
        </w:rPr>
        <w:t>(ب)-(د) (بشأن خطاب الكراهية العنصرية والجرائم بدافع</w:t>
      </w:r>
      <w:r w:rsidRPr="00A00A38">
        <w:rPr>
          <w:rFonts w:eastAsiaTheme="minorEastAsia" w:hint="cs"/>
          <w:bCs/>
          <w:rtl/>
        </w:rPr>
        <w:t> </w:t>
      </w:r>
      <w:r w:rsidRPr="00A00A38">
        <w:rPr>
          <w:rFonts w:eastAsiaTheme="minorEastAsia"/>
          <w:bCs/>
          <w:rtl/>
        </w:rPr>
        <w:t>الكراهية)، و18 (النظر في الدوافع العنصرية في إطار القانون الجنائي) و20</w:t>
      </w:r>
      <w:r w:rsidR="00695151" w:rsidRPr="00A00A38">
        <w:rPr>
          <w:rFonts w:eastAsiaTheme="minorEastAsia" w:hint="cs"/>
          <w:bCs/>
          <w:rtl/>
        </w:rPr>
        <w:t xml:space="preserve"> </w:t>
      </w:r>
      <w:r w:rsidRPr="00A00A38">
        <w:rPr>
          <w:rFonts w:eastAsiaTheme="minorEastAsia"/>
          <w:bCs/>
          <w:rtl/>
        </w:rPr>
        <w:t>(أ)-(ج) (التمييز في</w:t>
      </w:r>
      <w:r w:rsidRPr="00A00A38">
        <w:rPr>
          <w:rFonts w:eastAsiaTheme="minorEastAsia" w:hint="cs"/>
          <w:bCs/>
          <w:rtl/>
        </w:rPr>
        <w:t> </w:t>
      </w:r>
      <w:r w:rsidRPr="00A00A38">
        <w:rPr>
          <w:rFonts w:eastAsiaTheme="minorEastAsia"/>
          <w:bCs/>
          <w:rtl/>
        </w:rPr>
        <w:t>التعليم) أعلاه.</w:t>
      </w:r>
    </w:p>
    <w:p w14:paraId="2B55E4B6" w14:textId="671BF8B5" w:rsidR="00ED7B52" w:rsidRPr="00ED7B52" w:rsidRDefault="00ED7B52" w:rsidP="00ED7B52">
      <w:pPr>
        <w:pStyle w:val="H23GA"/>
        <w:rPr>
          <w:lang w:val="ar-SA" w:eastAsia="zh-TW" w:bidi="en-GB"/>
        </w:rPr>
      </w:pPr>
      <w:r w:rsidRPr="00ED7B52">
        <w:rPr>
          <w:rtl/>
        </w:rPr>
        <w:tab/>
      </w:r>
      <w:r w:rsidRPr="00ED7B52">
        <w:rPr>
          <w:rtl/>
        </w:rPr>
        <w:tab/>
        <w:t>الفقرات ذات الأهمية الخاصة</w:t>
      </w:r>
    </w:p>
    <w:p w14:paraId="1933DD41" w14:textId="37211E68" w:rsidR="00ED7B52" w:rsidRPr="00A00A38" w:rsidRDefault="00ED7B52" w:rsidP="00ED7B52">
      <w:pPr>
        <w:pStyle w:val="SingleTxtGA"/>
        <w:rPr>
          <w:rFonts w:eastAsiaTheme="minorEastAsia"/>
          <w:bCs/>
          <w:lang w:val="en-US" w:eastAsia="zh-TW" w:bidi="en-GB"/>
        </w:rPr>
      </w:pPr>
      <w:r w:rsidRPr="00A00A38">
        <w:rPr>
          <w:rFonts w:eastAsiaTheme="minorEastAsia"/>
          <w:rtl/>
        </w:rPr>
        <w:t>48</w:t>
      </w:r>
      <w:r w:rsidRPr="00ED7B52">
        <w:rPr>
          <w:rFonts w:eastAsiaTheme="minorEastAsia"/>
          <w:rtl/>
        </w:rPr>
        <w:t>-</w:t>
      </w:r>
      <w:r w:rsidRPr="00ED7B52">
        <w:rPr>
          <w:rFonts w:eastAsiaTheme="minorEastAsia"/>
          <w:rtl/>
        </w:rPr>
        <w:tab/>
      </w:r>
      <w:r w:rsidRPr="00A00A38">
        <w:rPr>
          <w:rFonts w:eastAsiaTheme="minorEastAsia"/>
          <w:bCs/>
          <w:rtl/>
        </w:rPr>
        <w:t>تودّ اللجنة أن توجّه انتباه الدولة الطرف إلى الأهمية الخاصة للتوصيات الواردة في الفقرات 6 (جمع البيانات)، و30 (التمييز ضد مواطني هولندا المولودين في البحر الكاريبي)، و38 (تغير المناخ) أعلاه، وتطلب إلى الدولة الطرف أن تقدّم في تقريرها الدوري المقبل معلومات مفصّلة عن التدابير الملموسة المتّخذة لتنفيذ تلك التوصيات.</w:t>
      </w:r>
    </w:p>
    <w:p w14:paraId="75BBD6DC" w14:textId="440340C7" w:rsidR="00ED7B52" w:rsidRPr="00ED7B52" w:rsidRDefault="00ED7B52" w:rsidP="00C93F19">
      <w:pPr>
        <w:pStyle w:val="H23GA"/>
        <w:rPr>
          <w:lang w:val="ar-SA" w:eastAsia="zh-TW" w:bidi="en-GB"/>
        </w:rPr>
      </w:pPr>
      <w:r w:rsidRPr="00ED7B52">
        <w:rPr>
          <w:rtl/>
        </w:rPr>
        <w:lastRenderedPageBreak/>
        <w:tab/>
      </w:r>
      <w:r w:rsidRPr="00ED7B52">
        <w:rPr>
          <w:rtl/>
        </w:rPr>
        <w:tab/>
        <w:t>إعداد التقرير الدوري المقبل</w:t>
      </w:r>
    </w:p>
    <w:p w14:paraId="422EA45E" w14:textId="45AA29A0" w:rsidR="00ED7B52" w:rsidRPr="00A00A38" w:rsidRDefault="00ED7B52" w:rsidP="00ED7B52">
      <w:pPr>
        <w:pStyle w:val="SingleTxtGA"/>
        <w:rPr>
          <w:rFonts w:eastAsiaTheme="minorEastAsia"/>
          <w:bCs/>
          <w:lang w:val="en-US" w:eastAsia="zh-TW" w:bidi="en-GB"/>
        </w:rPr>
      </w:pPr>
      <w:r w:rsidRPr="00A00A38">
        <w:rPr>
          <w:rFonts w:eastAsiaTheme="minorEastAsia"/>
          <w:rtl/>
        </w:rPr>
        <w:t>49</w:t>
      </w:r>
      <w:r>
        <w:rPr>
          <w:rFonts w:eastAsiaTheme="minorEastAsia"/>
          <w:rtl/>
        </w:rPr>
        <w:t>-</w:t>
      </w:r>
      <w:r>
        <w:rPr>
          <w:rFonts w:eastAsiaTheme="minorEastAsia"/>
          <w:rtl/>
        </w:rPr>
        <w:tab/>
      </w:r>
      <w:r w:rsidRPr="00A00A38">
        <w:rPr>
          <w:rFonts w:eastAsiaTheme="minorEastAsia"/>
          <w:bCs/>
          <w:rtl/>
        </w:rPr>
        <w:t>توصي اللجنة الدولة الطرف بأن تقدم تقريرها الجامع للتقارير الدورية من الخامس والعشرين إلى الثامن والعشرين بحلول 9 كانون الثاني/يناير 2027، مع مراعاة المبادئ التوجيهية لإعداد الوثيقة الخاصة بالاتفاقية التي اعتمدتها اللجنة في دورتها الحادية والسبعين ومع معالجة جميع النقاط التي أثيرت في هذه الملاحظات الختامية</w:t>
      </w:r>
      <w:r w:rsidRPr="002C2137">
        <w:rPr>
          <w:rStyle w:val="FootnoteReference"/>
          <w:rFonts w:eastAsiaTheme="minorEastAsia"/>
          <w:bCs/>
          <w:szCs w:val="22"/>
          <w:rtl/>
        </w:rPr>
        <w:t>(</w:t>
      </w:r>
      <w:r w:rsidRPr="002C2137">
        <w:rPr>
          <w:rStyle w:val="FootnoteReference"/>
          <w:rFonts w:eastAsiaTheme="minorEastAsia"/>
          <w:bCs/>
          <w:szCs w:val="22"/>
          <w:lang w:val="en-US"/>
        </w:rPr>
        <w:footnoteReference w:id="7"/>
      </w:r>
      <w:r w:rsidRPr="002C2137">
        <w:rPr>
          <w:rStyle w:val="FootnoteReference"/>
          <w:rFonts w:eastAsiaTheme="minorEastAsia"/>
          <w:bCs/>
          <w:szCs w:val="22"/>
          <w:rtl/>
        </w:rPr>
        <w:t>)</w:t>
      </w:r>
      <w:r w:rsidRPr="00695151">
        <w:rPr>
          <w:rFonts w:eastAsiaTheme="minorEastAsia" w:hint="cs"/>
          <w:bCs/>
          <w:rtl/>
        </w:rPr>
        <w:t>.</w:t>
      </w:r>
      <w:r w:rsidRPr="00695151">
        <w:rPr>
          <w:rFonts w:eastAsiaTheme="minorEastAsia"/>
          <w:bCs/>
          <w:rtl/>
        </w:rPr>
        <w:t xml:space="preserve"> </w:t>
      </w:r>
      <w:r w:rsidRPr="00A00A38">
        <w:rPr>
          <w:rFonts w:eastAsiaTheme="minorEastAsia"/>
          <w:bCs/>
          <w:rtl/>
        </w:rPr>
        <w:t>وفي ضوء قرار الجمعية العامة 68/268، تحث اللجنة الدولة الطرف على التقيد بالحد الأقصى لعدد الكلمات في التقارير الدورية، وهو</w:t>
      </w:r>
      <w:r w:rsidR="00695151" w:rsidRPr="00A00A38">
        <w:rPr>
          <w:rFonts w:eastAsiaTheme="minorEastAsia" w:hint="cs"/>
          <w:bCs/>
          <w:rtl/>
        </w:rPr>
        <w:t xml:space="preserve"> </w:t>
      </w:r>
      <w:r w:rsidR="00695151" w:rsidRPr="00A00A38">
        <w:rPr>
          <w:rFonts w:eastAsiaTheme="minorEastAsia"/>
          <w:bCs/>
          <w:rtl/>
        </w:rPr>
        <w:t>200</w:t>
      </w:r>
      <w:r w:rsidRPr="00A00A38">
        <w:rPr>
          <w:rFonts w:eastAsiaTheme="minorEastAsia"/>
          <w:bCs/>
          <w:rtl/>
        </w:rPr>
        <w:t xml:space="preserve"> 21 كلم</w:t>
      </w:r>
      <w:r w:rsidR="00AE555B" w:rsidRPr="00A00A38">
        <w:rPr>
          <w:rFonts w:eastAsiaTheme="minorEastAsia" w:hint="cs"/>
          <w:bCs/>
          <w:rtl/>
        </w:rPr>
        <w:t>ة</w:t>
      </w:r>
      <w:r w:rsidRPr="00A00A38">
        <w:rPr>
          <w:rFonts w:eastAsiaTheme="minorEastAsia"/>
          <w:bCs/>
          <w:rtl/>
        </w:rPr>
        <w:t>.</w:t>
      </w:r>
    </w:p>
    <w:p w14:paraId="46FDCF03" w14:textId="11FB7751" w:rsidR="00ED7B52" w:rsidRPr="00A00A38" w:rsidRDefault="00ED7B52" w:rsidP="00ED7B52">
      <w:pPr>
        <w:pStyle w:val="SingleTxtGA"/>
        <w:jc w:val="center"/>
        <w:rPr>
          <w:u w:val="single"/>
          <w:rtl/>
          <w:lang w:eastAsia="zh-TW"/>
        </w:rPr>
      </w:pPr>
      <w:r w:rsidRPr="00A00A38">
        <w:rPr>
          <w:u w:val="single"/>
          <w:rtl/>
          <w:lang w:eastAsia="zh-TW"/>
        </w:rPr>
        <w:tab/>
      </w:r>
      <w:r w:rsidRPr="00A00A38">
        <w:rPr>
          <w:u w:val="single"/>
          <w:rtl/>
          <w:lang w:eastAsia="zh-TW"/>
        </w:rPr>
        <w:tab/>
      </w:r>
      <w:r w:rsidRPr="00A00A38">
        <w:rPr>
          <w:u w:val="single"/>
          <w:rtl/>
          <w:lang w:eastAsia="zh-TW"/>
        </w:rPr>
        <w:tab/>
      </w:r>
    </w:p>
    <w:sectPr w:rsidR="00ED7B52" w:rsidRPr="00A00A38" w:rsidSect="007C12F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72625" w14:textId="77777777" w:rsidR="00F15F07" w:rsidRPr="002901D9" w:rsidRDefault="00F15F07" w:rsidP="007E37DC">
      <w:pPr>
        <w:spacing w:after="60" w:line="240" w:lineRule="auto"/>
        <w:ind w:left="57"/>
        <w:rPr>
          <w:i/>
          <w:iCs/>
        </w:rPr>
      </w:pPr>
      <w:r>
        <w:rPr>
          <w:rFonts w:hint="cs"/>
          <w:i/>
          <w:iCs/>
          <w:rtl/>
        </w:rPr>
        <w:t>الحواشي</w:t>
      </w:r>
    </w:p>
  </w:endnote>
  <w:endnote w:type="continuationSeparator" w:id="0">
    <w:p w14:paraId="403076DC" w14:textId="77777777" w:rsidR="00F15F07" w:rsidRDefault="00F15F0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DEBE" w14:textId="4001546F" w:rsidR="00F15F07" w:rsidRPr="00CD0E83" w:rsidRDefault="00F15F07" w:rsidP="00CD0E83">
    <w:pPr>
      <w:pStyle w:val="Footer"/>
      <w:tabs>
        <w:tab w:val="right" w:pos="9638"/>
      </w:tabs>
      <w:rPr>
        <w:b/>
        <w:sz w:val="18"/>
        <w:lang w:val="en-US"/>
      </w:rPr>
    </w:pPr>
    <w:r>
      <w:rPr>
        <w:lang w:val="en-US"/>
      </w:rPr>
      <w:t>GE.21-16801</w:t>
    </w:r>
    <w:r>
      <w:rPr>
        <w:lang w:val="en-US"/>
      </w:rPr>
      <w:tab/>
    </w:r>
    <w:r w:rsidRPr="00CD0E83">
      <w:rPr>
        <w:b/>
        <w:sz w:val="18"/>
        <w:lang w:val="en-US"/>
      </w:rPr>
      <w:fldChar w:fldCharType="begin"/>
    </w:r>
    <w:r w:rsidRPr="00CD0E83">
      <w:rPr>
        <w:b/>
        <w:sz w:val="18"/>
        <w:lang w:val="en-US"/>
      </w:rPr>
      <w:instrText xml:space="preserve"> PAGE  \* MERGEFORMAT </w:instrText>
    </w:r>
    <w:r w:rsidRPr="00CD0E83">
      <w:rPr>
        <w:b/>
        <w:sz w:val="18"/>
        <w:lang w:val="en-US"/>
      </w:rPr>
      <w:fldChar w:fldCharType="separate"/>
    </w:r>
    <w:r w:rsidRPr="00CD0E83">
      <w:rPr>
        <w:b/>
        <w:noProof/>
        <w:sz w:val="18"/>
        <w:lang w:val="en-US"/>
      </w:rPr>
      <w:t>2</w:t>
    </w:r>
    <w:r w:rsidRPr="00CD0E8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00F2" w14:textId="795F3B73" w:rsidR="00F15F07" w:rsidRPr="00CD0E83" w:rsidRDefault="00F15F07" w:rsidP="00CD0E8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GE.21-16801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82AED" w14:textId="5B862B8F" w:rsidR="00F15F07" w:rsidRPr="00CD0E83" w:rsidRDefault="00F15F07" w:rsidP="00CD0E83">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6B84482B" wp14:editId="320C099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21-16801 (A)</w:t>
    </w:r>
    <w:r>
      <w:rPr>
        <w:noProof/>
        <w:sz w:val="20"/>
        <w:lang w:val="en-US"/>
      </w:rPr>
      <w:drawing>
        <wp:anchor distT="0" distB="0" distL="114300" distR="114300" simplePos="0" relativeHeight="251659264" behindDoc="0" locked="0" layoutInCell="1" allowOverlap="1" wp14:anchorId="1410F25C" wp14:editId="237A7B9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63593" w14:textId="77777777" w:rsidR="00F15F07" w:rsidRPr="00F46702" w:rsidRDefault="00F15F07" w:rsidP="00F4670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AA6953C" w14:textId="77777777" w:rsidR="00F15F07" w:rsidRDefault="00F15F07" w:rsidP="00656392">
      <w:pPr>
        <w:spacing w:line="240" w:lineRule="auto"/>
      </w:pPr>
      <w:r>
        <w:continuationSeparator/>
      </w:r>
    </w:p>
  </w:footnote>
  <w:footnote w:id="1">
    <w:p w14:paraId="44551861" w14:textId="230BFDAC" w:rsidR="00F15F07" w:rsidRPr="00DB7CC0" w:rsidRDefault="00F15F07" w:rsidP="00DB7CC0">
      <w:pPr>
        <w:pStyle w:val="FootnoteText1"/>
        <w:rPr>
          <w:rtl/>
        </w:rPr>
      </w:pPr>
      <w:r w:rsidRPr="00DB7CC0">
        <w:rPr>
          <w:sz w:val="22"/>
          <w:szCs w:val="22"/>
          <w:rtl/>
        </w:rPr>
        <w:t>*</w:t>
      </w:r>
      <w:r>
        <w:rPr>
          <w:rtl/>
        </w:rPr>
        <w:tab/>
      </w:r>
      <w:r w:rsidRPr="00ED7B52">
        <w:rPr>
          <w:rtl/>
        </w:rPr>
        <w:t xml:space="preserve">اعتمدته اللجنة في دورتها </w:t>
      </w:r>
      <w:r w:rsidRPr="00A00A38">
        <w:rPr>
          <w:rFonts w:ascii="Traditional Arabic"/>
          <w:szCs w:val="20"/>
          <w:rtl/>
        </w:rPr>
        <w:t>104</w:t>
      </w:r>
      <w:r w:rsidRPr="00ED7B52">
        <w:rPr>
          <w:rFonts w:ascii="Traditional Arabic"/>
          <w:szCs w:val="20"/>
          <w:rtl/>
        </w:rPr>
        <w:t xml:space="preserve"> (</w:t>
      </w:r>
      <w:r w:rsidRPr="00A00A38">
        <w:rPr>
          <w:rFonts w:ascii="Traditional Arabic"/>
          <w:szCs w:val="20"/>
          <w:rtl/>
        </w:rPr>
        <w:t>9</w:t>
      </w:r>
      <w:r w:rsidRPr="00ED7B52">
        <w:rPr>
          <w:rFonts w:ascii="Traditional Arabic"/>
          <w:szCs w:val="20"/>
          <w:rtl/>
        </w:rPr>
        <w:t>-</w:t>
      </w:r>
      <w:r w:rsidRPr="00A00A38">
        <w:rPr>
          <w:rFonts w:ascii="Traditional Arabic"/>
          <w:szCs w:val="20"/>
          <w:rtl/>
        </w:rPr>
        <w:t>25</w:t>
      </w:r>
      <w:r w:rsidRPr="00ED7B52">
        <w:rPr>
          <w:rtl/>
        </w:rPr>
        <w:t xml:space="preserve"> آب/أغسطس </w:t>
      </w:r>
      <w:r w:rsidRPr="00A00A38">
        <w:rPr>
          <w:rFonts w:ascii="Traditional Arabic"/>
          <w:szCs w:val="20"/>
          <w:rtl/>
        </w:rPr>
        <w:t>2021</w:t>
      </w:r>
      <w:r w:rsidRPr="00ED7B52">
        <w:rPr>
          <w:rFonts w:ascii="Traditional Arabic"/>
          <w:szCs w:val="20"/>
          <w:rtl/>
        </w:rPr>
        <w:t>).</w:t>
      </w:r>
    </w:p>
  </w:footnote>
  <w:footnote w:id="2">
    <w:p w14:paraId="7724D47D" w14:textId="14E7646F" w:rsidR="00F15F07" w:rsidRPr="00DB7CC0" w:rsidRDefault="00F15F07" w:rsidP="00DB7CC0">
      <w:pPr>
        <w:pStyle w:val="FootnoteText1"/>
        <w:rPr>
          <w:rtl/>
        </w:rPr>
      </w:pPr>
      <w:r w:rsidRPr="00DB7CC0">
        <w:rPr>
          <w:sz w:val="22"/>
          <w:szCs w:val="22"/>
          <w:rtl/>
        </w:rPr>
        <w:t>**</w:t>
      </w:r>
      <w:r w:rsidRPr="00DB7CC0">
        <w:rPr>
          <w:sz w:val="22"/>
          <w:szCs w:val="22"/>
          <w:rtl/>
        </w:rPr>
        <w:tab/>
      </w:r>
      <w:r w:rsidRPr="00ED7B52">
        <w:rPr>
          <w:rtl/>
        </w:rPr>
        <w:t xml:space="preserve">يُستخدم مصطلح "مملكة هولندا" في هذه الوثيقة للإشارة إلى الأجزاء الأربعة التي تتكون منها مملكة هولندا: هولندا </w:t>
      </w:r>
      <w:proofErr w:type="gramStart"/>
      <w:r w:rsidRPr="00ED7B52">
        <w:rPr>
          <w:rtl/>
        </w:rPr>
        <w:t>وأروبا</w:t>
      </w:r>
      <w:proofErr w:type="gramEnd"/>
      <w:r w:rsidRPr="00ED7B52">
        <w:rPr>
          <w:rtl/>
        </w:rPr>
        <w:t xml:space="preserve"> </w:t>
      </w:r>
      <w:proofErr w:type="spellStart"/>
      <w:r w:rsidRPr="00ED7B52">
        <w:rPr>
          <w:rtl/>
        </w:rPr>
        <w:t>وكوراساو</w:t>
      </w:r>
      <w:proofErr w:type="spellEnd"/>
      <w:r w:rsidRPr="00ED7B52">
        <w:rPr>
          <w:rtl/>
        </w:rPr>
        <w:t xml:space="preserve"> وسان مارتن. يستخدم مصطلح "هولندا" في هذه الوثيقة للإشارة إلى أحد الأجزاء الأربعة التي تتكون منها مملكة هولندا.</w:t>
      </w:r>
    </w:p>
  </w:footnote>
  <w:footnote w:id="3">
    <w:p w14:paraId="333D43E2" w14:textId="67B542F3" w:rsidR="00F15F07" w:rsidRPr="00ED7B52" w:rsidRDefault="00F15F07" w:rsidP="00DB7CC0">
      <w:pPr>
        <w:pStyle w:val="FootnoteText1"/>
        <w:textDirection w:val="tbRlV"/>
        <w:rPr>
          <w:szCs w:val="20"/>
          <w:lang w:eastAsia="zh-TW" w:bidi="en-GB"/>
        </w:rPr>
      </w:pPr>
      <w:r w:rsidRPr="00A00A38">
        <w:rPr>
          <w:rStyle w:val="FootnoteReference"/>
          <w:vertAlign w:val="baseline"/>
          <w:rtl/>
        </w:rPr>
        <w:t>(</w:t>
      </w:r>
      <w:r w:rsidRPr="00A00A38">
        <w:rPr>
          <w:rStyle w:val="FootnoteReference"/>
          <w:vertAlign w:val="baseline"/>
        </w:rPr>
        <w:footnoteRef/>
      </w:r>
      <w:r w:rsidRPr="00A00A38">
        <w:rPr>
          <w:rStyle w:val="FootnoteReference"/>
          <w:vertAlign w:val="baseline"/>
          <w:rtl/>
        </w:rPr>
        <w:t>)</w:t>
      </w:r>
      <w:r w:rsidRPr="00ED7B52">
        <w:rPr>
          <w:rtl/>
        </w:rPr>
        <w:tab/>
      </w:r>
      <w:hyperlink r:id="rId1" w:history="1">
        <w:r w:rsidRPr="00FC4E47">
          <w:rPr>
            <w:rStyle w:val="Hyperlink"/>
          </w:rPr>
          <w:t>CERD/C/NLD/</w:t>
        </w:r>
        <w:r w:rsidRPr="00A00A38">
          <w:rPr>
            <w:rStyle w:val="Hyperlink"/>
          </w:rPr>
          <w:t>22</w:t>
        </w:r>
        <w:r w:rsidRPr="00FC4E47">
          <w:rPr>
            <w:rStyle w:val="Hyperlink"/>
          </w:rPr>
          <w:t>-</w:t>
        </w:r>
        <w:r w:rsidRPr="00A00A38">
          <w:rPr>
            <w:rStyle w:val="Hyperlink"/>
          </w:rPr>
          <w:t>24</w:t>
        </w:r>
      </w:hyperlink>
      <w:r w:rsidRPr="00ED7B52">
        <w:rPr>
          <w:rtl/>
        </w:rPr>
        <w:t>.</w:t>
      </w:r>
    </w:p>
  </w:footnote>
  <w:footnote w:id="4">
    <w:p w14:paraId="79C50F1E" w14:textId="196ADD96" w:rsidR="00F15F07" w:rsidRPr="00ED7B52" w:rsidRDefault="00F15F07" w:rsidP="00ED7B52">
      <w:pPr>
        <w:pStyle w:val="FootnoteText1"/>
        <w:textDirection w:val="tbRlV"/>
        <w:rPr>
          <w:szCs w:val="20"/>
          <w:lang w:val="ar-SA" w:eastAsia="zh-TW" w:bidi="en-GB"/>
        </w:rPr>
      </w:pPr>
      <w:r w:rsidRPr="00A00A38">
        <w:rPr>
          <w:rStyle w:val="FootnoteReference"/>
          <w:vertAlign w:val="baseline"/>
          <w:rtl/>
        </w:rPr>
        <w:t>(</w:t>
      </w:r>
      <w:r w:rsidRPr="00A00A38">
        <w:rPr>
          <w:rStyle w:val="FootnoteReference"/>
          <w:vertAlign w:val="baseline"/>
        </w:rPr>
        <w:footnoteRef/>
      </w:r>
      <w:r w:rsidRPr="00A00A38">
        <w:rPr>
          <w:rStyle w:val="FootnoteReference"/>
          <w:vertAlign w:val="baseline"/>
          <w:rtl/>
        </w:rPr>
        <w:t>)</w:t>
      </w:r>
      <w:r w:rsidRPr="00ED7B52">
        <w:rPr>
          <w:rtl/>
        </w:rPr>
        <w:tab/>
        <w:t xml:space="preserve">انظر </w:t>
      </w:r>
      <w:hyperlink r:id="rId2" w:history="1">
        <w:r w:rsidRPr="00302B29">
          <w:rPr>
            <w:rStyle w:val="Hyperlink"/>
          </w:rPr>
          <w:t>CERD/C/SR.</w:t>
        </w:r>
        <w:r w:rsidRPr="00A00A38">
          <w:rPr>
            <w:rStyle w:val="Hyperlink"/>
          </w:rPr>
          <w:t>2828</w:t>
        </w:r>
      </w:hyperlink>
      <w:r>
        <w:rPr>
          <w:rFonts w:hint="cs"/>
          <w:rtl/>
        </w:rPr>
        <w:t xml:space="preserve"> </w:t>
      </w:r>
      <w:r>
        <w:rPr>
          <w:rtl/>
        </w:rPr>
        <w:t>و</w:t>
      </w:r>
      <w:hyperlink r:id="rId3" w:history="1">
        <w:r>
          <w:rPr>
            <w:rStyle w:val="Hyperlink"/>
          </w:rPr>
          <w:t>CERD/C/SR.</w:t>
        </w:r>
        <w:r w:rsidRPr="00A00A38">
          <w:rPr>
            <w:rStyle w:val="Hyperlink"/>
          </w:rPr>
          <w:t>2829</w:t>
        </w:r>
      </w:hyperlink>
      <w:r w:rsidRPr="00ED7B52">
        <w:rPr>
          <w:rtl/>
        </w:rPr>
        <w:t>.</w:t>
      </w:r>
    </w:p>
  </w:footnote>
  <w:footnote w:id="5">
    <w:p w14:paraId="7B752DC1" w14:textId="44686F60" w:rsidR="00F15F07" w:rsidRPr="00ED7B52" w:rsidRDefault="00F15F07" w:rsidP="00F15F07">
      <w:pPr>
        <w:pStyle w:val="FootnoteText1"/>
        <w:textDirection w:val="tbRlV"/>
        <w:rPr>
          <w:szCs w:val="20"/>
          <w:lang w:val="ar-SA" w:eastAsia="zh-TW" w:bidi="en-GB"/>
        </w:rPr>
      </w:pPr>
      <w:r w:rsidRPr="00A00A38">
        <w:rPr>
          <w:rStyle w:val="FootnoteReference"/>
          <w:vertAlign w:val="baseline"/>
          <w:rtl/>
        </w:rPr>
        <w:t>(</w:t>
      </w:r>
      <w:r w:rsidRPr="00A00A38">
        <w:rPr>
          <w:rStyle w:val="FootnoteReference"/>
          <w:vertAlign w:val="baseline"/>
        </w:rPr>
        <w:footnoteRef/>
      </w:r>
      <w:r w:rsidRPr="00A00A38">
        <w:rPr>
          <w:rStyle w:val="FootnoteReference"/>
          <w:vertAlign w:val="baseline"/>
          <w:rtl/>
        </w:rPr>
        <w:t>)</w:t>
      </w:r>
      <w:r w:rsidRPr="00ED7B52">
        <w:rPr>
          <w:rtl/>
        </w:rPr>
        <w:tab/>
      </w:r>
      <w:hyperlink r:id="rId4" w:history="1">
        <w:r>
          <w:rPr>
            <w:rStyle w:val="Hyperlink"/>
          </w:rPr>
          <w:t>CERD/C/</w:t>
        </w:r>
        <w:r w:rsidRPr="00A00A38">
          <w:rPr>
            <w:rStyle w:val="Hyperlink"/>
          </w:rPr>
          <w:t>2007</w:t>
        </w:r>
        <w:r>
          <w:rPr>
            <w:rStyle w:val="Hyperlink"/>
          </w:rPr>
          <w:t>/</w:t>
        </w:r>
        <w:r w:rsidRPr="00A00A38">
          <w:rPr>
            <w:rStyle w:val="Hyperlink"/>
          </w:rPr>
          <w:t>1</w:t>
        </w:r>
      </w:hyperlink>
      <w:r w:rsidRPr="00ED7B52">
        <w:rPr>
          <w:rtl/>
        </w:rPr>
        <w:t>.</w:t>
      </w:r>
    </w:p>
  </w:footnote>
  <w:footnote w:id="6">
    <w:p w14:paraId="44B188C2" w14:textId="225B1417" w:rsidR="00F15F07" w:rsidRPr="00ED7B52" w:rsidRDefault="00F15F07" w:rsidP="00ED7B52">
      <w:pPr>
        <w:pStyle w:val="FootnoteText1"/>
        <w:textDirection w:val="tbRlV"/>
        <w:rPr>
          <w:szCs w:val="20"/>
          <w:lang w:val="ar-SA" w:eastAsia="zh-TW" w:bidi="en-GB"/>
        </w:rPr>
      </w:pPr>
      <w:r w:rsidRPr="00A00A38">
        <w:rPr>
          <w:rStyle w:val="FootnoteReference"/>
          <w:vertAlign w:val="baseline"/>
          <w:rtl/>
        </w:rPr>
        <w:t>(</w:t>
      </w:r>
      <w:r w:rsidRPr="00A00A38">
        <w:rPr>
          <w:rStyle w:val="FootnoteReference"/>
          <w:vertAlign w:val="baseline"/>
        </w:rPr>
        <w:footnoteRef/>
      </w:r>
      <w:r w:rsidRPr="00A00A38">
        <w:rPr>
          <w:rStyle w:val="FootnoteReference"/>
          <w:vertAlign w:val="baseline"/>
          <w:rtl/>
        </w:rPr>
        <w:t>)</w:t>
      </w:r>
      <w:r w:rsidRPr="00ED7B52">
        <w:rPr>
          <w:rtl/>
        </w:rPr>
        <w:tab/>
      </w:r>
      <w:hyperlink r:id="rId5" w:history="1">
        <w:r w:rsidR="00695151" w:rsidRPr="003D39E4">
          <w:rPr>
            <w:rStyle w:val="Hyperlink"/>
          </w:rPr>
          <w:t>HRI/GEN/</w:t>
        </w:r>
        <w:r w:rsidR="00695151" w:rsidRPr="00A00A38">
          <w:rPr>
            <w:rStyle w:val="Hyperlink"/>
          </w:rPr>
          <w:t>2</w:t>
        </w:r>
        <w:r w:rsidR="00695151" w:rsidRPr="003D39E4">
          <w:rPr>
            <w:rStyle w:val="Hyperlink"/>
          </w:rPr>
          <w:t>/Rev.</w:t>
        </w:r>
        <w:r w:rsidR="00695151" w:rsidRPr="00A00A38">
          <w:rPr>
            <w:rStyle w:val="Hyperlink"/>
          </w:rPr>
          <w:t>6</w:t>
        </w:r>
      </w:hyperlink>
      <w:r w:rsidRPr="00ED7B52">
        <w:rPr>
          <w:rtl/>
        </w:rPr>
        <w:t>، الفصل الأول.</w:t>
      </w:r>
    </w:p>
  </w:footnote>
  <w:footnote w:id="7">
    <w:p w14:paraId="187EB764" w14:textId="4098565E" w:rsidR="00F15F07" w:rsidRPr="00ED7B52" w:rsidRDefault="00F15F07" w:rsidP="00ED7B52">
      <w:pPr>
        <w:pStyle w:val="FootnoteText1"/>
        <w:textDirection w:val="tbRlV"/>
        <w:rPr>
          <w:szCs w:val="20"/>
          <w:lang w:val="ar-SA" w:eastAsia="zh-TW" w:bidi="en-GB"/>
        </w:rPr>
      </w:pPr>
      <w:r w:rsidRPr="00A00A38">
        <w:rPr>
          <w:rStyle w:val="FootnoteReference"/>
          <w:vertAlign w:val="baseline"/>
          <w:rtl/>
        </w:rPr>
        <w:t>(</w:t>
      </w:r>
      <w:r w:rsidRPr="00A00A38">
        <w:rPr>
          <w:rStyle w:val="FootnoteReference"/>
          <w:vertAlign w:val="baseline"/>
        </w:rPr>
        <w:footnoteRef/>
      </w:r>
      <w:r w:rsidRPr="00A00A38">
        <w:rPr>
          <w:rStyle w:val="FootnoteReference"/>
          <w:vertAlign w:val="baseline"/>
          <w:rtl/>
        </w:rPr>
        <w:t>)</w:t>
      </w:r>
      <w:r w:rsidRPr="00ED7B52">
        <w:rPr>
          <w:rtl/>
        </w:rPr>
        <w:tab/>
      </w:r>
      <w:hyperlink r:id="rId6" w:history="1">
        <w:r w:rsidR="00C93F19">
          <w:rPr>
            <w:rStyle w:val="Hyperlink"/>
          </w:rPr>
          <w:t>CERD/C/</w:t>
        </w:r>
        <w:r w:rsidR="00C93F19" w:rsidRPr="00A00A38">
          <w:rPr>
            <w:rStyle w:val="Hyperlink"/>
          </w:rPr>
          <w:t>2007</w:t>
        </w:r>
        <w:r w:rsidR="00C93F19">
          <w:rPr>
            <w:rStyle w:val="Hyperlink"/>
          </w:rPr>
          <w:t>/</w:t>
        </w:r>
        <w:r w:rsidR="00C93F19" w:rsidRPr="00A00A38">
          <w:rPr>
            <w:rStyle w:val="Hyperlink"/>
          </w:rPr>
          <w:t>1</w:t>
        </w:r>
      </w:hyperlink>
      <w:r w:rsidRPr="00ED7B5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590D" w14:textId="6833B657" w:rsidR="00F15F07" w:rsidRPr="00CD0E83" w:rsidRDefault="00F15F07" w:rsidP="00CD0E8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proofErr w:type="spellStart"/>
    <w:r w:rsidR="0067428F">
      <w:t>CERD</w:t>
    </w:r>
    <w:proofErr w:type="spellEnd"/>
    <w:r w:rsidR="0067428F">
      <w:t>/C/</w:t>
    </w:r>
    <w:proofErr w:type="spellStart"/>
    <w:r w:rsidR="0067428F">
      <w:t>NLD</w:t>
    </w:r>
    <w:proofErr w:type="spellEnd"/>
    <w:r w:rsidR="0067428F">
      <w:t>/CO/22-24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9C9A" w14:textId="16D29A30" w:rsidR="00F15F07" w:rsidRPr="00CD0E83" w:rsidRDefault="00F15F07" w:rsidP="00CD0E8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proofErr w:type="spellStart"/>
    <w:r w:rsidR="0067428F">
      <w:t>CERD</w:t>
    </w:r>
    <w:proofErr w:type="spellEnd"/>
    <w:r w:rsidR="0067428F">
      <w:t>/C/</w:t>
    </w:r>
    <w:proofErr w:type="spellStart"/>
    <w:r w:rsidR="0067428F">
      <w:t>NLD</w:t>
    </w:r>
    <w:proofErr w:type="spellEnd"/>
    <w:r w:rsidR="0067428F">
      <w:t>/CO/22-24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43"/>
    <w:rsid w:val="000076D5"/>
    <w:rsid w:val="00043663"/>
    <w:rsid w:val="000505CF"/>
    <w:rsid w:val="00061207"/>
    <w:rsid w:val="000A3229"/>
    <w:rsid w:val="000D5F55"/>
    <w:rsid w:val="000D701C"/>
    <w:rsid w:val="000E2A71"/>
    <w:rsid w:val="00156D54"/>
    <w:rsid w:val="00160263"/>
    <w:rsid w:val="00181F96"/>
    <w:rsid w:val="00186F74"/>
    <w:rsid w:val="001A1371"/>
    <w:rsid w:val="001B346A"/>
    <w:rsid w:val="001E1CAD"/>
    <w:rsid w:val="001E290D"/>
    <w:rsid w:val="002144FA"/>
    <w:rsid w:val="0023469A"/>
    <w:rsid w:val="00235456"/>
    <w:rsid w:val="00243C8A"/>
    <w:rsid w:val="0025335A"/>
    <w:rsid w:val="0026057C"/>
    <w:rsid w:val="00263543"/>
    <w:rsid w:val="00267A0E"/>
    <w:rsid w:val="00276D72"/>
    <w:rsid w:val="002901D9"/>
    <w:rsid w:val="002976C2"/>
    <w:rsid w:val="002C2137"/>
    <w:rsid w:val="002D2D42"/>
    <w:rsid w:val="002D38BC"/>
    <w:rsid w:val="002E002F"/>
    <w:rsid w:val="002F5000"/>
    <w:rsid w:val="003110CF"/>
    <w:rsid w:val="003260FF"/>
    <w:rsid w:val="00326A5E"/>
    <w:rsid w:val="00343D95"/>
    <w:rsid w:val="00374341"/>
    <w:rsid w:val="0039392F"/>
    <w:rsid w:val="003A0060"/>
    <w:rsid w:val="003B1799"/>
    <w:rsid w:val="003C67DF"/>
    <w:rsid w:val="003D1062"/>
    <w:rsid w:val="003E0437"/>
    <w:rsid w:val="004024CE"/>
    <w:rsid w:val="00420D7B"/>
    <w:rsid w:val="00450B21"/>
    <w:rsid w:val="00453B63"/>
    <w:rsid w:val="00455780"/>
    <w:rsid w:val="004714DA"/>
    <w:rsid w:val="004A14A6"/>
    <w:rsid w:val="004B0A1C"/>
    <w:rsid w:val="004B1A56"/>
    <w:rsid w:val="004D298E"/>
    <w:rsid w:val="00523BAE"/>
    <w:rsid w:val="005445EF"/>
    <w:rsid w:val="0054472E"/>
    <w:rsid w:val="0055501B"/>
    <w:rsid w:val="005662A9"/>
    <w:rsid w:val="005827D4"/>
    <w:rsid w:val="00586100"/>
    <w:rsid w:val="0059622A"/>
    <w:rsid w:val="005A09E8"/>
    <w:rsid w:val="005C5878"/>
    <w:rsid w:val="005C7CEA"/>
    <w:rsid w:val="005D3C0B"/>
    <w:rsid w:val="005E5217"/>
    <w:rsid w:val="005F0FA4"/>
    <w:rsid w:val="005F30EE"/>
    <w:rsid w:val="00604043"/>
    <w:rsid w:val="0060473A"/>
    <w:rsid w:val="00656392"/>
    <w:rsid w:val="0067428F"/>
    <w:rsid w:val="0068781D"/>
    <w:rsid w:val="00695151"/>
    <w:rsid w:val="006959B0"/>
    <w:rsid w:val="006B3E27"/>
    <w:rsid w:val="006B6507"/>
    <w:rsid w:val="006C104C"/>
    <w:rsid w:val="00733704"/>
    <w:rsid w:val="00735C55"/>
    <w:rsid w:val="00770A5E"/>
    <w:rsid w:val="0078071A"/>
    <w:rsid w:val="007C12F9"/>
    <w:rsid w:val="007E37DC"/>
    <w:rsid w:val="007E5F40"/>
    <w:rsid w:val="007F3678"/>
    <w:rsid w:val="008036FE"/>
    <w:rsid w:val="008315F0"/>
    <w:rsid w:val="008357B8"/>
    <w:rsid w:val="00852A9A"/>
    <w:rsid w:val="008B0BF2"/>
    <w:rsid w:val="008F49E1"/>
    <w:rsid w:val="00902B37"/>
    <w:rsid w:val="00903458"/>
    <w:rsid w:val="0090370F"/>
    <w:rsid w:val="00912700"/>
    <w:rsid w:val="009269D2"/>
    <w:rsid w:val="00942135"/>
    <w:rsid w:val="009521B0"/>
    <w:rsid w:val="00983BB0"/>
    <w:rsid w:val="00994130"/>
    <w:rsid w:val="009A7E9F"/>
    <w:rsid w:val="009E5018"/>
    <w:rsid w:val="009F0C2F"/>
    <w:rsid w:val="00A00A38"/>
    <w:rsid w:val="00A12B37"/>
    <w:rsid w:val="00A570BE"/>
    <w:rsid w:val="00A6367F"/>
    <w:rsid w:val="00AB6758"/>
    <w:rsid w:val="00AD677C"/>
    <w:rsid w:val="00AE555B"/>
    <w:rsid w:val="00B13763"/>
    <w:rsid w:val="00B14382"/>
    <w:rsid w:val="00B176FF"/>
    <w:rsid w:val="00B44E12"/>
    <w:rsid w:val="00B455EE"/>
    <w:rsid w:val="00B477A4"/>
    <w:rsid w:val="00B54045"/>
    <w:rsid w:val="00BA2567"/>
    <w:rsid w:val="00BF20E8"/>
    <w:rsid w:val="00C438D7"/>
    <w:rsid w:val="00C47A45"/>
    <w:rsid w:val="00C81B50"/>
    <w:rsid w:val="00C93F19"/>
    <w:rsid w:val="00CB28F9"/>
    <w:rsid w:val="00CD0E83"/>
    <w:rsid w:val="00CD1801"/>
    <w:rsid w:val="00CF2B82"/>
    <w:rsid w:val="00D10EF1"/>
    <w:rsid w:val="00D36601"/>
    <w:rsid w:val="00D42810"/>
    <w:rsid w:val="00D81286"/>
    <w:rsid w:val="00D914A7"/>
    <w:rsid w:val="00D952E6"/>
    <w:rsid w:val="00DB79BF"/>
    <w:rsid w:val="00DB7CC0"/>
    <w:rsid w:val="00DD0800"/>
    <w:rsid w:val="00DD13C3"/>
    <w:rsid w:val="00DD596E"/>
    <w:rsid w:val="00DD621E"/>
    <w:rsid w:val="00DF0575"/>
    <w:rsid w:val="00E053F3"/>
    <w:rsid w:val="00E70E04"/>
    <w:rsid w:val="00E76499"/>
    <w:rsid w:val="00EC05A7"/>
    <w:rsid w:val="00EC4B6B"/>
    <w:rsid w:val="00ED7B52"/>
    <w:rsid w:val="00EF1EE5"/>
    <w:rsid w:val="00F15F07"/>
    <w:rsid w:val="00F33749"/>
    <w:rsid w:val="00F4361D"/>
    <w:rsid w:val="00F46702"/>
    <w:rsid w:val="00F55CCB"/>
    <w:rsid w:val="00F763B4"/>
    <w:rsid w:val="00F83E84"/>
    <w:rsid w:val="00F900C3"/>
    <w:rsid w:val="00FA7FFE"/>
    <w:rsid w:val="00FD2424"/>
    <w:rsid w:val="00FF2AB2"/>
    <w:rsid w:val="00FF2B1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3B4A7"/>
  <w15:docId w15:val="{3524E7FB-6D83-47BA-9D3F-AF85FB39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F0"/>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315F0"/>
    <w:pPr>
      <w:bidi w:val="0"/>
      <w:outlineLvl w:val="0"/>
    </w:pPr>
  </w:style>
  <w:style w:type="paragraph" w:styleId="Heading2">
    <w:name w:val="heading 2"/>
    <w:basedOn w:val="Normal"/>
    <w:next w:val="Normal"/>
    <w:link w:val="Heading2Char"/>
    <w:uiPriority w:val="9"/>
    <w:unhideWhenUsed/>
    <w:rsid w:val="008315F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315F0"/>
    <w:pPr>
      <w:keepNext/>
      <w:keepLines/>
      <w:spacing w:before="200"/>
      <w:outlineLvl w:val="2"/>
    </w:pPr>
    <w:rPr>
      <w:b/>
      <w:bCs/>
      <w:color w:val="4F81BD"/>
    </w:rPr>
  </w:style>
  <w:style w:type="paragraph" w:styleId="Heading4">
    <w:name w:val="heading 4"/>
    <w:basedOn w:val="Normal"/>
    <w:next w:val="Normal"/>
    <w:link w:val="Heading4Char"/>
    <w:uiPriority w:val="9"/>
    <w:unhideWhenUsed/>
    <w:rsid w:val="008315F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315F0"/>
    <w:pPr>
      <w:keepNext/>
      <w:keepLines/>
      <w:spacing w:before="200"/>
      <w:outlineLvl w:val="4"/>
    </w:pPr>
    <w:rPr>
      <w:color w:val="243F60"/>
    </w:rPr>
  </w:style>
  <w:style w:type="paragraph" w:styleId="Heading6">
    <w:name w:val="heading 6"/>
    <w:basedOn w:val="Normal"/>
    <w:next w:val="Normal"/>
    <w:link w:val="Heading6Char"/>
    <w:uiPriority w:val="9"/>
    <w:unhideWhenUsed/>
    <w:rsid w:val="008315F0"/>
    <w:pPr>
      <w:keepNext/>
      <w:keepLines/>
      <w:spacing w:before="200"/>
      <w:outlineLvl w:val="5"/>
    </w:pPr>
    <w:rPr>
      <w:i/>
      <w:iCs/>
      <w:color w:val="243F60"/>
    </w:rPr>
  </w:style>
  <w:style w:type="paragraph" w:styleId="Heading7">
    <w:name w:val="heading 7"/>
    <w:basedOn w:val="Normal"/>
    <w:next w:val="Normal"/>
    <w:link w:val="Heading7Char"/>
    <w:uiPriority w:val="9"/>
    <w:unhideWhenUsed/>
    <w:rsid w:val="008315F0"/>
    <w:pPr>
      <w:keepNext/>
      <w:keepLines/>
      <w:spacing w:before="200"/>
      <w:outlineLvl w:val="6"/>
    </w:pPr>
    <w:rPr>
      <w:i/>
      <w:iCs/>
      <w:color w:val="404040"/>
    </w:rPr>
  </w:style>
  <w:style w:type="paragraph" w:styleId="Heading8">
    <w:name w:val="heading 8"/>
    <w:basedOn w:val="Normal"/>
    <w:next w:val="Normal"/>
    <w:link w:val="Heading8Char"/>
    <w:uiPriority w:val="9"/>
    <w:unhideWhenUsed/>
    <w:rsid w:val="008315F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315F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315F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315F0"/>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8315F0"/>
    <w:rPr>
      <w:szCs w:val="18"/>
      <w:vertAlign w:val="superscript"/>
    </w:rPr>
  </w:style>
  <w:style w:type="paragraph" w:customStyle="1" w:styleId="HMGA">
    <w:name w:val="_ H __M_GA"/>
    <w:basedOn w:val="Normal"/>
    <w:next w:val="SingleTxtGA"/>
    <w:qFormat/>
    <w:rsid w:val="008315F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315F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315F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315F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315F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315F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315F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315F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315F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315F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315F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315F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315F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315F0"/>
    <w:pPr>
      <w:numPr>
        <w:numId w:val="5"/>
      </w:numPr>
      <w:bidi w:val="0"/>
    </w:pPr>
    <w:rPr>
      <w:lang w:val="en-US"/>
    </w:rPr>
  </w:style>
  <w:style w:type="paragraph" w:customStyle="1" w:styleId="Roman1GA">
    <w:name w:val="_Roman 1_GA"/>
    <w:basedOn w:val="Bullet1GA"/>
    <w:qFormat/>
    <w:rsid w:val="008315F0"/>
    <w:pPr>
      <w:numPr>
        <w:numId w:val="6"/>
      </w:numPr>
      <w:tabs>
        <w:tab w:val="clear" w:pos="2310"/>
        <w:tab w:val="left" w:pos="2486"/>
      </w:tabs>
      <w:ind w:left="2486" w:hanging="378"/>
    </w:pPr>
  </w:style>
  <w:style w:type="paragraph" w:customStyle="1" w:styleId="Roman2GA">
    <w:name w:val="_Roman 2_GA"/>
    <w:basedOn w:val="Bullet2GA"/>
    <w:qFormat/>
    <w:rsid w:val="008315F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315F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315F0"/>
    <w:rPr>
      <w:rFonts w:ascii="Times New Roman" w:eastAsia="PMingLiU" w:hAnsi="Times New Roman" w:cs="Simplified Arabic"/>
      <w:sz w:val="18"/>
      <w:szCs w:val="20"/>
      <w:lang w:val="en-GB"/>
    </w:rPr>
  </w:style>
  <w:style w:type="character" w:customStyle="1" w:styleId="EndtnoteReference">
    <w:name w:val="Endtnote Reference"/>
    <w:aliases w:val="1_GA"/>
    <w:qFormat/>
    <w:rsid w:val="008315F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315F0"/>
    <w:pPr>
      <w:suppressAutoHyphens/>
      <w:bidi w:val="0"/>
      <w:spacing w:line="240" w:lineRule="auto"/>
    </w:pPr>
    <w:rPr>
      <w:sz w:val="16"/>
      <w:lang w:val="en-GB"/>
    </w:rPr>
  </w:style>
  <w:style w:type="character" w:customStyle="1" w:styleId="FooterChar">
    <w:name w:val="Footer Char"/>
    <w:aliases w:val="3_GA Char,3_G Char"/>
    <w:link w:val="Footer"/>
    <w:rsid w:val="008315F0"/>
    <w:rPr>
      <w:rFonts w:ascii="Times New Roman" w:eastAsia="PMingLiU" w:hAnsi="Times New Roman" w:cs="Simplified Arabic"/>
      <w:sz w:val="16"/>
      <w:lang w:val="en-GB"/>
    </w:rPr>
  </w:style>
  <w:style w:type="paragraph" w:customStyle="1" w:styleId="FootnoteText1">
    <w:name w:val="Footnote Text1"/>
    <w:aliases w:val="5_GA"/>
    <w:basedOn w:val="Normal"/>
    <w:qFormat/>
    <w:rsid w:val="008315F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315F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8315F0"/>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315F0"/>
    <w:rPr>
      <w:rFonts w:ascii="Times New Roman" w:eastAsia="PMingLiU" w:hAnsi="Times New Roman" w:cs="Simplified Arabic"/>
      <w:lang w:val="en-GB"/>
    </w:rPr>
  </w:style>
  <w:style w:type="character" w:styleId="PageNumber">
    <w:name w:val="page number"/>
    <w:aliases w:val="7_GA,7_G"/>
    <w:qFormat/>
    <w:rsid w:val="008315F0"/>
    <w:rPr>
      <w:rFonts w:ascii="Times New Roman Bold" w:hAnsi="Times New Roman Bold"/>
      <w:b/>
      <w:i w:val="0"/>
      <w:sz w:val="18"/>
      <w:szCs w:val="18"/>
    </w:rPr>
  </w:style>
  <w:style w:type="paragraph" w:customStyle="1" w:styleId="XXLargeGA">
    <w:name w:val="XXLarge_GA"/>
    <w:basedOn w:val="Normal"/>
    <w:next w:val="SingleTxtGA"/>
    <w:qFormat/>
    <w:rsid w:val="008315F0"/>
    <w:pPr>
      <w:suppressAutoHyphens/>
      <w:spacing w:line="820" w:lineRule="exact"/>
    </w:pPr>
    <w:rPr>
      <w:spacing w:val="-8"/>
      <w:w w:val="96"/>
      <w:sz w:val="57"/>
      <w:szCs w:val="86"/>
      <w:lang w:val="en-GB"/>
    </w:rPr>
  </w:style>
  <w:style w:type="character" w:customStyle="1" w:styleId="Heading2Char">
    <w:name w:val="Heading 2 Char"/>
    <w:link w:val="Heading2"/>
    <w:uiPriority w:val="9"/>
    <w:rsid w:val="008315F0"/>
    <w:rPr>
      <w:rFonts w:ascii="Times New Roman" w:eastAsia="PMingLiU" w:hAnsi="Times New Roman" w:cs="Simplified Arabic"/>
      <w:b/>
      <w:bCs/>
      <w:color w:val="4F81BD"/>
      <w:sz w:val="26"/>
      <w:szCs w:val="26"/>
    </w:rPr>
  </w:style>
  <w:style w:type="character" w:styleId="BookTitle">
    <w:name w:val="Book Title"/>
    <w:uiPriority w:val="33"/>
    <w:rsid w:val="008315F0"/>
    <w:rPr>
      <w:b/>
      <w:bCs/>
      <w:smallCaps/>
      <w:spacing w:val="5"/>
    </w:rPr>
  </w:style>
  <w:style w:type="character" w:customStyle="1" w:styleId="Heading3Char">
    <w:name w:val="Heading 3 Char"/>
    <w:link w:val="Heading3"/>
    <w:uiPriority w:val="9"/>
    <w:rsid w:val="008315F0"/>
    <w:rPr>
      <w:rFonts w:ascii="Times New Roman" w:eastAsia="PMingLiU" w:hAnsi="Times New Roman" w:cs="Simplified Arabic"/>
      <w:b/>
      <w:bCs/>
      <w:color w:val="4F81BD"/>
      <w:sz w:val="20"/>
    </w:rPr>
  </w:style>
  <w:style w:type="character" w:customStyle="1" w:styleId="Heading4Char">
    <w:name w:val="Heading 4 Char"/>
    <w:link w:val="Heading4"/>
    <w:uiPriority w:val="9"/>
    <w:rsid w:val="008315F0"/>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315F0"/>
    <w:rPr>
      <w:rFonts w:ascii="Times New Roman" w:eastAsia="PMingLiU" w:hAnsi="Times New Roman" w:cs="Simplified Arabic"/>
      <w:color w:val="243F60"/>
      <w:sz w:val="20"/>
    </w:rPr>
  </w:style>
  <w:style w:type="character" w:customStyle="1" w:styleId="Heading6Char">
    <w:name w:val="Heading 6 Char"/>
    <w:link w:val="Heading6"/>
    <w:uiPriority w:val="9"/>
    <w:rsid w:val="008315F0"/>
    <w:rPr>
      <w:rFonts w:ascii="Times New Roman" w:eastAsia="PMingLiU" w:hAnsi="Times New Roman" w:cs="Simplified Arabic"/>
      <w:i/>
      <w:iCs/>
      <w:color w:val="243F60"/>
      <w:sz w:val="20"/>
    </w:rPr>
  </w:style>
  <w:style w:type="character" w:customStyle="1" w:styleId="Heading7Char">
    <w:name w:val="Heading 7 Char"/>
    <w:link w:val="Heading7"/>
    <w:uiPriority w:val="9"/>
    <w:rsid w:val="008315F0"/>
    <w:rPr>
      <w:rFonts w:ascii="Times New Roman" w:eastAsia="PMingLiU" w:hAnsi="Times New Roman" w:cs="Simplified Arabic"/>
      <w:i/>
      <w:iCs/>
      <w:color w:val="404040"/>
      <w:sz w:val="20"/>
    </w:rPr>
  </w:style>
  <w:style w:type="character" w:customStyle="1" w:styleId="Heading8Char">
    <w:name w:val="Heading 8 Char"/>
    <w:link w:val="Heading8"/>
    <w:uiPriority w:val="9"/>
    <w:rsid w:val="008315F0"/>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315F0"/>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315F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315F0"/>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315F0"/>
    <w:pPr>
      <w:numPr>
        <w:ilvl w:val="1"/>
      </w:numPr>
    </w:pPr>
    <w:rPr>
      <w:i/>
      <w:iCs/>
      <w:color w:val="4F81BD"/>
      <w:spacing w:val="15"/>
      <w:sz w:val="24"/>
      <w:szCs w:val="24"/>
    </w:rPr>
  </w:style>
  <w:style w:type="character" w:customStyle="1" w:styleId="SubtitleChar">
    <w:name w:val="Subtitle Char"/>
    <w:link w:val="Subtitle"/>
    <w:uiPriority w:val="11"/>
    <w:rsid w:val="008315F0"/>
    <w:rPr>
      <w:rFonts w:ascii="Times New Roman" w:eastAsia="PMingLiU" w:hAnsi="Times New Roman" w:cs="Simplified Arabic"/>
      <w:i/>
      <w:iCs/>
      <w:color w:val="4F81BD"/>
      <w:spacing w:val="15"/>
      <w:sz w:val="24"/>
      <w:szCs w:val="24"/>
    </w:rPr>
  </w:style>
  <w:style w:type="character" w:styleId="SubtleEmphasis">
    <w:name w:val="Subtle Emphasis"/>
    <w:uiPriority w:val="19"/>
    <w:rsid w:val="008315F0"/>
    <w:rPr>
      <w:i/>
      <w:iCs/>
      <w:color w:val="808080"/>
    </w:rPr>
  </w:style>
  <w:style w:type="table" w:styleId="ColorfulGrid-Accent6">
    <w:name w:val="Colorful Grid Accent 6"/>
    <w:basedOn w:val="TableNormal"/>
    <w:uiPriority w:val="73"/>
    <w:rsid w:val="008315F0"/>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315F0"/>
    <w:rPr>
      <w:i/>
      <w:iCs/>
    </w:rPr>
  </w:style>
  <w:style w:type="character" w:styleId="IntenseEmphasis">
    <w:name w:val="Intense Emphasis"/>
    <w:uiPriority w:val="21"/>
    <w:rsid w:val="008315F0"/>
    <w:rPr>
      <w:b/>
      <w:bCs/>
      <w:i/>
      <w:iCs/>
      <w:color w:val="4F81BD"/>
    </w:rPr>
  </w:style>
  <w:style w:type="character" w:styleId="Strong">
    <w:name w:val="Strong"/>
    <w:uiPriority w:val="22"/>
    <w:rsid w:val="008315F0"/>
    <w:rPr>
      <w:b/>
      <w:bCs/>
    </w:rPr>
  </w:style>
  <w:style w:type="paragraph" w:styleId="Quote">
    <w:name w:val="Quote"/>
    <w:basedOn w:val="Normal"/>
    <w:next w:val="Normal"/>
    <w:link w:val="QuoteChar"/>
    <w:uiPriority w:val="29"/>
    <w:rsid w:val="008315F0"/>
    <w:rPr>
      <w:i/>
      <w:iCs/>
      <w:color w:val="000000"/>
    </w:rPr>
  </w:style>
  <w:style w:type="character" w:customStyle="1" w:styleId="QuoteChar">
    <w:name w:val="Quote Char"/>
    <w:link w:val="Quote"/>
    <w:uiPriority w:val="29"/>
    <w:rsid w:val="008315F0"/>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315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15F0"/>
    <w:rPr>
      <w:rFonts w:ascii="Times New Roman" w:eastAsia="PMingLiU" w:hAnsi="Times New Roman" w:cs="Simplified Arabic"/>
      <w:b/>
      <w:bCs/>
      <w:i/>
      <w:iCs/>
      <w:color w:val="4F81BD"/>
      <w:sz w:val="20"/>
    </w:rPr>
  </w:style>
  <w:style w:type="character" w:styleId="SubtleReference">
    <w:name w:val="Subtle Reference"/>
    <w:uiPriority w:val="31"/>
    <w:rsid w:val="008315F0"/>
    <w:rPr>
      <w:smallCaps/>
      <w:color w:val="C0504D"/>
      <w:u w:val="single"/>
    </w:rPr>
  </w:style>
  <w:style w:type="character" w:styleId="IntenseReference">
    <w:name w:val="Intense Reference"/>
    <w:uiPriority w:val="32"/>
    <w:rsid w:val="008315F0"/>
    <w:rPr>
      <w:b/>
      <w:bCs/>
      <w:smallCaps/>
      <w:color w:val="C0504D"/>
      <w:spacing w:val="5"/>
      <w:u w:val="single"/>
    </w:rPr>
  </w:style>
  <w:style w:type="paragraph" w:styleId="ListParagraph">
    <w:name w:val="List Paragraph"/>
    <w:basedOn w:val="Normal"/>
    <w:uiPriority w:val="34"/>
    <w:rsid w:val="008315F0"/>
    <w:pPr>
      <w:ind w:left="720"/>
      <w:contextualSpacing/>
    </w:pPr>
  </w:style>
  <w:style w:type="table" w:styleId="MediumShading1-Accent4">
    <w:name w:val="Medium Shading 1 Accent 4"/>
    <w:basedOn w:val="TableNormal"/>
    <w:uiPriority w:val="63"/>
    <w:rsid w:val="008315F0"/>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315F0"/>
    <w:rPr>
      <w:rFonts w:eastAsia="MS Mincho"/>
      <w:sz w:val="18"/>
      <w:vertAlign w:val="superscript"/>
    </w:rPr>
  </w:style>
  <w:style w:type="table" w:styleId="TableGrid">
    <w:name w:val="Table Grid"/>
    <w:basedOn w:val="TableNormal"/>
    <w:rsid w:val="008315F0"/>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5F0"/>
    <w:pPr>
      <w:spacing w:line="240" w:lineRule="auto"/>
    </w:pPr>
    <w:rPr>
      <w:sz w:val="16"/>
      <w:szCs w:val="16"/>
    </w:rPr>
  </w:style>
  <w:style w:type="character" w:customStyle="1" w:styleId="BalloonTextChar">
    <w:name w:val="Balloon Text Char"/>
    <w:link w:val="BalloonText"/>
    <w:uiPriority w:val="99"/>
    <w:semiHidden/>
    <w:rsid w:val="008315F0"/>
    <w:rPr>
      <w:rFonts w:ascii="Times New Roman" w:eastAsia="PMingLiU" w:hAnsi="Times New Roman" w:cs="Simplified Arabic"/>
      <w:sz w:val="16"/>
      <w:szCs w:val="16"/>
    </w:rPr>
  </w:style>
  <w:style w:type="character" w:styleId="Hyperlink">
    <w:name w:val="Hyperlink"/>
    <w:uiPriority w:val="99"/>
    <w:unhideWhenUsed/>
    <w:rsid w:val="008315F0"/>
    <w:rPr>
      <w:color w:val="0000FF"/>
      <w:u w:val="none"/>
    </w:rPr>
  </w:style>
  <w:style w:type="paragraph" w:styleId="TOC1">
    <w:name w:val="toc 1"/>
    <w:basedOn w:val="Normal"/>
    <w:link w:val="TOC1Char"/>
    <w:autoRedefine/>
    <w:uiPriority w:val="39"/>
    <w:unhideWhenUsed/>
    <w:rsid w:val="008315F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315F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315F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315F0"/>
    <w:rPr>
      <w:rFonts w:eastAsia="DengXian"/>
      <w:color w:val="auto"/>
      <w:sz w:val="20"/>
      <w:szCs w:val="20"/>
      <w:u w:val="none"/>
      <w:lang w:eastAsia="zh-CN" w:bidi="ar-EG"/>
    </w:rPr>
  </w:style>
  <w:style w:type="paragraph" w:styleId="TOC4">
    <w:name w:val="toc 4"/>
    <w:basedOn w:val="Normal"/>
    <w:link w:val="TOC4Char"/>
    <w:autoRedefine/>
    <w:uiPriority w:val="39"/>
    <w:unhideWhenUsed/>
    <w:rsid w:val="008315F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315F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315F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315F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315F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315F0"/>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315F0"/>
    <w:rPr>
      <w:color w:val="605E5C"/>
      <w:shd w:val="clear" w:color="auto" w:fill="E1DFDD"/>
    </w:rPr>
  </w:style>
  <w:style w:type="character" w:customStyle="1" w:styleId="TOC1Char">
    <w:name w:val="TOC 1 Char"/>
    <w:basedOn w:val="DefaultParagraphFont"/>
    <w:link w:val="TOC1"/>
    <w:uiPriority w:val="39"/>
    <w:rsid w:val="008315F0"/>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315F0"/>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315F0"/>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315F0"/>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315F0"/>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315F0"/>
    <w:rPr>
      <w:rFonts w:ascii="Times New Roman" w:eastAsia="PMingLiU" w:hAnsi="Times New Roman" w:cs="Simplified Arabic"/>
      <w:sz w:val="20"/>
      <w:szCs w:val="20"/>
      <w:lang w:val="en-GB"/>
    </w:rPr>
  </w:style>
  <w:style w:type="paragraph" w:customStyle="1" w:styleId="SessionDate">
    <w:name w:val="Session_Date"/>
    <w:basedOn w:val="Normal"/>
    <w:qFormat/>
    <w:rsid w:val="008315F0"/>
    <w:pPr>
      <w:spacing w:before="240" w:after="240" w:line="460" w:lineRule="exact"/>
      <w:ind w:left="1247"/>
    </w:pPr>
    <w:rPr>
      <w:b/>
      <w:bCs/>
      <w:sz w:val="32"/>
      <w:szCs w:val="44"/>
    </w:rPr>
  </w:style>
  <w:style w:type="paragraph" w:customStyle="1" w:styleId="SessionNumber">
    <w:name w:val="Session_Number"/>
    <w:basedOn w:val="Normal"/>
    <w:qFormat/>
    <w:rsid w:val="008315F0"/>
    <w:pPr>
      <w:spacing w:line="480" w:lineRule="exact"/>
      <w:ind w:left="1247"/>
    </w:pPr>
    <w:rPr>
      <w:b/>
      <w:bCs/>
      <w:sz w:val="28"/>
      <w:szCs w:val="38"/>
    </w:rPr>
  </w:style>
  <w:style w:type="paragraph" w:customStyle="1" w:styleId="CityandYear">
    <w:name w:val="City and Year"/>
    <w:basedOn w:val="SingleTxtGA"/>
    <w:qFormat/>
    <w:rsid w:val="008315F0"/>
    <w:pPr>
      <w:spacing w:line="480" w:lineRule="exact"/>
    </w:pPr>
    <w:rPr>
      <w:b/>
      <w:bCs/>
      <w:sz w:val="30"/>
      <w:szCs w:val="38"/>
      <w:lang w:eastAsia="ar-SA"/>
    </w:rPr>
  </w:style>
  <w:style w:type="paragraph" w:customStyle="1" w:styleId="NormalA">
    <w:name w:val="Normal_A"/>
    <w:basedOn w:val="Normal"/>
    <w:qFormat/>
    <w:rsid w:val="008315F0"/>
  </w:style>
  <w:style w:type="paragraph" w:customStyle="1" w:styleId="H1G">
    <w:name w:val="_ H_1_G"/>
    <w:basedOn w:val="Normal"/>
    <w:next w:val="Normal"/>
    <w:qFormat/>
    <w:rsid w:val="008315F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8315F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8315F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8315F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315F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315F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315F0"/>
    <w:rPr>
      <w:sz w:val="44"/>
      <w:szCs w:val="44"/>
      <w:lang w:val="en-US" w:bidi="ar-DZ"/>
    </w:rPr>
  </w:style>
  <w:style w:type="paragraph" w:customStyle="1" w:styleId="FootnoteGA0">
    <w:name w:val="Footnote_GA"/>
    <w:basedOn w:val="Normal"/>
    <w:qFormat/>
    <w:rsid w:val="008315F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315F0"/>
    <w:pPr>
      <w:keepNext/>
      <w:keepLines/>
      <w:spacing w:after="120" w:line="400" w:lineRule="exact"/>
      <w:outlineLvl w:val="0"/>
    </w:pPr>
    <w:rPr>
      <w:b/>
      <w:bCs/>
      <w:kern w:val="14"/>
      <w:sz w:val="24"/>
      <w:szCs w:val="32"/>
    </w:rPr>
  </w:style>
  <w:style w:type="paragraph" w:customStyle="1" w:styleId="HCh">
    <w:name w:val="_ H _Ch"/>
    <w:basedOn w:val="H1"/>
    <w:next w:val="SingleTxt"/>
    <w:qFormat/>
    <w:rsid w:val="008315F0"/>
    <w:pPr>
      <w:spacing w:line="440" w:lineRule="exact"/>
    </w:pPr>
    <w:rPr>
      <w:spacing w:val="-2"/>
      <w:sz w:val="28"/>
      <w:szCs w:val="36"/>
    </w:rPr>
  </w:style>
  <w:style w:type="character" w:styleId="CommentReference">
    <w:name w:val="annotation reference"/>
    <w:uiPriority w:val="99"/>
    <w:semiHidden/>
    <w:rsid w:val="008315F0"/>
    <w:rPr>
      <w:sz w:val="6"/>
      <w:szCs w:val="9"/>
    </w:rPr>
  </w:style>
  <w:style w:type="paragraph" w:customStyle="1" w:styleId="HM">
    <w:name w:val="_ H __M"/>
    <w:basedOn w:val="HCh"/>
    <w:next w:val="Normal"/>
    <w:qFormat/>
    <w:rsid w:val="008315F0"/>
    <w:pPr>
      <w:suppressAutoHyphens/>
      <w:spacing w:line="520" w:lineRule="exact"/>
    </w:pPr>
    <w:rPr>
      <w:spacing w:val="-3"/>
      <w:sz w:val="34"/>
      <w:szCs w:val="48"/>
    </w:rPr>
  </w:style>
  <w:style w:type="paragraph" w:customStyle="1" w:styleId="SingleTxt">
    <w:name w:val="__Single Txt"/>
    <w:basedOn w:val="Normal"/>
    <w:qFormat/>
    <w:rsid w:val="008315F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315F0"/>
    <w:pPr>
      <w:suppressAutoHyphens/>
      <w:spacing w:line="360" w:lineRule="exact"/>
      <w:outlineLvl w:val="1"/>
    </w:pPr>
    <w:rPr>
      <w:spacing w:val="2"/>
      <w:sz w:val="20"/>
      <w:szCs w:val="28"/>
    </w:rPr>
  </w:style>
  <w:style w:type="paragraph" w:customStyle="1" w:styleId="H4">
    <w:name w:val="_ H_4"/>
    <w:basedOn w:val="Normal"/>
    <w:next w:val="Normal"/>
    <w:qFormat/>
    <w:rsid w:val="008315F0"/>
    <w:pPr>
      <w:keepNext/>
      <w:keepLines/>
      <w:spacing w:after="120" w:line="360" w:lineRule="exact"/>
      <w:outlineLvl w:val="3"/>
    </w:pPr>
    <w:rPr>
      <w:i/>
      <w:iCs/>
      <w:kern w:val="14"/>
      <w:szCs w:val="28"/>
    </w:rPr>
  </w:style>
  <w:style w:type="paragraph" w:customStyle="1" w:styleId="H56">
    <w:name w:val="_ H_5/6"/>
    <w:basedOn w:val="Normal"/>
    <w:next w:val="Normal"/>
    <w:qFormat/>
    <w:rsid w:val="008315F0"/>
    <w:pPr>
      <w:keepNext/>
      <w:keepLines/>
      <w:spacing w:after="120" w:line="360" w:lineRule="exact"/>
      <w:outlineLvl w:val="4"/>
    </w:pPr>
    <w:rPr>
      <w:kern w:val="14"/>
      <w:szCs w:val="28"/>
    </w:rPr>
  </w:style>
  <w:style w:type="paragraph" w:customStyle="1" w:styleId="DualTxt">
    <w:name w:val="__Dual Txt"/>
    <w:basedOn w:val="Normal"/>
    <w:qFormat/>
    <w:rsid w:val="008315F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315F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315F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315F0"/>
    <w:pPr>
      <w:spacing w:after="120" w:line="440" w:lineRule="exact"/>
      <w:jc w:val="center"/>
    </w:pPr>
    <w:rPr>
      <w:b/>
      <w:bCs/>
      <w:sz w:val="25"/>
      <w:szCs w:val="38"/>
    </w:rPr>
  </w:style>
  <w:style w:type="paragraph" w:customStyle="1" w:styleId="JH1">
    <w:name w:val="J_H_1"/>
    <w:basedOn w:val="JCH"/>
    <w:qFormat/>
    <w:rsid w:val="008315F0"/>
    <w:pPr>
      <w:spacing w:line="420" w:lineRule="exact"/>
    </w:pPr>
    <w:rPr>
      <w:sz w:val="23"/>
      <w:szCs w:val="34"/>
    </w:rPr>
  </w:style>
  <w:style w:type="paragraph" w:customStyle="1" w:styleId="JH2">
    <w:name w:val="J_H_2"/>
    <w:basedOn w:val="JH1"/>
    <w:qFormat/>
    <w:rsid w:val="008315F0"/>
    <w:pPr>
      <w:spacing w:line="400" w:lineRule="exact"/>
    </w:pPr>
    <w:rPr>
      <w:sz w:val="20"/>
      <w:szCs w:val="30"/>
    </w:rPr>
  </w:style>
  <w:style w:type="paragraph" w:customStyle="1" w:styleId="JSmall">
    <w:name w:val="J_Small"/>
    <w:basedOn w:val="JSingleTxt"/>
    <w:next w:val="JSingleTxt"/>
    <w:qFormat/>
    <w:rsid w:val="008315F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315F0"/>
    <w:pPr>
      <w:tabs>
        <w:tab w:val="right" w:leader="dot" w:pos="360"/>
      </w:tabs>
      <w:spacing w:line="310" w:lineRule="exact"/>
      <w:jc w:val="right"/>
    </w:pPr>
    <w:rPr>
      <w:spacing w:val="5"/>
      <w:w w:val="104"/>
      <w:kern w:val="14"/>
      <w:sz w:val="17"/>
      <w:szCs w:val="25"/>
    </w:rPr>
  </w:style>
  <w:style w:type="character" w:styleId="LineNumber">
    <w:name w:val="line number"/>
    <w:qFormat/>
    <w:rsid w:val="008315F0"/>
    <w:rPr>
      <w:sz w:val="14"/>
      <w:szCs w:val="16"/>
    </w:rPr>
  </w:style>
  <w:style w:type="paragraph" w:customStyle="1" w:styleId="SmallX">
    <w:name w:val="SmallX"/>
    <w:basedOn w:val="Small"/>
    <w:next w:val="Normal"/>
    <w:qFormat/>
    <w:rsid w:val="008315F0"/>
    <w:pPr>
      <w:spacing w:line="240" w:lineRule="exact"/>
    </w:pPr>
    <w:rPr>
      <w:spacing w:val="6"/>
      <w:w w:val="106"/>
      <w:sz w:val="14"/>
      <w:szCs w:val="21"/>
    </w:rPr>
  </w:style>
  <w:style w:type="paragraph" w:customStyle="1" w:styleId="XLarge">
    <w:name w:val="XLarge"/>
    <w:basedOn w:val="HM"/>
    <w:qFormat/>
    <w:rsid w:val="008315F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315F0"/>
    <w:pPr>
      <w:spacing w:line="820" w:lineRule="exact"/>
    </w:pPr>
    <w:rPr>
      <w:spacing w:val="-8"/>
      <w:w w:val="96"/>
      <w:sz w:val="57"/>
      <w:szCs w:val="86"/>
    </w:rPr>
  </w:style>
  <w:style w:type="paragraph" w:customStyle="1" w:styleId="Distribution">
    <w:name w:val="Distribution"/>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315F0"/>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315F0"/>
    <w:pPr>
      <w:tabs>
        <w:tab w:val="left" w:pos="662"/>
        <w:tab w:val="left" w:pos="1267"/>
        <w:tab w:val="left" w:pos="1987"/>
        <w:tab w:val="left" w:pos="2650"/>
      </w:tabs>
      <w:spacing w:after="0"/>
      <w:ind w:left="662" w:hanging="662"/>
    </w:pPr>
  </w:style>
  <w:style w:type="paragraph" w:customStyle="1" w:styleId="Committee">
    <w:name w:val="Committee"/>
    <w:basedOn w:val="H1"/>
    <w:qFormat/>
    <w:rsid w:val="008315F0"/>
    <w:pPr>
      <w:tabs>
        <w:tab w:val="left" w:pos="662"/>
        <w:tab w:val="left" w:pos="1267"/>
        <w:tab w:val="left" w:pos="1987"/>
        <w:tab w:val="left" w:pos="2650"/>
      </w:tabs>
      <w:ind w:right="1264"/>
    </w:pPr>
  </w:style>
  <w:style w:type="paragraph" w:customStyle="1" w:styleId="AgendaItemNormal">
    <w:name w:val="Agenda_Item_Normal"/>
    <w:next w:val="Normal"/>
    <w:qFormat/>
    <w:rsid w:val="008315F0"/>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315F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315F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315F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315F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315F0"/>
    <w:rPr>
      <w:i w:val="0"/>
      <w:color w:val="0000FF"/>
      <w:u w:val="none"/>
    </w:rPr>
  </w:style>
  <w:style w:type="paragraph" w:customStyle="1" w:styleId="Bullet1">
    <w:name w:val="Bullet 1"/>
    <w:basedOn w:val="Normal"/>
    <w:qFormat/>
    <w:rsid w:val="008315F0"/>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315F0"/>
    <w:pPr>
      <w:numPr>
        <w:numId w:val="14"/>
      </w:numPr>
      <w:spacing w:after="120" w:line="360" w:lineRule="exact"/>
      <w:ind w:right="1264"/>
    </w:pPr>
    <w:rPr>
      <w:kern w:val="14"/>
      <w:szCs w:val="28"/>
    </w:rPr>
  </w:style>
  <w:style w:type="paragraph" w:customStyle="1" w:styleId="Bullet3">
    <w:name w:val="Bullet 3"/>
    <w:basedOn w:val="SingleTxt"/>
    <w:qFormat/>
    <w:rsid w:val="008315F0"/>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315F0"/>
    <w:pPr>
      <w:ind w:right="5760"/>
      <w:outlineLvl w:val="1"/>
    </w:pPr>
    <w:rPr>
      <w:spacing w:val="2"/>
      <w:sz w:val="20"/>
      <w:szCs w:val="28"/>
    </w:rPr>
  </w:style>
  <w:style w:type="paragraph" w:customStyle="1" w:styleId="STitleM">
    <w:name w:val="S_Title_M"/>
    <w:basedOn w:val="Normal"/>
    <w:next w:val="Normal"/>
    <w:qFormat/>
    <w:rsid w:val="008315F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315F0"/>
    <w:pPr>
      <w:spacing w:line="600" w:lineRule="exact"/>
      <w:ind w:left="1267" w:right="1267"/>
    </w:pPr>
    <w:rPr>
      <w:w w:val="103"/>
      <w:sz w:val="60"/>
      <w:szCs w:val="60"/>
    </w:rPr>
  </w:style>
  <w:style w:type="paragraph" w:customStyle="1" w:styleId="STitleL">
    <w:name w:val="S_Title_L"/>
    <w:basedOn w:val="XLarge"/>
    <w:next w:val="Normal"/>
    <w:qFormat/>
    <w:rsid w:val="008315F0"/>
    <w:rPr>
      <w:spacing w:val="-8"/>
      <w:w w:val="96"/>
      <w:sz w:val="57"/>
    </w:rPr>
  </w:style>
  <w:style w:type="paragraph" w:styleId="CommentText">
    <w:name w:val="annotation text"/>
    <w:basedOn w:val="Normal"/>
    <w:link w:val="CommentTextChar"/>
    <w:uiPriority w:val="99"/>
    <w:semiHidden/>
    <w:unhideWhenUsed/>
    <w:rsid w:val="008315F0"/>
    <w:pPr>
      <w:spacing w:line="240" w:lineRule="auto"/>
    </w:pPr>
    <w:rPr>
      <w:kern w:val="14"/>
    </w:rPr>
  </w:style>
  <w:style w:type="character" w:customStyle="1" w:styleId="CommentTextChar">
    <w:name w:val="Comment Text Char"/>
    <w:basedOn w:val="DefaultParagraphFont"/>
    <w:link w:val="CommentText"/>
    <w:uiPriority w:val="99"/>
    <w:semiHidden/>
    <w:rsid w:val="008315F0"/>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315F0"/>
    <w:rPr>
      <w:b/>
      <w:bCs/>
    </w:rPr>
  </w:style>
  <w:style w:type="character" w:customStyle="1" w:styleId="CommentSubjectChar">
    <w:name w:val="Comment Subject Char"/>
    <w:basedOn w:val="CommentTextChar"/>
    <w:link w:val="CommentSubject"/>
    <w:uiPriority w:val="99"/>
    <w:semiHidden/>
    <w:rsid w:val="008315F0"/>
    <w:rPr>
      <w:rFonts w:ascii="Times New Roman" w:eastAsia="PMingLiU" w:hAnsi="Times New Roman" w:cs="Simplified Arabic"/>
      <w:b/>
      <w:bCs/>
      <w:kern w:val="14"/>
      <w:sz w:val="20"/>
    </w:rPr>
  </w:style>
  <w:style w:type="paragraph" w:customStyle="1" w:styleId="Bullet1G">
    <w:name w:val="_Bullet 1_G"/>
    <w:basedOn w:val="Normal"/>
    <w:qFormat/>
    <w:rsid w:val="008315F0"/>
    <w:pPr>
      <w:numPr>
        <w:numId w:val="16"/>
      </w:numPr>
      <w:bidi w:val="0"/>
      <w:spacing w:after="120"/>
      <w:ind w:right="1134"/>
      <w:jc w:val="both"/>
    </w:pPr>
    <w:rPr>
      <w:sz w:val="22"/>
    </w:rPr>
  </w:style>
  <w:style w:type="character" w:customStyle="1" w:styleId="SingleTxtGChar">
    <w:name w:val="_ Single Txt_G Char"/>
    <w:link w:val="SingleTxtG"/>
    <w:rsid w:val="008315F0"/>
    <w:rPr>
      <w:rFonts w:ascii="Times New Roman" w:eastAsia="PMingLiU" w:hAnsi="Times New Roman" w:cs="Simplified Arabic"/>
      <w:sz w:val="20"/>
      <w:szCs w:val="20"/>
      <w:lang w:val="en-GB"/>
    </w:rPr>
  </w:style>
  <w:style w:type="paragraph" w:customStyle="1" w:styleId="Preparedby">
    <w:name w:val="Prepared by:"/>
    <w:basedOn w:val="H23GA"/>
    <w:qFormat/>
    <w:rsid w:val="008315F0"/>
    <w:rPr>
      <w:sz w:val="32"/>
      <w:szCs w:val="32"/>
    </w:rPr>
  </w:style>
  <w:style w:type="paragraph" w:customStyle="1" w:styleId="ParaNoG">
    <w:name w:val="_ParaNo._G"/>
    <w:basedOn w:val="SingleTxtG"/>
    <w:rsid w:val="008315F0"/>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8315F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315F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315F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315F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315F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315F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315F0"/>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315F0"/>
    <w:pPr>
      <w:spacing w:after="0" w:line="240" w:lineRule="auto"/>
    </w:pPr>
    <w:rPr>
      <w:rFonts w:eastAsiaTheme="minorEastAsia"/>
      <w:sz w:val="24"/>
      <w:szCs w:val="24"/>
      <w:lang w:val="fr-FR" w:eastAsia="fr-FR"/>
    </w:rPr>
  </w:style>
  <w:style w:type="paragraph" w:customStyle="1" w:styleId="Default">
    <w:name w:val="Default"/>
    <w:semiHidden/>
    <w:rsid w:val="008315F0"/>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315F0"/>
  </w:style>
  <w:style w:type="character" w:customStyle="1" w:styleId="preferred">
    <w:name w:val="preferred"/>
    <w:basedOn w:val="DefaultParagraphFont"/>
    <w:rsid w:val="008315F0"/>
  </w:style>
  <w:style w:type="character" w:customStyle="1" w:styleId="admitted">
    <w:name w:val="admitted"/>
    <w:basedOn w:val="DefaultParagraphFont"/>
    <w:rsid w:val="008315F0"/>
  </w:style>
  <w:style w:type="paragraph" w:styleId="TOC7">
    <w:name w:val="toc 7"/>
    <w:basedOn w:val="Normal"/>
    <w:next w:val="Normal"/>
    <w:autoRedefine/>
    <w:uiPriority w:val="39"/>
    <w:unhideWhenUsed/>
    <w:rsid w:val="00FA7FFE"/>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FA7FFE"/>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FA7FFE"/>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8315F0"/>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R.2829" TargetMode="External"/><Relationship Id="rId2" Type="http://schemas.openxmlformats.org/officeDocument/2006/relationships/hyperlink" Target="http://undocs.org/en/CERD/C/SR.2828" TargetMode="External"/><Relationship Id="rId1" Type="http://schemas.openxmlformats.org/officeDocument/2006/relationships/hyperlink" Target="http://undocs.org/en/CERD/C/NLD/22-24" TargetMode="External"/><Relationship Id="rId6" Type="http://schemas.openxmlformats.org/officeDocument/2006/relationships/hyperlink" Target="http://undocs.org/en/CERD/C/2007/1" TargetMode="External"/><Relationship Id="rId5" Type="http://schemas.openxmlformats.org/officeDocument/2006/relationships/hyperlink" Target="https://undocs.org/en/HRI/GEN/2/Rev.6" TargetMode="External"/><Relationship Id="rId4" Type="http://schemas.openxmlformats.org/officeDocument/2006/relationships/hyperlink" Target="http://undocs.org/en/CERD/C/20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0D20-6174-4D23-81F9-BC4A807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3693</Words>
  <Characters>19614</Characters>
  <Application>Microsoft Office Word</Application>
  <DocSecurity>0</DocSecurity>
  <Lines>331</Lines>
  <Paragraphs>123</Paragraphs>
  <ScaleCrop>false</ScaleCrop>
  <HeadingPairs>
    <vt:vector size="2" baseType="variant">
      <vt:variant>
        <vt:lpstr>Title</vt:lpstr>
      </vt:variant>
      <vt:variant>
        <vt:i4>1</vt:i4>
      </vt:variant>
    </vt:vector>
  </HeadingPairs>
  <TitlesOfParts>
    <vt:vector size="1" baseType="lpstr">
      <vt:lpstr>CERD/C/NLD/CO/22-24</vt:lpstr>
    </vt:vector>
  </TitlesOfParts>
  <Company>DCM</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CERD/C/NLD/CO/22-24</dc:title>
  <dc:subject>GE.2116801(A)</dc:subject>
  <dc:creator>Muntaha BUHNAM - RFA</dc:creator>
  <cp:keywords>GE.2132711(A)</cp:keywords>
  <dc:description>Distr.: General
16 November 2021
Arabic
Original: English</dc:description>
  <cp:lastModifiedBy>Ibrahim Balan</cp:lastModifiedBy>
  <cp:revision>3</cp:revision>
  <cp:lastPrinted>2021-11-25T13:53:00Z</cp:lastPrinted>
  <dcterms:created xsi:type="dcterms:W3CDTF">2021-11-25T13:53:00Z</dcterms:created>
  <dcterms:modified xsi:type="dcterms:W3CDTF">2021-11-25T13:54:00Z</dcterms:modified>
  <cp:category>Final</cp:category>
</cp:coreProperties>
</file>