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122EAB">
        <w:tblPrEx>
          <w:tblCellMar>
            <w:top w:w="0" w:type="dxa"/>
            <w:bottom w:w="0" w:type="dxa"/>
          </w:tblCellMar>
        </w:tblPrEx>
        <w:tc>
          <w:tcPr>
            <w:tcW w:w="1560" w:type="dxa"/>
            <w:tcBorders>
              <w:top w:val="nil"/>
              <w:left w:val="nil"/>
              <w:bottom w:val="single" w:sz="4" w:space="0" w:color="auto"/>
              <w:right w:val="nil"/>
            </w:tcBorders>
          </w:tcPr>
          <w:p w:rsidR="00122EAB" w:rsidRDefault="00122EAB">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122EAB" w:rsidRDefault="00122EAB"/>
        </w:tc>
        <w:tc>
          <w:tcPr>
            <w:tcW w:w="3366" w:type="dxa"/>
            <w:tcBorders>
              <w:top w:val="nil"/>
              <w:left w:val="nil"/>
              <w:bottom w:val="single" w:sz="4" w:space="0" w:color="auto"/>
              <w:right w:val="nil"/>
            </w:tcBorders>
            <w:vAlign w:val="bottom"/>
          </w:tcPr>
          <w:p w:rsidR="00122EAB" w:rsidRDefault="00122EAB">
            <w:pPr>
              <w:spacing w:after="0"/>
              <w:jc w:val="right"/>
              <w:rPr>
                <w:rFonts w:ascii="Arial" w:hAnsi="Arial" w:cs="Arial"/>
                <w:b/>
                <w:sz w:val="72"/>
              </w:rPr>
            </w:pPr>
            <w:r>
              <w:rPr>
                <w:rFonts w:ascii="Arial" w:hAnsi="Arial" w:cs="Arial"/>
                <w:b/>
                <w:sz w:val="72"/>
              </w:rPr>
              <w:t>CERD</w:t>
            </w:r>
          </w:p>
        </w:tc>
      </w:tr>
      <w:tr w:rsidR="00122EAB">
        <w:tblPrEx>
          <w:tblCellMar>
            <w:top w:w="0" w:type="dxa"/>
            <w:bottom w:w="0" w:type="dxa"/>
          </w:tblCellMar>
        </w:tblPrEx>
        <w:tc>
          <w:tcPr>
            <w:tcW w:w="1560" w:type="dxa"/>
            <w:tcBorders>
              <w:top w:val="single" w:sz="4" w:space="0" w:color="auto"/>
              <w:left w:val="nil"/>
              <w:bottom w:val="single" w:sz="36" w:space="0" w:color="auto"/>
              <w:right w:val="nil"/>
            </w:tcBorders>
          </w:tcPr>
          <w:p w:rsidR="00122EAB" w:rsidRDefault="00122EAB">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3;visibility:visible;mso-wrap-edited:f;mso-position-horizontal-relative:page;mso-position-vertical-relative:page">
                  <v:imagedata r:id="rId7" o:title=""/>
                  <w10:wrap anchorx="page" anchory="page"/>
                  <w10:anchorlock/>
                </v:shape>
                <o:OLEObject Type="Embed" ProgID="Word.Picture.8" ShapeID="_x0000_s1026" DrawAspect="Content" ObjectID="_1394560250" r:id="rId8"/>
              </w:pict>
            </w:r>
          </w:p>
        </w:tc>
        <w:tc>
          <w:tcPr>
            <w:tcW w:w="4536" w:type="dxa"/>
            <w:tcBorders>
              <w:top w:val="single" w:sz="4" w:space="0" w:color="auto"/>
              <w:left w:val="nil"/>
              <w:bottom w:val="single" w:sz="36" w:space="0" w:color="auto"/>
              <w:right w:val="nil"/>
            </w:tcBorders>
          </w:tcPr>
          <w:p w:rsidR="00122EAB" w:rsidRDefault="00122EAB">
            <w:pPr>
              <w:spacing w:before="360" w:after="0"/>
              <w:rPr>
                <w:rFonts w:ascii="Arial" w:hAnsi="Arial" w:cs="Arial"/>
                <w:b/>
                <w:sz w:val="32"/>
              </w:rPr>
            </w:pPr>
            <w:r>
              <w:rPr>
                <w:rFonts w:ascii="Arial" w:hAnsi="Arial" w:cs="Arial"/>
                <w:b/>
                <w:sz w:val="32"/>
              </w:rPr>
              <w:t>International Convention on</w:t>
            </w:r>
            <w:r>
              <w:rPr>
                <w:rFonts w:ascii="Arial" w:hAnsi="Arial" w:cs="Arial"/>
                <w:b/>
                <w:sz w:val="32"/>
              </w:rPr>
              <w:br/>
              <w:t>the Elimination</w:t>
            </w:r>
            <w:r>
              <w:rPr>
                <w:rFonts w:ascii="Arial" w:hAnsi="Arial" w:cs="Arial"/>
                <w:b/>
                <w:sz w:val="32"/>
              </w:rPr>
              <w:br/>
              <w:t>of all Forms of</w:t>
            </w:r>
            <w:r>
              <w:rPr>
                <w:rFonts w:ascii="Arial" w:hAnsi="Arial" w:cs="Arial"/>
                <w:b/>
                <w:sz w:val="32"/>
              </w:rPr>
              <w:br/>
              <w:t>Racial Discrimination</w:t>
            </w:r>
          </w:p>
          <w:p w:rsidR="00122EAB" w:rsidRDefault="00122EAB">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122EAB" w:rsidRDefault="00122EAB">
            <w:pPr>
              <w:spacing w:before="480" w:after="0"/>
            </w:pPr>
            <w:r>
              <w:t>Distr.</w:t>
            </w:r>
          </w:p>
          <w:p w:rsidR="00122EAB" w:rsidRDefault="00122EAB">
            <w:fldSimple w:instr=" FILLIN &quot;Distr.&quot; \* MERGEFORMAT ">
              <w:r w:rsidR="00E0446E">
                <w:t>GENERAL</w:t>
              </w:r>
            </w:fldSimple>
          </w:p>
          <w:p w:rsidR="00122EAB" w:rsidRDefault="00122EAB">
            <w:pPr>
              <w:spacing w:after="0"/>
            </w:pPr>
            <w:fldSimple w:instr=" FILLIN &quot;Symbol&quot; \* MERGEFORMAT ">
              <w:r w:rsidR="00E0446E">
                <w:t>CERD/C/NLD/18</w:t>
              </w:r>
            </w:fldSimple>
          </w:p>
          <w:p w:rsidR="00122EAB" w:rsidRDefault="00122EAB">
            <w:fldSimple w:instr=" FILLIN &quot;Date&quot; \* MERGEFORMAT ">
              <w:r w:rsidR="00E0446E">
                <w:t>3 March 2008</w:t>
              </w:r>
            </w:fldSimple>
          </w:p>
          <w:p w:rsidR="00122EAB" w:rsidRDefault="00122EAB">
            <w:r>
              <w:t xml:space="preserve">Original:  </w:t>
            </w:r>
            <w:fldSimple w:instr=" FILLIN &quot;Orig. Lang.&quot; \* MERGEFORMAT ">
              <w:r w:rsidR="00E0446E">
                <w:t>ENGLISH</w:t>
              </w:r>
            </w:fldSimple>
          </w:p>
        </w:tc>
      </w:tr>
    </w:tbl>
    <w:p w:rsidR="00E0446E" w:rsidRPr="002C4F18" w:rsidRDefault="00122EAB" w:rsidP="00EA7A86">
      <w:pPr>
        <w:tabs>
          <w:tab w:val="left" w:pos="-437"/>
        </w:tabs>
        <w:rPr>
          <w:bCs/>
        </w:rPr>
      </w:pPr>
      <w:r>
        <w:br/>
      </w:r>
      <w:r w:rsidR="00E0446E" w:rsidRPr="002C4F18">
        <w:rPr>
          <w:bCs/>
        </w:rPr>
        <w:t>COMMITTEE ON THE ELIMINATION</w:t>
      </w:r>
      <w:r w:rsidR="00876A31" w:rsidRPr="002C4F18">
        <w:rPr>
          <w:bCs/>
        </w:rPr>
        <w:br/>
      </w:r>
      <w:r w:rsidR="00E6733A">
        <w:rPr>
          <w:bCs/>
        </w:rPr>
        <w:t>  </w:t>
      </w:r>
      <w:r w:rsidR="00E0446E" w:rsidRPr="002C4F18">
        <w:rPr>
          <w:bCs/>
        </w:rPr>
        <w:t>OF RACIAL DISCRIMINATION</w:t>
      </w:r>
    </w:p>
    <w:p w:rsidR="00E0446E" w:rsidRPr="00A11A86" w:rsidRDefault="00E0446E" w:rsidP="00876A31">
      <w:pPr>
        <w:pStyle w:val="Heading1"/>
        <w:rPr>
          <w:bCs/>
        </w:rPr>
      </w:pPr>
      <w:r w:rsidRPr="00A11A86">
        <w:t>REPORTS SUBMITTED BY STATES PARTIES UNDER ARTICLE 9</w:t>
      </w:r>
      <w:r w:rsidR="00876A31">
        <w:br/>
      </w:r>
      <w:r w:rsidRPr="00A11A86">
        <w:rPr>
          <w:bCs/>
        </w:rPr>
        <w:t>OF THE CONVENTION</w:t>
      </w:r>
    </w:p>
    <w:p w:rsidR="00AD53CF" w:rsidRDefault="00E0446E" w:rsidP="00876A31">
      <w:pPr>
        <w:pStyle w:val="Heading2"/>
      </w:pPr>
      <w:r w:rsidRPr="001A33FA">
        <w:t>Eighteenth periodic reports of States parties due in 2007</w:t>
      </w:r>
    </w:p>
    <w:p w:rsidR="00E0446E" w:rsidRPr="00876A31" w:rsidRDefault="00E0446E" w:rsidP="00876A31">
      <w:pPr>
        <w:pStyle w:val="Heading2"/>
      </w:pPr>
      <w:r w:rsidRPr="00876A31">
        <w:t>Addendum</w:t>
      </w:r>
    </w:p>
    <w:p w:rsidR="00E0446E" w:rsidRPr="00A11A86" w:rsidRDefault="00E0446E" w:rsidP="00140260">
      <w:pPr>
        <w:pStyle w:val="Heading1"/>
      </w:pPr>
      <w:r w:rsidRPr="00A11A86">
        <w:t xml:space="preserve">Netherlands </w:t>
      </w:r>
      <w:r w:rsidRPr="00876A31">
        <w:rPr>
          <w:rStyle w:val="FootnoteReference"/>
          <w:bCs/>
          <w:vertAlign w:val="baseline"/>
        </w:rPr>
        <w:footnoteReference w:customMarkFollows="1" w:id="2"/>
        <w:t>*</w:t>
      </w:r>
      <w:r w:rsidRPr="00876A31">
        <w:t xml:space="preserve"> </w:t>
      </w:r>
      <w:r w:rsidRPr="00876A31">
        <w:rPr>
          <w:rStyle w:val="FootnoteReference"/>
          <w:bCs/>
          <w:vertAlign w:val="baseline"/>
        </w:rPr>
        <w:footnoteReference w:customMarkFollows="1" w:id="3"/>
        <w:t>**</w:t>
      </w:r>
      <w:r w:rsidRPr="00876A31">
        <w:t xml:space="preserve"> </w:t>
      </w:r>
      <w:r w:rsidR="00876A31" w:rsidRPr="00302490">
        <w:rPr>
          <w:rStyle w:val="FootnoteReference"/>
          <w:vertAlign w:val="baseline"/>
        </w:rPr>
        <w:footnoteReference w:customMarkFollows="1" w:id="4"/>
        <w:t>***</w:t>
      </w:r>
    </w:p>
    <w:p w:rsidR="00E0446E" w:rsidRPr="00E72815" w:rsidRDefault="00E0446E" w:rsidP="008721A9">
      <w:pPr>
        <w:jc w:val="right"/>
      </w:pPr>
      <w:r w:rsidRPr="00E72815">
        <w:t>[17 January 2008]</w:t>
      </w:r>
    </w:p>
    <w:p w:rsidR="002C4154" w:rsidRDefault="008721A9" w:rsidP="002C4154">
      <w:pPr>
        <w:jc w:val="center"/>
        <w:rPr>
          <w:lang w:val="en-US"/>
        </w:rPr>
      </w:pPr>
      <w:r>
        <w:rPr>
          <w:lang w:val="en-US"/>
        </w:rPr>
        <w:br w:type="page"/>
      </w:r>
      <w:r w:rsidR="002C4154">
        <w:rPr>
          <w:b/>
          <w:lang w:val="en-US"/>
        </w:rPr>
        <w:t>CONTENTS</w:t>
      </w:r>
    </w:p>
    <w:p w:rsidR="002C4154" w:rsidRDefault="002C4154" w:rsidP="002C4154">
      <w:pPr>
        <w:jc w:val="right"/>
        <w:rPr>
          <w:lang w:val="en-US"/>
        </w:rPr>
      </w:pPr>
      <w:r>
        <w:rPr>
          <w:i/>
          <w:lang w:val="en-US"/>
        </w:rPr>
        <w:t>Paragraphs     Page</w:t>
      </w:r>
    </w:p>
    <w:p w:rsidR="00E0446E" w:rsidRDefault="002C4154" w:rsidP="002C4154">
      <w:pPr>
        <w:tabs>
          <w:tab w:val="right" w:pos="480"/>
          <w:tab w:val="left" w:pos="720"/>
          <w:tab w:val="left" w:pos="1134"/>
          <w:tab w:val="left" w:leader="dot" w:pos="7257"/>
          <w:tab w:val="decimal" w:pos="7852"/>
          <w:tab w:val="left" w:pos="7880"/>
          <w:tab w:val="right" w:pos="9298"/>
        </w:tabs>
        <w:adjustRightInd w:val="0"/>
        <w:snapToGrid w:val="0"/>
        <w:rPr>
          <w:lang w:val="en-US"/>
        </w:rPr>
      </w:pPr>
      <w:r>
        <w:rPr>
          <w:lang w:val="en-US"/>
        </w:rPr>
        <w:tab/>
      </w:r>
      <w:r w:rsidR="00E0446E" w:rsidRPr="002C4154">
        <w:rPr>
          <w:lang w:val="en-US"/>
        </w:rPr>
        <w:t>I.</w:t>
      </w:r>
      <w:r>
        <w:rPr>
          <w:lang w:val="en-US"/>
        </w:rPr>
        <w:tab/>
      </w:r>
      <w:r w:rsidR="00E0446E" w:rsidRPr="002C4154">
        <w:rPr>
          <w:lang w:val="en-US"/>
        </w:rPr>
        <w:t>INTRODUCTION</w:t>
      </w:r>
      <w:r>
        <w:rPr>
          <w:lang w:val="en-US"/>
        </w:rPr>
        <w:t xml:space="preserve"> </w:t>
      </w:r>
      <w:r>
        <w:rPr>
          <w:lang w:val="en-US"/>
        </w:rPr>
        <w:tab/>
      </w:r>
      <w:r>
        <w:rPr>
          <w:lang w:val="en-US"/>
        </w:rPr>
        <w:tab/>
      </w:r>
      <w:r w:rsidR="00E0446E" w:rsidRPr="002C4154">
        <w:rPr>
          <w:lang w:val="en-US"/>
        </w:rPr>
        <w:t xml:space="preserve">1 </w:t>
      </w:r>
      <w:r w:rsidR="00AD0DF3">
        <w:rPr>
          <w:lang w:val="en-US"/>
        </w:rPr>
        <w:noBreakHyphen/>
      </w:r>
      <w:r w:rsidR="00E0446E" w:rsidRPr="002C4154">
        <w:rPr>
          <w:lang w:val="en-US"/>
        </w:rPr>
        <w:t xml:space="preserve"> 3</w:t>
      </w:r>
      <w:r>
        <w:rPr>
          <w:lang w:val="en-US"/>
        </w:rPr>
        <w:tab/>
      </w:r>
      <w:r w:rsidR="00D80847">
        <w:rPr>
          <w:lang w:val="en-US"/>
        </w:rPr>
        <w:t>3</w:t>
      </w:r>
    </w:p>
    <w:p w:rsidR="00E0446E" w:rsidRDefault="002C4154" w:rsidP="002C4154">
      <w:pPr>
        <w:tabs>
          <w:tab w:val="right" w:pos="480"/>
          <w:tab w:val="left" w:pos="720"/>
          <w:tab w:val="left" w:pos="1134"/>
          <w:tab w:val="left" w:leader="dot" w:pos="7257"/>
          <w:tab w:val="decimal" w:pos="7852"/>
          <w:tab w:val="left" w:pos="7880"/>
          <w:tab w:val="right" w:pos="9298"/>
        </w:tabs>
        <w:adjustRightInd w:val="0"/>
        <w:snapToGrid w:val="0"/>
        <w:rPr>
          <w:lang w:val="en-US"/>
        </w:rPr>
      </w:pPr>
      <w:r>
        <w:rPr>
          <w:lang w:val="en-US"/>
        </w:rPr>
        <w:tab/>
      </w:r>
      <w:r w:rsidR="00E0446E" w:rsidRPr="002C4154">
        <w:rPr>
          <w:lang w:val="en-US"/>
        </w:rPr>
        <w:t>II.</w:t>
      </w:r>
      <w:r>
        <w:rPr>
          <w:lang w:val="en-US"/>
        </w:rPr>
        <w:tab/>
      </w:r>
      <w:r w:rsidR="00E0446E" w:rsidRPr="002C4154">
        <w:rPr>
          <w:lang w:val="en-US"/>
        </w:rPr>
        <w:t xml:space="preserve">RESPONSES TO THE CONCLUDING OBSERVATIONS </w:t>
      </w:r>
      <w:r w:rsidR="00E0446E" w:rsidRPr="002C4154">
        <w:rPr>
          <w:lang w:val="en-US"/>
        </w:rPr>
        <w:tab/>
      </w:r>
      <w:r w:rsidR="00E0446E" w:rsidRPr="002C4154">
        <w:rPr>
          <w:lang w:val="en-US"/>
        </w:rPr>
        <w:tab/>
        <w:t xml:space="preserve">4 </w:t>
      </w:r>
      <w:r w:rsidR="00AD0DF3">
        <w:rPr>
          <w:lang w:val="en-US"/>
        </w:rPr>
        <w:noBreakHyphen/>
      </w:r>
      <w:r w:rsidR="00E0446E" w:rsidRPr="002C4154">
        <w:rPr>
          <w:lang w:val="en-US"/>
        </w:rPr>
        <w:t xml:space="preserve"> 63</w:t>
      </w:r>
      <w:r>
        <w:rPr>
          <w:lang w:val="en-US"/>
        </w:rPr>
        <w:tab/>
      </w:r>
      <w:r w:rsidR="00D80847">
        <w:rPr>
          <w:lang w:val="en-US"/>
        </w:rPr>
        <w:t>3</w:t>
      </w:r>
    </w:p>
    <w:p w:rsidR="00E0446E" w:rsidRDefault="002C4154" w:rsidP="002C4154">
      <w:pPr>
        <w:tabs>
          <w:tab w:val="right" w:pos="480"/>
          <w:tab w:val="left" w:pos="720"/>
          <w:tab w:val="left" w:pos="1134"/>
          <w:tab w:val="left" w:leader="dot" w:pos="7257"/>
          <w:tab w:val="decimal" w:pos="7852"/>
          <w:tab w:val="left" w:pos="7880"/>
          <w:tab w:val="right" w:pos="9298"/>
        </w:tabs>
        <w:adjustRightInd w:val="0"/>
        <w:snapToGrid w:val="0"/>
        <w:rPr>
          <w:lang w:val="en-US"/>
        </w:rPr>
      </w:pPr>
      <w:r>
        <w:rPr>
          <w:lang w:val="en-US"/>
        </w:rPr>
        <w:tab/>
      </w:r>
      <w:r>
        <w:rPr>
          <w:lang w:val="en-US"/>
        </w:rPr>
        <w:tab/>
      </w:r>
      <w:r w:rsidR="00E0446E" w:rsidRPr="002C4154">
        <w:rPr>
          <w:lang w:val="en-US"/>
        </w:rPr>
        <w:t>A.</w:t>
      </w:r>
      <w:r>
        <w:rPr>
          <w:lang w:val="en-US"/>
        </w:rPr>
        <w:tab/>
      </w:r>
      <w:r w:rsidRPr="002C4154">
        <w:rPr>
          <w:lang w:val="en-US"/>
        </w:rPr>
        <w:t>Racist and xenophobic incidents</w:t>
      </w:r>
      <w:r w:rsidR="00E0446E" w:rsidRPr="002C4154">
        <w:rPr>
          <w:lang w:val="en-US"/>
        </w:rPr>
        <w:t xml:space="preserve"> (concl. obs. no. 10)</w:t>
      </w:r>
      <w:r>
        <w:rPr>
          <w:lang w:val="en-US"/>
        </w:rPr>
        <w:t xml:space="preserve"> </w:t>
      </w:r>
      <w:r>
        <w:rPr>
          <w:lang w:val="en-US"/>
        </w:rPr>
        <w:tab/>
      </w:r>
      <w:r>
        <w:rPr>
          <w:lang w:val="en-US"/>
        </w:rPr>
        <w:tab/>
      </w:r>
      <w:r w:rsidR="00E0446E" w:rsidRPr="002C4154">
        <w:rPr>
          <w:lang w:val="en-US"/>
        </w:rPr>
        <w:t xml:space="preserve">5 </w:t>
      </w:r>
      <w:r w:rsidR="00AD0DF3">
        <w:rPr>
          <w:lang w:val="en-US"/>
        </w:rPr>
        <w:noBreakHyphen/>
      </w:r>
      <w:r w:rsidR="00E0446E" w:rsidRPr="002C4154">
        <w:rPr>
          <w:lang w:val="en-US"/>
        </w:rPr>
        <w:t xml:space="preserve"> 9</w:t>
      </w:r>
      <w:r>
        <w:rPr>
          <w:lang w:val="en-US"/>
        </w:rPr>
        <w:tab/>
      </w:r>
      <w:r w:rsidR="00D80847">
        <w:rPr>
          <w:lang w:val="en-US"/>
        </w:rPr>
        <w:t>3</w:t>
      </w:r>
    </w:p>
    <w:p w:rsidR="00E0446E" w:rsidRDefault="002C4154" w:rsidP="002C4154">
      <w:pPr>
        <w:tabs>
          <w:tab w:val="right" w:pos="480"/>
          <w:tab w:val="left" w:pos="720"/>
          <w:tab w:val="left" w:pos="1134"/>
          <w:tab w:val="left" w:leader="dot" w:pos="7257"/>
          <w:tab w:val="decimal" w:pos="7852"/>
          <w:tab w:val="left" w:pos="7880"/>
          <w:tab w:val="right" w:pos="9298"/>
        </w:tabs>
        <w:adjustRightInd w:val="0"/>
        <w:snapToGrid w:val="0"/>
        <w:rPr>
          <w:lang w:val="en-US"/>
        </w:rPr>
      </w:pPr>
      <w:r>
        <w:rPr>
          <w:lang w:val="en-US"/>
        </w:rPr>
        <w:tab/>
      </w:r>
      <w:r>
        <w:rPr>
          <w:lang w:val="en-US"/>
        </w:rPr>
        <w:tab/>
      </w:r>
      <w:r w:rsidR="00E0446E" w:rsidRPr="002C4154">
        <w:rPr>
          <w:lang w:val="en-US"/>
        </w:rPr>
        <w:t>B.</w:t>
      </w:r>
      <w:r>
        <w:rPr>
          <w:lang w:val="en-US"/>
        </w:rPr>
        <w:tab/>
      </w:r>
      <w:r w:rsidRPr="002C4154">
        <w:rPr>
          <w:lang w:val="en-US"/>
        </w:rPr>
        <w:t xml:space="preserve">Discrimination on the Internet </w:t>
      </w:r>
      <w:r w:rsidR="00E0446E" w:rsidRPr="002C4154">
        <w:rPr>
          <w:lang w:val="en-US"/>
        </w:rPr>
        <w:t>(concl. obs. no. 11)</w:t>
      </w:r>
      <w:r>
        <w:rPr>
          <w:lang w:val="en-US"/>
        </w:rPr>
        <w:t xml:space="preserve"> </w:t>
      </w:r>
      <w:r>
        <w:rPr>
          <w:lang w:val="en-US"/>
        </w:rPr>
        <w:tab/>
      </w:r>
      <w:r>
        <w:rPr>
          <w:lang w:val="en-US"/>
        </w:rPr>
        <w:tab/>
      </w:r>
      <w:r w:rsidR="00E0446E" w:rsidRPr="002C4154">
        <w:rPr>
          <w:lang w:val="en-US"/>
        </w:rPr>
        <w:t xml:space="preserve">10 </w:t>
      </w:r>
      <w:r w:rsidR="00AD0DF3">
        <w:rPr>
          <w:lang w:val="en-US"/>
        </w:rPr>
        <w:noBreakHyphen/>
      </w:r>
      <w:r>
        <w:rPr>
          <w:lang w:val="en-US"/>
        </w:rPr>
        <w:t xml:space="preserve"> </w:t>
      </w:r>
      <w:r w:rsidR="00E0446E" w:rsidRPr="002C4154">
        <w:rPr>
          <w:lang w:val="en-US"/>
        </w:rPr>
        <w:t>19</w:t>
      </w:r>
      <w:r>
        <w:rPr>
          <w:lang w:val="en-US"/>
        </w:rPr>
        <w:tab/>
      </w:r>
      <w:r w:rsidR="00D80847">
        <w:rPr>
          <w:lang w:val="en-US"/>
        </w:rPr>
        <w:t>5</w:t>
      </w:r>
    </w:p>
    <w:p w:rsidR="00E0446E" w:rsidRDefault="002C4154" w:rsidP="002C4154">
      <w:pPr>
        <w:tabs>
          <w:tab w:val="right" w:pos="480"/>
          <w:tab w:val="left" w:pos="720"/>
          <w:tab w:val="left" w:pos="1134"/>
          <w:tab w:val="left" w:leader="dot" w:pos="7257"/>
          <w:tab w:val="decimal" w:pos="7852"/>
          <w:tab w:val="left" w:pos="7880"/>
          <w:tab w:val="right" w:pos="9298"/>
        </w:tabs>
        <w:adjustRightInd w:val="0"/>
        <w:snapToGrid w:val="0"/>
        <w:rPr>
          <w:lang w:val="en-US"/>
        </w:rPr>
      </w:pPr>
      <w:r>
        <w:rPr>
          <w:lang w:val="en-US"/>
        </w:rPr>
        <w:tab/>
      </w:r>
      <w:r>
        <w:rPr>
          <w:lang w:val="en-US"/>
        </w:rPr>
        <w:tab/>
      </w:r>
      <w:r w:rsidR="00E0446E" w:rsidRPr="002C4154">
        <w:rPr>
          <w:lang w:val="en-US"/>
        </w:rPr>
        <w:t>C.</w:t>
      </w:r>
      <w:r>
        <w:rPr>
          <w:lang w:val="en-US"/>
        </w:rPr>
        <w:tab/>
      </w:r>
      <w:r w:rsidRPr="002C4154">
        <w:rPr>
          <w:lang w:val="en-US"/>
        </w:rPr>
        <w:t xml:space="preserve">Racial segregation </w:t>
      </w:r>
      <w:r w:rsidR="00E0446E" w:rsidRPr="002C4154">
        <w:rPr>
          <w:lang w:val="en-US"/>
        </w:rPr>
        <w:t>(concl. obs. no. 12)</w:t>
      </w:r>
      <w:r>
        <w:rPr>
          <w:lang w:val="en-US"/>
        </w:rPr>
        <w:t xml:space="preserve"> </w:t>
      </w:r>
      <w:r>
        <w:rPr>
          <w:lang w:val="en-US"/>
        </w:rPr>
        <w:tab/>
      </w:r>
      <w:r>
        <w:rPr>
          <w:lang w:val="en-US"/>
        </w:rPr>
        <w:tab/>
      </w:r>
      <w:r w:rsidR="00E0446E" w:rsidRPr="002C4154">
        <w:rPr>
          <w:lang w:val="en-US"/>
        </w:rPr>
        <w:t xml:space="preserve">20 </w:t>
      </w:r>
      <w:r w:rsidR="00AD0DF3">
        <w:rPr>
          <w:lang w:val="en-US"/>
        </w:rPr>
        <w:noBreakHyphen/>
      </w:r>
      <w:r w:rsidR="00E0446E" w:rsidRPr="002C4154">
        <w:rPr>
          <w:lang w:val="en-US"/>
        </w:rPr>
        <w:t xml:space="preserve"> 32</w:t>
      </w:r>
      <w:r>
        <w:rPr>
          <w:lang w:val="en-US"/>
        </w:rPr>
        <w:tab/>
      </w:r>
      <w:r w:rsidR="00D80847">
        <w:rPr>
          <w:lang w:val="en-US"/>
        </w:rPr>
        <w:t>6</w:t>
      </w:r>
    </w:p>
    <w:p w:rsidR="00E0446E" w:rsidRDefault="002C4154" w:rsidP="002C4154">
      <w:pPr>
        <w:tabs>
          <w:tab w:val="right" w:pos="480"/>
          <w:tab w:val="left" w:pos="720"/>
          <w:tab w:val="left" w:pos="1134"/>
          <w:tab w:val="left" w:leader="dot" w:pos="7257"/>
          <w:tab w:val="decimal" w:pos="7852"/>
          <w:tab w:val="left" w:pos="7880"/>
          <w:tab w:val="right" w:pos="9298"/>
        </w:tabs>
        <w:adjustRightInd w:val="0"/>
        <w:snapToGrid w:val="0"/>
        <w:rPr>
          <w:lang w:val="en-US"/>
        </w:rPr>
      </w:pPr>
      <w:r>
        <w:rPr>
          <w:lang w:val="en-US"/>
        </w:rPr>
        <w:tab/>
      </w:r>
      <w:r>
        <w:rPr>
          <w:lang w:val="en-US"/>
        </w:rPr>
        <w:tab/>
      </w:r>
      <w:r w:rsidR="00E0446E" w:rsidRPr="002C4154">
        <w:rPr>
          <w:lang w:val="en-US"/>
        </w:rPr>
        <w:t>D.</w:t>
      </w:r>
      <w:r>
        <w:rPr>
          <w:lang w:val="en-US"/>
        </w:rPr>
        <w:tab/>
      </w:r>
      <w:r w:rsidRPr="002C4154">
        <w:rPr>
          <w:lang w:val="en-US"/>
        </w:rPr>
        <w:t xml:space="preserve">Employment of minorities </w:t>
      </w:r>
      <w:r w:rsidR="00E0446E" w:rsidRPr="002C4154">
        <w:rPr>
          <w:lang w:val="en-US"/>
        </w:rPr>
        <w:t>(concl. obs. no. 13)</w:t>
      </w:r>
      <w:r>
        <w:rPr>
          <w:lang w:val="en-US"/>
        </w:rPr>
        <w:t xml:space="preserve"> </w:t>
      </w:r>
      <w:r>
        <w:rPr>
          <w:lang w:val="en-US"/>
        </w:rPr>
        <w:tab/>
      </w:r>
      <w:r>
        <w:rPr>
          <w:lang w:val="en-US"/>
        </w:rPr>
        <w:tab/>
      </w:r>
      <w:r w:rsidR="00E0446E" w:rsidRPr="002C4154">
        <w:rPr>
          <w:lang w:val="en-US"/>
        </w:rPr>
        <w:t xml:space="preserve">33 </w:t>
      </w:r>
      <w:r w:rsidR="00AD0DF3">
        <w:rPr>
          <w:lang w:val="en-US"/>
        </w:rPr>
        <w:noBreakHyphen/>
      </w:r>
      <w:r w:rsidR="00E0446E" w:rsidRPr="002C4154">
        <w:rPr>
          <w:lang w:val="en-US"/>
        </w:rPr>
        <w:t xml:space="preserve"> 35</w:t>
      </w:r>
      <w:r>
        <w:rPr>
          <w:lang w:val="en-US"/>
        </w:rPr>
        <w:tab/>
      </w:r>
      <w:r w:rsidR="00D80847">
        <w:rPr>
          <w:lang w:val="en-US"/>
        </w:rPr>
        <w:t>10</w:t>
      </w:r>
    </w:p>
    <w:p w:rsidR="00E0446E" w:rsidRDefault="002C4154" w:rsidP="002C4154">
      <w:pPr>
        <w:tabs>
          <w:tab w:val="right" w:pos="480"/>
          <w:tab w:val="left" w:pos="720"/>
          <w:tab w:val="left" w:pos="1134"/>
          <w:tab w:val="left" w:leader="dot" w:pos="7257"/>
          <w:tab w:val="decimal" w:pos="7852"/>
          <w:tab w:val="left" w:pos="7880"/>
          <w:tab w:val="right" w:pos="9298"/>
        </w:tabs>
        <w:adjustRightInd w:val="0"/>
        <w:snapToGrid w:val="0"/>
        <w:rPr>
          <w:lang w:val="en-US"/>
        </w:rPr>
      </w:pPr>
      <w:r>
        <w:rPr>
          <w:lang w:val="en-US"/>
        </w:rPr>
        <w:tab/>
      </w:r>
      <w:r>
        <w:rPr>
          <w:lang w:val="en-US"/>
        </w:rPr>
        <w:tab/>
      </w:r>
      <w:r w:rsidR="00E0446E" w:rsidRPr="002C4154">
        <w:rPr>
          <w:lang w:val="en-US"/>
        </w:rPr>
        <w:t>E.</w:t>
      </w:r>
      <w:r>
        <w:rPr>
          <w:lang w:val="en-US"/>
        </w:rPr>
        <w:tab/>
      </w:r>
      <w:r w:rsidR="00E32A57" w:rsidRPr="002C4154">
        <w:rPr>
          <w:lang w:val="en-US"/>
        </w:rPr>
        <w:t xml:space="preserve">Aliens Act </w:t>
      </w:r>
      <w:r w:rsidR="00E0446E" w:rsidRPr="002C4154">
        <w:rPr>
          <w:lang w:val="en-US"/>
        </w:rPr>
        <w:t>2000 (concl. obs. no. 14)</w:t>
      </w:r>
      <w:r>
        <w:rPr>
          <w:lang w:val="en-US"/>
        </w:rPr>
        <w:t xml:space="preserve"> </w:t>
      </w:r>
      <w:r>
        <w:rPr>
          <w:lang w:val="en-US"/>
        </w:rPr>
        <w:tab/>
      </w:r>
      <w:r>
        <w:rPr>
          <w:lang w:val="en-US"/>
        </w:rPr>
        <w:tab/>
      </w:r>
      <w:r w:rsidR="00E0446E" w:rsidRPr="002C4154">
        <w:rPr>
          <w:lang w:val="en-US"/>
        </w:rPr>
        <w:t xml:space="preserve">36 </w:t>
      </w:r>
      <w:r w:rsidR="00AD0DF3">
        <w:rPr>
          <w:lang w:val="en-US"/>
        </w:rPr>
        <w:noBreakHyphen/>
      </w:r>
      <w:r w:rsidR="00E0446E" w:rsidRPr="002C4154">
        <w:rPr>
          <w:lang w:val="en-US"/>
        </w:rPr>
        <w:t xml:space="preserve"> 52</w:t>
      </w:r>
      <w:r>
        <w:rPr>
          <w:lang w:val="en-US"/>
        </w:rPr>
        <w:tab/>
      </w:r>
      <w:r w:rsidR="00D80847">
        <w:rPr>
          <w:lang w:val="en-US"/>
        </w:rPr>
        <w:t>11</w:t>
      </w:r>
    </w:p>
    <w:p w:rsidR="00E0446E" w:rsidRDefault="002C4154" w:rsidP="002C4154">
      <w:pPr>
        <w:tabs>
          <w:tab w:val="right" w:pos="480"/>
          <w:tab w:val="left" w:pos="720"/>
          <w:tab w:val="left" w:pos="1134"/>
          <w:tab w:val="left" w:leader="dot" w:pos="7257"/>
          <w:tab w:val="decimal" w:pos="7852"/>
          <w:tab w:val="left" w:pos="7880"/>
          <w:tab w:val="right" w:pos="9298"/>
        </w:tabs>
        <w:adjustRightInd w:val="0"/>
        <w:snapToGrid w:val="0"/>
        <w:rPr>
          <w:lang w:val="en-US"/>
        </w:rPr>
      </w:pPr>
      <w:r>
        <w:rPr>
          <w:lang w:val="en-US"/>
        </w:rPr>
        <w:tab/>
      </w:r>
      <w:r>
        <w:rPr>
          <w:lang w:val="en-US"/>
        </w:rPr>
        <w:tab/>
      </w:r>
      <w:r w:rsidR="00E0446E" w:rsidRPr="002C4154">
        <w:rPr>
          <w:lang w:val="en-US"/>
        </w:rPr>
        <w:t>F.</w:t>
      </w:r>
      <w:r>
        <w:rPr>
          <w:lang w:val="en-US"/>
        </w:rPr>
        <w:tab/>
      </w:r>
      <w:r w:rsidRPr="002C4154">
        <w:rPr>
          <w:lang w:val="en-US"/>
        </w:rPr>
        <w:t xml:space="preserve">Ethnic composition of the police </w:t>
      </w:r>
      <w:r w:rsidR="00E0446E" w:rsidRPr="002C4154">
        <w:rPr>
          <w:lang w:val="en-US"/>
        </w:rPr>
        <w:t>(concl. obs. no. 15)</w:t>
      </w:r>
      <w:r w:rsidR="001470B9">
        <w:rPr>
          <w:lang w:val="en-US"/>
        </w:rPr>
        <w:t xml:space="preserve"> </w:t>
      </w:r>
      <w:r w:rsidR="001470B9">
        <w:rPr>
          <w:lang w:val="en-US"/>
        </w:rPr>
        <w:tab/>
      </w:r>
      <w:r w:rsidR="001470B9">
        <w:rPr>
          <w:lang w:val="en-US"/>
        </w:rPr>
        <w:tab/>
      </w:r>
      <w:r w:rsidR="00E0446E" w:rsidRPr="002C4154">
        <w:rPr>
          <w:lang w:val="en-US"/>
        </w:rPr>
        <w:t xml:space="preserve">53 </w:t>
      </w:r>
      <w:r w:rsidR="00AD0DF3">
        <w:rPr>
          <w:lang w:val="en-US"/>
        </w:rPr>
        <w:noBreakHyphen/>
      </w:r>
      <w:r w:rsidR="00E0446E" w:rsidRPr="002C4154">
        <w:rPr>
          <w:lang w:val="en-US"/>
        </w:rPr>
        <w:t xml:space="preserve"> 59</w:t>
      </w:r>
      <w:r w:rsidR="001470B9">
        <w:rPr>
          <w:lang w:val="en-US"/>
        </w:rPr>
        <w:tab/>
      </w:r>
      <w:r w:rsidR="00D80847">
        <w:rPr>
          <w:lang w:val="en-US"/>
        </w:rPr>
        <w:t>14</w:t>
      </w:r>
    </w:p>
    <w:p w:rsidR="001470B9" w:rsidRDefault="001470B9" w:rsidP="002C4154">
      <w:pPr>
        <w:tabs>
          <w:tab w:val="right" w:pos="480"/>
          <w:tab w:val="left" w:pos="720"/>
          <w:tab w:val="left" w:pos="1134"/>
          <w:tab w:val="left" w:leader="dot" w:pos="7257"/>
          <w:tab w:val="decimal" w:pos="7852"/>
          <w:tab w:val="left" w:pos="7880"/>
          <w:tab w:val="right" w:pos="9298"/>
        </w:tabs>
        <w:adjustRightInd w:val="0"/>
        <w:snapToGrid w:val="0"/>
        <w:rPr>
          <w:lang w:val="en-US"/>
        </w:rPr>
      </w:pPr>
      <w:r>
        <w:rPr>
          <w:lang w:val="en-US"/>
        </w:rPr>
        <w:tab/>
      </w:r>
      <w:r>
        <w:rPr>
          <w:lang w:val="en-US"/>
        </w:rPr>
        <w:tab/>
      </w:r>
      <w:r w:rsidR="00E0446E" w:rsidRPr="002C4154">
        <w:rPr>
          <w:lang w:val="en-US"/>
        </w:rPr>
        <w:t>G.</w:t>
      </w:r>
      <w:r>
        <w:rPr>
          <w:lang w:val="en-US"/>
        </w:rPr>
        <w:tab/>
      </w:r>
      <w:r w:rsidRPr="002C4154">
        <w:rPr>
          <w:lang w:val="en-US"/>
        </w:rPr>
        <w:t>The International Convention on</w:t>
      </w:r>
      <w:r>
        <w:rPr>
          <w:lang w:val="en-US"/>
        </w:rPr>
        <w:t xml:space="preserve"> </w:t>
      </w:r>
      <w:r w:rsidRPr="002C4154">
        <w:rPr>
          <w:lang w:val="en-US"/>
        </w:rPr>
        <w:t>the Protection</w:t>
      </w:r>
      <w:r w:rsidR="006D291B">
        <w:rPr>
          <w:lang w:val="en-US"/>
        </w:rPr>
        <w:t xml:space="preserve"> </w:t>
      </w:r>
      <w:r w:rsidRPr="002C4154">
        <w:rPr>
          <w:lang w:val="en-US"/>
        </w:rPr>
        <w:t xml:space="preserve">of the </w:t>
      </w:r>
      <w:r w:rsidR="00E6733A">
        <w:rPr>
          <w:lang w:val="en-US"/>
        </w:rPr>
        <w:br/>
      </w:r>
      <w:r w:rsidR="00E6733A">
        <w:rPr>
          <w:lang w:val="en-US"/>
        </w:rPr>
        <w:tab/>
      </w:r>
      <w:r w:rsidR="00E6733A">
        <w:rPr>
          <w:lang w:val="en-US"/>
        </w:rPr>
        <w:tab/>
      </w:r>
      <w:r w:rsidR="00E6733A">
        <w:rPr>
          <w:lang w:val="en-US"/>
        </w:rPr>
        <w:tab/>
        <w:t xml:space="preserve">Rights </w:t>
      </w:r>
      <w:r w:rsidRPr="002C4154">
        <w:rPr>
          <w:lang w:val="en-US"/>
        </w:rPr>
        <w:t>of All Migrant Workers</w:t>
      </w:r>
      <w:r w:rsidR="006D291B">
        <w:rPr>
          <w:lang w:val="en-US"/>
        </w:rPr>
        <w:t xml:space="preserve"> </w:t>
      </w:r>
      <w:r w:rsidRPr="002C4154">
        <w:rPr>
          <w:lang w:val="en-US"/>
        </w:rPr>
        <w:t xml:space="preserve">and Members of Their </w:t>
      </w:r>
      <w:r w:rsidR="00E6733A">
        <w:rPr>
          <w:lang w:val="en-US"/>
        </w:rPr>
        <w:br/>
      </w:r>
      <w:r w:rsidR="00E6733A">
        <w:rPr>
          <w:lang w:val="en-US"/>
        </w:rPr>
        <w:tab/>
      </w:r>
      <w:r w:rsidR="00E6733A">
        <w:rPr>
          <w:lang w:val="en-US"/>
        </w:rPr>
        <w:tab/>
      </w:r>
      <w:r w:rsidR="00E6733A">
        <w:rPr>
          <w:lang w:val="en-US"/>
        </w:rPr>
        <w:tab/>
        <w:t xml:space="preserve">Families </w:t>
      </w:r>
      <w:r w:rsidR="00E0446E" w:rsidRPr="002C4154">
        <w:rPr>
          <w:lang w:val="en-US"/>
        </w:rPr>
        <w:t>(concl. obs. no. 16)</w:t>
      </w:r>
      <w:r>
        <w:rPr>
          <w:lang w:val="en-US"/>
        </w:rPr>
        <w:t xml:space="preserve"> </w:t>
      </w:r>
      <w:r>
        <w:rPr>
          <w:lang w:val="en-US"/>
        </w:rPr>
        <w:tab/>
      </w:r>
      <w:r>
        <w:rPr>
          <w:lang w:val="en-US"/>
        </w:rPr>
        <w:tab/>
      </w:r>
      <w:r w:rsidR="00E0446E" w:rsidRPr="002C4154">
        <w:rPr>
          <w:lang w:val="en-US"/>
        </w:rPr>
        <w:t xml:space="preserve">60 </w:t>
      </w:r>
      <w:r w:rsidR="00AD0DF3">
        <w:rPr>
          <w:lang w:val="en-US"/>
        </w:rPr>
        <w:noBreakHyphen/>
      </w:r>
      <w:r w:rsidR="00E0446E" w:rsidRPr="002C4154">
        <w:rPr>
          <w:lang w:val="en-US"/>
        </w:rPr>
        <w:t xml:space="preserve"> 61</w:t>
      </w:r>
      <w:r w:rsidR="006D291B">
        <w:rPr>
          <w:lang w:val="en-US"/>
        </w:rPr>
        <w:tab/>
      </w:r>
      <w:r w:rsidR="00D80847">
        <w:rPr>
          <w:lang w:val="en-US"/>
        </w:rPr>
        <w:t>16</w:t>
      </w:r>
    </w:p>
    <w:p w:rsidR="00E0446E" w:rsidRDefault="006D291B" w:rsidP="002C4154">
      <w:pPr>
        <w:tabs>
          <w:tab w:val="right" w:pos="480"/>
          <w:tab w:val="left" w:pos="720"/>
          <w:tab w:val="left" w:pos="1134"/>
          <w:tab w:val="left" w:leader="dot" w:pos="7257"/>
          <w:tab w:val="decimal" w:pos="7852"/>
          <w:tab w:val="left" w:pos="7880"/>
          <w:tab w:val="right" w:pos="9298"/>
        </w:tabs>
        <w:adjustRightInd w:val="0"/>
        <w:snapToGrid w:val="0"/>
        <w:rPr>
          <w:lang w:val="en-US"/>
        </w:rPr>
      </w:pPr>
      <w:r>
        <w:rPr>
          <w:lang w:val="en-US"/>
        </w:rPr>
        <w:tab/>
      </w:r>
      <w:r>
        <w:rPr>
          <w:lang w:val="en-US"/>
        </w:rPr>
        <w:tab/>
      </w:r>
      <w:r w:rsidR="00E0446E" w:rsidRPr="002C4154">
        <w:rPr>
          <w:lang w:val="en-US"/>
        </w:rPr>
        <w:t>H.</w:t>
      </w:r>
      <w:r w:rsidR="001470B9">
        <w:rPr>
          <w:lang w:val="en-US"/>
        </w:rPr>
        <w:tab/>
      </w:r>
      <w:r w:rsidRPr="002C4154">
        <w:rPr>
          <w:lang w:val="en-US"/>
        </w:rPr>
        <w:t xml:space="preserve">Consulting civil society organisations </w:t>
      </w:r>
      <w:r w:rsidR="00E6733A">
        <w:rPr>
          <w:lang w:val="en-US"/>
        </w:rPr>
        <w:t>(</w:t>
      </w:r>
      <w:r w:rsidR="00E0446E" w:rsidRPr="002C4154">
        <w:rPr>
          <w:lang w:val="en-US"/>
        </w:rPr>
        <w:t>concl. obs. no. 17)</w:t>
      </w:r>
      <w:r>
        <w:rPr>
          <w:lang w:val="en-US"/>
        </w:rPr>
        <w:t xml:space="preserve"> </w:t>
      </w:r>
      <w:r>
        <w:rPr>
          <w:lang w:val="en-US"/>
        </w:rPr>
        <w:tab/>
      </w:r>
      <w:r>
        <w:rPr>
          <w:lang w:val="en-US"/>
        </w:rPr>
        <w:tab/>
      </w:r>
      <w:r>
        <w:rPr>
          <w:lang w:val="en-US"/>
        </w:rPr>
        <w:tab/>
      </w:r>
      <w:r w:rsidR="00E0446E" w:rsidRPr="002C4154">
        <w:rPr>
          <w:lang w:val="en-US"/>
        </w:rPr>
        <w:t>62</w:t>
      </w:r>
      <w:r>
        <w:rPr>
          <w:lang w:val="en-US"/>
        </w:rPr>
        <w:tab/>
      </w:r>
      <w:r w:rsidR="00D80847">
        <w:rPr>
          <w:lang w:val="en-US"/>
        </w:rPr>
        <w:t>16</w:t>
      </w:r>
    </w:p>
    <w:p w:rsidR="00E0446E" w:rsidRDefault="006D291B" w:rsidP="002C4154">
      <w:pPr>
        <w:tabs>
          <w:tab w:val="right" w:pos="480"/>
          <w:tab w:val="left" w:pos="720"/>
          <w:tab w:val="left" w:pos="1134"/>
          <w:tab w:val="left" w:leader="dot" w:pos="7257"/>
          <w:tab w:val="decimal" w:pos="7852"/>
          <w:tab w:val="left" w:pos="7880"/>
          <w:tab w:val="right" w:pos="9298"/>
        </w:tabs>
        <w:adjustRightInd w:val="0"/>
        <w:snapToGrid w:val="0"/>
        <w:rPr>
          <w:lang w:val="en-US"/>
        </w:rPr>
      </w:pPr>
      <w:r>
        <w:rPr>
          <w:lang w:val="en-US"/>
        </w:rPr>
        <w:tab/>
      </w:r>
      <w:r>
        <w:rPr>
          <w:lang w:val="en-US"/>
        </w:rPr>
        <w:tab/>
      </w:r>
      <w:r w:rsidR="00E0446E" w:rsidRPr="002C4154">
        <w:rPr>
          <w:lang w:val="en-US"/>
        </w:rPr>
        <w:t>I.</w:t>
      </w:r>
      <w:r>
        <w:rPr>
          <w:lang w:val="en-US"/>
        </w:rPr>
        <w:tab/>
      </w:r>
      <w:r w:rsidR="00A80425" w:rsidRPr="002C4154">
        <w:rPr>
          <w:lang w:val="en-US"/>
        </w:rPr>
        <w:t>Availability</w:t>
      </w:r>
      <w:r w:rsidRPr="002C4154">
        <w:rPr>
          <w:lang w:val="en-US"/>
        </w:rPr>
        <w:t xml:space="preserve"> reports and observations </w:t>
      </w:r>
      <w:r w:rsidR="00E0446E" w:rsidRPr="002C4154">
        <w:rPr>
          <w:lang w:val="en-US"/>
        </w:rPr>
        <w:t>(concl. obs. no. 18)</w:t>
      </w:r>
      <w:r>
        <w:rPr>
          <w:lang w:val="en-US"/>
        </w:rPr>
        <w:t xml:space="preserve"> </w:t>
      </w:r>
      <w:r>
        <w:rPr>
          <w:lang w:val="en-US"/>
        </w:rPr>
        <w:tab/>
      </w:r>
      <w:r>
        <w:rPr>
          <w:lang w:val="en-US"/>
        </w:rPr>
        <w:tab/>
      </w:r>
      <w:r>
        <w:rPr>
          <w:lang w:val="en-US"/>
        </w:rPr>
        <w:tab/>
      </w:r>
      <w:r w:rsidR="00E0446E" w:rsidRPr="002C4154">
        <w:rPr>
          <w:lang w:val="en-US"/>
        </w:rPr>
        <w:t>63</w:t>
      </w:r>
      <w:r>
        <w:rPr>
          <w:lang w:val="en-US"/>
        </w:rPr>
        <w:tab/>
      </w:r>
      <w:r w:rsidR="00D80847">
        <w:rPr>
          <w:lang w:val="en-US"/>
        </w:rPr>
        <w:t>17</w:t>
      </w:r>
    </w:p>
    <w:p w:rsidR="00E0446E" w:rsidRDefault="006D291B" w:rsidP="002C4154">
      <w:pPr>
        <w:tabs>
          <w:tab w:val="right" w:pos="480"/>
          <w:tab w:val="left" w:pos="720"/>
          <w:tab w:val="left" w:pos="1134"/>
          <w:tab w:val="left" w:leader="dot" w:pos="7257"/>
          <w:tab w:val="decimal" w:pos="7852"/>
          <w:tab w:val="left" w:pos="7880"/>
          <w:tab w:val="right" w:pos="9298"/>
        </w:tabs>
        <w:adjustRightInd w:val="0"/>
        <w:snapToGrid w:val="0"/>
        <w:rPr>
          <w:lang w:val="en-US"/>
        </w:rPr>
      </w:pPr>
      <w:r>
        <w:rPr>
          <w:lang w:val="en-US"/>
        </w:rPr>
        <w:tab/>
      </w:r>
      <w:r w:rsidR="00E0446E" w:rsidRPr="002C4154">
        <w:rPr>
          <w:lang w:val="en-US"/>
        </w:rPr>
        <w:t>III.</w:t>
      </w:r>
      <w:r>
        <w:rPr>
          <w:lang w:val="en-US"/>
        </w:rPr>
        <w:tab/>
      </w:r>
      <w:r w:rsidR="00E0446E" w:rsidRPr="002C4154">
        <w:rPr>
          <w:lang w:val="en-US"/>
        </w:rPr>
        <w:t>INFORMATION RELATING TO ARTICLES 2</w:t>
      </w:r>
      <w:r w:rsidR="00AD0DF3">
        <w:rPr>
          <w:lang w:val="en-US"/>
        </w:rPr>
        <w:noBreakHyphen/>
      </w:r>
      <w:r w:rsidR="00E0446E" w:rsidRPr="002C4154">
        <w:rPr>
          <w:lang w:val="en-US"/>
        </w:rPr>
        <w:t xml:space="preserve">7 </w:t>
      </w:r>
      <w:r>
        <w:rPr>
          <w:lang w:val="en-US"/>
        </w:rPr>
        <w:br/>
      </w:r>
      <w:r>
        <w:rPr>
          <w:lang w:val="en-US"/>
        </w:rPr>
        <w:tab/>
      </w:r>
      <w:r>
        <w:rPr>
          <w:lang w:val="en-US"/>
        </w:rPr>
        <w:tab/>
      </w:r>
      <w:r w:rsidR="00E0446E" w:rsidRPr="002C4154">
        <w:rPr>
          <w:lang w:val="en-US"/>
        </w:rPr>
        <w:t>OF THE CONVENTION</w:t>
      </w:r>
      <w:r>
        <w:rPr>
          <w:lang w:val="en-US"/>
        </w:rPr>
        <w:t xml:space="preserve"> </w:t>
      </w:r>
      <w:r>
        <w:rPr>
          <w:lang w:val="en-US"/>
        </w:rPr>
        <w:tab/>
      </w:r>
      <w:r>
        <w:rPr>
          <w:lang w:val="en-US"/>
        </w:rPr>
        <w:tab/>
      </w:r>
      <w:r w:rsidR="00E0446E" w:rsidRPr="002C4154">
        <w:rPr>
          <w:lang w:val="en-US"/>
        </w:rPr>
        <w:t xml:space="preserve">64 </w:t>
      </w:r>
      <w:r w:rsidR="00AD0DF3">
        <w:rPr>
          <w:lang w:val="en-US"/>
        </w:rPr>
        <w:noBreakHyphen/>
      </w:r>
      <w:r w:rsidR="00E0446E" w:rsidRPr="002C4154">
        <w:rPr>
          <w:lang w:val="en-US"/>
        </w:rPr>
        <w:t xml:space="preserve"> 165</w:t>
      </w:r>
      <w:r>
        <w:rPr>
          <w:lang w:val="en-US"/>
        </w:rPr>
        <w:tab/>
      </w:r>
      <w:r w:rsidR="00D80847">
        <w:rPr>
          <w:lang w:val="en-US"/>
        </w:rPr>
        <w:t>17</w:t>
      </w:r>
    </w:p>
    <w:p w:rsidR="00E0446E" w:rsidRDefault="006D291B" w:rsidP="002C4154">
      <w:pPr>
        <w:tabs>
          <w:tab w:val="right" w:pos="480"/>
          <w:tab w:val="left" w:pos="720"/>
          <w:tab w:val="left" w:pos="1134"/>
          <w:tab w:val="left" w:leader="dot" w:pos="7257"/>
          <w:tab w:val="decimal" w:pos="7852"/>
          <w:tab w:val="left" w:pos="7880"/>
          <w:tab w:val="right" w:pos="9298"/>
        </w:tabs>
        <w:adjustRightInd w:val="0"/>
        <w:snapToGrid w:val="0"/>
        <w:rPr>
          <w:lang w:val="fr-FR"/>
        </w:rPr>
      </w:pPr>
      <w:r>
        <w:rPr>
          <w:lang w:val="en-US"/>
        </w:rPr>
        <w:tab/>
      </w:r>
      <w:r>
        <w:rPr>
          <w:lang w:val="en-US"/>
        </w:rPr>
        <w:tab/>
      </w:r>
      <w:r w:rsidR="00E0446E" w:rsidRPr="006D291B">
        <w:rPr>
          <w:lang w:val="fr-FR"/>
        </w:rPr>
        <w:t>A.</w:t>
      </w:r>
      <w:r w:rsidRPr="006D291B">
        <w:rPr>
          <w:lang w:val="fr-FR"/>
        </w:rPr>
        <w:tab/>
        <w:t xml:space="preserve">Article </w:t>
      </w:r>
      <w:r w:rsidR="00E0446E" w:rsidRPr="006D291B">
        <w:rPr>
          <w:lang w:val="fr-FR"/>
        </w:rPr>
        <w:t>2</w:t>
      </w:r>
      <w:r w:rsidRPr="006D291B">
        <w:rPr>
          <w:lang w:val="fr-FR"/>
        </w:rPr>
        <w:t xml:space="preserve"> </w:t>
      </w:r>
      <w:r w:rsidRPr="006D291B">
        <w:rPr>
          <w:lang w:val="fr-FR"/>
        </w:rPr>
        <w:tab/>
      </w:r>
      <w:r w:rsidR="00E0446E" w:rsidRPr="006D291B">
        <w:rPr>
          <w:lang w:val="fr-FR"/>
        </w:rPr>
        <w:tab/>
        <w:t xml:space="preserve">65 </w:t>
      </w:r>
      <w:r w:rsidR="00AD0DF3">
        <w:rPr>
          <w:lang w:val="fr-FR"/>
        </w:rPr>
        <w:noBreakHyphen/>
      </w:r>
      <w:r w:rsidR="00E0446E" w:rsidRPr="006D291B">
        <w:rPr>
          <w:lang w:val="fr-FR"/>
        </w:rPr>
        <w:t xml:space="preserve"> 83</w:t>
      </w:r>
      <w:r>
        <w:rPr>
          <w:lang w:val="fr-FR"/>
        </w:rPr>
        <w:tab/>
      </w:r>
      <w:r w:rsidR="00D80847">
        <w:rPr>
          <w:lang w:val="fr-FR"/>
        </w:rPr>
        <w:t>17</w:t>
      </w:r>
    </w:p>
    <w:p w:rsidR="00E0446E" w:rsidRDefault="006D291B" w:rsidP="002C4154">
      <w:pPr>
        <w:tabs>
          <w:tab w:val="right" w:pos="480"/>
          <w:tab w:val="left" w:pos="720"/>
          <w:tab w:val="left" w:pos="1134"/>
          <w:tab w:val="left" w:leader="dot" w:pos="7257"/>
          <w:tab w:val="decimal" w:pos="7852"/>
          <w:tab w:val="left" w:pos="7880"/>
          <w:tab w:val="right" w:pos="9298"/>
        </w:tabs>
        <w:adjustRightInd w:val="0"/>
        <w:snapToGrid w:val="0"/>
        <w:rPr>
          <w:lang w:val="fr-FR"/>
        </w:rPr>
      </w:pPr>
      <w:r>
        <w:rPr>
          <w:lang w:val="fr-FR"/>
        </w:rPr>
        <w:tab/>
      </w:r>
      <w:r>
        <w:rPr>
          <w:lang w:val="fr-FR"/>
        </w:rPr>
        <w:tab/>
      </w:r>
      <w:r w:rsidR="00E0446E" w:rsidRPr="006D291B">
        <w:rPr>
          <w:lang w:val="fr-FR"/>
        </w:rPr>
        <w:t>B.</w:t>
      </w:r>
      <w:r>
        <w:rPr>
          <w:lang w:val="fr-FR"/>
        </w:rPr>
        <w:tab/>
      </w:r>
      <w:r w:rsidRPr="006D291B">
        <w:rPr>
          <w:lang w:val="fr-FR"/>
        </w:rPr>
        <w:t xml:space="preserve">Article </w:t>
      </w:r>
      <w:r w:rsidR="00E0446E" w:rsidRPr="006D291B">
        <w:rPr>
          <w:lang w:val="fr-FR"/>
        </w:rPr>
        <w:t>4</w:t>
      </w:r>
      <w:r>
        <w:rPr>
          <w:lang w:val="fr-FR"/>
        </w:rPr>
        <w:t xml:space="preserve"> </w:t>
      </w:r>
      <w:r>
        <w:rPr>
          <w:lang w:val="fr-FR"/>
        </w:rPr>
        <w:tab/>
      </w:r>
      <w:r w:rsidR="00E0446E" w:rsidRPr="006D291B">
        <w:rPr>
          <w:lang w:val="fr-FR"/>
        </w:rPr>
        <w:tab/>
        <w:t xml:space="preserve">84 </w:t>
      </w:r>
      <w:r w:rsidR="00AD0DF3">
        <w:rPr>
          <w:lang w:val="fr-FR"/>
        </w:rPr>
        <w:noBreakHyphen/>
      </w:r>
      <w:r w:rsidR="00E0446E" w:rsidRPr="006D291B">
        <w:rPr>
          <w:lang w:val="fr-FR"/>
        </w:rPr>
        <w:t xml:space="preserve"> 110</w:t>
      </w:r>
      <w:r>
        <w:rPr>
          <w:lang w:val="fr-FR"/>
        </w:rPr>
        <w:tab/>
      </w:r>
      <w:r w:rsidR="00D80847">
        <w:rPr>
          <w:lang w:val="fr-FR"/>
        </w:rPr>
        <w:t>22</w:t>
      </w:r>
    </w:p>
    <w:p w:rsidR="00E0446E" w:rsidRDefault="006D291B" w:rsidP="002C4154">
      <w:pPr>
        <w:tabs>
          <w:tab w:val="right" w:pos="480"/>
          <w:tab w:val="left" w:pos="720"/>
          <w:tab w:val="left" w:pos="1134"/>
          <w:tab w:val="left" w:leader="dot" w:pos="7257"/>
          <w:tab w:val="decimal" w:pos="7852"/>
          <w:tab w:val="left" w:pos="7880"/>
          <w:tab w:val="right" w:pos="9298"/>
        </w:tabs>
        <w:adjustRightInd w:val="0"/>
        <w:snapToGrid w:val="0"/>
        <w:rPr>
          <w:lang w:val="fr-FR"/>
        </w:rPr>
      </w:pPr>
      <w:r>
        <w:rPr>
          <w:lang w:val="fr-FR"/>
        </w:rPr>
        <w:tab/>
      </w:r>
      <w:r>
        <w:rPr>
          <w:lang w:val="fr-FR"/>
        </w:rPr>
        <w:tab/>
      </w:r>
      <w:r w:rsidR="00E0446E" w:rsidRPr="006D291B">
        <w:rPr>
          <w:lang w:val="fr-FR"/>
        </w:rPr>
        <w:t>C.</w:t>
      </w:r>
      <w:r>
        <w:rPr>
          <w:lang w:val="fr-FR"/>
        </w:rPr>
        <w:tab/>
      </w:r>
      <w:r w:rsidRPr="006D291B">
        <w:rPr>
          <w:lang w:val="fr-FR"/>
        </w:rPr>
        <w:t xml:space="preserve">Article </w:t>
      </w:r>
      <w:r w:rsidR="00E0446E" w:rsidRPr="006D291B">
        <w:rPr>
          <w:lang w:val="fr-FR"/>
        </w:rPr>
        <w:t>5</w:t>
      </w:r>
      <w:r>
        <w:rPr>
          <w:lang w:val="fr-FR"/>
        </w:rPr>
        <w:t xml:space="preserve"> </w:t>
      </w:r>
      <w:r>
        <w:rPr>
          <w:lang w:val="fr-FR"/>
        </w:rPr>
        <w:tab/>
      </w:r>
      <w:r>
        <w:rPr>
          <w:lang w:val="fr-FR"/>
        </w:rPr>
        <w:tab/>
      </w:r>
      <w:r w:rsidR="00E0446E" w:rsidRPr="006D291B">
        <w:rPr>
          <w:lang w:val="fr-FR"/>
        </w:rPr>
        <w:t xml:space="preserve">111 </w:t>
      </w:r>
      <w:r w:rsidR="00AD0DF3">
        <w:rPr>
          <w:lang w:val="fr-FR"/>
        </w:rPr>
        <w:noBreakHyphen/>
      </w:r>
      <w:r w:rsidR="00E0446E" w:rsidRPr="006D291B">
        <w:rPr>
          <w:lang w:val="fr-FR"/>
        </w:rPr>
        <w:t xml:space="preserve"> 150</w:t>
      </w:r>
      <w:r>
        <w:rPr>
          <w:lang w:val="fr-FR"/>
        </w:rPr>
        <w:tab/>
      </w:r>
      <w:r w:rsidR="00D80847">
        <w:rPr>
          <w:lang w:val="fr-FR"/>
        </w:rPr>
        <w:t>28</w:t>
      </w:r>
    </w:p>
    <w:p w:rsidR="00E0446E" w:rsidRPr="005A5EB5" w:rsidRDefault="006D291B" w:rsidP="002C4154">
      <w:pPr>
        <w:tabs>
          <w:tab w:val="right" w:pos="480"/>
          <w:tab w:val="left" w:pos="720"/>
          <w:tab w:val="left" w:pos="1134"/>
          <w:tab w:val="left" w:leader="dot" w:pos="7257"/>
          <w:tab w:val="decimal" w:pos="7852"/>
          <w:tab w:val="left" w:pos="7880"/>
          <w:tab w:val="right" w:pos="9298"/>
        </w:tabs>
        <w:adjustRightInd w:val="0"/>
        <w:snapToGrid w:val="0"/>
        <w:rPr>
          <w:lang w:val="fr-FR"/>
        </w:rPr>
      </w:pPr>
      <w:r>
        <w:rPr>
          <w:lang w:val="fr-FR"/>
        </w:rPr>
        <w:tab/>
      </w:r>
      <w:r>
        <w:rPr>
          <w:lang w:val="fr-FR"/>
        </w:rPr>
        <w:tab/>
      </w:r>
      <w:r w:rsidR="00E0446E" w:rsidRPr="005A5EB5">
        <w:rPr>
          <w:lang w:val="fr-FR"/>
        </w:rPr>
        <w:t>D.</w:t>
      </w:r>
      <w:r w:rsidRPr="005A5EB5">
        <w:rPr>
          <w:lang w:val="fr-FR"/>
        </w:rPr>
        <w:tab/>
        <w:t xml:space="preserve">Article </w:t>
      </w:r>
      <w:r w:rsidR="00E0446E" w:rsidRPr="005A5EB5">
        <w:rPr>
          <w:lang w:val="fr-FR"/>
        </w:rPr>
        <w:t>6</w:t>
      </w:r>
      <w:r w:rsidRPr="005A5EB5">
        <w:rPr>
          <w:lang w:val="fr-FR"/>
        </w:rPr>
        <w:t xml:space="preserve"> </w:t>
      </w:r>
      <w:r w:rsidRPr="005A5EB5">
        <w:rPr>
          <w:lang w:val="fr-FR"/>
        </w:rPr>
        <w:tab/>
      </w:r>
      <w:r w:rsidRPr="005A5EB5">
        <w:rPr>
          <w:lang w:val="fr-FR"/>
        </w:rPr>
        <w:tab/>
      </w:r>
      <w:r w:rsidR="00E0446E" w:rsidRPr="005A5EB5">
        <w:rPr>
          <w:lang w:val="fr-FR"/>
        </w:rPr>
        <w:t xml:space="preserve">151 </w:t>
      </w:r>
      <w:r w:rsidR="00AD0DF3" w:rsidRPr="005A5EB5">
        <w:rPr>
          <w:lang w:val="fr-FR"/>
        </w:rPr>
        <w:noBreakHyphen/>
      </w:r>
      <w:r w:rsidR="00E0446E" w:rsidRPr="005A5EB5">
        <w:rPr>
          <w:lang w:val="fr-FR"/>
        </w:rPr>
        <w:t xml:space="preserve"> 162</w:t>
      </w:r>
      <w:r w:rsidRPr="005A5EB5">
        <w:rPr>
          <w:lang w:val="fr-FR"/>
        </w:rPr>
        <w:tab/>
      </w:r>
      <w:r w:rsidR="00D80847">
        <w:rPr>
          <w:lang w:val="fr-FR"/>
        </w:rPr>
        <w:t>42</w:t>
      </w:r>
    </w:p>
    <w:p w:rsidR="00E0446E" w:rsidRPr="005A5EB5" w:rsidRDefault="006D291B" w:rsidP="002C4154">
      <w:pPr>
        <w:tabs>
          <w:tab w:val="right" w:pos="480"/>
          <w:tab w:val="left" w:pos="720"/>
          <w:tab w:val="left" w:pos="1134"/>
          <w:tab w:val="left" w:leader="dot" w:pos="7257"/>
          <w:tab w:val="decimal" w:pos="7852"/>
          <w:tab w:val="left" w:pos="7880"/>
          <w:tab w:val="right" w:pos="9298"/>
        </w:tabs>
        <w:adjustRightInd w:val="0"/>
        <w:snapToGrid w:val="0"/>
        <w:rPr>
          <w:lang w:val="fr-FR"/>
        </w:rPr>
      </w:pPr>
      <w:r w:rsidRPr="005A5EB5">
        <w:rPr>
          <w:lang w:val="fr-FR"/>
        </w:rPr>
        <w:tab/>
      </w:r>
      <w:r w:rsidRPr="005A5EB5">
        <w:rPr>
          <w:lang w:val="fr-FR"/>
        </w:rPr>
        <w:tab/>
      </w:r>
      <w:r w:rsidR="00E0446E" w:rsidRPr="005A5EB5">
        <w:rPr>
          <w:lang w:val="fr-FR"/>
        </w:rPr>
        <w:t>E.</w:t>
      </w:r>
      <w:r w:rsidRPr="005A5EB5">
        <w:rPr>
          <w:lang w:val="fr-FR"/>
        </w:rPr>
        <w:tab/>
        <w:t xml:space="preserve">Article </w:t>
      </w:r>
      <w:r w:rsidR="00E0446E" w:rsidRPr="005A5EB5">
        <w:rPr>
          <w:lang w:val="fr-FR"/>
        </w:rPr>
        <w:t>7</w:t>
      </w:r>
      <w:r w:rsidRPr="005A5EB5">
        <w:rPr>
          <w:lang w:val="fr-FR"/>
        </w:rPr>
        <w:t xml:space="preserve"> </w:t>
      </w:r>
      <w:r w:rsidRPr="005A5EB5">
        <w:rPr>
          <w:lang w:val="fr-FR"/>
        </w:rPr>
        <w:tab/>
      </w:r>
      <w:r w:rsidRPr="005A5EB5">
        <w:rPr>
          <w:lang w:val="fr-FR"/>
        </w:rPr>
        <w:tab/>
      </w:r>
      <w:r w:rsidR="00E0446E" w:rsidRPr="005A5EB5">
        <w:rPr>
          <w:lang w:val="fr-FR"/>
        </w:rPr>
        <w:t xml:space="preserve">163 </w:t>
      </w:r>
      <w:r w:rsidR="00AD0DF3" w:rsidRPr="005A5EB5">
        <w:rPr>
          <w:lang w:val="fr-FR"/>
        </w:rPr>
        <w:noBreakHyphen/>
      </w:r>
      <w:r w:rsidR="00E0446E" w:rsidRPr="005A5EB5">
        <w:rPr>
          <w:lang w:val="fr-FR"/>
        </w:rPr>
        <w:t xml:space="preserve"> 165</w:t>
      </w:r>
      <w:r w:rsidRPr="005A5EB5">
        <w:rPr>
          <w:lang w:val="fr-FR"/>
        </w:rPr>
        <w:tab/>
      </w:r>
      <w:r w:rsidR="00D80847">
        <w:rPr>
          <w:lang w:val="fr-FR"/>
        </w:rPr>
        <w:t>4</w:t>
      </w:r>
      <w:r w:rsidR="00891385">
        <w:rPr>
          <w:lang w:val="fr-FR"/>
        </w:rPr>
        <w:t>8</w:t>
      </w:r>
    </w:p>
    <w:p w:rsidR="00E0446E" w:rsidRPr="005A5EB5" w:rsidRDefault="005A5EB5" w:rsidP="00D36A2D">
      <w:pPr>
        <w:tabs>
          <w:tab w:val="right" w:pos="480"/>
          <w:tab w:val="left" w:pos="720"/>
          <w:tab w:val="left" w:pos="1134"/>
          <w:tab w:val="right" w:pos="9298"/>
        </w:tabs>
        <w:adjustRightInd w:val="0"/>
        <w:snapToGrid w:val="0"/>
        <w:rPr>
          <w:lang w:val="en-US"/>
        </w:rPr>
      </w:pPr>
      <w:r w:rsidRPr="005A5EB5">
        <w:rPr>
          <w:lang w:val="en-US"/>
        </w:rPr>
        <w:t xml:space="preserve">Annex </w:t>
      </w:r>
      <w:r>
        <w:rPr>
          <w:lang w:val="en-US"/>
        </w:rPr>
        <w:t>I</w:t>
      </w:r>
      <w:r>
        <w:rPr>
          <w:lang w:val="en-US"/>
        </w:rPr>
        <w:tab/>
      </w:r>
      <w:r w:rsidR="00E0446E" w:rsidRPr="005A5EB5">
        <w:rPr>
          <w:lang w:val="en-US"/>
        </w:rPr>
        <w:t>National Action Plan against Racism</w:t>
      </w:r>
      <w:r w:rsidR="00F535F6" w:rsidRPr="005A5EB5">
        <w:rPr>
          <w:lang w:val="en-US"/>
        </w:rPr>
        <w:t xml:space="preserve"> </w:t>
      </w:r>
    </w:p>
    <w:p w:rsidR="00F535F6" w:rsidRPr="005A5EB5" w:rsidRDefault="00F535F6" w:rsidP="00D36A2D">
      <w:pPr>
        <w:tabs>
          <w:tab w:val="right" w:pos="480"/>
          <w:tab w:val="left" w:pos="720"/>
          <w:tab w:val="left" w:pos="1134"/>
          <w:tab w:val="right" w:pos="9298"/>
        </w:tabs>
        <w:adjustRightInd w:val="0"/>
        <w:snapToGrid w:val="0"/>
        <w:rPr>
          <w:lang w:val="en-US"/>
        </w:rPr>
      </w:pPr>
      <w:r w:rsidRPr="005A5EB5">
        <w:rPr>
          <w:lang w:val="en-US"/>
        </w:rPr>
        <w:tab/>
      </w:r>
      <w:r w:rsidR="005A5EB5" w:rsidRPr="005A5EB5">
        <w:rPr>
          <w:lang w:val="en-US"/>
        </w:rPr>
        <w:t xml:space="preserve">Annex </w:t>
      </w:r>
      <w:r w:rsidR="00E0446E" w:rsidRPr="005A5EB5">
        <w:rPr>
          <w:lang w:val="en-US"/>
        </w:rPr>
        <w:t>II</w:t>
      </w:r>
      <w:r w:rsidR="005A5EB5">
        <w:rPr>
          <w:lang w:val="en-US"/>
        </w:rPr>
        <w:tab/>
      </w:r>
      <w:r w:rsidR="00E0446E" w:rsidRPr="005A5EB5">
        <w:rPr>
          <w:lang w:val="en-US"/>
        </w:rPr>
        <w:t xml:space="preserve">National Action Plan against Racism </w:t>
      </w:r>
      <w:r w:rsidR="00AD0DF3" w:rsidRPr="005A5EB5">
        <w:rPr>
          <w:lang w:val="en-US"/>
        </w:rPr>
        <w:noBreakHyphen/>
      </w:r>
      <w:r w:rsidR="00E0446E" w:rsidRPr="005A5EB5">
        <w:rPr>
          <w:lang w:val="en-US"/>
        </w:rPr>
        <w:t xml:space="preserve"> final report</w:t>
      </w:r>
      <w:r w:rsidR="00D36A2D">
        <w:rPr>
          <w:lang w:val="en-US"/>
        </w:rPr>
        <w:t xml:space="preserve"> </w:t>
      </w:r>
    </w:p>
    <w:p w:rsidR="00F535F6" w:rsidRDefault="005A5EB5" w:rsidP="00D36A2D">
      <w:pPr>
        <w:tabs>
          <w:tab w:val="right" w:pos="480"/>
          <w:tab w:val="left" w:pos="720"/>
          <w:tab w:val="left" w:pos="1134"/>
          <w:tab w:val="right" w:pos="9298"/>
        </w:tabs>
        <w:adjustRightInd w:val="0"/>
        <w:snapToGrid w:val="0"/>
        <w:rPr>
          <w:lang w:val="en-US"/>
        </w:rPr>
      </w:pPr>
      <w:r w:rsidRPr="006D291B">
        <w:rPr>
          <w:lang w:val="en-US"/>
        </w:rPr>
        <w:t xml:space="preserve">Annex </w:t>
      </w:r>
      <w:r w:rsidR="00E0446E" w:rsidRPr="006D291B">
        <w:rPr>
          <w:lang w:val="en-US"/>
        </w:rPr>
        <w:t>III</w:t>
      </w:r>
      <w:r>
        <w:rPr>
          <w:lang w:val="en-US"/>
        </w:rPr>
        <w:tab/>
      </w:r>
      <w:r w:rsidR="00E0446E" w:rsidRPr="006D291B">
        <w:rPr>
          <w:lang w:val="en-US"/>
        </w:rPr>
        <w:t xml:space="preserve">Results Conference on Joint </w:t>
      </w:r>
      <w:r w:rsidR="00E0446E" w:rsidRPr="002C4154">
        <w:rPr>
          <w:lang w:val="en-US"/>
        </w:rPr>
        <w:t>Approach to Discrimination</w:t>
      </w:r>
      <w:r w:rsidR="00D36A2D">
        <w:rPr>
          <w:lang w:val="en-US"/>
        </w:rPr>
        <w:t xml:space="preserve"> </w:t>
      </w:r>
    </w:p>
    <w:p w:rsidR="006C516C" w:rsidRDefault="005A5EB5" w:rsidP="00D36A2D">
      <w:pPr>
        <w:tabs>
          <w:tab w:val="right" w:pos="480"/>
          <w:tab w:val="left" w:pos="720"/>
          <w:tab w:val="left" w:pos="1134"/>
          <w:tab w:val="right" w:pos="9298"/>
        </w:tabs>
        <w:adjustRightInd w:val="0"/>
        <w:snapToGrid w:val="0"/>
        <w:rPr>
          <w:lang w:val="en-US"/>
        </w:rPr>
      </w:pPr>
      <w:r w:rsidRPr="002C4154">
        <w:rPr>
          <w:lang w:val="en-US"/>
        </w:rPr>
        <w:t xml:space="preserve">Annex </w:t>
      </w:r>
      <w:r w:rsidR="00E0446E" w:rsidRPr="002C4154">
        <w:rPr>
          <w:lang w:val="en-US"/>
        </w:rPr>
        <w:t>IV</w:t>
      </w:r>
      <w:r>
        <w:rPr>
          <w:lang w:val="en-US"/>
        </w:rPr>
        <w:tab/>
      </w:r>
      <w:r w:rsidR="00E0446E" w:rsidRPr="002C4154">
        <w:rPr>
          <w:lang w:val="en-US"/>
        </w:rPr>
        <w:t>Study on Equal Treatment at Work</w:t>
      </w:r>
      <w:r w:rsidR="00F535F6">
        <w:rPr>
          <w:lang w:val="en-US"/>
        </w:rPr>
        <w:t xml:space="preserve"> </w:t>
      </w:r>
    </w:p>
    <w:p w:rsidR="00E0446E" w:rsidRPr="00581181" w:rsidRDefault="006C516C" w:rsidP="00891385">
      <w:pPr>
        <w:pStyle w:val="Heading1"/>
      </w:pPr>
      <w:r>
        <w:rPr>
          <w:lang w:val="en-US"/>
        </w:rPr>
        <w:br w:type="page"/>
      </w:r>
      <w:r w:rsidR="00E0446E" w:rsidRPr="00581181">
        <w:t xml:space="preserve">I. </w:t>
      </w:r>
      <w:r w:rsidR="00581181" w:rsidRPr="00581181">
        <w:t xml:space="preserve"> Introduction</w:t>
      </w:r>
    </w:p>
    <w:p w:rsidR="00E0446E" w:rsidRPr="00581181" w:rsidRDefault="00E0446E" w:rsidP="00891385">
      <w:pPr>
        <w:autoSpaceDE w:val="0"/>
        <w:autoSpaceDN w:val="0"/>
        <w:adjustRightInd w:val="0"/>
        <w:rPr>
          <w:szCs w:val="24"/>
          <w:lang w:eastAsia="zh-CN"/>
        </w:rPr>
      </w:pPr>
      <w:r w:rsidRPr="00581181">
        <w:rPr>
          <w:szCs w:val="24"/>
          <w:lang w:eastAsia="zh-CN"/>
        </w:rPr>
        <w:t>1.</w:t>
      </w:r>
      <w:r w:rsidRPr="00581181">
        <w:rPr>
          <w:szCs w:val="24"/>
          <w:lang w:eastAsia="zh-CN"/>
        </w:rPr>
        <w:tab/>
        <w:t>In pursuance of article 9 of the International Convention on the Elimination of All Forms</w:t>
      </w:r>
      <w:r w:rsidR="00581181" w:rsidRPr="00581181">
        <w:rPr>
          <w:szCs w:val="24"/>
          <w:lang w:eastAsia="zh-CN"/>
        </w:rPr>
        <w:t xml:space="preserve"> </w:t>
      </w:r>
      <w:r w:rsidRPr="00581181">
        <w:rPr>
          <w:szCs w:val="24"/>
          <w:lang w:eastAsia="zh-CN"/>
        </w:rPr>
        <w:t xml:space="preserve">of Racial Discrimination (hereinafter </w:t>
      </w:r>
      <w:r w:rsidR="009B7745">
        <w:rPr>
          <w:szCs w:val="24"/>
          <w:lang w:eastAsia="zh-CN"/>
        </w:rPr>
        <w:t>‘</w:t>
      </w:r>
      <w:r w:rsidRPr="00581181">
        <w:rPr>
          <w:szCs w:val="24"/>
          <w:lang w:eastAsia="zh-CN"/>
        </w:rPr>
        <w:t>the Convention</w:t>
      </w:r>
      <w:r w:rsidR="009B7745">
        <w:rPr>
          <w:szCs w:val="24"/>
          <w:lang w:eastAsia="zh-CN"/>
        </w:rPr>
        <w:t>’</w:t>
      </w:r>
      <w:r w:rsidRPr="00581181">
        <w:rPr>
          <w:szCs w:val="24"/>
          <w:lang w:eastAsia="zh-CN"/>
        </w:rPr>
        <w:t>), the present report by the Netherlands is submitted in accordance with the General Guidelines adopted in 1980 by the Committee on the Elimination of Racial Discrimination, as revised at its 984th meeting, on 19 March 1993. For the principal demographic, economic and social indicators and a description of the Kingdom</w:t>
      </w:r>
      <w:r w:rsidR="009B7745">
        <w:rPr>
          <w:szCs w:val="24"/>
          <w:lang w:eastAsia="zh-CN"/>
        </w:rPr>
        <w:t>’</w:t>
      </w:r>
      <w:r w:rsidRPr="00581181">
        <w:rPr>
          <w:szCs w:val="24"/>
          <w:lang w:eastAsia="zh-CN"/>
        </w:rPr>
        <w:t>s constitutional system, see the core documents for the Kingdom of the Netherlands (HRI/CORE/1/Add.66, 67 and 68). This, the consolidated seventeenth and eighteenth report, covers the period July 2002 up to December 2006 and follows on from the consolidated fifteenth and sixteenth periodic report which was submitted to the Committee in June 2003 and covered the period up to June 2002.</w:t>
      </w:r>
    </w:p>
    <w:p w:rsidR="00E0446E" w:rsidRPr="00581181" w:rsidRDefault="00E0446E" w:rsidP="00891385">
      <w:pPr>
        <w:autoSpaceDE w:val="0"/>
        <w:autoSpaceDN w:val="0"/>
        <w:adjustRightInd w:val="0"/>
        <w:rPr>
          <w:szCs w:val="24"/>
          <w:lang w:eastAsia="zh-CN"/>
        </w:rPr>
      </w:pPr>
      <w:r w:rsidRPr="00581181">
        <w:rPr>
          <w:szCs w:val="24"/>
          <w:lang w:eastAsia="zh-CN"/>
        </w:rPr>
        <w:t>2.</w:t>
      </w:r>
      <w:r w:rsidRPr="00581181">
        <w:rPr>
          <w:szCs w:val="24"/>
          <w:lang w:eastAsia="zh-CN"/>
        </w:rPr>
        <w:tab/>
        <w:t>This report is structured around a number of responses to the concluding observations made by the Committee (CERD/C/64/CO/7) in May 2004 after examining the fifteenth and sixteenth reports. The articles regarding major developments under the period of examination are supplemented with additional information. Issues dealt with under the previous period are not mentioned again.</w:t>
      </w:r>
    </w:p>
    <w:p w:rsidR="00E0446E" w:rsidRPr="00581181" w:rsidRDefault="00E0446E" w:rsidP="00891385">
      <w:pPr>
        <w:autoSpaceDE w:val="0"/>
        <w:autoSpaceDN w:val="0"/>
        <w:adjustRightInd w:val="0"/>
        <w:rPr>
          <w:szCs w:val="24"/>
          <w:lang w:eastAsia="zh-CN"/>
        </w:rPr>
      </w:pPr>
      <w:r w:rsidRPr="00581181">
        <w:rPr>
          <w:szCs w:val="24"/>
          <w:lang w:eastAsia="zh-CN"/>
        </w:rPr>
        <w:t>3.</w:t>
      </w:r>
      <w:r w:rsidRPr="00581181">
        <w:rPr>
          <w:szCs w:val="24"/>
          <w:lang w:eastAsia="zh-CN"/>
        </w:rPr>
        <w:tab/>
        <w:t>The Kingdom of the Netherlands has three constituent parts: the European part, the Netherlands Antilles and Aruba. Each part is responsible for implementing the provisions of the Convention and reporting on implementation. This report covers the European part of the Kingdom only. The reports by the Netherlands Antilles and Aruba will be submitted at a later stage.</w:t>
      </w:r>
    </w:p>
    <w:p w:rsidR="00E0446E" w:rsidRPr="00581181" w:rsidRDefault="00E0446E" w:rsidP="00891385">
      <w:pPr>
        <w:pStyle w:val="Heading1"/>
        <w:ind w:left="1775" w:hanging="454"/>
        <w:jc w:val="left"/>
      </w:pPr>
      <w:r w:rsidRPr="00581181">
        <w:t>II.</w:t>
      </w:r>
      <w:r w:rsidR="007D1E89">
        <w:tab/>
      </w:r>
      <w:r w:rsidRPr="00581181">
        <w:t xml:space="preserve">RESPONSES TO THE CONCLUDING OBSERVATIONS </w:t>
      </w:r>
      <w:r w:rsidR="007D1E89">
        <w:br/>
      </w:r>
      <w:r w:rsidRPr="00581181">
        <w:t>OF THE COMMITTEE</w:t>
      </w:r>
    </w:p>
    <w:p w:rsidR="00E0446E" w:rsidRDefault="00E0446E" w:rsidP="00891385">
      <w:pPr>
        <w:rPr>
          <w:szCs w:val="24"/>
          <w:lang w:eastAsia="zh-CN"/>
        </w:rPr>
      </w:pPr>
      <w:r w:rsidRPr="00581181">
        <w:rPr>
          <w:iCs/>
          <w:szCs w:val="24"/>
        </w:rPr>
        <w:t>4.</w:t>
      </w:r>
      <w:r w:rsidRPr="00581181">
        <w:rPr>
          <w:iCs/>
          <w:szCs w:val="24"/>
        </w:rPr>
        <w:tab/>
        <w:t>In its concluding observations dated 10 May 2004 (</w:t>
      </w:r>
      <w:r w:rsidRPr="00581181">
        <w:rPr>
          <w:szCs w:val="24"/>
          <w:lang w:eastAsia="zh-CN"/>
        </w:rPr>
        <w:t xml:space="preserve">CERD/C/64/CO/7), the Committee expressed its concerns and gave recommendations on a number of subjects, to be dealt with under this heading. </w:t>
      </w:r>
    </w:p>
    <w:p w:rsidR="00E0446E" w:rsidRPr="00581181" w:rsidRDefault="00E0446E" w:rsidP="00891385">
      <w:pPr>
        <w:pStyle w:val="Heading2"/>
      </w:pPr>
      <w:r w:rsidRPr="00581181">
        <w:t xml:space="preserve">A. </w:t>
      </w:r>
      <w:r w:rsidR="00F46656">
        <w:t xml:space="preserve"> </w:t>
      </w:r>
      <w:r w:rsidR="00F46656" w:rsidRPr="00581181">
        <w:t xml:space="preserve">Racist and xenophobic incidents </w:t>
      </w:r>
      <w:r w:rsidRPr="00581181">
        <w:t>(concl. obs. no. 10)</w:t>
      </w:r>
    </w:p>
    <w:p w:rsidR="00E0446E" w:rsidRPr="00581181" w:rsidRDefault="00E0446E" w:rsidP="00891385">
      <w:pPr>
        <w:pStyle w:val="Heading3"/>
      </w:pPr>
      <w:r w:rsidRPr="00581181">
        <w:t>Integration policy and promotion of general awareness</w:t>
      </w:r>
    </w:p>
    <w:p w:rsidR="00E0446E" w:rsidRPr="00581181" w:rsidRDefault="00E0446E" w:rsidP="00891385">
      <w:pPr>
        <w:pStyle w:val="BodyText"/>
        <w:tabs>
          <w:tab w:val="clear" w:pos="720"/>
        </w:tabs>
        <w:spacing w:after="240" w:line="240" w:lineRule="auto"/>
        <w:rPr>
          <w:rFonts w:ascii="Times New Roman" w:hAnsi="Times New Roman" w:cs="Times New Roman"/>
          <w:bCs w:val="0"/>
          <w:sz w:val="24"/>
          <w:szCs w:val="24"/>
        </w:rPr>
      </w:pPr>
      <w:r w:rsidRPr="00581181">
        <w:rPr>
          <w:rFonts w:ascii="Times New Roman" w:hAnsi="Times New Roman" w:cs="Times New Roman"/>
          <w:sz w:val="24"/>
          <w:szCs w:val="24"/>
        </w:rPr>
        <w:t>5.</w:t>
      </w:r>
      <w:r w:rsidRPr="00581181">
        <w:rPr>
          <w:rFonts w:ascii="Times New Roman" w:hAnsi="Times New Roman" w:cs="Times New Roman"/>
          <w:sz w:val="24"/>
          <w:szCs w:val="24"/>
        </w:rPr>
        <w:tab/>
        <w:t xml:space="preserve">In the aftermath of the murder of the </w:t>
      </w:r>
      <w:r w:rsidRPr="00581181">
        <w:rPr>
          <w:rFonts w:ascii="Times New Roman" w:hAnsi="Times New Roman" w:cs="Times New Roman"/>
          <w:bCs w:val="0"/>
          <w:sz w:val="24"/>
          <w:szCs w:val="24"/>
        </w:rPr>
        <w:t xml:space="preserve">filmmaker </w:t>
      </w:r>
      <w:r w:rsidRPr="00581181">
        <w:rPr>
          <w:rFonts w:ascii="Times New Roman" w:hAnsi="Times New Roman" w:cs="Times New Roman"/>
          <w:sz w:val="24"/>
          <w:szCs w:val="24"/>
        </w:rPr>
        <w:t xml:space="preserve">Theo van Gogh on 2 November 2004, social tensions arose between the indigenous Dutch </w:t>
      </w:r>
      <w:r w:rsidRPr="00581181">
        <w:rPr>
          <w:rFonts w:ascii="Times New Roman" w:hAnsi="Times New Roman" w:cs="Times New Roman"/>
          <w:bCs w:val="0"/>
          <w:sz w:val="24"/>
          <w:szCs w:val="24"/>
        </w:rPr>
        <w:t xml:space="preserve">population </w:t>
      </w:r>
      <w:r w:rsidRPr="00581181">
        <w:rPr>
          <w:rFonts w:ascii="Times New Roman" w:hAnsi="Times New Roman" w:cs="Times New Roman"/>
          <w:sz w:val="24"/>
          <w:szCs w:val="24"/>
        </w:rPr>
        <w:t xml:space="preserve">and ethnic minority groups, resulting in a rise in racist and xenophobic incidents. Many </w:t>
      </w:r>
      <w:r w:rsidRPr="00581181">
        <w:rPr>
          <w:rFonts w:ascii="Times New Roman" w:hAnsi="Times New Roman" w:cs="Times New Roman"/>
          <w:bCs w:val="0"/>
          <w:sz w:val="24"/>
          <w:szCs w:val="24"/>
        </w:rPr>
        <w:t>policy measures have been taken to address this situation and improve mutual understanding between the groups. The measures which have proved successful include:</w:t>
      </w:r>
    </w:p>
    <w:p w:rsidR="00E0446E" w:rsidRPr="00581181" w:rsidRDefault="00E0446E" w:rsidP="00891385">
      <w:pPr>
        <w:pStyle w:val="Bullet"/>
      </w:pPr>
      <w:r w:rsidRPr="00581181">
        <w:t>Frequent consultation of the numerous representative bodies of ethnic minority groups, brought together in the National Ethnic Minorities Consultative Committee (LOM) by the Dutch Government</w:t>
      </w:r>
      <w:r w:rsidR="00C94A2E">
        <w:t xml:space="preserve"> </w:t>
      </w:r>
    </w:p>
    <w:p w:rsidR="00E0446E" w:rsidRPr="00581181" w:rsidRDefault="00891385" w:rsidP="00891385">
      <w:pPr>
        <w:pStyle w:val="Bullet"/>
        <w:widowControl w:val="0"/>
      </w:pPr>
      <w:r>
        <w:br w:type="page"/>
      </w:r>
      <w:r w:rsidR="00E0446E" w:rsidRPr="00581181">
        <w:t>Regular meetings of the Minister for Housing, Communities and Integration with two Islamic umbrella organizations. These are grouped in the Enquiries Desk for Muslims and Government (CGO) and the Islam Contact Group (CGI)</w:t>
      </w:r>
      <w:r w:rsidR="00C94A2E">
        <w:t xml:space="preserve"> </w:t>
      </w:r>
    </w:p>
    <w:p w:rsidR="00E0446E" w:rsidRPr="00581181" w:rsidRDefault="00E0446E" w:rsidP="00C94A2E">
      <w:pPr>
        <w:pStyle w:val="Bullet"/>
      </w:pPr>
      <w:r w:rsidRPr="00581181">
        <w:t>Policies to strengthen ethnic minorities</w:t>
      </w:r>
      <w:r w:rsidR="009B7745">
        <w:t>’</w:t>
      </w:r>
      <w:r w:rsidRPr="00581181">
        <w:t xml:space="preserve"> resilience</w:t>
      </w:r>
      <w:r w:rsidR="00C94A2E">
        <w:t xml:space="preserve"> </w:t>
      </w:r>
    </w:p>
    <w:p w:rsidR="00E0446E" w:rsidRPr="00581181" w:rsidRDefault="00E0446E" w:rsidP="00C94A2E">
      <w:pPr>
        <w:pStyle w:val="Bullet"/>
      </w:pPr>
      <w:r w:rsidRPr="00581181">
        <w:t>The Social Cohesion Initiative. After the murder of Van Gogh, the Dutch Government held a number of meetings with a wide range of participants, from major civil society organizations to members of the general public</w:t>
      </w:r>
      <w:r w:rsidR="00C94A2E">
        <w:t xml:space="preserve"> </w:t>
      </w:r>
    </w:p>
    <w:p w:rsidR="00E0446E" w:rsidRPr="00581181" w:rsidRDefault="00E0446E" w:rsidP="00C94A2E">
      <w:pPr>
        <w:pStyle w:val="Bullet"/>
      </w:pPr>
      <w:r w:rsidRPr="00581181">
        <w:t xml:space="preserve">The </w:t>
      </w:r>
      <w:r w:rsidR="009B7745">
        <w:t>‘</w:t>
      </w:r>
      <w:r w:rsidRPr="00581181">
        <w:t>&amp; Campaign</w:t>
      </w:r>
      <w:r w:rsidR="009B7745">
        <w:t>’</w:t>
      </w:r>
      <w:r w:rsidRPr="00581181">
        <w:t>. Launched by the former Minister for Immigration and Integration, it highlights positive examples of interaction between the indigenous population and minority groups in the media, to make the two groups more favourably disposed towards each other</w:t>
      </w:r>
      <w:r w:rsidR="00C94A2E">
        <w:t xml:space="preserve"> </w:t>
      </w:r>
    </w:p>
    <w:p w:rsidR="00E0446E" w:rsidRPr="00581181" w:rsidRDefault="00E0446E" w:rsidP="00C94A2E">
      <w:pPr>
        <w:pStyle w:val="Bullet"/>
      </w:pPr>
      <w:r w:rsidRPr="00581181">
        <w:t>Two anti</w:t>
      </w:r>
      <w:r w:rsidR="00AD0DF3" w:rsidRPr="00581181">
        <w:noBreakHyphen/>
      </w:r>
      <w:r w:rsidRPr="00581181">
        <w:t xml:space="preserve">discrimination campaigns (Discrimination? Call now!) and </w:t>
      </w:r>
      <w:r w:rsidRPr="00581181">
        <w:rPr>
          <w:rStyle w:val="tekst0"/>
          <w:rFonts w:ascii="Times New Roman" w:hAnsi="Times New Roman"/>
          <w:szCs w:val="24"/>
        </w:rPr>
        <w:t>(Discrimination? Not against me!)</w:t>
      </w:r>
      <w:r w:rsidRPr="00581181">
        <w:t>, intended to raise awareness of the right to equal treatment and of discrimination in general. See articl</w:t>
      </w:r>
      <w:r w:rsidR="001007B3">
        <w:t>e 5 for more on these campaigns</w:t>
      </w:r>
    </w:p>
    <w:p w:rsidR="00E0446E" w:rsidRPr="00581181" w:rsidRDefault="00E0446E" w:rsidP="00030277">
      <w:pPr>
        <w:pStyle w:val="BodyText"/>
        <w:tabs>
          <w:tab w:val="clear" w:pos="720"/>
        </w:tabs>
        <w:spacing w:after="240" w:line="240" w:lineRule="auto"/>
        <w:rPr>
          <w:rFonts w:ascii="Times New Roman" w:hAnsi="Times New Roman" w:cs="Times New Roman"/>
          <w:sz w:val="24"/>
          <w:szCs w:val="24"/>
        </w:rPr>
      </w:pPr>
      <w:r w:rsidRPr="00581181">
        <w:rPr>
          <w:rFonts w:ascii="Times New Roman" w:hAnsi="Times New Roman" w:cs="Times New Roman"/>
          <w:sz w:val="24"/>
          <w:szCs w:val="24"/>
        </w:rPr>
        <w:t>These measures have been successful, as the number of incidents declined significantly in 2005 and 2006.</w:t>
      </w:r>
    </w:p>
    <w:p w:rsidR="00E0446E" w:rsidRPr="00581181" w:rsidRDefault="00E0446E" w:rsidP="00030277">
      <w:pPr>
        <w:pStyle w:val="BodyText"/>
        <w:tabs>
          <w:tab w:val="clear" w:pos="720"/>
        </w:tabs>
        <w:spacing w:after="240" w:line="240" w:lineRule="auto"/>
        <w:rPr>
          <w:rFonts w:ascii="Times New Roman" w:hAnsi="Times New Roman" w:cs="Times New Roman"/>
          <w:sz w:val="24"/>
          <w:szCs w:val="24"/>
        </w:rPr>
      </w:pPr>
      <w:r w:rsidRPr="00581181">
        <w:rPr>
          <w:rFonts w:ascii="Times New Roman" w:hAnsi="Times New Roman" w:cs="Times New Roman"/>
          <w:sz w:val="24"/>
          <w:szCs w:val="24"/>
        </w:rPr>
        <w:t>6.</w:t>
      </w:r>
      <w:r w:rsidRPr="00581181">
        <w:rPr>
          <w:rFonts w:ascii="Times New Roman" w:hAnsi="Times New Roman" w:cs="Times New Roman"/>
          <w:sz w:val="24"/>
          <w:szCs w:val="24"/>
        </w:rPr>
        <w:tab/>
        <w:t>The Dutch Government believes that a national network of easily accessible and professional Anti</w:t>
      </w:r>
      <w:r w:rsidR="00AD0DF3" w:rsidRPr="00581181">
        <w:rPr>
          <w:rFonts w:ascii="Times New Roman" w:hAnsi="Times New Roman" w:cs="Times New Roman"/>
          <w:sz w:val="24"/>
          <w:szCs w:val="24"/>
        </w:rPr>
        <w:noBreakHyphen/>
      </w:r>
      <w:r w:rsidRPr="00581181">
        <w:rPr>
          <w:rFonts w:ascii="Times New Roman" w:hAnsi="Times New Roman" w:cs="Times New Roman"/>
          <w:sz w:val="24"/>
          <w:szCs w:val="24"/>
        </w:rPr>
        <w:t>discrimination Bureaus (ADBs) is necessary to combat discrimination properly and has therefore taken a number of measures in recent years. These include draft legislation, due to enter into force on 1 January 2009, which will make central and local government jointly responsible for anti</w:t>
      </w:r>
      <w:r w:rsidR="00AD0DF3" w:rsidRPr="00581181">
        <w:rPr>
          <w:rFonts w:ascii="Times New Roman" w:hAnsi="Times New Roman" w:cs="Times New Roman"/>
          <w:sz w:val="24"/>
          <w:szCs w:val="24"/>
        </w:rPr>
        <w:noBreakHyphen/>
      </w:r>
      <w:r w:rsidRPr="00581181">
        <w:rPr>
          <w:rFonts w:ascii="Times New Roman" w:hAnsi="Times New Roman" w:cs="Times New Roman"/>
          <w:sz w:val="24"/>
          <w:szCs w:val="24"/>
        </w:rPr>
        <w:t>discrimination efforts and will oblige all local authorities to provide readily accessible anti</w:t>
      </w:r>
      <w:r w:rsidR="00AD0DF3" w:rsidRPr="00581181">
        <w:rPr>
          <w:rFonts w:ascii="Times New Roman" w:hAnsi="Times New Roman" w:cs="Times New Roman"/>
          <w:sz w:val="24"/>
          <w:szCs w:val="24"/>
        </w:rPr>
        <w:noBreakHyphen/>
      </w:r>
      <w:r w:rsidRPr="00581181">
        <w:rPr>
          <w:rFonts w:ascii="Times New Roman" w:hAnsi="Times New Roman" w:cs="Times New Roman"/>
          <w:sz w:val="24"/>
          <w:szCs w:val="24"/>
        </w:rPr>
        <w:t xml:space="preserve">discrimination services for local residents. They will receive central funding for this purpose. See also below under </w:t>
      </w:r>
      <w:r w:rsidR="009B7745">
        <w:rPr>
          <w:rFonts w:ascii="Times New Roman" w:hAnsi="Times New Roman" w:cs="Times New Roman"/>
          <w:sz w:val="24"/>
          <w:szCs w:val="24"/>
        </w:rPr>
        <w:t>‘</w:t>
      </w:r>
      <w:r w:rsidRPr="00581181">
        <w:rPr>
          <w:rFonts w:ascii="Times New Roman" w:hAnsi="Times New Roman" w:cs="Times New Roman"/>
          <w:sz w:val="24"/>
          <w:szCs w:val="24"/>
        </w:rPr>
        <w:t>Infrastructure Anti</w:t>
      </w:r>
      <w:r w:rsidR="00AD0DF3" w:rsidRPr="00581181">
        <w:rPr>
          <w:rFonts w:ascii="Times New Roman" w:hAnsi="Times New Roman" w:cs="Times New Roman"/>
          <w:sz w:val="24"/>
          <w:szCs w:val="24"/>
        </w:rPr>
        <w:noBreakHyphen/>
      </w:r>
      <w:r w:rsidRPr="00581181">
        <w:rPr>
          <w:rFonts w:ascii="Times New Roman" w:hAnsi="Times New Roman" w:cs="Times New Roman"/>
          <w:sz w:val="24"/>
          <w:szCs w:val="24"/>
        </w:rPr>
        <w:t>discrimination Bureaus</w:t>
      </w:r>
      <w:r w:rsidR="009B7745">
        <w:rPr>
          <w:rFonts w:ascii="Times New Roman" w:hAnsi="Times New Roman" w:cs="Times New Roman"/>
          <w:sz w:val="24"/>
          <w:szCs w:val="24"/>
        </w:rPr>
        <w:t>’</w:t>
      </w:r>
      <w:r w:rsidRPr="00581181">
        <w:rPr>
          <w:rFonts w:ascii="Times New Roman" w:hAnsi="Times New Roman" w:cs="Times New Roman"/>
          <w:sz w:val="24"/>
          <w:szCs w:val="24"/>
        </w:rPr>
        <w:t>.</w:t>
      </w:r>
      <w:r w:rsidR="00DF4D67">
        <w:rPr>
          <w:rFonts w:ascii="Times New Roman" w:hAnsi="Times New Roman" w:cs="Times New Roman"/>
          <w:i/>
          <w:iCs/>
          <w:sz w:val="24"/>
          <w:szCs w:val="24"/>
        </w:rPr>
        <w:t xml:space="preserve"> </w:t>
      </w:r>
    </w:p>
    <w:p w:rsidR="00E0446E" w:rsidRPr="00581181" w:rsidRDefault="00E0446E" w:rsidP="009935DE">
      <w:pPr>
        <w:pStyle w:val="Heading3"/>
      </w:pPr>
      <w:r w:rsidRPr="00581181">
        <w:t>Monitoring and combating racism</w:t>
      </w:r>
    </w:p>
    <w:p w:rsidR="009935DE" w:rsidRDefault="00E0446E" w:rsidP="00412491">
      <w:r w:rsidRPr="00581181">
        <w:t>7.</w:t>
      </w:r>
      <w:r w:rsidRPr="00581181">
        <w:tab/>
        <w:t xml:space="preserve">The Dutch Government believes that in order to combat racism and discrimination, it is necessary to have a good understanding of the issue. A proper national registration and monitoring system is essential. Rapid progress is being made in this area. </w:t>
      </w:r>
    </w:p>
    <w:p w:rsidR="00E0446E" w:rsidRDefault="00E0446E" w:rsidP="00412491">
      <w:r w:rsidRPr="00581181">
        <w:t>8.</w:t>
      </w:r>
      <w:r w:rsidRPr="00581181">
        <w:tab/>
        <w:t xml:space="preserve">Various monitors are published, giving insight into the scale and nature of discrimination. The Dutch Equal Treatment Commission (CGB) produces an annual publication entitled </w:t>
      </w:r>
      <w:r w:rsidR="009B7745">
        <w:t>‘</w:t>
      </w:r>
      <w:r w:rsidRPr="00581181">
        <w:t>Equal treatment: opinions and comments. The Racial Discrimination Monitor, which appears every few years, will be published again in 2009 by order of the Minister for Housing, Communities and Integration. The first edition was published in 2006, and incorporated the first representative Dutch survey of experiences of discrimination. A supplementary publication, dealing with discrimination in the labour market, is being prepared at the request of the Ministry of Social Affairs. The Anne Frank Foundation works with the University of Leiden to produce a national Monitor on Racism and Extremism.</w:t>
      </w:r>
      <w:r w:rsidR="00DF4D67">
        <w:t xml:space="preserve"> </w:t>
      </w:r>
    </w:p>
    <w:p w:rsidR="00E0446E" w:rsidRDefault="00891385" w:rsidP="00030277">
      <w:pPr>
        <w:rPr>
          <w:szCs w:val="24"/>
        </w:rPr>
      </w:pPr>
      <w:r>
        <w:rPr>
          <w:szCs w:val="24"/>
        </w:rPr>
        <w:br w:type="page"/>
      </w:r>
      <w:r w:rsidR="00E0446E" w:rsidRPr="00581181">
        <w:rPr>
          <w:szCs w:val="24"/>
        </w:rPr>
        <w:t>9.</w:t>
      </w:r>
      <w:r w:rsidR="00E0446E" w:rsidRPr="00581181">
        <w:rPr>
          <w:szCs w:val="24"/>
        </w:rPr>
        <w:tab/>
        <w:t>As stated above, efforts are being made to establish a national network of anti</w:t>
      </w:r>
      <w:r w:rsidR="00AD0DF3" w:rsidRPr="00581181">
        <w:rPr>
          <w:szCs w:val="24"/>
        </w:rPr>
        <w:noBreakHyphen/>
      </w:r>
      <w:r w:rsidR="00E0446E" w:rsidRPr="00581181">
        <w:rPr>
          <w:szCs w:val="24"/>
        </w:rPr>
        <w:t>discrimination services whose most important task will be to register complaints. Art. 1, the</w:t>
      </w:r>
      <w:r w:rsidR="0058564C">
        <w:rPr>
          <w:szCs w:val="24"/>
        </w:rPr>
        <w:t> </w:t>
      </w:r>
      <w:r w:rsidR="00E0446E" w:rsidRPr="00581181">
        <w:rPr>
          <w:szCs w:val="24"/>
        </w:rPr>
        <w:t>national anti</w:t>
      </w:r>
      <w:r w:rsidR="00AD0DF3" w:rsidRPr="00581181">
        <w:rPr>
          <w:szCs w:val="24"/>
        </w:rPr>
        <w:noBreakHyphen/>
      </w:r>
      <w:r w:rsidR="00E0446E" w:rsidRPr="00581181">
        <w:rPr>
          <w:szCs w:val="24"/>
        </w:rPr>
        <w:t>discrimination organization, registers complaints submitted to local anti</w:t>
      </w:r>
      <w:r w:rsidR="00AD0DF3" w:rsidRPr="00581181">
        <w:rPr>
          <w:szCs w:val="24"/>
        </w:rPr>
        <w:noBreakHyphen/>
      </w:r>
      <w:r w:rsidR="00E0446E" w:rsidRPr="00581181">
        <w:rPr>
          <w:szCs w:val="24"/>
        </w:rPr>
        <w:t>discrimination bureaus and publishes an annual report. The National Bureau is currently trying to improve the registration of complaints in order to obtain a better picture of the scale of discrimination and to produce more efficient, reliable and comparable data. The police are also working to improve registration, particularly of offences with a discriminatory component. A particularly important goal in this regard is the creation of comparable records. Legislation establishing anti</w:t>
      </w:r>
      <w:r w:rsidR="00AD0DF3" w:rsidRPr="00581181">
        <w:rPr>
          <w:szCs w:val="24"/>
        </w:rPr>
        <w:noBreakHyphen/>
      </w:r>
      <w:r w:rsidR="00E0446E" w:rsidRPr="00581181">
        <w:rPr>
          <w:szCs w:val="24"/>
        </w:rPr>
        <w:t xml:space="preserve">discrimination services is focused on improving registration and on increasing insight into the scale of discrimination, at both local and national level, with an eye to international obligations. </w:t>
      </w:r>
    </w:p>
    <w:p w:rsidR="00E0446E" w:rsidRPr="003C2AFB" w:rsidRDefault="00E0446E" w:rsidP="003C2AFB">
      <w:pPr>
        <w:pStyle w:val="Heading2"/>
      </w:pPr>
      <w:r w:rsidRPr="003C2AFB">
        <w:t xml:space="preserve">B. </w:t>
      </w:r>
      <w:r w:rsidR="003C2AFB">
        <w:t xml:space="preserve"> </w:t>
      </w:r>
      <w:r w:rsidR="003C2AFB" w:rsidRPr="003C2AFB">
        <w:t xml:space="preserve">Discrimination on the </w:t>
      </w:r>
      <w:r w:rsidR="00B64FE5" w:rsidRPr="003C2AFB">
        <w:t xml:space="preserve">Internet </w:t>
      </w:r>
      <w:r w:rsidRPr="003C2AFB">
        <w:t>(concl. obs. no. 11)</w:t>
      </w:r>
    </w:p>
    <w:p w:rsidR="00E0446E" w:rsidRDefault="00E0446E" w:rsidP="00030277">
      <w:pPr>
        <w:pStyle w:val="StandaardArial"/>
        <w:spacing w:after="240"/>
        <w:rPr>
          <w:rFonts w:ascii="Times New Roman" w:hAnsi="Times New Roman" w:cs="Times New Roman"/>
          <w:sz w:val="24"/>
          <w:szCs w:val="24"/>
        </w:rPr>
      </w:pPr>
      <w:r w:rsidRPr="00581181">
        <w:rPr>
          <w:rFonts w:ascii="Times New Roman" w:hAnsi="Times New Roman" w:cs="Times New Roman"/>
          <w:sz w:val="24"/>
          <w:szCs w:val="24"/>
        </w:rPr>
        <w:t>10.</w:t>
      </w:r>
      <w:r w:rsidRPr="00581181">
        <w:rPr>
          <w:rFonts w:ascii="Times New Roman" w:hAnsi="Times New Roman" w:cs="Times New Roman"/>
          <w:sz w:val="24"/>
          <w:szCs w:val="24"/>
        </w:rPr>
        <w:tab/>
        <w:t>The Dutch Government shares the Committee</w:t>
      </w:r>
      <w:r w:rsidR="009B7745">
        <w:rPr>
          <w:rFonts w:ascii="Times New Roman" w:hAnsi="Times New Roman" w:cs="Times New Roman"/>
          <w:sz w:val="24"/>
          <w:szCs w:val="24"/>
        </w:rPr>
        <w:t>’</w:t>
      </w:r>
      <w:r w:rsidRPr="00581181">
        <w:rPr>
          <w:rFonts w:ascii="Times New Roman" w:hAnsi="Times New Roman" w:cs="Times New Roman"/>
          <w:sz w:val="24"/>
          <w:szCs w:val="24"/>
        </w:rPr>
        <w:t>s concern about the dissemination of racial and discriminatory material via the Internet. The large number of complaints submitted to the Dutch Internet Discrimination Hotline</w:t>
      </w:r>
      <w:r w:rsidRPr="00581181">
        <w:rPr>
          <w:rFonts w:ascii="Times New Roman" w:hAnsi="Times New Roman" w:cs="Times New Roman"/>
          <w:b/>
          <w:sz w:val="24"/>
          <w:szCs w:val="24"/>
        </w:rPr>
        <w:t xml:space="preserve"> </w:t>
      </w:r>
      <w:r w:rsidRPr="00581181">
        <w:rPr>
          <w:rFonts w:ascii="Times New Roman" w:hAnsi="Times New Roman" w:cs="Times New Roman"/>
          <w:sz w:val="24"/>
          <w:szCs w:val="24"/>
        </w:rPr>
        <w:t>(MDI) can in part be attributed to the general rise in Internet usage and awareness of the MDI</w:t>
      </w:r>
      <w:r w:rsidR="009B7745">
        <w:rPr>
          <w:rFonts w:ascii="Times New Roman" w:hAnsi="Times New Roman" w:cs="Times New Roman"/>
          <w:sz w:val="24"/>
          <w:szCs w:val="24"/>
        </w:rPr>
        <w:t>’</w:t>
      </w:r>
      <w:r w:rsidRPr="00581181">
        <w:rPr>
          <w:rFonts w:ascii="Times New Roman" w:hAnsi="Times New Roman" w:cs="Times New Roman"/>
          <w:sz w:val="24"/>
          <w:szCs w:val="24"/>
        </w:rPr>
        <w:t xml:space="preserve">s existence, and in part to the fact that as a relatively anonymous medium the Internet provides a forum for many racists and racist groups. </w:t>
      </w:r>
    </w:p>
    <w:p w:rsidR="003C2AFB" w:rsidRDefault="00E0446E" w:rsidP="00030277">
      <w:pPr>
        <w:pStyle w:val="StandaardArial"/>
        <w:spacing w:after="240"/>
        <w:rPr>
          <w:rFonts w:ascii="Times New Roman" w:hAnsi="Times New Roman" w:cs="Times New Roman"/>
          <w:sz w:val="24"/>
          <w:szCs w:val="24"/>
        </w:rPr>
      </w:pPr>
      <w:r w:rsidRPr="00581181">
        <w:rPr>
          <w:rFonts w:ascii="Times New Roman" w:hAnsi="Times New Roman" w:cs="Times New Roman"/>
          <w:sz w:val="24"/>
          <w:szCs w:val="24"/>
        </w:rPr>
        <w:t>11.</w:t>
      </w:r>
      <w:r w:rsidRPr="00581181">
        <w:rPr>
          <w:rFonts w:ascii="Times New Roman" w:hAnsi="Times New Roman" w:cs="Times New Roman"/>
          <w:sz w:val="24"/>
          <w:szCs w:val="24"/>
        </w:rPr>
        <w:tab/>
        <w:t>The period shortly after Van Gogh</w:t>
      </w:r>
      <w:r w:rsidR="009B7745">
        <w:rPr>
          <w:rFonts w:ascii="Times New Roman" w:hAnsi="Times New Roman" w:cs="Times New Roman"/>
          <w:sz w:val="24"/>
          <w:szCs w:val="24"/>
        </w:rPr>
        <w:t>’</w:t>
      </w:r>
      <w:r w:rsidRPr="00581181">
        <w:rPr>
          <w:rFonts w:ascii="Times New Roman" w:hAnsi="Times New Roman" w:cs="Times New Roman"/>
          <w:sz w:val="24"/>
          <w:szCs w:val="24"/>
        </w:rPr>
        <w:t xml:space="preserve">s murder in November 2004 saw a wave of hate utterances on the Internet. These were posted both by those who felt that the rise of Islam should be halted, and those who expressed joy at the murder and were glad that the jihad in the Netherlands had begun. </w:t>
      </w:r>
    </w:p>
    <w:p w:rsidR="00E0446E" w:rsidRPr="00581181" w:rsidRDefault="00E0446E" w:rsidP="00030277">
      <w:pPr>
        <w:pStyle w:val="StandaardArial"/>
        <w:spacing w:after="240"/>
        <w:rPr>
          <w:rFonts w:ascii="Times New Roman" w:hAnsi="Times New Roman" w:cs="Times New Roman"/>
          <w:sz w:val="24"/>
          <w:szCs w:val="24"/>
        </w:rPr>
      </w:pPr>
      <w:r w:rsidRPr="00581181">
        <w:rPr>
          <w:rFonts w:ascii="Times New Roman" w:hAnsi="Times New Roman" w:cs="Times New Roman"/>
          <w:sz w:val="24"/>
          <w:szCs w:val="24"/>
        </w:rPr>
        <w:t>12.</w:t>
      </w:r>
      <w:r w:rsidRPr="00581181">
        <w:rPr>
          <w:rFonts w:ascii="Times New Roman" w:hAnsi="Times New Roman" w:cs="Times New Roman"/>
          <w:sz w:val="24"/>
          <w:szCs w:val="24"/>
        </w:rPr>
        <w:tab/>
        <w:t>The MDI</w:t>
      </w:r>
      <w:r w:rsidR="009B7745">
        <w:rPr>
          <w:rFonts w:ascii="Times New Roman" w:hAnsi="Times New Roman" w:cs="Times New Roman"/>
          <w:sz w:val="24"/>
          <w:szCs w:val="24"/>
        </w:rPr>
        <w:t>’</w:t>
      </w:r>
      <w:r w:rsidRPr="00581181">
        <w:rPr>
          <w:rFonts w:ascii="Times New Roman" w:hAnsi="Times New Roman" w:cs="Times New Roman"/>
          <w:sz w:val="24"/>
          <w:szCs w:val="24"/>
        </w:rPr>
        <w:t>s annual report for 2005 registered 1289 postings expressing discrimination. Much of the discriminatory material reported to the MDI was posted on interactive websites like web fora and weblogs, most of them in Dutch. The exact number of racist websites and news groups is unknown.</w:t>
      </w:r>
    </w:p>
    <w:p w:rsidR="00EC2B8C" w:rsidRDefault="00E0446E" w:rsidP="00030277">
      <w:pPr>
        <w:pStyle w:val="StandaardArial"/>
        <w:spacing w:after="240"/>
        <w:rPr>
          <w:rFonts w:ascii="Times New Roman" w:hAnsi="Times New Roman" w:cs="Times New Roman"/>
          <w:sz w:val="24"/>
          <w:szCs w:val="24"/>
        </w:rPr>
      </w:pPr>
      <w:r w:rsidRPr="00581181">
        <w:rPr>
          <w:rFonts w:ascii="Times New Roman" w:hAnsi="Times New Roman" w:cs="Times New Roman"/>
          <w:sz w:val="24"/>
          <w:szCs w:val="24"/>
        </w:rPr>
        <w:t>13.</w:t>
      </w:r>
      <w:r w:rsidRPr="00581181">
        <w:rPr>
          <w:rFonts w:ascii="Times New Roman" w:hAnsi="Times New Roman" w:cs="Times New Roman"/>
          <w:sz w:val="24"/>
          <w:szCs w:val="24"/>
        </w:rPr>
        <w:tab/>
        <w:t>With regard to the groups targeted, there was a notable rise in utterances directed against Muslims, and for the first time in the MDI</w:t>
      </w:r>
      <w:r w:rsidR="009B7745">
        <w:rPr>
          <w:rFonts w:ascii="Times New Roman" w:hAnsi="Times New Roman" w:cs="Times New Roman"/>
          <w:sz w:val="24"/>
          <w:szCs w:val="24"/>
        </w:rPr>
        <w:t>’</w:t>
      </w:r>
      <w:r w:rsidRPr="00581181">
        <w:rPr>
          <w:rFonts w:ascii="Times New Roman" w:hAnsi="Times New Roman" w:cs="Times New Roman"/>
          <w:sz w:val="24"/>
          <w:szCs w:val="24"/>
        </w:rPr>
        <w:t xml:space="preserve">s history, Muslims became the most hated category (371 utterances). But there was also an increase in the number of expressions of hatred involving general terms like </w:t>
      </w:r>
      <w:r w:rsidR="009B7745">
        <w:rPr>
          <w:rFonts w:ascii="Times New Roman" w:hAnsi="Times New Roman" w:cs="Times New Roman"/>
          <w:sz w:val="24"/>
          <w:szCs w:val="24"/>
        </w:rPr>
        <w:t>‘</w:t>
      </w:r>
      <w:r w:rsidRPr="00581181">
        <w:rPr>
          <w:rFonts w:ascii="Times New Roman" w:hAnsi="Times New Roman" w:cs="Times New Roman"/>
          <w:sz w:val="24"/>
          <w:szCs w:val="24"/>
        </w:rPr>
        <w:t>foreigner</w:t>
      </w:r>
      <w:r w:rsidR="009B7745">
        <w:rPr>
          <w:rFonts w:ascii="Times New Roman" w:hAnsi="Times New Roman" w:cs="Times New Roman"/>
          <w:sz w:val="24"/>
          <w:szCs w:val="24"/>
        </w:rPr>
        <w:t>’</w:t>
      </w:r>
      <w:r w:rsidRPr="00581181">
        <w:rPr>
          <w:rFonts w:ascii="Times New Roman" w:hAnsi="Times New Roman" w:cs="Times New Roman"/>
          <w:sz w:val="24"/>
          <w:szCs w:val="24"/>
        </w:rPr>
        <w:t xml:space="preserve"> and </w:t>
      </w:r>
      <w:r w:rsidR="009B7745">
        <w:rPr>
          <w:rFonts w:ascii="Times New Roman" w:hAnsi="Times New Roman" w:cs="Times New Roman"/>
          <w:sz w:val="24"/>
          <w:szCs w:val="24"/>
        </w:rPr>
        <w:t>‘</w:t>
      </w:r>
      <w:r w:rsidRPr="00581181">
        <w:rPr>
          <w:rFonts w:ascii="Times New Roman" w:hAnsi="Times New Roman" w:cs="Times New Roman"/>
          <w:sz w:val="24"/>
          <w:szCs w:val="24"/>
        </w:rPr>
        <w:t>immigrant</w:t>
      </w:r>
      <w:r w:rsidR="009B7745">
        <w:rPr>
          <w:rFonts w:ascii="Times New Roman" w:hAnsi="Times New Roman" w:cs="Times New Roman"/>
          <w:sz w:val="24"/>
          <w:szCs w:val="24"/>
        </w:rPr>
        <w:t>’</w:t>
      </w:r>
      <w:r w:rsidRPr="00581181">
        <w:rPr>
          <w:rFonts w:ascii="Times New Roman" w:hAnsi="Times New Roman" w:cs="Times New Roman"/>
          <w:sz w:val="24"/>
          <w:szCs w:val="24"/>
        </w:rPr>
        <w:t xml:space="preserve"> and in anti</w:t>
      </w:r>
      <w:r w:rsidR="00AD0DF3" w:rsidRPr="00581181">
        <w:rPr>
          <w:rFonts w:ascii="Times New Roman" w:hAnsi="Times New Roman" w:cs="Times New Roman"/>
          <w:sz w:val="24"/>
          <w:szCs w:val="24"/>
        </w:rPr>
        <w:noBreakHyphen/>
      </w:r>
      <w:r w:rsidRPr="00581181">
        <w:rPr>
          <w:rFonts w:ascii="Times New Roman" w:hAnsi="Times New Roman" w:cs="Times New Roman"/>
          <w:sz w:val="24"/>
          <w:szCs w:val="24"/>
        </w:rPr>
        <w:t>African (175) and anti</w:t>
      </w:r>
      <w:r w:rsidR="00AD0DF3" w:rsidRPr="00581181">
        <w:rPr>
          <w:rFonts w:ascii="Times New Roman" w:hAnsi="Times New Roman" w:cs="Times New Roman"/>
          <w:sz w:val="24"/>
          <w:szCs w:val="24"/>
        </w:rPr>
        <w:noBreakHyphen/>
      </w:r>
      <w:r w:rsidRPr="00581181">
        <w:rPr>
          <w:rFonts w:ascii="Times New Roman" w:hAnsi="Times New Roman" w:cs="Times New Roman"/>
          <w:sz w:val="24"/>
          <w:szCs w:val="24"/>
        </w:rPr>
        <w:t>Moroccan postings (186). There was a slight rise in the number of discriminatory utterances against Turks. At the same time, 2005 saw a drop in the number of anti</w:t>
      </w:r>
      <w:r w:rsidR="00AD0DF3" w:rsidRPr="00581181">
        <w:rPr>
          <w:rFonts w:ascii="Times New Roman" w:hAnsi="Times New Roman" w:cs="Times New Roman"/>
          <w:sz w:val="24"/>
          <w:szCs w:val="24"/>
        </w:rPr>
        <w:noBreakHyphen/>
      </w:r>
      <w:r w:rsidRPr="00581181">
        <w:rPr>
          <w:rFonts w:ascii="Times New Roman" w:hAnsi="Times New Roman" w:cs="Times New Roman"/>
          <w:sz w:val="24"/>
          <w:szCs w:val="24"/>
        </w:rPr>
        <w:t xml:space="preserve">Semitic utterances (302) and, to a lesser extent, in discriminatory postings about the ethnic Dutch (38). </w:t>
      </w:r>
    </w:p>
    <w:p w:rsidR="00EC2B8C" w:rsidRDefault="00E0446E" w:rsidP="00030277">
      <w:pPr>
        <w:pStyle w:val="StandaardArial"/>
        <w:spacing w:after="240"/>
        <w:rPr>
          <w:rFonts w:ascii="Times New Roman" w:hAnsi="Times New Roman" w:cs="Times New Roman"/>
          <w:sz w:val="24"/>
          <w:szCs w:val="24"/>
        </w:rPr>
      </w:pPr>
      <w:r w:rsidRPr="00581181">
        <w:rPr>
          <w:rFonts w:ascii="Times New Roman" w:hAnsi="Times New Roman" w:cs="Times New Roman"/>
          <w:sz w:val="24"/>
          <w:szCs w:val="24"/>
        </w:rPr>
        <w:t>14.</w:t>
      </w:r>
      <w:r w:rsidRPr="00581181">
        <w:rPr>
          <w:rFonts w:ascii="Times New Roman" w:hAnsi="Times New Roman" w:cs="Times New Roman"/>
          <w:sz w:val="24"/>
          <w:szCs w:val="24"/>
        </w:rPr>
        <w:tab/>
        <w:t>In 2005, the percentage of offensive postings which were removed in response to requests for removal by the MDI is 96. This high percentage and the fact that site managers removed a great deal of offensive material before it was noticed by the MDI (14% of the total) indicate a high level of commitment to keep websites free of discriminatory material. In 2005 the MDI reported seven cases to the police.</w:t>
      </w:r>
    </w:p>
    <w:p w:rsidR="00EC2B8C" w:rsidRDefault="00E0446E" w:rsidP="00030277">
      <w:pPr>
        <w:pStyle w:val="StandaardArial"/>
        <w:spacing w:after="240"/>
        <w:rPr>
          <w:rFonts w:ascii="Times New Roman" w:hAnsi="Times New Roman" w:cs="Times New Roman"/>
          <w:sz w:val="24"/>
          <w:szCs w:val="24"/>
        </w:rPr>
      </w:pPr>
      <w:r w:rsidRPr="00581181">
        <w:rPr>
          <w:rFonts w:ascii="Times New Roman" w:hAnsi="Times New Roman" w:cs="Times New Roman"/>
          <w:sz w:val="24"/>
          <w:szCs w:val="24"/>
        </w:rPr>
        <w:t>15.</w:t>
      </w:r>
      <w:r w:rsidRPr="00581181">
        <w:rPr>
          <w:rFonts w:ascii="Times New Roman" w:hAnsi="Times New Roman" w:cs="Times New Roman"/>
          <w:sz w:val="24"/>
          <w:szCs w:val="24"/>
        </w:rPr>
        <w:tab/>
        <w:t>Following consultations between the MDI, the Public Prosecution Service</w:t>
      </w:r>
      <w:r w:rsidR="009B7745">
        <w:rPr>
          <w:rFonts w:ascii="Times New Roman" w:hAnsi="Times New Roman" w:cs="Times New Roman"/>
          <w:sz w:val="24"/>
          <w:szCs w:val="24"/>
        </w:rPr>
        <w:t>’</w:t>
      </w:r>
      <w:r w:rsidRPr="00581181">
        <w:rPr>
          <w:rFonts w:ascii="Times New Roman" w:hAnsi="Times New Roman" w:cs="Times New Roman"/>
          <w:sz w:val="24"/>
          <w:szCs w:val="24"/>
        </w:rPr>
        <w:t>s National Discrimination Expertise Centre (OM</w:t>
      </w:r>
      <w:r w:rsidR="00AD0DF3" w:rsidRPr="00581181">
        <w:rPr>
          <w:rFonts w:ascii="Times New Roman" w:hAnsi="Times New Roman" w:cs="Times New Roman"/>
          <w:sz w:val="24"/>
          <w:szCs w:val="24"/>
        </w:rPr>
        <w:noBreakHyphen/>
      </w:r>
      <w:r w:rsidRPr="00581181">
        <w:rPr>
          <w:rFonts w:ascii="Times New Roman" w:hAnsi="Times New Roman" w:cs="Times New Roman"/>
          <w:sz w:val="24"/>
          <w:szCs w:val="24"/>
        </w:rPr>
        <w:t>LECD) and the police</w:t>
      </w:r>
      <w:r w:rsidR="009B7745">
        <w:rPr>
          <w:rFonts w:ascii="Times New Roman" w:hAnsi="Times New Roman" w:cs="Times New Roman"/>
          <w:sz w:val="24"/>
          <w:szCs w:val="24"/>
        </w:rPr>
        <w:t>’</w:t>
      </w:r>
      <w:r w:rsidRPr="00581181">
        <w:rPr>
          <w:rFonts w:ascii="Times New Roman" w:hAnsi="Times New Roman" w:cs="Times New Roman"/>
          <w:sz w:val="24"/>
          <w:szCs w:val="24"/>
        </w:rPr>
        <w:t xml:space="preserve">s National Bureau for Discrimination Cases (LBD), the participating institutions concluded further agreements on monitoring and processing cases of online discrimination. </w:t>
      </w:r>
    </w:p>
    <w:p w:rsidR="00EC2B8C" w:rsidRDefault="00E0446E" w:rsidP="00030277">
      <w:pPr>
        <w:pStyle w:val="StandaardArial"/>
        <w:spacing w:after="240"/>
        <w:rPr>
          <w:rFonts w:ascii="Times New Roman" w:hAnsi="Times New Roman" w:cs="Times New Roman"/>
          <w:sz w:val="24"/>
          <w:szCs w:val="24"/>
        </w:rPr>
      </w:pPr>
      <w:r w:rsidRPr="00581181">
        <w:rPr>
          <w:rFonts w:ascii="Times New Roman" w:hAnsi="Times New Roman" w:cs="Times New Roman"/>
          <w:sz w:val="24"/>
          <w:szCs w:val="24"/>
        </w:rPr>
        <w:t>16.</w:t>
      </w:r>
      <w:r w:rsidRPr="00581181">
        <w:rPr>
          <w:rFonts w:ascii="Times New Roman" w:hAnsi="Times New Roman" w:cs="Times New Roman"/>
          <w:sz w:val="24"/>
          <w:szCs w:val="24"/>
        </w:rPr>
        <w:tab/>
        <w:t>To promote efforts to combat discrimination on the internet, the MDI held three successful workshops in 2005, involving some 700 Amsterdam police officers and assistant public prosecutors. At the request of OM</w:t>
      </w:r>
      <w:r w:rsidR="00AD0DF3" w:rsidRPr="00581181">
        <w:rPr>
          <w:rFonts w:ascii="Times New Roman" w:hAnsi="Times New Roman" w:cs="Times New Roman"/>
          <w:sz w:val="24"/>
          <w:szCs w:val="24"/>
        </w:rPr>
        <w:noBreakHyphen/>
      </w:r>
      <w:r w:rsidRPr="00581181">
        <w:rPr>
          <w:rFonts w:ascii="Times New Roman" w:hAnsi="Times New Roman" w:cs="Times New Roman"/>
          <w:sz w:val="24"/>
          <w:szCs w:val="24"/>
        </w:rPr>
        <w:t>LECD, it also provided a presentation at the national meeting of public prosecutors responsible for dealing with cases of discrimination.</w:t>
      </w:r>
    </w:p>
    <w:p w:rsidR="00EC2B8C" w:rsidRDefault="00E0446E" w:rsidP="00030277">
      <w:pPr>
        <w:rPr>
          <w:iCs/>
          <w:szCs w:val="24"/>
        </w:rPr>
      </w:pPr>
      <w:r w:rsidRPr="00581181">
        <w:rPr>
          <w:szCs w:val="24"/>
        </w:rPr>
        <w:t>17.</w:t>
      </w:r>
      <w:r w:rsidRPr="00581181">
        <w:rPr>
          <w:szCs w:val="24"/>
        </w:rPr>
        <w:tab/>
        <w:t xml:space="preserve">In 2006, action using the criminal law to combat Internet discrimination was stepped up. Three of the cases reported to the police by the MDI, including the </w:t>
      </w:r>
      <w:r w:rsidR="009B7745">
        <w:rPr>
          <w:szCs w:val="24"/>
        </w:rPr>
        <w:t>‘</w:t>
      </w:r>
      <w:r w:rsidRPr="00581181">
        <w:rPr>
          <w:szCs w:val="24"/>
        </w:rPr>
        <w:t>Housewitz</w:t>
      </w:r>
      <w:r w:rsidR="009B7745">
        <w:rPr>
          <w:szCs w:val="24"/>
        </w:rPr>
        <w:t>’</w:t>
      </w:r>
      <w:r w:rsidRPr="00581181">
        <w:rPr>
          <w:szCs w:val="24"/>
        </w:rPr>
        <w:t xml:space="preserve"> video clip posted in 2005 and a case against a purportedly satirical website that contained offensive utterances directed against Jews and homosexuals, have resulted in convictions. See also </w:t>
      </w:r>
      <w:r w:rsidR="009B7745">
        <w:rPr>
          <w:i/>
          <w:szCs w:val="24"/>
        </w:rPr>
        <w:t>‘</w:t>
      </w:r>
      <w:r w:rsidRPr="00581181">
        <w:rPr>
          <w:i/>
          <w:szCs w:val="24"/>
        </w:rPr>
        <w:t>A</w:t>
      </w:r>
      <w:r w:rsidRPr="00581181">
        <w:rPr>
          <w:szCs w:val="24"/>
        </w:rPr>
        <w:t xml:space="preserve"> </w:t>
      </w:r>
      <w:r w:rsidRPr="00581181">
        <w:rPr>
          <w:i/>
          <w:iCs/>
          <w:szCs w:val="24"/>
        </w:rPr>
        <w:t>summary of judgments in discrimination cases from 2002 to 2007</w:t>
      </w:r>
      <w:r w:rsidR="009B7745">
        <w:rPr>
          <w:i/>
          <w:iCs/>
          <w:szCs w:val="24"/>
        </w:rPr>
        <w:t>’</w:t>
      </w:r>
      <w:r w:rsidRPr="00581181">
        <w:rPr>
          <w:iCs/>
          <w:szCs w:val="24"/>
        </w:rPr>
        <w:t xml:space="preserve"> under article 4, below.</w:t>
      </w:r>
    </w:p>
    <w:p w:rsidR="00EC2B8C" w:rsidRDefault="00E0446E" w:rsidP="00030277">
      <w:pPr>
        <w:pStyle w:val="StandaardArial"/>
        <w:spacing w:after="240"/>
        <w:rPr>
          <w:rFonts w:ascii="Times New Roman" w:hAnsi="Times New Roman" w:cs="Times New Roman"/>
          <w:sz w:val="24"/>
          <w:szCs w:val="24"/>
        </w:rPr>
      </w:pPr>
      <w:r w:rsidRPr="00581181">
        <w:rPr>
          <w:rFonts w:ascii="Times New Roman" w:hAnsi="Times New Roman" w:cs="Times New Roman"/>
          <w:sz w:val="24"/>
          <w:szCs w:val="24"/>
        </w:rPr>
        <w:t>18.</w:t>
      </w:r>
      <w:r w:rsidRPr="00581181">
        <w:rPr>
          <w:rFonts w:ascii="Times New Roman" w:hAnsi="Times New Roman" w:cs="Times New Roman"/>
          <w:sz w:val="24"/>
          <w:szCs w:val="24"/>
        </w:rPr>
        <w:tab/>
        <w:t>The Government is continuing efforts to tackle online discrimination and has increased the MDI</w:t>
      </w:r>
      <w:r w:rsidR="009B7745">
        <w:rPr>
          <w:rFonts w:ascii="Times New Roman" w:hAnsi="Times New Roman" w:cs="Times New Roman"/>
          <w:sz w:val="24"/>
          <w:szCs w:val="24"/>
        </w:rPr>
        <w:t>’</w:t>
      </w:r>
      <w:r w:rsidRPr="00581181">
        <w:rPr>
          <w:rFonts w:ascii="Times New Roman" w:hAnsi="Times New Roman" w:cs="Times New Roman"/>
          <w:sz w:val="24"/>
          <w:szCs w:val="24"/>
        </w:rPr>
        <w:t xml:space="preserve">s funding for the year 2007. Plans are also afoot to set up a National Cybercrime Reporting Centre. It will primarily target extremist and terrorist utterances, by responding to reports from members of the public as well as actively monitoring the Internet. When deemed necessary, it will pass on information to the appropriate authorities, e.g. the Public Prosecution Service, the police, and the General Intelligence and Security Service. </w:t>
      </w:r>
    </w:p>
    <w:p w:rsidR="00EC2B8C" w:rsidRDefault="00E0446E" w:rsidP="00030277">
      <w:pPr>
        <w:rPr>
          <w:szCs w:val="24"/>
        </w:rPr>
      </w:pPr>
      <w:r w:rsidRPr="00581181">
        <w:rPr>
          <w:szCs w:val="24"/>
        </w:rPr>
        <w:t>19.</w:t>
      </w:r>
      <w:r w:rsidRPr="00581181">
        <w:rPr>
          <w:szCs w:val="24"/>
        </w:rPr>
        <w:tab/>
        <w:t>In addition, the Dutch Government believes that an international approach is needed to combat racism on the Internet. On 16 November 2006, the Netherlands ratified the Convention on Cybercrime of the Council of Europe, which entered into force for the Netherlands on 1</w:t>
      </w:r>
      <w:r w:rsidR="008E1B07">
        <w:rPr>
          <w:szCs w:val="24"/>
        </w:rPr>
        <w:t> </w:t>
      </w:r>
      <w:r w:rsidRPr="00581181">
        <w:rPr>
          <w:szCs w:val="24"/>
        </w:rPr>
        <w:t xml:space="preserve">March 2007. At the time of reporting, the Netherlands had not yet ratified the Additional Protocol, concerning the criminalisation of acts of a racist and xenophobic nature committed through computer systems. </w:t>
      </w:r>
    </w:p>
    <w:p w:rsidR="00EC2B8C" w:rsidRDefault="00E0446E" w:rsidP="00B566AB">
      <w:pPr>
        <w:pStyle w:val="Heading2"/>
      </w:pPr>
      <w:r w:rsidRPr="00581181">
        <w:t>C.</w:t>
      </w:r>
      <w:r w:rsidR="00B566AB">
        <w:t xml:space="preserve"> </w:t>
      </w:r>
      <w:r w:rsidRPr="00581181">
        <w:t xml:space="preserve"> </w:t>
      </w:r>
      <w:r w:rsidR="00B566AB" w:rsidRPr="00581181">
        <w:t xml:space="preserve">Racial segregation </w:t>
      </w:r>
      <w:r w:rsidRPr="00581181">
        <w:t>(concl. obs. no. 12)</w:t>
      </w:r>
    </w:p>
    <w:p w:rsidR="00E0446E" w:rsidRPr="00581181" w:rsidRDefault="00E0446E" w:rsidP="00B566AB">
      <w:pPr>
        <w:pStyle w:val="Heading3"/>
      </w:pPr>
      <w:r w:rsidRPr="00581181">
        <w:t xml:space="preserve">Citizenship and integration </w:t>
      </w:r>
    </w:p>
    <w:p w:rsidR="00EC2B8C" w:rsidRDefault="00E0446E" w:rsidP="00030277">
      <w:pPr>
        <w:rPr>
          <w:szCs w:val="24"/>
        </w:rPr>
      </w:pPr>
      <w:r w:rsidRPr="00581181">
        <w:rPr>
          <w:szCs w:val="24"/>
        </w:rPr>
        <w:t>20.</w:t>
      </w:r>
      <w:r w:rsidRPr="00581181">
        <w:rPr>
          <w:szCs w:val="24"/>
        </w:rPr>
        <w:tab/>
        <w:t>Certain neighbourhoods which have a high concentration of immigrants (including second</w:t>
      </w:r>
      <w:r w:rsidR="00AD0DF3" w:rsidRPr="00581181">
        <w:rPr>
          <w:szCs w:val="24"/>
        </w:rPr>
        <w:noBreakHyphen/>
      </w:r>
      <w:r w:rsidRPr="00581181">
        <w:rPr>
          <w:szCs w:val="24"/>
        </w:rPr>
        <w:t xml:space="preserve"> or third</w:t>
      </w:r>
      <w:r w:rsidR="00AD0DF3" w:rsidRPr="00581181">
        <w:rPr>
          <w:szCs w:val="24"/>
        </w:rPr>
        <w:noBreakHyphen/>
      </w:r>
      <w:r w:rsidRPr="00581181">
        <w:rPr>
          <w:szCs w:val="24"/>
        </w:rPr>
        <w:t>generation immigrants) are also high</w:t>
      </w:r>
      <w:r w:rsidR="00AD0DF3" w:rsidRPr="00581181">
        <w:rPr>
          <w:szCs w:val="24"/>
        </w:rPr>
        <w:noBreakHyphen/>
      </w:r>
      <w:r w:rsidRPr="00581181">
        <w:rPr>
          <w:szCs w:val="24"/>
        </w:rPr>
        <w:t>problem areas, that is to say they have high unemployment rates, a high rate of school drop</w:t>
      </w:r>
      <w:r w:rsidR="00AD0DF3" w:rsidRPr="00581181">
        <w:rPr>
          <w:szCs w:val="24"/>
        </w:rPr>
        <w:noBreakHyphen/>
      </w:r>
      <w:r w:rsidRPr="00581181">
        <w:rPr>
          <w:szCs w:val="24"/>
        </w:rPr>
        <w:t>out, inappropriate use of public spaces, high crime rates, etc.. There is no clear evidence whether ethnic origin per se is the cause of these problems, or whether they are connected to the low socio</w:t>
      </w:r>
      <w:r w:rsidR="00AD0DF3" w:rsidRPr="00581181">
        <w:rPr>
          <w:szCs w:val="24"/>
        </w:rPr>
        <w:noBreakHyphen/>
      </w:r>
      <w:r w:rsidRPr="00581181">
        <w:rPr>
          <w:szCs w:val="24"/>
        </w:rPr>
        <w:t>economic status of immigrants. However, the Dutch Government does feel that such neighbourhoods would benefit from a more varied mix of residents. A mix, in this sense, involves both ethnic variety and differences in socio</w:t>
      </w:r>
      <w:r w:rsidR="00AD0DF3" w:rsidRPr="00581181">
        <w:rPr>
          <w:szCs w:val="24"/>
        </w:rPr>
        <w:noBreakHyphen/>
      </w:r>
      <w:r w:rsidRPr="00581181">
        <w:rPr>
          <w:szCs w:val="24"/>
        </w:rPr>
        <w:t>economic status. Most of these problem neighbourhoods are in big cities. They have a high concentration of ethnic minority groups with low average incomes, living in low</w:t>
      </w:r>
      <w:r w:rsidR="00AD0DF3" w:rsidRPr="00581181">
        <w:rPr>
          <w:szCs w:val="24"/>
        </w:rPr>
        <w:noBreakHyphen/>
      </w:r>
      <w:r w:rsidRPr="00581181">
        <w:rPr>
          <w:szCs w:val="24"/>
        </w:rPr>
        <w:t xml:space="preserve">rent, predominantly social rental housing. </w:t>
      </w:r>
    </w:p>
    <w:p w:rsidR="00EC2B8C" w:rsidRDefault="00E0446E" w:rsidP="00290AD4">
      <w:pPr>
        <w:rPr>
          <w:szCs w:val="24"/>
        </w:rPr>
      </w:pPr>
      <w:r w:rsidRPr="00581181">
        <w:rPr>
          <w:szCs w:val="24"/>
        </w:rPr>
        <w:t>21.</w:t>
      </w:r>
      <w:r w:rsidRPr="00581181">
        <w:rPr>
          <w:szCs w:val="24"/>
        </w:rPr>
        <w:tab/>
        <w:t>The Dutch Government is endeavouring to counter the one</w:t>
      </w:r>
      <w:r w:rsidR="00AD0DF3" w:rsidRPr="00581181">
        <w:rPr>
          <w:szCs w:val="24"/>
        </w:rPr>
        <w:noBreakHyphen/>
      </w:r>
      <w:r w:rsidRPr="00581181">
        <w:rPr>
          <w:szCs w:val="24"/>
        </w:rPr>
        <w:t>sided composition of such districts by providing different types of housing, some aimed at the higher</w:t>
      </w:r>
      <w:r w:rsidR="00AD0DF3" w:rsidRPr="00581181">
        <w:rPr>
          <w:szCs w:val="24"/>
        </w:rPr>
        <w:noBreakHyphen/>
      </w:r>
      <w:r w:rsidRPr="00581181">
        <w:rPr>
          <w:szCs w:val="24"/>
        </w:rPr>
        <w:t xml:space="preserve">income brackets. The reasoning is that a varied housing stock makes for a more varied and, ultimately, </w:t>
      </w:r>
      <w:r w:rsidR="009B7745">
        <w:rPr>
          <w:szCs w:val="24"/>
        </w:rPr>
        <w:t>‘</w:t>
      </w:r>
      <w:r w:rsidRPr="00581181">
        <w:rPr>
          <w:szCs w:val="24"/>
        </w:rPr>
        <w:t>better</w:t>
      </w:r>
      <w:r w:rsidR="009B7745">
        <w:rPr>
          <w:szCs w:val="24"/>
        </w:rPr>
        <w:t>’</w:t>
      </w:r>
      <w:r w:rsidRPr="00581181">
        <w:rPr>
          <w:szCs w:val="24"/>
        </w:rPr>
        <w:t xml:space="preserve"> neighbourhood. Young people benefit from the presence of positive role models, the social fabric improves when residents participate in social activities, and higher incomes boost local economic activity. This can have a trickle</w:t>
      </w:r>
      <w:r w:rsidR="00AD0DF3" w:rsidRPr="00581181">
        <w:rPr>
          <w:szCs w:val="24"/>
        </w:rPr>
        <w:noBreakHyphen/>
      </w:r>
      <w:r w:rsidRPr="00581181">
        <w:rPr>
          <w:szCs w:val="24"/>
        </w:rPr>
        <w:t>down effect, improving living standards for groups with below</w:t>
      </w:r>
      <w:r w:rsidR="00AD0DF3" w:rsidRPr="00581181">
        <w:rPr>
          <w:szCs w:val="24"/>
        </w:rPr>
        <w:noBreakHyphen/>
      </w:r>
      <w:r w:rsidRPr="00581181">
        <w:rPr>
          <w:szCs w:val="24"/>
        </w:rPr>
        <w:t>average incomes.</w:t>
      </w:r>
    </w:p>
    <w:p w:rsidR="00EC2B8C" w:rsidRDefault="00891385" w:rsidP="00290AD4">
      <w:pPr>
        <w:rPr>
          <w:szCs w:val="24"/>
        </w:rPr>
      </w:pPr>
      <w:r>
        <w:rPr>
          <w:szCs w:val="24"/>
        </w:rPr>
        <w:br w:type="page"/>
      </w:r>
      <w:r w:rsidR="00E0446E" w:rsidRPr="00581181">
        <w:rPr>
          <w:szCs w:val="24"/>
        </w:rPr>
        <w:t>22.</w:t>
      </w:r>
      <w:r w:rsidR="00E0446E" w:rsidRPr="00581181">
        <w:rPr>
          <w:szCs w:val="24"/>
        </w:rPr>
        <w:tab/>
        <w:t>In February 2007, the new Government appointed a minister with a new portfolio: Housing, Communities and Integration. The new minister, Ms</w:t>
      </w:r>
      <w:r w:rsidR="00CB600A">
        <w:rPr>
          <w:szCs w:val="24"/>
        </w:rPr>
        <w:t>.</w:t>
      </w:r>
      <w:r w:rsidR="00E0446E" w:rsidRPr="00581181">
        <w:rPr>
          <w:szCs w:val="24"/>
        </w:rPr>
        <w:t xml:space="preserve"> Ella Vogelaar, has indicated that during her term of office she will mainly focus on 40 designated problem districts in the Netherlands. She will maintain constant dialogue with the municipalities concerned in an effort to improve living standards in these areas, as well as to promote employment, raise the standard of education, increase security and encourage integration.</w:t>
      </w:r>
    </w:p>
    <w:p w:rsidR="00EC2B8C" w:rsidRDefault="00E0446E" w:rsidP="00030277">
      <w:pPr>
        <w:rPr>
          <w:szCs w:val="24"/>
        </w:rPr>
      </w:pPr>
      <w:r w:rsidRPr="00581181">
        <w:rPr>
          <w:szCs w:val="24"/>
        </w:rPr>
        <w:t>23.</w:t>
      </w:r>
      <w:r w:rsidRPr="00581181">
        <w:rPr>
          <w:szCs w:val="24"/>
        </w:rPr>
        <w:tab/>
        <w:t xml:space="preserve">Lastly, concrete measures have also been taken to counter spatial segregation in the field of housing and to promote quality of life in certain urban areas. The Urban Areas (Special Measures) Act </w:t>
      </w:r>
      <w:r w:rsidR="00AD0DF3" w:rsidRPr="00581181">
        <w:rPr>
          <w:szCs w:val="24"/>
        </w:rPr>
        <w:noBreakHyphen/>
      </w:r>
      <w:r w:rsidRPr="00581181">
        <w:rPr>
          <w:szCs w:val="24"/>
        </w:rPr>
        <w:t xml:space="preserve"> also known as the Rotterdam Act, as this was the first city to introduce this measure </w:t>
      </w:r>
      <w:r w:rsidR="00AD0DF3" w:rsidRPr="00581181">
        <w:rPr>
          <w:szCs w:val="24"/>
        </w:rPr>
        <w:noBreakHyphen/>
      </w:r>
      <w:r w:rsidRPr="00581181">
        <w:rPr>
          <w:szCs w:val="24"/>
        </w:rPr>
        <w:t xml:space="preserve"> allows local authorities to impose income requirements on housing in neighbourhoods where social policy is no longer considered adequate to guarantee an improvement in the quality of life. This means that accommodation seekers coming from outside the city, who are not generating any income from employment </w:t>
      </w:r>
      <w:r w:rsidR="00AD0DF3" w:rsidRPr="00581181">
        <w:rPr>
          <w:szCs w:val="24"/>
        </w:rPr>
        <w:noBreakHyphen/>
      </w:r>
      <w:r w:rsidRPr="00581181">
        <w:rPr>
          <w:szCs w:val="24"/>
        </w:rPr>
        <w:t xml:space="preserve"> i.e. social security claimants </w:t>
      </w:r>
      <w:r w:rsidR="00AD0DF3" w:rsidRPr="00581181">
        <w:rPr>
          <w:szCs w:val="24"/>
        </w:rPr>
        <w:noBreakHyphen/>
      </w:r>
      <w:r w:rsidRPr="00581181">
        <w:rPr>
          <w:szCs w:val="24"/>
        </w:rPr>
        <w:t xml:space="preserve"> can be prevented (on a temporary basis) from settling in those neighbourhoods. This gives local authorities a chance to counter the social problems in the neighbourhoods and to break the vicious circle. Most other cities adopt a different approach aimed at persuading higher</w:t>
      </w:r>
      <w:r w:rsidR="00AD0DF3" w:rsidRPr="00581181">
        <w:rPr>
          <w:szCs w:val="24"/>
        </w:rPr>
        <w:noBreakHyphen/>
      </w:r>
      <w:r w:rsidRPr="00581181">
        <w:rPr>
          <w:szCs w:val="24"/>
        </w:rPr>
        <w:t>income residents to settle in problem neighbourhoods through the inducement of high</w:t>
      </w:r>
      <w:r w:rsidR="00AD0DF3" w:rsidRPr="00581181">
        <w:rPr>
          <w:szCs w:val="24"/>
        </w:rPr>
        <w:noBreakHyphen/>
      </w:r>
      <w:r w:rsidRPr="00581181">
        <w:rPr>
          <w:szCs w:val="24"/>
        </w:rPr>
        <w:t>quality housing, rather than barring lower</w:t>
      </w:r>
      <w:r w:rsidR="00AD0DF3" w:rsidRPr="00581181">
        <w:rPr>
          <w:szCs w:val="24"/>
        </w:rPr>
        <w:noBreakHyphen/>
      </w:r>
      <w:r w:rsidRPr="00581181">
        <w:rPr>
          <w:szCs w:val="24"/>
        </w:rPr>
        <w:t xml:space="preserve">income residents from access to the housing stock. </w:t>
      </w:r>
    </w:p>
    <w:p w:rsidR="00E0446E" w:rsidRPr="00581181" w:rsidRDefault="00E0446E" w:rsidP="00AF683A">
      <w:pPr>
        <w:pStyle w:val="Heading3"/>
      </w:pPr>
      <w:r w:rsidRPr="00581181">
        <w:t>Citizenship and integration at schools</w:t>
      </w:r>
    </w:p>
    <w:p w:rsidR="00EC2B8C" w:rsidRDefault="00E0446E" w:rsidP="00030277">
      <w:pPr>
        <w:rPr>
          <w:szCs w:val="24"/>
        </w:rPr>
      </w:pPr>
      <w:r w:rsidRPr="00581181">
        <w:rPr>
          <w:szCs w:val="24"/>
        </w:rPr>
        <w:t>24.</w:t>
      </w:r>
      <w:r w:rsidRPr="00581181">
        <w:rPr>
          <w:szCs w:val="24"/>
        </w:rPr>
        <w:tab/>
        <w:t xml:space="preserve">1 February 2006 saw the entry into force of legislation requiring schools to promote </w:t>
      </w:r>
      <w:r w:rsidR="009B7745">
        <w:rPr>
          <w:szCs w:val="24"/>
        </w:rPr>
        <w:t>‘</w:t>
      </w:r>
      <w:r w:rsidRPr="00581181">
        <w:rPr>
          <w:szCs w:val="24"/>
        </w:rPr>
        <w:t>active citizenship and social integration</w:t>
      </w:r>
      <w:r w:rsidR="009B7745">
        <w:rPr>
          <w:szCs w:val="24"/>
        </w:rPr>
        <w:t>’</w:t>
      </w:r>
      <w:r w:rsidRPr="00581181">
        <w:rPr>
          <w:szCs w:val="24"/>
        </w:rPr>
        <w:t xml:space="preserve"> among their pupils, underscoring the fact that the promotion of citizenship and integration needs to be actively targeted by schools. Many schools approach the issue in different ways, with factors such as pupils</w:t>
      </w:r>
      <w:r w:rsidR="009B7745">
        <w:rPr>
          <w:szCs w:val="24"/>
        </w:rPr>
        <w:t>’</w:t>
      </w:r>
      <w:r w:rsidRPr="00581181">
        <w:rPr>
          <w:szCs w:val="24"/>
        </w:rPr>
        <w:t xml:space="preserve"> individual situations, the wishes of parents/carers and other concerned parties, and schools</w:t>
      </w:r>
      <w:r w:rsidR="009B7745">
        <w:rPr>
          <w:szCs w:val="24"/>
        </w:rPr>
        <w:t>’</w:t>
      </w:r>
      <w:r w:rsidRPr="00581181">
        <w:rPr>
          <w:szCs w:val="24"/>
        </w:rPr>
        <w:t xml:space="preserve"> own mission playing a role. At the request of the education minister, the Education Inspectorate will monitor compliance with this statutory requirement from 1 October 2006. The expectation is that experience in the coming years will lead to identification of best practices, enabling teaching to be further developed. Monitoring authorities will tie in with this process, in close consultation with schools and civil society.</w:t>
      </w:r>
    </w:p>
    <w:p w:rsidR="00E0446E" w:rsidRPr="00581181" w:rsidRDefault="00E0446E" w:rsidP="00030277">
      <w:pPr>
        <w:rPr>
          <w:szCs w:val="24"/>
        </w:rPr>
      </w:pPr>
      <w:r w:rsidRPr="00581181">
        <w:rPr>
          <w:szCs w:val="24"/>
        </w:rPr>
        <w:t>25.</w:t>
      </w:r>
      <w:r w:rsidRPr="00581181">
        <w:rPr>
          <w:szCs w:val="24"/>
        </w:rPr>
        <w:tab/>
        <w:t>As far as educational provision is concerned, the Education Inspectorate determines whether a school</w:t>
      </w:r>
      <w:r w:rsidR="009B7745">
        <w:rPr>
          <w:szCs w:val="24"/>
        </w:rPr>
        <w:t>’</w:t>
      </w:r>
      <w:r w:rsidRPr="00581181">
        <w:rPr>
          <w:szCs w:val="24"/>
        </w:rPr>
        <w:t xml:space="preserve">s curriculum: </w:t>
      </w:r>
    </w:p>
    <w:p w:rsidR="00E0446E" w:rsidRPr="00581181" w:rsidRDefault="00E0446E" w:rsidP="00F1655C">
      <w:pPr>
        <w:pStyle w:val="Bullet"/>
      </w:pPr>
      <w:r w:rsidRPr="00581181">
        <w:t>Constitutes compliance with the requirement to help pupils acquire competences that promote active citi</w:t>
      </w:r>
      <w:r w:rsidR="00F1655C">
        <w:t>zenship and social integration</w:t>
      </w:r>
    </w:p>
    <w:p w:rsidR="00E0446E" w:rsidRPr="00581181" w:rsidRDefault="00E0446E" w:rsidP="00F1655C">
      <w:pPr>
        <w:pStyle w:val="Bullet"/>
      </w:pPr>
      <w:r w:rsidRPr="00581181">
        <w:t>Ensures that pupils are familiar with and find out about the different backgroun</w:t>
      </w:r>
      <w:r w:rsidR="00F1655C">
        <w:t>ds and cultures of their peers</w:t>
      </w:r>
    </w:p>
    <w:p w:rsidR="00E0446E" w:rsidRPr="00581181" w:rsidRDefault="00E0446E" w:rsidP="00F1655C">
      <w:pPr>
        <w:pStyle w:val="Bullet"/>
      </w:pPr>
      <w:r w:rsidRPr="00581181">
        <w:t>Assumes that pupils grow up in a diverse society, and gives shape to the attainment targets that are relevant in this cont</w:t>
      </w:r>
      <w:r w:rsidR="00F1655C">
        <w:t>ext</w:t>
      </w:r>
    </w:p>
    <w:p w:rsidR="00EC2B8C" w:rsidRDefault="00E0446E" w:rsidP="00030277">
      <w:pPr>
        <w:pStyle w:val="BodyText"/>
        <w:tabs>
          <w:tab w:val="clear" w:pos="720"/>
        </w:tabs>
        <w:autoSpaceDE/>
        <w:autoSpaceDN/>
        <w:adjustRightInd/>
        <w:spacing w:after="240" w:line="240" w:lineRule="auto"/>
        <w:rPr>
          <w:rFonts w:ascii="Times New Roman" w:hAnsi="Times New Roman" w:cs="Times New Roman"/>
          <w:sz w:val="24"/>
          <w:szCs w:val="24"/>
        </w:rPr>
      </w:pPr>
      <w:r w:rsidRPr="00581181">
        <w:rPr>
          <w:rFonts w:ascii="Times New Roman" w:hAnsi="Times New Roman" w:cs="Times New Roman"/>
          <w:sz w:val="24"/>
          <w:szCs w:val="24"/>
        </w:rPr>
        <w:t xml:space="preserve">The schools are responsible for providing education of a satisfactory quality, geared to promoting social integration and active citizenship, including the transfer of knowledge about and acquaintance with social diversity. Where the quality of teaching is concerned, the Education </w:t>
      </w:r>
      <w:r w:rsidR="00891385">
        <w:rPr>
          <w:rFonts w:ascii="Times New Roman" w:hAnsi="Times New Roman" w:cs="Times New Roman"/>
          <w:sz w:val="24"/>
          <w:szCs w:val="24"/>
        </w:rPr>
        <w:br w:type="page"/>
      </w:r>
      <w:r w:rsidRPr="00581181">
        <w:rPr>
          <w:rFonts w:ascii="Times New Roman" w:hAnsi="Times New Roman" w:cs="Times New Roman"/>
          <w:sz w:val="24"/>
          <w:szCs w:val="24"/>
        </w:rPr>
        <w:t>Inspectorate establishes whether schools are complying with the requirement to account for their way of approaching and carrying out this task in the school plan and the school prospectus. Schools also need to be aware of the results of their teaching, and to tailor it to specific circumstances in and around the school that are relevant to integration and citizenship, perhaps in adverse ways.</w:t>
      </w:r>
    </w:p>
    <w:p w:rsidR="00E0446E" w:rsidRPr="00581181" w:rsidRDefault="00E0446E" w:rsidP="0052170A">
      <w:pPr>
        <w:pStyle w:val="Heading3"/>
      </w:pPr>
      <w:r w:rsidRPr="00581181">
        <w:t>Measures aimed at training teachers to teach in a multicultural setting and to respond adequately to racism in schools, and at promoting expertise among such teachers</w:t>
      </w:r>
    </w:p>
    <w:p w:rsidR="00EC2B8C" w:rsidRDefault="00E0446E" w:rsidP="00030277">
      <w:pPr>
        <w:rPr>
          <w:szCs w:val="24"/>
        </w:rPr>
      </w:pPr>
      <w:r w:rsidRPr="00581181">
        <w:rPr>
          <w:szCs w:val="24"/>
        </w:rPr>
        <w:t>26.</w:t>
      </w:r>
      <w:r w:rsidRPr="00581181">
        <w:rPr>
          <w:szCs w:val="24"/>
        </w:rPr>
        <w:tab/>
        <w:t>Teachers are not specifically trained to deal with discrimination, though they are required to create a harmonious atmosphere in which everyone is treated with dignity. This is laid down in the standards of competence on which teacher training is based. One of the important competencies specified in the legislation regulating such standards is the ability to establish a safe and harmonious atmosphere in which pupils can learn and develop, and to assist children in their social, emotional and moral development.</w:t>
      </w:r>
    </w:p>
    <w:p w:rsidR="00E0446E" w:rsidRPr="00581181" w:rsidRDefault="00E0446E" w:rsidP="0052170A">
      <w:pPr>
        <w:pStyle w:val="Heading3"/>
      </w:pPr>
      <w:r w:rsidRPr="00581181">
        <w:t>Human rights education in primary and secondary education</w:t>
      </w:r>
    </w:p>
    <w:p w:rsidR="00E0446E" w:rsidRPr="00581181" w:rsidRDefault="00E0446E" w:rsidP="00290AD4">
      <w:pPr>
        <w:pStyle w:val="BodyText"/>
        <w:tabs>
          <w:tab w:val="clear" w:pos="720"/>
        </w:tabs>
        <w:autoSpaceDE/>
        <w:autoSpaceDN/>
        <w:adjustRightInd/>
        <w:spacing w:after="200" w:line="240" w:lineRule="auto"/>
        <w:rPr>
          <w:rFonts w:ascii="Times New Roman" w:hAnsi="Times New Roman" w:cs="Times New Roman"/>
          <w:bCs w:val="0"/>
          <w:sz w:val="24"/>
          <w:szCs w:val="24"/>
        </w:rPr>
      </w:pPr>
      <w:r w:rsidRPr="00581181">
        <w:rPr>
          <w:rFonts w:ascii="Times New Roman" w:hAnsi="Times New Roman" w:cs="Times New Roman"/>
          <w:bCs w:val="0"/>
          <w:sz w:val="24"/>
          <w:szCs w:val="24"/>
        </w:rPr>
        <w:t>27.</w:t>
      </w:r>
      <w:r w:rsidRPr="00581181">
        <w:rPr>
          <w:rFonts w:ascii="Times New Roman" w:hAnsi="Times New Roman" w:cs="Times New Roman"/>
          <w:bCs w:val="0"/>
          <w:sz w:val="24"/>
          <w:szCs w:val="24"/>
        </w:rPr>
        <w:tab/>
        <w:t xml:space="preserve">Schools are free to organize their own teaching as long as it meets the requirements attached to the attainment targets. A number of attainment targets require schools to pay structural attention to citizenship, under which information about human rights falls (attainment targets for the lower forms of secondary school). The attainment targets for primary schools and the lower forms of secondary schools devote a great deal of attention to curbing racism and intolerance. The relevant targets for secondary schools are: </w:t>
      </w:r>
    </w:p>
    <w:p w:rsidR="00E0446E" w:rsidRPr="00581181" w:rsidRDefault="00E0446E" w:rsidP="00290AD4">
      <w:pPr>
        <w:pStyle w:val="Bullet"/>
        <w:spacing w:after="200"/>
      </w:pPr>
      <w:r w:rsidRPr="00581181">
        <w:t xml:space="preserve">Attainment target 47. Pupils learn to relate current world tensions and conflicts to their own background, thus discovering the impact of current events on individuals and society (national, European and global), the great extent to which countries are interdependent, the importance of human rights and the significance of international cooperation. </w:t>
      </w:r>
    </w:p>
    <w:p w:rsidR="00E0446E" w:rsidRPr="00581181" w:rsidRDefault="00E0446E" w:rsidP="00290AD4">
      <w:pPr>
        <w:pStyle w:val="Bullet"/>
        <w:spacing w:after="200"/>
      </w:pPr>
      <w:r w:rsidRPr="00581181">
        <w:t>Attainment target 34. Pupils learn the basic principles of the structure and function of the human body, to make the connection to the promotion of physical and mental health, and to take responsibility for their own health.</w:t>
      </w:r>
    </w:p>
    <w:p w:rsidR="00E0446E" w:rsidRPr="00581181" w:rsidRDefault="00E0446E" w:rsidP="00290AD4">
      <w:pPr>
        <w:pStyle w:val="Bullet"/>
        <w:spacing w:after="200"/>
      </w:pPr>
      <w:r w:rsidRPr="00581181">
        <w:t>Attainment target 35. Pupils learn about care. They learn to care for themselves, others and their surroundings, and how they can promote their own safety and that of others in various different situations (home, school, work, leisure, roads).</w:t>
      </w:r>
    </w:p>
    <w:p w:rsidR="00E0446E" w:rsidRPr="00581181" w:rsidRDefault="00E0446E" w:rsidP="00290AD4">
      <w:pPr>
        <w:pStyle w:val="Bullet"/>
        <w:spacing w:after="200"/>
      </w:pPr>
      <w:r w:rsidRPr="00581181">
        <w:t>Attainment target 36. Pupils learn to ask meaningful questions about social issues and phenomena, to adopt a reasoned stance on them and to defend their arguments, as well as to deal with criticism respectfully.</w:t>
      </w:r>
    </w:p>
    <w:p w:rsidR="00E0446E" w:rsidRPr="00581181" w:rsidRDefault="00E0446E" w:rsidP="00290AD4">
      <w:pPr>
        <w:pStyle w:val="Bullet"/>
        <w:spacing w:after="200"/>
      </w:pPr>
      <w:r w:rsidRPr="00581181">
        <w:t>Attainment target 38. Pupils learn to use a contemporary understanding of their own environment, the Netherlands, Europe and the world to interpret phenomena and developments in their surroundings.</w:t>
      </w:r>
    </w:p>
    <w:p w:rsidR="00E0446E" w:rsidRPr="00581181" w:rsidRDefault="00891385" w:rsidP="00290AD4">
      <w:pPr>
        <w:pStyle w:val="Bullet"/>
        <w:spacing w:after="200"/>
        <w:rPr>
          <w:b/>
        </w:rPr>
      </w:pPr>
      <w:r>
        <w:br w:type="page"/>
      </w:r>
      <w:r w:rsidR="00E0446E" w:rsidRPr="00581181">
        <w:t>Attainment target 43. Pupils learn about similarities, differences and changes regarding cultures and ideologies in the Netherlands, to relate their own way of life and that of others to these concepts, and to appreciate the social significance of mutual respect for different notions and ways of life.</w:t>
      </w:r>
    </w:p>
    <w:p w:rsidR="00E0446E" w:rsidRPr="00581181" w:rsidRDefault="00E0446E" w:rsidP="00A0027F">
      <w:pPr>
        <w:pStyle w:val="Heading3"/>
      </w:pPr>
      <w:r w:rsidRPr="00581181">
        <w:t>Measures to curb educational segregation</w:t>
      </w:r>
    </w:p>
    <w:p w:rsidR="00E0446E" w:rsidRPr="00581181" w:rsidRDefault="00E0446E" w:rsidP="00030277">
      <w:pPr>
        <w:rPr>
          <w:szCs w:val="24"/>
        </w:rPr>
      </w:pPr>
      <w:r w:rsidRPr="00581181">
        <w:rPr>
          <w:szCs w:val="24"/>
        </w:rPr>
        <w:t>28.</w:t>
      </w:r>
      <w:r w:rsidRPr="00581181">
        <w:rPr>
          <w:szCs w:val="24"/>
        </w:rPr>
        <w:tab/>
        <w:t>In urban neighbourhoods with a high proportion of ethnic minority residents, schools naturally tend to have a relatively high proportion of ethnic minority pupils. The Dutch Education Ministry seeks to curb educational segregation, but parents are free to choose their child</w:t>
      </w:r>
      <w:r w:rsidR="009B7745">
        <w:rPr>
          <w:szCs w:val="24"/>
        </w:rPr>
        <w:t>’</w:t>
      </w:r>
      <w:r w:rsidRPr="00581181">
        <w:rPr>
          <w:szCs w:val="24"/>
        </w:rPr>
        <w:t>s school and privately</w:t>
      </w:r>
      <w:r w:rsidR="00AD0DF3" w:rsidRPr="00581181">
        <w:rPr>
          <w:szCs w:val="24"/>
        </w:rPr>
        <w:noBreakHyphen/>
      </w:r>
      <w:r w:rsidRPr="00581181">
        <w:rPr>
          <w:szCs w:val="24"/>
        </w:rPr>
        <w:t>run schools (as opposed to public</w:t>
      </w:r>
      <w:r w:rsidR="00AD0DF3" w:rsidRPr="00581181">
        <w:rPr>
          <w:szCs w:val="24"/>
        </w:rPr>
        <w:noBreakHyphen/>
      </w:r>
      <w:r w:rsidRPr="00581181">
        <w:rPr>
          <w:szCs w:val="24"/>
        </w:rPr>
        <w:t>authority schools) are not obliged to accept pupils. As of the 2006</w:t>
      </w:r>
      <w:r w:rsidR="00AD0DF3" w:rsidRPr="00581181">
        <w:rPr>
          <w:szCs w:val="24"/>
        </w:rPr>
        <w:noBreakHyphen/>
      </w:r>
      <w:r w:rsidRPr="00581181">
        <w:rPr>
          <w:szCs w:val="24"/>
        </w:rPr>
        <w:t>2007 school year, local authorities and school boards will be statutorily obliged to meet at least once a year to discuss ways of preventing segregation and promoting integration in primary and secondary schools. The Education Inspectorate ensures that schools play their part. Local authorities, schools and parents are helped to put policy into practice. A Mixed Schools Knowledge Centre, charged with combating educational segregation, has been set up with the aid of local authorities. Its tasks include commissioning research and exchanging best practices. Set application dates for schools will also be introduced, so that parents cannot gain an unfair advantage by registering their children for popular primary schools well in advance.</w:t>
      </w:r>
    </w:p>
    <w:p w:rsidR="00E0446E" w:rsidRPr="00581181" w:rsidRDefault="00E0446E" w:rsidP="00A0027F">
      <w:pPr>
        <w:pStyle w:val="Heading3"/>
      </w:pPr>
      <w:r w:rsidRPr="00581181">
        <w:t>Equal opportunities in primary and secondary education</w:t>
      </w:r>
    </w:p>
    <w:p w:rsidR="00EC2B8C" w:rsidRDefault="00E0446E" w:rsidP="00030277">
      <w:pPr>
        <w:rPr>
          <w:szCs w:val="24"/>
        </w:rPr>
      </w:pPr>
      <w:r w:rsidRPr="00581181">
        <w:rPr>
          <w:szCs w:val="24"/>
        </w:rPr>
        <w:t>29.</w:t>
      </w:r>
      <w:r w:rsidRPr="00581181">
        <w:rPr>
          <w:szCs w:val="24"/>
        </w:rPr>
        <w:tab/>
        <w:t xml:space="preserve">Children can attend primary school from the age of four. Their levels of development vary; many ethnic minority pupils lag behind in terms of language skills. To tackle this problem, special programmes have been developed at the preschool stage </w:t>
      </w:r>
      <w:r w:rsidR="00AD0DF3" w:rsidRPr="00581181">
        <w:rPr>
          <w:szCs w:val="24"/>
        </w:rPr>
        <w:noBreakHyphen/>
      </w:r>
      <w:r w:rsidRPr="00581181">
        <w:rPr>
          <w:szCs w:val="24"/>
        </w:rPr>
        <w:t xml:space="preserve"> for playgroups and childcare centres </w:t>
      </w:r>
      <w:r w:rsidR="00AD0DF3" w:rsidRPr="00581181">
        <w:rPr>
          <w:szCs w:val="24"/>
        </w:rPr>
        <w:noBreakHyphen/>
      </w:r>
      <w:r w:rsidRPr="00581181">
        <w:rPr>
          <w:szCs w:val="24"/>
        </w:rPr>
        <w:t xml:space="preserve"> to help children develop Dutch language skills. Primary schools with a high proportion of disadvantaged pupils (many of whom are ethnic minority pupils) receive extra resources to tackle such disadvantages. The indicator for allocating such resources is the level of education of a pupil</w:t>
      </w:r>
      <w:r w:rsidR="009B7745">
        <w:rPr>
          <w:szCs w:val="24"/>
        </w:rPr>
        <w:t>’</w:t>
      </w:r>
      <w:r w:rsidRPr="00581181">
        <w:rPr>
          <w:szCs w:val="24"/>
        </w:rPr>
        <w:t>s parents. Schools with high concentrations of disadvantaged pupils can obtain up to an additional 80% of their regular budget. Local authorities are also given resources to set up bridging classes providing extra language lessons in mainstream schools.</w:t>
      </w:r>
    </w:p>
    <w:p w:rsidR="00EC2B8C" w:rsidRDefault="00E0446E" w:rsidP="00030277">
      <w:pPr>
        <w:rPr>
          <w:szCs w:val="24"/>
        </w:rPr>
      </w:pPr>
      <w:r w:rsidRPr="00581181">
        <w:rPr>
          <w:szCs w:val="24"/>
        </w:rPr>
        <w:t>30.</w:t>
      </w:r>
      <w:r w:rsidRPr="00581181">
        <w:rPr>
          <w:szCs w:val="24"/>
        </w:rPr>
        <w:tab/>
        <w:t>The aim of secondary education is to enable all pupils, irrespective of their background, to develop to the full and to receive education that is appropriate to their needs. The policy on care and disadvantage is to remove any obstacles to this goal. Central government has invested in support advisory teams (ZATs) in which a number of organizations work together to identify and combat pupils</w:t>
      </w:r>
      <w:r w:rsidR="009B7745">
        <w:rPr>
          <w:szCs w:val="24"/>
        </w:rPr>
        <w:t>’</w:t>
      </w:r>
      <w:r w:rsidRPr="00581181">
        <w:rPr>
          <w:szCs w:val="24"/>
        </w:rPr>
        <w:t xml:space="preserve"> problems at the earliest possible stage. Most schools now have their own ZAT. On 1 January 2007, a new policy to combat disadvantage in secondary schools entered into force. Its main aim is to ensure that resources go to schools that need them most. These are schools with cumulative problems, i.e. they struggle not only with educational disadvantage but also with other problems such as truancy, pupils repeating classes, youth care problems, crime and dropout. The policy applies to all secondary schools, irrespective of type. The extra resources are spent on tailor</w:t>
      </w:r>
      <w:r w:rsidR="00AD0DF3" w:rsidRPr="00581181">
        <w:rPr>
          <w:szCs w:val="24"/>
        </w:rPr>
        <w:noBreakHyphen/>
      </w:r>
      <w:r w:rsidRPr="00581181">
        <w:rPr>
          <w:szCs w:val="24"/>
        </w:rPr>
        <w:t xml:space="preserve">made approaches and on individual pupils, optimizing pupil performance through intensive programmes to promote language skills, and preventing dropout. </w:t>
      </w:r>
    </w:p>
    <w:p w:rsidR="00EC2B8C" w:rsidRDefault="00891385" w:rsidP="00030277">
      <w:pPr>
        <w:rPr>
          <w:szCs w:val="24"/>
        </w:rPr>
      </w:pPr>
      <w:r>
        <w:rPr>
          <w:szCs w:val="24"/>
        </w:rPr>
        <w:br w:type="page"/>
      </w:r>
      <w:r w:rsidR="00E0446E" w:rsidRPr="00581181">
        <w:rPr>
          <w:szCs w:val="24"/>
        </w:rPr>
        <w:t>31.</w:t>
      </w:r>
      <w:r w:rsidR="00E0446E" w:rsidRPr="00581181">
        <w:rPr>
          <w:szCs w:val="24"/>
        </w:rPr>
        <w:tab/>
        <w:t>Separate funding is also available for pupils who enter secondary school after having spent less than two years in the Netherlands. The aim is to equip them as soon as possible with the Dutch language skills they need to enter mainstream education.</w:t>
      </w:r>
    </w:p>
    <w:p w:rsidR="00E0446E" w:rsidRPr="00581181" w:rsidRDefault="00E0446E" w:rsidP="00A0027F">
      <w:pPr>
        <w:pStyle w:val="Heading3"/>
      </w:pPr>
      <w:r w:rsidRPr="00581181">
        <w:t>New government</w:t>
      </w:r>
      <w:r w:rsidR="009B7745">
        <w:t>’</w:t>
      </w:r>
      <w:r w:rsidRPr="00581181">
        <w:t xml:space="preserve">s plans to tackle school dropout </w:t>
      </w:r>
    </w:p>
    <w:p w:rsidR="00737550" w:rsidRDefault="00E0446E" w:rsidP="00030277">
      <w:pPr>
        <w:rPr>
          <w:szCs w:val="24"/>
        </w:rPr>
      </w:pPr>
      <w:r w:rsidRPr="00581181">
        <w:rPr>
          <w:szCs w:val="24"/>
        </w:rPr>
        <w:t>32.</w:t>
      </w:r>
      <w:r w:rsidRPr="00581181">
        <w:rPr>
          <w:szCs w:val="24"/>
        </w:rPr>
        <w:tab/>
        <w:t>In April 2006, the Education Ministry published a policy document announcing a package of extra measures to tackle dropout. This is primarily to be achieved by identifying and tackling language and learning deficiencies as early as possible and to ensure that transitions in pupils</w:t>
      </w:r>
      <w:r w:rsidR="009B7745">
        <w:rPr>
          <w:szCs w:val="24"/>
        </w:rPr>
        <w:t>’</w:t>
      </w:r>
      <w:r w:rsidRPr="00581181">
        <w:rPr>
          <w:szCs w:val="24"/>
        </w:rPr>
        <w:t xml:space="preserve"> school careers are as smooth as possible. Other effective measures include enforcing and prolonging school attendance, and enabling young people to gain basic qualifications through a combination of school and practical training in the workplace.</w:t>
      </w:r>
      <w:r w:rsidR="00F9391C">
        <w:rPr>
          <w:szCs w:val="24"/>
        </w:rPr>
        <w:t xml:space="preserve"> </w:t>
      </w:r>
    </w:p>
    <w:p w:rsidR="00E0446E" w:rsidRPr="00581181" w:rsidRDefault="00E0446E" w:rsidP="00030277">
      <w:pPr>
        <w:rPr>
          <w:szCs w:val="24"/>
        </w:rPr>
      </w:pPr>
      <w:r w:rsidRPr="00581181">
        <w:rPr>
          <w:szCs w:val="24"/>
        </w:rPr>
        <w:t>The most important measures are:</w:t>
      </w:r>
    </w:p>
    <w:p w:rsidR="00E0446E" w:rsidRPr="00581181" w:rsidRDefault="00E0446E" w:rsidP="0090124F">
      <w:pPr>
        <w:pStyle w:val="Bullet"/>
      </w:pPr>
      <w:r w:rsidRPr="00581181">
        <w:t>A bill proposing compulsory school attendance for all pupils up to 18 years until the</w:t>
      </w:r>
      <w:r w:rsidR="009A273B">
        <w:t>y attain a basic qualification</w:t>
      </w:r>
    </w:p>
    <w:p w:rsidR="00E0446E" w:rsidRPr="00581181" w:rsidRDefault="00E0446E" w:rsidP="0090124F">
      <w:pPr>
        <w:pStyle w:val="Bullet"/>
      </w:pPr>
      <w:r w:rsidRPr="00581181">
        <w:t>The development of a legal framework empowering municipalities to compel young people without a basic qualification aged 18 to 23 to follow a pro</w:t>
      </w:r>
      <w:r w:rsidR="009A273B">
        <w:t>gramme combining study and work</w:t>
      </w:r>
    </w:p>
    <w:p w:rsidR="00E0446E" w:rsidRPr="00581181" w:rsidRDefault="00E0446E" w:rsidP="0090124F">
      <w:pPr>
        <w:pStyle w:val="Bullet"/>
        <w:rPr>
          <w:color w:val="000000"/>
        </w:rPr>
      </w:pPr>
      <w:r w:rsidRPr="00581181">
        <w:rPr>
          <w:color w:val="000000"/>
        </w:rPr>
        <w:t>Agreements between the education ministry and the 14 local authorities with the highest level of school dropout aimed at reducing dropout in these regions at the end of the 2006/2007 school year by at least 10% compared</w:t>
      </w:r>
      <w:r w:rsidR="009A273B">
        <w:rPr>
          <w:color w:val="000000"/>
        </w:rPr>
        <w:t xml:space="preserve"> with the 2004/2005 school year</w:t>
      </w:r>
    </w:p>
    <w:p w:rsidR="00E0446E" w:rsidRPr="00581181" w:rsidRDefault="00E0446E" w:rsidP="0090124F">
      <w:pPr>
        <w:pStyle w:val="Bullet"/>
      </w:pPr>
      <w:r w:rsidRPr="00581181">
        <w:rPr>
          <w:color w:val="000000"/>
        </w:rPr>
        <w:t xml:space="preserve">Promoting </w:t>
      </w:r>
      <w:r w:rsidRPr="00581181">
        <w:t>support advisory teams (ZATs). This entails both reinforcing internal support services at schools and working together with external partners. The most important measures are aimed at strengthening services for pupils with special needs at levels 1</w:t>
      </w:r>
      <w:r w:rsidR="00AD0DF3" w:rsidRPr="00581181">
        <w:noBreakHyphen/>
      </w:r>
      <w:r w:rsidRPr="00581181">
        <w:t>2 of secondary vocational education (MBO) and giving shape to ZATs within MBO. To this end, the MBO budget has been permanently increased to provide fo</w:t>
      </w:r>
      <w:r w:rsidR="009A273B">
        <w:t>r support on a systematic basis</w:t>
      </w:r>
    </w:p>
    <w:p w:rsidR="00EC2B8C" w:rsidRDefault="00E0446E" w:rsidP="0090124F">
      <w:pPr>
        <w:pStyle w:val="Heading2"/>
      </w:pPr>
      <w:r w:rsidRPr="00581181">
        <w:t xml:space="preserve">D. </w:t>
      </w:r>
      <w:r w:rsidR="0090124F">
        <w:t xml:space="preserve"> </w:t>
      </w:r>
      <w:r w:rsidR="0090124F" w:rsidRPr="00581181">
        <w:t xml:space="preserve">Employment of minorities </w:t>
      </w:r>
      <w:r w:rsidRPr="00581181">
        <w:t>(concl. obs. no. 13)</w:t>
      </w:r>
    </w:p>
    <w:p w:rsidR="00E0446E" w:rsidRPr="00581181" w:rsidRDefault="00E0446E" w:rsidP="00254A15">
      <w:pPr>
        <w:pStyle w:val="Heading3"/>
      </w:pPr>
      <w:r w:rsidRPr="00581181">
        <w:t>Employment of Minorities (Promotion) Act</w:t>
      </w:r>
    </w:p>
    <w:p w:rsidR="00EC2B8C" w:rsidRDefault="00E0446E" w:rsidP="00030277">
      <w:pPr>
        <w:rPr>
          <w:szCs w:val="24"/>
        </w:rPr>
      </w:pPr>
      <w:r w:rsidRPr="00581181">
        <w:rPr>
          <w:szCs w:val="24"/>
        </w:rPr>
        <w:t>33.</w:t>
      </w:r>
      <w:r w:rsidRPr="00581181">
        <w:rPr>
          <w:szCs w:val="24"/>
        </w:rPr>
        <w:tab/>
        <w:t xml:space="preserve">Under the Employment of Minorities (Promotion) Act </w:t>
      </w:r>
      <w:r w:rsidRPr="00581181">
        <w:rPr>
          <w:i/>
          <w:iCs/>
          <w:szCs w:val="24"/>
        </w:rPr>
        <w:t>(Wet SAMEN)</w:t>
      </w:r>
      <w:r w:rsidRPr="00581181">
        <w:rPr>
          <w:szCs w:val="24"/>
        </w:rPr>
        <w:t xml:space="preserve">, all companies with more than 35 employees were required to report on the number of members of ethnic minorities in their employment (relative to the regional target figures) and on the policy conducted by the company to achieve proportionality under the Act. Although the number of companies that submitted an annual report under the Act increased annually, full compliance was never achieved. The Employment of Minorities (Promotion) Act was initially introduced on a temporary basis. After being extended for two years in 2002, it was repealed in 2004. It did, however, engender various activities, which are being developed within the National Diversity Management Network (DIV). Through the DIV, the Government provides support for employers in conducting their diversity policy. The DIV is a proactive knowledge centre that stimulates diversity management and acts as a forum for pooling the knowledge, skills and experience that </w:t>
      </w:r>
      <w:r w:rsidR="00891385">
        <w:rPr>
          <w:szCs w:val="24"/>
        </w:rPr>
        <w:br w:type="page"/>
      </w:r>
      <w:r w:rsidRPr="00581181">
        <w:rPr>
          <w:szCs w:val="24"/>
        </w:rPr>
        <w:t xml:space="preserve">exist in various places within the network on both the supply and the demand side. The knowledge acquired in recent years from implementing various projects relating to diversity policy will thus be maintained, augmented and applied in practice. </w:t>
      </w:r>
    </w:p>
    <w:p w:rsidR="00E0446E" w:rsidRPr="00581181" w:rsidRDefault="00E0446E" w:rsidP="00396C03">
      <w:pPr>
        <w:pStyle w:val="Heading3"/>
      </w:pPr>
      <w:r w:rsidRPr="00581181">
        <w:t xml:space="preserve">Measures/activities aimed at improving the position of ethnic minorities in the labour market </w:t>
      </w:r>
    </w:p>
    <w:p w:rsidR="00EC2B8C" w:rsidRDefault="00E0446E" w:rsidP="00030277">
      <w:pPr>
        <w:rPr>
          <w:szCs w:val="24"/>
        </w:rPr>
      </w:pPr>
      <w:r w:rsidRPr="00581181">
        <w:rPr>
          <w:szCs w:val="24"/>
        </w:rPr>
        <w:t>34.</w:t>
      </w:r>
      <w:r w:rsidRPr="00581181">
        <w:rPr>
          <w:szCs w:val="24"/>
        </w:rPr>
        <w:tab/>
        <w:t xml:space="preserve">The Ministry of Social Affairs and Employment is undertaking various activities aimed at improving the labour market status of ethnic minorities. These include generic activities from which ethnic minorities </w:t>
      </w:r>
      <w:r w:rsidR="00AD0DF3" w:rsidRPr="00581181">
        <w:rPr>
          <w:szCs w:val="24"/>
        </w:rPr>
        <w:noBreakHyphen/>
      </w:r>
      <w:r w:rsidRPr="00581181">
        <w:rPr>
          <w:szCs w:val="24"/>
        </w:rPr>
        <w:t xml:space="preserve"> like other groups </w:t>
      </w:r>
      <w:r w:rsidR="00AD0DF3" w:rsidRPr="00581181">
        <w:rPr>
          <w:szCs w:val="24"/>
        </w:rPr>
        <w:noBreakHyphen/>
      </w:r>
      <w:r w:rsidRPr="00581181">
        <w:rPr>
          <w:szCs w:val="24"/>
        </w:rPr>
        <w:t xml:space="preserve"> benefit proportionally, as well as activities specifically tailored to ethnic minorities. An effort is being made to combat negative perceptions and discrimination in relation to ethnic minority job</w:t>
      </w:r>
      <w:r w:rsidR="00AD0DF3" w:rsidRPr="00581181">
        <w:rPr>
          <w:szCs w:val="24"/>
        </w:rPr>
        <w:noBreakHyphen/>
      </w:r>
      <w:r w:rsidRPr="00581181">
        <w:rPr>
          <w:szCs w:val="24"/>
        </w:rPr>
        <w:t>seekers, with</w:t>
      </w:r>
      <w:r w:rsidR="00396C03">
        <w:rPr>
          <w:szCs w:val="24"/>
        </w:rPr>
        <w:t xml:space="preserve"> </w:t>
      </w:r>
      <w:r w:rsidRPr="00581181">
        <w:rPr>
          <w:szCs w:val="24"/>
        </w:rPr>
        <w:t xml:space="preserve">supplementary policies of a specific nature implemented on a temporary basis where necessary. </w:t>
      </w:r>
    </w:p>
    <w:p w:rsidR="00EC2B8C" w:rsidRDefault="00E0446E" w:rsidP="00030277">
      <w:pPr>
        <w:pStyle w:val="RegelafstandMeerdere1"/>
        <w:spacing w:after="240" w:line="240" w:lineRule="auto"/>
        <w:rPr>
          <w:rFonts w:ascii="Times New Roman" w:hAnsi="Times New Roman" w:cs="Times New Roman"/>
          <w:sz w:val="24"/>
          <w:szCs w:val="24"/>
          <w:lang w:val="en-GB"/>
        </w:rPr>
      </w:pPr>
      <w:r w:rsidRPr="00581181">
        <w:rPr>
          <w:rFonts w:ascii="Times New Roman" w:hAnsi="Times New Roman" w:cs="Times New Roman"/>
          <w:sz w:val="24"/>
          <w:szCs w:val="24"/>
          <w:lang w:val="en-GB"/>
        </w:rPr>
        <w:t>35.</w:t>
      </w:r>
      <w:r w:rsidRPr="00581181">
        <w:rPr>
          <w:rFonts w:ascii="Times New Roman" w:hAnsi="Times New Roman" w:cs="Times New Roman"/>
          <w:sz w:val="24"/>
          <w:szCs w:val="24"/>
          <w:lang w:val="en-GB"/>
        </w:rPr>
        <w:tab/>
        <w:t>As part of the Social Cohesion Initiative, the Government has entered into agreements with the social partners, benefits agencies, the Association of Netherlands Municipalities (VNG), ethnic minority organizations and other civil society organizations concerning a joint approach aimed at improving the position of ethnic minorities in the labour market. Ten projects have already been launched, one of which is the Job Offensive for Refugees.</w:t>
      </w:r>
      <w:r w:rsidRPr="00581181">
        <w:rPr>
          <w:rFonts w:ascii="Times New Roman" w:hAnsi="Times New Roman" w:cs="Times New Roman"/>
          <w:b/>
          <w:sz w:val="24"/>
          <w:szCs w:val="24"/>
          <w:lang w:val="en-GB"/>
        </w:rPr>
        <w:t xml:space="preserve"> </w:t>
      </w:r>
      <w:r w:rsidRPr="00581181">
        <w:rPr>
          <w:rFonts w:ascii="Times New Roman" w:hAnsi="Times New Roman" w:cs="Times New Roman"/>
          <w:sz w:val="24"/>
          <w:szCs w:val="24"/>
          <w:lang w:val="en-GB"/>
        </w:rPr>
        <w:t>The Dutch Council for Refugees, together with the Foundation for Refugee Students UAF, Emplooi and the Centre for Work and Income (CWI), launched a joint employment offensive for refugees, setting themselves the target of finding jobs for 2,600 refugees within three and a half years.</w:t>
      </w:r>
    </w:p>
    <w:p w:rsidR="00EC2B8C" w:rsidRDefault="00E0446E" w:rsidP="00396C03">
      <w:pPr>
        <w:pStyle w:val="Heading2"/>
      </w:pPr>
      <w:r w:rsidRPr="00581181">
        <w:t>E.</w:t>
      </w:r>
      <w:r w:rsidR="00396C03">
        <w:t xml:space="preserve"> </w:t>
      </w:r>
      <w:r w:rsidRPr="00581181">
        <w:t xml:space="preserve"> </w:t>
      </w:r>
      <w:r w:rsidR="00396C03" w:rsidRPr="00581181">
        <w:t xml:space="preserve">Aliens Act </w:t>
      </w:r>
      <w:r w:rsidRPr="00581181">
        <w:t>2000 (concl. obs. no. 14)</w:t>
      </w:r>
    </w:p>
    <w:p w:rsidR="00E0446E" w:rsidRPr="00581181" w:rsidRDefault="00E0446E" w:rsidP="005C7214">
      <w:pPr>
        <w:pStyle w:val="Heading3"/>
      </w:pPr>
      <w:r w:rsidRPr="00581181">
        <w:t>Relevant changes in legislation since the previous report</w:t>
      </w:r>
    </w:p>
    <w:p w:rsidR="00EC2B8C" w:rsidRDefault="00E0446E" w:rsidP="00030277">
      <w:pPr>
        <w:rPr>
          <w:szCs w:val="24"/>
          <w:vertAlign w:val="superscript"/>
        </w:rPr>
      </w:pPr>
      <w:r w:rsidRPr="00581181">
        <w:rPr>
          <w:szCs w:val="24"/>
        </w:rPr>
        <w:t>36.</w:t>
      </w:r>
      <w:r w:rsidRPr="00581181">
        <w:rPr>
          <w:szCs w:val="24"/>
        </w:rPr>
        <w:tab/>
        <w:t>With regard to section 21 of the combined 15th/16th report (CERD/C/452/Add.3), it should be noted that as of 1 September 2004, holders of temporary asylum residence permits can request that their permit be converted into a permanent asylum permit after a period of five years. Before this date, such a request could be made after three years. This new period enables the Dutch Government to reach a more considered assessment of whether the situation in the country of origin is still such that nationals of that country need to rely on permanent residence in the Netherlands. It is also more in line with the situation in neighbouring countries.</w:t>
      </w:r>
      <w:r w:rsidR="00DF4D67">
        <w:rPr>
          <w:i/>
          <w:iCs/>
          <w:szCs w:val="24"/>
        </w:rPr>
        <w:t xml:space="preserve"> </w:t>
      </w:r>
    </w:p>
    <w:p w:rsidR="00EC2B8C" w:rsidRPr="004A0B65" w:rsidRDefault="00E0446E" w:rsidP="00030277">
      <w:pPr>
        <w:rPr>
          <w:szCs w:val="24"/>
        </w:rPr>
      </w:pPr>
      <w:r w:rsidRPr="00581181">
        <w:rPr>
          <w:iCs/>
          <w:szCs w:val="24"/>
        </w:rPr>
        <w:t>37.</w:t>
      </w:r>
      <w:r w:rsidRPr="00581181">
        <w:rPr>
          <w:iCs/>
          <w:szCs w:val="24"/>
        </w:rPr>
        <w:tab/>
        <w:t>With regard to sections 31 and 32 of the previous report, the following should be noted:</w:t>
      </w:r>
      <w:r w:rsidR="006D4180">
        <w:rPr>
          <w:iCs/>
          <w:szCs w:val="24"/>
        </w:rPr>
        <w:t xml:space="preserve"> </w:t>
      </w:r>
      <w:r w:rsidRPr="00581181">
        <w:rPr>
          <w:szCs w:val="24"/>
        </w:rPr>
        <w:t>foreign minors who have remained in the country of origin qualify for a regular residence permit to join their biological or legal parent(s) in the Netherlands, providing that the latter is/are (a) legal resident(s),</w:t>
      </w:r>
      <w:r w:rsidR="00DF4D67">
        <w:rPr>
          <w:szCs w:val="24"/>
        </w:rPr>
        <w:t xml:space="preserve"> </w:t>
      </w:r>
      <w:r w:rsidRPr="00581181">
        <w:rPr>
          <w:szCs w:val="24"/>
        </w:rPr>
        <w:t>they have sufficient means of support, and that the existence of a family</w:t>
      </w:r>
      <w:r w:rsidR="00AD0DF3" w:rsidRPr="00581181">
        <w:rPr>
          <w:szCs w:val="24"/>
        </w:rPr>
        <w:noBreakHyphen/>
      </w:r>
      <w:r w:rsidRPr="00581181">
        <w:rPr>
          <w:szCs w:val="24"/>
        </w:rPr>
        <w:t xml:space="preserve">law relationship has been satisfactorily demonstrated. A further statutory obligation is that the minor in question must factually form part of the parental household. In the past this criterion has been interpreted in different ways, but with effect from 8 September 2006 it is </w:t>
      </w:r>
      <w:r w:rsidR="00AD0DF3" w:rsidRPr="00581181">
        <w:rPr>
          <w:szCs w:val="24"/>
        </w:rPr>
        <w:noBreakHyphen/>
      </w:r>
      <w:r w:rsidRPr="00581181">
        <w:rPr>
          <w:szCs w:val="24"/>
        </w:rPr>
        <w:t xml:space="preserve"> with very few exceptions </w:t>
      </w:r>
      <w:r w:rsidR="00AD0DF3" w:rsidRPr="00581181">
        <w:rPr>
          <w:szCs w:val="24"/>
        </w:rPr>
        <w:noBreakHyphen/>
      </w:r>
      <w:r w:rsidRPr="00581181">
        <w:rPr>
          <w:szCs w:val="24"/>
        </w:rPr>
        <w:t xml:space="preserve"> considered to be fulfilled when family life exists within the meaning of article 8 of the European Convention on Human Rights. In principle, family life in this sense always exists between parents and their children, and may be considered to be terminated only in highly exceptional circumstances. This change of policy ties in with the stance of the Dutch Government that parents and children belong together and that their family ties should not be </w:t>
      </w:r>
      <w:r w:rsidR="00891385">
        <w:rPr>
          <w:szCs w:val="24"/>
        </w:rPr>
        <w:br w:type="page"/>
      </w:r>
      <w:r w:rsidRPr="00581181">
        <w:rPr>
          <w:szCs w:val="24"/>
        </w:rPr>
        <w:t>quickly deemed to be severed. The introduction of this clear criterion makes implementation much easier and is more in line with the way in which the existence of family life is assessed in neighbouring European countries.</w:t>
      </w:r>
    </w:p>
    <w:p w:rsidR="00EC2B8C" w:rsidRDefault="00E0446E" w:rsidP="00030277">
      <w:pPr>
        <w:rPr>
          <w:iCs/>
          <w:szCs w:val="24"/>
        </w:rPr>
      </w:pPr>
      <w:r w:rsidRPr="00581181">
        <w:rPr>
          <w:szCs w:val="24"/>
        </w:rPr>
        <w:t>38.</w:t>
      </w:r>
      <w:r w:rsidRPr="00581181">
        <w:rPr>
          <w:szCs w:val="24"/>
        </w:rPr>
        <w:tab/>
        <w:t xml:space="preserve">It should be noted that the Aliens Act 2000 was evaluated between 2003 and 2006. In its final report, the evaluating committee came to a number of conclusions, one being that the level of care exercised in the accelerated asylum procedure should be enhanced in order to achieve an improvement in quality, comparable to the improvement made in the standard asylum procedure as compared to the situation under the former Aliens Act. It also concluded that the standard asylum procedure needed speeding up. In its coalition agreement, the Government has undertaken </w:t>
      </w:r>
      <w:r w:rsidR="00AD0DF3" w:rsidRPr="00581181">
        <w:rPr>
          <w:szCs w:val="24"/>
        </w:rPr>
        <w:noBreakHyphen/>
      </w:r>
      <w:r w:rsidRPr="00581181">
        <w:rPr>
          <w:szCs w:val="24"/>
        </w:rPr>
        <w:t xml:space="preserve"> partly in the light of these conclusions </w:t>
      </w:r>
      <w:r w:rsidR="00AD0DF3" w:rsidRPr="00581181">
        <w:rPr>
          <w:szCs w:val="24"/>
        </w:rPr>
        <w:noBreakHyphen/>
      </w:r>
      <w:r w:rsidRPr="00581181">
        <w:rPr>
          <w:szCs w:val="24"/>
        </w:rPr>
        <w:t xml:space="preserve"> to improve the asylum procedure, particularly the accelerated procedure. The details are to be worked out later.</w:t>
      </w:r>
    </w:p>
    <w:p w:rsidR="00E0446E" w:rsidRPr="00581181" w:rsidRDefault="00E0446E" w:rsidP="00030277">
      <w:pPr>
        <w:rPr>
          <w:iCs/>
          <w:szCs w:val="24"/>
        </w:rPr>
      </w:pPr>
      <w:r w:rsidRPr="00581181">
        <w:rPr>
          <w:iCs/>
          <w:szCs w:val="24"/>
        </w:rPr>
        <w:t>39.</w:t>
      </w:r>
      <w:r w:rsidRPr="00581181">
        <w:rPr>
          <w:iCs/>
          <w:szCs w:val="24"/>
        </w:rPr>
        <w:tab/>
        <w:t xml:space="preserve">With regard to the points to which the Committee specifically drew attention, the following is noted. </w:t>
      </w:r>
    </w:p>
    <w:p w:rsidR="00EC2B8C" w:rsidRDefault="00E0446E" w:rsidP="006D4180">
      <w:pPr>
        <w:pStyle w:val="Heading3"/>
      </w:pPr>
      <w:r w:rsidRPr="00581181">
        <w:t>Residence permits for rejected asylum seekers who through no fault of their own cannot return to their country of origin</w:t>
      </w:r>
    </w:p>
    <w:p w:rsidR="00EC2B8C" w:rsidRDefault="00E0446E" w:rsidP="00030277">
      <w:pPr>
        <w:rPr>
          <w:szCs w:val="24"/>
        </w:rPr>
      </w:pPr>
      <w:r w:rsidRPr="00581181">
        <w:rPr>
          <w:szCs w:val="24"/>
        </w:rPr>
        <w:t>40.</w:t>
      </w:r>
      <w:r w:rsidRPr="00581181">
        <w:rPr>
          <w:szCs w:val="24"/>
        </w:rPr>
        <w:tab/>
        <w:t>The Netherlands is pleased that the Committee welcomes the option of granting a residence permit to asylum seekers who are able to demonstrate objectively that they cannot leave the Netherlands through no fault of their own (</w:t>
      </w:r>
      <w:r w:rsidR="009B7745">
        <w:rPr>
          <w:szCs w:val="24"/>
        </w:rPr>
        <w:t>‘</w:t>
      </w:r>
      <w:r w:rsidRPr="00581181">
        <w:rPr>
          <w:i/>
          <w:szCs w:val="24"/>
        </w:rPr>
        <w:t>buiten schuld</w:t>
      </w:r>
      <w:r w:rsidR="009B7745">
        <w:rPr>
          <w:szCs w:val="24"/>
        </w:rPr>
        <w:t>’</w:t>
      </w:r>
      <w:r w:rsidRPr="00581181">
        <w:rPr>
          <w:szCs w:val="24"/>
        </w:rPr>
        <w:t>). The Netherlands shares the Committee</w:t>
      </w:r>
      <w:r w:rsidR="009B7745">
        <w:rPr>
          <w:szCs w:val="24"/>
        </w:rPr>
        <w:t>’</w:t>
      </w:r>
      <w:r w:rsidRPr="00581181">
        <w:rPr>
          <w:szCs w:val="24"/>
        </w:rPr>
        <w:t>s view that the criteria on the basis of which such permits are granted should be as clearly defined as possible.</w:t>
      </w:r>
    </w:p>
    <w:p w:rsidR="00EC2B8C" w:rsidRDefault="00E0446E" w:rsidP="00030277">
      <w:pPr>
        <w:rPr>
          <w:szCs w:val="24"/>
        </w:rPr>
      </w:pPr>
      <w:r w:rsidRPr="00581181">
        <w:rPr>
          <w:szCs w:val="24"/>
        </w:rPr>
        <w:t>41.</w:t>
      </w:r>
      <w:r w:rsidRPr="00581181">
        <w:rPr>
          <w:szCs w:val="24"/>
        </w:rPr>
        <w:tab/>
        <w:t xml:space="preserve">The concept </w:t>
      </w:r>
      <w:r w:rsidR="009B7745">
        <w:rPr>
          <w:szCs w:val="24"/>
        </w:rPr>
        <w:t>‘</w:t>
      </w:r>
      <w:r w:rsidRPr="00581181">
        <w:rPr>
          <w:szCs w:val="24"/>
        </w:rPr>
        <w:t>no fault of their own</w:t>
      </w:r>
      <w:r w:rsidR="009B7745">
        <w:rPr>
          <w:szCs w:val="24"/>
        </w:rPr>
        <w:t>’</w:t>
      </w:r>
      <w:r w:rsidRPr="00581181">
        <w:rPr>
          <w:szCs w:val="24"/>
        </w:rPr>
        <w:t xml:space="preserve"> should be regarded as an objective criterion, which entails that an alien must be able to demonstrate, with the aid of documentation that can be objectively assessed, that the authorities of his country of origin or (previous) residence will not grant permission for his return. As regards the attempts to obtain the necessary cooperation of the relevant national authorities, as well as the necessary (replacement) travel documents, responsibility rests with the alien.</w:t>
      </w:r>
    </w:p>
    <w:p w:rsidR="00E0446E" w:rsidRPr="00581181" w:rsidRDefault="00E0446E" w:rsidP="00272628">
      <w:pPr>
        <w:rPr>
          <w:szCs w:val="24"/>
        </w:rPr>
      </w:pPr>
      <w:r w:rsidRPr="00581181">
        <w:rPr>
          <w:szCs w:val="24"/>
        </w:rPr>
        <w:t>42.</w:t>
      </w:r>
      <w:r w:rsidRPr="00581181">
        <w:rPr>
          <w:szCs w:val="24"/>
        </w:rPr>
        <w:tab/>
        <w:t>In order for a residence permit to be issued on the above grounds all the following conditions must have been met:</w:t>
      </w:r>
    </w:p>
    <w:p w:rsidR="00E0446E" w:rsidRPr="00581181" w:rsidRDefault="00E0446E" w:rsidP="00272628">
      <w:pPr>
        <w:ind w:left="1134" w:hanging="567"/>
        <w:rPr>
          <w:szCs w:val="24"/>
        </w:rPr>
      </w:pPr>
      <w:r w:rsidRPr="00581181">
        <w:rPr>
          <w:szCs w:val="24"/>
        </w:rPr>
        <w:t>1.</w:t>
      </w:r>
      <w:r w:rsidRPr="00581181">
        <w:rPr>
          <w:szCs w:val="24"/>
        </w:rPr>
        <w:tab/>
        <w:t>The alien has tried independently to leave the country. He has demonstrated that he has applied to the diplomatic or consular mission of the country or countries of which he is a national, where he previously resided regularly as a stateless alien, and/or of other countries of which it, due to the special facts and circumstances of the particular case, may be assumed that these countries are likely to admit him;</w:t>
      </w:r>
    </w:p>
    <w:p w:rsidR="00E0446E" w:rsidRPr="00581181" w:rsidRDefault="00E0446E" w:rsidP="00272628">
      <w:pPr>
        <w:ind w:left="1134" w:hanging="567"/>
        <w:rPr>
          <w:color w:val="000000"/>
          <w:szCs w:val="24"/>
        </w:rPr>
      </w:pPr>
      <w:r w:rsidRPr="00581181">
        <w:rPr>
          <w:color w:val="000000"/>
          <w:szCs w:val="24"/>
        </w:rPr>
        <w:t>2.</w:t>
      </w:r>
      <w:r w:rsidRPr="00581181">
        <w:rPr>
          <w:color w:val="000000"/>
          <w:szCs w:val="24"/>
        </w:rPr>
        <w:tab/>
        <w:t>He has applied to the International Organization for Migration (IOM) for assistance with his departure, and the IOM has indicated it is not able to facilitate the alien</w:t>
      </w:r>
      <w:r w:rsidR="009B7745">
        <w:rPr>
          <w:color w:val="000000"/>
          <w:szCs w:val="24"/>
        </w:rPr>
        <w:t>’</w:t>
      </w:r>
      <w:r w:rsidRPr="00581181">
        <w:rPr>
          <w:color w:val="000000"/>
          <w:szCs w:val="24"/>
        </w:rPr>
        <w:t xml:space="preserve">s departure, because the alien purports not to have a travel document at his disposal; </w:t>
      </w:r>
    </w:p>
    <w:p w:rsidR="00E0446E" w:rsidRPr="00581181" w:rsidRDefault="00272628" w:rsidP="00272628">
      <w:pPr>
        <w:ind w:left="1134" w:hanging="567"/>
        <w:rPr>
          <w:color w:val="000000"/>
          <w:szCs w:val="24"/>
        </w:rPr>
      </w:pPr>
      <w:r>
        <w:rPr>
          <w:color w:val="000000"/>
          <w:szCs w:val="24"/>
        </w:rPr>
        <w:br w:type="page"/>
      </w:r>
      <w:r w:rsidR="00E0446E" w:rsidRPr="00581181">
        <w:rPr>
          <w:color w:val="000000"/>
          <w:szCs w:val="24"/>
        </w:rPr>
        <w:t>3.</w:t>
      </w:r>
      <w:r w:rsidR="00E0446E" w:rsidRPr="00581181">
        <w:rPr>
          <w:color w:val="000000"/>
          <w:szCs w:val="24"/>
        </w:rPr>
        <w:tab/>
        <w:t>He has requested the Ministry of Justice</w:t>
      </w:r>
      <w:r w:rsidR="009B7745">
        <w:rPr>
          <w:color w:val="000000"/>
          <w:szCs w:val="24"/>
        </w:rPr>
        <w:t>’</w:t>
      </w:r>
      <w:r w:rsidR="00E0446E" w:rsidRPr="00581181">
        <w:rPr>
          <w:color w:val="000000"/>
          <w:szCs w:val="24"/>
        </w:rPr>
        <w:t>s Repatriations and Departure Service to mediate with a view to obtaining the necessary documents from the authorities of the country or countries that are likely to admit him, and such mediation has not been effective;</w:t>
      </w:r>
    </w:p>
    <w:p w:rsidR="00E0446E" w:rsidRPr="00581181" w:rsidRDefault="00E0446E" w:rsidP="006D4180">
      <w:pPr>
        <w:ind w:left="1134" w:hanging="567"/>
        <w:rPr>
          <w:color w:val="000000"/>
          <w:szCs w:val="24"/>
        </w:rPr>
      </w:pPr>
      <w:r w:rsidRPr="00581181">
        <w:rPr>
          <w:color w:val="000000"/>
          <w:szCs w:val="24"/>
        </w:rPr>
        <w:t>4.</w:t>
      </w:r>
      <w:r w:rsidRPr="00581181">
        <w:rPr>
          <w:color w:val="000000"/>
          <w:szCs w:val="24"/>
        </w:rPr>
        <w:tab/>
        <w:t>The combined facts and circumstances of his case are such that it can be determined that it is through no fault of his own that the alien cannot leave the Netherlands. This concerns objective, verifiable facts and circumstances that relate to him personally, and are backed by documentation; and</w:t>
      </w:r>
    </w:p>
    <w:p w:rsidR="00EC2B8C" w:rsidRDefault="00E0446E" w:rsidP="006D4180">
      <w:pPr>
        <w:ind w:left="1134" w:hanging="567"/>
        <w:rPr>
          <w:color w:val="000000"/>
          <w:szCs w:val="24"/>
        </w:rPr>
      </w:pPr>
      <w:r w:rsidRPr="00581181">
        <w:rPr>
          <w:color w:val="000000"/>
          <w:szCs w:val="24"/>
        </w:rPr>
        <w:t>5.</w:t>
      </w:r>
      <w:r w:rsidRPr="00581181">
        <w:rPr>
          <w:color w:val="000000"/>
          <w:szCs w:val="24"/>
        </w:rPr>
        <w:tab/>
        <w:t>He is living in the Netherlands without a residence permit and does not fulfil the conditions for being granted another kind of residence permit.</w:t>
      </w:r>
    </w:p>
    <w:p w:rsidR="00EC2B8C" w:rsidRDefault="00E0446E" w:rsidP="00030277">
      <w:pPr>
        <w:rPr>
          <w:iCs/>
          <w:szCs w:val="24"/>
        </w:rPr>
      </w:pPr>
      <w:r w:rsidRPr="00581181">
        <w:rPr>
          <w:szCs w:val="24"/>
        </w:rPr>
        <w:t>43.</w:t>
      </w:r>
      <w:r w:rsidRPr="00581181">
        <w:rPr>
          <w:szCs w:val="24"/>
        </w:rPr>
        <w:tab/>
        <w:t xml:space="preserve">Furthermore it must be noted that the State Secretary for Justice retains the right to deviate from this policy rule (having powers to depart from policy rules) in individual cases, and grant a permit, when applying this policy rule would, due to special circumstances, have consequences which would </w:t>
      </w:r>
      <w:r w:rsidRPr="00581181">
        <w:rPr>
          <w:szCs w:val="24"/>
          <w:lang w:val="en-US"/>
        </w:rPr>
        <w:t>be out of proportion to the purposes of the rule.</w:t>
      </w:r>
    </w:p>
    <w:p w:rsidR="00E0446E" w:rsidRPr="00581181" w:rsidRDefault="00E0446E" w:rsidP="00C257DF">
      <w:pPr>
        <w:pStyle w:val="Heading3"/>
      </w:pPr>
      <w:r w:rsidRPr="00581181">
        <w:t xml:space="preserve">Aliens who entered the Netherlands under the old Aliens Act </w:t>
      </w:r>
    </w:p>
    <w:p w:rsidR="00EC2B8C" w:rsidRDefault="00E0446E" w:rsidP="00030277">
      <w:pPr>
        <w:rPr>
          <w:szCs w:val="24"/>
        </w:rPr>
      </w:pPr>
      <w:r w:rsidRPr="00581181">
        <w:rPr>
          <w:szCs w:val="24"/>
        </w:rPr>
        <w:t>44.</w:t>
      </w:r>
      <w:r w:rsidRPr="00581181">
        <w:rPr>
          <w:szCs w:val="24"/>
        </w:rPr>
        <w:tab/>
        <w:t>When assessing asylum applications, the Netherlands takes account of its obligations under international law, including the principle of non</w:t>
      </w:r>
      <w:r w:rsidR="00AD0DF3" w:rsidRPr="00581181">
        <w:rPr>
          <w:szCs w:val="24"/>
        </w:rPr>
        <w:noBreakHyphen/>
      </w:r>
      <w:r w:rsidRPr="00581181">
        <w:rPr>
          <w:szCs w:val="24"/>
        </w:rPr>
        <w:t xml:space="preserve">refoulement, laid down inter alia in article 3 of the European Convention and article 3 of the Convention against Torture, and the right to family life, laid down inter alia in article 8 of the European Convention. </w:t>
      </w:r>
    </w:p>
    <w:p w:rsidR="00EC2B8C" w:rsidRDefault="00E0446E" w:rsidP="00030277">
      <w:pPr>
        <w:rPr>
          <w:szCs w:val="24"/>
        </w:rPr>
      </w:pPr>
      <w:r w:rsidRPr="00581181">
        <w:rPr>
          <w:szCs w:val="24"/>
        </w:rPr>
        <w:t>45.</w:t>
      </w:r>
      <w:r w:rsidRPr="00581181">
        <w:rPr>
          <w:szCs w:val="24"/>
        </w:rPr>
        <w:tab/>
        <w:t xml:space="preserve">The Committee refers to </w:t>
      </w:r>
      <w:r w:rsidR="009B7745">
        <w:rPr>
          <w:szCs w:val="24"/>
        </w:rPr>
        <w:t>‘</w:t>
      </w:r>
      <w:r w:rsidRPr="00581181">
        <w:rPr>
          <w:szCs w:val="24"/>
        </w:rPr>
        <w:t>the Government</w:t>
      </w:r>
      <w:r w:rsidR="009B7745">
        <w:rPr>
          <w:szCs w:val="24"/>
        </w:rPr>
        <w:t>’</w:t>
      </w:r>
      <w:r w:rsidRPr="00581181">
        <w:rPr>
          <w:szCs w:val="24"/>
        </w:rPr>
        <w:t>s plans to return a very large number of failed asylum seekers</w:t>
      </w:r>
      <w:r w:rsidR="009B7745">
        <w:rPr>
          <w:szCs w:val="24"/>
        </w:rPr>
        <w:t>’</w:t>
      </w:r>
      <w:r w:rsidRPr="00581181">
        <w:rPr>
          <w:szCs w:val="24"/>
        </w:rPr>
        <w:t>. Of the group of asylum seekers who have been in the Netherlands for a long time and who applied for asylum under the old Aliens Act, which was valid up to 31</w:t>
      </w:r>
      <w:r w:rsidR="0081419D">
        <w:rPr>
          <w:szCs w:val="24"/>
        </w:rPr>
        <w:t> </w:t>
      </w:r>
      <w:r w:rsidRPr="00581181">
        <w:rPr>
          <w:szCs w:val="24"/>
        </w:rPr>
        <w:t>March</w:t>
      </w:r>
      <w:r w:rsidR="0081419D">
        <w:rPr>
          <w:szCs w:val="24"/>
        </w:rPr>
        <w:t> </w:t>
      </w:r>
      <w:r w:rsidRPr="00581181">
        <w:rPr>
          <w:szCs w:val="24"/>
        </w:rPr>
        <w:t xml:space="preserve">2001, some 4,950 individuals are known to have left the country by the end of December 2006, largely through the mediation of the IOM. Some 10,750 aliens have acquired residence permits on various grounds, for instance because they were deemed to need protection, because they were unable to leave the Netherlands through no fault of their own, or because of humanitarian considerations. Around 8,290 of the original group have not demonstrably left the Netherlands. </w:t>
      </w:r>
    </w:p>
    <w:p w:rsidR="00EC2B8C" w:rsidRDefault="00E0446E" w:rsidP="00030277">
      <w:pPr>
        <w:rPr>
          <w:szCs w:val="24"/>
        </w:rPr>
      </w:pPr>
      <w:r w:rsidRPr="00581181">
        <w:rPr>
          <w:szCs w:val="24"/>
        </w:rPr>
        <w:t>46.</w:t>
      </w:r>
      <w:r w:rsidRPr="00581181">
        <w:rPr>
          <w:szCs w:val="24"/>
        </w:rPr>
        <w:tab/>
        <w:t>The new Government has introduced an arrangement intended to resolve this issue (</w:t>
      </w:r>
      <w:r w:rsidRPr="00581181">
        <w:rPr>
          <w:i/>
          <w:iCs/>
          <w:szCs w:val="24"/>
        </w:rPr>
        <w:t>pardonregeling</w:t>
      </w:r>
      <w:r w:rsidRPr="00581181">
        <w:rPr>
          <w:szCs w:val="24"/>
        </w:rPr>
        <w:t>). This arrangement entails that residence permits will be issued to those failed asylum</w:t>
      </w:r>
      <w:r w:rsidR="00AD0DF3" w:rsidRPr="00581181">
        <w:rPr>
          <w:szCs w:val="24"/>
        </w:rPr>
        <w:noBreakHyphen/>
      </w:r>
      <w:r w:rsidRPr="00581181">
        <w:rPr>
          <w:szCs w:val="24"/>
        </w:rPr>
        <w:t>seekers who meet a number of objective criteria. These criteria entail, amongst others, that the alien has submitted his first asylum application before 1 April 2001, has resided continuously in the Netherlands since 1 April 2001, and there is no indication that he is a threat to the public order. As a result of this arrangement, a large number of the group of aliens who applied for asylum under the old Aliens Act and who are still in the Netherlands will be issued a residence permit after all. Hence, returning them to their countries of origin is no longer an issue. The arrangement is currently being put into effect.</w:t>
      </w:r>
    </w:p>
    <w:p w:rsidR="00EC2B8C" w:rsidRDefault="00272628" w:rsidP="00030277">
      <w:pPr>
        <w:rPr>
          <w:szCs w:val="24"/>
        </w:rPr>
      </w:pPr>
      <w:r>
        <w:rPr>
          <w:szCs w:val="24"/>
        </w:rPr>
        <w:br w:type="page"/>
      </w:r>
      <w:r w:rsidR="00E0446E" w:rsidRPr="00581181">
        <w:rPr>
          <w:szCs w:val="24"/>
        </w:rPr>
        <w:t>47.</w:t>
      </w:r>
      <w:r w:rsidR="00E0446E" w:rsidRPr="00581181">
        <w:rPr>
          <w:szCs w:val="24"/>
        </w:rPr>
        <w:tab/>
        <w:t>However, the above does not detract from the basic assumption that those who do not (or no longer) reside lawfully in the Netherlands must leave the country, whether or not after the expiry of a set period, the reason being the Government</w:t>
      </w:r>
      <w:r w:rsidR="009B7745">
        <w:rPr>
          <w:szCs w:val="24"/>
        </w:rPr>
        <w:t>’</w:t>
      </w:r>
      <w:r w:rsidR="00E0446E" w:rsidRPr="00581181">
        <w:rPr>
          <w:szCs w:val="24"/>
        </w:rPr>
        <w:t>s conviction that the return of rejected asylum</w:t>
      </w:r>
      <w:r w:rsidR="00AD0DF3" w:rsidRPr="00581181">
        <w:rPr>
          <w:szCs w:val="24"/>
        </w:rPr>
        <w:noBreakHyphen/>
      </w:r>
      <w:r w:rsidR="00E0446E" w:rsidRPr="00581181">
        <w:rPr>
          <w:szCs w:val="24"/>
        </w:rPr>
        <w:t xml:space="preserve">seekers improves the position of aliens who reside legally in the Netherlands, in terms of acceptance, social position and integration. </w:t>
      </w:r>
    </w:p>
    <w:p w:rsidR="00E0446E" w:rsidRPr="00581181" w:rsidRDefault="00E0446E" w:rsidP="00C257DF">
      <w:pPr>
        <w:pStyle w:val="Heading3"/>
      </w:pPr>
      <w:r w:rsidRPr="00581181">
        <w:t>Minor asylum</w:t>
      </w:r>
      <w:r w:rsidR="00AD0DF3" w:rsidRPr="00581181">
        <w:noBreakHyphen/>
      </w:r>
      <w:r w:rsidRPr="00581181">
        <w:t xml:space="preserve">seekers </w:t>
      </w:r>
    </w:p>
    <w:p w:rsidR="00EC2B8C" w:rsidRDefault="00E0446E" w:rsidP="00030277">
      <w:pPr>
        <w:rPr>
          <w:szCs w:val="24"/>
        </w:rPr>
      </w:pPr>
      <w:r w:rsidRPr="00581181">
        <w:rPr>
          <w:szCs w:val="24"/>
        </w:rPr>
        <w:t>48.</w:t>
      </w:r>
      <w:r w:rsidRPr="00581181">
        <w:rPr>
          <w:szCs w:val="24"/>
        </w:rPr>
        <w:tab/>
        <w:t>The Netherlands pursues a special policy on unaccompanied minor asylum</w:t>
      </w:r>
      <w:r w:rsidR="00AD0DF3" w:rsidRPr="00581181">
        <w:rPr>
          <w:szCs w:val="24"/>
        </w:rPr>
        <w:noBreakHyphen/>
      </w:r>
      <w:r w:rsidRPr="00581181">
        <w:rPr>
          <w:szCs w:val="24"/>
        </w:rPr>
        <w:t>seekers. Minor asylum</w:t>
      </w:r>
      <w:r w:rsidR="00AD0DF3" w:rsidRPr="00581181">
        <w:rPr>
          <w:szCs w:val="24"/>
        </w:rPr>
        <w:noBreakHyphen/>
      </w:r>
      <w:r w:rsidRPr="00581181">
        <w:rPr>
          <w:szCs w:val="24"/>
        </w:rPr>
        <w:t xml:space="preserve">seekers whose application has been rejected retain the right to reception until they reach the age of 18, unless reception becomes available in their country of origin before that time. If at the time their application is rejected it can not be determined whether reception in their country of origin is available, the minor is automatically issued a regular residence permit. If their circumstances remain unchanged, the permit granted may </w:t>
      </w:r>
      <w:r w:rsidR="00AD0DF3" w:rsidRPr="00581181">
        <w:rPr>
          <w:szCs w:val="24"/>
        </w:rPr>
        <w:noBreakHyphen/>
      </w:r>
      <w:r w:rsidRPr="00581181">
        <w:rPr>
          <w:szCs w:val="24"/>
        </w:rPr>
        <w:t xml:space="preserve"> provided that the additional conditions are fulfilled </w:t>
      </w:r>
      <w:r w:rsidR="00AD0DF3" w:rsidRPr="00581181">
        <w:rPr>
          <w:szCs w:val="24"/>
        </w:rPr>
        <w:noBreakHyphen/>
      </w:r>
      <w:r w:rsidRPr="00581181">
        <w:rPr>
          <w:szCs w:val="24"/>
        </w:rPr>
        <w:t xml:space="preserve"> after a three</w:t>
      </w:r>
      <w:r w:rsidR="00AD0DF3" w:rsidRPr="00581181">
        <w:rPr>
          <w:szCs w:val="24"/>
        </w:rPr>
        <w:noBreakHyphen/>
      </w:r>
      <w:r w:rsidRPr="00581181">
        <w:rPr>
          <w:szCs w:val="24"/>
        </w:rPr>
        <w:t>year period be converted into a permit for continued residence.</w:t>
      </w:r>
    </w:p>
    <w:p w:rsidR="00EC2B8C" w:rsidRDefault="00E0446E" w:rsidP="00030277">
      <w:pPr>
        <w:rPr>
          <w:szCs w:val="24"/>
        </w:rPr>
      </w:pPr>
      <w:r w:rsidRPr="00581181">
        <w:rPr>
          <w:szCs w:val="24"/>
        </w:rPr>
        <w:t>49.</w:t>
      </w:r>
      <w:r w:rsidRPr="00581181">
        <w:rPr>
          <w:szCs w:val="24"/>
        </w:rPr>
        <w:tab/>
        <w:t>Unaccompanied minors may be placed in an aliens</w:t>
      </w:r>
      <w:r w:rsidR="009B7745">
        <w:rPr>
          <w:szCs w:val="24"/>
        </w:rPr>
        <w:t>’</w:t>
      </w:r>
      <w:r w:rsidRPr="00581181">
        <w:rPr>
          <w:szCs w:val="24"/>
        </w:rPr>
        <w:t xml:space="preserve"> detention centre if this is necessary for returning them to their countries of origin. However, this measure is used only with great circumspection. </w:t>
      </w:r>
    </w:p>
    <w:p w:rsidR="00EC2B8C" w:rsidRDefault="00E0446E" w:rsidP="00030277">
      <w:pPr>
        <w:rPr>
          <w:szCs w:val="24"/>
        </w:rPr>
      </w:pPr>
      <w:r w:rsidRPr="00581181">
        <w:rPr>
          <w:szCs w:val="24"/>
        </w:rPr>
        <w:t>50.</w:t>
      </w:r>
      <w:r w:rsidRPr="00581181">
        <w:rPr>
          <w:szCs w:val="24"/>
        </w:rPr>
        <w:tab/>
        <w:t>When families with children are to be returned, account is taken of the vulnerable position of the children. If it is considered necessary to place a family in detention in order to return them, minor children are only detained if the parents indicate that they do not wish to be separated from them. Parents are also entitled to place the children elsewhere, for instance with relatives or friends, or with a foster family. In cases where families with children are detained, a special effort is made to keep the period of detention down to a minimum and to place them in locations with facilities for children.</w:t>
      </w:r>
    </w:p>
    <w:p w:rsidR="00EC2B8C" w:rsidRDefault="00E0446E" w:rsidP="00030277">
      <w:pPr>
        <w:rPr>
          <w:szCs w:val="24"/>
        </w:rPr>
      </w:pPr>
      <w:r w:rsidRPr="00581181">
        <w:rPr>
          <w:szCs w:val="24"/>
        </w:rPr>
        <w:t>51.</w:t>
      </w:r>
      <w:r w:rsidRPr="00581181">
        <w:rPr>
          <w:szCs w:val="24"/>
        </w:rPr>
        <w:tab/>
        <w:t xml:space="preserve">In the international context, the most relevant convention regarding the detention of minors is the Convention on the Rights of the Child. Dutch practice accords with article 37(c) of the Convention which states, inter alia, that </w:t>
      </w:r>
      <w:r w:rsidR="009B7745">
        <w:rPr>
          <w:szCs w:val="24"/>
        </w:rPr>
        <w:t>‘</w:t>
      </w:r>
      <w:r w:rsidRPr="00581181">
        <w:rPr>
          <w:szCs w:val="24"/>
        </w:rPr>
        <w:t>every child deprived of liberty shall be separated from adults unless it is considered in the child</w:t>
      </w:r>
      <w:r w:rsidR="009B7745">
        <w:rPr>
          <w:szCs w:val="24"/>
        </w:rPr>
        <w:t>’</w:t>
      </w:r>
      <w:r w:rsidRPr="00581181">
        <w:rPr>
          <w:szCs w:val="24"/>
        </w:rPr>
        <w:t>s best interest not to do so</w:t>
      </w:r>
      <w:r w:rsidR="009B7745">
        <w:rPr>
          <w:szCs w:val="24"/>
        </w:rPr>
        <w:t>’</w:t>
      </w:r>
      <w:r w:rsidRPr="00581181">
        <w:rPr>
          <w:szCs w:val="24"/>
        </w:rPr>
        <w:t>. The latter particularly applies if a parent, relative or close friend of the minor is also being detained.</w:t>
      </w:r>
    </w:p>
    <w:p w:rsidR="00EC2B8C" w:rsidRDefault="00E0446E" w:rsidP="00030277">
      <w:pPr>
        <w:rPr>
          <w:iCs/>
          <w:szCs w:val="24"/>
        </w:rPr>
      </w:pPr>
      <w:r w:rsidRPr="00581181">
        <w:rPr>
          <w:szCs w:val="24"/>
        </w:rPr>
        <w:t xml:space="preserve">52. </w:t>
      </w:r>
      <w:r w:rsidRPr="00581181">
        <w:rPr>
          <w:szCs w:val="24"/>
        </w:rPr>
        <w:tab/>
        <w:t>Finally, it may be noted in this context that the State Secretary for Justice is currently reviewing the policy on minors, including minors in aliens</w:t>
      </w:r>
      <w:r w:rsidR="009B7745">
        <w:rPr>
          <w:szCs w:val="24"/>
        </w:rPr>
        <w:t>’</w:t>
      </w:r>
      <w:r w:rsidRPr="00581181">
        <w:rPr>
          <w:szCs w:val="24"/>
        </w:rPr>
        <w:t xml:space="preserve"> detention centres.</w:t>
      </w:r>
    </w:p>
    <w:p w:rsidR="00EC2B8C" w:rsidRDefault="00E0446E" w:rsidP="008C36B1">
      <w:pPr>
        <w:pStyle w:val="Heading2"/>
      </w:pPr>
      <w:r w:rsidRPr="00581181">
        <w:t xml:space="preserve">F. </w:t>
      </w:r>
      <w:r w:rsidR="008C36B1">
        <w:t xml:space="preserve"> </w:t>
      </w:r>
      <w:r w:rsidR="008C36B1" w:rsidRPr="00581181">
        <w:t xml:space="preserve">Ethnic composition of the police </w:t>
      </w:r>
      <w:r w:rsidRPr="00581181">
        <w:t>(concl. obs. no. 15)</w:t>
      </w:r>
    </w:p>
    <w:p w:rsidR="00E0446E" w:rsidRPr="00581181" w:rsidRDefault="00E0446E" w:rsidP="00704A3A">
      <w:pPr>
        <w:pStyle w:val="Heading3"/>
      </w:pPr>
      <w:r w:rsidRPr="00581181">
        <w:t xml:space="preserve">Developing a diversity policy </w:t>
      </w:r>
    </w:p>
    <w:p w:rsidR="00E0446E" w:rsidRPr="00581181" w:rsidRDefault="00E0446E" w:rsidP="0081694B">
      <w:pPr>
        <w:pStyle w:val="Heading4"/>
      </w:pPr>
      <w:r w:rsidRPr="00581181">
        <w:t>Working plan on diversity in the police 2001</w:t>
      </w:r>
      <w:r w:rsidR="00AD0DF3" w:rsidRPr="00581181">
        <w:noBreakHyphen/>
      </w:r>
      <w:r w:rsidRPr="00581181">
        <w:t>2005</w:t>
      </w:r>
    </w:p>
    <w:p w:rsidR="00E0446E" w:rsidRPr="00581181" w:rsidRDefault="00E0446E" w:rsidP="00030277">
      <w:pPr>
        <w:autoSpaceDE w:val="0"/>
        <w:autoSpaceDN w:val="0"/>
        <w:adjustRightInd w:val="0"/>
        <w:rPr>
          <w:szCs w:val="24"/>
        </w:rPr>
      </w:pPr>
      <w:r w:rsidRPr="00581181">
        <w:rPr>
          <w:szCs w:val="24"/>
        </w:rPr>
        <w:t>53.</w:t>
      </w:r>
      <w:r w:rsidRPr="00581181">
        <w:rPr>
          <w:szCs w:val="24"/>
        </w:rPr>
        <w:tab/>
        <w:t>The working plan on diversity in the police 2001</w:t>
      </w:r>
      <w:r w:rsidR="00AD0DF3" w:rsidRPr="00581181">
        <w:rPr>
          <w:szCs w:val="24"/>
        </w:rPr>
        <w:noBreakHyphen/>
      </w:r>
      <w:r w:rsidRPr="00581181">
        <w:rPr>
          <w:szCs w:val="24"/>
        </w:rPr>
        <w:t>2005 was drawn up in 2000. At the time, diversity was primarily regarded as a social issue. The main aim was to ensure that the police reflected the make</w:t>
      </w:r>
      <w:r w:rsidR="00AD0DF3" w:rsidRPr="00581181">
        <w:rPr>
          <w:szCs w:val="24"/>
        </w:rPr>
        <w:noBreakHyphen/>
      </w:r>
      <w:r w:rsidRPr="00581181">
        <w:rPr>
          <w:szCs w:val="24"/>
        </w:rPr>
        <w:t xml:space="preserve">up of society. However, diversity policy was not confined during this period to target group policy within the police, but became an integral part of personnel policy as a </w:t>
      </w:r>
      <w:r w:rsidR="00272628">
        <w:rPr>
          <w:szCs w:val="24"/>
        </w:rPr>
        <w:br w:type="page"/>
      </w:r>
      <w:r w:rsidRPr="00581181">
        <w:rPr>
          <w:szCs w:val="24"/>
        </w:rPr>
        <w:t>whole. With a view to helping police forces to develop and implement the diversity policy, the Diversity and Police Expertise Centre (LECD) was set up in 2001. Some of the results of the working plan are given below:</w:t>
      </w:r>
    </w:p>
    <w:p w:rsidR="00E0446E" w:rsidRPr="00581181" w:rsidRDefault="00E0446E" w:rsidP="00F92C4C">
      <w:pPr>
        <w:pStyle w:val="Bullet"/>
      </w:pPr>
      <w:r w:rsidRPr="00581181">
        <w:t>Each police force has an officer responsible for diversity</w:t>
      </w:r>
      <w:r w:rsidR="000B2003">
        <w:t xml:space="preserve"> policy</w:t>
      </w:r>
    </w:p>
    <w:p w:rsidR="00E0446E" w:rsidRPr="00581181" w:rsidRDefault="00E0446E" w:rsidP="00F92C4C">
      <w:pPr>
        <w:pStyle w:val="Bullet"/>
      </w:pPr>
      <w:r w:rsidRPr="00581181">
        <w:t>Each police force has a confidential adviser. Support is provided for networks of diversity policy officers an</w:t>
      </w:r>
      <w:r w:rsidR="000B2003">
        <w:t>d central confidential advisers</w:t>
      </w:r>
    </w:p>
    <w:p w:rsidR="00E0446E" w:rsidRPr="00581181" w:rsidRDefault="00E0446E" w:rsidP="00F92C4C">
      <w:pPr>
        <w:pStyle w:val="Bullet"/>
      </w:pPr>
      <w:r w:rsidRPr="00581181">
        <w:t>Support is provided for women</w:t>
      </w:r>
      <w:r w:rsidR="009B7745">
        <w:t>’</w:t>
      </w:r>
      <w:r w:rsidR="000B2003">
        <w:t>s networks</w:t>
      </w:r>
    </w:p>
    <w:p w:rsidR="00EC2B8C" w:rsidRDefault="00E0446E" w:rsidP="00F92C4C">
      <w:pPr>
        <w:pStyle w:val="Bullet"/>
      </w:pPr>
      <w:r w:rsidRPr="00581181">
        <w:t>Police forces are developing policies to eliminate inappropria</w:t>
      </w:r>
      <w:r w:rsidR="000B2003">
        <w:t>te behaviour</w:t>
      </w:r>
    </w:p>
    <w:p w:rsidR="00E0446E" w:rsidRPr="00581181" w:rsidRDefault="00E0446E" w:rsidP="002321E1">
      <w:pPr>
        <w:pStyle w:val="Heading4"/>
      </w:pPr>
      <w:r w:rsidRPr="00581181">
        <w:t>Multi</w:t>
      </w:r>
      <w:r w:rsidR="00AD0DF3" w:rsidRPr="00581181">
        <w:noBreakHyphen/>
      </w:r>
      <w:r w:rsidRPr="00581181">
        <w:t>year Framework for Police Diversity 2006</w:t>
      </w:r>
      <w:r w:rsidR="00AD0DF3" w:rsidRPr="00581181">
        <w:noBreakHyphen/>
      </w:r>
      <w:r w:rsidRPr="00581181">
        <w:t>2010</w:t>
      </w:r>
    </w:p>
    <w:p w:rsidR="00EC2B8C" w:rsidRDefault="00E0446E" w:rsidP="00030277">
      <w:pPr>
        <w:autoSpaceDE w:val="0"/>
        <w:autoSpaceDN w:val="0"/>
        <w:adjustRightInd w:val="0"/>
        <w:rPr>
          <w:szCs w:val="24"/>
        </w:rPr>
      </w:pPr>
      <w:r w:rsidRPr="00581181">
        <w:rPr>
          <w:szCs w:val="24"/>
        </w:rPr>
        <w:t>54.</w:t>
      </w:r>
      <w:r w:rsidRPr="00581181">
        <w:rPr>
          <w:szCs w:val="24"/>
        </w:rPr>
        <w:tab/>
        <w:t>Diversity policy revolves around respecting and exploiting the different qualities of an organisation</w:t>
      </w:r>
      <w:r w:rsidR="009B7745">
        <w:rPr>
          <w:szCs w:val="24"/>
        </w:rPr>
        <w:t>’</w:t>
      </w:r>
      <w:r w:rsidRPr="00581181">
        <w:rPr>
          <w:szCs w:val="24"/>
        </w:rPr>
        <w:t>s staff with a view to increasing effectiveness. For many years, emphasis in the police was on recruiting women and ethnic minority police officers. However, the Multi</w:t>
      </w:r>
      <w:r w:rsidR="00AD0DF3" w:rsidRPr="00581181">
        <w:rPr>
          <w:szCs w:val="24"/>
        </w:rPr>
        <w:noBreakHyphen/>
      </w:r>
      <w:r w:rsidRPr="00581181">
        <w:rPr>
          <w:szCs w:val="24"/>
        </w:rPr>
        <w:t>year Framework for Police Diversity 2006</w:t>
      </w:r>
      <w:r w:rsidR="00AD0DF3" w:rsidRPr="00581181">
        <w:rPr>
          <w:szCs w:val="24"/>
        </w:rPr>
        <w:noBreakHyphen/>
      </w:r>
      <w:r w:rsidRPr="00581181">
        <w:rPr>
          <w:szCs w:val="24"/>
        </w:rPr>
        <w:t>2010 represents a shift in policy. From a social perspective</w:t>
      </w:r>
      <w:r w:rsidR="00924380">
        <w:rPr>
          <w:szCs w:val="24"/>
        </w:rPr>
        <w:t> </w:t>
      </w:r>
      <w:r w:rsidR="00AD0DF3" w:rsidRPr="00581181">
        <w:rPr>
          <w:szCs w:val="24"/>
        </w:rPr>
        <w:noBreakHyphen/>
      </w:r>
      <w:r w:rsidRPr="00581181">
        <w:rPr>
          <w:szCs w:val="24"/>
        </w:rPr>
        <w:t xml:space="preserve"> efforts to have the police reflect the make</w:t>
      </w:r>
      <w:r w:rsidR="00AD0DF3" w:rsidRPr="00581181">
        <w:rPr>
          <w:szCs w:val="24"/>
        </w:rPr>
        <w:noBreakHyphen/>
      </w:r>
      <w:r w:rsidRPr="00581181">
        <w:rPr>
          <w:szCs w:val="24"/>
        </w:rPr>
        <w:t xml:space="preserve">up of the regional labour force </w:t>
      </w:r>
      <w:r w:rsidR="00AD0DF3" w:rsidRPr="00581181">
        <w:rPr>
          <w:szCs w:val="24"/>
        </w:rPr>
        <w:noBreakHyphen/>
      </w:r>
      <w:r w:rsidRPr="00581181">
        <w:rPr>
          <w:szCs w:val="24"/>
        </w:rPr>
        <w:t xml:space="preserve"> the focus has shifted to a more businesslike perspective, concentrating on strategic and operational targets and police force performance. In this context, diversity is regarded as a business issue. </w:t>
      </w:r>
    </w:p>
    <w:p w:rsidR="00EC2B8C" w:rsidRDefault="00E0446E" w:rsidP="00030277">
      <w:pPr>
        <w:autoSpaceDE w:val="0"/>
        <w:autoSpaceDN w:val="0"/>
        <w:adjustRightInd w:val="0"/>
        <w:rPr>
          <w:szCs w:val="24"/>
        </w:rPr>
      </w:pPr>
      <w:r w:rsidRPr="00581181">
        <w:rPr>
          <w:szCs w:val="24"/>
        </w:rPr>
        <w:t>55.</w:t>
      </w:r>
      <w:r w:rsidRPr="00581181">
        <w:rPr>
          <w:szCs w:val="24"/>
        </w:rPr>
        <w:tab/>
        <w:t xml:space="preserve">In concrete terms, this means that forces will be looking more at the contribution that diversity makes to their own operational processes, e.g. investigation, intake, emergency assistance, etc. An expert group whose members include ethnic minority police officers has been set up to support forces in the event of public order problems and crime involving ethnic minorities. </w:t>
      </w:r>
    </w:p>
    <w:p w:rsidR="00E0446E" w:rsidRPr="00581181" w:rsidRDefault="00E0446E" w:rsidP="00C42C94">
      <w:pPr>
        <w:pStyle w:val="Heading4"/>
      </w:pPr>
      <w:r w:rsidRPr="00581181">
        <w:t>Police policy plan 2005</w:t>
      </w:r>
      <w:r w:rsidR="00AD0DF3" w:rsidRPr="00581181">
        <w:noBreakHyphen/>
      </w:r>
      <w:r w:rsidRPr="00581181">
        <w:t>2007</w:t>
      </w:r>
    </w:p>
    <w:p w:rsidR="00EC2B8C" w:rsidRDefault="00E0446E" w:rsidP="00030277">
      <w:pPr>
        <w:autoSpaceDE w:val="0"/>
        <w:autoSpaceDN w:val="0"/>
        <w:adjustRightInd w:val="0"/>
        <w:rPr>
          <w:szCs w:val="24"/>
        </w:rPr>
      </w:pPr>
      <w:r w:rsidRPr="00581181">
        <w:rPr>
          <w:szCs w:val="24"/>
        </w:rPr>
        <w:t>56.</w:t>
      </w:r>
      <w:r w:rsidRPr="00581181">
        <w:rPr>
          <w:szCs w:val="24"/>
        </w:rPr>
        <w:tab/>
        <w:t xml:space="preserve">The police policy plan contains a diversity frame of reference developed to monitor the implementation of diversity measures in police forces. Checks carried out to see whether every force has set up a diversity policy plan containing target figures for the recruitment and promotion of women and ethnic minorities, and to monitor the impact of the plan. Checks are also carried out to establish whether superior officers are sufficiently informed about other cultures, religions, lifestyles, etc. </w:t>
      </w:r>
    </w:p>
    <w:p w:rsidR="00E0446E" w:rsidRPr="00581181" w:rsidRDefault="00E0446E" w:rsidP="002321E1">
      <w:pPr>
        <w:pStyle w:val="Heading3"/>
      </w:pPr>
      <w:r w:rsidRPr="00581181">
        <w:t xml:space="preserve">Results </w:t>
      </w:r>
    </w:p>
    <w:p w:rsidR="00E0446E" w:rsidRPr="00581181" w:rsidRDefault="00E0446E" w:rsidP="00030277">
      <w:pPr>
        <w:autoSpaceDE w:val="0"/>
        <w:autoSpaceDN w:val="0"/>
        <w:adjustRightInd w:val="0"/>
        <w:rPr>
          <w:szCs w:val="24"/>
        </w:rPr>
      </w:pPr>
      <w:r w:rsidRPr="00581181">
        <w:rPr>
          <w:szCs w:val="24"/>
        </w:rPr>
        <w:t>57.</w:t>
      </w:r>
      <w:r w:rsidRPr="00581181">
        <w:rPr>
          <w:szCs w:val="24"/>
        </w:rPr>
        <w:tab/>
        <w:t xml:space="preserve">The monitor shows that progress has been made in the field of diversity in recent years, and that the percentage of ethnic minority police officers has risen.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960"/>
        <w:gridCol w:w="3960"/>
      </w:tblGrid>
      <w:tr w:rsidR="00E0446E" w:rsidRPr="00581181" w:rsidTr="00D724BA">
        <w:tc>
          <w:tcPr>
            <w:tcW w:w="1440" w:type="dxa"/>
            <w:tcBorders>
              <w:bottom w:val="single" w:sz="4" w:space="0" w:color="auto"/>
            </w:tcBorders>
          </w:tcPr>
          <w:p w:rsidR="00E0446E" w:rsidRPr="00581181" w:rsidRDefault="00E0446E" w:rsidP="00C6469E">
            <w:pPr>
              <w:autoSpaceDE w:val="0"/>
              <w:autoSpaceDN w:val="0"/>
              <w:adjustRightInd w:val="0"/>
              <w:spacing w:after="0"/>
              <w:jc w:val="center"/>
              <w:rPr>
                <w:szCs w:val="24"/>
              </w:rPr>
            </w:pPr>
            <w:r w:rsidRPr="00581181">
              <w:rPr>
                <w:szCs w:val="24"/>
              </w:rPr>
              <w:t>Year</w:t>
            </w:r>
          </w:p>
        </w:tc>
        <w:tc>
          <w:tcPr>
            <w:tcW w:w="3960" w:type="dxa"/>
            <w:tcBorders>
              <w:bottom w:val="single" w:sz="4" w:space="0" w:color="auto"/>
            </w:tcBorders>
          </w:tcPr>
          <w:p w:rsidR="00E0446E" w:rsidRPr="00581181" w:rsidRDefault="00E0446E" w:rsidP="00C6469E">
            <w:pPr>
              <w:autoSpaceDE w:val="0"/>
              <w:autoSpaceDN w:val="0"/>
              <w:adjustRightInd w:val="0"/>
              <w:spacing w:after="0"/>
              <w:jc w:val="center"/>
              <w:rPr>
                <w:szCs w:val="24"/>
              </w:rPr>
            </w:pPr>
            <w:r w:rsidRPr="00581181">
              <w:rPr>
                <w:szCs w:val="24"/>
              </w:rPr>
              <w:t>Percentage of ethnic minorities</w:t>
            </w:r>
          </w:p>
        </w:tc>
        <w:tc>
          <w:tcPr>
            <w:tcW w:w="3960" w:type="dxa"/>
            <w:tcBorders>
              <w:bottom w:val="single" w:sz="4" w:space="0" w:color="auto"/>
            </w:tcBorders>
          </w:tcPr>
          <w:p w:rsidR="00E0446E" w:rsidRPr="00581181" w:rsidRDefault="00E0446E" w:rsidP="00C6469E">
            <w:pPr>
              <w:autoSpaceDE w:val="0"/>
              <w:autoSpaceDN w:val="0"/>
              <w:adjustRightInd w:val="0"/>
              <w:spacing w:after="0"/>
              <w:jc w:val="center"/>
              <w:rPr>
                <w:szCs w:val="24"/>
              </w:rPr>
            </w:pPr>
            <w:r w:rsidRPr="00581181">
              <w:rPr>
                <w:szCs w:val="24"/>
              </w:rPr>
              <w:t>No. of ethnic minority officers</w:t>
            </w:r>
          </w:p>
        </w:tc>
      </w:tr>
      <w:tr w:rsidR="00E0446E" w:rsidRPr="00581181" w:rsidTr="00D724BA">
        <w:tc>
          <w:tcPr>
            <w:tcW w:w="1440" w:type="dxa"/>
            <w:tcBorders>
              <w:top w:val="single" w:sz="4" w:space="0" w:color="auto"/>
              <w:left w:val="single" w:sz="4" w:space="0" w:color="auto"/>
              <w:bottom w:val="nil"/>
              <w:right w:val="single" w:sz="4" w:space="0" w:color="auto"/>
            </w:tcBorders>
          </w:tcPr>
          <w:p w:rsidR="00E0446E" w:rsidRPr="00581181" w:rsidRDefault="00E0446E" w:rsidP="004F32E5">
            <w:pPr>
              <w:autoSpaceDE w:val="0"/>
              <w:autoSpaceDN w:val="0"/>
              <w:adjustRightInd w:val="0"/>
              <w:spacing w:after="0"/>
              <w:jc w:val="center"/>
              <w:rPr>
                <w:szCs w:val="24"/>
              </w:rPr>
            </w:pPr>
            <w:r w:rsidRPr="00581181">
              <w:rPr>
                <w:szCs w:val="24"/>
              </w:rPr>
              <w:t>2003</w:t>
            </w:r>
          </w:p>
        </w:tc>
        <w:tc>
          <w:tcPr>
            <w:tcW w:w="3960" w:type="dxa"/>
            <w:tcBorders>
              <w:top w:val="single" w:sz="4" w:space="0" w:color="auto"/>
              <w:left w:val="single" w:sz="4" w:space="0" w:color="auto"/>
              <w:bottom w:val="nil"/>
              <w:right w:val="single" w:sz="4" w:space="0" w:color="auto"/>
            </w:tcBorders>
          </w:tcPr>
          <w:p w:rsidR="00E0446E" w:rsidRPr="00581181" w:rsidRDefault="00290AD4" w:rsidP="00C6469E">
            <w:pPr>
              <w:autoSpaceDE w:val="0"/>
              <w:autoSpaceDN w:val="0"/>
              <w:adjustRightInd w:val="0"/>
              <w:spacing w:after="0"/>
              <w:jc w:val="center"/>
              <w:rPr>
                <w:szCs w:val="24"/>
              </w:rPr>
            </w:pPr>
            <w:r>
              <w:rPr>
                <w:szCs w:val="24"/>
              </w:rPr>
              <w:t>5.9</w:t>
            </w:r>
          </w:p>
        </w:tc>
        <w:tc>
          <w:tcPr>
            <w:tcW w:w="3960" w:type="dxa"/>
            <w:tcBorders>
              <w:top w:val="single" w:sz="4" w:space="0" w:color="auto"/>
              <w:left w:val="single" w:sz="4" w:space="0" w:color="auto"/>
              <w:bottom w:val="nil"/>
              <w:right w:val="single" w:sz="4" w:space="0" w:color="auto"/>
            </w:tcBorders>
          </w:tcPr>
          <w:p w:rsidR="00E0446E" w:rsidRPr="00581181" w:rsidRDefault="00E0446E" w:rsidP="00C6469E">
            <w:pPr>
              <w:autoSpaceDE w:val="0"/>
              <w:autoSpaceDN w:val="0"/>
              <w:adjustRightInd w:val="0"/>
              <w:spacing w:after="0"/>
              <w:jc w:val="center"/>
              <w:rPr>
                <w:szCs w:val="24"/>
              </w:rPr>
            </w:pPr>
            <w:r w:rsidRPr="00581181">
              <w:rPr>
                <w:szCs w:val="24"/>
              </w:rPr>
              <w:t>3</w:t>
            </w:r>
            <w:r w:rsidR="00C6469E">
              <w:rPr>
                <w:szCs w:val="24"/>
              </w:rPr>
              <w:t xml:space="preserve"> </w:t>
            </w:r>
            <w:r w:rsidRPr="00581181">
              <w:rPr>
                <w:szCs w:val="24"/>
              </w:rPr>
              <w:t>424</w:t>
            </w:r>
          </w:p>
        </w:tc>
      </w:tr>
      <w:tr w:rsidR="00E0446E" w:rsidRPr="00581181" w:rsidTr="00D724BA">
        <w:tc>
          <w:tcPr>
            <w:tcW w:w="1440" w:type="dxa"/>
            <w:tcBorders>
              <w:top w:val="nil"/>
              <w:left w:val="single" w:sz="4" w:space="0" w:color="auto"/>
              <w:bottom w:val="nil"/>
              <w:right w:val="single" w:sz="4" w:space="0" w:color="auto"/>
            </w:tcBorders>
          </w:tcPr>
          <w:p w:rsidR="00E0446E" w:rsidRPr="00581181" w:rsidRDefault="00E0446E" w:rsidP="004F32E5">
            <w:pPr>
              <w:autoSpaceDE w:val="0"/>
              <w:autoSpaceDN w:val="0"/>
              <w:adjustRightInd w:val="0"/>
              <w:spacing w:after="0"/>
              <w:jc w:val="center"/>
              <w:rPr>
                <w:szCs w:val="24"/>
              </w:rPr>
            </w:pPr>
            <w:r w:rsidRPr="00581181">
              <w:rPr>
                <w:szCs w:val="24"/>
              </w:rPr>
              <w:t>2004</w:t>
            </w:r>
          </w:p>
        </w:tc>
        <w:tc>
          <w:tcPr>
            <w:tcW w:w="3960" w:type="dxa"/>
            <w:tcBorders>
              <w:top w:val="nil"/>
              <w:left w:val="single" w:sz="4" w:space="0" w:color="auto"/>
              <w:bottom w:val="nil"/>
              <w:right w:val="single" w:sz="4" w:space="0" w:color="auto"/>
            </w:tcBorders>
          </w:tcPr>
          <w:p w:rsidR="00E0446E" w:rsidRPr="00581181" w:rsidRDefault="00E0446E" w:rsidP="00C6469E">
            <w:pPr>
              <w:autoSpaceDE w:val="0"/>
              <w:autoSpaceDN w:val="0"/>
              <w:adjustRightInd w:val="0"/>
              <w:spacing w:after="0"/>
              <w:jc w:val="center"/>
              <w:rPr>
                <w:szCs w:val="24"/>
              </w:rPr>
            </w:pPr>
            <w:r w:rsidRPr="00581181">
              <w:rPr>
                <w:szCs w:val="24"/>
              </w:rPr>
              <w:t>6.2</w:t>
            </w:r>
          </w:p>
        </w:tc>
        <w:tc>
          <w:tcPr>
            <w:tcW w:w="3960" w:type="dxa"/>
            <w:tcBorders>
              <w:top w:val="nil"/>
              <w:left w:val="single" w:sz="4" w:space="0" w:color="auto"/>
              <w:bottom w:val="nil"/>
              <w:right w:val="single" w:sz="4" w:space="0" w:color="auto"/>
            </w:tcBorders>
          </w:tcPr>
          <w:p w:rsidR="00E0446E" w:rsidRPr="00581181" w:rsidRDefault="00E0446E" w:rsidP="00C6469E">
            <w:pPr>
              <w:autoSpaceDE w:val="0"/>
              <w:autoSpaceDN w:val="0"/>
              <w:adjustRightInd w:val="0"/>
              <w:spacing w:after="0"/>
              <w:jc w:val="center"/>
              <w:rPr>
                <w:szCs w:val="24"/>
              </w:rPr>
            </w:pPr>
            <w:r w:rsidRPr="00581181">
              <w:rPr>
                <w:szCs w:val="24"/>
              </w:rPr>
              <w:t>3</w:t>
            </w:r>
            <w:r w:rsidR="00C6469E">
              <w:rPr>
                <w:szCs w:val="24"/>
              </w:rPr>
              <w:t xml:space="preserve"> </w:t>
            </w:r>
            <w:r w:rsidRPr="00581181">
              <w:rPr>
                <w:szCs w:val="24"/>
              </w:rPr>
              <w:t>580</w:t>
            </w:r>
          </w:p>
        </w:tc>
      </w:tr>
      <w:tr w:rsidR="00E0446E" w:rsidRPr="00581181" w:rsidTr="00D724BA">
        <w:tc>
          <w:tcPr>
            <w:tcW w:w="1440" w:type="dxa"/>
            <w:tcBorders>
              <w:top w:val="nil"/>
              <w:left w:val="single" w:sz="4" w:space="0" w:color="auto"/>
              <w:bottom w:val="nil"/>
              <w:right w:val="single" w:sz="4" w:space="0" w:color="auto"/>
            </w:tcBorders>
          </w:tcPr>
          <w:p w:rsidR="00E0446E" w:rsidRPr="00581181" w:rsidRDefault="00E0446E" w:rsidP="004F32E5">
            <w:pPr>
              <w:autoSpaceDE w:val="0"/>
              <w:autoSpaceDN w:val="0"/>
              <w:adjustRightInd w:val="0"/>
              <w:spacing w:after="0"/>
              <w:jc w:val="center"/>
              <w:rPr>
                <w:szCs w:val="24"/>
              </w:rPr>
            </w:pPr>
            <w:r w:rsidRPr="00581181">
              <w:rPr>
                <w:szCs w:val="24"/>
              </w:rPr>
              <w:t>2005</w:t>
            </w:r>
          </w:p>
        </w:tc>
        <w:tc>
          <w:tcPr>
            <w:tcW w:w="3960" w:type="dxa"/>
            <w:tcBorders>
              <w:top w:val="nil"/>
              <w:left w:val="single" w:sz="4" w:space="0" w:color="auto"/>
              <w:bottom w:val="nil"/>
              <w:right w:val="single" w:sz="4" w:space="0" w:color="auto"/>
            </w:tcBorders>
          </w:tcPr>
          <w:p w:rsidR="00E0446E" w:rsidRPr="00581181" w:rsidRDefault="00E0446E" w:rsidP="00C6469E">
            <w:pPr>
              <w:autoSpaceDE w:val="0"/>
              <w:autoSpaceDN w:val="0"/>
              <w:adjustRightInd w:val="0"/>
              <w:spacing w:after="0"/>
              <w:jc w:val="center"/>
              <w:rPr>
                <w:szCs w:val="24"/>
              </w:rPr>
            </w:pPr>
            <w:r w:rsidRPr="00581181">
              <w:rPr>
                <w:szCs w:val="24"/>
              </w:rPr>
              <w:t>6.2</w:t>
            </w:r>
          </w:p>
        </w:tc>
        <w:tc>
          <w:tcPr>
            <w:tcW w:w="3960" w:type="dxa"/>
            <w:tcBorders>
              <w:top w:val="nil"/>
              <w:left w:val="single" w:sz="4" w:space="0" w:color="auto"/>
              <w:bottom w:val="nil"/>
              <w:right w:val="single" w:sz="4" w:space="0" w:color="auto"/>
            </w:tcBorders>
          </w:tcPr>
          <w:p w:rsidR="00E0446E" w:rsidRPr="00581181" w:rsidRDefault="00E0446E" w:rsidP="00C6469E">
            <w:pPr>
              <w:autoSpaceDE w:val="0"/>
              <w:autoSpaceDN w:val="0"/>
              <w:adjustRightInd w:val="0"/>
              <w:spacing w:after="0"/>
              <w:jc w:val="center"/>
              <w:rPr>
                <w:szCs w:val="24"/>
              </w:rPr>
            </w:pPr>
            <w:r w:rsidRPr="00581181">
              <w:rPr>
                <w:szCs w:val="24"/>
              </w:rPr>
              <w:t>3</w:t>
            </w:r>
            <w:r w:rsidR="00C6469E">
              <w:rPr>
                <w:szCs w:val="24"/>
              </w:rPr>
              <w:t xml:space="preserve"> </w:t>
            </w:r>
            <w:r w:rsidRPr="00581181">
              <w:rPr>
                <w:szCs w:val="24"/>
              </w:rPr>
              <w:t>629</w:t>
            </w:r>
          </w:p>
        </w:tc>
      </w:tr>
      <w:tr w:rsidR="00E0446E" w:rsidRPr="00581181" w:rsidTr="00D724BA">
        <w:tc>
          <w:tcPr>
            <w:tcW w:w="1440" w:type="dxa"/>
            <w:tcBorders>
              <w:top w:val="nil"/>
            </w:tcBorders>
          </w:tcPr>
          <w:p w:rsidR="00E0446E" w:rsidRPr="00581181" w:rsidRDefault="00E0446E" w:rsidP="004F32E5">
            <w:pPr>
              <w:autoSpaceDE w:val="0"/>
              <w:autoSpaceDN w:val="0"/>
              <w:adjustRightInd w:val="0"/>
              <w:spacing w:after="0"/>
              <w:jc w:val="center"/>
              <w:rPr>
                <w:szCs w:val="24"/>
              </w:rPr>
            </w:pPr>
            <w:r w:rsidRPr="00581181">
              <w:rPr>
                <w:szCs w:val="24"/>
              </w:rPr>
              <w:t>2006</w:t>
            </w:r>
          </w:p>
        </w:tc>
        <w:tc>
          <w:tcPr>
            <w:tcW w:w="3960" w:type="dxa"/>
            <w:tcBorders>
              <w:top w:val="nil"/>
            </w:tcBorders>
          </w:tcPr>
          <w:p w:rsidR="00E0446E" w:rsidRPr="00581181" w:rsidRDefault="00E0446E" w:rsidP="00C6469E">
            <w:pPr>
              <w:autoSpaceDE w:val="0"/>
              <w:autoSpaceDN w:val="0"/>
              <w:adjustRightInd w:val="0"/>
              <w:spacing w:after="0"/>
              <w:jc w:val="center"/>
              <w:rPr>
                <w:szCs w:val="24"/>
              </w:rPr>
            </w:pPr>
            <w:r w:rsidRPr="00581181">
              <w:rPr>
                <w:szCs w:val="24"/>
              </w:rPr>
              <w:t>6.4</w:t>
            </w:r>
          </w:p>
        </w:tc>
        <w:tc>
          <w:tcPr>
            <w:tcW w:w="3960" w:type="dxa"/>
            <w:tcBorders>
              <w:top w:val="nil"/>
            </w:tcBorders>
          </w:tcPr>
          <w:p w:rsidR="00E0446E" w:rsidRPr="00581181" w:rsidRDefault="00E0446E" w:rsidP="00C6469E">
            <w:pPr>
              <w:autoSpaceDE w:val="0"/>
              <w:autoSpaceDN w:val="0"/>
              <w:adjustRightInd w:val="0"/>
              <w:spacing w:after="0"/>
              <w:jc w:val="center"/>
              <w:rPr>
                <w:szCs w:val="24"/>
              </w:rPr>
            </w:pPr>
            <w:r w:rsidRPr="00581181">
              <w:rPr>
                <w:szCs w:val="24"/>
              </w:rPr>
              <w:t>3</w:t>
            </w:r>
            <w:r w:rsidR="00C6469E">
              <w:rPr>
                <w:szCs w:val="24"/>
              </w:rPr>
              <w:t xml:space="preserve"> </w:t>
            </w:r>
            <w:r w:rsidRPr="00581181">
              <w:rPr>
                <w:szCs w:val="24"/>
              </w:rPr>
              <w:t>570</w:t>
            </w:r>
          </w:p>
        </w:tc>
      </w:tr>
    </w:tbl>
    <w:p w:rsidR="00EC2B8C" w:rsidRDefault="00E0446E" w:rsidP="004F32E5">
      <w:pPr>
        <w:spacing w:before="240"/>
        <w:rPr>
          <w:szCs w:val="24"/>
        </w:rPr>
      </w:pPr>
      <w:r w:rsidRPr="00581181">
        <w:rPr>
          <w:szCs w:val="24"/>
        </w:rPr>
        <w:t>58.</w:t>
      </w:r>
      <w:r w:rsidRPr="00581181">
        <w:rPr>
          <w:szCs w:val="24"/>
        </w:rPr>
        <w:tab/>
        <w:t xml:space="preserve">In 2006, the Minister of the Interior and Kingdom Relations and the police agreed on target figures for each police force. That same year saw a slight but heartening rise (0.2% compared to 2006) in the percentage of ethnic minority officers employed in the Dutch police force: 6.4%. These figures include the National Police Services Agency (KLPD), but exclude the Royal Military and Border Police (KMar). To date, however, only seven forces (Utrecht, Central Holland, South Holland, North Holland, Friesland, South Gelderland and the Gooi and Vecht region) have actually reached their target figure. Despite the fact that 19 have not reached their target figure, the diversity percentage has risen within 11 forces, so the majority of police forces are on the right track. </w:t>
      </w:r>
    </w:p>
    <w:p w:rsidR="00E0446E" w:rsidRPr="00581181" w:rsidRDefault="00E0446E" w:rsidP="0085469C">
      <w:pPr>
        <w:pStyle w:val="Heading3"/>
      </w:pPr>
      <w:r w:rsidRPr="00581181">
        <w:t>Future plans</w:t>
      </w:r>
    </w:p>
    <w:p w:rsidR="00EC2B8C" w:rsidRDefault="00E0446E" w:rsidP="00030277">
      <w:pPr>
        <w:autoSpaceDE w:val="0"/>
        <w:autoSpaceDN w:val="0"/>
        <w:adjustRightInd w:val="0"/>
        <w:rPr>
          <w:szCs w:val="24"/>
        </w:rPr>
      </w:pPr>
      <w:r w:rsidRPr="00581181">
        <w:rPr>
          <w:szCs w:val="24"/>
        </w:rPr>
        <w:t>59.</w:t>
      </w:r>
      <w:r w:rsidRPr="00581181">
        <w:rPr>
          <w:szCs w:val="24"/>
        </w:rPr>
        <w:tab/>
        <w:t>New agreements are currently being made regarding diversity for the period 2008</w:t>
      </w:r>
      <w:r w:rsidR="00AD0DF3" w:rsidRPr="00581181">
        <w:rPr>
          <w:szCs w:val="24"/>
        </w:rPr>
        <w:noBreakHyphen/>
      </w:r>
      <w:r w:rsidRPr="00581181">
        <w:rPr>
          <w:szCs w:val="24"/>
        </w:rPr>
        <w:t>2011. They entail plans to set an ambitious national target figure, as well as figures for each force and separate agreements about the recruitment and promotion of ethnic minority officers and ethnic minority representation in senior posts. Police training must also pay more attention to diversity. In 2006, the police academy incorporated diversity in a limited number of modules in primary training. A learning pathway has also been developed for officials responsible for recruitment and selection, with an emphasis on diversity. By 2008</w:t>
      </w:r>
      <w:r w:rsidR="00AD0DF3" w:rsidRPr="00581181">
        <w:rPr>
          <w:szCs w:val="24"/>
        </w:rPr>
        <w:noBreakHyphen/>
      </w:r>
      <w:r w:rsidRPr="00581181">
        <w:rPr>
          <w:szCs w:val="24"/>
        </w:rPr>
        <w:t>2009, the aim is to have embedded diversity and multicultural professionalism (i.e. learning to deal with different cultures, religions, lifestyles, etc. in society) in mainstream police training and in the research and development components, so that all staff are properly prepared for a pluralist and multi</w:t>
      </w:r>
      <w:r w:rsidR="00AD0DF3" w:rsidRPr="00581181">
        <w:rPr>
          <w:szCs w:val="24"/>
        </w:rPr>
        <w:noBreakHyphen/>
      </w:r>
      <w:r w:rsidRPr="00581181">
        <w:rPr>
          <w:szCs w:val="24"/>
        </w:rPr>
        <w:t xml:space="preserve">ethnic society. </w:t>
      </w:r>
    </w:p>
    <w:p w:rsidR="00E0446E" w:rsidRPr="00581181" w:rsidRDefault="006227FB" w:rsidP="006227FB">
      <w:pPr>
        <w:pStyle w:val="Heading2"/>
        <w:ind w:left="1412" w:hanging="454"/>
        <w:jc w:val="left"/>
      </w:pPr>
      <w:r>
        <w:t>G.</w:t>
      </w:r>
      <w:r>
        <w:tab/>
      </w:r>
      <w:r w:rsidR="0085469C" w:rsidRPr="00581181">
        <w:t xml:space="preserve">The International Convention on the Protection of the Rights of All </w:t>
      </w:r>
      <w:r>
        <w:br/>
      </w:r>
      <w:r w:rsidR="0085469C" w:rsidRPr="00581181">
        <w:t xml:space="preserve">Migrant Workers and Members of Their Families </w:t>
      </w:r>
      <w:r w:rsidR="00E0446E" w:rsidRPr="00581181">
        <w:t>(concl. obs. no. 16)</w:t>
      </w:r>
    </w:p>
    <w:p w:rsidR="00EC2B8C" w:rsidRDefault="00E0446E" w:rsidP="00030277">
      <w:pPr>
        <w:autoSpaceDE w:val="0"/>
        <w:autoSpaceDN w:val="0"/>
        <w:adjustRightInd w:val="0"/>
        <w:rPr>
          <w:szCs w:val="24"/>
        </w:rPr>
      </w:pPr>
      <w:r w:rsidRPr="00581181">
        <w:rPr>
          <w:szCs w:val="24"/>
        </w:rPr>
        <w:t>60.</w:t>
      </w:r>
      <w:r w:rsidRPr="00581181">
        <w:rPr>
          <w:szCs w:val="24"/>
        </w:rPr>
        <w:tab/>
        <w:t>At this point, the Government has no plans to accede to the Convention on the Protection of the Rights of All Migrant Workers and Members of their Families (A/RES/45/158). This has partly to do with the Benefit Entitlement (Residence Status) Act (</w:t>
      </w:r>
      <w:r w:rsidRPr="00581181">
        <w:rPr>
          <w:i/>
          <w:szCs w:val="24"/>
        </w:rPr>
        <w:t>Koppelingswet</w:t>
      </w:r>
      <w:r w:rsidRPr="00581181">
        <w:rPr>
          <w:szCs w:val="24"/>
        </w:rPr>
        <w:t>), which entered into force on 1 July 1998 and which distinguishes between foreigners with and without legal residence status, and the consequences of that distinction for entitlement to social security benefits.</w:t>
      </w:r>
    </w:p>
    <w:p w:rsidR="00EC2B8C" w:rsidRDefault="00E0446E" w:rsidP="00030277">
      <w:pPr>
        <w:rPr>
          <w:iCs/>
          <w:szCs w:val="24"/>
        </w:rPr>
      </w:pPr>
      <w:r w:rsidRPr="00581181">
        <w:rPr>
          <w:iCs/>
          <w:szCs w:val="24"/>
        </w:rPr>
        <w:t>61.</w:t>
      </w:r>
      <w:r w:rsidRPr="00581181">
        <w:rPr>
          <w:iCs/>
          <w:szCs w:val="24"/>
        </w:rPr>
        <w:tab/>
        <w:t>It should be noted that only States that can be characterized as countries of origin of labour migrants have ratified this Convention, while countries of destination have stood aside if other Western countries were to ratify the Convention, the Netherlands might review its current stance.</w:t>
      </w:r>
    </w:p>
    <w:p w:rsidR="00EC2B8C" w:rsidRDefault="00E0446E" w:rsidP="00FC71A4">
      <w:pPr>
        <w:pStyle w:val="Heading2"/>
      </w:pPr>
      <w:r w:rsidRPr="00581181">
        <w:t xml:space="preserve">H. </w:t>
      </w:r>
      <w:r w:rsidR="00FC71A4">
        <w:t xml:space="preserve"> </w:t>
      </w:r>
      <w:r w:rsidR="00272628">
        <w:t>Consulting civil society organis</w:t>
      </w:r>
      <w:r w:rsidR="00FC71A4" w:rsidRPr="00581181">
        <w:t xml:space="preserve">ations </w:t>
      </w:r>
      <w:r w:rsidRPr="00581181">
        <w:t>(concl. obs. no. 17)</w:t>
      </w:r>
    </w:p>
    <w:p w:rsidR="00EC2B8C" w:rsidRDefault="00E0446E" w:rsidP="00030277">
      <w:pPr>
        <w:rPr>
          <w:iCs/>
          <w:szCs w:val="24"/>
        </w:rPr>
      </w:pPr>
      <w:r w:rsidRPr="00581181">
        <w:rPr>
          <w:iCs/>
          <w:szCs w:val="24"/>
        </w:rPr>
        <w:t>62.</w:t>
      </w:r>
      <w:r w:rsidRPr="00581181">
        <w:rPr>
          <w:iCs/>
          <w:szCs w:val="24"/>
        </w:rPr>
        <w:tab/>
        <w:t xml:space="preserve">The Netherlands attaches great importance to partnership with civil society organizations working to combat racial discrimination, and Dutch ministries regularly consult and meet with NGOs on matters relating to racial discrimination. A good example is the </w:t>
      </w:r>
      <w:r w:rsidRPr="00581181">
        <w:rPr>
          <w:szCs w:val="24"/>
        </w:rPr>
        <w:t>national anti</w:t>
      </w:r>
      <w:r w:rsidR="00AD0DF3" w:rsidRPr="00581181">
        <w:rPr>
          <w:szCs w:val="24"/>
        </w:rPr>
        <w:noBreakHyphen/>
      </w:r>
      <w:r w:rsidRPr="00581181">
        <w:rPr>
          <w:szCs w:val="24"/>
        </w:rPr>
        <w:t>discrimination organization, Art. 1, which resulted from a merger between the National Bureau against Racial Discrimination (</w:t>
      </w:r>
      <w:r w:rsidRPr="00581181">
        <w:rPr>
          <w:iCs/>
          <w:szCs w:val="24"/>
        </w:rPr>
        <w:t>LBR) and the National Federation of Anti</w:t>
      </w:r>
      <w:r w:rsidR="00AD0DF3" w:rsidRPr="00581181">
        <w:rPr>
          <w:iCs/>
          <w:szCs w:val="24"/>
        </w:rPr>
        <w:noBreakHyphen/>
      </w:r>
      <w:r w:rsidRPr="00581181">
        <w:rPr>
          <w:iCs/>
          <w:szCs w:val="24"/>
        </w:rPr>
        <w:t>discrimination Bureaus and Hotlines. It receives both permanent and project</w:t>
      </w:r>
      <w:r w:rsidR="00AD0DF3" w:rsidRPr="00581181">
        <w:rPr>
          <w:iCs/>
          <w:szCs w:val="24"/>
        </w:rPr>
        <w:noBreakHyphen/>
      </w:r>
      <w:r w:rsidRPr="00581181">
        <w:rPr>
          <w:iCs/>
          <w:szCs w:val="24"/>
        </w:rPr>
        <w:t xml:space="preserve">based funding from the central </w:t>
      </w:r>
      <w:r w:rsidR="00272628">
        <w:rPr>
          <w:iCs/>
          <w:szCs w:val="24"/>
        </w:rPr>
        <w:br w:type="page"/>
      </w:r>
      <w:r w:rsidRPr="00581181">
        <w:rPr>
          <w:iCs/>
          <w:szCs w:val="24"/>
        </w:rPr>
        <w:t>Government. Although the organization works closely with Government agencies and municipalities, it also seeks to influence policy by lobbying Parliament and issuing shadow reports to international organizations. The Dutch Government also subsidizes the National Antiracism and Anti</w:t>
      </w:r>
      <w:r w:rsidR="00AD0DF3" w:rsidRPr="00581181">
        <w:rPr>
          <w:iCs/>
          <w:szCs w:val="24"/>
        </w:rPr>
        <w:noBreakHyphen/>
      </w:r>
      <w:r w:rsidRPr="00581181">
        <w:rPr>
          <w:iCs/>
          <w:szCs w:val="24"/>
        </w:rPr>
        <w:t>discrimination Platform (NPRD), an umbrella organization for most agencies seeking to combat discrimination on whatever grounds. The NPRD submits its findings in an annual letter to the Minister for Housing, Communities and Integration, and has elaborated various initiatives for the National Action Plan on Racism.</w:t>
      </w:r>
    </w:p>
    <w:p w:rsidR="00EC2B8C" w:rsidRDefault="00E0446E" w:rsidP="00B72E79">
      <w:pPr>
        <w:pStyle w:val="Heading2"/>
      </w:pPr>
      <w:r w:rsidRPr="00581181">
        <w:t xml:space="preserve">I. </w:t>
      </w:r>
      <w:r w:rsidR="00B72E79">
        <w:t xml:space="preserve"> </w:t>
      </w:r>
      <w:r w:rsidR="001A77CD" w:rsidRPr="00581181">
        <w:t>Availability</w:t>
      </w:r>
      <w:r w:rsidR="00B72E79" w:rsidRPr="00581181">
        <w:t xml:space="preserve"> reports and observations </w:t>
      </w:r>
      <w:r w:rsidRPr="00581181">
        <w:t>(concl. obs. no. 18)</w:t>
      </w:r>
    </w:p>
    <w:p w:rsidR="00EC2B8C" w:rsidRDefault="00E0446E" w:rsidP="001B03FF">
      <w:r w:rsidRPr="00581181">
        <w:t>63.</w:t>
      </w:r>
      <w:r w:rsidRPr="00581181">
        <w:tab/>
        <w:t xml:space="preserve">The Netherlands makes an effort to distribute its reports and the concluding observations among the public, as well as among government officials. Reports are as a rule submitted both to Parliament and to NGOs. Plans are in progress to place the reports and concluding observations on Ministry websites. </w:t>
      </w:r>
    </w:p>
    <w:p w:rsidR="00EC2B8C" w:rsidRDefault="00E0446E" w:rsidP="000A39CF">
      <w:pPr>
        <w:pStyle w:val="Heading1"/>
        <w:ind w:left="2013" w:hanging="454"/>
        <w:jc w:val="left"/>
      </w:pPr>
      <w:r w:rsidRPr="00581181">
        <w:t>III.</w:t>
      </w:r>
      <w:r w:rsidR="001B03FF">
        <w:tab/>
      </w:r>
      <w:r w:rsidRPr="00581181">
        <w:t>INFORMATION RELATING TO ARTICLES 2</w:t>
      </w:r>
      <w:r w:rsidR="00AD0DF3" w:rsidRPr="00581181">
        <w:noBreakHyphen/>
      </w:r>
      <w:r w:rsidRPr="00581181">
        <w:t xml:space="preserve">7 OF </w:t>
      </w:r>
      <w:r w:rsidR="001B03FF">
        <w:br/>
      </w:r>
      <w:r w:rsidRPr="00581181">
        <w:t>THE CONVENTION</w:t>
      </w:r>
    </w:p>
    <w:p w:rsidR="00EC2B8C" w:rsidRDefault="00E0446E" w:rsidP="00030277">
      <w:pPr>
        <w:rPr>
          <w:szCs w:val="24"/>
        </w:rPr>
      </w:pPr>
      <w:r w:rsidRPr="00581181">
        <w:rPr>
          <w:szCs w:val="24"/>
        </w:rPr>
        <w:t>64.</w:t>
      </w:r>
      <w:r w:rsidRPr="00581181">
        <w:rPr>
          <w:szCs w:val="24"/>
        </w:rPr>
        <w:tab/>
        <w:t>Relevant information by article is provided below, focussing on major developments and new issues in the period under review (in so far as these have not already been dealt with in the answers to the concluding observations).</w:t>
      </w:r>
    </w:p>
    <w:p w:rsidR="00EC2B8C" w:rsidRDefault="00E0446E" w:rsidP="00E232DF">
      <w:pPr>
        <w:pStyle w:val="Heading2"/>
      </w:pPr>
      <w:r w:rsidRPr="00581181">
        <w:t xml:space="preserve">A. </w:t>
      </w:r>
      <w:r w:rsidR="00E232DF">
        <w:t xml:space="preserve"> </w:t>
      </w:r>
      <w:r w:rsidR="00E232DF" w:rsidRPr="00581181">
        <w:t xml:space="preserve">Article </w:t>
      </w:r>
      <w:r w:rsidRPr="00581181">
        <w:t>2</w:t>
      </w:r>
    </w:p>
    <w:p w:rsidR="00E0446E" w:rsidRPr="00581181" w:rsidRDefault="00E0446E" w:rsidP="00A42F2A">
      <w:pPr>
        <w:pStyle w:val="Heading3"/>
      </w:pPr>
      <w:r w:rsidRPr="00581181">
        <w:t xml:space="preserve">National Action Plan on Racism </w:t>
      </w:r>
    </w:p>
    <w:p w:rsidR="00272628" w:rsidRDefault="00E0446E" w:rsidP="00290AD4">
      <w:pPr>
        <w:autoSpaceDE w:val="0"/>
        <w:autoSpaceDN w:val="0"/>
        <w:adjustRightInd w:val="0"/>
        <w:rPr>
          <w:szCs w:val="24"/>
        </w:rPr>
      </w:pPr>
      <w:r w:rsidRPr="00581181">
        <w:rPr>
          <w:szCs w:val="24"/>
        </w:rPr>
        <w:t>65.</w:t>
      </w:r>
      <w:r w:rsidRPr="00581181">
        <w:rPr>
          <w:szCs w:val="24"/>
        </w:rPr>
        <w:tab/>
        <w:t>During the World Conference against Racism, Racial Discrimination, Xenophobia and Related Intolerance (WCAR), held in Durban in 2001, the Netherlands undertook to draw up a national action plan combating these forms of discrimination. After extensive consultation with the field, the National Action Plan on Racism (NAP) was presented in December 2003 (House of Representatives 29 200 VI, no. 62). The original plan can be found in Annex I. In June 2005, Parliament received a progress report on the period 2003</w:t>
      </w:r>
      <w:r w:rsidR="00AD0DF3" w:rsidRPr="00581181">
        <w:rPr>
          <w:szCs w:val="24"/>
        </w:rPr>
        <w:noBreakHyphen/>
      </w:r>
      <w:r w:rsidRPr="00581181">
        <w:rPr>
          <w:szCs w:val="24"/>
        </w:rPr>
        <w:t>2005 (House of Representatives 29 800 VI, no. 154). In the summer of 2007, the House of Representatives received another report, concerning the results achieved during the second and third Balkenende governments (2003</w:t>
      </w:r>
      <w:r w:rsidR="00AD0DF3" w:rsidRPr="00581181">
        <w:rPr>
          <w:szCs w:val="24"/>
        </w:rPr>
        <w:noBreakHyphen/>
      </w:r>
      <w:r w:rsidRPr="00581181">
        <w:rPr>
          <w:szCs w:val="24"/>
        </w:rPr>
        <w:t>2006). Under the previous government, the national coordination of the NAP was the responsibility of the former Minister for Immigration and Integration. The Minister for Housing, Communities and Integration, who is now responsible for coordinating efforts to combat racism, ensured that a concluding report was drawn up. At the request of the House, a result</w:t>
      </w:r>
      <w:r w:rsidR="00AD0DF3" w:rsidRPr="00581181">
        <w:rPr>
          <w:szCs w:val="24"/>
        </w:rPr>
        <w:noBreakHyphen/>
      </w:r>
      <w:r w:rsidRPr="00581181">
        <w:rPr>
          <w:szCs w:val="24"/>
        </w:rPr>
        <w:t>based format was adopted. All the measures and actions set out in the NAP have now been achieved or embedded in standard policy. The report, which is attached (see Annex II), contains descriptions of measures taken in recent years, grouped by the following themes: living environment, consciousness</w:t>
      </w:r>
      <w:r w:rsidR="00AD0DF3" w:rsidRPr="00581181">
        <w:rPr>
          <w:szCs w:val="24"/>
        </w:rPr>
        <w:noBreakHyphen/>
      </w:r>
      <w:r w:rsidRPr="00581181">
        <w:rPr>
          <w:szCs w:val="24"/>
        </w:rPr>
        <w:t>raising, equal treatment in the labour market and infrastructure. Some of the NAP action points were dealt with in the first progress report. Accordingly, an overview of all NAP action points is provided in the NAP progress report. The formulation of aims and agreements in the NAP has resulted in numerous policy initiatives that will be described in this 17th/18th CERD report.</w:t>
      </w:r>
      <w:r w:rsidR="00EF380E">
        <w:rPr>
          <w:szCs w:val="24"/>
        </w:rPr>
        <w:t xml:space="preserve"> </w:t>
      </w:r>
      <w:r w:rsidRPr="00581181">
        <w:rPr>
          <w:szCs w:val="24"/>
        </w:rPr>
        <w:t xml:space="preserve">The action points for the NAP have been completed, but fighting racism remains a priority. The current government believes that the right to equal treatment is one of the basic pillars of social relations between individuals, and between individuals and government. </w:t>
      </w:r>
    </w:p>
    <w:p w:rsidR="00EC2B8C" w:rsidRDefault="00272628" w:rsidP="00290AD4">
      <w:pPr>
        <w:autoSpaceDE w:val="0"/>
        <w:autoSpaceDN w:val="0"/>
        <w:adjustRightInd w:val="0"/>
        <w:rPr>
          <w:szCs w:val="24"/>
        </w:rPr>
      </w:pPr>
      <w:r>
        <w:rPr>
          <w:szCs w:val="24"/>
        </w:rPr>
        <w:br w:type="page"/>
      </w:r>
      <w:r w:rsidR="00E0446E" w:rsidRPr="00581181">
        <w:rPr>
          <w:szCs w:val="24"/>
        </w:rPr>
        <w:t>Protecting individuals against discrimination is vital if democracy, the rule of law, social cohesion and social relations are to be maintained. The Government has therefore identified fighting discrimination as a priority for its current term of office. In the second half of 2008 an action plan will be presented to Parliament, outlining the measures the Government will take to combat racism. The plan will outline how the Minister for Housing, Communities and Integration will shape antiracism policy, together with the Minister of Justice, the Minister of the Interior and Kingdom Relations, the Minister of Education, Culture and</w:t>
      </w:r>
      <w:r w:rsidR="00290AD4">
        <w:rPr>
          <w:szCs w:val="24"/>
        </w:rPr>
        <w:t xml:space="preserve"> Science, the Minister of </w:t>
      </w:r>
      <w:r w:rsidR="00E0446E" w:rsidRPr="00581181">
        <w:rPr>
          <w:szCs w:val="24"/>
        </w:rPr>
        <w:t>Social Affairs and Employment and the Minister of Health, Welfare and Sport. The plan will also look at combating racism at local level.</w:t>
      </w:r>
    </w:p>
    <w:p w:rsidR="00E0446E" w:rsidRPr="00581181" w:rsidRDefault="00E0446E" w:rsidP="00EF380E">
      <w:pPr>
        <w:pStyle w:val="Heading3"/>
      </w:pPr>
      <w:r w:rsidRPr="00581181">
        <w:t>Performance agreements with the police on tackling discrimination</w:t>
      </w:r>
    </w:p>
    <w:p w:rsidR="00E0446E" w:rsidRPr="00581181" w:rsidRDefault="00E0446E" w:rsidP="00030277">
      <w:pPr>
        <w:rPr>
          <w:szCs w:val="24"/>
        </w:rPr>
      </w:pPr>
      <w:r w:rsidRPr="00581181">
        <w:rPr>
          <w:szCs w:val="24"/>
        </w:rPr>
        <w:t>66.</w:t>
      </w:r>
      <w:r w:rsidRPr="00581181">
        <w:rPr>
          <w:szCs w:val="24"/>
        </w:rPr>
        <w:tab/>
        <w:t>Tackling discrimination is a highly important issue for the Minister of Justice and the Minister of the Interior and Kingdom Relations, as evinced by the inclusion of discrimination in police performance agreements for 2007. Under the terms of the agreements, police forces are obliged to keep the Public Prosecution Service, local authorities and relevant stakeholders regularly informed of the situation on discrimination and crime, and to implement the nine parameters for combating discrimination as laid down by the Board of Chief Commissioners on</w:t>
      </w:r>
      <w:r w:rsidR="00EF380E">
        <w:rPr>
          <w:szCs w:val="24"/>
        </w:rPr>
        <w:t> </w:t>
      </w:r>
      <w:r w:rsidRPr="00581181">
        <w:rPr>
          <w:szCs w:val="24"/>
        </w:rPr>
        <w:t>14 January 2004. In concrete terms, this means that police forces must:</w:t>
      </w:r>
    </w:p>
    <w:p w:rsidR="00E0446E" w:rsidRPr="00581181" w:rsidRDefault="00E0446E" w:rsidP="00EF380E">
      <w:pPr>
        <w:pStyle w:val="Bullet"/>
      </w:pPr>
      <w:r w:rsidRPr="00581181">
        <w:t>Incorporate anti</w:t>
      </w:r>
      <w:r w:rsidR="00AD0DF3" w:rsidRPr="00581181">
        <w:noBreakHyphen/>
      </w:r>
      <w:r w:rsidRPr="00581181">
        <w:t>discriminatio</w:t>
      </w:r>
      <w:r w:rsidR="00186456">
        <w:t>n policies in their annual plan</w:t>
      </w:r>
    </w:p>
    <w:p w:rsidR="00E0446E" w:rsidRPr="00581181" w:rsidRDefault="00E0446E" w:rsidP="00EF380E">
      <w:pPr>
        <w:pStyle w:val="Bullet"/>
      </w:pPr>
      <w:r w:rsidRPr="00581181">
        <w:t>Maintain an up</w:t>
      </w:r>
      <w:r w:rsidR="00AD0DF3" w:rsidRPr="00581181">
        <w:noBreakHyphen/>
      </w:r>
      <w:r w:rsidRPr="00581181">
        <w:t>to</w:t>
      </w:r>
      <w:r w:rsidR="00AD0DF3" w:rsidRPr="00581181">
        <w:noBreakHyphen/>
      </w:r>
      <w:r w:rsidRPr="00581181">
        <w:t>date list of all discriminatory incident</w:t>
      </w:r>
      <w:r w:rsidR="00186456">
        <w:t>s and reports of discrimination</w:t>
      </w:r>
    </w:p>
    <w:p w:rsidR="00E0446E" w:rsidRPr="00581181" w:rsidRDefault="00E0446E" w:rsidP="00EF380E">
      <w:pPr>
        <w:pStyle w:val="Bullet"/>
      </w:pPr>
      <w:r w:rsidRPr="00581181">
        <w:t xml:space="preserve">Regularly discuss the above list with the Public Prosecution Service, local authorities </w:t>
      </w:r>
      <w:r w:rsidR="00186456">
        <w:t>and other relevant stakeholders</w:t>
      </w:r>
    </w:p>
    <w:p w:rsidR="00E0446E" w:rsidRPr="00581181" w:rsidRDefault="00E0446E" w:rsidP="00EF380E">
      <w:pPr>
        <w:pStyle w:val="Bullet"/>
      </w:pPr>
      <w:r w:rsidRPr="00581181">
        <w:t>Draw up an annual table for the Public Prosecution Service giving the figures on reported cases of disc</w:t>
      </w:r>
      <w:r w:rsidR="00186456">
        <w:t>rimination and the action taken</w:t>
      </w:r>
    </w:p>
    <w:p w:rsidR="00E0446E" w:rsidRPr="00581181" w:rsidRDefault="00E0446E" w:rsidP="00EF380E">
      <w:pPr>
        <w:pStyle w:val="Bullet"/>
      </w:pPr>
      <w:r w:rsidRPr="00581181">
        <w:t>Make a member of the Force Management Team/Regional Management Team responsible for the discrimination portfolio and appoint a regional lia</w:t>
      </w:r>
      <w:r w:rsidR="00C65904">
        <w:t>ison officer for discrimination</w:t>
      </w:r>
    </w:p>
    <w:p w:rsidR="00E0446E" w:rsidRPr="00581181" w:rsidRDefault="00E0446E" w:rsidP="00EF380E">
      <w:pPr>
        <w:pStyle w:val="Bullet"/>
      </w:pPr>
      <w:r w:rsidRPr="00581181">
        <w:t>Ensure that the regional police force manager takes up discrimination in tripartite talks with the mayor and Pub</w:t>
      </w:r>
      <w:r w:rsidR="00C65904">
        <w:t>lic Prosecution Service</w:t>
      </w:r>
    </w:p>
    <w:p w:rsidR="00EC2B8C" w:rsidRDefault="00E0446E" w:rsidP="00030277">
      <w:pPr>
        <w:rPr>
          <w:b/>
          <w:szCs w:val="24"/>
        </w:rPr>
      </w:pPr>
      <w:r w:rsidRPr="00581181">
        <w:rPr>
          <w:szCs w:val="24"/>
        </w:rPr>
        <w:t>For their part, the Ministers of Justice and of the Interior and Kingdom Relations undertake to promote systematic partnership between local governments, the Public Prosecution Service and other relevant partners. On 7 June 2007, the Ministries of Justice and of the Interior and Kingdom Relations held a conference on a joint approach to discrimination, aided by the police and the Public Prosecution Service (see for the results in compact form Annex III). In mid</w:t>
      </w:r>
      <w:r w:rsidR="00AD0DF3" w:rsidRPr="00581181">
        <w:rPr>
          <w:szCs w:val="24"/>
        </w:rPr>
        <w:noBreakHyphen/>
      </w:r>
      <w:r w:rsidRPr="00581181">
        <w:rPr>
          <w:szCs w:val="24"/>
        </w:rPr>
        <w:t xml:space="preserve">2007, the Minister for Housing, Communities and Integration will draw up voluntary agreements with a number of cities and provinces with a view to improving coordination between local government and the police and the Public Prosecution Service. </w:t>
      </w:r>
    </w:p>
    <w:p w:rsidR="00E0446E" w:rsidRPr="00581181" w:rsidRDefault="00272628" w:rsidP="00C567FE">
      <w:pPr>
        <w:pStyle w:val="Heading3"/>
      </w:pPr>
      <w:r>
        <w:br w:type="page"/>
      </w:r>
      <w:r w:rsidR="00E0446E" w:rsidRPr="00581181">
        <w:t>Registering, reporting and dealing with cases of discrimination</w:t>
      </w:r>
    </w:p>
    <w:p w:rsidR="00EC2B8C" w:rsidRDefault="00E0446E" w:rsidP="00030277">
      <w:pPr>
        <w:rPr>
          <w:szCs w:val="24"/>
        </w:rPr>
      </w:pPr>
      <w:r w:rsidRPr="00581181">
        <w:rPr>
          <w:szCs w:val="24"/>
        </w:rPr>
        <w:t>67.</w:t>
      </w:r>
      <w:r w:rsidRPr="00581181">
        <w:rPr>
          <w:szCs w:val="24"/>
        </w:rPr>
        <w:tab/>
        <w:t>The police register cases of discrimination and offences of a discriminatory nature, such as racism, in the force</w:t>
      </w:r>
      <w:r w:rsidR="009B7745">
        <w:rPr>
          <w:szCs w:val="24"/>
        </w:rPr>
        <w:t>’</w:t>
      </w:r>
      <w:r w:rsidRPr="00581181">
        <w:rPr>
          <w:szCs w:val="24"/>
        </w:rPr>
        <w:t xml:space="preserve">s registration system. In some forces this is being done, by way of experiment, in the form of a question about discrimination in the standard list of questions. All forces make a note of the discriminatory element of the offence in the information box. </w:t>
      </w:r>
    </w:p>
    <w:p w:rsidR="00EC2B8C" w:rsidRDefault="00E0446E" w:rsidP="00030277">
      <w:pPr>
        <w:rPr>
          <w:szCs w:val="24"/>
        </w:rPr>
      </w:pPr>
      <w:r w:rsidRPr="00581181">
        <w:rPr>
          <w:szCs w:val="24"/>
        </w:rPr>
        <w:t>68.</w:t>
      </w:r>
      <w:r w:rsidRPr="00581181">
        <w:rPr>
          <w:szCs w:val="24"/>
        </w:rPr>
        <w:tab/>
        <w:t xml:space="preserve">The national search engine Blue View </w:t>
      </w:r>
      <w:r w:rsidR="00AD0DF3" w:rsidRPr="00581181">
        <w:rPr>
          <w:szCs w:val="24"/>
        </w:rPr>
        <w:noBreakHyphen/>
      </w:r>
      <w:r w:rsidRPr="00581181">
        <w:rPr>
          <w:szCs w:val="24"/>
        </w:rPr>
        <w:t xml:space="preserve"> a kind of police Google </w:t>
      </w:r>
      <w:r w:rsidR="00AD0DF3" w:rsidRPr="00581181">
        <w:rPr>
          <w:szCs w:val="24"/>
        </w:rPr>
        <w:noBreakHyphen/>
      </w:r>
      <w:r w:rsidRPr="00581181">
        <w:rPr>
          <w:szCs w:val="24"/>
        </w:rPr>
        <w:t xml:space="preserve"> has been operational since July 2006. Blue View facilitates the search for cases of discrimination and cases with a discriminatory element in a central system making it much easier to find offences with a discriminatory element.</w:t>
      </w:r>
    </w:p>
    <w:p w:rsidR="00EC2B8C" w:rsidRDefault="00E0446E" w:rsidP="00030277">
      <w:pPr>
        <w:rPr>
          <w:szCs w:val="24"/>
        </w:rPr>
      </w:pPr>
      <w:r w:rsidRPr="00581181">
        <w:rPr>
          <w:szCs w:val="24"/>
        </w:rPr>
        <w:t>69.</w:t>
      </w:r>
      <w:r w:rsidRPr="00581181">
        <w:rPr>
          <w:szCs w:val="24"/>
        </w:rPr>
        <w:tab/>
        <w:t xml:space="preserve">The police are currently improving the system of registering cases of discrimination and cases with a discriminatory element (also known as hate crimes) by providing special training for Intake &amp; Service staff responsible for registering such cases. </w:t>
      </w:r>
    </w:p>
    <w:p w:rsidR="00E0446E" w:rsidRPr="00581181" w:rsidRDefault="00E0446E" w:rsidP="00030277">
      <w:pPr>
        <w:rPr>
          <w:szCs w:val="24"/>
        </w:rPr>
      </w:pPr>
      <w:r w:rsidRPr="00581181">
        <w:rPr>
          <w:szCs w:val="24"/>
        </w:rPr>
        <w:t>70.</w:t>
      </w:r>
      <w:r w:rsidRPr="00581181">
        <w:rPr>
          <w:szCs w:val="24"/>
        </w:rPr>
        <w:tab/>
        <w:t xml:space="preserve">The National Discrimination Expertise Centre (LECD) is working on a project entitled </w:t>
      </w:r>
      <w:r w:rsidR="009B7745">
        <w:rPr>
          <w:szCs w:val="24"/>
        </w:rPr>
        <w:t>‘</w:t>
      </w:r>
      <w:r w:rsidRPr="00581181">
        <w:rPr>
          <w:szCs w:val="24"/>
        </w:rPr>
        <w:t>Hate crimes</w:t>
      </w:r>
      <w:r w:rsidR="009B7745">
        <w:rPr>
          <w:szCs w:val="24"/>
        </w:rPr>
        <w:t>’</w:t>
      </w:r>
      <w:r w:rsidRPr="00581181">
        <w:rPr>
          <w:szCs w:val="24"/>
        </w:rPr>
        <w:t>. Its aims are to:</w:t>
      </w:r>
    </w:p>
    <w:p w:rsidR="00C567FE" w:rsidRPr="00C567FE" w:rsidRDefault="00C567FE" w:rsidP="00C567FE">
      <w:pPr>
        <w:ind w:left="1134" w:hanging="567"/>
        <w:rPr>
          <w:szCs w:val="24"/>
        </w:rPr>
      </w:pPr>
      <w:r w:rsidRPr="00C567FE">
        <w:rPr>
          <w:szCs w:val="24"/>
        </w:rPr>
        <w:t>1.</w:t>
      </w:r>
      <w:r w:rsidRPr="00C567FE">
        <w:rPr>
          <w:szCs w:val="24"/>
        </w:rPr>
        <w:tab/>
        <w:t xml:space="preserve">Establish the true figures for racist, religious and homophobic hate crimes; </w:t>
      </w:r>
    </w:p>
    <w:p w:rsidR="00C567FE" w:rsidRPr="00C567FE" w:rsidRDefault="00C567FE" w:rsidP="00C567FE">
      <w:pPr>
        <w:ind w:left="1134" w:hanging="567"/>
        <w:rPr>
          <w:szCs w:val="24"/>
        </w:rPr>
      </w:pPr>
      <w:r w:rsidRPr="00C567FE">
        <w:rPr>
          <w:szCs w:val="24"/>
        </w:rPr>
        <w:t>2.</w:t>
      </w:r>
      <w:r w:rsidRPr="00C567FE">
        <w:rPr>
          <w:szCs w:val="24"/>
        </w:rPr>
        <w:tab/>
        <w:t xml:space="preserve">Provide a confidential, high quality support service for victims of hate crimes; </w:t>
      </w:r>
    </w:p>
    <w:p w:rsidR="00C567FE" w:rsidRPr="00C567FE" w:rsidRDefault="00C567FE" w:rsidP="00C567FE">
      <w:pPr>
        <w:ind w:left="1134" w:hanging="567"/>
        <w:rPr>
          <w:szCs w:val="24"/>
        </w:rPr>
      </w:pPr>
      <w:r w:rsidRPr="00C567FE">
        <w:rPr>
          <w:szCs w:val="24"/>
        </w:rPr>
        <w:t>3.</w:t>
      </w:r>
      <w:r w:rsidRPr="00C567FE">
        <w:rPr>
          <w:szCs w:val="24"/>
        </w:rPr>
        <w:tab/>
        <w:t>Win the confidence of ethnic minority members of the community and increase the proportion of incidents reported.</w:t>
      </w:r>
    </w:p>
    <w:p w:rsidR="00EC2B8C" w:rsidRDefault="00E0446E" w:rsidP="00030277">
      <w:pPr>
        <w:rPr>
          <w:szCs w:val="24"/>
        </w:rPr>
      </w:pPr>
      <w:r w:rsidRPr="00581181">
        <w:rPr>
          <w:szCs w:val="24"/>
        </w:rPr>
        <w:t>A pilot will be carried out in partnership with two regional police forces. It will also be crucial to involve civil society organizations; this will require proper coordination. The project is expected to start in late 2007, or earlier if possible. The LECD is also developing a uniform regional format for analysing discrimination</w:t>
      </w:r>
      <w:r w:rsidR="00AD0DF3" w:rsidRPr="00581181">
        <w:rPr>
          <w:szCs w:val="24"/>
        </w:rPr>
        <w:noBreakHyphen/>
      </w:r>
      <w:r w:rsidRPr="00581181">
        <w:rPr>
          <w:szCs w:val="24"/>
        </w:rPr>
        <w:t xml:space="preserve">related crime patterns, in line with performance agreements with the Ministers of the Interior and Kingdom Relations and of Justice. </w:t>
      </w:r>
    </w:p>
    <w:p w:rsidR="00EC2B8C" w:rsidRDefault="00E0446E" w:rsidP="00030277">
      <w:pPr>
        <w:rPr>
          <w:szCs w:val="24"/>
        </w:rPr>
      </w:pPr>
      <w:r w:rsidRPr="00581181">
        <w:rPr>
          <w:szCs w:val="24"/>
        </w:rPr>
        <w:t>The above</w:t>
      </w:r>
      <w:r w:rsidR="00AD0DF3" w:rsidRPr="00581181">
        <w:rPr>
          <w:szCs w:val="24"/>
        </w:rPr>
        <w:noBreakHyphen/>
      </w:r>
      <w:r w:rsidRPr="00581181">
        <w:rPr>
          <w:szCs w:val="24"/>
        </w:rPr>
        <w:t>mentioned developments will provide a thorough regional picture of cases of discrimination.</w:t>
      </w:r>
    </w:p>
    <w:p w:rsidR="00E0446E" w:rsidRPr="00581181" w:rsidRDefault="00E0446E" w:rsidP="00C567FE">
      <w:pPr>
        <w:pStyle w:val="Heading3"/>
      </w:pPr>
      <w:r w:rsidRPr="00581181">
        <w:t>Minority organizations</w:t>
      </w:r>
    </w:p>
    <w:p w:rsidR="00EC2B8C" w:rsidRDefault="00E0446E" w:rsidP="00030277">
      <w:pPr>
        <w:autoSpaceDE w:val="0"/>
        <w:autoSpaceDN w:val="0"/>
        <w:adjustRightInd w:val="0"/>
        <w:rPr>
          <w:iCs/>
          <w:szCs w:val="24"/>
        </w:rPr>
      </w:pPr>
      <w:r w:rsidRPr="00581181">
        <w:rPr>
          <w:bCs/>
          <w:szCs w:val="24"/>
        </w:rPr>
        <w:t>71.</w:t>
      </w:r>
      <w:r w:rsidRPr="00581181">
        <w:rPr>
          <w:bCs/>
          <w:szCs w:val="24"/>
        </w:rPr>
        <w:tab/>
        <w:t xml:space="preserve">The Dutch Government frequently consults the many bodies representing ethnic minority groups, brought together in the National Ethnic Minorities Consultative Committee (LOM). Between </w:t>
      </w:r>
      <w:r w:rsidRPr="00581181">
        <w:rPr>
          <w:szCs w:val="24"/>
        </w:rPr>
        <w:t>2005 and 2007, it has also financed a programme encouraging minority organizations to promote mutual understanding between the indigenous Dutch population and ethnic minority groups.</w:t>
      </w:r>
      <w:r w:rsidRPr="00581181">
        <w:rPr>
          <w:bCs/>
          <w:szCs w:val="24"/>
        </w:rPr>
        <w:t xml:space="preserve"> </w:t>
      </w:r>
      <w:r w:rsidRPr="00581181">
        <w:rPr>
          <w:szCs w:val="24"/>
        </w:rPr>
        <w:t xml:space="preserve">The programme forms part of the Social Cohesion Initiative (see under </w:t>
      </w:r>
      <w:r w:rsidRPr="00581181">
        <w:rPr>
          <w:i/>
          <w:szCs w:val="24"/>
        </w:rPr>
        <w:t>Integration policy and promotion of general awareness</w:t>
      </w:r>
      <w:r w:rsidRPr="00581181">
        <w:rPr>
          <w:szCs w:val="24"/>
        </w:rPr>
        <w:t>,</w:t>
      </w:r>
      <w:r w:rsidRPr="00581181">
        <w:rPr>
          <w:i/>
          <w:szCs w:val="24"/>
        </w:rPr>
        <w:t xml:space="preserve"> </w:t>
      </w:r>
      <w:r w:rsidRPr="00581181">
        <w:rPr>
          <w:iCs/>
          <w:szCs w:val="24"/>
        </w:rPr>
        <w:t>II. A, concl. obs. no. 10) and has entailed setting up</w:t>
      </w:r>
      <w:r w:rsidRPr="00581181">
        <w:rPr>
          <w:bCs/>
          <w:szCs w:val="24"/>
        </w:rPr>
        <w:t xml:space="preserve"> many projects to promote minority participation in all aspects of society and to eliminate barriers</w:t>
      </w:r>
      <w:r w:rsidRPr="00581181">
        <w:rPr>
          <w:szCs w:val="24"/>
        </w:rPr>
        <w:t xml:space="preserve"> between ethnic groups. The overall goal is to strengthen social cohesion and interpersonal bonds, and to promote a sense of citizenship and </w:t>
      </w:r>
      <w:r w:rsidR="009B7745">
        <w:rPr>
          <w:szCs w:val="24"/>
        </w:rPr>
        <w:t>‘</w:t>
      </w:r>
      <w:r w:rsidRPr="00581181">
        <w:rPr>
          <w:szCs w:val="24"/>
        </w:rPr>
        <w:t>belonging</w:t>
      </w:r>
      <w:r w:rsidR="009B7745">
        <w:rPr>
          <w:szCs w:val="24"/>
        </w:rPr>
        <w:t>’</w:t>
      </w:r>
      <w:r w:rsidRPr="00581181">
        <w:rPr>
          <w:szCs w:val="24"/>
        </w:rPr>
        <w:t>. The Government helps these bodies organize conferences and summer schools, develop role models, and set up training courses and websites. The programme will be evaluated at the end of 2007.</w:t>
      </w:r>
    </w:p>
    <w:p w:rsidR="00E0446E" w:rsidRPr="00581181" w:rsidRDefault="00272628" w:rsidP="00C567FE">
      <w:pPr>
        <w:pStyle w:val="Heading3"/>
      </w:pPr>
      <w:r>
        <w:br w:type="page"/>
      </w:r>
      <w:r w:rsidR="00E0446E" w:rsidRPr="00581181">
        <w:t>Information about equal treatment of ethnic minorities</w:t>
      </w:r>
    </w:p>
    <w:p w:rsidR="00E0446E" w:rsidRPr="00581181" w:rsidRDefault="00290AD4" w:rsidP="00C567FE">
      <w:pPr>
        <w:pStyle w:val="Heading4"/>
      </w:pPr>
      <w:r>
        <w:t>Complaints procedure</w:t>
      </w:r>
    </w:p>
    <w:p w:rsidR="00C567FE" w:rsidRDefault="00E0446E" w:rsidP="00030277">
      <w:pPr>
        <w:rPr>
          <w:szCs w:val="24"/>
        </w:rPr>
      </w:pPr>
      <w:r w:rsidRPr="00581181">
        <w:rPr>
          <w:szCs w:val="24"/>
        </w:rPr>
        <w:t>72.</w:t>
      </w:r>
      <w:r w:rsidRPr="00581181">
        <w:rPr>
          <w:szCs w:val="24"/>
        </w:rPr>
        <w:tab/>
        <w:t xml:space="preserve">The Equal Treatment Commission (CGB) is authorized to investigate cases of alleged unequal treatment of ethnic minorities. </w:t>
      </w:r>
    </w:p>
    <w:tbl>
      <w:tblPr>
        <w:tblW w:w="0" w:type="auto"/>
        <w:jc w:val="center"/>
        <w:tblInd w:w="22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842"/>
        <w:gridCol w:w="1399"/>
        <w:gridCol w:w="1399"/>
      </w:tblGrid>
      <w:tr w:rsidR="00E0446E" w:rsidRPr="00C567FE" w:rsidTr="00C567FE">
        <w:trPr>
          <w:tblHeader/>
          <w:jc w:val="center"/>
        </w:trPr>
        <w:tc>
          <w:tcPr>
            <w:tcW w:w="2842" w:type="dxa"/>
            <w:tcBorders>
              <w:top w:val="single" w:sz="4" w:space="0" w:color="auto"/>
              <w:bottom w:val="single" w:sz="4" w:space="0" w:color="auto"/>
            </w:tcBorders>
          </w:tcPr>
          <w:p w:rsidR="00E0446E" w:rsidRPr="00C567FE" w:rsidRDefault="00E0446E" w:rsidP="00C567FE">
            <w:pPr>
              <w:spacing w:after="0"/>
              <w:jc w:val="center"/>
              <w:rPr>
                <w:szCs w:val="24"/>
              </w:rPr>
            </w:pPr>
            <w:r w:rsidRPr="00C567FE">
              <w:rPr>
                <w:szCs w:val="24"/>
              </w:rPr>
              <w:t>Information from CGB</w:t>
            </w:r>
          </w:p>
        </w:tc>
        <w:tc>
          <w:tcPr>
            <w:tcW w:w="1399" w:type="dxa"/>
            <w:tcBorders>
              <w:top w:val="single" w:sz="4" w:space="0" w:color="auto"/>
              <w:bottom w:val="single" w:sz="4" w:space="0" w:color="auto"/>
            </w:tcBorders>
          </w:tcPr>
          <w:p w:rsidR="00E0446E" w:rsidRPr="00C567FE" w:rsidRDefault="00E0446E" w:rsidP="00C567FE">
            <w:pPr>
              <w:spacing w:after="0"/>
              <w:jc w:val="center"/>
              <w:rPr>
                <w:szCs w:val="24"/>
              </w:rPr>
            </w:pPr>
            <w:r w:rsidRPr="00C567FE">
              <w:rPr>
                <w:szCs w:val="24"/>
              </w:rPr>
              <w:t>Race</w:t>
            </w:r>
          </w:p>
        </w:tc>
        <w:tc>
          <w:tcPr>
            <w:tcW w:w="1399" w:type="dxa"/>
            <w:tcBorders>
              <w:top w:val="single" w:sz="4" w:space="0" w:color="auto"/>
              <w:bottom w:val="single" w:sz="4" w:space="0" w:color="auto"/>
            </w:tcBorders>
          </w:tcPr>
          <w:p w:rsidR="00E0446E" w:rsidRPr="00C567FE" w:rsidRDefault="00E0446E" w:rsidP="00C567FE">
            <w:pPr>
              <w:spacing w:after="0"/>
              <w:jc w:val="center"/>
              <w:rPr>
                <w:szCs w:val="24"/>
              </w:rPr>
            </w:pPr>
            <w:r w:rsidRPr="00C567FE">
              <w:rPr>
                <w:szCs w:val="24"/>
              </w:rPr>
              <w:t>Nationality</w:t>
            </w:r>
          </w:p>
        </w:tc>
      </w:tr>
      <w:tr w:rsidR="00E0446E" w:rsidRPr="00C567FE" w:rsidTr="00C567FE">
        <w:trPr>
          <w:jc w:val="center"/>
        </w:trPr>
        <w:tc>
          <w:tcPr>
            <w:tcW w:w="2842" w:type="dxa"/>
            <w:tcBorders>
              <w:top w:val="single" w:sz="4" w:space="0" w:color="auto"/>
            </w:tcBorders>
          </w:tcPr>
          <w:p w:rsidR="00E0446E" w:rsidRPr="00C567FE" w:rsidRDefault="00E0446E" w:rsidP="00C567FE">
            <w:pPr>
              <w:spacing w:after="0"/>
              <w:rPr>
                <w:szCs w:val="24"/>
              </w:rPr>
            </w:pPr>
            <w:r w:rsidRPr="00C567FE">
              <w:rPr>
                <w:szCs w:val="24"/>
              </w:rPr>
              <w:t>Decisions</w:t>
            </w:r>
          </w:p>
        </w:tc>
        <w:tc>
          <w:tcPr>
            <w:tcW w:w="1399" w:type="dxa"/>
            <w:tcBorders>
              <w:top w:val="single" w:sz="4" w:space="0" w:color="auto"/>
            </w:tcBorders>
          </w:tcPr>
          <w:p w:rsidR="00E0446E" w:rsidRPr="00C567FE" w:rsidRDefault="00E0446E" w:rsidP="00C567FE">
            <w:pPr>
              <w:spacing w:after="0"/>
              <w:rPr>
                <w:szCs w:val="24"/>
              </w:rPr>
            </w:pPr>
          </w:p>
        </w:tc>
        <w:tc>
          <w:tcPr>
            <w:tcW w:w="1399" w:type="dxa"/>
            <w:tcBorders>
              <w:top w:val="single" w:sz="4" w:space="0" w:color="auto"/>
            </w:tcBorders>
          </w:tcPr>
          <w:p w:rsidR="00E0446E" w:rsidRPr="00C567FE" w:rsidRDefault="00E0446E" w:rsidP="00C567FE">
            <w:pPr>
              <w:spacing w:after="0"/>
              <w:rPr>
                <w:szCs w:val="24"/>
              </w:rPr>
            </w:pPr>
          </w:p>
        </w:tc>
      </w:tr>
      <w:tr w:rsidR="00E0446E" w:rsidRPr="00C567FE" w:rsidTr="00C567FE">
        <w:trPr>
          <w:jc w:val="center"/>
        </w:trPr>
        <w:tc>
          <w:tcPr>
            <w:tcW w:w="2842" w:type="dxa"/>
          </w:tcPr>
          <w:p w:rsidR="00E0446E" w:rsidRPr="00C567FE" w:rsidRDefault="00DF4D67" w:rsidP="00C567FE">
            <w:pPr>
              <w:spacing w:after="0"/>
              <w:rPr>
                <w:szCs w:val="24"/>
              </w:rPr>
            </w:pPr>
            <w:r w:rsidRPr="00C567FE">
              <w:rPr>
                <w:szCs w:val="24"/>
              </w:rPr>
              <w:t xml:space="preserve"> </w:t>
            </w:r>
            <w:r w:rsidR="00C567FE" w:rsidRPr="00C567FE">
              <w:rPr>
                <w:szCs w:val="24"/>
              </w:rPr>
              <w:t xml:space="preserve"> </w:t>
            </w:r>
            <w:r w:rsidR="00E0446E" w:rsidRPr="00C567FE">
              <w:rPr>
                <w:szCs w:val="24"/>
              </w:rPr>
              <w:t>2005</w:t>
            </w:r>
          </w:p>
        </w:tc>
        <w:tc>
          <w:tcPr>
            <w:tcW w:w="1399" w:type="dxa"/>
          </w:tcPr>
          <w:p w:rsidR="00E0446E" w:rsidRPr="00C567FE" w:rsidRDefault="00E0446E" w:rsidP="004A0B65">
            <w:pPr>
              <w:spacing w:after="0"/>
              <w:ind w:right="454"/>
              <w:jc w:val="right"/>
              <w:rPr>
                <w:szCs w:val="24"/>
              </w:rPr>
            </w:pPr>
            <w:r w:rsidRPr="00C567FE">
              <w:rPr>
                <w:szCs w:val="24"/>
              </w:rPr>
              <w:t>39</w:t>
            </w:r>
          </w:p>
        </w:tc>
        <w:tc>
          <w:tcPr>
            <w:tcW w:w="1399" w:type="dxa"/>
          </w:tcPr>
          <w:p w:rsidR="00E0446E" w:rsidRPr="00C567FE" w:rsidRDefault="00E0446E" w:rsidP="004A0B65">
            <w:pPr>
              <w:spacing w:after="0"/>
              <w:ind w:right="454"/>
              <w:jc w:val="right"/>
              <w:rPr>
                <w:szCs w:val="24"/>
              </w:rPr>
            </w:pPr>
            <w:r w:rsidRPr="00C567FE">
              <w:rPr>
                <w:szCs w:val="24"/>
              </w:rPr>
              <w:t>46</w:t>
            </w:r>
          </w:p>
        </w:tc>
      </w:tr>
      <w:tr w:rsidR="00E0446E" w:rsidRPr="00C567FE" w:rsidTr="00C567FE">
        <w:trPr>
          <w:jc w:val="center"/>
        </w:trPr>
        <w:tc>
          <w:tcPr>
            <w:tcW w:w="2842" w:type="dxa"/>
          </w:tcPr>
          <w:p w:rsidR="00E0446E" w:rsidRPr="00C567FE" w:rsidRDefault="00DF4D67" w:rsidP="00C567FE">
            <w:pPr>
              <w:spacing w:after="0"/>
              <w:rPr>
                <w:szCs w:val="24"/>
              </w:rPr>
            </w:pPr>
            <w:r w:rsidRPr="00C567FE">
              <w:rPr>
                <w:szCs w:val="24"/>
              </w:rPr>
              <w:t xml:space="preserve"> </w:t>
            </w:r>
            <w:r w:rsidR="00C567FE" w:rsidRPr="00C567FE">
              <w:rPr>
                <w:szCs w:val="24"/>
              </w:rPr>
              <w:t xml:space="preserve"> </w:t>
            </w:r>
            <w:r w:rsidR="00E0446E" w:rsidRPr="00C567FE">
              <w:rPr>
                <w:szCs w:val="24"/>
              </w:rPr>
              <w:t xml:space="preserve">2006 </w:t>
            </w:r>
          </w:p>
        </w:tc>
        <w:tc>
          <w:tcPr>
            <w:tcW w:w="1399" w:type="dxa"/>
          </w:tcPr>
          <w:p w:rsidR="00E0446E" w:rsidRPr="00C567FE" w:rsidRDefault="00E0446E" w:rsidP="004A0B65">
            <w:pPr>
              <w:spacing w:after="0"/>
              <w:ind w:right="454"/>
              <w:jc w:val="right"/>
              <w:rPr>
                <w:szCs w:val="24"/>
              </w:rPr>
            </w:pPr>
            <w:r w:rsidRPr="00C567FE">
              <w:rPr>
                <w:szCs w:val="24"/>
              </w:rPr>
              <w:t>47</w:t>
            </w:r>
          </w:p>
        </w:tc>
        <w:tc>
          <w:tcPr>
            <w:tcW w:w="1399" w:type="dxa"/>
          </w:tcPr>
          <w:p w:rsidR="00E0446E" w:rsidRPr="00C567FE" w:rsidRDefault="00E0446E" w:rsidP="004A0B65">
            <w:pPr>
              <w:spacing w:after="0"/>
              <w:ind w:right="454"/>
              <w:jc w:val="right"/>
              <w:rPr>
                <w:szCs w:val="24"/>
              </w:rPr>
            </w:pPr>
            <w:r w:rsidRPr="00C567FE">
              <w:rPr>
                <w:szCs w:val="24"/>
              </w:rPr>
              <w:t>52</w:t>
            </w:r>
          </w:p>
        </w:tc>
      </w:tr>
      <w:tr w:rsidR="00E0446E" w:rsidRPr="00C567FE" w:rsidTr="00C567FE">
        <w:trPr>
          <w:jc w:val="center"/>
        </w:trPr>
        <w:tc>
          <w:tcPr>
            <w:tcW w:w="2842" w:type="dxa"/>
          </w:tcPr>
          <w:p w:rsidR="00E0446E" w:rsidRPr="00C567FE" w:rsidRDefault="00E0446E" w:rsidP="00C567FE">
            <w:pPr>
              <w:spacing w:after="0"/>
              <w:rPr>
                <w:szCs w:val="24"/>
              </w:rPr>
            </w:pPr>
            <w:r w:rsidRPr="00C567FE">
              <w:rPr>
                <w:szCs w:val="24"/>
              </w:rPr>
              <w:t>Requests</w:t>
            </w:r>
          </w:p>
        </w:tc>
        <w:tc>
          <w:tcPr>
            <w:tcW w:w="1399" w:type="dxa"/>
          </w:tcPr>
          <w:p w:rsidR="00E0446E" w:rsidRPr="00C567FE" w:rsidRDefault="00E0446E" w:rsidP="004A0B65">
            <w:pPr>
              <w:spacing w:after="0"/>
              <w:ind w:right="454"/>
              <w:jc w:val="right"/>
              <w:rPr>
                <w:szCs w:val="24"/>
              </w:rPr>
            </w:pPr>
          </w:p>
        </w:tc>
        <w:tc>
          <w:tcPr>
            <w:tcW w:w="1399" w:type="dxa"/>
          </w:tcPr>
          <w:p w:rsidR="00E0446E" w:rsidRPr="00C567FE" w:rsidRDefault="00E0446E" w:rsidP="004A0B65">
            <w:pPr>
              <w:spacing w:after="0"/>
              <w:ind w:right="454"/>
              <w:jc w:val="right"/>
              <w:rPr>
                <w:szCs w:val="24"/>
              </w:rPr>
            </w:pPr>
          </w:p>
        </w:tc>
      </w:tr>
      <w:tr w:rsidR="00E0446E" w:rsidRPr="00C567FE" w:rsidTr="00C567FE">
        <w:trPr>
          <w:jc w:val="center"/>
        </w:trPr>
        <w:tc>
          <w:tcPr>
            <w:tcW w:w="2842" w:type="dxa"/>
          </w:tcPr>
          <w:p w:rsidR="00E0446E" w:rsidRPr="00C567FE" w:rsidRDefault="00DF4D67" w:rsidP="00C567FE">
            <w:pPr>
              <w:spacing w:after="0"/>
              <w:rPr>
                <w:szCs w:val="24"/>
              </w:rPr>
            </w:pPr>
            <w:r w:rsidRPr="00C567FE">
              <w:rPr>
                <w:szCs w:val="24"/>
              </w:rPr>
              <w:t xml:space="preserve"> </w:t>
            </w:r>
            <w:r w:rsidR="00C567FE" w:rsidRPr="00C567FE">
              <w:rPr>
                <w:szCs w:val="24"/>
              </w:rPr>
              <w:t xml:space="preserve"> </w:t>
            </w:r>
            <w:r w:rsidR="00E0446E" w:rsidRPr="00C567FE">
              <w:rPr>
                <w:szCs w:val="24"/>
              </w:rPr>
              <w:t>2004</w:t>
            </w:r>
          </w:p>
        </w:tc>
        <w:tc>
          <w:tcPr>
            <w:tcW w:w="1399" w:type="dxa"/>
          </w:tcPr>
          <w:p w:rsidR="00E0446E" w:rsidRPr="00C567FE" w:rsidRDefault="00E0446E" w:rsidP="004A0B65">
            <w:pPr>
              <w:spacing w:after="0"/>
              <w:ind w:right="454"/>
              <w:jc w:val="right"/>
              <w:rPr>
                <w:szCs w:val="24"/>
              </w:rPr>
            </w:pPr>
            <w:r w:rsidRPr="00C567FE">
              <w:rPr>
                <w:szCs w:val="24"/>
              </w:rPr>
              <w:t>45</w:t>
            </w:r>
          </w:p>
        </w:tc>
        <w:tc>
          <w:tcPr>
            <w:tcW w:w="1399" w:type="dxa"/>
          </w:tcPr>
          <w:p w:rsidR="00E0446E" w:rsidRPr="00C567FE" w:rsidRDefault="00E0446E" w:rsidP="004A0B65">
            <w:pPr>
              <w:spacing w:after="0"/>
              <w:ind w:right="454"/>
              <w:jc w:val="right"/>
              <w:rPr>
                <w:szCs w:val="24"/>
              </w:rPr>
            </w:pPr>
            <w:r w:rsidRPr="00C567FE">
              <w:rPr>
                <w:szCs w:val="24"/>
              </w:rPr>
              <w:t>12</w:t>
            </w:r>
          </w:p>
        </w:tc>
      </w:tr>
      <w:tr w:rsidR="00E0446E" w:rsidRPr="00C567FE" w:rsidTr="00C567FE">
        <w:trPr>
          <w:jc w:val="center"/>
        </w:trPr>
        <w:tc>
          <w:tcPr>
            <w:tcW w:w="2842" w:type="dxa"/>
          </w:tcPr>
          <w:p w:rsidR="00E0446E" w:rsidRPr="00C567FE" w:rsidRDefault="00C567FE" w:rsidP="00C567FE">
            <w:pPr>
              <w:spacing w:after="0"/>
              <w:rPr>
                <w:szCs w:val="24"/>
              </w:rPr>
            </w:pPr>
            <w:r w:rsidRPr="00C567FE">
              <w:rPr>
                <w:szCs w:val="24"/>
              </w:rPr>
              <w:t xml:space="preserve"> </w:t>
            </w:r>
            <w:r w:rsidR="00DF4D67" w:rsidRPr="00C567FE">
              <w:rPr>
                <w:szCs w:val="24"/>
              </w:rPr>
              <w:t xml:space="preserve"> </w:t>
            </w:r>
            <w:r w:rsidR="00E0446E" w:rsidRPr="00C567FE">
              <w:rPr>
                <w:szCs w:val="24"/>
              </w:rPr>
              <w:t>2005</w:t>
            </w:r>
          </w:p>
        </w:tc>
        <w:tc>
          <w:tcPr>
            <w:tcW w:w="1399" w:type="dxa"/>
          </w:tcPr>
          <w:p w:rsidR="00E0446E" w:rsidRPr="00C567FE" w:rsidRDefault="00E0446E" w:rsidP="004A0B65">
            <w:pPr>
              <w:spacing w:after="0"/>
              <w:ind w:right="454"/>
              <w:jc w:val="right"/>
              <w:rPr>
                <w:szCs w:val="24"/>
              </w:rPr>
            </w:pPr>
            <w:r w:rsidRPr="00C567FE">
              <w:rPr>
                <w:szCs w:val="24"/>
              </w:rPr>
              <w:t>78</w:t>
            </w:r>
          </w:p>
        </w:tc>
        <w:tc>
          <w:tcPr>
            <w:tcW w:w="1399" w:type="dxa"/>
          </w:tcPr>
          <w:p w:rsidR="00E0446E" w:rsidRPr="00C567FE" w:rsidRDefault="00E0446E" w:rsidP="004A0B65">
            <w:pPr>
              <w:spacing w:after="0"/>
              <w:ind w:right="454"/>
              <w:jc w:val="right"/>
              <w:rPr>
                <w:szCs w:val="24"/>
              </w:rPr>
            </w:pPr>
            <w:r w:rsidRPr="00C567FE">
              <w:rPr>
                <w:szCs w:val="24"/>
              </w:rPr>
              <w:t>20</w:t>
            </w:r>
          </w:p>
        </w:tc>
      </w:tr>
      <w:tr w:rsidR="00E0446E" w:rsidRPr="00C567FE" w:rsidTr="00C567FE">
        <w:trPr>
          <w:jc w:val="center"/>
        </w:trPr>
        <w:tc>
          <w:tcPr>
            <w:tcW w:w="2842" w:type="dxa"/>
          </w:tcPr>
          <w:p w:rsidR="00E0446E" w:rsidRPr="00C567FE" w:rsidRDefault="00C567FE" w:rsidP="00C567FE">
            <w:pPr>
              <w:spacing w:after="0"/>
              <w:rPr>
                <w:szCs w:val="24"/>
              </w:rPr>
            </w:pPr>
            <w:r w:rsidRPr="00C567FE">
              <w:rPr>
                <w:szCs w:val="24"/>
              </w:rPr>
              <w:t xml:space="preserve"> </w:t>
            </w:r>
            <w:r w:rsidR="00DF4D67" w:rsidRPr="00C567FE">
              <w:rPr>
                <w:szCs w:val="24"/>
              </w:rPr>
              <w:t xml:space="preserve"> </w:t>
            </w:r>
            <w:r w:rsidR="00E0446E" w:rsidRPr="00C567FE">
              <w:rPr>
                <w:szCs w:val="24"/>
              </w:rPr>
              <w:t>2006</w:t>
            </w:r>
          </w:p>
        </w:tc>
        <w:tc>
          <w:tcPr>
            <w:tcW w:w="1399" w:type="dxa"/>
          </w:tcPr>
          <w:p w:rsidR="00E0446E" w:rsidRPr="00C567FE" w:rsidRDefault="00E0446E" w:rsidP="004A0B65">
            <w:pPr>
              <w:spacing w:after="0"/>
              <w:ind w:right="454"/>
              <w:jc w:val="right"/>
              <w:rPr>
                <w:szCs w:val="24"/>
              </w:rPr>
            </w:pPr>
            <w:r w:rsidRPr="00C567FE">
              <w:rPr>
                <w:szCs w:val="24"/>
              </w:rPr>
              <w:t>105</w:t>
            </w:r>
          </w:p>
        </w:tc>
        <w:tc>
          <w:tcPr>
            <w:tcW w:w="1399" w:type="dxa"/>
          </w:tcPr>
          <w:p w:rsidR="00E0446E" w:rsidRPr="00C567FE" w:rsidRDefault="00E0446E" w:rsidP="004A0B65">
            <w:pPr>
              <w:spacing w:after="0"/>
              <w:ind w:right="454"/>
              <w:jc w:val="right"/>
              <w:rPr>
                <w:szCs w:val="24"/>
              </w:rPr>
            </w:pPr>
            <w:r w:rsidRPr="00C567FE">
              <w:rPr>
                <w:szCs w:val="24"/>
              </w:rPr>
              <w:t>20</w:t>
            </w:r>
          </w:p>
        </w:tc>
      </w:tr>
      <w:tr w:rsidR="00E0446E" w:rsidRPr="00C567FE" w:rsidTr="00C567FE">
        <w:trPr>
          <w:jc w:val="center"/>
        </w:trPr>
        <w:tc>
          <w:tcPr>
            <w:tcW w:w="2842" w:type="dxa"/>
          </w:tcPr>
          <w:p w:rsidR="00E0446E" w:rsidRPr="00C567FE" w:rsidRDefault="00E0446E" w:rsidP="00C567FE">
            <w:pPr>
              <w:spacing w:after="0"/>
              <w:rPr>
                <w:szCs w:val="24"/>
              </w:rPr>
            </w:pPr>
            <w:r w:rsidRPr="00C567FE">
              <w:rPr>
                <w:szCs w:val="24"/>
              </w:rPr>
              <w:t xml:space="preserve">Telephone helpline </w:t>
            </w:r>
          </w:p>
        </w:tc>
        <w:tc>
          <w:tcPr>
            <w:tcW w:w="1399" w:type="dxa"/>
          </w:tcPr>
          <w:p w:rsidR="00E0446E" w:rsidRPr="00C567FE" w:rsidRDefault="00E0446E" w:rsidP="004A0B65">
            <w:pPr>
              <w:spacing w:after="0"/>
              <w:ind w:right="454"/>
              <w:jc w:val="right"/>
              <w:rPr>
                <w:szCs w:val="24"/>
              </w:rPr>
            </w:pPr>
          </w:p>
        </w:tc>
        <w:tc>
          <w:tcPr>
            <w:tcW w:w="1399" w:type="dxa"/>
          </w:tcPr>
          <w:p w:rsidR="00E0446E" w:rsidRPr="00C567FE" w:rsidRDefault="00E0446E" w:rsidP="004A0B65">
            <w:pPr>
              <w:spacing w:after="0"/>
              <w:ind w:right="454"/>
              <w:jc w:val="right"/>
              <w:rPr>
                <w:szCs w:val="24"/>
              </w:rPr>
            </w:pPr>
          </w:p>
        </w:tc>
      </w:tr>
      <w:tr w:rsidR="00E0446E" w:rsidRPr="00C567FE" w:rsidTr="00C567FE">
        <w:trPr>
          <w:jc w:val="center"/>
        </w:trPr>
        <w:tc>
          <w:tcPr>
            <w:tcW w:w="2842" w:type="dxa"/>
          </w:tcPr>
          <w:p w:rsidR="00E0446E" w:rsidRPr="00C567FE" w:rsidRDefault="00C567FE" w:rsidP="00C567FE">
            <w:pPr>
              <w:spacing w:after="0"/>
              <w:rPr>
                <w:szCs w:val="24"/>
              </w:rPr>
            </w:pPr>
            <w:r w:rsidRPr="00C567FE">
              <w:rPr>
                <w:szCs w:val="24"/>
              </w:rPr>
              <w:t xml:space="preserve"> </w:t>
            </w:r>
            <w:r w:rsidR="00DF4D67" w:rsidRPr="00C567FE">
              <w:rPr>
                <w:szCs w:val="24"/>
              </w:rPr>
              <w:t xml:space="preserve"> </w:t>
            </w:r>
            <w:r w:rsidR="00E0446E" w:rsidRPr="00C567FE">
              <w:rPr>
                <w:szCs w:val="24"/>
              </w:rPr>
              <w:t>2004</w:t>
            </w:r>
          </w:p>
        </w:tc>
        <w:tc>
          <w:tcPr>
            <w:tcW w:w="1399" w:type="dxa"/>
          </w:tcPr>
          <w:p w:rsidR="00E0446E" w:rsidRPr="00C567FE" w:rsidRDefault="00E0446E" w:rsidP="004A0B65">
            <w:pPr>
              <w:spacing w:after="0"/>
              <w:ind w:right="454"/>
              <w:jc w:val="right"/>
              <w:rPr>
                <w:szCs w:val="24"/>
              </w:rPr>
            </w:pPr>
            <w:r w:rsidRPr="00C567FE">
              <w:rPr>
                <w:szCs w:val="24"/>
              </w:rPr>
              <w:t>45</w:t>
            </w:r>
          </w:p>
        </w:tc>
        <w:tc>
          <w:tcPr>
            <w:tcW w:w="1399" w:type="dxa"/>
          </w:tcPr>
          <w:p w:rsidR="00E0446E" w:rsidRPr="00C567FE" w:rsidRDefault="00E0446E" w:rsidP="004A0B65">
            <w:pPr>
              <w:spacing w:after="0"/>
              <w:ind w:right="454"/>
              <w:jc w:val="right"/>
              <w:rPr>
                <w:szCs w:val="24"/>
              </w:rPr>
            </w:pPr>
            <w:r w:rsidRPr="00C567FE">
              <w:rPr>
                <w:szCs w:val="24"/>
              </w:rPr>
              <w:t>32</w:t>
            </w:r>
          </w:p>
        </w:tc>
      </w:tr>
      <w:tr w:rsidR="00E0446E" w:rsidRPr="00C567FE" w:rsidTr="00C567FE">
        <w:trPr>
          <w:jc w:val="center"/>
        </w:trPr>
        <w:tc>
          <w:tcPr>
            <w:tcW w:w="2842" w:type="dxa"/>
          </w:tcPr>
          <w:p w:rsidR="00E0446E" w:rsidRPr="00C567FE" w:rsidRDefault="00DF4D67" w:rsidP="00C567FE">
            <w:pPr>
              <w:spacing w:after="0"/>
              <w:rPr>
                <w:szCs w:val="24"/>
              </w:rPr>
            </w:pPr>
            <w:r w:rsidRPr="00C567FE">
              <w:rPr>
                <w:szCs w:val="24"/>
              </w:rPr>
              <w:t xml:space="preserve"> </w:t>
            </w:r>
            <w:r w:rsidR="00C567FE" w:rsidRPr="00C567FE">
              <w:rPr>
                <w:szCs w:val="24"/>
              </w:rPr>
              <w:t xml:space="preserve"> </w:t>
            </w:r>
            <w:r w:rsidR="00E0446E" w:rsidRPr="00C567FE">
              <w:rPr>
                <w:szCs w:val="24"/>
              </w:rPr>
              <w:t>2005</w:t>
            </w:r>
          </w:p>
        </w:tc>
        <w:tc>
          <w:tcPr>
            <w:tcW w:w="1399" w:type="dxa"/>
          </w:tcPr>
          <w:p w:rsidR="00E0446E" w:rsidRPr="00C567FE" w:rsidRDefault="00E0446E" w:rsidP="004A0B65">
            <w:pPr>
              <w:spacing w:after="0"/>
              <w:ind w:right="454"/>
              <w:jc w:val="right"/>
              <w:rPr>
                <w:szCs w:val="24"/>
              </w:rPr>
            </w:pPr>
            <w:r w:rsidRPr="00C567FE">
              <w:rPr>
                <w:szCs w:val="24"/>
              </w:rPr>
              <w:t>78</w:t>
            </w:r>
          </w:p>
        </w:tc>
        <w:tc>
          <w:tcPr>
            <w:tcW w:w="1399" w:type="dxa"/>
          </w:tcPr>
          <w:p w:rsidR="00E0446E" w:rsidRPr="00C567FE" w:rsidRDefault="00E0446E" w:rsidP="004A0B65">
            <w:pPr>
              <w:spacing w:after="0"/>
              <w:ind w:right="454"/>
              <w:jc w:val="right"/>
              <w:rPr>
                <w:szCs w:val="24"/>
              </w:rPr>
            </w:pPr>
            <w:r w:rsidRPr="00C567FE">
              <w:rPr>
                <w:szCs w:val="24"/>
              </w:rPr>
              <w:t>50</w:t>
            </w:r>
          </w:p>
        </w:tc>
      </w:tr>
      <w:tr w:rsidR="00E0446E" w:rsidRPr="00C567FE" w:rsidTr="00C567FE">
        <w:trPr>
          <w:jc w:val="center"/>
        </w:trPr>
        <w:tc>
          <w:tcPr>
            <w:tcW w:w="2842" w:type="dxa"/>
          </w:tcPr>
          <w:p w:rsidR="00E0446E" w:rsidRPr="00C567FE" w:rsidRDefault="00DF4D67" w:rsidP="00C567FE">
            <w:pPr>
              <w:spacing w:after="0"/>
              <w:rPr>
                <w:szCs w:val="24"/>
              </w:rPr>
            </w:pPr>
            <w:r w:rsidRPr="00C567FE">
              <w:rPr>
                <w:szCs w:val="24"/>
              </w:rPr>
              <w:t xml:space="preserve"> </w:t>
            </w:r>
            <w:r w:rsidR="00C567FE" w:rsidRPr="00C567FE">
              <w:rPr>
                <w:szCs w:val="24"/>
              </w:rPr>
              <w:t xml:space="preserve"> </w:t>
            </w:r>
            <w:r w:rsidR="00E0446E" w:rsidRPr="00C567FE">
              <w:rPr>
                <w:szCs w:val="24"/>
              </w:rPr>
              <w:t>2006</w:t>
            </w:r>
          </w:p>
        </w:tc>
        <w:tc>
          <w:tcPr>
            <w:tcW w:w="1399" w:type="dxa"/>
          </w:tcPr>
          <w:p w:rsidR="00E0446E" w:rsidRPr="00C567FE" w:rsidRDefault="00E0446E" w:rsidP="004A0B65">
            <w:pPr>
              <w:spacing w:after="0"/>
              <w:ind w:right="454"/>
              <w:jc w:val="right"/>
              <w:rPr>
                <w:szCs w:val="24"/>
              </w:rPr>
            </w:pPr>
            <w:r w:rsidRPr="00C567FE">
              <w:rPr>
                <w:szCs w:val="24"/>
              </w:rPr>
              <w:t>105</w:t>
            </w:r>
          </w:p>
        </w:tc>
        <w:tc>
          <w:tcPr>
            <w:tcW w:w="1399" w:type="dxa"/>
          </w:tcPr>
          <w:p w:rsidR="00E0446E" w:rsidRPr="00C567FE" w:rsidRDefault="00E0446E" w:rsidP="004A0B65">
            <w:pPr>
              <w:spacing w:after="0"/>
              <w:ind w:right="454"/>
              <w:jc w:val="right"/>
              <w:rPr>
                <w:szCs w:val="24"/>
              </w:rPr>
            </w:pPr>
            <w:r w:rsidRPr="00C567FE">
              <w:rPr>
                <w:szCs w:val="24"/>
              </w:rPr>
              <w:t>68</w:t>
            </w:r>
          </w:p>
        </w:tc>
      </w:tr>
    </w:tbl>
    <w:p w:rsidR="00E0446E" w:rsidRPr="00581181" w:rsidRDefault="00E0446E" w:rsidP="00C567FE">
      <w:pPr>
        <w:pStyle w:val="Heading3"/>
        <w:spacing w:before="240"/>
      </w:pPr>
      <w:r w:rsidRPr="00581181">
        <w:t>Infrastructure Anti</w:t>
      </w:r>
      <w:r w:rsidR="00AD0DF3" w:rsidRPr="00581181">
        <w:noBreakHyphen/>
      </w:r>
      <w:r w:rsidRPr="00581181">
        <w:t xml:space="preserve">discrimination Bureaus </w:t>
      </w:r>
    </w:p>
    <w:p w:rsidR="00EC2B8C" w:rsidRDefault="00E0446E" w:rsidP="00030277">
      <w:pPr>
        <w:autoSpaceDE w:val="0"/>
        <w:autoSpaceDN w:val="0"/>
        <w:adjustRightInd w:val="0"/>
        <w:rPr>
          <w:szCs w:val="24"/>
          <w:lang w:eastAsia="zh-CN"/>
        </w:rPr>
      </w:pPr>
      <w:r w:rsidRPr="00581181">
        <w:rPr>
          <w:color w:val="000000"/>
          <w:szCs w:val="24"/>
        </w:rPr>
        <w:t>73.</w:t>
      </w:r>
      <w:r w:rsidRPr="00581181">
        <w:rPr>
          <w:color w:val="000000"/>
          <w:szCs w:val="24"/>
        </w:rPr>
        <w:tab/>
        <w:t>Organizations and members of the public can turn to various bodies with complaints about discrimination, such as the police, confidential advisers or Anti</w:t>
      </w:r>
      <w:r w:rsidR="00AD0DF3" w:rsidRPr="00581181">
        <w:rPr>
          <w:color w:val="000000"/>
          <w:szCs w:val="24"/>
        </w:rPr>
        <w:noBreakHyphen/>
      </w:r>
      <w:r w:rsidRPr="00581181">
        <w:rPr>
          <w:color w:val="000000"/>
          <w:szCs w:val="24"/>
        </w:rPr>
        <w:t>discrimination Bureaus and Hotlines (ADBs). ADBs are the first point of access for people who feel discriminated against; they provide advice and mediation and compile a central database of the complaints submitted to them. If an</w:t>
      </w:r>
      <w:r w:rsidRPr="00581181">
        <w:rPr>
          <w:szCs w:val="24"/>
          <w:lang w:eastAsia="zh-CN"/>
        </w:rPr>
        <w:t xml:space="preserve"> ADB thinks that a particular case is serious, it refers the person or organization to the CGB (see above).</w:t>
      </w:r>
    </w:p>
    <w:p w:rsidR="00EC2B8C" w:rsidRDefault="00E0446E" w:rsidP="00030277">
      <w:pPr>
        <w:autoSpaceDE w:val="0"/>
        <w:autoSpaceDN w:val="0"/>
        <w:adjustRightInd w:val="0"/>
        <w:rPr>
          <w:szCs w:val="24"/>
          <w:lang w:eastAsia="zh-CN"/>
        </w:rPr>
      </w:pPr>
      <w:r w:rsidRPr="00581181">
        <w:rPr>
          <w:szCs w:val="24"/>
          <w:lang w:eastAsia="zh-CN"/>
        </w:rPr>
        <w:t>74.</w:t>
      </w:r>
      <w:r w:rsidRPr="00581181">
        <w:rPr>
          <w:szCs w:val="24"/>
          <w:lang w:eastAsia="zh-CN"/>
        </w:rPr>
        <w:tab/>
        <w:t xml:space="preserve">In 2005, the ADBs received a total of 2,116 complaints of racial discrimination. Over the last few years, such complaints have declined slightly, compared with before 2003. In 2005 a total of 80 complaints were received about discrimination on the grounds of nationality, thus remaining fairly constant compared with previous years. Discrimination on the basis of nationality remains fairly constant at around 2% of all complaints. Complaints tend to concern withholding goods and services </w:t>
      </w:r>
      <w:r w:rsidR="00AD0DF3" w:rsidRPr="00581181">
        <w:rPr>
          <w:szCs w:val="24"/>
          <w:lang w:eastAsia="zh-CN"/>
        </w:rPr>
        <w:noBreakHyphen/>
      </w:r>
      <w:r w:rsidRPr="00581181">
        <w:rPr>
          <w:szCs w:val="24"/>
          <w:lang w:eastAsia="zh-CN"/>
        </w:rPr>
        <w:t xml:space="preserve"> or providing them less advantageously </w:t>
      </w:r>
      <w:r w:rsidR="00AD0DF3" w:rsidRPr="00581181">
        <w:rPr>
          <w:szCs w:val="24"/>
          <w:lang w:eastAsia="zh-CN"/>
        </w:rPr>
        <w:noBreakHyphen/>
      </w:r>
      <w:r w:rsidRPr="00581181">
        <w:rPr>
          <w:szCs w:val="24"/>
          <w:lang w:eastAsia="zh-CN"/>
        </w:rPr>
        <w:t xml:space="preserve"> to persons who do not</w:t>
      </w:r>
      <w:r w:rsidR="00737550">
        <w:rPr>
          <w:szCs w:val="24"/>
          <w:lang w:eastAsia="zh-CN"/>
        </w:rPr>
        <w:t> </w:t>
      </w:r>
      <w:r w:rsidRPr="00581181">
        <w:rPr>
          <w:szCs w:val="24"/>
          <w:lang w:eastAsia="zh-CN"/>
        </w:rPr>
        <w:t>possess a Dutch passport or who have only a temporary residence permit. In 2005, 281</w:t>
      </w:r>
      <w:r w:rsidR="00737550">
        <w:rPr>
          <w:szCs w:val="24"/>
          <w:lang w:eastAsia="zh-CN"/>
        </w:rPr>
        <w:t> </w:t>
      </w:r>
      <w:r w:rsidRPr="00581181">
        <w:rPr>
          <w:szCs w:val="24"/>
          <w:lang w:eastAsia="zh-CN"/>
        </w:rPr>
        <w:t>complaints were received concerning discrimination on the basis of religion, a decline since 2004, when 328 complaints were received. This represented a decline from nine per cent in 2004 to six per cent in 2005. In the first few months after the attacks of 11 September 2001 in the United States, there was a sharp growth in the number of complaints on the basis of religion. The same pattern appeared after the murder of Theo van Gogh in November 2004. Almost 30</w:t>
      </w:r>
      <w:r w:rsidR="006144F0">
        <w:rPr>
          <w:szCs w:val="24"/>
          <w:lang w:eastAsia="zh-CN"/>
        </w:rPr>
        <w:t> </w:t>
      </w:r>
      <w:r w:rsidRPr="00581181">
        <w:rPr>
          <w:szCs w:val="24"/>
          <w:lang w:eastAsia="zh-CN"/>
        </w:rPr>
        <w:t>per</w:t>
      </w:r>
      <w:r w:rsidR="006144F0">
        <w:rPr>
          <w:szCs w:val="24"/>
          <w:lang w:eastAsia="zh-CN"/>
        </w:rPr>
        <w:t> </w:t>
      </w:r>
      <w:r w:rsidRPr="00581181">
        <w:rPr>
          <w:szCs w:val="24"/>
          <w:lang w:eastAsia="zh-CN"/>
        </w:rPr>
        <w:t>cent of complaints about discrimination on the basis of religion in 2004 were submitted in November. Just as in 2001, this sharp increase in complaints was short</w:t>
      </w:r>
      <w:r w:rsidR="00AD0DF3" w:rsidRPr="00581181">
        <w:rPr>
          <w:szCs w:val="24"/>
          <w:lang w:eastAsia="zh-CN"/>
        </w:rPr>
        <w:noBreakHyphen/>
      </w:r>
      <w:r w:rsidRPr="00581181">
        <w:rPr>
          <w:szCs w:val="24"/>
          <w:lang w:eastAsia="zh-CN"/>
        </w:rPr>
        <w:t>lived.</w:t>
      </w:r>
    </w:p>
    <w:p w:rsidR="00E0446E" w:rsidRPr="00581181" w:rsidRDefault="00E0446E" w:rsidP="00152EC6">
      <w:pPr>
        <w:rPr>
          <w:szCs w:val="24"/>
        </w:rPr>
      </w:pPr>
      <w:r w:rsidRPr="00581181">
        <w:rPr>
          <w:szCs w:val="24"/>
        </w:rPr>
        <w:t>75.</w:t>
      </w:r>
      <w:r w:rsidRPr="00581181">
        <w:rPr>
          <w:szCs w:val="24"/>
        </w:rPr>
        <w:tab/>
        <w:t xml:space="preserve">As stated earlier (under </w:t>
      </w:r>
      <w:r w:rsidRPr="00581181">
        <w:rPr>
          <w:i/>
          <w:szCs w:val="24"/>
        </w:rPr>
        <w:t>Integration policy and promotion of general awareness,</w:t>
      </w:r>
      <w:r w:rsidRPr="00581181">
        <w:rPr>
          <w:szCs w:val="24"/>
        </w:rPr>
        <w:t xml:space="preserve"> II.A, concl. obs. no. 10), the Government sets great store by good local anti</w:t>
      </w:r>
      <w:r w:rsidR="00AD0DF3" w:rsidRPr="00581181">
        <w:rPr>
          <w:szCs w:val="24"/>
        </w:rPr>
        <w:noBreakHyphen/>
      </w:r>
      <w:r w:rsidRPr="00581181">
        <w:rPr>
          <w:szCs w:val="24"/>
        </w:rPr>
        <w:t xml:space="preserve">discrimination services. A steering group was accordingly set up under the previous government to look into the future of </w:t>
      </w:r>
      <w:r w:rsidR="00272628">
        <w:rPr>
          <w:szCs w:val="24"/>
        </w:rPr>
        <w:br w:type="page"/>
      </w:r>
      <w:r w:rsidRPr="00581181">
        <w:rPr>
          <w:szCs w:val="24"/>
        </w:rPr>
        <w:t>the ADBs. It was chaired by former minister Els Borst</w:t>
      </w:r>
      <w:r w:rsidR="00AD0DF3" w:rsidRPr="00581181">
        <w:rPr>
          <w:szCs w:val="24"/>
        </w:rPr>
        <w:noBreakHyphen/>
      </w:r>
      <w:r w:rsidRPr="00581181">
        <w:rPr>
          <w:szCs w:val="24"/>
        </w:rPr>
        <w:t>Eilers. The steering group</w:t>
      </w:r>
      <w:r w:rsidR="009B7745">
        <w:rPr>
          <w:szCs w:val="24"/>
        </w:rPr>
        <w:t>’</w:t>
      </w:r>
      <w:r w:rsidRPr="00581181">
        <w:rPr>
          <w:szCs w:val="24"/>
        </w:rPr>
        <w:t xml:space="preserve">s advisory report, entitled </w:t>
      </w:r>
      <w:r w:rsidR="009B7745">
        <w:rPr>
          <w:szCs w:val="24"/>
        </w:rPr>
        <w:t>‘</w:t>
      </w:r>
      <w:r w:rsidRPr="00581181">
        <w:rPr>
          <w:szCs w:val="24"/>
        </w:rPr>
        <w:t>Prospects of equal treatment</w:t>
      </w:r>
      <w:r w:rsidR="009B7745">
        <w:rPr>
          <w:szCs w:val="24"/>
        </w:rPr>
        <w:t>’</w:t>
      </w:r>
      <w:r w:rsidRPr="00581181">
        <w:rPr>
          <w:szCs w:val="24"/>
        </w:rPr>
        <w:t>, was submitted to the House of Representatives on 13 February 2006. It adopted the stance that members of the public should be able to take part in society on an equal footing. They must feel protected against discrimination. Therefore, everyone in the Netherlands must have ready access to, independent and efficient advice and assistance in the event that they feel discriminated against.</w:t>
      </w:r>
    </w:p>
    <w:p w:rsidR="00EC2B8C" w:rsidRDefault="00E0446E" w:rsidP="00030277">
      <w:pPr>
        <w:rPr>
          <w:szCs w:val="24"/>
        </w:rPr>
      </w:pPr>
      <w:r w:rsidRPr="00581181">
        <w:rPr>
          <w:szCs w:val="24"/>
        </w:rPr>
        <w:t>76.</w:t>
      </w:r>
      <w:r w:rsidRPr="00581181">
        <w:rPr>
          <w:szCs w:val="24"/>
        </w:rPr>
        <w:tab/>
        <w:t>Action is currently being taken to give effect to the steering group</w:t>
      </w:r>
      <w:r w:rsidR="009B7745">
        <w:rPr>
          <w:szCs w:val="24"/>
        </w:rPr>
        <w:t>’</w:t>
      </w:r>
      <w:r w:rsidRPr="00581181">
        <w:rPr>
          <w:szCs w:val="24"/>
        </w:rPr>
        <w:t>s recommendations, under the leadership of the Minister for Housing, Communities and Integration. As mentioned above, the Government is endeavouring to set up a national network of professional, easily accessible anti</w:t>
      </w:r>
      <w:r w:rsidR="00AD0DF3" w:rsidRPr="00581181">
        <w:rPr>
          <w:szCs w:val="24"/>
        </w:rPr>
        <w:noBreakHyphen/>
      </w:r>
      <w:r w:rsidRPr="00581181">
        <w:rPr>
          <w:szCs w:val="24"/>
        </w:rPr>
        <w:t>discrimination services (ADVs) at local level. It has therefore prepared legislation, scheduled to enter into force in January 2008, whereby central and local government will share responsibility for anti</w:t>
      </w:r>
      <w:r w:rsidR="00AD0DF3" w:rsidRPr="00581181">
        <w:rPr>
          <w:szCs w:val="24"/>
        </w:rPr>
        <w:noBreakHyphen/>
      </w:r>
      <w:r w:rsidRPr="00581181">
        <w:rPr>
          <w:szCs w:val="24"/>
        </w:rPr>
        <w:t>discrimination efforts and all municipalities will be required to offer local residents low</w:t>
      </w:r>
      <w:r w:rsidR="00AD0DF3" w:rsidRPr="00581181">
        <w:rPr>
          <w:szCs w:val="24"/>
        </w:rPr>
        <w:noBreakHyphen/>
      </w:r>
      <w:r w:rsidRPr="00581181">
        <w:rPr>
          <w:szCs w:val="24"/>
        </w:rPr>
        <w:t>threshold anti</w:t>
      </w:r>
      <w:r w:rsidR="00AD0DF3" w:rsidRPr="00581181">
        <w:rPr>
          <w:szCs w:val="24"/>
        </w:rPr>
        <w:noBreakHyphen/>
      </w:r>
      <w:r w:rsidRPr="00581181">
        <w:rPr>
          <w:szCs w:val="24"/>
        </w:rPr>
        <w:t xml:space="preserve">discrimination services. Local authorities will receive permanent funding to provide this service. </w:t>
      </w:r>
    </w:p>
    <w:p w:rsidR="00EC2B8C" w:rsidRDefault="00E0446E" w:rsidP="00030277">
      <w:pPr>
        <w:rPr>
          <w:szCs w:val="24"/>
        </w:rPr>
      </w:pPr>
      <w:r w:rsidRPr="00581181">
        <w:rPr>
          <w:szCs w:val="24"/>
        </w:rPr>
        <w:t>77.</w:t>
      </w:r>
      <w:r w:rsidRPr="00581181">
        <w:rPr>
          <w:szCs w:val="24"/>
        </w:rPr>
        <w:tab/>
        <w:t>Until then, a bridging measure has been taken for 2006 and 2007 to maintain and expand the current ADVs and set up new ones. Their core tasks include registering and dealing with complaints (involving mediation and victim support). Members of the public can approach these services with complaints about all kinds of discrimination, in any conceivable field, such as complaints about work placement or employment in general. The support service of the national anti</w:t>
      </w:r>
      <w:r w:rsidR="00AD0DF3" w:rsidRPr="00581181">
        <w:rPr>
          <w:szCs w:val="24"/>
        </w:rPr>
        <w:noBreakHyphen/>
      </w:r>
      <w:r w:rsidRPr="00581181">
        <w:rPr>
          <w:szCs w:val="24"/>
        </w:rPr>
        <w:t xml:space="preserve">discrimination organization plays an important part here, promoting professionalism and clear registration. The annual figures of the ADVs are published each year, with a breakdown of complaints according to the nature of the discrimination and the field in which it occurred. </w:t>
      </w:r>
    </w:p>
    <w:p w:rsidR="00E0446E" w:rsidRPr="00581181" w:rsidRDefault="00E0446E" w:rsidP="00152EC6">
      <w:pPr>
        <w:pStyle w:val="Heading3"/>
      </w:pPr>
      <w:r w:rsidRPr="00581181">
        <w:t>Positive action</w:t>
      </w:r>
    </w:p>
    <w:p w:rsidR="00E0446E" w:rsidRPr="00581181" w:rsidRDefault="00E0446E" w:rsidP="00030277">
      <w:pPr>
        <w:jc w:val="both"/>
        <w:rPr>
          <w:szCs w:val="24"/>
        </w:rPr>
      </w:pPr>
      <w:r w:rsidRPr="00581181">
        <w:rPr>
          <w:szCs w:val="24"/>
        </w:rPr>
        <w:t>78.</w:t>
      </w:r>
      <w:r w:rsidRPr="00581181">
        <w:rPr>
          <w:szCs w:val="24"/>
        </w:rPr>
        <w:tab/>
        <w:t>Following judgments by the European Court of Justice, the Government has laid down guidelines regarding policy on positive action. Employers may deviate from the general principle of equal treatment, providing certain conditions are met:</w:t>
      </w:r>
    </w:p>
    <w:p w:rsidR="00E0446E" w:rsidRPr="00581181" w:rsidRDefault="00E0446E" w:rsidP="00152EC6">
      <w:pPr>
        <w:pStyle w:val="Bullet"/>
      </w:pPr>
      <w:r w:rsidRPr="00581181">
        <w:t>Positive action may only be taken in the case of groups that suffer systematic disadvantage, i.e. women, ethnic minorities, the ch</w:t>
      </w:r>
      <w:r w:rsidR="007C6E71">
        <w:t>ronically ill and the disabled</w:t>
      </w:r>
    </w:p>
    <w:p w:rsidR="00E0446E" w:rsidRPr="00581181" w:rsidRDefault="00E0446E" w:rsidP="00152EC6">
      <w:pPr>
        <w:pStyle w:val="Bullet"/>
      </w:pPr>
      <w:r w:rsidRPr="00581181">
        <w:t xml:space="preserve">Radical forms of positive action are no longer permitted (e.g. positive action in the event of </w:t>
      </w:r>
      <w:r w:rsidRPr="00581181">
        <w:rPr>
          <w:i/>
        </w:rPr>
        <w:t>sufficient</w:t>
      </w:r>
      <w:r w:rsidRPr="00581181">
        <w:t xml:space="preserve"> suitability); however, in the case of </w:t>
      </w:r>
      <w:r w:rsidRPr="00581181">
        <w:rPr>
          <w:i/>
        </w:rPr>
        <w:t>equal</w:t>
      </w:r>
      <w:r w:rsidRPr="00581181">
        <w:t xml:space="preserve"> suitabili</w:t>
      </w:r>
      <w:r w:rsidR="007C6E71">
        <w:t>ty positive action is permitted</w:t>
      </w:r>
    </w:p>
    <w:p w:rsidR="00E0446E" w:rsidRPr="00581181" w:rsidRDefault="00E0446E" w:rsidP="00152EC6">
      <w:pPr>
        <w:pStyle w:val="Bullet"/>
      </w:pPr>
      <w:r w:rsidRPr="00581181">
        <w:t xml:space="preserve">Members of ethnic minorities may especially </w:t>
      </w:r>
      <w:r w:rsidR="007C6E71">
        <w:t>be encouraged to apply for jobs</w:t>
      </w:r>
    </w:p>
    <w:p w:rsidR="00EC2B8C" w:rsidRDefault="00E0446E" w:rsidP="00152EC6">
      <w:pPr>
        <w:pStyle w:val="Bullet"/>
      </w:pPr>
      <w:r w:rsidRPr="00581181">
        <w:t>Job applicants from groups to which positive action does not apply may not be ruled out in advance from app</w:t>
      </w:r>
      <w:r w:rsidR="007C6E71">
        <w:t>lying for a particular position</w:t>
      </w:r>
    </w:p>
    <w:p w:rsidR="00EC2B8C" w:rsidRDefault="00E0446E" w:rsidP="00030277">
      <w:pPr>
        <w:rPr>
          <w:szCs w:val="24"/>
        </w:rPr>
      </w:pPr>
      <w:r w:rsidRPr="00581181">
        <w:rPr>
          <w:szCs w:val="24"/>
        </w:rPr>
        <w:t>79.</w:t>
      </w:r>
      <w:r w:rsidRPr="00581181">
        <w:rPr>
          <w:szCs w:val="24"/>
        </w:rPr>
        <w:tab/>
        <w:t>In this respect, the Government adopts a consistent approach, regarding positive action as an exception to the equal treatment norm, which is defensible only in cases of systematic disadvantage or discrimination in society, i.e. only on the basis of ethnic origin, sex and disability.</w:t>
      </w:r>
    </w:p>
    <w:p w:rsidR="00E0446E" w:rsidRPr="00FF5C0B" w:rsidRDefault="00272628" w:rsidP="00FF5C0B">
      <w:pPr>
        <w:pStyle w:val="Heading3"/>
      </w:pPr>
      <w:r>
        <w:rPr>
          <w:rStyle w:val="titel1"/>
          <w:sz w:val="24"/>
          <w:szCs w:val="24"/>
        </w:rPr>
        <w:br w:type="page"/>
      </w:r>
      <w:r w:rsidR="00E0446E" w:rsidRPr="00FF5C0B">
        <w:rPr>
          <w:rStyle w:val="titel1"/>
          <w:sz w:val="24"/>
          <w:szCs w:val="24"/>
        </w:rPr>
        <w:t>The National Ethnic Minorities Consultative Committee</w:t>
      </w:r>
    </w:p>
    <w:p w:rsidR="00EC2B8C" w:rsidRDefault="00E0446E" w:rsidP="00030277">
      <w:pPr>
        <w:rPr>
          <w:szCs w:val="24"/>
        </w:rPr>
      </w:pPr>
      <w:r w:rsidRPr="00581181">
        <w:rPr>
          <w:rStyle w:val="Strong"/>
          <w:b w:val="0"/>
          <w:szCs w:val="24"/>
        </w:rPr>
        <w:t>80.</w:t>
      </w:r>
      <w:r w:rsidRPr="00581181">
        <w:rPr>
          <w:rStyle w:val="Strong"/>
          <w:b w:val="0"/>
          <w:szCs w:val="24"/>
        </w:rPr>
        <w:tab/>
        <w:t xml:space="preserve">As mentioned earlier, the </w:t>
      </w:r>
      <w:r w:rsidRPr="00581181">
        <w:rPr>
          <w:bCs/>
          <w:szCs w:val="24"/>
        </w:rPr>
        <w:t xml:space="preserve">National Ethnic Minorities Consultative Committee (LOM) provides a forum for consultation between the Government and ethnic minority platforms, as laid down in the </w:t>
      </w:r>
      <w:r w:rsidRPr="00581181">
        <w:rPr>
          <w:rStyle w:val="Strong"/>
          <w:b w:val="0"/>
          <w:szCs w:val="24"/>
        </w:rPr>
        <w:t>Minorities Policy (Consultation) Act of 19 June 1997. The LOM meets at least three times a year. The Government is represented by the Minister for Housing, Communities and Integration (the coordinating minister) and the ministers or state secretaries whose portfolios relate to the items on the agenda. The consultations concern policy proposals regarding the integration of minorities and developments relevant to minorities.</w:t>
      </w:r>
      <w:r w:rsidRPr="00581181">
        <w:rPr>
          <w:rStyle w:val="Strong"/>
          <w:szCs w:val="24"/>
        </w:rPr>
        <w:t xml:space="preserve"> </w:t>
      </w:r>
      <w:r w:rsidRPr="00581181">
        <w:rPr>
          <w:rStyle w:val="Strong"/>
          <w:b w:val="0"/>
          <w:szCs w:val="24"/>
        </w:rPr>
        <w:t>Agenda items may be put forward by representatives of both Government and minority groups. Eight minority platforms are allowed to take part in the LOM.</w:t>
      </w:r>
    </w:p>
    <w:p w:rsidR="00EC2B8C" w:rsidRDefault="00E0446E" w:rsidP="00030277">
      <w:pPr>
        <w:rPr>
          <w:szCs w:val="24"/>
        </w:rPr>
      </w:pPr>
      <w:r w:rsidRPr="00581181">
        <w:rPr>
          <w:szCs w:val="24"/>
        </w:rPr>
        <w:t>81.</w:t>
      </w:r>
      <w:r w:rsidRPr="00581181">
        <w:rPr>
          <w:szCs w:val="24"/>
        </w:rPr>
        <w:tab/>
        <w:t xml:space="preserve">LOM talks form part of Government policy preparations, because the Government wishes to know in advance what minority groups think of proposed integration measures. Their knowledge of the circumstances, culture and special problems of the communities they represent enable them to judge whether proposed Government measures are likely to succeed. </w:t>
      </w:r>
    </w:p>
    <w:p w:rsidR="00EC2B8C" w:rsidRDefault="00E0446E" w:rsidP="00030277">
      <w:pPr>
        <w:rPr>
          <w:szCs w:val="24"/>
        </w:rPr>
      </w:pPr>
      <w:r w:rsidRPr="00581181">
        <w:rPr>
          <w:szCs w:val="24"/>
        </w:rPr>
        <w:t>82.</w:t>
      </w:r>
      <w:r w:rsidRPr="00581181">
        <w:rPr>
          <w:szCs w:val="24"/>
        </w:rPr>
        <w:tab/>
        <w:t>The platforms that are involved in the LOM work closely with one another and with strategic partners as diverse as trade unions, senior citizens</w:t>
      </w:r>
      <w:r w:rsidR="009B7745">
        <w:rPr>
          <w:szCs w:val="24"/>
        </w:rPr>
        <w:t>’</w:t>
      </w:r>
      <w:r w:rsidRPr="00581181">
        <w:rPr>
          <w:szCs w:val="24"/>
        </w:rPr>
        <w:t xml:space="preserve"> associations and civil society organizations. </w:t>
      </w:r>
    </w:p>
    <w:p w:rsidR="00E0446E" w:rsidRPr="003060CE" w:rsidRDefault="00E0446E" w:rsidP="003060CE">
      <w:pPr>
        <w:pStyle w:val="Heading3"/>
        <w:rPr>
          <w:rStyle w:val="titel1"/>
          <w:sz w:val="24"/>
          <w:szCs w:val="24"/>
        </w:rPr>
      </w:pPr>
      <w:r w:rsidRPr="003060CE">
        <w:rPr>
          <w:rStyle w:val="titel1"/>
          <w:sz w:val="24"/>
          <w:szCs w:val="24"/>
        </w:rPr>
        <w:t>The platforms represented in the LOM</w:t>
      </w:r>
    </w:p>
    <w:p w:rsidR="00E0446E" w:rsidRPr="00581181" w:rsidRDefault="00E0446E" w:rsidP="00290AD4">
      <w:pPr>
        <w:spacing w:after="200"/>
        <w:rPr>
          <w:szCs w:val="24"/>
        </w:rPr>
      </w:pPr>
      <w:r w:rsidRPr="00581181">
        <w:rPr>
          <w:szCs w:val="24"/>
        </w:rPr>
        <w:t>83.</w:t>
      </w:r>
      <w:r w:rsidRPr="00581181">
        <w:rPr>
          <w:szCs w:val="24"/>
        </w:rPr>
        <w:tab/>
        <w:t xml:space="preserve">Seven Dutch networks work together to improve the social position of various ethnic minority groups: </w:t>
      </w:r>
    </w:p>
    <w:p w:rsidR="00E0446E" w:rsidRPr="00581181" w:rsidRDefault="00E0446E" w:rsidP="00290AD4">
      <w:pPr>
        <w:pStyle w:val="Bullet"/>
        <w:spacing w:after="200"/>
      </w:pPr>
      <w:r w:rsidRPr="00581181">
        <w:t>Chinese Commu</w:t>
      </w:r>
      <w:r w:rsidR="006A2967">
        <w:t>nity Advisory Association (IOC)</w:t>
      </w:r>
    </w:p>
    <w:p w:rsidR="00E0446E" w:rsidRPr="00581181" w:rsidRDefault="00E0446E" w:rsidP="00290AD4">
      <w:pPr>
        <w:pStyle w:val="Bullet"/>
        <w:spacing w:after="200"/>
      </w:pPr>
      <w:r w:rsidRPr="00581181">
        <w:t>Turkish Community Advisory Association (IOT)</w:t>
      </w:r>
    </w:p>
    <w:p w:rsidR="00E0446E" w:rsidRPr="00581181" w:rsidRDefault="00E0446E" w:rsidP="00290AD4">
      <w:pPr>
        <w:pStyle w:val="Bullet"/>
        <w:spacing w:after="200"/>
      </w:pPr>
      <w:r w:rsidRPr="00581181">
        <w:t xml:space="preserve">Southern European Communities Advisory Association </w:t>
      </w:r>
    </w:p>
    <w:p w:rsidR="00E0446E" w:rsidRPr="00581181" w:rsidRDefault="00E0446E" w:rsidP="00290AD4">
      <w:pPr>
        <w:pStyle w:val="Bullet"/>
        <w:spacing w:after="200"/>
      </w:pPr>
      <w:r w:rsidRPr="00581181">
        <w:t>Dutch Caribbean Community</w:t>
      </w:r>
      <w:r w:rsidR="006A2967">
        <w:t xml:space="preserve"> Consultative Committee (OCaN)</w:t>
      </w:r>
    </w:p>
    <w:p w:rsidR="00E0446E" w:rsidRPr="00581181" w:rsidRDefault="00E0446E" w:rsidP="00290AD4">
      <w:pPr>
        <w:pStyle w:val="Bullet"/>
        <w:spacing w:after="200"/>
      </w:pPr>
      <w:r w:rsidRPr="00581181">
        <w:t>Surinamese Commun</w:t>
      </w:r>
      <w:r w:rsidR="006A2967">
        <w:t>ity Advisory Association (SIO)</w:t>
      </w:r>
    </w:p>
    <w:p w:rsidR="00E0446E" w:rsidRPr="00581181" w:rsidRDefault="00E0446E" w:rsidP="00290AD4">
      <w:pPr>
        <w:pStyle w:val="Bullet"/>
        <w:spacing w:after="200"/>
      </w:pPr>
      <w:r w:rsidRPr="00581181">
        <w:t>Morocc</w:t>
      </w:r>
      <w:r w:rsidR="006A2967">
        <w:t>an and Tunisian Alliance (SMT)</w:t>
      </w:r>
    </w:p>
    <w:p w:rsidR="00EC2B8C" w:rsidRDefault="00E0446E" w:rsidP="006A2967">
      <w:pPr>
        <w:pStyle w:val="Bullet"/>
      </w:pPr>
      <w:r w:rsidRPr="00581181">
        <w:t xml:space="preserve">Dutch Refugee Agencies (VON) </w:t>
      </w:r>
    </w:p>
    <w:p w:rsidR="00EC2B8C" w:rsidRDefault="00E0446E" w:rsidP="00F96B77">
      <w:pPr>
        <w:pStyle w:val="Heading2"/>
      </w:pPr>
      <w:r w:rsidRPr="00581181">
        <w:t>B.</w:t>
      </w:r>
      <w:r w:rsidR="00F96B77">
        <w:t xml:space="preserve"> </w:t>
      </w:r>
      <w:r w:rsidRPr="00581181">
        <w:t xml:space="preserve"> </w:t>
      </w:r>
      <w:r w:rsidR="00F96B77" w:rsidRPr="00581181">
        <w:t xml:space="preserve">Article </w:t>
      </w:r>
      <w:r w:rsidRPr="00581181">
        <w:t>4</w:t>
      </w:r>
    </w:p>
    <w:p w:rsidR="00E0446E" w:rsidRPr="00581181" w:rsidRDefault="00E0446E" w:rsidP="00DB6E7F">
      <w:pPr>
        <w:pStyle w:val="Heading3"/>
      </w:pPr>
      <w:r w:rsidRPr="00581181">
        <w:t>Amendments to the Criminal Code</w:t>
      </w:r>
    </w:p>
    <w:p w:rsidR="00EC2B8C" w:rsidRDefault="00E0446E" w:rsidP="00030277">
      <w:pPr>
        <w:rPr>
          <w:szCs w:val="24"/>
        </w:rPr>
      </w:pPr>
      <w:r w:rsidRPr="00581181">
        <w:rPr>
          <w:szCs w:val="24"/>
        </w:rPr>
        <w:t>84.</w:t>
      </w:r>
      <w:r w:rsidRPr="00581181">
        <w:rPr>
          <w:szCs w:val="24"/>
        </w:rPr>
        <w:tab/>
        <w:t>On 1 January 2004 an amendment to the anti</w:t>
      </w:r>
      <w:r w:rsidR="00AD0DF3" w:rsidRPr="00581181">
        <w:rPr>
          <w:szCs w:val="24"/>
        </w:rPr>
        <w:noBreakHyphen/>
      </w:r>
      <w:r w:rsidRPr="00581181">
        <w:rPr>
          <w:szCs w:val="24"/>
        </w:rPr>
        <w:t>discrimination provisions of the Criminal Code took effect, which raised the statutory maximum sentence for structural forms of discrimination. The background to these changes was explained in the previous report in the section on the Bill that led to the amendments (fifteenth and sixteenth report, CERD/C/452/Add.3, paras. 5</w:t>
      </w:r>
      <w:r w:rsidR="00AD0DF3" w:rsidRPr="00581181">
        <w:rPr>
          <w:szCs w:val="24"/>
        </w:rPr>
        <w:noBreakHyphen/>
      </w:r>
      <w:r w:rsidRPr="00581181">
        <w:rPr>
          <w:szCs w:val="24"/>
        </w:rPr>
        <w:t xml:space="preserve">7). </w:t>
      </w:r>
    </w:p>
    <w:p w:rsidR="00E0446E" w:rsidRPr="00581181" w:rsidRDefault="00272628" w:rsidP="00EF5DDA">
      <w:pPr>
        <w:pStyle w:val="Heading3"/>
      </w:pPr>
      <w:r>
        <w:br w:type="page"/>
      </w:r>
      <w:r w:rsidR="00E0446E" w:rsidRPr="00581181">
        <w:t>A summary of judgments in discrimination cases from 2002 to 2007</w:t>
      </w:r>
    </w:p>
    <w:p w:rsidR="00EC2B8C" w:rsidRDefault="00E0446E" w:rsidP="00030277">
      <w:pPr>
        <w:rPr>
          <w:szCs w:val="24"/>
        </w:rPr>
      </w:pPr>
      <w:r w:rsidRPr="00581181">
        <w:rPr>
          <w:szCs w:val="24"/>
        </w:rPr>
        <w:t>85.</w:t>
      </w:r>
      <w:r w:rsidRPr="00581181">
        <w:rPr>
          <w:szCs w:val="24"/>
        </w:rPr>
        <w:tab/>
        <w:t>In a judgment of 31 January 2002 the Leeuwarden district court sentenced a young man who, together with several other youths, had set fire to a school attended by young asylum</w:t>
      </w:r>
      <w:r w:rsidR="00AD0DF3" w:rsidRPr="00581181">
        <w:rPr>
          <w:szCs w:val="24"/>
        </w:rPr>
        <w:noBreakHyphen/>
      </w:r>
      <w:r w:rsidRPr="00581181">
        <w:rPr>
          <w:szCs w:val="24"/>
        </w:rPr>
        <w:t>seekers to 30 months</w:t>
      </w:r>
      <w:r w:rsidR="009B7745">
        <w:rPr>
          <w:szCs w:val="24"/>
        </w:rPr>
        <w:t>’</w:t>
      </w:r>
      <w:r w:rsidRPr="00581181">
        <w:rPr>
          <w:szCs w:val="24"/>
        </w:rPr>
        <w:t xml:space="preserve"> imprisonment, six months of which were suspended. The court held that, considering the racist motives for the arson attack, the offender had caused damage not only to property but also to society, something which could not be expressed in monetary terms. </w:t>
      </w:r>
    </w:p>
    <w:p w:rsidR="00EC2B8C" w:rsidRDefault="00E0446E" w:rsidP="00030277">
      <w:pPr>
        <w:rPr>
          <w:szCs w:val="24"/>
        </w:rPr>
      </w:pPr>
      <w:r w:rsidRPr="00581181">
        <w:rPr>
          <w:szCs w:val="24"/>
        </w:rPr>
        <w:t>86.</w:t>
      </w:r>
      <w:r w:rsidRPr="00581181">
        <w:rPr>
          <w:szCs w:val="24"/>
        </w:rPr>
        <w:tab/>
        <w:t>On 22 February 2002, the Roermond district court sentenced a man to community service for eighty hours/forty days and a suspended one</w:t>
      </w:r>
      <w:r w:rsidR="00AD0DF3" w:rsidRPr="00581181">
        <w:rPr>
          <w:szCs w:val="24"/>
        </w:rPr>
        <w:noBreakHyphen/>
      </w:r>
      <w:r w:rsidRPr="00581181">
        <w:rPr>
          <w:szCs w:val="24"/>
        </w:rPr>
        <w:t xml:space="preserve">month prison sentence for shouting slogans as </w:t>
      </w:r>
      <w:r w:rsidR="009B7745">
        <w:rPr>
          <w:szCs w:val="24"/>
        </w:rPr>
        <w:t>‘</w:t>
      </w:r>
      <w:r w:rsidRPr="00581181">
        <w:rPr>
          <w:szCs w:val="24"/>
        </w:rPr>
        <w:t>Foreigners out!</w:t>
      </w:r>
      <w:r w:rsidR="009B7745">
        <w:rPr>
          <w:szCs w:val="24"/>
        </w:rPr>
        <w:t>’</w:t>
      </w:r>
      <w:r w:rsidRPr="00581181">
        <w:rPr>
          <w:szCs w:val="24"/>
        </w:rPr>
        <w:t xml:space="preserve">, </w:t>
      </w:r>
      <w:r w:rsidR="009B7745">
        <w:rPr>
          <w:szCs w:val="24"/>
        </w:rPr>
        <w:t>‘</w:t>
      </w:r>
      <w:r w:rsidRPr="00581181">
        <w:rPr>
          <w:szCs w:val="24"/>
        </w:rPr>
        <w:t>White Power</w:t>
      </w:r>
      <w:r w:rsidR="009B7745">
        <w:rPr>
          <w:szCs w:val="24"/>
        </w:rPr>
        <w:t>’</w:t>
      </w:r>
      <w:r w:rsidRPr="00581181">
        <w:rPr>
          <w:szCs w:val="24"/>
        </w:rPr>
        <w:t xml:space="preserve"> and </w:t>
      </w:r>
      <w:r w:rsidR="009B7745">
        <w:rPr>
          <w:szCs w:val="24"/>
        </w:rPr>
        <w:t>“</w:t>
      </w:r>
      <w:r w:rsidRPr="00581181">
        <w:rPr>
          <w:szCs w:val="24"/>
        </w:rPr>
        <w:t>Filthy foreigners, filthy Turks</w:t>
      </w:r>
      <w:r w:rsidR="009B7745">
        <w:rPr>
          <w:szCs w:val="24"/>
        </w:rPr>
        <w:t>’</w:t>
      </w:r>
      <w:r w:rsidRPr="00581181">
        <w:rPr>
          <w:szCs w:val="24"/>
        </w:rPr>
        <w:t xml:space="preserve"> at a group, consisting of members of ethnic minorities. </w:t>
      </w:r>
    </w:p>
    <w:p w:rsidR="00EC2B8C" w:rsidRDefault="00E0446E" w:rsidP="00030277">
      <w:pPr>
        <w:rPr>
          <w:szCs w:val="24"/>
        </w:rPr>
      </w:pPr>
      <w:r w:rsidRPr="00581181">
        <w:rPr>
          <w:szCs w:val="24"/>
        </w:rPr>
        <w:t>87.</w:t>
      </w:r>
      <w:r w:rsidRPr="00581181">
        <w:rPr>
          <w:szCs w:val="24"/>
        </w:rPr>
        <w:tab/>
        <w:t>On 11 June 2002, the Dordrecht district court rendered its judgment in proceedings against the chair of the New National Party (NNP). On the NNP</w:t>
      </w:r>
      <w:r w:rsidR="009B7745">
        <w:rPr>
          <w:szCs w:val="24"/>
        </w:rPr>
        <w:t>’</w:t>
      </w:r>
      <w:r w:rsidRPr="00581181">
        <w:rPr>
          <w:szCs w:val="24"/>
        </w:rPr>
        <w:t>s website texts had appeared concerning people of Moroccan origin, among which:</w:t>
      </w:r>
      <w:r w:rsidR="00DF4D67">
        <w:rPr>
          <w:szCs w:val="24"/>
        </w:rPr>
        <w:t xml:space="preserve"> </w:t>
      </w:r>
      <w:r w:rsidR="009B7745">
        <w:rPr>
          <w:szCs w:val="24"/>
        </w:rPr>
        <w:t>‘</w:t>
      </w:r>
      <w:r w:rsidRPr="00581181">
        <w:rPr>
          <w:szCs w:val="24"/>
        </w:rPr>
        <w:t>The third generation can be highly dangerous. The third generation is being brought up by parents who have themselves had no proper upbringing. Parents who were largely raised in prisons, by the probation service and social services. Parents who have never worked. Parents who are involved in drug</w:t>
      </w:r>
      <w:r w:rsidR="00AD0DF3" w:rsidRPr="00581181">
        <w:rPr>
          <w:szCs w:val="24"/>
        </w:rPr>
        <w:noBreakHyphen/>
      </w:r>
      <w:r w:rsidRPr="00581181">
        <w:rPr>
          <w:szCs w:val="24"/>
        </w:rPr>
        <w:t>dealing, arms dealing, trafficking in women, fraud, burglary, murder, mugging, rape and other crimes</w:t>
      </w:r>
      <w:r w:rsidR="009B7745">
        <w:rPr>
          <w:szCs w:val="24"/>
        </w:rPr>
        <w:t>’</w:t>
      </w:r>
      <w:r w:rsidRPr="00581181">
        <w:rPr>
          <w:szCs w:val="24"/>
        </w:rPr>
        <w:t xml:space="preserve"> and </w:t>
      </w:r>
      <w:r w:rsidR="009B7745">
        <w:rPr>
          <w:szCs w:val="24"/>
        </w:rPr>
        <w:t>‘</w:t>
      </w:r>
      <w:r w:rsidRPr="00581181">
        <w:rPr>
          <w:szCs w:val="24"/>
        </w:rPr>
        <w:t>The NNP wants to see apartheid here. We know there is no other way. Integration is and will always remain an illusion.</w:t>
      </w:r>
      <w:r w:rsidR="009B7745">
        <w:rPr>
          <w:szCs w:val="24"/>
        </w:rPr>
        <w:t>’</w:t>
      </w:r>
      <w:r w:rsidRPr="00581181">
        <w:rPr>
          <w:szCs w:val="24"/>
        </w:rPr>
        <w:t xml:space="preserve"> The court held that an offence under article 137d of the Criminal Code (incitement to discrimination) had been proven and that the texts referred to persons of Moroccan origin in an unnecessarily offensive way, intended to incite hatred and discrimination. Since the defendant, who had earlier been convicted of similar offences, was 77 years old and in poor health, the court confined itself to imposing a fine of €660. Failure to pay the fine would result in thirty days</w:t>
      </w:r>
      <w:r w:rsidR="009B7745">
        <w:rPr>
          <w:szCs w:val="24"/>
        </w:rPr>
        <w:t>’</w:t>
      </w:r>
      <w:r w:rsidRPr="00581181">
        <w:rPr>
          <w:szCs w:val="24"/>
        </w:rPr>
        <w:t xml:space="preserve"> imprisonment. Two co</w:t>
      </w:r>
      <w:r w:rsidR="00AD0DF3" w:rsidRPr="00581181">
        <w:rPr>
          <w:szCs w:val="24"/>
        </w:rPr>
        <w:noBreakHyphen/>
      </w:r>
      <w:r w:rsidRPr="00581181">
        <w:rPr>
          <w:szCs w:val="24"/>
        </w:rPr>
        <w:t>defendants, the editor</w:t>
      </w:r>
      <w:r w:rsidR="00AD0DF3" w:rsidRPr="00581181">
        <w:rPr>
          <w:szCs w:val="24"/>
        </w:rPr>
        <w:noBreakHyphen/>
      </w:r>
      <w:r w:rsidRPr="00581181">
        <w:rPr>
          <w:szCs w:val="24"/>
        </w:rPr>
        <w:t>in</w:t>
      </w:r>
      <w:r w:rsidR="00AD0DF3" w:rsidRPr="00581181">
        <w:rPr>
          <w:szCs w:val="24"/>
        </w:rPr>
        <w:noBreakHyphen/>
      </w:r>
      <w:r w:rsidRPr="00581181">
        <w:rPr>
          <w:szCs w:val="24"/>
        </w:rPr>
        <w:t xml:space="preserve">chief of </w:t>
      </w:r>
      <w:r w:rsidRPr="00581181">
        <w:rPr>
          <w:i/>
          <w:szCs w:val="24"/>
        </w:rPr>
        <w:t>Barricade</w:t>
      </w:r>
      <w:r w:rsidRPr="00581181">
        <w:rPr>
          <w:szCs w:val="24"/>
        </w:rPr>
        <w:t xml:space="preserve">, the NNP newspaper which had originally published the texts placed on the website, and the NNP treasurer, were acquitted because it had not been proven that they could be held responsible for placing the article on the website. On 3 June 2003, the court of appeal in The Hague ruled that the second text merely expressed an opinion, rather than incite hatred. On this count therefore, the defendant was discharged from prosecution on a point of law. </w:t>
      </w:r>
    </w:p>
    <w:p w:rsidR="00EC2B8C" w:rsidRDefault="00E0446E" w:rsidP="00030277">
      <w:pPr>
        <w:rPr>
          <w:szCs w:val="24"/>
        </w:rPr>
      </w:pPr>
      <w:r w:rsidRPr="00581181">
        <w:rPr>
          <w:szCs w:val="24"/>
        </w:rPr>
        <w:t>88.</w:t>
      </w:r>
      <w:r w:rsidRPr="00581181">
        <w:rPr>
          <w:szCs w:val="24"/>
        </w:rPr>
        <w:tab/>
        <w:t xml:space="preserve">In a ruling handed down on 17 September 2002, the Court of Cassation declared an appeal in cassation, lodged by the Public Prosecution Service, inadmissible. The court of appeal had acquitted a doorman of a nightclub of charges of discrimination during the exercise of a profession or business (article 429quater of the Criminal Code), finding it not proven that he had refused admittance to a man of Iranian descent on account of his race. The court of appeal had held that the action appeared to be neutral </w:t>
      </w:r>
      <w:r w:rsidR="00AD0DF3" w:rsidRPr="00581181">
        <w:rPr>
          <w:szCs w:val="24"/>
        </w:rPr>
        <w:noBreakHyphen/>
      </w:r>
      <w:r w:rsidRPr="00581181">
        <w:rPr>
          <w:szCs w:val="24"/>
        </w:rPr>
        <w:t xml:space="preserve"> all persons living at a specific address, the departure centre for failed asylum seekers at Ter Apel, were refused admittance </w:t>
      </w:r>
      <w:r w:rsidR="00AD0DF3" w:rsidRPr="00581181">
        <w:rPr>
          <w:szCs w:val="24"/>
        </w:rPr>
        <w:noBreakHyphen/>
      </w:r>
      <w:r w:rsidRPr="00581181">
        <w:rPr>
          <w:szCs w:val="24"/>
        </w:rPr>
        <w:t xml:space="preserve"> but in practice affected persons of a specific group, i.e. those of non</w:t>
      </w:r>
      <w:r w:rsidR="00AD0DF3" w:rsidRPr="00581181">
        <w:rPr>
          <w:szCs w:val="24"/>
        </w:rPr>
        <w:noBreakHyphen/>
      </w:r>
      <w:r w:rsidRPr="00581181">
        <w:rPr>
          <w:szCs w:val="24"/>
        </w:rPr>
        <w:t>Dutch origin. The difference in treatment could nevertheless, in the court</w:t>
      </w:r>
      <w:r w:rsidR="009B7745">
        <w:rPr>
          <w:szCs w:val="24"/>
        </w:rPr>
        <w:t>’</w:t>
      </w:r>
      <w:r w:rsidRPr="00581181">
        <w:rPr>
          <w:szCs w:val="24"/>
        </w:rPr>
        <w:t xml:space="preserve">s view, be explained on the grounds of objectively justified factors such as the serious disturbances that had taken place, the rumour that people would try to </w:t>
      </w:r>
      <w:r w:rsidR="009B7745">
        <w:rPr>
          <w:szCs w:val="24"/>
        </w:rPr>
        <w:t>‘</w:t>
      </w:r>
      <w:r w:rsidRPr="00581181">
        <w:rPr>
          <w:szCs w:val="24"/>
        </w:rPr>
        <w:t>seek revenge</w:t>
      </w:r>
      <w:r w:rsidR="009B7745">
        <w:rPr>
          <w:szCs w:val="24"/>
        </w:rPr>
        <w:t>’</w:t>
      </w:r>
      <w:r w:rsidRPr="00581181">
        <w:rPr>
          <w:szCs w:val="24"/>
        </w:rPr>
        <w:t>, the safety risk for people inside the club, the absence of extra police support, the lack of an immediate solution to the problem of expected further disturbances, and the fact that the measure did not affect asylum</w:t>
      </w:r>
      <w:r w:rsidR="00AD0DF3" w:rsidRPr="00581181">
        <w:rPr>
          <w:szCs w:val="24"/>
        </w:rPr>
        <w:noBreakHyphen/>
      </w:r>
      <w:r w:rsidRPr="00581181">
        <w:rPr>
          <w:szCs w:val="24"/>
        </w:rPr>
        <w:t>seekers in general, since asylum</w:t>
      </w:r>
      <w:r w:rsidR="00AD0DF3" w:rsidRPr="00581181">
        <w:rPr>
          <w:szCs w:val="24"/>
        </w:rPr>
        <w:noBreakHyphen/>
      </w:r>
      <w:r w:rsidRPr="00581181">
        <w:rPr>
          <w:szCs w:val="24"/>
        </w:rPr>
        <w:t>seekers from other</w:t>
      </w:r>
      <w:r w:rsidR="00DF4D67">
        <w:rPr>
          <w:szCs w:val="24"/>
        </w:rPr>
        <w:t xml:space="preserve"> </w:t>
      </w:r>
      <w:r w:rsidRPr="00581181">
        <w:rPr>
          <w:szCs w:val="24"/>
        </w:rPr>
        <w:t xml:space="preserve">centres were </w:t>
      </w:r>
      <w:r w:rsidR="00272628">
        <w:rPr>
          <w:szCs w:val="24"/>
        </w:rPr>
        <w:br w:type="page"/>
      </w:r>
      <w:r w:rsidRPr="00581181">
        <w:rPr>
          <w:szCs w:val="24"/>
        </w:rPr>
        <w:t xml:space="preserve">admitted. Direct or indirect discrimination was therefore not at issue. The Court of Cassation ruled that the court of appeal had not wrongly interpreted the words </w:t>
      </w:r>
      <w:r w:rsidR="009B7745">
        <w:rPr>
          <w:szCs w:val="24"/>
        </w:rPr>
        <w:t>‘</w:t>
      </w:r>
      <w:r w:rsidRPr="00581181">
        <w:rPr>
          <w:szCs w:val="24"/>
        </w:rPr>
        <w:t>made a distinction on account of their race</w:t>
      </w:r>
      <w:r w:rsidR="009B7745">
        <w:rPr>
          <w:szCs w:val="24"/>
        </w:rPr>
        <w:t>’</w:t>
      </w:r>
      <w:r w:rsidRPr="00581181">
        <w:rPr>
          <w:szCs w:val="24"/>
        </w:rPr>
        <w:t>.</w:t>
      </w:r>
    </w:p>
    <w:p w:rsidR="00EC2B8C" w:rsidRDefault="00E0446E" w:rsidP="00030277">
      <w:pPr>
        <w:rPr>
          <w:szCs w:val="24"/>
        </w:rPr>
      </w:pPr>
      <w:r w:rsidRPr="00581181">
        <w:rPr>
          <w:szCs w:val="24"/>
        </w:rPr>
        <w:t>89.</w:t>
      </w:r>
      <w:r w:rsidRPr="00581181">
        <w:rPr>
          <w:szCs w:val="24"/>
        </w:rPr>
        <w:tab/>
        <w:t xml:space="preserve">On 12 February 2003, the Arnhem court of appeal sentenced a soldier who had run over a Turkish man because of racist motives to twenty months in prison and banned him from driving for two years. The Ministry of Defence discharged the soldier following the incident. </w:t>
      </w:r>
    </w:p>
    <w:p w:rsidR="00EC2B8C" w:rsidRDefault="00E0446E" w:rsidP="00030277">
      <w:pPr>
        <w:rPr>
          <w:szCs w:val="24"/>
        </w:rPr>
      </w:pPr>
      <w:r w:rsidRPr="00581181">
        <w:rPr>
          <w:szCs w:val="24"/>
        </w:rPr>
        <w:t>90.</w:t>
      </w:r>
      <w:r w:rsidRPr="00581181">
        <w:rPr>
          <w:szCs w:val="24"/>
        </w:rPr>
        <w:tab/>
        <w:t xml:space="preserve">On 29 April 2003, the </w:t>
      </w:r>
      <w:r w:rsidR="009B7745">
        <w:rPr>
          <w:szCs w:val="24"/>
        </w:rPr>
        <w:t>‘</w:t>
      </w:r>
      <w:r w:rsidRPr="00581181">
        <w:rPr>
          <w:szCs w:val="24"/>
        </w:rPr>
        <w:t>s</w:t>
      </w:r>
      <w:r w:rsidR="00AD0DF3" w:rsidRPr="00581181">
        <w:rPr>
          <w:szCs w:val="24"/>
        </w:rPr>
        <w:noBreakHyphen/>
      </w:r>
      <w:r w:rsidRPr="00581181">
        <w:rPr>
          <w:szCs w:val="24"/>
        </w:rPr>
        <w:t xml:space="preserve">Hertogenbosch court of appeal gave judgment in proceedings against three men who had distributed pamphlets during a demonstration. The pamphlet with the headline </w:t>
      </w:r>
      <w:r w:rsidR="009B7745">
        <w:rPr>
          <w:szCs w:val="24"/>
        </w:rPr>
        <w:t>‘</w:t>
      </w:r>
      <w:r w:rsidRPr="00581181">
        <w:rPr>
          <w:szCs w:val="24"/>
        </w:rPr>
        <w:t>Stop asylum</w:t>
      </w:r>
      <w:r w:rsidR="00AD0DF3" w:rsidRPr="00581181">
        <w:rPr>
          <w:szCs w:val="24"/>
        </w:rPr>
        <w:noBreakHyphen/>
      </w:r>
      <w:r w:rsidRPr="00581181">
        <w:rPr>
          <w:szCs w:val="24"/>
        </w:rPr>
        <w:t>seekers now</w:t>
      </w:r>
      <w:r w:rsidR="009B7745">
        <w:rPr>
          <w:szCs w:val="24"/>
        </w:rPr>
        <w:t>’</w:t>
      </w:r>
      <w:r w:rsidRPr="00581181">
        <w:rPr>
          <w:szCs w:val="24"/>
        </w:rPr>
        <w:t xml:space="preserve"> contained the following sentence: </w:t>
      </w:r>
      <w:r w:rsidR="009B7745">
        <w:rPr>
          <w:szCs w:val="24"/>
        </w:rPr>
        <w:t>‘</w:t>
      </w:r>
      <w:r w:rsidRPr="00581181">
        <w:rPr>
          <w:szCs w:val="24"/>
        </w:rPr>
        <w:t>What</w:t>
      </w:r>
      <w:r w:rsidR="009B7745">
        <w:rPr>
          <w:szCs w:val="24"/>
        </w:rPr>
        <w:t>’</w:t>
      </w:r>
      <w:r w:rsidRPr="00581181">
        <w:rPr>
          <w:szCs w:val="24"/>
        </w:rPr>
        <w:t>s good enough for our boys (a reference to the fact that Dutch soldiers are housed in tent camps) is apparently not good enough for asylum</w:t>
      </w:r>
      <w:r w:rsidR="00AD0DF3" w:rsidRPr="00581181">
        <w:rPr>
          <w:szCs w:val="24"/>
        </w:rPr>
        <w:noBreakHyphen/>
      </w:r>
      <w:r w:rsidRPr="00581181">
        <w:rPr>
          <w:szCs w:val="24"/>
        </w:rPr>
        <w:t>seekers</w:t>
      </w:r>
      <w:r w:rsidR="009B7745">
        <w:rPr>
          <w:szCs w:val="24"/>
        </w:rPr>
        <w:t>’</w:t>
      </w:r>
      <w:r w:rsidRPr="00581181">
        <w:rPr>
          <w:szCs w:val="24"/>
        </w:rPr>
        <w:t>. The pamphlets were handed out during a demonstration by a group of 50 people, mainly dressed in black and wearing military</w:t>
      </w:r>
      <w:r w:rsidR="00AD0DF3" w:rsidRPr="00581181">
        <w:rPr>
          <w:szCs w:val="24"/>
        </w:rPr>
        <w:noBreakHyphen/>
      </w:r>
      <w:r w:rsidRPr="00581181">
        <w:rPr>
          <w:szCs w:val="24"/>
        </w:rPr>
        <w:t>style boots, carrying placards, banners and flags with neo</w:t>
      </w:r>
      <w:r w:rsidR="00AD0DF3" w:rsidRPr="00581181">
        <w:rPr>
          <w:szCs w:val="24"/>
        </w:rPr>
        <w:noBreakHyphen/>
      </w:r>
      <w:r w:rsidRPr="00581181">
        <w:rPr>
          <w:szCs w:val="24"/>
        </w:rPr>
        <w:t xml:space="preserve">Nazi texts and runic characters, while shouting slogans such as </w:t>
      </w:r>
      <w:r w:rsidR="009B7745">
        <w:rPr>
          <w:szCs w:val="24"/>
        </w:rPr>
        <w:t>‘</w:t>
      </w:r>
      <w:r w:rsidRPr="00581181">
        <w:rPr>
          <w:szCs w:val="24"/>
        </w:rPr>
        <w:t>Ausländer raus</w:t>
      </w:r>
      <w:r w:rsidR="009B7745">
        <w:rPr>
          <w:szCs w:val="24"/>
        </w:rPr>
        <w:t>’</w:t>
      </w:r>
      <w:r w:rsidRPr="00581181">
        <w:rPr>
          <w:szCs w:val="24"/>
        </w:rPr>
        <w:t xml:space="preserve">. The court of appeal concluded that the intention was evidently to propagate the ideas of national socialism. In its view, the pamphlet had acquired the status of </w:t>
      </w:r>
      <w:r w:rsidR="009B7745">
        <w:rPr>
          <w:szCs w:val="24"/>
        </w:rPr>
        <w:t>‘</w:t>
      </w:r>
      <w:r w:rsidRPr="00581181">
        <w:rPr>
          <w:szCs w:val="24"/>
        </w:rPr>
        <w:t>written material</w:t>
      </w:r>
      <w:r w:rsidR="009B7745">
        <w:rPr>
          <w:szCs w:val="24"/>
        </w:rPr>
        <w:t>’</w:t>
      </w:r>
      <w:r w:rsidRPr="00581181">
        <w:rPr>
          <w:szCs w:val="24"/>
        </w:rPr>
        <w:t xml:space="preserve"> as referred to in article 137d of the Criminal Code due to the circumstances in which it was distributed, which had been clearly established in court. In passing sentence, the court of appeal took into account the fact that two of the defendants had already been convicted repeatedly for similar offences and had been given substantial sentences, that the two men had committed the offences found proven during the operational period of a suspended sentence for similar offences and that one of the defendants had assumed the role of leader of the group of demonstrators. Two of the defendants received prison sentences of six and four weeks respectively, and the third a sentence of four weeks, two weeks of which were suspended. Over and above this they were ordered to pay a fine of €300, €150 of which was suspended. </w:t>
      </w:r>
    </w:p>
    <w:p w:rsidR="00EC2B8C" w:rsidRDefault="00E0446E" w:rsidP="00030277">
      <w:pPr>
        <w:rPr>
          <w:szCs w:val="24"/>
        </w:rPr>
      </w:pPr>
      <w:r w:rsidRPr="00581181">
        <w:rPr>
          <w:szCs w:val="24"/>
        </w:rPr>
        <w:t>91.</w:t>
      </w:r>
      <w:r w:rsidRPr="00581181">
        <w:rPr>
          <w:szCs w:val="24"/>
        </w:rPr>
        <w:tab/>
        <w:t xml:space="preserve">In a ruling of 14 June 2003, the </w:t>
      </w:r>
      <w:r w:rsidR="009B7745">
        <w:rPr>
          <w:szCs w:val="24"/>
        </w:rPr>
        <w:t>‘</w:t>
      </w:r>
      <w:r w:rsidRPr="00581181">
        <w:rPr>
          <w:szCs w:val="24"/>
        </w:rPr>
        <w:t>s</w:t>
      </w:r>
      <w:r w:rsidR="00AD0DF3" w:rsidRPr="00581181">
        <w:rPr>
          <w:szCs w:val="24"/>
        </w:rPr>
        <w:noBreakHyphen/>
      </w:r>
      <w:r w:rsidRPr="00581181">
        <w:rPr>
          <w:szCs w:val="24"/>
        </w:rPr>
        <w:t>Hertogenbosch court of appeal sentenced a man to an eight</w:t>
      </w:r>
      <w:r w:rsidR="00AD0DF3" w:rsidRPr="00581181">
        <w:rPr>
          <w:szCs w:val="24"/>
        </w:rPr>
        <w:noBreakHyphen/>
      </w:r>
      <w:r w:rsidRPr="00581181">
        <w:rPr>
          <w:szCs w:val="24"/>
        </w:rPr>
        <w:t>year term of imprisonment and imposed a hospital order (TBS) on him for assault and arson at the home of a Somali national in Tilburg.</w:t>
      </w:r>
    </w:p>
    <w:p w:rsidR="00EC2B8C" w:rsidRDefault="00E0446E" w:rsidP="00030277">
      <w:pPr>
        <w:rPr>
          <w:szCs w:val="24"/>
        </w:rPr>
      </w:pPr>
      <w:r w:rsidRPr="00581181">
        <w:rPr>
          <w:szCs w:val="24"/>
        </w:rPr>
        <w:t>92.</w:t>
      </w:r>
      <w:r w:rsidRPr="00581181">
        <w:rPr>
          <w:szCs w:val="24"/>
        </w:rPr>
        <w:tab/>
        <w:t xml:space="preserve">On 24 June 2003, the court of appeal in The Hague rendered judgment in proceedings against a man who had been found to have copies of </w:t>
      </w:r>
      <w:r w:rsidR="009B7745">
        <w:rPr>
          <w:szCs w:val="24"/>
        </w:rPr>
        <w:t>‘</w:t>
      </w:r>
      <w:r w:rsidRPr="00581181">
        <w:rPr>
          <w:szCs w:val="24"/>
        </w:rPr>
        <w:t>Resistance</w:t>
      </w:r>
      <w:r w:rsidR="009B7745">
        <w:rPr>
          <w:szCs w:val="24"/>
        </w:rPr>
        <w:t>’</w:t>
      </w:r>
      <w:r w:rsidRPr="00581181">
        <w:rPr>
          <w:szCs w:val="24"/>
        </w:rPr>
        <w:t>, a discriminatory periodical, and various other items of a discriminatory, neo</w:t>
      </w:r>
      <w:r w:rsidR="00AD0DF3" w:rsidRPr="00581181">
        <w:rPr>
          <w:szCs w:val="24"/>
        </w:rPr>
        <w:noBreakHyphen/>
      </w:r>
      <w:r w:rsidRPr="00581181">
        <w:rPr>
          <w:szCs w:val="24"/>
        </w:rPr>
        <w:t xml:space="preserve">Nazi or fascist nature, including various kinds of sound recording medium, such as CDs, in his possession. The court of appeal found it proven that the defendant was keeping stocks of the impounded copies of the CDs and the periodical for distribution purposes and held that, in view of the amount of material impounded and its nature and tenor, he had, by disseminating or having the intent to disseminate such material, seriously violated fundamental rights and freedoms, such as the right not to be subjected to discrimination, hatred and violence. The appeal court sentenced the defendant to 120 hours of community service and a term of imprisonment of one month, with a probation period of two years. The impounded material was declared forfeit. </w:t>
      </w:r>
    </w:p>
    <w:p w:rsidR="00EC2B8C" w:rsidRDefault="00E0446E" w:rsidP="00030277">
      <w:pPr>
        <w:rPr>
          <w:szCs w:val="24"/>
        </w:rPr>
      </w:pPr>
      <w:r w:rsidRPr="00581181">
        <w:rPr>
          <w:szCs w:val="24"/>
        </w:rPr>
        <w:t>93.</w:t>
      </w:r>
      <w:r w:rsidRPr="00581181">
        <w:rPr>
          <w:szCs w:val="24"/>
        </w:rPr>
        <w:tab/>
        <w:t xml:space="preserve">In a judgment of 11 September 2003, the Amsterdam court of appeal sentenced the chair of the </w:t>
      </w:r>
      <w:r w:rsidRPr="00581181">
        <w:rPr>
          <w:i/>
          <w:szCs w:val="24"/>
        </w:rPr>
        <w:t>Nederlandse</w:t>
      </w:r>
      <w:r w:rsidRPr="00581181">
        <w:rPr>
          <w:szCs w:val="24"/>
        </w:rPr>
        <w:t xml:space="preserve"> </w:t>
      </w:r>
      <w:r w:rsidRPr="00581181">
        <w:rPr>
          <w:i/>
          <w:szCs w:val="24"/>
        </w:rPr>
        <w:t xml:space="preserve">Volksunie </w:t>
      </w:r>
      <w:r w:rsidRPr="00581181">
        <w:rPr>
          <w:szCs w:val="24"/>
        </w:rPr>
        <w:t>(NVU), an extremist right</w:t>
      </w:r>
      <w:r w:rsidR="00AD0DF3" w:rsidRPr="00581181">
        <w:rPr>
          <w:szCs w:val="24"/>
        </w:rPr>
        <w:noBreakHyphen/>
      </w:r>
      <w:r w:rsidRPr="00581181">
        <w:rPr>
          <w:szCs w:val="24"/>
        </w:rPr>
        <w:t>wing political party, to four months</w:t>
      </w:r>
      <w:r w:rsidR="009B7745">
        <w:rPr>
          <w:szCs w:val="24"/>
        </w:rPr>
        <w:t>’</w:t>
      </w:r>
      <w:r w:rsidRPr="00581181">
        <w:rPr>
          <w:szCs w:val="24"/>
        </w:rPr>
        <w:t xml:space="preserve"> imprisonment, two months of which were suspended, for making insulting remarks about, among others, Muslims, Jews, Surinamese, and Antilleans during a party meeting at which journalists </w:t>
      </w:r>
      <w:r w:rsidR="00272628">
        <w:rPr>
          <w:szCs w:val="24"/>
        </w:rPr>
        <w:br w:type="page"/>
      </w:r>
      <w:r w:rsidRPr="00581181">
        <w:rPr>
          <w:szCs w:val="24"/>
        </w:rPr>
        <w:t>were present. The court of appeal took the view that the statements were deliberately made in public, since the documents submitted as evidence made it clear that no attempt was made to prevent members of the press from attending the meeting, reporting on it or filming it. On the contrary, some of the journalists had been invited by one of the organizers. In passing sentence, the court took into account the fact that, due to the intimidating manner in which they were communicated, the statements also incited hatred, discrimination, and possibly violence against the persons referred to. This is not only offensive to the persons concerned; it is repugnant, causes unrest and runs counter to the values and standards of Dutch society. The defendant also had previous convictions for similar offences. The court of appeal found a sentence of five months</w:t>
      </w:r>
      <w:r w:rsidR="009B7745">
        <w:rPr>
          <w:szCs w:val="24"/>
        </w:rPr>
        <w:t>’</w:t>
      </w:r>
      <w:r w:rsidRPr="00581181">
        <w:rPr>
          <w:szCs w:val="24"/>
        </w:rPr>
        <w:t xml:space="preserve"> imprisonment, two months of which were suspended, to be appropriate, but imposed a lighter sentence nonetheless, since the </w:t>
      </w:r>
      <w:r w:rsidR="009B7745">
        <w:rPr>
          <w:szCs w:val="24"/>
        </w:rPr>
        <w:t>‘</w:t>
      </w:r>
      <w:r w:rsidRPr="00581181">
        <w:rPr>
          <w:szCs w:val="24"/>
        </w:rPr>
        <w:t>reasonable time</w:t>
      </w:r>
      <w:r w:rsidR="009B7745">
        <w:rPr>
          <w:szCs w:val="24"/>
        </w:rPr>
        <w:t>’</w:t>
      </w:r>
      <w:r w:rsidRPr="00581181">
        <w:rPr>
          <w:szCs w:val="24"/>
        </w:rPr>
        <w:t xml:space="preserve"> requirement laid down in article 6 of the European Convention had been exceeded. </w:t>
      </w:r>
    </w:p>
    <w:p w:rsidR="00EC2B8C" w:rsidRDefault="00E0446E" w:rsidP="00030277">
      <w:pPr>
        <w:rPr>
          <w:szCs w:val="24"/>
        </w:rPr>
      </w:pPr>
      <w:r w:rsidRPr="00581181">
        <w:rPr>
          <w:szCs w:val="24"/>
        </w:rPr>
        <w:t>94.</w:t>
      </w:r>
      <w:r w:rsidRPr="00581181">
        <w:rPr>
          <w:szCs w:val="24"/>
        </w:rPr>
        <w:tab/>
        <w:t xml:space="preserve">On 16 October 2003, the </w:t>
      </w:r>
      <w:r w:rsidR="009B7745">
        <w:rPr>
          <w:szCs w:val="24"/>
        </w:rPr>
        <w:t>‘</w:t>
      </w:r>
      <w:r w:rsidRPr="00581181">
        <w:rPr>
          <w:szCs w:val="24"/>
        </w:rPr>
        <w:t>s</w:t>
      </w:r>
      <w:r w:rsidR="00AD0DF3" w:rsidRPr="00581181">
        <w:rPr>
          <w:szCs w:val="24"/>
        </w:rPr>
        <w:noBreakHyphen/>
      </w:r>
      <w:r w:rsidR="009B7745">
        <w:rPr>
          <w:szCs w:val="24"/>
        </w:rPr>
        <w:t>‘</w:t>
      </w:r>
      <w:r w:rsidRPr="00581181">
        <w:rPr>
          <w:szCs w:val="24"/>
        </w:rPr>
        <w:t>Hertogenbosch district court sentenced a man from Eindhoven, who, together with two others, had thrown a home</w:t>
      </w:r>
      <w:r w:rsidR="00AD0DF3" w:rsidRPr="00581181">
        <w:rPr>
          <w:szCs w:val="24"/>
        </w:rPr>
        <w:noBreakHyphen/>
      </w:r>
      <w:r w:rsidRPr="00581181">
        <w:rPr>
          <w:szCs w:val="24"/>
        </w:rPr>
        <w:t>made fire bomb into a Muslim primary school, to twelve months</w:t>
      </w:r>
      <w:r w:rsidR="009B7745">
        <w:rPr>
          <w:szCs w:val="24"/>
        </w:rPr>
        <w:t>’</w:t>
      </w:r>
      <w:r w:rsidRPr="00581181">
        <w:rPr>
          <w:szCs w:val="24"/>
        </w:rPr>
        <w:t xml:space="preserve"> imprisonment, six months of which were suspended, with a probation period of two years. His co</w:t>
      </w:r>
      <w:r w:rsidR="00AD0DF3" w:rsidRPr="00581181">
        <w:rPr>
          <w:szCs w:val="24"/>
        </w:rPr>
        <w:noBreakHyphen/>
      </w:r>
      <w:r w:rsidRPr="00581181">
        <w:rPr>
          <w:szCs w:val="24"/>
        </w:rPr>
        <w:t xml:space="preserve">offenders were also penalized. </w:t>
      </w:r>
    </w:p>
    <w:p w:rsidR="00EC2B8C" w:rsidRDefault="00E0446E" w:rsidP="00030277">
      <w:pPr>
        <w:rPr>
          <w:szCs w:val="24"/>
        </w:rPr>
      </w:pPr>
      <w:r w:rsidRPr="00581181">
        <w:rPr>
          <w:szCs w:val="24"/>
        </w:rPr>
        <w:t>95.</w:t>
      </w:r>
      <w:r w:rsidRPr="00581181">
        <w:rPr>
          <w:szCs w:val="24"/>
        </w:rPr>
        <w:tab/>
        <w:t>In a judgment of 3 December 2003, the Dordrecht district court acquitted the doorman of a bar who had refused to admit a group consisting of five men of Turkish origin, because it did not find it proven that he had discriminated on grounds of race. The defendant had stated that in implementing the bar</w:t>
      </w:r>
      <w:r w:rsidR="009B7745">
        <w:rPr>
          <w:szCs w:val="24"/>
        </w:rPr>
        <w:t>’</w:t>
      </w:r>
      <w:r w:rsidRPr="00581181">
        <w:rPr>
          <w:szCs w:val="24"/>
        </w:rPr>
        <w:t xml:space="preserve">s door policy he observed criteria such as whether he recognized the person concerned from an earlier, unproblematic visit (in his words </w:t>
      </w:r>
      <w:r w:rsidR="009B7745">
        <w:rPr>
          <w:szCs w:val="24"/>
        </w:rPr>
        <w:t>‘</w:t>
      </w:r>
      <w:r w:rsidRPr="00581181">
        <w:rPr>
          <w:szCs w:val="24"/>
        </w:rPr>
        <w:t>regular customers</w:t>
      </w:r>
      <w:r w:rsidR="009B7745">
        <w:rPr>
          <w:szCs w:val="24"/>
        </w:rPr>
        <w:t>’</w:t>
      </w:r>
      <w:r w:rsidRPr="00581181">
        <w:rPr>
          <w:szCs w:val="24"/>
        </w:rPr>
        <w:t xml:space="preserve">), the composition of the group (in any event no football supporters or stag parties), the mood of the person concerned (tense or relaxed) and whether the person concerned was a guest of a regular customer. </w:t>
      </w:r>
    </w:p>
    <w:p w:rsidR="00EC2B8C" w:rsidRDefault="00E0446E" w:rsidP="00030277">
      <w:pPr>
        <w:rPr>
          <w:szCs w:val="24"/>
        </w:rPr>
      </w:pPr>
      <w:r w:rsidRPr="00581181">
        <w:rPr>
          <w:szCs w:val="24"/>
        </w:rPr>
        <w:t>96.</w:t>
      </w:r>
      <w:r w:rsidRPr="00581181">
        <w:rPr>
          <w:szCs w:val="24"/>
        </w:rPr>
        <w:tab/>
        <w:t xml:space="preserve">In a ruling of 15 April 2004 the Court of Cassation dismissed the appeal lodged by a former police officer, who had had letters published in the </w:t>
      </w:r>
      <w:r w:rsidRPr="00581181">
        <w:rPr>
          <w:i/>
          <w:szCs w:val="24"/>
        </w:rPr>
        <w:t>Kollumer Courant</w:t>
      </w:r>
      <w:r w:rsidRPr="00581181">
        <w:rPr>
          <w:szCs w:val="24"/>
        </w:rPr>
        <w:t xml:space="preserve"> newspaper, which included passages such as </w:t>
      </w:r>
      <w:r w:rsidR="009B7745">
        <w:rPr>
          <w:szCs w:val="24"/>
        </w:rPr>
        <w:t>‘</w:t>
      </w:r>
      <w:r w:rsidRPr="00581181">
        <w:rPr>
          <w:szCs w:val="24"/>
        </w:rPr>
        <w:t>So there are displaced persons and refugees. The latter are those we have been reading more than enough about lately: torturers, thieves, murderers, ex</w:t>
      </w:r>
      <w:r w:rsidR="00AD0DF3" w:rsidRPr="00581181">
        <w:rPr>
          <w:szCs w:val="24"/>
        </w:rPr>
        <w:noBreakHyphen/>
      </w:r>
      <w:r w:rsidRPr="00581181">
        <w:rPr>
          <w:szCs w:val="24"/>
        </w:rPr>
        <w:t>convicts etc., etc.</w:t>
      </w:r>
      <w:r w:rsidR="009B7745">
        <w:rPr>
          <w:szCs w:val="24"/>
        </w:rPr>
        <w:t>’</w:t>
      </w:r>
      <w:r w:rsidRPr="00581181">
        <w:rPr>
          <w:szCs w:val="24"/>
        </w:rPr>
        <w:t xml:space="preserve"> and </w:t>
      </w:r>
      <w:r w:rsidR="009B7745">
        <w:rPr>
          <w:szCs w:val="24"/>
        </w:rPr>
        <w:t>‘</w:t>
      </w:r>
      <w:r w:rsidRPr="00581181">
        <w:rPr>
          <w:szCs w:val="24"/>
        </w:rPr>
        <w:t>Let me tell you this […] if the murderer isn</w:t>
      </w:r>
      <w:r w:rsidR="009B7745">
        <w:rPr>
          <w:szCs w:val="24"/>
        </w:rPr>
        <w:t>’</w:t>
      </w:r>
      <w:r w:rsidRPr="00581181">
        <w:rPr>
          <w:szCs w:val="24"/>
        </w:rPr>
        <w:t>t found, then you and your friends at the asylum</w:t>
      </w:r>
      <w:r w:rsidR="00AD0DF3" w:rsidRPr="00581181">
        <w:rPr>
          <w:szCs w:val="24"/>
        </w:rPr>
        <w:noBreakHyphen/>
      </w:r>
      <w:r w:rsidRPr="00581181">
        <w:rPr>
          <w:szCs w:val="24"/>
        </w:rPr>
        <w:t>seekers</w:t>
      </w:r>
      <w:r w:rsidR="009B7745">
        <w:rPr>
          <w:szCs w:val="24"/>
        </w:rPr>
        <w:t>’</w:t>
      </w:r>
      <w:r w:rsidRPr="00581181">
        <w:rPr>
          <w:szCs w:val="24"/>
        </w:rPr>
        <w:t xml:space="preserve"> centre will go down in history as the prime suspects, mark my words.</w:t>
      </w:r>
      <w:r w:rsidR="009B7745">
        <w:rPr>
          <w:szCs w:val="24"/>
        </w:rPr>
        <w:t>’</w:t>
      </w:r>
      <w:r w:rsidRPr="00581181">
        <w:rPr>
          <w:szCs w:val="24"/>
        </w:rPr>
        <w:t xml:space="preserve"> The court of appeal had earlier ruled that whatever the defendant</w:t>
      </w:r>
      <w:r w:rsidR="009B7745">
        <w:rPr>
          <w:szCs w:val="24"/>
        </w:rPr>
        <w:t>’</w:t>
      </w:r>
      <w:r w:rsidRPr="00581181">
        <w:rPr>
          <w:szCs w:val="24"/>
        </w:rPr>
        <w:t>s intentions were in expressing these views, regarded objectively both in isolation and in their context the passages found proven were insulting and offensive to the group of asylum</w:t>
      </w:r>
      <w:r w:rsidR="00AD0DF3" w:rsidRPr="00581181">
        <w:rPr>
          <w:szCs w:val="24"/>
        </w:rPr>
        <w:noBreakHyphen/>
      </w:r>
      <w:r w:rsidRPr="00581181">
        <w:rPr>
          <w:szCs w:val="24"/>
        </w:rPr>
        <w:t xml:space="preserve">seekers and/or refugees in this country on grounds of their race, within the meaning of article 137c of the Criminal Code. The defendant must have been aware, the court held, of the insulting nature of his comments. The court of appeal also took into account the intention behind the letters, namely to publicly denounce the conduct of the investigation into the murder of Marianne Vaatstra. </w:t>
      </w:r>
    </w:p>
    <w:p w:rsidR="00E0446E" w:rsidRPr="00581181" w:rsidRDefault="00E0446E" w:rsidP="00030277">
      <w:pPr>
        <w:rPr>
          <w:szCs w:val="24"/>
        </w:rPr>
      </w:pPr>
      <w:r w:rsidRPr="00581181">
        <w:rPr>
          <w:szCs w:val="24"/>
        </w:rPr>
        <w:t>97.</w:t>
      </w:r>
      <w:r w:rsidRPr="00581181">
        <w:rPr>
          <w:szCs w:val="24"/>
        </w:rPr>
        <w:tab/>
        <w:t>In a judgment of 15 March 2005, The Hague district court dismissed an app</w:t>
      </w:r>
      <w:r w:rsidR="00272628">
        <w:rPr>
          <w:szCs w:val="24"/>
        </w:rPr>
        <w:t>lication for an </w:t>
      </w:r>
      <w:r w:rsidRPr="00581181">
        <w:rPr>
          <w:szCs w:val="24"/>
        </w:rPr>
        <w:t>interlocutory injunction against Ayaan Hirsi Ali in summary proceedings. On the basis of a number of statements made in interviews and in two books (</w:t>
      </w:r>
      <w:r w:rsidRPr="00581181">
        <w:rPr>
          <w:i/>
          <w:szCs w:val="24"/>
        </w:rPr>
        <w:t>De zoontjesfabriek</w:t>
      </w:r>
      <w:r w:rsidRPr="00581181">
        <w:rPr>
          <w:szCs w:val="24"/>
        </w:rPr>
        <w:t xml:space="preserve"> and </w:t>
      </w:r>
      <w:r w:rsidRPr="00581181">
        <w:rPr>
          <w:i/>
          <w:szCs w:val="24"/>
        </w:rPr>
        <w:t xml:space="preserve">De </w:t>
      </w:r>
      <w:r w:rsidR="00272628">
        <w:rPr>
          <w:i/>
          <w:szCs w:val="24"/>
        </w:rPr>
        <w:br w:type="page"/>
      </w:r>
      <w:r w:rsidRPr="00581181">
        <w:rPr>
          <w:i/>
          <w:szCs w:val="24"/>
        </w:rPr>
        <w:t>Maagdenkooi</w:t>
      </w:r>
      <w:r w:rsidRPr="00581181">
        <w:rPr>
          <w:szCs w:val="24"/>
        </w:rPr>
        <w:t xml:space="preserve">) concerning the sources of Islam </w:t>
      </w:r>
      <w:r w:rsidR="00AD0DF3" w:rsidRPr="00581181">
        <w:rPr>
          <w:szCs w:val="24"/>
        </w:rPr>
        <w:noBreakHyphen/>
      </w:r>
      <w:r w:rsidRPr="00581181">
        <w:rPr>
          <w:szCs w:val="24"/>
        </w:rPr>
        <w:t xml:space="preserve"> the Koran, the manner of living of the prophet Mohammed and a collection of sayings attributed to him (the Hadith) </w:t>
      </w:r>
      <w:r w:rsidR="00AD0DF3" w:rsidRPr="00581181">
        <w:rPr>
          <w:szCs w:val="24"/>
        </w:rPr>
        <w:noBreakHyphen/>
      </w:r>
      <w:r w:rsidRPr="00581181">
        <w:rPr>
          <w:szCs w:val="24"/>
        </w:rPr>
        <w:t xml:space="preserve"> and the film </w:t>
      </w:r>
      <w:r w:rsidRPr="00581181">
        <w:rPr>
          <w:i/>
          <w:szCs w:val="24"/>
        </w:rPr>
        <w:t>Submission Part I</w:t>
      </w:r>
      <w:r w:rsidRPr="00581181">
        <w:rPr>
          <w:szCs w:val="24"/>
        </w:rPr>
        <w:t xml:space="preserve"> about the oppression of Muslim women, which she made with Theo van Gogh in 2004, the applicants requested the court to prohibit Hirsi Ali from:</w:t>
      </w:r>
    </w:p>
    <w:p w:rsidR="00E0446E" w:rsidRPr="00581181" w:rsidRDefault="00E0446E" w:rsidP="00EF5DDA">
      <w:pPr>
        <w:pStyle w:val="Bullet"/>
      </w:pPr>
      <w:r w:rsidRPr="00581181">
        <w:t>Making insulting or offensive utterances in public concerning the Muslim section of the population or parts thereof, whether in writing, film</w:t>
      </w:r>
      <w:r w:rsidR="005A0C7C">
        <w:t>, orally or in any other manner</w:t>
      </w:r>
    </w:p>
    <w:p w:rsidR="00E0446E" w:rsidRPr="00581181" w:rsidRDefault="00E0446E" w:rsidP="00EF5DDA">
      <w:pPr>
        <w:pStyle w:val="Bullet"/>
      </w:pPr>
      <w:r w:rsidRPr="00581181">
        <w:t>Making blasphemous utterances about the Islamic faith and/or culture a</w:t>
      </w:r>
      <w:r w:rsidR="005A0C7C">
        <w:t>nd/or the prophet Mohammed</w:t>
      </w:r>
    </w:p>
    <w:p w:rsidR="00E0446E" w:rsidRPr="00581181" w:rsidRDefault="00E0446E" w:rsidP="00EF5DDA">
      <w:pPr>
        <w:pStyle w:val="Bullet"/>
      </w:pPr>
      <w:r w:rsidRPr="00581181">
        <w:t>Expressing views caus</w:t>
      </w:r>
      <w:r w:rsidR="005A0C7C">
        <w:t>ing offence to Muslim believers</w:t>
      </w:r>
    </w:p>
    <w:p w:rsidR="00EC2B8C" w:rsidRDefault="00E0446E" w:rsidP="00EF5DDA">
      <w:pPr>
        <w:pStyle w:val="Bullet"/>
      </w:pPr>
      <w:r w:rsidRPr="00581181">
        <w:t xml:space="preserve">Releasing the second part of </w:t>
      </w:r>
      <w:r w:rsidRPr="00581181">
        <w:rPr>
          <w:i/>
        </w:rPr>
        <w:t>Submission</w:t>
      </w:r>
      <w:r w:rsidRPr="00581181">
        <w:t xml:space="preserve"> or a film of similar content to </w:t>
      </w:r>
      <w:r w:rsidRPr="00581181">
        <w:rPr>
          <w:i/>
        </w:rPr>
        <w:t>Submission Part</w:t>
      </w:r>
      <w:r w:rsidR="0031311C">
        <w:rPr>
          <w:i/>
        </w:rPr>
        <w:t> </w:t>
      </w:r>
      <w:r w:rsidRPr="00581181">
        <w:rPr>
          <w:i/>
        </w:rPr>
        <w:t>I</w:t>
      </w:r>
      <w:r w:rsidRPr="00581181">
        <w:t>, or releasing such a film before it has been determined by an expert or group of experts appointed by the court that such a film does not contain any elements which might be blasphemous and/or offens</w:t>
      </w:r>
      <w:r w:rsidR="005A0C7C">
        <w:t>ive and/or insulting to Muslims</w:t>
      </w:r>
    </w:p>
    <w:p w:rsidR="00EC2B8C" w:rsidRDefault="00E0446E" w:rsidP="00030277">
      <w:pPr>
        <w:rPr>
          <w:szCs w:val="24"/>
        </w:rPr>
      </w:pPr>
      <w:r w:rsidRPr="00581181">
        <w:rPr>
          <w:szCs w:val="24"/>
        </w:rPr>
        <w:t>98.</w:t>
      </w:r>
      <w:r w:rsidRPr="00581181">
        <w:rPr>
          <w:szCs w:val="24"/>
        </w:rPr>
        <w:tab/>
        <w:t>The applicants also sought an order compelling Hirsi Ali to place a rectification on the front page of two national daily newspapers retracting her earlier negative pronouncements on the Muslim faith and Muslim believers. The court ruled that Hirsi Ali</w:t>
      </w:r>
      <w:r w:rsidR="009B7745">
        <w:rPr>
          <w:szCs w:val="24"/>
        </w:rPr>
        <w:t>’</w:t>
      </w:r>
      <w:r w:rsidRPr="00581181">
        <w:rPr>
          <w:szCs w:val="24"/>
        </w:rPr>
        <w:t xml:space="preserve">s utterances had been taken out of their context by the applicants, and had as a result begun to lead a life of their own. The court found that this could not be attributed to Hirsi Ali. The applicants had not satisfactorily established that it had been her deliberate purpose to offend or insult them or to make blasphemous statements about the Muslim faith. If the applicants had perceived it in that light, Hirsi Ali could not automatically be held accountable for that. With regard to the words </w:t>
      </w:r>
      <w:r w:rsidR="009B7745">
        <w:rPr>
          <w:szCs w:val="24"/>
        </w:rPr>
        <w:t>‘</w:t>
      </w:r>
      <w:r w:rsidRPr="00581181">
        <w:rPr>
          <w:szCs w:val="24"/>
        </w:rPr>
        <w:t>paedophile</w:t>
      </w:r>
      <w:r w:rsidR="009B7745">
        <w:rPr>
          <w:szCs w:val="24"/>
        </w:rPr>
        <w:t>’</w:t>
      </w:r>
      <w:r w:rsidRPr="00581181">
        <w:rPr>
          <w:szCs w:val="24"/>
        </w:rPr>
        <w:t xml:space="preserve"> and </w:t>
      </w:r>
      <w:r w:rsidR="009B7745">
        <w:rPr>
          <w:szCs w:val="24"/>
        </w:rPr>
        <w:t>‘</w:t>
      </w:r>
      <w:r w:rsidRPr="00581181">
        <w:rPr>
          <w:szCs w:val="24"/>
        </w:rPr>
        <w:t>perverse</w:t>
      </w:r>
      <w:r w:rsidR="009B7745">
        <w:rPr>
          <w:szCs w:val="24"/>
        </w:rPr>
        <w:t>’</w:t>
      </w:r>
      <w:r w:rsidRPr="00581181">
        <w:rPr>
          <w:szCs w:val="24"/>
        </w:rPr>
        <w:t xml:space="preserve"> as used by Hirsi Ali in connection with the prophet Mohammed, the court held that the use of those words was unfortunate but had only occurred once or twice, so that Hirsi Ali had remained within the bounds of what was permissible. Furthermore, the applicants did not put forward any arguments claiming that the Koran texts used, for example, in </w:t>
      </w:r>
      <w:r w:rsidRPr="00581181">
        <w:rPr>
          <w:i/>
          <w:szCs w:val="24"/>
        </w:rPr>
        <w:t>Submission Part I</w:t>
      </w:r>
      <w:r w:rsidRPr="00581181">
        <w:rPr>
          <w:szCs w:val="24"/>
        </w:rPr>
        <w:t xml:space="preserve"> were incorrect citations. Nor did they establish a plausible case that there could be no connection between a literal interpretation of certain Koran texts and the oppression of Muslim women. The court ruled that there were insufficient grounds for prohibiting Hirsi Ali from releasing another film like </w:t>
      </w:r>
      <w:r w:rsidRPr="00581181">
        <w:rPr>
          <w:i/>
          <w:szCs w:val="24"/>
        </w:rPr>
        <w:t>Submission Part I</w:t>
      </w:r>
      <w:r w:rsidRPr="00581181">
        <w:rPr>
          <w:szCs w:val="24"/>
        </w:rPr>
        <w:t xml:space="preserve">. It furthermore deemed it unnecessary to appoint a group of experts or to impose restrictions or conditions on the release of such a film as sought by the applicants. </w:t>
      </w:r>
    </w:p>
    <w:p w:rsidR="00EC2B8C" w:rsidRDefault="00E0446E" w:rsidP="00030277">
      <w:pPr>
        <w:rPr>
          <w:szCs w:val="24"/>
        </w:rPr>
      </w:pPr>
      <w:r w:rsidRPr="00581181">
        <w:rPr>
          <w:szCs w:val="24"/>
        </w:rPr>
        <w:t>99.</w:t>
      </w:r>
      <w:r w:rsidRPr="00581181">
        <w:rPr>
          <w:szCs w:val="24"/>
        </w:rPr>
        <w:tab/>
        <w:t xml:space="preserve">In a judgment handed down on 30 August 2005, the </w:t>
      </w:r>
      <w:r w:rsidR="009B7745">
        <w:rPr>
          <w:szCs w:val="24"/>
        </w:rPr>
        <w:t>‘</w:t>
      </w:r>
      <w:r w:rsidRPr="00581181">
        <w:rPr>
          <w:szCs w:val="24"/>
        </w:rPr>
        <w:t>s</w:t>
      </w:r>
      <w:r w:rsidR="00AD0DF3" w:rsidRPr="00581181">
        <w:rPr>
          <w:szCs w:val="24"/>
        </w:rPr>
        <w:noBreakHyphen/>
      </w:r>
      <w:r w:rsidRPr="00581181">
        <w:rPr>
          <w:szCs w:val="24"/>
        </w:rPr>
        <w:t>Hertogenbosch district court sentenced a number of persons to terms of imprisonment varying from 150 days to 9 months and imposed community service orders varying from 100 to 228 hours for setting fire to the Bedir</w:t>
      </w:r>
      <w:r w:rsidR="007955CD">
        <w:rPr>
          <w:szCs w:val="24"/>
        </w:rPr>
        <w:t> </w:t>
      </w:r>
      <w:r w:rsidRPr="00581181">
        <w:rPr>
          <w:szCs w:val="24"/>
        </w:rPr>
        <w:t>primary school in Uden. In passing sentence, the court took into account the fact that, partly because there had been an earlier arson attack on the school, the defendants</w:t>
      </w:r>
      <w:r w:rsidR="009B7745">
        <w:rPr>
          <w:szCs w:val="24"/>
        </w:rPr>
        <w:t>’</w:t>
      </w:r>
      <w:r w:rsidRPr="00581181">
        <w:rPr>
          <w:szCs w:val="24"/>
        </w:rPr>
        <w:t xml:space="preserve"> action had caused serious unrest and feelings of insecurity in the community.</w:t>
      </w:r>
    </w:p>
    <w:p w:rsidR="00EC2B8C" w:rsidRDefault="00E0446E" w:rsidP="00030277">
      <w:pPr>
        <w:rPr>
          <w:szCs w:val="24"/>
        </w:rPr>
      </w:pPr>
      <w:r w:rsidRPr="00581181">
        <w:rPr>
          <w:szCs w:val="24"/>
        </w:rPr>
        <w:t>100.</w:t>
      </w:r>
      <w:r w:rsidRPr="00581181">
        <w:rPr>
          <w:szCs w:val="24"/>
        </w:rPr>
        <w:tab/>
        <w:t>In a judgment of 19 December 2005, the The Hague district court sentenced a twenty</w:t>
      </w:r>
      <w:r w:rsidR="00AD0DF3" w:rsidRPr="00581181">
        <w:rPr>
          <w:szCs w:val="24"/>
        </w:rPr>
        <w:noBreakHyphen/>
      </w:r>
      <w:r w:rsidRPr="00581181">
        <w:rPr>
          <w:szCs w:val="24"/>
        </w:rPr>
        <w:t>year</w:t>
      </w:r>
      <w:r w:rsidR="00AD0DF3" w:rsidRPr="00581181">
        <w:rPr>
          <w:szCs w:val="24"/>
        </w:rPr>
        <w:noBreakHyphen/>
      </w:r>
      <w:r w:rsidRPr="00581181">
        <w:rPr>
          <w:szCs w:val="24"/>
        </w:rPr>
        <w:t xml:space="preserve">old man to 36 months in prison, six months of which were suspended, for arson and destruction of property belonging to an Iraqi family. For over two years, the family had been the </w:t>
      </w:r>
      <w:r w:rsidR="00272628">
        <w:rPr>
          <w:szCs w:val="24"/>
        </w:rPr>
        <w:br w:type="page"/>
      </w:r>
      <w:r w:rsidRPr="00581181">
        <w:rPr>
          <w:szCs w:val="24"/>
        </w:rPr>
        <w:t xml:space="preserve">target of a series of offences committed by a group of young men from the neighbourhood with racist attitudes. The group had terrorized the family in a number of ways, including by throwing bricks through windows of their home. A few months later, the defendant had conceived the bizarre idea of committing </w:t>
      </w:r>
      <w:r w:rsidR="009B7745">
        <w:rPr>
          <w:szCs w:val="24"/>
        </w:rPr>
        <w:t>‘</w:t>
      </w:r>
      <w:r w:rsidRPr="00581181">
        <w:rPr>
          <w:szCs w:val="24"/>
        </w:rPr>
        <w:t>a final act</w:t>
      </w:r>
      <w:r w:rsidR="009B7745">
        <w:rPr>
          <w:szCs w:val="24"/>
        </w:rPr>
        <w:t>’</w:t>
      </w:r>
      <w:r w:rsidRPr="00581181">
        <w:rPr>
          <w:szCs w:val="24"/>
        </w:rPr>
        <w:t xml:space="preserve"> and, while the family was asleep upstairs, had doused the front door of the house with petrol and set it alight. The door and the letterbox were partly destroyed. </w:t>
      </w:r>
    </w:p>
    <w:p w:rsidR="00EC2B8C" w:rsidRDefault="00E0446E" w:rsidP="00030277">
      <w:pPr>
        <w:rPr>
          <w:szCs w:val="24"/>
        </w:rPr>
      </w:pPr>
      <w:r w:rsidRPr="00581181">
        <w:rPr>
          <w:szCs w:val="24"/>
        </w:rPr>
        <w:t>101.</w:t>
      </w:r>
      <w:r w:rsidRPr="00581181">
        <w:rPr>
          <w:szCs w:val="24"/>
        </w:rPr>
        <w:tab/>
        <w:t xml:space="preserve">On 29 December 2005, the Amsterdam court of appeal dismissed a complaint concerning the decision of the Public Prosecution Service not to prosecute the chair of the Dutch Zionist Federation (FNZ) for insulting behaviour, defamation and discrimination. He had, among others, placed the following statements on the FNZ website: </w:t>
      </w:r>
      <w:r w:rsidR="009B7745">
        <w:rPr>
          <w:szCs w:val="24"/>
        </w:rPr>
        <w:t>‘</w:t>
      </w:r>
      <w:r w:rsidRPr="00581181">
        <w:rPr>
          <w:szCs w:val="24"/>
        </w:rPr>
        <w:t>Moroccans and Turks are anti</w:t>
      </w:r>
      <w:r w:rsidR="00AD0DF3" w:rsidRPr="00581181">
        <w:rPr>
          <w:szCs w:val="24"/>
        </w:rPr>
        <w:noBreakHyphen/>
      </w:r>
      <w:r w:rsidRPr="00581181">
        <w:rPr>
          <w:szCs w:val="24"/>
        </w:rPr>
        <w:t>Semitic</w:t>
      </w:r>
      <w:r w:rsidR="009B7745">
        <w:rPr>
          <w:szCs w:val="24"/>
        </w:rPr>
        <w:t>’</w:t>
      </w:r>
      <w:r w:rsidRPr="00581181">
        <w:rPr>
          <w:szCs w:val="24"/>
        </w:rPr>
        <w:t xml:space="preserve"> and </w:t>
      </w:r>
      <w:r w:rsidR="009B7745">
        <w:rPr>
          <w:szCs w:val="24"/>
        </w:rPr>
        <w:t>‘</w:t>
      </w:r>
      <w:r w:rsidRPr="00581181">
        <w:rPr>
          <w:szCs w:val="24"/>
        </w:rPr>
        <w:t>They are as rabidly anti</w:t>
      </w:r>
      <w:r w:rsidR="00AD0DF3" w:rsidRPr="00581181">
        <w:rPr>
          <w:szCs w:val="24"/>
        </w:rPr>
        <w:noBreakHyphen/>
      </w:r>
      <w:r w:rsidRPr="00581181">
        <w:rPr>
          <w:szCs w:val="24"/>
        </w:rPr>
        <w:t>Semitic as the rest of the Arab</w:t>
      </w:r>
      <w:r w:rsidR="00AD0DF3" w:rsidRPr="00581181">
        <w:rPr>
          <w:szCs w:val="24"/>
        </w:rPr>
        <w:noBreakHyphen/>
      </w:r>
      <w:r w:rsidRPr="00581181">
        <w:rPr>
          <w:szCs w:val="24"/>
        </w:rPr>
        <w:t>Islamic world</w:t>
      </w:r>
      <w:r w:rsidR="009B7745">
        <w:rPr>
          <w:szCs w:val="24"/>
        </w:rPr>
        <w:t>’</w:t>
      </w:r>
      <w:r w:rsidRPr="00581181">
        <w:rPr>
          <w:szCs w:val="24"/>
        </w:rPr>
        <w:t>. The court of appeal</w:t>
      </w:r>
      <w:r w:rsidR="009B7745">
        <w:rPr>
          <w:szCs w:val="24"/>
        </w:rPr>
        <w:t>’</w:t>
      </w:r>
      <w:r w:rsidRPr="00581181">
        <w:rPr>
          <w:szCs w:val="24"/>
        </w:rPr>
        <w:t xml:space="preserve">s ruling was based on the fact that while the statements were in themselves insulting and discriminatory, they were made in the context of public debate on the problems in the Middle East and should therefore be regarded in the light of the associated polemic, as was clear from the rest of the text. This meant that the limits of journalistic freedom and/or the limits of freedom of expression had not been exceeded. </w:t>
      </w:r>
    </w:p>
    <w:p w:rsidR="00EC2B8C" w:rsidRDefault="00E0446E" w:rsidP="00030277">
      <w:pPr>
        <w:rPr>
          <w:szCs w:val="24"/>
        </w:rPr>
      </w:pPr>
      <w:r w:rsidRPr="00581181">
        <w:rPr>
          <w:szCs w:val="24"/>
        </w:rPr>
        <w:t>102.</w:t>
      </w:r>
      <w:r w:rsidRPr="00581181">
        <w:rPr>
          <w:szCs w:val="24"/>
        </w:rPr>
        <w:tab/>
        <w:t xml:space="preserve">On 20 January 2006, the Haarlem district court handed down a judgment in a case against members of a group of </w:t>
      </w:r>
      <w:r w:rsidR="009B7745">
        <w:rPr>
          <w:szCs w:val="24"/>
        </w:rPr>
        <w:t>‘</w:t>
      </w:r>
      <w:r w:rsidRPr="00581181">
        <w:rPr>
          <w:szCs w:val="24"/>
        </w:rPr>
        <w:t>Lonsdalers</w:t>
      </w:r>
      <w:r w:rsidR="009B7745">
        <w:rPr>
          <w:szCs w:val="24"/>
        </w:rPr>
        <w:t>’</w:t>
      </w:r>
      <w:r w:rsidRPr="00581181">
        <w:rPr>
          <w:szCs w:val="24"/>
        </w:rPr>
        <w:t xml:space="preserve"> (young people holding extreme right</w:t>
      </w:r>
      <w:r w:rsidR="00AD0DF3" w:rsidRPr="00581181">
        <w:rPr>
          <w:szCs w:val="24"/>
        </w:rPr>
        <w:noBreakHyphen/>
      </w:r>
      <w:r w:rsidRPr="00581181">
        <w:rPr>
          <w:szCs w:val="24"/>
        </w:rPr>
        <w:t>wing views, so</w:t>
      </w:r>
      <w:r w:rsidR="00AD0DF3" w:rsidRPr="00581181">
        <w:rPr>
          <w:szCs w:val="24"/>
        </w:rPr>
        <w:noBreakHyphen/>
      </w:r>
      <w:r w:rsidRPr="00581181">
        <w:rPr>
          <w:szCs w:val="24"/>
        </w:rPr>
        <w:t xml:space="preserve">called because of the brand of clothing they wear). In 2004, members of the group had vandalized property at various locations in the seaside town of Zandvoort, leaving behind swastikas and White Power symbols as their </w:t>
      </w:r>
      <w:r w:rsidR="009B7745">
        <w:rPr>
          <w:szCs w:val="24"/>
        </w:rPr>
        <w:t>‘</w:t>
      </w:r>
      <w:r w:rsidRPr="00581181">
        <w:rPr>
          <w:szCs w:val="24"/>
        </w:rPr>
        <w:t>trademark</w:t>
      </w:r>
      <w:r w:rsidR="009B7745">
        <w:rPr>
          <w:szCs w:val="24"/>
        </w:rPr>
        <w:t>’</w:t>
      </w:r>
      <w:r w:rsidRPr="00581181">
        <w:rPr>
          <w:szCs w:val="24"/>
        </w:rPr>
        <w:t>. The court imposed a community service order of 150</w:t>
      </w:r>
      <w:r w:rsidR="0084783A">
        <w:rPr>
          <w:szCs w:val="24"/>
        </w:rPr>
        <w:t> </w:t>
      </w:r>
      <w:r w:rsidRPr="00581181">
        <w:rPr>
          <w:szCs w:val="24"/>
        </w:rPr>
        <w:t>hours on the leader and sentenced his three co</w:t>
      </w:r>
      <w:r w:rsidR="00AD0DF3" w:rsidRPr="00581181">
        <w:rPr>
          <w:szCs w:val="24"/>
        </w:rPr>
        <w:noBreakHyphen/>
      </w:r>
      <w:r w:rsidRPr="00581181">
        <w:rPr>
          <w:szCs w:val="24"/>
        </w:rPr>
        <w:t>defendants to 200, 180 and 100 hours respectively. The group was also ordered to pay €2000 in compensation.</w:t>
      </w:r>
    </w:p>
    <w:p w:rsidR="00EC2B8C" w:rsidRDefault="00E0446E" w:rsidP="00030277">
      <w:pPr>
        <w:rPr>
          <w:szCs w:val="24"/>
        </w:rPr>
      </w:pPr>
      <w:r w:rsidRPr="00581181">
        <w:rPr>
          <w:szCs w:val="24"/>
        </w:rPr>
        <w:t>103.</w:t>
      </w:r>
      <w:r w:rsidRPr="00581181">
        <w:rPr>
          <w:szCs w:val="24"/>
        </w:rPr>
        <w:tab/>
        <w:t xml:space="preserve">On 23 February 2003, the Amsterdam district court handed down a judgment in a case against a public prosecutor of the Arnhem region. According to the National </w:t>
      </w:r>
      <w:r w:rsidR="009B7745">
        <w:rPr>
          <w:szCs w:val="24"/>
        </w:rPr>
        <w:t>“</w:t>
      </w:r>
      <w:r w:rsidRPr="00581181">
        <w:rPr>
          <w:szCs w:val="24"/>
        </w:rPr>
        <w:t>Roma Emancipation</w:t>
      </w:r>
      <w:r w:rsidR="009B7745">
        <w:rPr>
          <w:szCs w:val="24"/>
        </w:rPr>
        <w:t>”</w:t>
      </w:r>
      <w:r w:rsidRPr="00581181">
        <w:rPr>
          <w:szCs w:val="24"/>
        </w:rPr>
        <w:t xml:space="preserve"> Foundation, the defendant had made unnecessarily offensive and insulting remarks during his closing speech in court in May 2003. These included comments such as </w:t>
      </w:r>
      <w:r w:rsidR="009B7745">
        <w:rPr>
          <w:szCs w:val="24"/>
        </w:rPr>
        <w:t>‘</w:t>
      </w:r>
      <w:r w:rsidRPr="00581181">
        <w:rPr>
          <w:szCs w:val="24"/>
        </w:rPr>
        <w:t>nearly all Roma are criminals</w:t>
      </w:r>
      <w:r w:rsidR="009B7745">
        <w:rPr>
          <w:szCs w:val="24"/>
        </w:rPr>
        <w:t>’</w:t>
      </w:r>
      <w:r w:rsidRPr="00581181">
        <w:rPr>
          <w:szCs w:val="24"/>
        </w:rPr>
        <w:t xml:space="preserve"> and </w:t>
      </w:r>
      <w:r w:rsidR="009B7745">
        <w:rPr>
          <w:szCs w:val="24"/>
        </w:rPr>
        <w:t>‘</w:t>
      </w:r>
      <w:r w:rsidRPr="00581181">
        <w:rPr>
          <w:szCs w:val="24"/>
        </w:rPr>
        <w:t>they see breaking and entering as a perfectly normal activity</w:t>
      </w:r>
      <w:r w:rsidR="009B7745">
        <w:rPr>
          <w:szCs w:val="24"/>
        </w:rPr>
        <w:t>’</w:t>
      </w:r>
      <w:r w:rsidRPr="00581181">
        <w:rPr>
          <w:szCs w:val="24"/>
        </w:rPr>
        <w:t>. The district court deplored the remarks but took the view that the defendant</w:t>
      </w:r>
      <w:r w:rsidR="009B7745">
        <w:rPr>
          <w:szCs w:val="24"/>
        </w:rPr>
        <w:t>’</w:t>
      </w:r>
      <w:r w:rsidRPr="00581181">
        <w:rPr>
          <w:szCs w:val="24"/>
        </w:rPr>
        <w:t>s actions were at the limit of what the court considered permissible in the context of exemplary sentencing. It took into account the fact that the defendant emphasized that his remarks were directed to the court and the other persons present. The dynamics which were attributed to his words in the media were never his intention. The district court declared the charges not proven and acquitted the defendant.</w:t>
      </w:r>
    </w:p>
    <w:p w:rsidR="00EC2B8C" w:rsidRDefault="00E0446E" w:rsidP="00030277">
      <w:pPr>
        <w:rPr>
          <w:szCs w:val="24"/>
        </w:rPr>
      </w:pPr>
      <w:r w:rsidRPr="00581181">
        <w:rPr>
          <w:szCs w:val="24"/>
        </w:rPr>
        <w:t>104.</w:t>
      </w:r>
      <w:r w:rsidRPr="00581181">
        <w:rPr>
          <w:szCs w:val="24"/>
        </w:rPr>
        <w:tab/>
        <w:t>In a judgment of 24 May 2006, the Rotterdam district court sentenced the maker of a video clip promoting a fictitious house party (</w:t>
      </w:r>
      <w:r w:rsidR="009B7745">
        <w:rPr>
          <w:szCs w:val="24"/>
        </w:rPr>
        <w:t>‘</w:t>
      </w:r>
      <w:r w:rsidRPr="00581181">
        <w:rPr>
          <w:szCs w:val="24"/>
        </w:rPr>
        <w:t>Housewitz</w:t>
      </w:r>
      <w:r w:rsidR="009B7745">
        <w:rPr>
          <w:szCs w:val="24"/>
        </w:rPr>
        <w:t>’</w:t>
      </w:r>
      <w:r w:rsidRPr="00581181">
        <w:rPr>
          <w:szCs w:val="24"/>
        </w:rPr>
        <w:t xml:space="preserve">) to be held at the grounds of Auschwitz to 40 hours of community service. The clip contained images of concentration camp inmates, gas chambers and bodies. The images alternated with texts such as </w:t>
      </w:r>
      <w:r w:rsidR="009B7745">
        <w:rPr>
          <w:szCs w:val="24"/>
        </w:rPr>
        <w:t>‘</w:t>
      </w:r>
      <w:r w:rsidRPr="00581181">
        <w:rPr>
          <w:szCs w:val="24"/>
        </w:rPr>
        <w:t>Tanzen macht frei</w:t>
      </w:r>
      <w:r w:rsidR="009B7745">
        <w:rPr>
          <w:szCs w:val="24"/>
        </w:rPr>
        <w:t>’</w:t>
      </w:r>
      <w:r w:rsidRPr="00581181">
        <w:rPr>
          <w:szCs w:val="24"/>
        </w:rPr>
        <w:t xml:space="preserve"> and </w:t>
      </w:r>
      <w:r w:rsidR="009B7745">
        <w:rPr>
          <w:szCs w:val="24"/>
        </w:rPr>
        <w:t>‘</w:t>
      </w:r>
      <w:r w:rsidRPr="00581181">
        <w:rPr>
          <w:szCs w:val="24"/>
        </w:rPr>
        <w:t>Hot showers</w:t>
      </w:r>
      <w:r w:rsidR="009B7745">
        <w:rPr>
          <w:szCs w:val="24"/>
        </w:rPr>
        <w:t>’</w:t>
      </w:r>
      <w:r w:rsidRPr="00581181">
        <w:rPr>
          <w:szCs w:val="24"/>
        </w:rPr>
        <w:t>. The fact that the maker had not intended the clip to be widely distributed was of no avail to him. By placing the clip on the internet, he had brought it into the public domain, making it likely that others would come across it. This is exactly what happened, since after the maker had removed Housewitz from the internet and offered his apologies, it was placed on a popular weblog and circulated widely from there.</w:t>
      </w:r>
    </w:p>
    <w:p w:rsidR="00EC2B8C" w:rsidRDefault="000E770D" w:rsidP="00030277">
      <w:pPr>
        <w:rPr>
          <w:szCs w:val="24"/>
        </w:rPr>
      </w:pPr>
      <w:r>
        <w:rPr>
          <w:szCs w:val="24"/>
        </w:rPr>
        <w:br w:type="page"/>
      </w:r>
      <w:r w:rsidR="00E0446E" w:rsidRPr="00581181">
        <w:rPr>
          <w:szCs w:val="24"/>
        </w:rPr>
        <w:t>105.</w:t>
      </w:r>
      <w:r w:rsidR="00E0446E" w:rsidRPr="00581181">
        <w:rPr>
          <w:szCs w:val="24"/>
        </w:rPr>
        <w:tab/>
        <w:t>On 3 June 2006, the Breda district court acquitted a man suspected of scratching swastikas etc. into the paintwork of over 25 passenger vehicles. There were doubts as to whether the man, who has an intellectual disability, had actually committed the offences in question.</w:t>
      </w:r>
    </w:p>
    <w:p w:rsidR="00EC2B8C" w:rsidRDefault="00E0446E" w:rsidP="00030277">
      <w:pPr>
        <w:rPr>
          <w:szCs w:val="24"/>
        </w:rPr>
      </w:pPr>
      <w:r w:rsidRPr="00581181">
        <w:rPr>
          <w:szCs w:val="24"/>
        </w:rPr>
        <w:t>106.</w:t>
      </w:r>
      <w:r w:rsidRPr="00581181">
        <w:rPr>
          <w:szCs w:val="24"/>
        </w:rPr>
        <w:tab/>
        <w:t xml:space="preserve">On 20 June 2006, the Amsterdam district court fined a man to €500 for insulting and threatening two traffic wardens on account of their race. The man had called the traffic wardens </w:t>
      </w:r>
      <w:r w:rsidR="009B7745">
        <w:rPr>
          <w:szCs w:val="24"/>
        </w:rPr>
        <w:t>‘</w:t>
      </w:r>
      <w:r w:rsidRPr="00581181">
        <w:rPr>
          <w:szCs w:val="24"/>
        </w:rPr>
        <w:t>f***ing foreigners</w:t>
      </w:r>
      <w:r w:rsidR="009B7745">
        <w:rPr>
          <w:szCs w:val="24"/>
        </w:rPr>
        <w:t>’</w:t>
      </w:r>
      <w:r w:rsidRPr="00581181">
        <w:rPr>
          <w:szCs w:val="24"/>
        </w:rPr>
        <w:t xml:space="preserve"> and </w:t>
      </w:r>
      <w:r w:rsidR="009B7745">
        <w:rPr>
          <w:szCs w:val="24"/>
        </w:rPr>
        <w:t>‘</w:t>
      </w:r>
      <w:r w:rsidRPr="00581181">
        <w:rPr>
          <w:szCs w:val="24"/>
        </w:rPr>
        <w:t>dirty niggers</w:t>
      </w:r>
      <w:r w:rsidR="009B7745">
        <w:rPr>
          <w:szCs w:val="24"/>
        </w:rPr>
        <w:t>’</w:t>
      </w:r>
      <w:r w:rsidRPr="00581181">
        <w:rPr>
          <w:szCs w:val="24"/>
        </w:rPr>
        <w:t xml:space="preserve">. </w:t>
      </w:r>
    </w:p>
    <w:p w:rsidR="00EC2B8C" w:rsidRDefault="00E0446E" w:rsidP="00030277">
      <w:pPr>
        <w:rPr>
          <w:szCs w:val="24"/>
        </w:rPr>
      </w:pPr>
      <w:r w:rsidRPr="00581181">
        <w:rPr>
          <w:szCs w:val="24"/>
        </w:rPr>
        <w:t>107.</w:t>
      </w:r>
      <w:r w:rsidRPr="00581181">
        <w:rPr>
          <w:szCs w:val="24"/>
        </w:rPr>
        <w:tab/>
        <w:t>In a judgment delivered on 5 October 2006, the Dordrecht district court sentenced three right</w:t>
      </w:r>
      <w:r w:rsidR="00AD0DF3" w:rsidRPr="00581181">
        <w:rPr>
          <w:szCs w:val="24"/>
        </w:rPr>
        <w:noBreakHyphen/>
      </w:r>
      <w:r w:rsidRPr="00581181">
        <w:rPr>
          <w:szCs w:val="24"/>
        </w:rPr>
        <w:t>wing extremists to terms of imprisonment of three years (eight months suspended), two years (eight months suspended) and twenty</w:t>
      </w:r>
      <w:r w:rsidR="00AD0DF3" w:rsidRPr="00581181">
        <w:rPr>
          <w:szCs w:val="24"/>
        </w:rPr>
        <w:noBreakHyphen/>
      </w:r>
      <w:r w:rsidRPr="00581181">
        <w:rPr>
          <w:szCs w:val="24"/>
        </w:rPr>
        <w:t>one months (seven months suspended) respectively for the attempted manslaughter or assault of a man of Antillean origin. Three co</w:t>
      </w:r>
      <w:r w:rsidR="00AD0DF3" w:rsidRPr="00581181">
        <w:rPr>
          <w:szCs w:val="24"/>
        </w:rPr>
        <w:noBreakHyphen/>
      </w:r>
      <w:r w:rsidRPr="00581181">
        <w:rPr>
          <w:szCs w:val="24"/>
        </w:rPr>
        <w:t>defendants were acquitted on the charge of assault, although two of them were fined and received two</w:t>
      </w:r>
      <w:r w:rsidR="00AD0DF3" w:rsidRPr="00581181">
        <w:rPr>
          <w:szCs w:val="24"/>
        </w:rPr>
        <w:noBreakHyphen/>
      </w:r>
      <w:r w:rsidRPr="00581181">
        <w:rPr>
          <w:szCs w:val="24"/>
        </w:rPr>
        <w:t>month prison sentences for the illegal possession of weapons and a consignment of T</w:t>
      </w:r>
      <w:r w:rsidR="00AD0DF3" w:rsidRPr="00581181">
        <w:rPr>
          <w:szCs w:val="24"/>
        </w:rPr>
        <w:noBreakHyphen/>
      </w:r>
      <w:r w:rsidRPr="00581181">
        <w:rPr>
          <w:szCs w:val="24"/>
        </w:rPr>
        <w:t xml:space="preserve">shirts bearing racist slogans. </w:t>
      </w:r>
    </w:p>
    <w:p w:rsidR="00EC2B8C" w:rsidRDefault="00E0446E" w:rsidP="00030277">
      <w:pPr>
        <w:rPr>
          <w:szCs w:val="24"/>
        </w:rPr>
      </w:pPr>
      <w:r w:rsidRPr="00581181">
        <w:rPr>
          <w:szCs w:val="24"/>
        </w:rPr>
        <w:t>108.</w:t>
      </w:r>
      <w:r w:rsidRPr="00581181">
        <w:rPr>
          <w:szCs w:val="24"/>
        </w:rPr>
        <w:tab/>
        <w:t xml:space="preserve">On 19 October 2006, the Amsterdam court of appeal acquitted a man to whom a number of packages containing a large quantity of badges and emblems bearing Nazi symbols that arrived at Schiphol airport were addressed. The court of appeal held that his defence, that he kept large numbers of these articles in stock for sale to the film industry, was credible. It further held that the use he had made of these articles did not render them </w:t>
      </w:r>
      <w:r w:rsidR="009B7745">
        <w:rPr>
          <w:szCs w:val="24"/>
        </w:rPr>
        <w:t>‘</w:t>
      </w:r>
      <w:r w:rsidRPr="00581181">
        <w:rPr>
          <w:szCs w:val="24"/>
        </w:rPr>
        <w:t>objects</w:t>
      </w:r>
      <w:r w:rsidR="009B7745">
        <w:rPr>
          <w:szCs w:val="24"/>
        </w:rPr>
        <w:t>’</w:t>
      </w:r>
      <w:r w:rsidRPr="00581181">
        <w:rPr>
          <w:szCs w:val="24"/>
        </w:rPr>
        <w:t xml:space="preserve"> within the meaning of article</w:t>
      </w:r>
      <w:r w:rsidR="000324E5">
        <w:rPr>
          <w:szCs w:val="24"/>
        </w:rPr>
        <w:t> </w:t>
      </w:r>
      <w:r w:rsidRPr="00581181">
        <w:rPr>
          <w:szCs w:val="24"/>
        </w:rPr>
        <w:t xml:space="preserve">137e of the Criminal Code. </w:t>
      </w:r>
    </w:p>
    <w:p w:rsidR="00EC2B8C" w:rsidRDefault="00E0446E" w:rsidP="00030277">
      <w:pPr>
        <w:rPr>
          <w:szCs w:val="24"/>
        </w:rPr>
      </w:pPr>
      <w:r w:rsidRPr="00581181">
        <w:rPr>
          <w:szCs w:val="24"/>
        </w:rPr>
        <w:t>109.</w:t>
      </w:r>
      <w:r w:rsidRPr="00581181">
        <w:rPr>
          <w:szCs w:val="24"/>
        </w:rPr>
        <w:tab/>
        <w:t xml:space="preserve">In a judgment given on 6 November 2006, the Breda district court fined a young woman to €500 (€250 of which suspended) for shouting </w:t>
      </w:r>
      <w:r w:rsidR="009B7745">
        <w:rPr>
          <w:szCs w:val="24"/>
        </w:rPr>
        <w:t>‘</w:t>
      </w:r>
      <w:r w:rsidRPr="00581181">
        <w:rPr>
          <w:szCs w:val="24"/>
        </w:rPr>
        <w:t>White Power for ever, White Power today</w:t>
      </w:r>
      <w:r w:rsidR="009B7745">
        <w:rPr>
          <w:szCs w:val="24"/>
        </w:rPr>
        <w:t>’</w:t>
      </w:r>
      <w:r w:rsidRPr="00581181">
        <w:rPr>
          <w:szCs w:val="24"/>
        </w:rPr>
        <w:t xml:space="preserve"> at a dark</w:t>
      </w:r>
      <w:r w:rsidR="00AD0DF3" w:rsidRPr="00581181">
        <w:rPr>
          <w:szCs w:val="24"/>
        </w:rPr>
        <w:noBreakHyphen/>
      </w:r>
      <w:r w:rsidRPr="00581181">
        <w:rPr>
          <w:szCs w:val="24"/>
        </w:rPr>
        <w:t>skinned woman.</w:t>
      </w:r>
    </w:p>
    <w:p w:rsidR="00EC2B8C" w:rsidRDefault="00E0446E" w:rsidP="00030277">
      <w:pPr>
        <w:rPr>
          <w:szCs w:val="24"/>
        </w:rPr>
      </w:pPr>
      <w:r w:rsidRPr="00581181">
        <w:rPr>
          <w:szCs w:val="24"/>
        </w:rPr>
        <w:t>110.</w:t>
      </w:r>
      <w:r w:rsidRPr="00581181">
        <w:rPr>
          <w:szCs w:val="24"/>
        </w:rPr>
        <w:tab/>
        <w:t>On 17 November 2006, the Amsterdam court of appeal sentenced a man to a week</w:t>
      </w:r>
      <w:r w:rsidR="00AD0DF3" w:rsidRPr="00581181">
        <w:rPr>
          <w:szCs w:val="24"/>
        </w:rPr>
        <w:noBreakHyphen/>
      </w:r>
      <w:r w:rsidRPr="00581181">
        <w:rPr>
          <w:szCs w:val="24"/>
        </w:rPr>
        <w:t xml:space="preserve">long suspended prison sentence and a fine of €500 for maintaining what he called a </w:t>
      </w:r>
      <w:r w:rsidR="009B7745">
        <w:rPr>
          <w:szCs w:val="24"/>
        </w:rPr>
        <w:t>‘</w:t>
      </w:r>
      <w:r w:rsidRPr="00581181">
        <w:rPr>
          <w:szCs w:val="24"/>
        </w:rPr>
        <w:t>satirical website</w:t>
      </w:r>
      <w:r w:rsidR="009B7745">
        <w:rPr>
          <w:szCs w:val="24"/>
        </w:rPr>
        <w:t>’</w:t>
      </w:r>
      <w:r w:rsidRPr="00581181">
        <w:rPr>
          <w:szCs w:val="24"/>
        </w:rPr>
        <w:t xml:space="preserve"> on which he had made insulting remarks about Jews and homosexuals. The website featured a fictitious Christian internet community which, in talking about the Christian faith, made statements about Jews and homosexuals. The defence that the site was an example of artistic expression and that it contributed to public debate was dismissed by the court of appeal because the texts had exceeded the bounds of what was acceptable and were unnecessarily offensive.</w:t>
      </w:r>
    </w:p>
    <w:p w:rsidR="00EC2B8C" w:rsidRDefault="00E0446E" w:rsidP="002B7FD3">
      <w:pPr>
        <w:pStyle w:val="Heading2"/>
      </w:pPr>
      <w:r w:rsidRPr="00581181">
        <w:t xml:space="preserve">C. </w:t>
      </w:r>
      <w:r w:rsidR="002B7FD3">
        <w:t xml:space="preserve"> </w:t>
      </w:r>
      <w:r w:rsidR="002B7FD3" w:rsidRPr="00581181">
        <w:t xml:space="preserve">Article </w:t>
      </w:r>
      <w:r w:rsidRPr="00581181">
        <w:t>5</w:t>
      </w:r>
    </w:p>
    <w:p w:rsidR="00E0446E" w:rsidRPr="00581181" w:rsidRDefault="00E0446E" w:rsidP="002B7FD3">
      <w:pPr>
        <w:pStyle w:val="Heading3"/>
      </w:pPr>
      <w:r w:rsidRPr="00581181">
        <w:t>Access to public service</w:t>
      </w:r>
    </w:p>
    <w:p w:rsidR="00EC2B8C" w:rsidRDefault="00E0446E" w:rsidP="00030277">
      <w:pPr>
        <w:rPr>
          <w:noProof/>
          <w:szCs w:val="24"/>
        </w:rPr>
      </w:pPr>
      <w:r w:rsidRPr="00581181">
        <w:rPr>
          <w:noProof/>
          <w:szCs w:val="24"/>
        </w:rPr>
        <w:t>111.</w:t>
      </w:r>
      <w:r w:rsidRPr="00581181">
        <w:rPr>
          <w:noProof/>
          <w:szCs w:val="24"/>
        </w:rPr>
        <w:tab/>
        <w:t>Some 9.3 per cent of civil servants in central government come from an ethnic minority background, but the proportion in middle or senior management posts is only 5.7 per cent. As part of the action plan on ethnic diversity within the public service, senior Dutch civil servants identified three priority measures in the autumn of 2005: improve the opportunities for learning on the job for members of ethnic minority groups; screen instruments used in the selection process; and increase the commitment of managers to diversity policies. In addition, the recruitment of ethnic minority civil servants is emphasized in job vacancies. Members of ethnic minorities are leaving the civil service in relatively high numbers. The reasons for this are currently being examined.</w:t>
      </w:r>
    </w:p>
    <w:p w:rsidR="00EC2B8C" w:rsidRDefault="000E770D" w:rsidP="00030277">
      <w:pPr>
        <w:rPr>
          <w:szCs w:val="24"/>
        </w:rPr>
      </w:pPr>
      <w:r>
        <w:rPr>
          <w:noProof/>
          <w:szCs w:val="24"/>
        </w:rPr>
        <w:br w:type="page"/>
      </w:r>
      <w:r w:rsidR="00E0446E" w:rsidRPr="00581181">
        <w:rPr>
          <w:noProof/>
          <w:szCs w:val="24"/>
        </w:rPr>
        <w:t>112.</w:t>
      </w:r>
      <w:r w:rsidR="00E0446E" w:rsidRPr="00581181">
        <w:rPr>
          <w:noProof/>
          <w:szCs w:val="24"/>
        </w:rPr>
        <w:tab/>
        <w:t>An integrated approach to diversity management in the civil service was recently developed. This involved formulating objectives and measures aimed at achieving a more balanced organization in general (in terms of gender, ethnicity, age). These measures will be incorporated into standard civil service human resource management (HRM) policies wherever possible. In addition, a successful diversity policy will be pursued by stimulating commitment and expertise within the service, especially at middle</w:t>
      </w:r>
      <w:r w:rsidR="00AD0DF3" w:rsidRPr="00581181">
        <w:rPr>
          <w:noProof/>
          <w:szCs w:val="24"/>
        </w:rPr>
        <w:noBreakHyphen/>
      </w:r>
      <w:r w:rsidR="00E0446E" w:rsidRPr="00581181">
        <w:rPr>
          <w:noProof/>
          <w:szCs w:val="24"/>
        </w:rPr>
        <w:t>management level. The central HRM body will support the ministries by launching an information system on the intranet, developing diversity management instruments and conducting relevant research. Implementation began in</w:t>
      </w:r>
      <w:r w:rsidR="00590C2B">
        <w:rPr>
          <w:noProof/>
          <w:szCs w:val="24"/>
        </w:rPr>
        <w:t> </w:t>
      </w:r>
      <w:r w:rsidR="00E0446E" w:rsidRPr="00581181">
        <w:rPr>
          <w:noProof/>
          <w:szCs w:val="24"/>
        </w:rPr>
        <w:t xml:space="preserve">2007. </w:t>
      </w:r>
    </w:p>
    <w:p w:rsidR="00E0446E" w:rsidRPr="00581181" w:rsidRDefault="00E0446E" w:rsidP="002B7FD3">
      <w:pPr>
        <w:pStyle w:val="Heading3"/>
      </w:pPr>
      <w:r w:rsidRPr="00581181">
        <w:t>Labour market policies for ethnic minorities</w:t>
      </w:r>
    </w:p>
    <w:p w:rsidR="00E0446E" w:rsidRPr="00581181" w:rsidRDefault="00E0446E" w:rsidP="002B7FD3">
      <w:pPr>
        <w:pStyle w:val="Heading4"/>
      </w:pPr>
      <w:r w:rsidRPr="00581181">
        <w:t>1.</w:t>
      </w:r>
      <w:r w:rsidR="002B7FD3">
        <w:tab/>
      </w:r>
      <w:r w:rsidRPr="00581181">
        <w:t>Past policies</w:t>
      </w:r>
    </w:p>
    <w:p w:rsidR="00E0446E" w:rsidRPr="00581181" w:rsidRDefault="00E0446E" w:rsidP="00030277">
      <w:pPr>
        <w:rPr>
          <w:szCs w:val="24"/>
        </w:rPr>
      </w:pPr>
      <w:r w:rsidRPr="00581181">
        <w:rPr>
          <w:szCs w:val="24"/>
        </w:rPr>
        <w:t>113.</w:t>
      </w:r>
      <w:r w:rsidRPr="00581181">
        <w:rPr>
          <w:szCs w:val="24"/>
        </w:rPr>
        <w:tab/>
        <w:t>Since 1998/1999, various measures have been taken to improve the rate of employment among ethnic minorities in the Netherlands. In 2000 the Ministry of Social Affairs and Employment published its Labour Market Policy for Ethnic Minorities, Plan of Action, detailing all the different aspects. The policy included a wide variety of instruments such as:</w:t>
      </w:r>
    </w:p>
    <w:p w:rsidR="00E0446E" w:rsidRPr="00581181" w:rsidRDefault="002B7FD3" w:rsidP="002B7FD3">
      <w:r>
        <w:tab/>
        <w:t>(a)</w:t>
      </w:r>
      <w:r>
        <w:tab/>
      </w:r>
      <w:r w:rsidR="00E0446E" w:rsidRPr="00581181">
        <w:t>The Employment of Minorities (Promotion) Act</w:t>
      </w:r>
      <w:r w:rsidR="00937200">
        <w:t>;</w:t>
      </w:r>
    </w:p>
    <w:p w:rsidR="00E0446E" w:rsidRPr="00581181" w:rsidRDefault="002B7FD3" w:rsidP="002B7FD3">
      <w:r>
        <w:tab/>
        <w:t>(b)</w:t>
      </w:r>
      <w:r>
        <w:tab/>
      </w:r>
      <w:r w:rsidR="00E0446E" w:rsidRPr="00581181">
        <w:t>The voluntary agreement on ethnic minorities with the small and medium</w:t>
      </w:r>
      <w:r w:rsidR="00AD0DF3" w:rsidRPr="00581181">
        <w:noBreakHyphen/>
      </w:r>
      <w:r w:rsidR="00E0446E" w:rsidRPr="00581181">
        <w:t>sized business sector</w:t>
      </w:r>
      <w:r w:rsidR="00937200">
        <w:t>;</w:t>
      </w:r>
    </w:p>
    <w:p w:rsidR="00E0446E" w:rsidRPr="00581181" w:rsidRDefault="002B7FD3" w:rsidP="002B7FD3">
      <w:r>
        <w:tab/>
        <w:t>(c)</w:t>
      </w:r>
      <w:r>
        <w:tab/>
      </w:r>
      <w:r w:rsidR="00E0446E" w:rsidRPr="00581181">
        <w:t>The Framework Voluntary Agreement with Large Companies</w:t>
      </w:r>
      <w:r w:rsidR="00937200">
        <w:t>;</w:t>
      </w:r>
    </w:p>
    <w:p w:rsidR="00EC2B8C" w:rsidRDefault="002B7FD3" w:rsidP="002B7FD3">
      <w:r>
        <w:tab/>
        <w:t>(d)</w:t>
      </w:r>
      <w:r>
        <w:tab/>
      </w:r>
      <w:r w:rsidR="00E0446E" w:rsidRPr="00581181">
        <w:t>The E</w:t>
      </w:r>
      <w:r w:rsidR="00937200">
        <w:t>thnic Minority Grants Programme.</w:t>
      </w:r>
    </w:p>
    <w:p w:rsidR="00E0446E" w:rsidRPr="00581181" w:rsidRDefault="00E0446E" w:rsidP="00030277">
      <w:pPr>
        <w:rPr>
          <w:szCs w:val="24"/>
        </w:rPr>
      </w:pPr>
      <w:r w:rsidRPr="00581181">
        <w:rPr>
          <w:szCs w:val="24"/>
        </w:rPr>
        <w:t>Re. a</w:t>
      </w:r>
    </w:p>
    <w:p w:rsidR="00E0446E" w:rsidRPr="00581181" w:rsidRDefault="00E0446E" w:rsidP="002B7FD3">
      <w:pPr>
        <w:pStyle w:val="Bullet"/>
      </w:pPr>
      <w:r w:rsidRPr="00581181">
        <w:t>Under the Employment of Minorities (Promotion) Act, all companies with more than 35</w:t>
      </w:r>
      <w:r w:rsidR="00FF4350">
        <w:t> </w:t>
      </w:r>
      <w:r w:rsidRPr="00581181">
        <w:t xml:space="preserve">employees were required to report on the number of ethnic minority people in their employment (relative to regional target figures) and on the policy conducted by the company to achieve proportionality under the Act. </w:t>
      </w:r>
    </w:p>
    <w:p w:rsidR="00E0446E" w:rsidRPr="00581181" w:rsidRDefault="00E0446E" w:rsidP="002B7FD3">
      <w:pPr>
        <w:pStyle w:val="Bullet"/>
      </w:pPr>
      <w:r w:rsidRPr="00581181">
        <w:t xml:space="preserve">Although the number of companies that submitted an annual report under the Act increased annually, full compliance was never achieved. </w:t>
      </w:r>
    </w:p>
    <w:p w:rsidR="00E0446E" w:rsidRPr="00581181" w:rsidRDefault="00E0446E" w:rsidP="002B7FD3">
      <w:pPr>
        <w:pStyle w:val="Bullet"/>
      </w:pPr>
      <w:r w:rsidRPr="00581181">
        <w:t xml:space="preserve">An evaluation of the Act revealed that the objective of making employers aware of their responsibility in this area and stimulating them to take measures to increase the participation of ethnic minorities was achieved. The objective of increasing employment among ethnic minorities was not achieved, however. </w:t>
      </w:r>
    </w:p>
    <w:p w:rsidR="00E0446E" w:rsidRPr="00581181" w:rsidRDefault="00E0446E" w:rsidP="002B7FD3">
      <w:pPr>
        <w:pStyle w:val="Bullet"/>
      </w:pPr>
      <w:r w:rsidRPr="00581181">
        <w:t>The Employment of Minorities (Promotion) Act was initially introduced on a temporary basis. After being extended for two years in 2002, it was repealed in 2004. Various activities arising from the Act are now being developed within the National Diversity Management Network.</w:t>
      </w:r>
    </w:p>
    <w:p w:rsidR="00EC2B8C" w:rsidRDefault="000E770D" w:rsidP="002B7FD3">
      <w:pPr>
        <w:pStyle w:val="Bullet"/>
      </w:pPr>
      <w:r>
        <w:br w:type="page"/>
      </w:r>
      <w:r w:rsidR="00E0446E" w:rsidRPr="00581181">
        <w:t>The repeal of the Act was in line with the Government</w:t>
      </w:r>
      <w:r w:rsidR="009B7745">
        <w:t>’</w:t>
      </w:r>
      <w:r w:rsidR="00E0446E" w:rsidRPr="00581181">
        <w:t>s objective of reducing the administrative burden for employers.</w:t>
      </w:r>
    </w:p>
    <w:p w:rsidR="00E0446E" w:rsidRPr="00581181" w:rsidRDefault="00E0446E" w:rsidP="00030277">
      <w:pPr>
        <w:rPr>
          <w:szCs w:val="24"/>
        </w:rPr>
      </w:pPr>
      <w:r w:rsidRPr="00581181">
        <w:rPr>
          <w:szCs w:val="24"/>
        </w:rPr>
        <w:t>Re. b</w:t>
      </w:r>
    </w:p>
    <w:p w:rsidR="00E0446E" w:rsidRPr="00581181" w:rsidRDefault="00E0446E" w:rsidP="00C52C84">
      <w:pPr>
        <w:pStyle w:val="Bullet"/>
      </w:pPr>
      <w:r w:rsidRPr="00581181">
        <w:t>The voluntary agreement on ethnic minorities with the small and medium</w:t>
      </w:r>
      <w:r w:rsidR="00AD0DF3" w:rsidRPr="00581181">
        <w:noBreakHyphen/>
      </w:r>
      <w:r w:rsidRPr="00581181">
        <w:t>sized business sector was an agreement between the Dutch Federation of Small and Medium</w:t>
      </w:r>
      <w:r w:rsidR="00AD0DF3" w:rsidRPr="00581181">
        <w:noBreakHyphen/>
      </w:r>
      <w:r w:rsidRPr="00581181">
        <w:t>sized Enterprises (MKB</w:t>
      </w:r>
      <w:r w:rsidR="00AD0DF3" w:rsidRPr="00581181">
        <w:noBreakHyphen/>
      </w:r>
      <w:r w:rsidRPr="00581181">
        <w:t>Nederland), the Dutch Employment Service (now the Centre for Work and Income, CWI) and central government.</w:t>
      </w:r>
    </w:p>
    <w:p w:rsidR="00E0446E" w:rsidRPr="00581181" w:rsidRDefault="00E0446E" w:rsidP="00C52C84">
      <w:pPr>
        <w:pStyle w:val="Bullet"/>
      </w:pPr>
      <w:r w:rsidRPr="00581181">
        <w:t>The goal was to find work for 20,000 ethnic minority job</w:t>
      </w:r>
      <w:r w:rsidR="00AD0DF3" w:rsidRPr="00581181">
        <w:noBreakHyphen/>
      </w:r>
      <w:r w:rsidRPr="00581181">
        <w:t xml:space="preserve">seekers. </w:t>
      </w:r>
    </w:p>
    <w:p w:rsidR="00E0446E" w:rsidRPr="00581181" w:rsidRDefault="00E0446E" w:rsidP="0048435E">
      <w:pPr>
        <w:pStyle w:val="Bullet"/>
        <w:spacing w:after="220"/>
      </w:pPr>
      <w:r w:rsidRPr="00581181">
        <w:t>MKB</w:t>
      </w:r>
      <w:r w:rsidR="00AD0DF3" w:rsidRPr="00581181">
        <w:noBreakHyphen/>
      </w:r>
      <w:r w:rsidRPr="00581181">
        <w:t xml:space="preserve">Nederland would aim to register 30,000 new vacancies with the Employment Service, with employers expressing a preference for ethnic minority applicants. </w:t>
      </w:r>
    </w:p>
    <w:p w:rsidR="00E0446E" w:rsidRPr="00581181" w:rsidRDefault="00E0446E" w:rsidP="0048435E">
      <w:pPr>
        <w:pStyle w:val="Bullet"/>
        <w:spacing w:after="220"/>
      </w:pPr>
      <w:r w:rsidRPr="00581181">
        <w:t>The Employment Service was responsible for developing an intensive, tailor</w:t>
      </w:r>
      <w:r w:rsidR="00AD0DF3" w:rsidRPr="00581181">
        <w:noBreakHyphen/>
      </w:r>
      <w:r w:rsidRPr="00581181">
        <w:t>made approach (one</w:t>
      </w:r>
      <w:r w:rsidR="00AD0DF3" w:rsidRPr="00581181">
        <w:noBreakHyphen/>
      </w:r>
      <w:r w:rsidRPr="00581181">
        <w:t>to</w:t>
      </w:r>
      <w:r w:rsidR="00AD0DF3" w:rsidRPr="00581181">
        <w:noBreakHyphen/>
      </w:r>
      <w:r w:rsidRPr="00581181">
        <w:t>one approach, with priority for ethnic minorities) in order to fill 20,000 job vacancies specifically targeted at ethnic minorities.</w:t>
      </w:r>
    </w:p>
    <w:p w:rsidR="00E0446E" w:rsidRPr="00581181" w:rsidRDefault="00E0446E" w:rsidP="0048435E">
      <w:pPr>
        <w:pStyle w:val="Bullet"/>
        <w:spacing w:after="220"/>
      </w:pPr>
      <w:r w:rsidRPr="00581181">
        <w:t>The parties to the voluntary agreement also benefited from a very intensive, joint communication strategy (MKB</w:t>
      </w:r>
      <w:r w:rsidR="00AD0DF3" w:rsidRPr="00581181">
        <w:noBreakHyphen/>
      </w:r>
      <w:r w:rsidRPr="00581181">
        <w:t>Nederland representatives called on companies in person, while the Employment Service and the Ministry of Social Affairs and Employment visited mosques).</w:t>
      </w:r>
    </w:p>
    <w:p w:rsidR="00EC2B8C" w:rsidRDefault="00E0446E" w:rsidP="0048435E">
      <w:pPr>
        <w:pStyle w:val="Bullet"/>
        <w:spacing w:after="220"/>
      </w:pPr>
      <w:r w:rsidRPr="00581181">
        <w:t>Following a fairly slow start, the targets set in the agreement were amply achieved after the period of the agreement was extended. A total of more than 78,000 new vacancies were registered. Of the over 70,000 job</w:t>
      </w:r>
      <w:r w:rsidR="00AD0DF3" w:rsidRPr="00581181">
        <w:noBreakHyphen/>
      </w:r>
      <w:r w:rsidRPr="00581181">
        <w:t>seekers who found work under the programme, almost 62,000 came from ethnic minority groups.</w:t>
      </w:r>
    </w:p>
    <w:p w:rsidR="00E0446E" w:rsidRPr="00581181" w:rsidRDefault="00E0446E" w:rsidP="0048435E">
      <w:pPr>
        <w:spacing w:after="220"/>
        <w:rPr>
          <w:szCs w:val="24"/>
        </w:rPr>
      </w:pPr>
      <w:r w:rsidRPr="00581181">
        <w:rPr>
          <w:szCs w:val="24"/>
        </w:rPr>
        <w:t>Re. c</w:t>
      </w:r>
    </w:p>
    <w:p w:rsidR="00E0446E" w:rsidRPr="00581181" w:rsidRDefault="00E0446E" w:rsidP="0048435E">
      <w:pPr>
        <w:pStyle w:val="Bullet"/>
        <w:spacing w:after="220"/>
      </w:pPr>
      <w:r w:rsidRPr="00581181">
        <w:t>The Framework Voluntary Agreement with Large Companies was implemented in the form of individual voluntary agreements between large companies and central government.</w:t>
      </w:r>
    </w:p>
    <w:p w:rsidR="00E0446E" w:rsidRPr="00581181" w:rsidRDefault="00E0446E" w:rsidP="0048435E">
      <w:pPr>
        <w:pStyle w:val="Bullet"/>
        <w:spacing w:after="220"/>
      </w:pPr>
      <w:r w:rsidRPr="00581181">
        <w:t>These included target figures for recruiting people from ethnic minority groups and set out the measures to be taken by employers to promote intercultural personnel policy.</w:t>
      </w:r>
    </w:p>
    <w:p w:rsidR="00E0446E" w:rsidRPr="00581181" w:rsidRDefault="00E0446E" w:rsidP="0048435E">
      <w:pPr>
        <w:pStyle w:val="Bullet"/>
        <w:spacing w:after="220"/>
      </w:pPr>
      <w:r w:rsidRPr="00581181">
        <w:t xml:space="preserve">Every six months, the companies presented and evaluated the results during a meeting with two Government ministers. </w:t>
      </w:r>
    </w:p>
    <w:p w:rsidR="00E0446E" w:rsidRPr="00581181" w:rsidRDefault="00E0446E" w:rsidP="0048435E">
      <w:pPr>
        <w:pStyle w:val="Bullet"/>
        <w:spacing w:after="220"/>
      </w:pPr>
      <w:r w:rsidRPr="00581181">
        <w:t>The Framework Voluntary Agreement with Large Companies came to an end in June</w:t>
      </w:r>
      <w:r w:rsidR="008E1B07">
        <w:t> </w:t>
      </w:r>
      <w:r w:rsidRPr="00581181">
        <w:t>2004.</w:t>
      </w:r>
    </w:p>
    <w:p w:rsidR="00EC2B8C" w:rsidRDefault="00E0446E" w:rsidP="0048435E">
      <w:pPr>
        <w:pStyle w:val="Bullet"/>
        <w:spacing w:after="220"/>
      </w:pPr>
      <w:r w:rsidRPr="00581181">
        <w:t xml:space="preserve">The upshot of this initiative was that more than 90 per cent of the 700 voluntary agreements reached within this framework were implemented and most companies have expressed their intention to pursue diversity management. The DIV disseminated the results to employers. </w:t>
      </w:r>
    </w:p>
    <w:p w:rsidR="00E0446E" w:rsidRPr="00581181" w:rsidRDefault="000E770D" w:rsidP="0048435E">
      <w:pPr>
        <w:spacing w:after="220"/>
        <w:rPr>
          <w:szCs w:val="24"/>
        </w:rPr>
      </w:pPr>
      <w:r>
        <w:rPr>
          <w:szCs w:val="24"/>
        </w:rPr>
        <w:br w:type="page"/>
      </w:r>
      <w:r w:rsidR="00E0446E" w:rsidRPr="00581181">
        <w:rPr>
          <w:szCs w:val="24"/>
        </w:rPr>
        <w:t>Re. d</w:t>
      </w:r>
    </w:p>
    <w:p w:rsidR="00E0446E" w:rsidRPr="00581181" w:rsidRDefault="00E0446E" w:rsidP="0048435E">
      <w:pPr>
        <w:pStyle w:val="Bullet"/>
        <w:spacing w:after="220"/>
      </w:pPr>
      <w:r w:rsidRPr="00581181">
        <w:t>The Ethnic Minority Grants Programme was implemented by municipalities, with the specific aims of helping unemployed people from ethnic minority groups find employment or training and increasing the scope of municipal reintegration instruments for this target group.</w:t>
      </w:r>
    </w:p>
    <w:p w:rsidR="00E0446E" w:rsidRPr="00581181" w:rsidRDefault="00E0446E" w:rsidP="0048435E">
      <w:pPr>
        <w:pStyle w:val="Bullet"/>
        <w:spacing w:after="220"/>
      </w:pPr>
      <w:r w:rsidRPr="00581181">
        <w:t xml:space="preserve">The programme comprised some 40 projects, which attracted a varying number of participants and were developed and implemented by the municipalities themselves. </w:t>
      </w:r>
    </w:p>
    <w:p w:rsidR="00E0446E" w:rsidRPr="00581181" w:rsidRDefault="00E0446E" w:rsidP="00170CC8">
      <w:pPr>
        <w:pStyle w:val="Bullet"/>
      </w:pPr>
      <w:r w:rsidRPr="00581181">
        <w:t xml:space="preserve">Thanks to these projects, more than 2,200 participants went on to take up training or employment, albeit fewer than the target figure. </w:t>
      </w:r>
    </w:p>
    <w:p w:rsidR="00EC2B8C" w:rsidRDefault="00E0446E" w:rsidP="00170CC8">
      <w:pPr>
        <w:pStyle w:val="Bullet"/>
      </w:pPr>
      <w:r w:rsidRPr="00581181">
        <w:t>The programme came to an end in 2004.</w:t>
      </w:r>
    </w:p>
    <w:p w:rsidR="00E0446E" w:rsidRPr="00581181" w:rsidRDefault="00E0446E" w:rsidP="00170CC8">
      <w:pPr>
        <w:pStyle w:val="Heading4"/>
      </w:pPr>
      <w:r w:rsidRPr="00581181">
        <w:t>2.</w:t>
      </w:r>
      <w:r w:rsidR="00170CC8">
        <w:tab/>
      </w:r>
      <w:r w:rsidRPr="00581181">
        <w:t>The new approach to labour market policies after 2005</w:t>
      </w:r>
    </w:p>
    <w:p w:rsidR="00E0446E" w:rsidRPr="00581181" w:rsidRDefault="00E0446E" w:rsidP="00030277">
      <w:pPr>
        <w:rPr>
          <w:szCs w:val="24"/>
        </w:rPr>
      </w:pPr>
      <w:r w:rsidRPr="00581181">
        <w:rPr>
          <w:szCs w:val="24"/>
        </w:rPr>
        <w:t>114.</w:t>
      </w:r>
      <w:r w:rsidRPr="00581181">
        <w:rPr>
          <w:szCs w:val="24"/>
        </w:rPr>
        <w:tab/>
        <w:t>Target group policies used to be aimed at specific groups that were underrepresented in the workplace. They served to attract attention and had a mobilizing effect, but they also had two significant drawbacks:</w:t>
      </w:r>
    </w:p>
    <w:p w:rsidR="00E0446E" w:rsidRDefault="00B518B6" w:rsidP="00B518B6">
      <w:pPr>
        <w:ind w:left="1134" w:hanging="567"/>
      </w:pPr>
      <w:r>
        <w:t>1.</w:t>
      </w:r>
      <w:r>
        <w:tab/>
      </w:r>
      <w:r w:rsidR="00E0446E" w:rsidRPr="00581181">
        <w:t>Target group policies tended to stigmatize individuals. Although not everyone in a particular target group has the same characteristics,</w:t>
      </w:r>
      <w:r w:rsidR="00C50B39">
        <w:t xml:space="preserve"> all are marked by association;</w:t>
      </w:r>
    </w:p>
    <w:p w:rsidR="00EC2B8C" w:rsidRDefault="00B518B6" w:rsidP="00B518B6">
      <w:pPr>
        <w:ind w:left="1134" w:hanging="567"/>
      </w:pPr>
      <w:r>
        <w:t>2.</w:t>
      </w:r>
      <w:r>
        <w:tab/>
      </w:r>
      <w:r w:rsidR="00E0446E" w:rsidRPr="00581181">
        <w:t>Where several possible solutions existed, the tendency was for the same organizations to be approached for different target groups. At the same, time a more systematic approach to the problem was often overlooked as a result of targeting policies at just one group.</w:t>
      </w:r>
    </w:p>
    <w:p w:rsidR="00EC2B8C" w:rsidRDefault="00E0446E" w:rsidP="00030277">
      <w:pPr>
        <w:pStyle w:val="BodyText"/>
        <w:tabs>
          <w:tab w:val="clear" w:pos="720"/>
        </w:tabs>
        <w:autoSpaceDE/>
        <w:autoSpaceDN/>
        <w:adjustRightInd/>
        <w:spacing w:after="240" w:line="240" w:lineRule="auto"/>
        <w:rPr>
          <w:rFonts w:ascii="Times New Roman" w:hAnsi="Times New Roman" w:cs="Times New Roman"/>
          <w:bCs w:val="0"/>
          <w:sz w:val="24"/>
          <w:szCs w:val="24"/>
        </w:rPr>
      </w:pPr>
      <w:r w:rsidRPr="00581181">
        <w:rPr>
          <w:rFonts w:ascii="Times New Roman" w:hAnsi="Times New Roman" w:cs="Times New Roman"/>
          <w:bCs w:val="0"/>
          <w:sz w:val="24"/>
          <w:szCs w:val="24"/>
        </w:rPr>
        <w:t>115.</w:t>
      </w:r>
      <w:r w:rsidRPr="00581181">
        <w:rPr>
          <w:rFonts w:ascii="Times New Roman" w:hAnsi="Times New Roman" w:cs="Times New Roman"/>
          <w:bCs w:val="0"/>
          <w:sz w:val="24"/>
          <w:szCs w:val="24"/>
        </w:rPr>
        <w:tab/>
        <w:t>In the new approach to labour market policies (generic policies), the factors hindering someone</w:t>
      </w:r>
      <w:r w:rsidR="009B7745">
        <w:rPr>
          <w:rFonts w:ascii="Times New Roman" w:hAnsi="Times New Roman" w:cs="Times New Roman"/>
          <w:bCs w:val="0"/>
          <w:sz w:val="24"/>
          <w:szCs w:val="24"/>
        </w:rPr>
        <w:t>’</w:t>
      </w:r>
      <w:r w:rsidRPr="00581181">
        <w:rPr>
          <w:rFonts w:ascii="Times New Roman" w:hAnsi="Times New Roman" w:cs="Times New Roman"/>
          <w:bCs w:val="0"/>
          <w:sz w:val="24"/>
          <w:szCs w:val="24"/>
        </w:rPr>
        <w:t>s participation in the labour market serve as the criteria for action, not the group to which that person belongs. Labour market policies now fall into two categories: general and supplementary.</w:t>
      </w:r>
    </w:p>
    <w:p w:rsidR="00EC2B8C" w:rsidRDefault="00E0446E" w:rsidP="00030277">
      <w:pPr>
        <w:rPr>
          <w:szCs w:val="24"/>
        </w:rPr>
      </w:pPr>
      <w:r w:rsidRPr="00581181">
        <w:rPr>
          <w:szCs w:val="24"/>
        </w:rPr>
        <w:t>116.</w:t>
      </w:r>
      <w:r w:rsidRPr="00581181">
        <w:rPr>
          <w:szCs w:val="24"/>
        </w:rPr>
        <w:tab/>
        <w:t>Implementation is centralized to some extent, but is largely the responsibility of the organizations involved in the work and income chain. If a job</w:t>
      </w:r>
      <w:r w:rsidR="00AD0DF3" w:rsidRPr="00581181">
        <w:rPr>
          <w:szCs w:val="24"/>
        </w:rPr>
        <w:noBreakHyphen/>
      </w:r>
      <w:r w:rsidRPr="00581181">
        <w:rPr>
          <w:szCs w:val="24"/>
        </w:rPr>
        <w:t>seeker is faced with obstacles to employment that are mainly of a personal nature, a placement counsellor identifies those obstacles and seeks an individually tailored solution. Agreements have been made with the CWI and the Employee Insurance Agency (UWV) to offer job</w:t>
      </w:r>
      <w:r w:rsidR="00AD0DF3" w:rsidRPr="00581181">
        <w:rPr>
          <w:szCs w:val="24"/>
        </w:rPr>
        <w:noBreakHyphen/>
      </w:r>
      <w:r w:rsidRPr="00581181">
        <w:rPr>
          <w:szCs w:val="24"/>
        </w:rPr>
        <w:t>seekers a service that meets their individual needs. Furthermore, once the voluntary agreement on ethnic minorities with the small</w:t>
      </w:r>
      <w:r w:rsidR="00AD0DF3" w:rsidRPr="00581181">
        <w:rPr>
          <w:szCs w:val="24"/>
        </w:rPr>
        <w:noBreakHyphen/>
      </w:r>
      <w:r w:rsidRPr="00581181">
        <w:rPr>
          <w:szCs w:val="24"/>
        </w:rPr>
        <w:t xml:space="preserve"> and medium</w:t>
      </w:r>
      <w:r w:rsidR="00AD0DF3" w:rsidRPr="00581181">
        <w:rPr>
          <w:szCs w:val="24"/>
        </w:rPr>
        <w:noBreakHyphen/>
      </w:r>
      <w:r w:rsidRPr="00581181">
        <w:rPr>
          <w:szCs w:val="24"/>
        </w:rPr>
        <w:t>sized business sector came to an end, it was agreed with the CWI that the knowledge gained under this agreement and the working practices of the CWI staff employed to advise companies on ethnic minorities would be incorporated into the mainstream services of the CWI.</w:t>
      </w:r>
    </w:p>
    <w:p w:rsidR="00EC2B8C" w:rsidRDefault="00E0446E" w:rsidP="00030277">
      <w:pPr>
        <w:rPr>
          <w:szCs w:val="24"/>
        </w:rPr>
      </w:pPr>
      <w:r w:rsidRPr="00581181">
        <w:rPr>
          <w:szCs w:val="24"/>
        </w:rPr>
        <w:t>117.</w:t>
      </w:r>
      <w:r w:rsidRPr="00581181">
        <w:rPr>
          <w:szCs w:val="24"/>
        </w:rPr>
        <w:tab/>
        <w:t xml:space="preserve">In parallel with generic policies, from which ethnic minorities benefit just like other groups, the Government has often worked closely with the social partners and other stakeholders to develop a number of initiatives that tackle potential obstacles facing ethnic minority </w:t>
      </w:r>
      <w:r w:rsidR="000E770D">
        <w:rPr>
          <w:szCs w:val="24"/>
        </w:rPr>
        <w:br w:type="page"/>
      </w:r>
      <w:r w:rsidRPr="00581181">
        <w:rPr>
          <w:szCs w:val="24"/>
        </w:rPr>
        <w:t>job</w:t>
      </w:r>
      <w:r w:rsidR="00AD0DF3" w:rsidRPr="00581181">
        <w:rPr>
          <w:szCs w:val="24"/>
        </w:rPr>
        <w:noBreakHyphen/>
      </w:r>
      <w:r w:rsidRPr="00581181">
        <w:rPr>
          <w:szCs w:val="24"/>
        </w:rPr>
        <w:t>seekers in their attempts to take up gainful employment (e.g. in the areas of language proficiency, qualifications, job</w:t>
      </w:r>
      <w:r w:rsidR="00AD0DF3" w:rsidRPr="00581181">
        <w:rPr>
          <w:szCs w:val="24"/>
        </w:rPr>
        <w:noBreakHyphen/>
      </w:r>
      <w:r w:rsidRPr="00581181">
        <w:rPr>
          <w:szCs w:val="24"/>
        </w:rPr>
        <w:t>hunting strategies and relevant social networks). An effort is also being made to combat negative perceptions and discrimination in relation to ethnic minority job</w:t>
      </w:r>
      <w:r w:rsidR="00AD0DF3" w:rsidRPr="00581181">
        <w:rPr>
          <w:szCs w:val="24"/>
        </w:rPr>
        <w:noBreakHyphen/>
      </w:r>
      <w:r w:rsidRPr="00581181">
        <w:rPr>
          <w:szCs w:val="24"/>
        </w:rPr>
        <w:t>seekers and specific, supplementary policies are implemented on a temporary basis where necessary. The activities targeted at ethnic minorities undertaken in 2005 and 2006 are summarized below.</w:t>
      </w:r>
    </w:p>
    <w:p w:rsidR="00E0446E" w:rsidRPr="00581181" w:rsidRDefault="00E0446E" w:rsidP="0047737E">
      <w:pPr>
        <w:pStyle w:val="Heading4"/>
      </w:pPr>
      <w:r w:rsidRPr="00581181">
        <w:t>Review of 2005</w:t>
      </w:r>
    </w:p>
    <w:p w:rsidR="00EC2B8C" w:rsidRDefault="00E0446E" w:rsidP="00030277">
      <w:pPr>
        <w:rPr>
          <w:szCs w:val="24"/>
        </w:rPr>
      </w:pPr>
      <w:r w:rsidRPr="00581181">
        <w:rPr>
          <w:szCs w:val="24"/>
        </w:rPr>
        <w:t>118.</w:t>
      </w:r>
      <w:r w:rsidRPr="00581181">
        <w:rPr>
          <w:szCs w:val="24"/>
        </w:rPr>
        <w:tab/>
        <w:t>Having shown some improvement, the position of ethnic minorities in the labour market has once again deteriorated in the past few years. Unemployment among this group rose from 10</w:t>
      </w:r>
      <w:r w:rsidR="006144F0">
        <w:rPr>
          <w:szCs w:val="24"/>
        </w:rPr>
        <w:t> </w:t>
      </w:r>
      <w:r w:rsidRPr="00581181">
        <w:rPr>
          <w:szCs w:val="24"/>
        </w:rPr>
        <w:t xml:space="preserve">per cent in 2000 to 16 per cent in 2005. During the same period, unemployment among ethnic Dutch people increased from 3.8 per cent to 5.2 per cent. This prompted the decision in 2005 to develop supplementary activities for ethnic minorities. As part of the Social Cohesion Initiative, the Government entered into agreements with the social partners, benefits agencies, the VNG, ethnic minority organizations and other civil society organizations concerning a joint approach aimed at improving the position of ethnic minorities in the labour market and combating discrimination. This led to a large number of projects, focusing on coaching and empowerment of the target group, encouraging positive perceptions and mediation to help people find practical training positions and jobs. </w:t>
      </w:r>
    </w:p>
    <w:p w:rsidR="00E0446E" w:rsidRPr="00581181" w:rsidRDefault="00E0446E" w:rsidP="00030277">
      <w:pPr>
        <w:rPr>
          <w:szCs w:val="24"/>
        </w:rPr>
      </w:pPr>
      <w:r w:rsidRPr="00581181">
        <w:rPr>
          <w:szCs w:val="24"/>
        </w:rPr>
        <w:t>119.</w:t>
      </w:r>
      <w:r w:rsidRPr="00581181">
        <w:rPr>
          <w:szCs w:val="24"/>
        </w:rPr>
        <w:tab/>
        <w:t>Special attention was also devoted to the following target groups:</w:t>
      </w:r>
    </w:p>
    <w:p w:rsidR="00E0446E" w:rsidRPr="00581181" w:rsidRDefault="0047737E" w:rsidP="0047737E">
      <w:pPr>
        <w:pStyle w:val="Heading4"/>
      </w:pPr>
      <w:r>
        <w:tab/>
      </w:r>
      <w:r w:rsidR="00E0446E" w:rsidRPr="00581181">
        <w:t>Refugees</w:t>
      </w:r>
    </w:p>
    <w:p w:rsidR="00E0446E" w:rsidRPr="00581181" w:rsidRDefault="0000003F" w:rsidP="00510E20">
      <w:pPr>
        <w:ind w:left="567"/>
        <w:rPr>
          <w:szCs w:val="24"/>
        </w:rPr>
      </w:pPr>
      <w:r>
        <w:rPr>
          <w:szCs w:val="24"/>
        </w:rPr>
        <w:tab/>
      </w:r>
      <w:r w:rsidR="00E0446E" w:rsidRPr="00581181">
        <w:rPr>
          <w:szCs w:val="24"/>
        </w:rPr>
        <w:t xml:space="preserve">Measures were taken to identify and acknowledge the talents of highly qualified refugees at an early stage. With financial assistance from the Ministry of Social Affairs and Employment, a number of projects were also developed or launched in 2005 to promote the employment of refugees: </w:t>
      </w:r>
    </w:p>
    <w:p w:rsidR="00E0446E" w:rsidRPr="00581181" w:rsidRDefault="00E0446E" w:rsidP="00487780">
      <w:pPr>
        <w:pStyle w:val="Bullet"/>
      </w:pPr>
      <w:r w:rsidRPr="00581181">
        <w:t>One important initiative is the Job Offensive for Refugees: the Dutch Council for Refugees, together with the Foundation for Refugee Students UAF, Emplooi (an organization in which volunteers help refugees find suitable employment) and the CWI, launched a joint employment offensive for refugees, setting themselves the target of finding jobs for 2,600 refugees w</w:t>
      </w:r>
      <w:r w:rsidR="000823E1">
        <w:t>ithin three and a half years.</w:t>
      </w:r>
    </w:p>
    <w:p w:rsidR="00E0446E" w:rsidRPr="00581181" w:rsidRDefault="00E0446E" w:rsidP="00487780">
      <w:pPr>
        <w:pStyle w:val="Bullet"/>
      </w:pPr>
      <w:r w:rsidRPr="00581181">
        <w:t>A Government</w:t>
      </w:r>
      <w:r w:rsidR="00AD0DF3" w:rsidRPr="00581181">
        <w:noBreakHyphen/>
      </w:r>
      <w:r w:rsidRPr="00581181">
        <w:t>subsidized project of the UAF and the Verwey</w:t>
      </w:r>
      <w:r w:rsidR="00AD0DF3" w:rsidRPr="00581181">
        <w:noBreakHyphen/>
      </w:r>
      <w:r w:rsidRPr="00581181">
        <w:t>Jonker Institute to encourage the participation of highly qualified female refugees in society (150 more h</w:t>
      </w:r>
      <w:r w:rsidR="000823E1">
        <w:t>ighly qualified refugee women).</w:t>
      </w:r>
    </w:p>
    <w:p w:rsidR="00E0446E" w:rsidRPr="00581181" w:rsidRDefault="00E0446E" w:rsidP="00487780">
      <w:pPr>
        <w:pStyle w:val="Bullet"/>
      </w:pPr>
      <w:r w:rsidRPr="00581181">
        <w:t>Research (conducted by Regioplan) into the labour market status of refugees in the Netherlands (who they are exactly, their occupa</w:t>
      </w:r>
      <w:r w:rsidR="000823E1">
        <w:t>tion, level of education, etc.).</w:t>
      </w:r>
    </w:p>
    <w:p w:rsidR="00E0446E" w:rsidRPr="00581181" w:rsidRDefault="00E0446E" w:rsidP="00487780">
      <w:pPr>
        <w:pStyle w:val="Bullet"/>
      </w:pPr>
      <w:r w:rsidRPr="00581181">
        <w:t xml:space="preserve">A public information campaign concerning the opportunities and obstacles for refugees in the labour market. </w:t>
      </w:r>
    </w:p>
    <w:p w:rsidR="00E0446E" w:rsidRPr="00581181" w:rsidRDefault="008C366D" w:rsidP="008C366D">
      <w:pPr>
        <w:pStyle w:val="Heading4"/>
        <w:rPr>
          <w:iCs/>
        </w:rPr>
      </w:pPr>
      <w:r>
        <w:tab/>
      </w:r>
      <w:r w:rsidR="00E0446E" w:rsidRPr="00581181">
        <w:t>Ethnic minority women</w:t>
      </w:r>
    </w:p>
    <w:p w:rsidR="00EC2B8C" w:rsidRDefault="00E0446E" w:rsidP="00094AD0">
      <w:pPr>
        <w:pStyle w:val="Bullet"/>
        <w:rPr>
          <w:szCs w:val="24"/>
        </w:rPr>
      </w:pPr>
      <w:r w:rsidRPr="00581181">
        <w:rPr>
          <w:szCs w:val="24"/>
        </w:rPr>
        <w:t>From July 2003 to July 2005, the Committee for Ethnic Minority Women</w:t>
      </w:r>
      <w:r w:rsidR="009B7745">
        <w:rPr>
          <w:szCs w:val="24"/>
        </w:rPr>
        <w:t>’</w:t>
      </w:r>
      <w:r w:rsidRPr="00581181">
        <w:rPr>
          <w:szCs w:val="24"/>
        </w:rPr>
        <w:t xml:space="preserve">s Participation (PaVEM) worked to have </w:t>
      </w:r>
      <w:r w:rsidRPr="00094AD0">
        <w:t>the</w:t>
      </w:r>
      <w:r w:rsidRPr="00581181">
        <w:rPr>
          <w:szCs w:val="24"/>
        </w:rPr>
        <w:t xml:space="preserve"> ethnic minority women target group placed on the agenda of important stakeholders. The Committee entered into agreements with 30 cities, businesses, civil society organizations and ethnic minority women. It also developed instruments to ensure that participation by this target group would be given priority in their policies.</w:t>
      </w:r>
    </w:p>
    <w:p w:rsidR="00E0446E" w:rsidRPr="00581181" w:rsidRDefault="00E0446E" w:rsidP="00CA729C">
      <w:pPr>
        <w:pStyle w:val="Heading4"/>
      </w:pPr>
      <w:r w:rsidRPr="00581181">
        <w:t>Review of 2006</w:t>
      </w:r>
    </w:p>
    <w:p w:rsidR="00E0446E" w:rsidRPr="00581181" w:rsidRDefault="00CA729C" w:rsidP="00CA729C">
      <w:pPr>
        <w:pStyle w:val="Heading4"/>
      </w:pPr>
      <w:r>
        <w:tab/>
      </w:r>
      <w:r w:rsidR="00E0446E" w:rsidRPr="00581181">
        <w:t>Ethnic minority young people</w:t>
      </w:r>
    </w:p>
    <w:p w:rsidR="00EC2B8C" w:rsidRDefault="00E0446E" w:rsidP="00030277">
      <w:pPr>
        <w:rPr>
          <w:szCs w:val="24"/>
        </w:rPr>
      </w:pPr>
      <w:r w:rsidRPr="00581181">
        <w:rPr>
          <w:szCs w:val="24"/>
        </w:rPr>
        <w:t>120.</w:t>
      </w:r>
      <w:r w:rsidRPr="00581181">
        <w:rPr>
          <w:szCs w:val="24"/>
        </w:rPr>
        <w:tab/>
        <w:t>In 2006 there was a follow</w:t>
      </w:r>
      <w:r w:rsidR="00AD0DF3" w:rsidRPr="00581181">
        <w:rPr>
          <w:szCs w:val="24"/>
        </w:rPr>
        <w:noBreakHyphen/>
      </w:r>
      <w:r w:rsidRPr="00581181">
        <w:rPr>
          <w:szCs w:val="24"/>
        </w:rPr>
        <w:t>up to the series of projects that the Ministry of Social Affairs and Employment had launched in 2005 as part of the Social Cohesion Initiative, with the aim of improving the position of ethnic minorities in the labour market. Twelve projects specifically focused on the problems of ethnic minority young people and refugees, with the main themes being coaching and empowerment, job placement and employers</w:t>
      </w:r>
      <w:r w:rsidR="009B7745">
        <w:rPr>
          <w:szCs w:val="24"/>
        </w:rPr>
        <w:t>’</w:t>
      </w:r>
      <w:r w:rsidRPr="00581181">
        <w:rPr>
          <w:szCs w:val="24"/>
        </w:rPr>
        <w:t xml:space="preserve"> perceptions. In this context, ethnic minority role models frequently visited schools, company employees coached ethnic minority students and meetings and job markets were organized to bring together ethnic minority</w:t>
      </w:r>
      <w:r w:rsidR="00CA62C1">
        <w:rPr>
          <w:szCs w:val="24"/>
        </w:rPr>
        <w:t> </w:t>
      </w:r>
      <w:r w:rsidRPr="00581181">
        <w:rPr>
          <w:szCs w:val="24"/>
        </w:rPr>
        <w:t>young people and employers to enable suitable matches to be found. More than</w:t>
      </w:r>
      <w:r w:rsidR="00CA62C1">
        <w:rPr>
          <w:szCs w:val="24"/>
        </w:rPr>
        <w:t> </w:t>
      </w:r>
      <w:r w:rsidRPr="00581181">
        <w:rPr>
          <w:szCs w:val="24"/>
        </w:rPr>
        <w:t>1,000</w:t>
      </w:r>
      <w:r w:rsidR="00CA62C1">
        <w:rPr>
          <w:szCs w:val="24"/>
        </w:rPr>
        <w:t> </w:t>
      </w:r>
      <w:r w:rsidRPr="00581181">
        <w:rPr>
          <w:szCs w:val="24"/>
        </w:rPr>
        <w:t xml:space="preserve">young people have been coached and/or have completed an empowerment programme. </w:t>
      </w:r>
    </w:p>
    <w:p w:rsidR="00E0446E" w:rsidRPr="00581181" w:rsidRDefault="00E0446E" w:rsidP="00030277">
      <w:pPr>
        <w:rPr>
          <w:szCs w:val="24"/>
        </w:rPr>
      </w:pPr>
      <w:r w:rsidRPr="00581181">
        <w:rPr>
          <w:szCs w:val="24"/>
        </w:rPr>
        <w:t>121.</w:t>
      </w:r>
      <w:r w:rsidRPr="00581181">
        <w:rPr>
          <w:szCs w:val="24"/>
        </w:rPr>
        <w:tab/>
        <w:t>The principle underlying many projects is to encourage the ethnic minority community itself to strive for equal opportunities. One example is the campaign</w:t>
      </w:r>
      <w:r w:rsidRPr="00581181">
        <w:rPr>
          <w:i/>
          <w:iCs/>
          <w:szCs w:val="24"/>
        </w:rPr>
        <w:t xml:space="preserve"> Trendy Maroc star in NL</w:t>
      </w:r>
      <w:r w:rsidRPr="00581181">
        <w:rPr>
          <w:szCs w:val="24"/>
        </w:rPr>
        <w:t>, in which young Moroccans are trained by successful people from their own community. The</w:t>
      </w:r>
      <w:r w:rsidR="00590C2B">
        <w:rPr>
          <w:szCs w:val="24"/>
        </w:rPr>
        <w:t> </w:t>
      </w:r>
      <w:r w:rsidRPr="00581181">
        <w:rPr>
          <w:szCs w:val="24"/>
        </w:rPr>
        <w:t>training aims to boost their self</w:t>
      </w:r>
      <w:r w:rsidR="00AD0DF3" w:rsidRPr="00581181">
        <w:rPr>
          <w:szCs w:val="24"/>
        </w:rPr>
        <w:noBreakHyphen/>
      </w:r>
      <w:r w:rsidRPr="00581181">
        <w:rPr>
          <w:szCs w:val="24"/>
        </w:rPr>
        <w:t xml:space="preserve">confidence and help them understand the labour market better. </w:t>
      </w:r>
    </w:p>
    <w:p w:rsidR="00E0446E" w:rsidRPr="00581181" w:rsidRDefault="00E0446E" w:rsidP="009619E6">
      <w:pPr>
        <w:pStyle w:val="Heading4"/>
        <w:ind w:left="567"/>
      </w:pPr>
      <w:r w:rsidRPr="00581181">
        <w:t>Refugees</w:t>
      </w:r>
    </w:p>
    <w:p w:rsidR="00E0446E" w:rsidRPr="00581181" w:rsidRDefault="00AB616B" w:rsidP="00030277">
      <w:pPr>
        <w:rPr>
          <w:szCs w:val="24"/>
        </w:rPr>
      </w:pPr>
      <w:r>
        <w:rPr>
          <w:szCs w:val="24"/>
        </w:rPr>
        <w:tab/>
      </w:r>
      <w:r w:rsidR="00E0446E" w:rsidRPr="00581181">
        <w:rPr>
          <w:szCs w:val="24"/>
        </w:rPr>
        <w:t xml:space="preserve">As part of the Job Offensive for Refugees, the Dutch Council for Refugees </w:t>
      </w:r>
      <w:r w:rsidR="00AD0DF3" w:rsidRPr="00581181">
        <w:rPr>
          <w:szCs w:val="24"/>
        </w:rPr>
        <w:noBreakHyphen/>
      </w:r>
      <w:r w:rsidR="00E0446E" w:rsidRPr="00581181">
        <w:rPr>
          <w:szCs w:val="24"/>
        </w:rPr>
        <w:t xml:space="preserve"> together with the UAF, Emplooi and the CWI </w:t>
      </w:r>
      <w:r w:rsidR="00AD0DF3" w:rsidRPr="00581181">
        <w:rPr>
          <w:szCs w:val="24"/>
        </w:rPr>
        <w:noBreakHyphen/>
      </w:r>
      <w:r w:rsidR="00E0446E" w:rsidRPr="00581181">
        <w:rPr>
          <w:szCs w:val="24"/>
        </w:rPr>
        <w:t xml:space="preserve"> helped 700 refugees, including 150 highly qualified people, find work in 2006. </w:t>
      </w:r>
    </w:p>
    <w:p w:rsidR="00E0446E" w:rsidRPr="00581181" w:rsidRDefault="00E0446E" w:rsidP="009619E6">
      <w:pPr>
        <w:pStyle w:val="Heading4"/>
        <w:ind w:left="567"/>
      </w:pPr>
      <w:r w:rsidRPr="00581181">
        <w:t>Ethnic minority women</w:t>
      </w:r>
    </w:p>
    <w:p w:rsidR="00EC2B8C" w:rsidRDefault="00AB616B" w:rsidP="00030277">
      <w:pPr>
        <w:rPr>
          <w:szCs w:val="24"/>
        </w:rPr>
      </w:pPr>
      <w:r>
        <w:rPr>
          <w:szCs w:val="24"/>
        </w:rPr>
        <w:tab/>
      </w:r>
      <w:r w:rsidR="00E0446E" w:rsidRPr="00581181">
        <w:rPr>
          <w:szCs w:val="24"/>
        </w:rPr>
        <w:t>The Minister of Social Affairs and Employment approved PaVEM</w:t>
      </w:r>
      <w:r w:rsidR="009B7745">
        <w:rPr>
          <w:szCs w:val="24"/>
        </w:rPr>
        <w:t>’</w:t>
      </w:r>
      <w:r w:rsidR="00E0446E" w:rsidRPr="00581181">
        <w:rPr>
          <w:szCs w:val="24"/>
        </w:rPr>
        <w:t xml:space="preserve">s results in the area of work in 2006. To ensure continuity in implementing the agreements that have been made on the subject of work, a body that will play a leading role in maintaining the momentum generated so far was set up on 1 February 2006: the Ethnic Minority Women and Employment Coordination Group (RAVA). This group will operate for a period of two years, until the end of 2007, and is made up of representatives from the CWI, the UWV, the VNG, the Ministry of Social Affairs and Employment, employers, trade unions and the target group itself. </w:t>
      </w:r>
    </w:p>
    <w:p w:rsidR="00E0446E" w:rsidRDefault="000E770D" w:rsidP="00876F98">
      <w:pPr>
        <w:pStyle w:val="Heading3"/>
      </w:pPr>
      <w:r>
        <w:br w:type="page"/>
      </w:r>
      <w:r w:rsidR="00E0446E" w:rsidRPr="00581181">
        <w:t>Statistics</w:t>
      </w:r>
    </w:p>
    <w:p w:rsidR="005E37C6" w:rsidRDefault="00876F98" w:rsidP="00876F98">
      <w:pPr>
        <w:pStyle w:val="Heading2"/>
      </w:pPr>
      <w:r w:rsidRPr="00581181">
        <w:t>Labour force, by gender (x 1,000)</w:t>
      </w:r>
    </w:p>
    <w:tbl>
      <w:tblPr>
        <w:tblW w:w="9360" w:type="dxa"/>
        <w:tblInd w:w="108" w:type="dxa"/>
        <w:tblLayout w:type="fixed"/>
        <w:tblLook w:val="0000" w:firstRow="0" w:lastRow="0" w:firstColumn="0" w:lastColumn="0" w:noHBand="0" w:noVBand="0"/>
      </w:tblPr>
      <w:tblGrid>
        <w:gridCol w:w="1800"/>
        <w:gridCol w:w="720"/>
        <w:gridCol w:w="1200"/>
        <w:gridCol w:w="1200"/>
        <w:gridCol w:w="1560"/>
        <w:gridCol w:w="1560"/>
        <w:gridCol w:w="1320"/>
      </w:tblGrid>
      <w:tr w:rsidR="005D2A34" w:rsidRPr="00A80764" w:rsidTr="000E770D">
        <w:trPr>
          <w:trHeight w:val="558"/>
          <w:tblHeader/>
        </w:trPr>
        <w:tc>
          <w:tcPr>
            <w:tcW w:w="1800" w:type="dxa"/>
            <w:tcBorders>
              <w:top w:val="single" w:sz="4" w:space="0" w:color="auto"/>
              <w:left w:val="single" w:sz="4" w:space="0" w:color="auto"/>
              <w:bottom w:val="single" w:sz="4" w:space="0" w:color="auto"/>
              <w:right w:val="single" w:sz="4" w:space="0" w:color="auto"/>
            </w:tcBorders>
            <w:shd w:val="clear" w:color="auto" w:fill="auto"/>
          </w:tcPr>
          <w:p w:rsidR="00E0446E" w:rsidRPr="00A80764" w:rsidRDefault="00E0446E" w:rsidP="00AC30EE">
            <w:pPr>
              <w:spacing w:after="80"/>
              <w:jc w:val="center"/>
              <w:rPr>
                <w:sz w:val="18"/>
                <w:szCs w:val="18"/>
              </w:rPr>
            </w:pPr>
            <w:r w:rsidRPr="00A80764">
              <w:rPr>
                <w:sz w:val="18"/>
                <w:szCs w:val="18"/>
              </w:rPr>
              <w:t>Personal characteristics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0446E" w:rsidRPr="00A80764" w:rsidRDefault="00E0446E" w:rsidP="00AC30EE">
            <w:pPr>
              <w:spacing w:after="80"/>
              <w:jc w:val="center"/>
              <w:rPr>
                <w:sz w:val="18"/>
                <w:szCs w:val="18"/>
              </w:rPr>
            </w:pPr>
            <w:r w:rsidRPr="00A80764">
              <w:rPr>
                <w:sz w:val="18"/>
                <w:szCs w:val="18"/>
              </w:rPr>
              <w:t>Year</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0446E" w:rsidRPr="00A80764" w:rsidRDefault="00E0446E" w:rsidP="00AC30EE">
            <w:pPr>
              <w:spacing w:after="80"/>
              <w:jc w:val="center"/>
              <w:rPr>
                <w:sz w:val="18"/>
                <w:szCs w:val="18"/>
              </w:rPr>
            </w:pPr>
            <w:r w:rsidRPr="00A80764">
              <w:rPr>
                <w:sz w:val="18"/>
                <w:szCs w:val="18"/>
              </w:rPr>
              <w:t>Total population 15</w:t>
            </w:r>
            <w:r w:rsidR="00AD0DF3" w:rsidRPr="00A80764">
              <w:rPr>
                <w:sz w:val="18"/>
                <w:szCs w:val="18"/>
              </w:rPr>
              <w:noBreakHyphen/>
            </w:r>
            <w:r w:rsidRPr="00A80764">
              <w:rPr>
                <w:sz w:val="18"/>
                <w:szCs w:val="18"/>
              </w:rPr>
              <w:t>64 years</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0446E" w:rsidRPr="00A80764" w:rsidRDefault="00E0446E" w:rsidP="00AC30EE">
            <w:pPr>
              <w:spacing w:after="80"/>
              <w:jc w:val="center"/>
              <w:rPr>
                <w:sz w:val="18"/>
                <w:szCs w:val="18"/>
              </w:rPr>
            </w:pPr>
            <w:r w:rsidRPr="00A80764">
              <w:rPr>
                <w:sz w:val="18"/>
                <w:szCs w:val="18"/>
              </w:rPr>
              <w:t>Total labour force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0446E" w:rsidRPr="00A80764" w:rsidRDefault="00E0446E" w:rsidP="00AC30EE">
            <w:pPr>
              <w:spacing w:after="80"/>
              <w:jc w:val="center"/>
              <w:rPr>
                <w:sz w:val="18"/>
                <w:szCs w:val="18"/>
              </w:rPr>
            </w:pPr>
            <w:r w:rsidRPr="00A80764">
              <w:rPr>
                <w:sz w:val="18"/>
                <w:szCs w:val="18"/>
              </w:rPr>
              <w:t>Gross labour force participation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0446E" w:rsidRPr="00A80764" w:rsidRDefault="00E0446E" w:rsidP="00AC30EE">
            <w:pPr>
              <w:spacing w:after="80"/>
              <w:jc w:val="center"/>
              <w:rPr>
                <w:sz w:val="18"/>
                <w:szCs w:val="18"/>
              </w:rPr>
            </w:pPr>
            <w:r w:rsidRPr="00A80764">
              <w:rPr>
                <w:sz w:val="18"/>
                <w:szCs w:val="18"/>
              </w:rPr>
              <w:t>Net labour force participation (%)</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E0446E" w:rsidRPr="00A80764" w:rsidRDefault="00E0446E" w:rsidP="00AC30EE">
            <w:pPr>
              <w:spacing w:after="80"/>
              <w:jc w:val="center"/>
              <w:rPr>
                <w:sz w:val="18"/>
                <w:szCs w:val="18"/>
              </w:rPr>
            </w:pPr>
            <w:r w:rsidRPr="00A80764">
              <w:rPr>
                <w:sz w:val="18"/>
                <w:szCs w:val="18"/>
              </w:rPr>
              <w:t>Unemployment rate (%)</w:t>
            </w:r>
          </w:p>
        </w:tc>
      </w:tr>
      <w:tr w:rsidR="00A80764" w:rsidRPr="00A80764" w:rsidTr="000E770D">
        <w:trPr>
          <w:trHeight w:val="255"/>
        </w:trPr>
        <w:tc>
          <w:tcPr>
            <w:tcW w:w="18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rPr>
                <w:sz w:val="18"/>
                <w:szCs w:val="18"/>
              </w:rPr>
            </w:pPr>
            <w:r w:rsidRPr="00A80764">
              <w:rPr>
                <w:sz w:val="18"/>
                <w:szCs w:val="18"/>
              </w:rPr>
              <w:t>Non</w:t>
            </w:r>
            <w:r w:rsidR="00AD0DF3" w:rsidRPr="00A80764">
              <w:rPr>
                <w:sz w:val="18"/>
                <w:szCs w:val="18"/>
              </w:rPr>
              <w:noBreakHyphen/>
            </w:r>
            <w:r w:rsidRPr="00A80764">
              <w:rPr>
                <w:sz w:val="18"/>
                <w:szCs w:val="18"/>
              </w:rPr>
              <w:t>western immigrant origin</w:t>
            </w:r>
          </w:p>
        </w:tc>
        <w:tc>
          <w:tcPr>
            <w:tcW w:w="7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1996</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793</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406</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51.2</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40.0</w:t>
            </w:r>
          </w:p>
        </w:tc>
        <w:tc>
          <w:tcPr>
            <w:tcW w:w="13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21.9</w:t>
            </w:r>
          </w:p>
        </w:tc>
      </w:tr>
      <w:tr w:rsidR="00A80764" w:rsidRPr="00A80764" w:rsidTr="000E770D">
        <w:trPr>
          <w:trHeight w:val="255"/>
        </w:trPr>
        <w:tc>
          <w:tcPr>
            <w:tcW w:w="18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rPr>
                <w:sz w:val="18"/>
                <w:szCs w:val="18"/>
              </w:rPr>
            </w:pPr>
            <w:r w:rsidRPr="00A80764">
              <w:rPr>
                <w:sz w:val="18"/>
                <w:szCs w:val="18"/>
              </w:rPr>
              <w:t>Non</w:t>
            </w:r>
            <w:r w:rsidR="00AD0DF3" w:rsidRPr="00A80764">
              <w:rPr>
                <w:sz w:val="18"/>
                <w:szCs w:val="18"/>
              </w:rPr>
              <w:noBreakHyphen/>
            </w:r>
            <w:r w:rsidRPr="00A80764">
              <w:rPr>
                <w:sz w:val="18"/>
                <w:szCs w:val="18"/>
              </w:rPr>
              <w:t>western immigrant origin</w:t>
            </w:r>
          </w:p>
        </w:tc>
        <w:tc>
          <w:tcPr>
            <w:tcW w:w="7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1997</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826</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429</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51.9</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41.1</w:t>
            </w:r>
          </w:p>
        </w:tc>
        <w:tc>
          <w:tcPr>
            <w:tcW w:w="13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20.7</w:t>
            </w:r>
          </w:p>
        </w:tc>
      </w:tr>
      <w:tr w:rsidR="00A80764" w:rsidRPr="00A80764" w:rsidTr="000E770D">
        <w:trPr>
          <w:trHeight w:val="255"/>
        </w:trPr>
        <w:tc>
          <w:tcPr>
            <w:tcW w:w="18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rPr>
                <w:sz w:val="18"/>
                <w:szCs w:val="18"/>
              </w:rPr>
            </w:pPr>
            <w:r w:rsidRPr="00A80764">
              <w:rPr>
                <w:sz w:val="18"/>
                <w:szCs w:val="18"/>
              </w:rPr>
              <w:t>Non</w:t>
            </w:r>
            <w:r w:rsidR="00AD0DF3" w:rsidRPr="00A80764">
              <w:rPr>
                <w:sz w:val="18"/>
                <w:szCs w:val="18"/>
              </w:rPr>
              <w:noBreakHyphen/>
            </w:r>
            <w:r w:rsidRPr="00A80764">
              <w:rPr>
                <w:sz w:val="18"/>
                <w:szCs w:val="18"/>
              </w:rPr>
              <w:t>western immigrant origin</w:t>
            </w:r>
          </w:p>
        </w:tc>
        <w:tc>
          <w:tcPr>
            <w:tcW w:w="7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1998</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866</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455</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52.6</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44.3</w:t>
            </w:r>
          </w:p>
        </w:tc>
        <w:tc>
          <w:tcPr>
            <w:tcW w:w="13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15.8</w:t>
            </w:r>
          </w:p>
        </w:tc>
      </w:tr>
      <w:tr w:rsidR="00A80764" w:rsidRPr="00A80764" w:rsidTr="000E770D">
        <w:trPr>
          <w:trHeight w:val="255"/>
        </w:trPr>
        <w:tc>
          <w:tcPr>
            <w:tcW w:w="18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rPr>
                <w:sz w:val="18"/>
                <w:szCs w:val="18"/>
              </w:rPr>
            </w:pPr>
            <w:r w:rsidRPr="00A80764">
              <w:rPr>
                <w:sz w:val="18"/>
                <w:szCs w:val="18"/>
              </w:rPr>
              <w:t>Non</w:t>
            </w:r>
            <w:r w:rsidR="00AD0DF3" w:rsidRPr="00A80764">
              <w:rPr>
                <w:sz w:val="18"/>
                <w:szCs w:val="18"/>
              </w:rPr>
              <w:noBreakHyphen/>
            </w:r>
            <w:r w:rsidRPr="00A80764">
              <w:rPr>
                <w:sz w:val="18"/>
                <w:szCs w:val="18"/>
              </w:rPr>
              <w:t>western immigrant origin</w:t>
            </w:r>
          </w:p>
        </w:tc>
        <w:tc>
          <w:tcPr>
            <w:tcW w:w="7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1999</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918</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484</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52.7</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45.5</w:t>
            </w:r>
          </w:p>
        </w:tc>
        <w:tc>
          <w:tcPr>
            <w:tcW w:w="13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13.7</w:t>
            </w:r>
          </w:p>
        </w:tc>
      </w:tr>
      <w:tr w:rsidR="00A80764" w:rsidRPr="00A80764" w:rsidTr="000E770D">
        <w:trPr>
          <w:trHeight w:val="255"/>
        </w:trPr>
        <w:tc>
          <w:tcPr>
            <w:tcW w:w="18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rPr>
                <w:sz w:val="18"/>
                <w:szCs w:val="18"/>
              </w:rPr>
            </w:pPr>
            <w:r w:rsidRPr="00A80764">
              <w:rPr>
                <w:sz w:val="18"/>
                <w:szCs w:val="18"/>
              </w:rPr>
              <w:t>Non</w:t>
            </w:r>
            <w:r w:rsidR="00AD0DF3" w:rsidRPr="00A80764">
              <w:rPr>
                <w:sz w:val="18"/>
                <w:szCs w:val="18"/>
              </w:rPr>
              <w:noBreakHyphen/>
            </w:r>
            <w:r w:rsidRPr="00A80764">
              <w:rPr>
                <w:sz w:val="18"/>
                <w:szCs w:val="18"/>
              </w:rPr>
              <w:t>western immigrant origin</w:t>
            </w:r>
          </w:p>
        </w:tc>
        <w:tc>
          <w:tcPr>
            <w:tcW w:w="7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2000</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940</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504</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53.6</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47.7</w:t>
            </w:r>
          </w:p>
        </w:tc>
        <w:tc>
          <w:tcPr>
            <w:tcW w:w="13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11.0</w:t>
            </w:r>
          </w:p>
        </w:tc>
      </w:tr>
      <w:tr w:rsidR="00A80764" w:rsidRPr="00A80764" w:rsidTr="000E770D">
        <w:trPr>
          <w:trHeight w:val="255"/>
        </w:trPr>
        <w:tc>
          <w:tcPr>
            <w:tcW w:w="18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rPr>
                <w:sz w:val="18"/>
                <w:szCs w:val="18"/>
              </w:rPr>
            </w:pPr>
            <w:r w:rsidRPr="00A80764">
              <w:rPr>
                <w:sz w:val="18"/>
                <w:szCs w:val="18"/>
              </w:rPr>
              <w:t>Non</w:t>
            </w:r>
            <w:r w:rsidR="00AD0DF3" w:rsidRPr="00A80764">
              <w:rPr>
                <w:sz w:val="18"/>
                <w:szCs w:val="18"/>
              </w:rPr>
              <w:noBreakHyphen/>
            </w:r>
            <w:r w:rsidRPr="00A80764">
              <w:rPr>
                <w:sz w:val="18"/>
                <w:szCs w:val="18"/>
              </w:rPr>
              <w:t>western immigrant origin</w:t>
            </w:r>
          </w:p>
        </w:tc>
        <w:tc>
          <w:tcPr>
            <w:tcW w:w="7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2001</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994</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542</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54.6</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49.7</w:t>
            </w:r>
          </w:p>
        </w:tc>
        <w:tc>
          <w:tcPr>
            <w:tcW w:w="13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8.9</w:t>
            </w:r>
          </w:p>
        </w:tc>
      </w:tr>
      <w:tr w:rsidR="00A80764" w:rsidRPr="00A80764" w:rsidTr="000E770D">
        <w:trPr>
          <w:trHeight w:val="255"/>
        </w:trPr>
        <w:tc>
          <w:tcPr>
            <w:tcW w:w="18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rPr>
                <w:sz w:val="18"/>
                <w:szCs w:val="18"/>
              </w:rPr>
            </w:pPr>
            <w:r w:rsidRPr="00A80764">
              <w:rPr>
                <w:sz w:val="18"/>
                <w:szCs w:val="18"/>
              </w:rPr>
              <w:t>Non</w:t>
            </w:r>
            <w:r w:rsidR="00AD0DF3" w:rsidRPr="00A80764">
              <w:rPr>
                <w:sz w:val="18"/>
                <w:szCs w:val="18"/>
              </w:rPr>
              <w:noBreakHyphen/>
            </w:r>
            <w:r w:rsidRPr="00A80764">
              <w:rPr>
                <w:sz w:val="18"/>
                <w:szCs w:val="18"/>
              </w:rPr>
              <w:t>western immigrant origin</w:t>
            </w:r>
          </w:p>
        </w:tc>
        <w:tc>
          <w:tcPr>
            <w:tcW w:w="7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2002</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1</w:t>
            </w:r>
            <w:r w:rsidR="00B670AC">
              <w:rPr>
                <w:sz w:val="18"/>
                <w:szCs w:val="18"/>
              </w:rPr>
              <w:t xml:space="preserve"> </w:t>
            </w:r>
            <w:r w:rsidRPr="00A80764">
              <w:rPr>
                <w:sz w:val="18"/>
                <w:szCs w:val="18"/>
              </w:rPr>
              <w:t>049</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576</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54.9</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49.1</w:t>
            </w:r>
          </w:p>
        </w:tc>
        <w:tc>
          <w:tcPr>
            <w:tcW w:w="13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10.5</w:t>
            </w:r>
          </w:p>
        </w:tc>
      </w:tr>
      <w:tr w:rsidR="00A80764" w:rsidRPr="00A80764" w:rsidTr="000E770D">
        <w:trPr>
          <w:trHeight w:val="255"/>
        </w:trPr>
        <w:tc>
          <w:tcPr>
            <w:tcW w:w="18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rPr>
                <w:sz w:val="18"/>
                <w:szCs w:val="18"/>
              </w:rPr>
            </w:pPr>
            <w:r w:rsidRPr="00A80764">
              <w:rPr>
                <w:sz w:val="18"/>
                <w:szCs w:val="18"/>
              </w:rPr>
              <w:t>Non</w:t>
            </w:r>
            <w:r w:rsidR="00AD0DF3" w:rsidRPr="00A80764">
              <w:rPr>
                <w:sz w:val="18"/>
                <w:szCs w:val="18"/>
              </w:rPr>
              <w:noBreakHyphen/>
            </w:r>
            <w:r w:rsidRPr="00A80764">
              <w:rPr>
                <w:sz w:val="18"/>
                <w:szCs w:val="18"/>
              </w:rPr>
              <w:t>western immigrant origin</w:t>
            </w:r>
          </w:p>
        </w:tc>
        <w:tc>
          <w:tcPr>
            <w:tcW w:w="7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2003</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1</w:t>
            </w:r>
            <w:r w:rsidR="00B670AC">
              <w:rPr>
                <w:sz w:val="18"/>
                <w:szCs w:val="18"/>
              </w:rPr>
              <w:t xml:space="preserve"> </w:t>
            </w:r>
            <w:r w:rsidRPr="00A80764">
              <w:rPr>
                <w:sz w:val="18"/>
                <w:szCs w:val="18"/>
              </w:rPr>
              <w:t>096</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609</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55.5</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47.4</w:t>
            </w:r>
          </w:p>
        </w:tc>
        <w:tc>
          <w:tcPr>
            <w:tcW w:w="13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14.6</w:t>
            </w:r>
          </w:p>
        </w:tc>
      </w:tr>
      <w:tr w:rsidR="00A80764" w:rsidRPr="00A80764" w:rsidTr="000E770D">
        <w:trPr>
          <w:trHeight w:val="255"/>
        </w:trPr>
        <w:tc>
          <w:tcPr>
            <w:tcW w:w="18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rPr>
                <w:sz w:val="18"/>
                <w:szCs w:val="18"/>
              </w:rPr>
            </w:pPr>
            <w:r w:rsidRPr="00A80764">
              <w:rPr>
                <w:sz w:val="18"/>
                <w:szCs w:val="18"/>
              </w:rPr>
              <w:t>Non</w:t>
            </w:r>
            <w:r w:rsidR="00AD0DF3" w:rsidRPr="00A80764">
              <w:rPr>
                <w:sz w:val="18"/>
                <w:szCs w:val="18"/>
              </w:rPr>
              <w:noBreakHyphen/>
            </w:r>
            <w:r w:rsidRPr="00A80764">
              <w:rPr>
                <w:sz w:val="18"/>
                <w:szCs w:val="18"/>
              </w:rPr>
              <w:t>western immigrant origin</w:t>
            </w:r>
          </w:p>
        </w:tc>
        <w:tc>
          <w:tcPr>
            <w:tcW w:w="7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2004</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1</w:t>
            </w:r>
            <w:r w:rsidR="00B670AC">
              <w:rPr>
                <w:sz w:val="18"/>
                <w:szCs w:val="18"/>
              </w:rPr>
              <w:t xml:space="preserve"> </w:t>
            </w:r>
            <w:r w:rsidRPr="00A80764">
              <w:rPr>
                <w:sz w:val="18"/>
                <w:szCs w:val="18"/>
              </w:rPr>
              <w:t>131</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627</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55.5</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46.5</w:t>
            </w:r>
          </w:p>
        </w:tc>
        <w:tc>
          <w:tcPr>
            <w:tcW w:w="13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16.1</w:t>
            </w:r>
          </w:p>
        </w:tc>
      </w:tr>
      <w:tr w:rsidR="00A80764" w:rsidRPr="00A80764" w:rsidTr="000E770D">
        <w:trPr>
          <w:trHeight w:val="255"/>
        </w:trPr>
        <w:tc>
          <w:tcPr>
            <w:tcW w:w="18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rPr>
                <w:sz w:val="18"/>
                <w:szCs w:val="18"/>
              </w:rPr>
            </w:pPr>
            <w:r w:rsidRPr="00A80764">
              <w:rPr>
                <w:sz w:val="18"/>
                <w:szCs w:val="18"/>
              </w:rPr>
              <w:t>Non</w:t>
            </w:r>
            <w:r w:rsidR="00AD0DF3" w:rsidRPr="00A80764">
              <w:rPr>
                <w:sz w:val="18"/>
                <w:szCs w:val="18"/>
              </w:rPr>
              <w:noBreakHyphen/>
            </w:r>
            <w:r w:rsidRPr="00A80764">
              <w:rPr>
                <w:sz w:val="18"/>
                <w:szCs w:val="18"/>
              </w:rPr>
              <w:t>western immigrant origin</w:t>
            </w:r>
          </w:p>
        </w:tc>
        <w:tc>
          <w:tcPr>
            <w:tcW w:w="7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2005</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1</w:t>
            </w:r>
            <w:r w:rsidR="00B670AC">
              <w:rPr>
                <w:sz w:val="18"/>
                <w:szCs w:val="18"/>
              </w:rPr>
              <w:t xml:space="preserve"> </w:t>
            </w:r>
            <w:r w:rsidRPr="00A80764">
              <w:rPr>
                <w:sz w:val="18"/>
                <w:szCs w:val="18"/>
              </w:rPr>
              <w:t>157</w:t>
            </w:r>
          </w:p>
        </w:tc>
        <w:tc>
          <w:tcPr>
            <w:tcW w:w="120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650</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56.2</w:t>
            </w:r>
          </w:p>
        </w:tc>
        <w:tc>
          <w:tcPr>
            <w:tcW w:w="156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46.9</w:t>
            </w:r>
          </w:p>
        </w:tc>
        <w:tc>
          <w:tcPr>
            <w:tcW w:w="1320" w:type="dxa"/>
            <w:tcBorders>
              <w:top w:val="nil"/>
              <w:left w:val="single" w:sz="4" w:space="0" w:color="auto"/>
              <w:bottom w:val="nil"/>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16.4</w:t>
            </w:r>
          </w:p>
        </w:tc>
      </w:tr>
      <w:tr w:rsidR="00A80764" w:rsidRPr="00A80764" w:rsidTr="000E770D">
        <w:trPr>
          <w:trHeight w:val="255"/>
        </w:trPr>
        <w:tc>
          <w:tcPr>
            <w:tcW w:w="1800" w:type="dxa"/>
            <w:tcBorders>
              <w:top w:val="nil"/>
              <w:left w:val="single" w:sz="4" w:space="0" w:color="auto"/>
              <w:bottom w:val="single" w:sz="4" w:space="0" w:color="auto"/>
              <w:right w:val="single" w:sz="4" w:space="0" w:color="auto"/>
            </w:tcBorders>
            <w:shd w:val="clear" w:color="auto" w:fill="auto"/>
            <w:noWrap/>
          </w:tcPr>
          <w:p w:rsidR="00E0446E" w:rsidRPr="00A80764" w:rsidRDefault="00E0446E" w:rsidP="00AC30EE">
            <w:pPr>
              <w:spacing w:after="80"/>
              <w:rPr>
                <w:sz w:val="18"/>
                <w:szCs w:val="18"/>
              </w:rPr>
            </w:pPr>
            <w:r w:rsidRPr="00A80764">
              <w:rPr>
                <w:sz w:val="18"/>
                <w:szCs w:val="18"/>
              </w:rPr>
              <w:t>Non</w:t>
            </w:r>
            <w:r w:rsidR="00AD0DF3" w:rsidRPr="00A80764">
              <w:rPr>
                <w:sz w:val="18"/>
                <w:szCs w:val="18"/>
              </w:rPr>
              <w:noBreakHyphen/>
            </w:r>
            <w:r w:rsidRPr="00A80764">
              <w:rPr>
                <w:sz w:val="18"/>
                <w:szCs w:val="18"/>
              </w:rPr>
              <w:t>western immigrant origin</w:t>
            </w:r>
          </w:p>
        </w:tc>
        <w:tc>
          <w:tcPr>
            <w:tcW w:w="720" w:type="dxa"/>
            <w:tcBorders>
              <w:top w:val="nil"/>
              <w:left w:val="single" w:sz="4" w:space="0" w:color="auto"/>
              <w:bottom w:val="single" w:sz="4" w:space="0" w:color="auto"/>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2006</w:t>
            </w:r>
          </w:p>
        </w:tc>
        <w:tc>
          <w:tcPr>
            <w:tcW w:w="1200" w:type="dxa"/>
            <w:tcBorders>
              <w:top w:val="nil"/>
              <w:left w:val="single" w:sz="4" w:space="0" w:color="auto"/>
              <w:bottom w:val="single" w:sz="4" w:space="0" w:color="auto"/>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1</w:t>
            </w:r>
            <w:r w:rsidR="00B670AC">
              <w:rPr>
                <w:sz w:val="18"/>
                <w:szCs w:val="18"/>
              </w:rPr>
              <w:t xml:space="preserve"> </w:t>
            </w:r>
            <w:r w:rsidRPr="00A80764">
              <w:rPr>
                <w:sz w:val="18"/>
                <w:szCs w:val="18"/>
              </w:rPr>
              <w:t>153</w:t>
            </w:r>
          </w:p>
        </w:tc>
        <w:tc>
          <w:tcPr>
            <w:tcW w:w="1200" w:type="dxa"/>
            <w:tcBorders>
              <w:top w:val="nil"/>
              <w:left w:val="single" w:sz="4" w:space="0" w:color="auto"/>
              <w:bottom w:val="single" w:sz="4" w:space="0" w:color="auto"/>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637</w:t>
            </w:r>
          </w:p>
        </w:tc>
        <w:tc>
          <w:tcPr>
            <w:tcW w:w="1560" w:type="dxa"/>
            <w:tcBorders>
              <w:top w:val="nil"/>
              <w:left w:val="single" w:sz="4" w:space="0" w:color="auto"/>
              <w:bottom w:val="single" w:sz="4" w:space="0" w:color="auto"/>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55.3</w:t>
            </w:r>
          </w:p>
        </w:tc>
        <w:tc>
          <w:tcPr>
            <w:tcW w:w="1560" w:type="dxa"/>
            <w:tcBorders>
              <w:top w:val="nil"/>
              <w:left w:val="single" w:sz="4" w:space="0" w:color="auto"/>
              <w:bottom w:val="single" w:sz="4" w:space="0" w:color="auto"/>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46.7</w:t>
            </w:r>
          </w:p>
        </w:tc>
        <w:tc>
          <w:tcPr>
            <w:tcW w:w="1320" w:type="dxa"/>
            <w:tcBorders>
              <w:top w:val="nil"/>
              <w:left w:val="single" w:sz="4" w:space="0" w:color="auto"/>
              <w:bottom w:val="single" w:sz="4" w:space="0" w:color="auto"/>
              <w:right w:val="single" w:sz="4" w:space="0" w:color="auto"/>
            </w:tcBorders>
            <w:shd w:val="clear" w:color="auto" w:fill="auto"/>
            <w:noWrap/>
          </w:tcPr>
          <w:p w:rsidR="00E0446E" w:rsidRPr="00A80764" w:rsidRDefault="00E0446E" w:rsidP="00AC30EE">
            <w:pPr>
              <w:spacing w:after="80"/>
              <w:jc w:val="center"/>
              <w:rPr>
                <w:sz w:val="18"/>
                <w:szCs w:val="18"/>
              </w:rPr>
            </w:pPr>
            <w:r w:rsidRPr="00A80764">
              <w:rPr>
                <w:sz w:val="18"/>
                <w:szCs w:val="18"/>
              </w:rPr>
              <w:t>15.5</w:t>
            </w:r>
          </w:p>
        </w:tc>
      </w:tr>
    </w:tbl>
    <w:p w:rsidR="00E0446E" w:rsidRPr="00581181" w:rsidRDefault="00E0446E" w:rsidP="00D02664">
      <w:pPr>
        <w:pStyle w:val="Heading4"/>
        <w:spacing w:before="480"/>
        <w:rPr>
          <w:b/>
          <w:bCs/>
          <w:i w:val="0"/>
          <w:iCs/>
          <w:szCs w:val="24"/>
        </w:rPr>
      </w:pPr>
      <w:r w:rsidRPr="00581181">
        <w:rPr>
          <w:b/>
          <w:i w:val="0"/>
          <w:szCs w:val="24"/>
        </w:rPr>
        <w:t>Labour market status of people of non</w:t>
      </w:r>
      <w:r w:rsidR="00AD0DF3" w:rsidRPr="00581181">
        <w:rPr>
          <w:b/>
          <w:i w:val="0"/>
          <w:szCs w:val="24"/>
        </w:rPr>
        <w:noBreakHyphen/>
      </w:r>
      <w:r w:rsidRPr="00581181">
        <w:rPr>
          <w:b/>
          <w:i w:val="0"/>
          <w:szCs w:val="24"/>
        </w:rPr>
        <w:t>Western immigrant origin</w:t>
      </w:r>
    </w:p>
    <w:p w:rsidR="00E0446E" w:rsidRDefault="00E0446E" w:rsidP="00030277">
      <w:pPr>
        <w:rPr>
          <w:szCs w:val="24"/>
        </w:rPr>
      </w:pPr>
      <w:r w:rsidRPr="00581181">
        <w:rPr>
          <w:szCs w:val="24"/>
        </w:rPr>
        <w:t>122.</w:t>
      </w:r>
      <w:r w:rsidRPr="00581181">
        <w:rPr>
          <w:szCs w:val="24"/>
        </w:rPr>
        <w:tab/>
        <w:t>Unemployment among people of non</w:t>
      </w:r>
      <w:r w:rsidR="00AD0DF3" w:rsidRPr="00581181">
        <w:rPr>
          <w:szCs w:val="24"/>
        </w:rPr>
        <w:noBreakHyphen/>
      </w:r>
      <w:r w:rsidRPr="00581181">
        <w:rPr>
          <w:szCs w:val="24"/>
        </w:rPr>
        <w:t>Western immigrant origin is well above average. The four largest groups are Turkish, Moroccan, Surinamese and Antillean/Aruban. Trends in unemployment among these four groups, compared with ethnically Dutch people, are shown below. Unemployment among immigrants falls sharply when employment picks up, and total unemployment drops. When total unemployment increased after 2001, unemployment among immigrants soared again. Unemployment has fallen in the past two years. This is particularly evident among Moroccan men. The variability of the trend is no doubt partly due to the fact that the numbers involved are small.</w:t>
      </w:r>
    </w:p>
    <w:p w:rsidR="005D2A34" w:rsidRDefault="000E770D" w:rsidP="005D2A34">
      <w:pPr>
        <w:pStyle w:val="Heading2"/>
      </w:pPr>
      <w:r>
        <w:br w:type="page"/>
      </w:r>
      <w:r w:rsidR="005D2A34">
        <w:t xml:space="preserve">Unemployment among people of ethnic Dutch and </w:t>
      </w:r>
      <w:r w:rsidR="000F086E">
        <w:br/>
      </w:r>
      <w:r w:rsidR="005D2A34">
        <w:t>non</w:t>
      </w:r>
      <w:r w:rsidR="005D2A34">
        <w:noBreakHyphen/>
        <w:t>Western immigrant origin, 1995</w:t>
      </w:r>
      <w:r w:rsidR="005D2A34">
        <w:noBreakHyphen/>
        <w:t>2006</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477"/>
        <w:gridCol w:w="658"/>
        <w:gridCol w:w="659"/>
        <w:gridCol w:w="659"/>
        <w:gridCol w:w="659"/>
        <w:gridCol w:w="658"/>
        <w:gridCol w:w="659"/>
        <w:gridCol w:w="659"/>
        <w:gridCol w:w="659"/>
        <w:gridCol w:w="658"/>
        <w:gridCol w:w="659"/>
        <w:gridCol w:w="659"/>
        <w:gridCol w:w="659"/>
      </w:tblGrid>
      <w:tr w:rsidR="004C3868" w:rsidRPr="004C3868" w:rsidTr="00FB46A9">
        <w:trPr>
          <w:tblHeader/>
        </w:trPr>
        <w:tc>
          <w:tcPr>
            <w:tcW w:w="1477" w:type="dxa"/>
            <w:tcBorders>
              <w:top w:val="single" w:sz="4" w:space="0" w:color="auto"/>
              <w:left w:val="single" w:sz="4" w:space="0" w:color="auto"/>
              <w:bottom w:val="nil"/>
            </w:tcBorders>
          </w:tcPr>
          <w:p w:rsidR="005D2A34" w:rsidRPr="004C3868" w:rsidRDefault="005D2A34" w:rsidP="005D2A34">
            <w:pPr>
              <w:spacing w:after="0"/>
              <w:rPr>
                <w:sz w:val="18"/>
                <w:szCs w:val="18"/>
              </w:rPr>
            </w:pPr>
          </w:p>
        </w:tc>
        <w:tc>
          <w:tcPr>
            <w:tcW w:w="658" w:type="dxa"/>
            <w:tcBorders>
              <w:top w:val="single" w:sz="4" w:space="0" w:color="auto"/>
              <w:bottom w:val="single" w:sz="4" w:space="0" w:color="auto"/>
            </w:tcBorders>
          </w:tcPr>
          <w:p w:rsidR="005D2A34" w:rsidRPr="004C3868" w:rsidRDefault="004C3868" w:rsidP="005D2A34">
            <w:pPr>
              <w:spacing w:after="0"/>
              <w:rPr>
                <w:sz w:val="18"/>
                <w:szCs w:val="18"/>
              </w:rPr>
            </w:pPr>
            <w:r w:rsidRPr="004C3868">
              <w:rPr>
                <w:sz w:val="18"/>
                <w:szCs w:val="18"/>
              </w:rPr>
              <w:t>1995</w:t>
            </w:r>
          </w:p>
        </w:tc>
        <w:tc>
          <w:tcPr>
            <w:tcW w:w="659" w:type="dxa"/>
            <w:tcBorders>
              <w:top w:val="single" w:sz="4" w:space="0" w:color="auto"/>
              <w:bottom w:val="single" w:sz="4" w:space="0" w:color="auto"/>
            </w:tcBorders>
          </w:tcPr>
          <w:p w:rsidR="005D2A34" w:rsidRPr="004C3868" w:rsidRDefault="004C3868" w:rsidP="005D2A34">
            <w:pPr>
              <w:spacing w:after="0"/>
              <w:rPr>
                <w:sz w:val="18"/>
                <w:szCs w:val="18"/>
              </w:rPr>
            </w:pPr>
            <w:r w:rsidRPr="004C3868">
              <w:rPr>
                <w:sz w:val="18"/>
                <w:szCs w:val="18"/>
              </w:rPr>
              <w:t>1996</w:t>
            </w:r>
          </w:p>
        </w:tc>
        <w:tc>
          <w:tcPr>
            <w:tcW w:w="659" w:type="dxa"/>
            <w:tcBorders>
              <w:top w:val="single" w:sz="4" w:space="0" w:color="auto"/>
              <w:bottom w:val="single" w:sz="4" w:space="0" w:color="auto"/>
            </w:tcBorders>
          </w:tcPr>
          <w:p w:rsidR="005D2A34" w:rsidRPr="004C3868" w:rsidRDefault="004C3868" w:rsidP="005D2A34">
            <w:pPr>
              <w:spacing w:after="0"/>
              <w:rPr>
                <w:sz w:val="18"/>
                <w:szCs w:val="18"/>
              </w:rPr>
            </w:pPr>
            <w:r w:rsidRPr="004C3868">
              <w:rPr>
                <w:sz w:val="18"/>
                <w:szCs w:val="18"/>
              </w:rPr>
              <w:t>1997</w:t>
            </w:r>
          </w:p>
        </w:tc>
        <w:tc>
          <w:tcPr>
            <w:tcW w:w="659" w:type="dxa"/>
            <w:tcBorders>
              <w:top w:val="single" w:sz="4" w:space="0" w:color="auto"/>
              <w:bottom w:val="single" w:sz="4" w:space="0" w:color="auto"/>
            </w:tcBorders>
          </w:tcPr>
          <w:p w:rsidR="005D2A34" w:rsidRPr="004C3868" w:rsidRDefault="004C3868" w:rsidP="005D2A34">
            <w:pPr>
              <w:spacing w:after="0"/>
              <w:rPr>
                <w:sz w:val="18"/>
                <w:szCs w:val="18"/>
              </w:rPr>
            </w:pPr>
            <w:r w:rsidRPr="004C3868">
              <w:rPr>
                <w:sz w:val="18"/>
                <w:szCs w:val="18"/>
              </w:rPr>
              <w:t>1998</w:t>
            </w:r>
          </w:p>
        </w:tc>
        <w:tc>
          <w:tcPr>
            <w:tcW w:w="658" w:type="dxa"/>
            <w:tcBorders>
              <w:top w:val="single" w:sz="4" w:space="0" w:color="auto"/>
              <w:bottom w:val="single" w:sz="4" w:space="0" w:color="auto"/>
            </w:tcBorders>
          </w:tcPr>
          <w:p w:rsidR="005D2A34" w:rsidRPr="004C3868" w:rsidRDefault="004C3868" w:rsidP="005D2A34">
            <w:pPr>
              <w:spacing w:after="0"/>
              <w:rPr>
                <w:sz w:val="18"/>
                <w:szCs w:val="18"/>
              </w:rPr>
            </w:pPr>
            <w:r w:rsidRPr="004C3868">
              <w:rPr>
                <w:sz w:val="18"/>
                <w:szCs w:val="18"/>
              </w:rPr>
              <w:t>1999</w:t>
            </w:r>
          </w:p>
        </w:tc>
        <w:tc>
          <w:tcPr>
            <w:tcW w:w="659" w:type="dxa"/>
            <w:tcBorders>
              <w:top w:val="single" w:sz="4" w:space="0" w:color="auto"/>
              <w:bottom w:val="single" w:sz="4" w:space="0" w:color="auto"/>
            </w:tcBorders>
          </w:tcPr>
          <w:p w:rsidR="005D2A34" w:rsidRPr="004C3868" w:rsidRDefault="004C3868" w:rsidP="005D2A34">
            <w:pPr>
              <w:spacing w:after="0"/>
              <w:rPr>
                <w:sz w:val="18"/>
                <w:szCs w:val="18"/>
              </w:rPr>
            </w:pPr>
            <w:r w:rsidRPr="004C3868">
              <w:rPr>
                <w:sz w:val="18"/>
                <w:szCs w:val="18"/>
              </w:rPr>
              <w:t>2000</w:t>
            </w:r>
          </w:p>
        </w:tc>
        <w:tc>
          <w:tcPr>
            <w:tcW w:w="659" w:type="dxa"/>
            <w:tcBorders>
              <w:top w:val="single" w:sz="4" w:space="0" w:color="auto"/>
              <w:bottom w:val="single" w:sz="4" w:space="0" w:color="auto"/>
            </w:tcBorders>
          </w:tcPr>
          <w:p w:rsidR="005D2A34" w:rsidRPr="004C3868" w:rsidRDefault="004C3868" w:rsidP="005D2A34">
            <w:pPr>
              <w:spacing w:after="0"/>
              <w:rPr>
                <w:sz w:val="18"/>
                <w:szCs w:val="18"/>
              </w:rPr>
            </w:pPr>
            <w:r w:rsidRPr="004C3868">
              <w:rPr>
                <w:sz w:val="18"/>
                <w:szCs w:val="18"/>
              </w:rPr>
              <w:t>2001</w:t>
            </w:r>
          </w:p>
        </w:tc>
        <w:tc>
          <w:tcPr>
            <w:tcW w:w="659" w:type="dxa"/>
            <w:tcBorders>
              <w:top w:val="single" w:sz="4" w:space="0" w:color="auto"/>
              <w:bottom w:val="single" w:sz="4" w:space="0" w:color="auto"/>
            </w:tcBorders>
          </w:tcPr>
          <w:p w:rsidR="005D2A34" w:rsidRPr="004C3868" w:rsidRDefault="004C3868" w:rsidP="005D2A34">
            <w:pPr>
              <w:spacing w:after="0"/>
              <w:rPr>
                <w:sz w:val="18"/>
                <w:szCs w:val="18"/>
              </w:rPr>
            </w:pPr>
            <w:r w:rsidRPr="004C3868">
              <w:rPr>
                <w:sz w:val="18"/>
                <w:szCs w:val="18"/>
              </w:rPr>
              <w:t>2002</w:t>
            </w:r>
          </w:p>
        </w:tc>
        <w:tc>
          <w:tcPr>
            <w:tcW w:w="658" w:type="dxa"/>
            <w:tcBorders>
              <w:top w:val="single" w:sz="4" w:space="0" w:color="auto"/>
              <w:bottom w:val="single" w:sz="4" w:space="0" w:color="auto"/>
            </w:tcBorders>
          </w:tcPr>
          <w:p w:rsidR="005D2A34" w:rsidRPr="004C3868" w:rsidRDefault="004C3868" w:rsidP="005D2A34">
            <w:pPr>
              <w:spacing w:after="0"/>
              <w:rPr>
                <w:sz w:val="18"/>
                <w:szCs w:val="18"/>
              </w:rPr>
            </w:pPr>
            <w:r w:rsidRPr="004C3868">
              <w:rPr>
                <w:sz w:val="18"/>
                <w:szCs w:val="18"/>
              </w:rPr>
              <w:t>2003</w:t>
            </w:r>
          </w:p>
        </w:tc>
        <w:tc>
          <w:tcPr>
            <w:tcW w:w="659" w:type="dxa"/>
            <w:tcBorders>
              <w:top w:val="single" w:sz="4" w:space="0" w:color="auto"/>
              <w:bottom w:val="single" w:sz="4" w:space="0" w:color="auto"/>
            </w:tcBorders>
          </w:tcPr>
          <w:p w:rsidR="005D2A34" w:rsidRPr="004C3868" w:rsidRDefault="004C3868" w:rsidP="005D2A34">
            <w:pPr>
              <w:spacing w:after="0"/>
              <w:rPr>
                <w:sz w:val="18"/>
                <w:szCs w:val="18"/>
              </w:rPr>
            </w:pPr>
            <w:r w:rsidRPr="004C3868">
              <w:rPr>
                <w:sz w:val="18"/>
                <w:szCs w:val="18"/>
              </w:rPr>
              <w:t>2004</w:t>
            </w:r>
          </w:p>
        </w:tc>
        <w:tc>
          <w:tcPr>
            <w:tcW w:w="659" w:type="dxa"/>
            <w:tcBorders>
              <w:top w:val="single" w:sz="4" w:space="0" w:color="auto"/>
              <w:bottom w:val="single" w:sz="4" w:space="0" w:color="auto"/>
            </w:tcBorders>
          </w:tcPr>
          <w:p w:rsidR="005D2A34" w:rsidRPr="004C3868" w:rsidRDefault="004C3868" w:rsidP="005D2A34">
            <w:pPr>
              <w:spacing w:after="0"/>
              <w:rPr>
                <w:sz w:val="18"/>
                <w:szCs w:val="18"/>
              </w:rPr>
            </w:pPr>
            <w:r w:rsidRPr="004C3868">
              <w:rPr>
                <w:sz w:val="18"/>
                <w:szCs w:val="18"/>
              </w:rPr>
              <w:t>2005</w:t>
            </w:r>
          </w:p>
        </w:tc>
        <w:tc>
          <w:tcPr>
            <w:tcW w:w="659" w:type="dxa"/>
            <w:tcBorders>
              <w:top w:val="single" w:sz="4" w:space="0" w:color="auto"/>
              <w:bottom w:val="single" w:sz="4" w:space="0" w:color="auto"/>
              <w:right w:val="single" w:sz="4" w:space="0" w:color="auto"/>
            </w:tcBorders>
          </w:tcPr>
          <w:p w:rsidR="005D2A34" w:rsidRPr="004C3868" w:rsidRDefault="004C3868" w:rsidP="005D2A34">
            <w:pPr>
              <w:spacing w:after="0"/>
              <w:rPr>
                <w:sz w:val="18"/>
                <w:szCs w:val="18"/>
              </w:rPr>
            </w:pPr>
            <w:r w:rsidRPr="004C3868">
              <w:rPr>
                <w:sz w:val="18"/>
                <w:szCs w:val="18"/>
              </w:rPr>
              <w:t>2006</w:t>
            </w:r>
          </w:p>
        </w:tc>
      </w:tr>
      <w:tr w:rsidR="004C3868" w:rsidRPr="004C3868" w:rsidTr="00C407C2">
        <w:tc>
          <w:tcPr>
            <w:tcW w:w="1477" w:type="dxa"/>
            <w:tcBorders>
              <w:top w:val="nil"/>
              <w:left w:val="single" w:sz="4" w:space="0" w:color="auto"/>
              <w:bottom w:val="single" w:sz="4" w:space="0" w:color="auto"/>
              <w:right w:val="single" w:sz="4" w:space="0" w:color="auto"/>
            </w:tcBorders>
          </w:tcPr>
          <w:p w:rsidR="004C3868" w:rsidRPr="004C3868" w:rsidRDefault="004C3868" w:rsidP="005D2A34">
            <w:pPr>
              <w:spacing w:after="0"/>
              <w:rPr>
                <w:sz w:val="18"/>
                <w:szCs w:val="18"/>
              </w:rPr>
            </w:pPr>
          </w:p>
        </w:tc>
        <w:tc>
          <w:tcPr>
            <w:tcW w:w="7905" w:type="dxa"/>
            <w:gridSpan w:val="12"/>
            <w:tcBorders>
              <w:top w:val="single" w:sz="4" w:space="0" w:color="auto"/>
              <w:left w:val="single" w:sz="4" w:space="0" w:color="auto"/>
              <w:bottom w:val="single" w:sz="4" w:space="0" w:color="auto"/>
              <w:right w:val="single" w:sz="4" w:space="0" w:color="auto"/>
            </w:tcBorders>
          </w:tcPr>
          <w:p w:rsidR="004C3868" w:rsidRPr="004C3868" w:rsidRDefault="00AC30EE" w:rsidP="004C3868">
            <w:pPr>
              <w:spacing w:after="0"/>
              <w:jc w:val="center"/>
              <w:rPr>
                <w:sz w:val="18"/>
                <w:szCs w:val="18"/>
              </w:rPr>
            </w:pPr>
            <w:r>
              <w:rPr>
                <w:sz w:val="18"/>
                <w:szCs w:val="18"/>
              </w:rPr>
              <w:t>M</w:t>
            </w:r>
            <w:r w:rsidR="004C3868">
              <w:rPr>
                <w:sz w:val="18"/>
                <w:szCs w:val="18"/>
              </w:rPr>
              <w:t>en and women</w:t>
            </w:r>
          </w:p>
        </w:tc>
      </w:tr>
      <w:tr w:rsidR="004C3868" w:rsidRPr="004C3868" w:rsidTr="005A52DB">
        <w:tc>
          <w:tcPr>
            <w:tcW w:w="1477" w:type="dxa"/>
            <w:tcBorders>
              <w:top w:val="single" w:sz="4" w:space="0" w:color="auto"/>
              <w:left w:val="single" w:sz="4" w:space="0" w:color="auto"/>
            </w:tcBorders>
          </w:tcPr>
          <w:p w:rsidR="005D2A34" w:rsidRPr="004C3868" w:rsidRDefault="004C3868" w:rsidP="005D2A34">
            <w:pPr>
              <w:spacing w:after="0"/>
              <w:rPr>
                <w:sz w:val="18"/>
                <w:szCs w:val="18"/>
              </w:rPr>
            </w:pPr>
            <w:r>
              <w:rPr>
                <w:sz w:val="18"/>
                <w:szCs w:val="18"/>
              </w:rPr>
              <w:t>Ethnic Dutch</w:t>
            </w:r>
          </w:p>
        </w:tc>
        <w:tc>
          <w:tcPr>
            <w:tcW w:w="658" w:type="dxa"/>
            <w:tcBorders>
              <w:top w:val="single" w:sz="4" w:space="0" w:color="auto"/>
            </w:tcBorders>
          </w:tcPr>
          <w:p w:rsidR="005D2A34" w:rsidRPr="004C3868" w:rsidRDefault="00C407C2" w:rsidP="005A52DB">
            <w:pPr>
              <w:spacing w:after="0"/>
              <w:ind w:right="113"/>
              <w:jc w:val="right"/>
              <w:rPr>
                <w:sz w:val="18"/>
                <w:szCs w:val="18"/>
              </w:rPr>
            </w:pPr>
            <w:r>
              <w:rPr>
                <w:sz w:val="18"/>
                <w:szCs w:val="18"/>
              </w:rPr>
              <w:t>7.0</w:t>
            </w:r>
          </w:p>
        </w:tc>
        <w:tc>
          <w:tcPr>
            <w:tcW w:w="659" w:type="dxa"/>
            <w:tcBorders>
              <w:top w:val="single" w:sz="4" w:space="0" w:color="auto"/>
            </w:tcBorders>
          </w:tcPr>
          <w:p w:rsidR="005D2A34" w:rsidRPr="004C3868" w:rsidRDefault="00C407C2" w:rsidP="005A52DB">
            <w:pPr>
              <w:spacing w:after="0"/>
              <w:ind w:right="113"/>
              <w:jc w:val="right"/>
              <w:rPr>
                <w:sz w:val="18"/>
                <w:szCs w:val="18"/>
              </w:rPr>
            </w:pPr>
            <w:r>
              <w:rPr>
                <w:sz w:val="18"/>
                <w:szCs w:val="18"/>
              </w:rPr>
              <w:t>6.2</w:t>
            </w:r>
          </w:p>
        </w:tc>
        <w:tc>
          <w:tcPr>
            <w:tcW w:w="659" w:type="dxa"/>
            <w:tcBorders>
              <w:top w:val="single" w:sz="4" w:space="0" w:color="auto"/>
            </w:tcBorders>
          </w:tcPr>
          <w:p w:rsidR="005D2A34" w:rsidRPr="004C3868" w:rsidRDefault="00C407C2" w:rsidP="005A52DB">
            <w:pPr>
              <w:spacing w:after="0"/>
              <w:ind w:right="113"/>
              <w:jc w:val="right"/>
              <w:rPr>
                <w:sz w:val="18"/>
                <w:szCs w:val="18"/>
              </w:rPr>
            </w:pPr>
            <w:r>
              <w:rPr>
                <w:sz w:val="18"/>
                <w:szCs w:val="18"/>
              </w:rPr>
              <w:t>5.2</w:t>
            </w:r>
          </w:p>
        </w:tc>
        <w:tc>
          <w:tcPr>
            <w:tcW w:w="659" w:type="dxa"/>
            <w:tcBorders>
              <w:top w:val="single" w:sz="4" w:space="0" w:color="auto"/>
            </w:tcBorders>
          </w:tcPr>
          <w:p w:rsidR="005D2A34" w:rsidRPr="004C3868" w:rsidRDefault="00C407C2" w:rsidP="005A52DB">
            <w:pPr>
              <w:spacing w:after="0"/>
              <w:ind w:right="113"/>
              <w:jc w:val="right"/>
              <w:rPr>
                <w:sz w:val="18"/>
                <w:szCs w:val="18"/>
              </w:rPr>
            </w:pPr>
            <w:r>
              <w:rPr>
                <w:sz w:val="18"/>
                <w:szCs w:val="18"/>
              </w:rPr>
              <w:t>4.1</w:t>
            </w:r>
          </w:p>
        </w:tc>
        <w:tc>
          <w:tcPr>
            <w:tcW w:w="658" w:type="dxa"/>
            <w:tcBorders>
              <w:top w:val="single" w:sz="4" w:space="0" w:color="auto"/>
            </w:tcBorders>
          </w:tcPr>
          <w:p w:rsidR="005D2A34" w:rsidRPr="004C3868" w:rsidRDefault="00C407C2" w:rsidP="005A52DB">
            <w:pPr>
              <w:spacing w:after="0"/>
              <w:ind w:right="113"/>
              <w:jc w:val="right"/>
              <w:rPr>
                <w:sz w:val="18"/>
                <w:szCs w:val="18"/>
              </w:rPr>
            </w:pPr>
            <w:r>
              <w:rPr>
                <w:sz w:val="18"/>
                <w:szCs w:val="18"/>
              </w:rPr>
              <w:t>3.4</w:t>
            </w:r>
          </w:p>
        </w:tc>
        <w:tc>
          <w:tcPr>
            <w:tcW w:w="659" w:type="dxa"/>
            <w:tcBorders>
              <w:top w:val="single" w:sz="4" w:space="0" w:color="auto"/>
            </w:tcBorders>
          </w:tcPr>
          <w:p w:rsidR="005D2A34" w:rsidRPr="004C3868" w:rsidRDefault="00C407C2" w:rsidP="005A52DB">
            <w:pPr>
              <w:spacing w:after="0"/>
              <w:ind w:right="113"/>
              <w:jc w:val="right"/>
              <w:rPr>
                <w:sz w:val="18"/>
                <w:szCs w:val="18"/>
              </w:rPr>
            </w:pPr>
            <w:r>
              <w:rPr>
                <w:sz w:val="18"/>
                <w:szCs w:val="18"/>
              </w:rPr>
              <w:t>3.0</w:t>
            </w:r>
          </w:p>
        </w:tc>
        <w:tc>
          <w:tcPr>
            <w:tcW w:w="659" w:type="dxa"/>
            <w:tcBorders>
              <w:top w:val="single" w:sz="4" w:space="0" w:color="auto"/>
            </w:tcBorders>
          </w:tcPr>
          <w:p w:rsidR="005D2A34" w:rsidRPr="004C3868" w:rsidRDefault="00C407C2" w:rsidP="005A52DB">
            <w:pPr>
              <w:spacing w:after="0"/>
              <w:ind w:right="113"/>
              <w:jc w:val="right"/>
              <w:rPr>
                <w:sz w:val="18"/>
                <w:szCs w:val="18"/>
              </w:rPr>
            </w:pPr>
            <w:r>
              <w:rPr>
                <w:sz w:val="18"/>
                <w:szCs w:val="18"/>
              </w:rPr>
              <w:t>2.9</w:t>
            </w:r>
          </w:p>
        </w:tc>
        <w:tc>
          <w:tcPr>
            <w:tcW w:w="659" w:type="dxa"/>
            <w:tcBorders>
              <w:top w:val="single" w:sz="4" w:space="0" w:color="auto"/>
            </w:tcBorders>
          </w:tcPr>
          <w:p w:rsidR="005D2A34" w:rsidRPr="004C3868" w:rsidRDefault="00C407C2" w:rsidP="005A52DB">
            <w:pPr>
              <w:spacing w:after="0"/>
              <w:ind w:right="113"/>
              <w:jc w:val="right"/>
              <w:rPr>
                <w:sz w:val="18"/>
                <w:szCs w:val="18"/>
              </w:rPr>
            </w:pPr>
            <w:r>
              <w:rPr>
                <w:sz w:val="18"/>
                <w:szCs w:val="18"/>
              </w:rPr>
              <w:t>3.4</w:t>
            </w:r>
          </w:p>
        </w:tc>
        <w:tc>
          <w:tcPr>
            <w:tcW w:w="658" w:type="dxa"/>
            <w:tcBorders>
              <w:top w:val="single" w:sz="4" w:space="0" w:color="auto"/>
            </w:tcBorders>
          </w:tcPr>
          <w:p w:rsidR="005D2A34" w:rsidRPr="004C3868" w:rsidRDefault="00C407C2" w:rsidP="005A52DB">
            <w:pPr>
              <w:spacing w:after="0"/>
              <w:ind w:right="113"/>
              <w:jc w:val="right"/>
              <w:rPr>
                <w:sz w:val="18"/>
                <w:szCs w:val="18"/>
              </w:rPr>
            </w:pPr>
            <w:r>
              <w:rPr>
                <w:sz w:val="18"/>
                <w:szCs w:val="18"/>
              </w:rPr>
              <w:t>4.3</w:t>
            </w:r>
          </w:p>
        </w:tc>
        <w:tc>
          <w:tcPr>
            <w:tcW w:w="659" w:type="dxa"/>
            <w:tcBorders>
              <w:top w:val="single" w:sz="4" w:space="0" w:color="auto"/>
            </w:tcBorders>
          </w:tcPr>
          <w:p w:rsidR="005D2A34" w:rsidRPr="004C3868" w:rsidRDefault="00C407C2" w:rsidP="005A52DB">
            <w:pPr>
              <w:spacing w:after="0"/>
              <w:ind w:right="113"/>
              <w:jc w:val="right"/>
              <w:rPr>
                <w:sz w:val="18"/>
                <w:szCs w:val="18"/>
              </w:rPr>
            </w:pPr>
            <w:r>
              <w:rPr>
                <w:sz w:val="18"/>
                <w:szCs w:val="18"/>
              </w:rPr>
              <w:t>5.3</w:t>
            </w:r>
          </w:p>
        </w:tc>
        <w:tc>
          <w:tcPr>
            <w:tcW w:w="659" w:type="dxa"/>
            <w:tcBorders>
              <w:top w:val="single" w:sz="4" w:space="0" w:color="auto"/>
            </w:tcBorders>
          </w:tcPr>
          <w:p w:rsidR="005D2A34" w:rsidRPr="004C3868" w:rsidRDefault="00C407C2" w:rsidP="005A52DB">
            <w:pPr>
              <w:spacing w:after="0"/>
              <w:ind w:right="113"/>
              <w:jc w:val="right"/>
              <w:rPr>
                <w:sz w:val="18"/>
                <w:szCs w:val="18"/>
              </w:rPr>
            </w:pPr>
            <w:r>
              <w:rPr>
                <w:sz w:val="18"/>
                <w:szCs w:val="18"/>
              </w:rPr>
              <w:t>5.2</w:t>
            </w:r>
          </w:p>
        </w:tc>
        <w:tc>
          <w:tcPr>
            <w:tcW w:w="659" w:type="dxa"/>
            <w:tcBorders>
              <w:top w:val="single" w:sz="4" w:space="0" w:color="auto"/>
              <w:right w:val="single" w:sz="4" w:space="0" w:color="auto"/>
            </w:tcBorders>
          </w:tcPr>
          <w:p w:rsidR="005D2A34" w:rsidRPr="004C3868" w:rsidRDefault="00C407C2" w:rsidP="005A52DB">
            <w:pPr>
              <w:spacing w:after="0"/>
              <w:ind w:right="113"/>
              <w:jc w:val="right"/>
              <w:rPr>
                <w:sz w:val="18"/>
                <w:szCs w:val="18"/>
              </w:rPr>
            </w:pPr>
            <w:r>
              <w:rPr>
                <w:sz w:val="18"/>
                <w:szCs w:val="18"/>
              </w:rPr>
              <w:t>4.3</w:t>
            </w:r>
          </w:p>
        </w:tc>
      </w:tr>
      <w:tr w:rsidR="004C3868" w:rsidRPr="004C3868" w:rsidTr="005A52DB">
        <w:tc>
          <w:tcPr>
            <w:tcW w:w="1477" w:type="dxa"/>
            <w:tcBorders>
              <w:left w:val="single" w:sz="4" w:space="0" w:color="auto"/>
            </w:tcBorders>
          </w:tcPr>
          <w:p w:rsidR="005D2A34" w:rsidRPr="004C3868" w:rsidRDefault="004C3868" w:rsidP="005D2A34">
            <w:pPr>
              <w:spacing w:after="0"/>
              <w:rPr>
                <w:sz w:val="18"/>
                <w:szCs w:val="18"/>
              </w:rPr>
            </w:pPr>
            <w:r>
              <w:rPr>
                <w:sz w:val="18"/>
                <w:szCs w:val="18"/>
              </w:rPr>
              <w:t>Turkish</w:t>
            </w:r>
          </w:p>
        </w:tc>
        <w:tc>
          <w:tcPr>
            <w:tcW w:w="658" w:type="dxa"/>
          </w:tcPr>
          <w:p w:rsidR="005D2A34" w:rsidRPr="004C3868" w:rsidRDefault="00C407C2" w:rsidP="005A52DB">
            <w:pPr>
              <w:spacing w:after="0"/>
              <w:ind w:right="113"/>
              <w:jc w:val="right"/>
              <w:rPr>
                <w:sz w:val="18"/>
                <w:szCs w:val="18"/>
              </w:rPr>
            </w:pPr>
            <w:r>
              <w:rPr>
                <w:sz w:val="18"/>
                <w:szCs w:val="18"/>
              </w:rPr>
              <w:t>28.8</w:t>
            </w:r>
          </w:p>
        </w:tc>
        <w:tc>
          <w:tcPr>
            <w:tcW w:w="659" w:type="dxa"/>
          </w:tcPr>
          <w:p w:rsidR="005D2A34" w:rsidRPr="004C3868" w:rsidRDefault="00C407C2" w:rsidP="005A52DB">
            <w:pPr>
              <w:spacing w:after="0"/>
              <w:ind w:right="113"/>
              <w:jc w:val="right"/>
              <w:rPr>
                <w:sz w:val="18"/>
                <w:szCs w:val="18"/>
              </w:rPr>
            </w:pPr>
            <w:r>
              <w:rPr>
                <w:sz w:val="18"/>
                <w:szCs w:val="18"/>
              </w:rPr>
              <w:t>24.0</w:t>
            </w:r>
          </w:p>
        </w:tc>
        <w:tc>
          <w:tcPr>
            <w:tcW w:w="659" w:type="dxa"/>
          </w:tcPr>
          <w:p w:rsidR="005D2A34" w:rsidRPr="004C3868" w:rsidRDefault="00C407C2" w:rsidP="005A52DB">
            <w:pPr>
              <w:spacing w:after="0"/>
              <w:ind w:right="113"/>
              <w:jc w:val="right"/>
              <w:rPr>
                <w:sz w:val="18"/>
                <w:szCs w:val="18"/>
              </w:rPr>
            </w:pPr>
            <w:r>
              <w:rPr>
                <w:sz w:val="18"/>
                <w:szCs w:val="18"/>
              </w:rPr>
              <w:t>21.8</w:t>
            </w:r>
          </w:p>
        </w:tc>
        <w:tc>
          <w:tcPr>
            <w:tcW w:w="659" w:type="dxa"/>
          </w:tcPr>
          <w:p w:rsidR="005D2A34" w:rsidRPr="004C3868" w:rsidRDefault="00C407C2" w:rsidP="005A52DB">
            <w:pPr>
              <w:spacing w:after="0"/>
              <w:ind w:right="113"/>
              <w:jc w:val="right"/>
              <w:rPr>
                <w:sz w:val="18"/>
                <w:szCs w:val="18"/>
              </w:rPr>
            </w:pPr>
            <w:r>
              <w:rPr>
                <w:sz w:val="18"/>
                <w:szCs w:val="18"/>
              </w:rPr>
              <w:t>16.0</w:t>
            </w:r>
          </w:p>
        </w:tc>
        <w:tc>
          <w:tcPr>
            <w:tcW w:w="658" w:type="dxa"/>
          </w:tcPr>
          <w:p w:rsidR="005D2A34" w:rsidRPr="004C3868" w:rsidRDefault="00C407C2" w:rsidP="005A52DB">
            <w:pPr>
              <w:spacing w:after="0"/>
              <w:ind w:right="113"/>
              <w:jc w:val="right"/>
              <w:rPr>
                <w:sz w:val="18"/>
                <w:szCs w:val="18"/>
              </w:rPr>
            </w:pPr>
            <w:r>
              <w:rPr>
                <w:sz w:val="18"/>
                <w:szCs w:val="18"/>
              </w:rPr>
              <w:t>12.9</w:t>
            </w:r>
          </w:p>
        </w:tc>
        <w:tc>
          <w:tcPr>
            <w:tcW w:w="659" w:type="dxa"/>
          </w:tcPr>
          <w:p w:rsidR="005D2A34" w:rsidRPr="004C3868" w:rsidRDefault="00C407C2" w:rsidP="005A52DB">
            <w:pPr>
              <w:spacing w:after="0"/>
              <w:ind w:right="113"/>
              <w:jc w:val="right"/>
              <w:rPr>
                <w:sz w:val="18"/>
                <w:szCs w:val="18"/>
              </w:rPr>
            </w:pPr>
            <w:r>
              <w:rPr>
                <w:sz w:val="18"/>
                <w:szCs w:val="18"/>
              </w:rPr>
              <w:t>9.1</w:t>
            </w:r>
          </w:p>
        </w:tc>
        <w:tc>
          <w:tcPr>
            <w:tcW w:w="659" w:type="dxa"/>
          </w:tcPr>
          <w:p w:rsidR="005D2A34" w:rsidRPr="004C3868" w:rsidRDefault="00C407C2" w:rsidP="005A52DB">
            <w:pPr>
              <w:spacing w:after="0"/>
              <w:ind w:right="113"/>
              <w:jc w:val="right"/>
              <w:rPr>
                <w:sz w:val="18"/>
                <w:szCs w:val="18"/>
              </w:rPr>
            </w:pPr>
            <w:r>
              <w:rPr>
                <w:sz w:val="18"/>
                <w:szCs w:val="18"/>
              </w:rPr>
              <w:t>8.0</w:t>
            </w:r>
          </w:p>
        </w:tc>
        <w:tc>
          <w:tcPr>
            <w:tcW w:w="659" w:type="dxa"/>
          </w:tcPr>
          <w:p w:rsidR="005D2A34" w:rsidRPr="004C3868" w:rsidRDefault="00C407C2" w:rsidP="005A52DB">
            <w:pPr>
              <w:spacing w:after="0"/>
              <w:ind w:right="113"/>
              <w:jc w:val="right"/>
              <w:rPr>
                <w:sz w:val="18"/>
                <w:szCs w:val="18"/>
              </w:rPr>
            </w:pPr>
            <w:r>
              <w:rPr>
                <w:sz w:val="18"/>
                <w:szCs w:val="18"/>
              </w:rPr>
              <w:t>9.2</w:t>
            </w:r>
          </w:p>
        </w:tc>
        <w:tc>
          <w:tcPr>
            <w:tcW w:w="658" w:type="dxa"/>
          </w:tcPr>
          <w:p w:rsidR="005D2A34" w:rsidRPr="004C3868" w:rsidRDefault="00C407C2" w:rsidP="005A52DB">
            <w:pPr>
              <w:spacing w:after="0"/>
              <w:ind w:right="113"/>
              <w:jc w:val="right"/>
              <w:rPr>
                <w:sz w:val="18"/>
                <w:szCs w:val="18"/>
              </w:rPr>
            </w:pPr>
            <w:r>
              <w:rPr>
                <w:sz w:val="18"/>
                <w:szCs w:val="18"/>
              </w:rPr>
              <w:t>14.3</w:t>
            </w:r>
          </w:p>
        </w:tc>
        <w:tc>
          <w:tcPr>
            <w:tcW w:w="659" w:type="dxa"/>
          </w:tcPr>
          <w:p w:rsidR="005D2A34" w:rsidRPr="004C3868" w:rsidRDefault="00C407C2" w:rsidP="005A52DB">
            <w:pPr>
              <w:spacing w:after="0"/>
              <w:ind w:right="113"/>
              <w:jc w:val="right"/>
              <w:rPr>
                <w:sz w:val="18"/>
                <w:szCs w:val="18"/>
              </w:rPr>
            </w:pPr>
            <w:r>
              <w:rPr>
                <w:sz w:val="18"/>
                <w:szCs w:val="18"/>
              </w:rPr>
              <w:t>13.9</w:t>
            </w:r>
          </w:p>
        </w:tc>
        <w:tc>
          <w:tcPr>
            <w:tcW w:w="659" w:type="dxa"/>
          </w:tcPr>
          <w:p w:rsidR="005D2A34" w:rsidRPr="004C3868" w:rsidRDefault="00C407C2" w:rsidP="005A52DB">
            <w:pPr>
              <w:spacing w:after="0"/>
              <w:ind w:right="113"/>
              <w:jc w:val="right"/>
              <w:rPr>
                <w:sz w:val="18"/>
                <w:szCs w:val="18"/>
              </w:rPr>
            </w:pPr>
            <w:r>
              <w:rPr>
                <w:sz w:val="18"/>
                <w:szCs w:val="18"/>
              </w:rPr>
              <w:t>14.4</w:t>
            </w:r>
          </w:p>
        </w:tc>
        <w:tc>
          <w:tcPr>
            <w:tcW w:w="659" w:type="dxa"/>
            <w:tcBorders>
              <w:right w:val="single" w:sz="4" w:space="0" w:color="auto"/>
            </w:tcBorders>
          </w:tcPr>
          <w:p w:rsidR="005D2A34" w:rsidRPr="004C3868" w:rsidRDefault="00C407C2" w:rsidP="005A52DB">
            <w:pPr>
              <w:spacing w:after="0"/>
              <w:ind w:right="113"/>
              <w:jc w:val="right"/>
              <w:rPr>
                <w:sz w:val="18"/>
                <w:szCs w:val="18"/>
              </w:rPr>
            </w:pPr>
            <w:r>
              <w:rPr>
                <w:sz w:val="18"/>
                <w:szCs w:val="18"/>
              </w:rPr>
              <w:t>15.1</w:t>
            </w:r>
          </w:p>
        </w:tc>
      </w:tr>
      <w:tr w:rsidR="004C3868" w:rsidRPr="004C3868" w:rsidTr="005A52DB">
        <w:tc>
          <w:tcPr>
            <w:tcW w:w="1477" w:type="dxa"/>
            <w:tcBorders>
              <w:left w:val="single" w:sz="4" w:space="0" w:color="auto"/>
            </w:tcBorders>
          </w:tcPr>
          <w:p w:rsidR="005D2A34" w:rsidRPr="004C3868" w:rsidRDefault="004C3868" w:rsidP="005D2A34">
            <w:pPr>
              <w:spacing w:after="0"/>
              <w:rPr>
                <w:sz w:val="18"/>
                <w:szCs w:val="18"/>
              </w:rPr>
            </w:pPr>
            <w:r>
              <w:rPr>
                <w:sz w:val="18"/>
                <w:szCs w:val="18"/>
              </w:rPr>
              <w:t>Moroccan</w:t>
            </w:r>
          </w:p>
        </w:tc>
        <w:tc>
          <w:tcPr>
            <w:tcW w:w="658" w:type="dxa"/>
          </w:tcPr>
          <w:p w:rsidR="005D2A34" w:rsidRPr="004C3868" w:rsidRDefault="00C407C2" w:rsidP="005A52DB">
            <w:pPr>
              <w:spacing w:after="0"/>
              <w:ind w:right="113"/>
              <w:jc w:val="right"/>
              <w:rPr>
                <w:sz w:val="18"/>
                <w:szCs w:val="18"/>
              </w:rPr>
            </w:pPr>
            <w:r>
              <w:rPr>
                <w:sz w:val="18"/>
                <w:szCs w:val="18"/>
              </w:rPr>
              <w:t>32.0</w:t>
            </w:r>
          </w:p>
        </w:tc>
        <w:tc>
          <w:tcPr>
            <w:tcW w:w="659" w:type="dxa"/>
          </w:tcPr>
          <w:p w:rsidR="005D2A34" w:rsidRPr="004C3868" w:rsidRDefault="00C407C2" w:rsidP="005A52DB">
            <w:pPr>
              <w:spacing w:after="0"/>
              <w:ind w:right="113"/>
              <w:jc w:val="right"/>
              <w:rPr>
                <w:sz w:val="18"/>
                <w:szCs w:val="18"/>
              </w:rPr>
            </w:pPr>
            <w:r>
              <w:rPr>
                <w:sz w:val="18"/>
                <w:szCs w:val="18"/>
              </w:rPr>
              <w:t>28.0</w:t>
            </w:r>
          </w:p>
        </w:tc>
        <w:tc>
          <w:tcPr>
            <w:tcW w:w="659" w:type="dxa"/>
          </w:tcPr>
          <w:p w:rsidR="005D2A34" w:rsidRPr="004C3868" w:rsidRDefault="00C407C2" w:rsidP="005A52DB">
            <w:pPr>
              <w:spacing w:after="0"/>
              <w:ind w:right="113"/>
              <w:jc w:val="right"/>
              <w:rPr>
                <w:sz w:val="18"/>
                <w:szCs w:val="18"/>
              </w:rPr>
            </w:pPr>
            <w:r>
              <w:rPr>
                <w:sz w:val="18"/>
                <w:szCs w:val="18"/>
              </w:rPr>
              <w:t>21.7</w:t>
            </w:r>
          </w:p>
        </w:tc>
        <w:tc>
          <w:tcPr>
            <w:tcW w:w="659" w:type="dxa"/>
          </w:tcPr>
          <w:p w:rsidR="005D2A34" w:rsidRPr="004C3868" w:rsidRDefault="00C407C2" w:rsidP="005A52DB">
            <w:pPr>
              <w:spacing w:after="0"/>
              <w:ind w:right="113"/>
              <w:jc w:val="right"/>
              <w:rPr>
                <w:sz w:val="18"/>
                <w:szCs w:val="18"/>
              </w:rPr>
            </w:pPr>
            <w:r>
              <w:rPr>
                <w:sz w:val="18"/>
                <w:szCs w:val="18"/>
              </w:rPr>
              <w:t>19.6</w:t>
            </w:r>
          </w:p>
        </w:tc>
        <w:tc>
          <w:tcPr>
            <w:tcW w:w="658" w:type="dxa"/>
          </w:tcPr>
          <w:p w:rsidR="005D2A34" w:rsidRPr="004C3868" w:rsidRDefault="00C407C2" w:rsidP="005A52DB">
            <w:pPr>
              <w:spacing w:after="0"/>
              <w:ind w:right="113"/>
              <w:jc w:val="right"/>
              <w:rPr>
                <w:sz w:val="18"/>
                <w:szCs w:val="18"/>
              </w:rPr>
            </w:pPr>
            <w:r>
              <w:rPr>
                <w:sz w:val="18"/>
                <w:szCs w:val="18"/>
              </w:rPr>
              <w:t>16.3</w:t>
            </w:r>
          </w:p>
        </w:tc>
        <w:tc>
          <w:tcPr>
            <w:tcW w:w="659" w:type="dxa"/>
          </w:tcPr>
          <w:p w:rsidR="005D2A34" w:rsidRPr="004C3868" w:rsidRDefault="00C407C2" w:rsidP="005A52DB">
            <w:pPr>
              <w:spacing w:after="0"/>
              <w:ind w:right="113"/>
              <w:jc w:val="right"/>
              <w:rPr>
                <w:sz w:val="18"/>
                <w:szCs w:val="18"/>
              </w:rPr>
            </w:pPr>
            <w:r>
              <w:rPr>
                <w:sz w:val="18"/>
                <w:szCs w:val="18"/>
              </w:rPr>
              <w:t>13.0</w:t>
            </w:r>
          </w:p>
        </w:tc>
        <w:tc>
          <w:tcPr>
            <w:tcW w:w="659" w:type="dxa"/>
          </w:tcPr>
          <w:p w:rsidR="005D2A34" w:rsidRPr="004C3868" w:rsidRDefault="00C407C2" w:rsidP="005A52DB">
            <w:pPr>
              <w:spacing w:after="0"/>
              <w:ind w:right="113"/>
              <w:jc w:val="right"/>
              <w:rPr>
                <w:sz w:val="18"/>
                <w:szCs w:val="18"/>
              </w:rPr>
            </w:pPr>
            <w:r>
              <w:rPr>
                <w:sz w:val="18"/>
                <w:szCs w:val="18"/>
              </w:rPr>
              <w:t>10.0</w:t>
            </w:r>
          </w:p>
        </w:tc>
        <w:tc>
          <w:tcPr>
            <w:tcW w:w="659" w:type="dxa"/>
          </w:tcPr>
          <w:p w:rsidR="005D2A34" w:rsidRPr="004C3868" w:rsidRDefault="00C407C2" w:rsidP="005A52DB">
            <w:pPr>
              <w:spacing w:after="0"/>
              <w:ind w:right="113"/>
              <w:jc w:val="right"/>
              <w:rPr>
                <w:sz w:val="18"/>
                <w:szCs w:val="18"/>
              </w:rPr>
            </w:pPr>
            <w:r>
              <w:rPr>
                <w:sz w:val="18"/>
                <w:szCs w:val="18"/>
              </w:rPr>
              <w:t>9.7</w:t>
            </w:r>
          </w:p>
        </w:tc>
        <w:tc>
          <w:tcPr>
            <w:tcW w:w="658" w:type="dxa"/>
          </w:tcPr>
          <w:p w:rsidR="005D2A34" w:rsidRPr="004C3868" w:rsidRDefault="00C407C2" w:rsidP="005A52DB">
            <w:pPr>
              <w:spacing w:after="0"/>
              <w:ind w:right="113"/>
              <w:jc w:val="right"/>
              <w:rPr>
                <w:sz w:val="18"/>
                <w:szCs w:val="18"/>
              </w:rPr>
            </w:pPr>
            <w:r>
              <w:rPr>
                <w:sz w:val="18"/>
                <w:szCs w:val="18"/>
              </w:rPr>
              <w:t>17.1</w:t>
            </w:r>
          </w:p>
        </w:tc>
        <w:tc>
          <w:tcPr>
            <w:tcW w:w="659" w:type="dxa"/>
          </w:tcPr>
          <w:p w:rsidR="005D2A34" w:rsidRPr="004C3868" w:rsidRDefault="00C407C2" w:rsidP="005A52DB">
            <w:pPr>
              <w:spacing w:after="0"/>
              <w:ind w:right="113"/>
              <w:jc w:val="right"/>
              <w:rPr>
                <w:sz w:val="18"/>
                <w:szCs w:val="18"/>
              </w:rPr>
            </w:pPr>
            <w:r>
              <w:rPr>
                <w:sz w:val="18"/>
                <w:szCs w:val="18"/>
              </w:rPr>
              <w:t>22.1</w:t>
            </w:r>
          </w:p>
        </w:tc>
        <w:tc>
          <w:tcPr>
            <w:tcW w:w="659" w:type="dxa"/>
          </w:tcPr>
          <w:p w:rsidR="005D2A34" w:rsidRPr="004C3868" w:rsidRDefault="00C407C2" w:rsidP="005A52DB">
            <w:pPr>
              <w:spacing w:after="0"/>
              <w:ind w:right="113"/>
              <w:jc w:val="right"/>
              <w:rPr>
                <w:sz w:val="18"/>
                <w:szCs w:val="18"/>
              </w:rPr>
            </w:pPr>
            <w:r>
              <w:rPr>
                <w:sz w:val="18"/>
                <w:szCs w:val="18"/>
              </w:rPr>
              <w:t>19.9</w:t>
            </w:r>
          </w:p>
        </w:tc>
        <w:tc>
          <w:tcPr>
            <w:tcW w:w="659" w:type="dxa"/>
            <w:tcBorders>
              <w:right w:val="single" w:sz="4" w:space="0" w:color="auto"/>
            </w:tcBorders>
          </w:tcPr>
          <w:p w:rsidR="005D2A34" w:rsidRPr="004C3868" w:rsidRDefault="00C407C2" w:rsidP="005A52DB">
            <w:pPr>
              <w:spacing w:after="0"/>
              <w:ind w:right="113"/>
              <w:jc w:val="right"/>
              <w:rPr>
                <w:sz w:val="18"/>
                <w:szCs w:val="18"/>
              </w:rPr>
            </w:pPr>
            <w:r>
              <w:rPr>
                <w:sz w:val="18"/>
                <w:szCs w:val="18"/>
              </w:rPr>
              <w:t>17.2</w:t>
            </w:r>
          </w:p>
        </w:tc>
      </w:tr>
      <w:tr w:rsidR="004C3868" w:rsidRPr="004C3868" w:rsidTr="005A52DB">
        <w:tc>
          <w:tcPr>
            <w:tcW w:w="1477" w:type="dxa"/>
            <w:tcBorders>
              <w:left w:val="single" w:sz="4" w:space="0" w:color="auto"/>
            </w:tcBorders>
          </w:tcPr>
          <w:p w:rsidR="005D2A34" w:rsidRPr="004C3868" w:rsidRDefault="004C3868" w:rsidP="005D2A34">
            <w:pPr>
              <w:spacing w:after="0"/>
              <w:rPr>
                <w:sz w:val="18"/>
                <w:szCs w:val="18"/>
              </w:rPr>
            </w:pPr>
            <w:r>
              <w:rPr>
                <w:sz w:val="18"/>
                <w:szCs w:val="18"/>
              </w:rPr>
              <w:t>Surinamese</w:t>
            </w:r>
          </w:p>
        </w:tc>
        <w:tc>
          <w:tcPr>
            <w:tcW w:w="658" w:type="dxa"/>
          </w:tcPr>
          <w:p w:rsidR="005D2A34" w:rsidRPr="004C3868" w:rsidRDefault="00C407C2" w:rsidP="005A52DB">
            <w:pPr>
              <w:spacing w:after="0"/>
              <w:ind w:right="113"/>
              <w:jc w:val="right"/>
              <w:rPr>
                <w:sz w:val="18"/>
                <w:szCs w:val="18"/>
              </w:rPr>
            </w:pPr>
            <w:r>
              <w:rPr>
                <w:sz w:val="18"/>
                <w:szCs w:val="18"/>
              </w:rPr>
              <w:t>19.0</w:t>
            </w:r>
          </w:p>
        </w:tc>
        <w:tc>
          <w:tcPr>
            <w:tcW w:w="659" w:type="dxa"/>
          </w:tcPr>
          <w:p w:rsidR="005D2A34" w:rsidRPr="004C3868" w:rsidRDefault="00C407C2" w:rsidP="005A52DB">
            <w:pPr>
              <w:spacing w:after="0"/>
              <w:ind w:right="113"/>
              <w:jc w:val="right"/>
              <w:rPr>
                <w:sz w:val="18"/>
                <w:szCs w:val="18"/>
              </w:rPr>
            </w:pPr>
            <w:r>
              <w:rPr>
                <w:sz w:val="18"/>
                <w:szCs w:val="18"/>
              </w:rPr>
              <w:t>14.6</w:t>
            </w:r>
          </w:p>
        </w:tc>
        <w:tc>
          <w:tcPr>
            <w:tcW w:w="659" w:type="dxa"/>
          </w:tcPr>
          <w:p w:rsidR="005D2A34" w:rsidRPr="004C3868" w:rsidRDefault="00C407C2" w:rsidP="005A52DB">
            <w:pPr>
              <w:spacing w:after="0"/>
              <w:ind w:right="113"/>
              <w:jc w:val="right"/>
              <w:rPr>
                <w:sz w:val="18"/>
                <w:szCs w:val="18"/>
              </w:rPr>
            </w:pPr>
            <w:r>
              <w:rPr>
                <w:sz w:val="18"/>
                <w:szCs w:val="18"/>
              </w:rPr>
              <w:t>13.5</w:t>
            </w:r>
          </w:p>
        </w:tc>
        <w:tc>
          <w:tcPr>
            <w:tcW w:w="659" w:type="dxa"/>
          </w:tcPr>
          <w:p w:rsidR="005D2A34" w:rsidRPr="004C3868" w:rsidRDefault="00C407C2" w:rsidP="005A52DB">
            <w:pPr>
              <w:spacing w:after="0"/>
              <w:ind w:right="113"/>
              <w:jc w:val="right"/>
              <w:rPr>
                <w:sz w:val="18"/>
                <w:szCs w:val="18"/>
              </w:rPr>
            </w:pPr>
            <w:r>
              <w:rPr>
                <w:sz w:val="18"/>
                <w:szCs w:val="18"/>
              </w:rPr>
              <w:t>11.9</w:t>
            </w:r>
          </w:p>
        </w:tc>
        <w:tc>
          <w:tcPr>
            <w:tcW w:w="658" w:type="dxa"/>
          </w:tcPr>
          <w:p w:rsidR="005D2A34" w:rsidRPr="004C3868" w:rsidRDefault="00C407C2" w:rsidP="005A52DB">
            <w:pPr>
              <w:spacing w:after="0"/>
              <w:ind w:right="113"/>
              <w:jc w:val="right"/>
              <w:rPr>
                <w:sz w:val="18"/>
                <w:szCs w:val="18"/>
              </w:rPr>
            </w:pPr>
            <w:r>
              <w:rPr>
                <w:sz w:val="18"/>
                <w:szCs w:val="18"/>
              </w:rPr>
              <w:t>10.4</w:t>
            </w:r>
          </w:p>
        </w:tc>
        <w:tc>
          <w:tcPr>
            <w:tcW w:w="659" w:type="dxa"/>
          </w:tcPr>
          <w:p w:rsidR="005D2A34" w:rsidRPr="004C3868" w:rsidRDefault="00C407C2" w:rsidP="005A52DB">
            <w:pPr>
              <w:spacing w:after="0"/>
              <w:ind w:right="113"/>
              <w:jc w:val="right"/>
              <w:rPr>
                <w:sz w:val="18"/>
                <w:szCs w:val="18"/>
              </w:rPr>
            </w:pPr>
            <w:r>
              <w:rPr>
                <w:sz w:val="18"/>
                <w:szCs w:val="18"/>
              </w:rPr>
              <w:t>9.1</w:t>
            </w:r>
          </w:p>
        </w:tc>
        <w:tc>
          <w:tcPr>
            <w:tcW w:w="659" w:type="dxa"/>
          </w:tcPr>
          <w:p w:rsidR="005D2A34" w:rsidRPr="004C3868" w:rsidRDefault="00C407C2" w:rsidP="005A52DB">
            <w:pPr>
              <w:spacing w:after="0"/>
              <w:ind w:right="113"/>
              <w:jc w:val="right"/>
              <w:rPr>
                <w:sz w:val="18"/>
                <w:szCs w:val="18"/>
              </w:rPr>
            </w:pPr>
            <w:r>
              <w:rPr>
                <w:sz w:val="18"/>
                <w:szCs w:val="18"/>
              </w:rPr>
              <w:t>6.5</w:t>
            </w:r>
          </w:p>
        </w:tc>
        <w:tc>
          <w:tcPr>
            <w:tcW w:w="659" w:type="dxa"/>
          </w:tcPr>
          <w:p w:rsidR="005D2A34" w:rsidRPr="004C3868" w:rsidRDefault="00C407C2" w:rsidP="005A52DB">
            <w:pPr>
              <w:spacing w:after="0"/>
              <w:ind w:right="113"/>
              <w:jc w:val="right"/>
              <w:rPr>
                <w:sz w:val="18"/>
                <w:szCs w:val="18"/>
              </w:rPr>
            </w:pPr>
            <w:r>
              <w:rPr>
                <w:sz w:val="18"/>
                <w:szCs w:val="18"/>
              </w:rPr>
              <w:t>8.1</w:t>
            </w:r>
          </w:p>
        </w:tc>
        <w:tc>
          <w:tcPr>
            <w:tcW w:w="658" w:type="dxa"/>
          </w:tcPr>
          <w:p w:rsidR="005D2A34" w:rsidRPr="004C3868" w:rsidRDefault="00C407C2" w:rsidP="005A52DB">
            <w:pPr>
              <w:spacing w:after="0"/>
              <w:ind w:right="113"/>
              <w:jc w:val="right"/>
              <w:rPr>
                <w:sz w:val="18"/>
                <w:szCs w:val="18"/>
              </w:rPr>
            </w:pPr>
            <w:r>
              <w:rPr>
                <w:sz w:val="18"/>
                <w:szCs w:val="18"/>
              </w:rPr>
              <w:t>10.0</w:t>
            </w:r>
          </w:p>
        </w:tc>
        <w:tc>
          <w:tcPr>
            <w:tcW w:w="659" w:type="dxa"/>
          </w:tcPr>
          <w:p w:rsidR="005D2A34" w:rsidRPr="004C3868" w:rsidRDefault="00C407C2" w:rsidP="005A52DB">
            <w:pPr>
              <w:spacing w:after="0"/>
              <w:ind w:right="113"/>
              <w:jc w:val="right"/>
              <w:rPr>
                <w:sz w:val="18"/>
                <w:szCs w:val="18"/>
              </w:rPr>
            </w:pPr>
            <w:r>
              <w:rPr>
                <w:sz w:val="18"/>
                <w:szCs w:val="18"/>
              </w:rPr>
              <w:t>11.7</w:t>
            </w:r>
          </w:p>
        </w:tc>
        <w:tc>
          <w:tcPr>
            <w:tcW w:w="659" w:type="dxa"/>
          </w:tcPr>
          <w:p w:rsidR="005D2A34" w:rsidRPr="004C3868" w:rsidRDefault="00C407C2" w:rsidP="005A52DB">
            <w:pPr>
              <w:spacing w:after="0"/>
              <w:ind w:right="113"/>
              <w:jc w:val="right"/>
              <w:rPr>
                <w:sz w:val="18"/>
                <w:szCs w:val="18"/>
              </w:rPr>
            </w:pPr>
            <w:r>
              <w:rPr>
                <w:sz w:val="18"/>
                <w:szCs w:val="18"/>
              </w:rPr>
              <w:t>12.2</w:t>
            </w:r>
          </w:p>
        </w:tc>
        <w:tc>
          <w:tcPr>
            <w:tcW w:w="659" w:type="dxa"/>
            <w:tcBorders>
              <w:right w:val="single" w:sz="4" w:space="0" w:color="auto"/>
            </w:tcBorders>
          </w:tcPr>
          <w:p w:rsidR="005D2A34" w:rsidRPr="004C3868" w:rsidRDefault="00C407C2" w:rsidP="005A52DB">
            <w:pPr>
              <w:spacing w:after="0"/>
              <w:ind w:right="113"/>
              <w:jc w:val="right"/>
              <w:rPr>
                <w:sz w:val="18"/>
                <w:szCs w:val="18"/>
              </w:rPr>
            </w:pPr>
            <w:r>
              <w:rPr>
                <w:sz w:val="18"/>
                <w:szCs w:val="18"/>
              </w:rPr>
              <w:t>12.1</w:t>
            </w:r>
          </w:p>
        </w:tc>
      </w:tr>
      <w:tr w:rsidR="004C3868" w:rsidRPr="004C3868" w:rsidTr="005A52DB">
        <w:tc>
          <w:tcPr>
            <w:tcW w:w="1477" w:type="dxa"/>
            <w:tcBorders>
              <w:left w:val="single" w:sz="4" w:space="0" w:color="auto"/>
              <w:bottom w:val="single" w:sz="4" w:space="0" w:color="auto"/>
            </w:tcBorders>
          </w:tcPr>
          <w:p w:rsidR="005D2A34" w:rsidRPr="004C3868" w:rsidRDefault="004C3868" w:rsidP="005D2A34">
            <w:pPr>
              <w:spacing w:after="0"/>
              <w:rPr>
                <w:sz w:val="18"/>
                <w:szCs w:val="18"/>
              </w:rPr>
            </w:pPr>
            <w:r>
              <w:rPr>
                <w:sz w:val="18"/>
                <w:szCs w:val="18"/>
              </w:rPr>
              <w:t>Antillean/Aruban</w:t>
            </w:r>
          </w:p>
        </w:tc>
        <w:tc>
          <w:tcPr>
            <w:tcW w:w="658" w:type="dxa"/>
            <w:tcBorders>
              <w:bottom w:val="single" w:sz="4" w:space="0" w:color="auto"/>
            </w:tcBorders>
          </w:tcPr>
          <w:p w:rsidR="005D2A34" w:rsidRPr="004C3868" w:rsidRDefault="00C407C2" w:rsidP="005A52DB">
            <w:pPr>
              <w:spacing w:after="0"/>
              <w:ind w:right="113"/>
              <w:jc w:val="right"/>
              <w:rPr>
                <w:sz w:val="18"/>
                <w:szCs w:val="18"/>
              </w:rPr>
            </w:pPr>
            <w:r>
              <w:rPr>
                <w:sz w:val="18"/>
                <w:szCs w:val="18"/>
              </w:rPr>
              <w:t>23.0</w:t>
            </w:r>
          </w:p>
        </w:tc>
        <w:tc>
          <w:tcPr>
            <w:tcW w:w="659" w:type="dxa"/>
            <w:tcBorders>
              <w:bottom w:val="single" w:sz="4" w:space="0" w:color="auto"/>
            </w:tcBorders>
          </w:tcPr>
          <w:p w:rsidR="005D2A34" w:rsidRPr="004C3868" w:rsidRDefault="00C407C2" w:rsidP="005A52DB">
            <w:pPr>
              <w:spacing w:after="0"/>
              <w:ind w:right="113"/>
              <w:jc w:val="right"/>
              <w:rPr>
                <w:sz w:val="18"/>
                <w:szCs w:val="18"/>
              </w:rPr>
            </w:pPr>
            <w:r>
              <w:rPr>
                <w:sz w:val="18"/>
                <w:szCs w:val="18"/>
              </w:rPr>
              <w:t>20.8</w:t>
            </w:r>
          </w:p>
        </w:tc>
        <w:tc>
          <w:tcPr>
            <w:tcW w:w="659" w:type="dxa"/>
            <w:tcBorders>
              <w:bottom w:val="single" w:sz="4" w:space="0" w:color="auto"/>
            </w:tcBorders>
          </w:tcPr>
          <w:p w:rsidR="005D2A34" w:rsidRPr="004C3868" w:rsidRDefault="00C407C2" w:rsidP="005A52DB">
            <w:pPr>
              <w:spacing w:after="0"/>
              <w:ind w:right="113"/>
              <w:jc w:val="right"/>
              <w:rPr>
                <w:sz w:val="18"/>
                <w:szCs w:val="18"/>
              </w:rPr>
            </w:pPr>
            <w:r>
              <w:rPr>
                <w:sz w:val="18"/>
                <w:szCs w:val="18"/>
              </w:rPr>
              <w:t>21.2</w:t>
            </w:r>
          </w:p>
        </w:tc>
        <w:tc>
          <w:tcPr>
            <w:tcW w:w="659" w:type="dxa"/>
            <w:tcBorders>
              <w:bottom w:val="single" w:sz="4" w:space="0" w:color="auto"/>
            </w:tcBorders>
          </w:tcPr>
          <w:p w:rsidR="005D2A34" w:rsidRPr="004C3868" w:rsidRDefault="00C407C2" w:rsidP="005A52DB">
            <w:pPr>
              <w:spacing w:after="0"/>
              <w:ind w:right="113"/>
              <w:jc w:val="right"/>
              <w:rPr>
                <w:sz w:val="18"/>
                <w:szCs w:val="18"/>
              </w:rPr>
            </w:pPr>
            <w:r>
              <w:rPr>
                <w:sz w:val="18"/>
                <w:szCs w:val="18"/>
              </w:rPr>
              <w:t>16.0</w:t>
            </w:r>
          </w:p>
        </w:tc>
        <w:tc>
          <w:tcPr>
            <w:tcW w:w="658" w:type="dxa"/>
            <w:tcBorders>
              <w:bottom w:val="single" w:sz="4" w:space="0" w:color="auto"/>
            </w:tcBorders>
          </w:tcPr>
          <w:p w:rsidR="005D2A34" w:rsidRPr="004C3868" w:rsidRDefault="00C407C2" w:rsidP="005A52DB">
            <w:pPr>
              <w:spacing w:after="0"/>
              <w:ind w:right="113"/>
              <w:jc w:val="right"/>
              <w:rPr>
                <w:sz w:val="18"/>
                <w:szCs w:val="18"/>
              </w:rPr>
            </w:pPr>
            <w:r>
              <w:rPr>
                <w:sz w:val="18"/>
                <w:szCs w:val="18"/>
              </w:rPr>
              <w:t>13.6</w:t>
            </w:r>
          </w:p>
        </w:tc>
        <w:tc>
          <w:tcPr>
            <w:tcW w:w="659" w:type="dxa"/>
            <w:tcBorders>
              <w:bottom w:val="single" w:sz="4" w:space="0" w:color="auto"/>
            </w:tcBorders>
          </w:tcPr>
          <w:p w:rsidR="005D2A34" w:rsidRPr="004C3868" w:rsidRDefault="00C407C2" w:rsidP="005A52DB">
            <w:pPr>
              <w:spacing w:after="0"/>
              <w:ind w:right="113"/>
              <w:jc w:val="right"/>
              <w:rPr>
                <w:sz w:val="18"/>
                <w:szCs w:val="18"/>
              </w:rPr>
            </w:pPr>
            <w:r>
              <w:rPr>
                <w:sz w:val="18"/>
                <w:szCs w:val="18"/>
              </w:rPr>
              <w:t>8.7</w:t>
            </w:r>
          </w:p>
        </w:tc>
        <w:tc>
          <w:tcPr>
            <w:tcW w:w="659" w:type="dxa"/>
            <w:tcBorders>
              <w:bottom w:val="single" w:sz="4" w:space="0" w:color="auto"/>
            </w:tcBorders>
          </w:tcPr>
          <w:p w:rsidR="005D2A34" w:rsidRPr="004C3868" w:rsidRDefault="00C407C2" w:rsidP="005A52DB">
            <w:pPr>
              <w:spacing w:after="0"/>
              <w:ind w:right="113"/>
              <w:jc w:val="right"/>
              <w:rPr>
                <w:sz w:val="18"/>
                <w:szCs w:val="18"/>
              </w:rPr>
            </w:pPr>
            <w:r>
              <w:rPr>
                <w:sz w:val="18"/>
                <w:szCs w:val="18"/>
              </w:rPr>
              <w:t>8.7</w:t>
            </w:r>
          </w:p>
        </w:tc>
        <w:tc>
          <w:tcPr>
            <w:tcW w:w="659" w:type="dxa"/>
            <w:tcBorders>
              <w:bottom w:val="single" w:sz="4" w:space="0" w:color="auto"/>
            </w:tcBorders>
          </w:tcPr>
          <w:p w:rsidR="005D2A34" w:rsidRPr="004C3868" w:rsidRDefault="00C407C2" w:rsidP="005A52DB">
            <w:pPr>
              <w:spacing w:after="0"/>
              <w:ind w:right="113"/>
              <w:jc w:val="right"/>
              <w:rPr>
                <w:sz w:val="18"/>
                <w:szCs w:val="18"/>
              </w:rPr>
            </w:pPr>
            <w:r>
              <w:rPr>
                <w:sz w:val="18"/>
                <w:szCs w:val="18"/>
              </w:rPr>
              <w:t>9.9</w:t>
            </w:r>
          </w:p>
        </w:tc>
        <w:tc>
          <w:tcPr>
            <w:tcW w:w="658" w:type="dxa"/>
            <w:tcBorders>
              <w:bottom w:val="single" w:sz="4" w:space="0" w:color="auto"/>
            </w:tcBorders>
          </w:tcPr>
          <w:p w:rsidR="005D2A34" w:rsidRPr="004C3868" w:rsidRDefault="00C407C2" w:rsidP="005A52DB">
            <w:pPr>
              <w:spacing w:after="0"/>
              <w:ind w:right="113"/>
              <w:jc w:val="right"/>
              <w:rPr>
                <w:sz w:val="18"/>
                <w:szCs w:val="18"/>
              </w:rPr>
            </w:pPr>
            <w:r>
              <w:rPr>
                <w:sz w:val="18"/>
                <w:szCs w:val="18"/>
              </w:rPr>
              <w:t>16.4</w:t>
            </w:r>
          </w:p>
        </w:tc>
        <w:tc>
          <w:tcPr>
            <w:tcW w:w="659" w:type="dxa"/>
            <w:tcBorders>
              <w:bottom w:val="single" w:sz="4" w:space="0" w:color="auto"/>
            </w:tcBorders>
          </w:tcPr>
          <w:p w:rsidR="005D2A34" w:rsidRPr="004C3868" w:rsidRDefault="00C407C2" w:rsidP="005A52DB">
            <w:pPr>
              <w:spacing w:after="0"/>
              <w:ind w:right="113"/>
              <w:jc w:val="right"/>
              <w:rPr>
                <w:sz w:val="18"/>
                <w:szCs w:val="18"/>
              </w:rPr>
            </w:pPr>
            <w:r>
              <w:rPr>
                <w:sz w:val="18"/>
                <w:szCs w:val="18"/>
              </w:rPr>
              <w:t>15.7</w:t>
            </w:r>
          </w:p>
        </w:tc>
        <w:tc>
          <w:tcPr>
            <w:tcW w:w="659" w:type="dxa"/>
            <w:tcBorders>
              <w:bottom w:val="single" w:sz="4" w:space="0" w:color="auto"/>
            </w:tcBorders>
          </w:tcPr>
          <w:p w:rsidR="005D2A34" w:rsidRPr="004C3868" w:rsidRDefault="00C407C2" w:rsidP="005A52DB">
            <w:pPr>
              <w:spacing w:after="0"/>
              <w:ind w:right="113"/>
              <w:jc w:val="right"/>
              <w:rPr>
                <w:sz w:val="18"/>
                <w:szCs w:val="18"/>
              </w:rPr>
            </w:pPr>
            <w:r>
              <w:rPr>
                <w:sz w:val="18"/>
                <w:szCs w:val="18"/>
              </w:rPr>
              <w:t>17.6</w:t>
            </w:r>
          </w:p>
        </w:tc>
        <w:tc>
          <w:tcPr>
            <w:tcW w:w="659" w:type="dxa"/>
            <w:tcBorders>
              <w:bottom w:val="single" w:sz="4" w:space="0" w:color="auto"/>
              <w:right w:val="single" w:sz="4" w:space="0" w:color="auto"/>
            </w:tcBorders>
          </w:tcPr>
          <w:p w:rsidR="005D2A34" w:rsidRPr="004C3868" w:rsidRDefault="00C407C2" w:rsidP="005A52DB">
            <w:pPr>
              <w:spacing w:after="0"/>
              <w:ind w:right="113"/>
              <w:jc w:val="right"/>
              <w:rPr>
                <w:sz w:val="18"/>
                <w:szCs w:val="18"/>
              </w:rPr>
            </w:pPr>
            <w:r>
              <w:rPr>
                <w:sz w:val="18"/>
                <w:szCs w:val="18"/>
              </w:rPr>
              <w:t>16.8</w:t>
            </w:r>
          </w:p>
        </w:tc>
      </w:tr>
      <w:tr w:rsidR="004C3868" w:rsidRPr="004C3868" w:rsidTr="00C407C2">
        <w:tc>
          <w:tcPr>
            <w:tcW w:w="1477" w:type="dxa"/>
            <w:tcBorders>
              <w:top w:val="single" w:sz="4" w:space="0" w:color="auto"/>
              <w:left w:val="single" w:sz="4" w:space="0" w:color="auto"/>
              <w:bottom w:val="single" w:sz="4" w:space="0" w:color="auto"/>
              <w:right w:val="single" w:sz="4" w:space="0" w:color="auto"/>
            </w:tcBorders>
          </w:tcPr>
          <w:p w:rsidR="004C3868" w:rsidRPr="004C3868" w:rsidRDefault="004C3868" w:rsidP="005D2A34">
            <w:pPr>
              <w:spacing w:after="0"/>
              <w:rPr>
                <w:sz w:val="18"/>
                <w:szCs w:val="18"/>
              </w:rPr>
            </w:pPr>
          </w:p>
        </w:tc>
        <w:tc>
          <w:tcPr>
            <w:tcW w:w="7905" w:type="dxa"/>
            <w:gridSpan w:val="12"/>
            <w:tcBorders>
              <w:top w:val="single" w:sz="4" w:space="0" w:color="auto"/>
              <w:left w:val="single" w:sz="4" w:space="0" w:color="auto"/>
              <w:bottom w:val="single" w:sz="4" w:space="0" w:color="auto"/>
              <w:right w:val="single" w:sz="4" w:space="0" w:color="auto"/>
            </w:tcBorders>
          </w:tcPr>
          <w:p w:rsidR="004C3868" w:rsidRPr="004C3868" w:rsidRDefault="00AC30EE" w:rsidP="004C3868">
            <w:pPr>
              <w:spacing w:after="0"/>
              <w:jc w:val="center"/>
              <w:rPr>
                <w:sz w:val="18"/>
                <w:szCs w:val="18"/>
              </w:rPr>
            </w:pPr>
            <w:r>
              <w:rPr>
                <w:sz w:val="18"/>
                <w:szCs w:val="18"/>
              </w:rPr>
              <w:t>M</w:t>
            </w:r>
            <w:r w:rsidR="004C3868">
              <w:rPr>
                <w:sz w:val="18"/>
                <w:szCs w:val="18"/>
              </w:rPr>
              <w:t>en</w:t>
            </w:r>
          </w:p>
        </w:tc>
      </w:tr>
      <w:tr w:rsidR="004C3868" w:rsidRPr="004C3868" w:rsidTr="005A52DB">
        <w:tc>
          <w:tcPr>
            <w:tcW w:w="1477" w:type="dxa"/>
            <w:tcBorders>
              <w:top w:val="single" w:sz="4" w:space="0" w:color="auto"/>
              <w:left w:val="single" w:sz="4" w:space="0" w:color="auto"/>
            </w:tcBorders>
          </w:tcPr>
          <w:p w:rsidR="004C3868" w:rsidRPr="004C3868" w:rsidRDefault="004C3868" w:rsidP="00C407C2">
            <w:pPr>
              <w:spacing w:after="0"/>
              <w:rPr>
                <w:sz w:val="18"/>
                <w:szCs w:val="18"/>
              </w:rPr>
            </w:pPr>
            <w:r>
              <w:rPr>
                <w:sz w:val="18"/>
                <w:szCs w:val="18"/>
              </w:rPr>
              <w:t>Ethnic Dutch</w:t>
            </w:r>
          </w:p>
        </w:tc>
        <w:tc>
          <w:tcPr>
            <w:tcW w:w="658" w:type="dxa"/>
            <w:tcBorders>
              <w:top w:val="single" w:sz="4" w:space="0" w:color="auto"/>
            </w:tcBorders>
          </w:tcPr>
          <w:p w:rsidR="004C3868" w:rsidRPr="004C3868" w:rsidRDefault="0024045C" w:rsidP="005A52DB">
            <w:pPr>
              <w:spacing w:after="0"/>
              <w:ind w:right="113"/>
              <w:jc w:val="right"/>
              <w:rPr>
                <w:sz w:val="18"/>
                <w:szCs w:val="18"/>
              </w:rPr>
            </w:pPr>
            <w:r>
              <w:rPr>
                <w:sz w:val="18"/>
                <w:szCs w:val="18"/>
              </w:rPr>
              <w:t>5.0</w:t>
            </w:r>
          </w:p>
        </w:tc>
        <w:tc>
          <w:tcPr>
            <w:tcW w:w="659" w:type="dxa"/>
            <w:tcBorders>
              <w:top w:val="single" w:sz="4" w:space="0" w:color="auto"/>
            </w:tcBorders>
          </w:tcPr>
          <w:p w:rsidR="004C3868" w:rsidRPr="004C3868" w:rsidRDefault="0024045C" w:rsidP="005A52DB">
            <w:pPr>
              <w:spacing w:after="0"/>
              <w:ind w:right="113"/>
              <w:jc w:val="right"/>
              <w:rPr>
                <w:sz w:val="18"/>
                <w:szCs w:val="18"/>
              </w:rPr>
            </w:pPr>
            <w:r>
              <w:rPr>
                <w:sz w:val="18"/>
                <w:szCs w:val="18"/>
              </w:rPr>
              <w:t>4.1</w:t>
            </w:r>
          </w:p>
        </w:tc>
        <w:tc>
          <w:tcPr>
            <w:tcW w:w="659" w:type="dxa"/>
            <w:tcBorders>
              <w:top w:val="single" w:sz="4" w:space="0" w:color="auto"/>
            </w:tcBorders>
          </w:tcPr>
          <w:p w:rsidR="004C3868" w:rsidRPr="004C3868" w:rsidRDefault="0024045C" w:rsidP="005A52DB">
            <w:pPr>
              <w:spacing w:after="0"/>
              <w:ind w:right="113"/>
              <w:jc w:val="right"/>
              <w:rPr>
                <w:sz w:val="18"/>
                <w:szCs w:val="18"/>
              </w:rPr>
            </w:pPr>
            <w:r>
              <w:rPr>
                <w:sz w:val="18"/>
                <w:szCs w:val="18"/>
              </w:rPr>
              <w:t>3.3</w:t>
            </w:r>
          </w:p>
        </w:tc>
        <w:tc>
          <w:tcPr>
            <w:tcW w:w="659" w:type="dxa"/>
            <w:tcBorders>
              <w:top w:val="single" w:sz="4" w:space="0" w:color="auto"/>
            </w:tcBorders>
          </w:tcPr>
          <w:p w:rsidR="004C3868" w:rsidRPr="004C3868" w:rsidRDefault="0024045C" w:rsidP="005A52DB">
            <w:pPr>
              <w:spacing w:after="0"/>
              <w:ind w:right="113"/>
              <w:jc w:val="right"/>
              <w:rPr>
                <w:sz w:val="18"/>
                <w:szCs w:val="18"/>
              </w:rPr>
            </w:pPr>
            <w:r>
              <w:rPr>
                <w:sz w:val="18"/>
                <w:szCs w:val="18"/>
              </w:rPr>
              <w:t>2.6</w:t>
            </w:r>
          </w:p>
        </w:tc>
        <w:tc>
          <w:tcPr>
            <w:tcW w:w="658" w:type="dxa"/>
            <w:tcBorders>
              <w:top w:val="single" w:sz="4" w:space="0" w:color="auto"/>
            </w:tcBorders>
          </w:tcPr>
          <w:p w:rsidR="004C3868" w:rsidRPr="004C3868" w:rsidRDefault="0024045C" w:rsidP="005A52DB">
            <w:pPr>
              <w:spacing w:after="0"/>
              <w:ind w:right="113"/>
              <w:jc w:val="right"/>
              <w:rPr>
                <w:sz w:val="18"/>
                <w:szCs w:val="18"/>
              </w:rPr>
            </w:pPr>
            <w:r>
              <w:rPr>
                <w:sz w:val="18"/>
                <w:szCs w:val="18"/>
              </w:rPr>
              <w:t>2.1</w:t>
            </w:r>
          </w:p>
        </w:tc>
        <w:tc>
          <w:tcPr>
            <w:tcW w:w="659" w:type="dxa"/>
            <w:tcBorders>
              <w:top w:val="single" w:sz="4" w:space="0" w:color="auto"/>
            </w:tcBorders>
          </w:tcPr>
          <w:p w:rsidR="004C3868" w:rsidRPr="004C3868" w:rsidRDefault="00A01B55" w:rsidP="005A52DB">
            <w:pPr>
              <w:spacing w:after="0"/>
              <w:ind w:right="113"/>
              <w:jc w:val="right"/>
              <w:rPr>
                <w:sz w:val="18"/>
                <w:szCs w:val="18"/>
              </w:rPr>
            </w:pPr>
            <w:r>
              <w:rPr>
                <w:sz w:val="18"/>
                <w:szCs w:val="18"/>
              </w:rPr>
              <w:t>1.9</w:t>
            </w:r>
          </w:p>
        </w:tc>
        <w:tc>
          <w:tcPr>
            <w:tcW w:w="659" w:type="dxa"/>
            <w:tcBorders>
              <w:top w:val="single" w:sz="4" w:space="0" w:color="auto"/>
            </w:tcBorders>
          </w:tcPr>
          <w:p w:rsidR="004C3868" w:rsidRPr="004C3868" w:rsidRDefault="00A01B55" w:rsidP="005A52DB">
            <w:pPr>
              <w:spacing w:after="0"/>
              <w:ind w:right="113"/>
              <w:jc w:val="right"/>
              <w:rPr>
                <w:sz w:val="18"/>
                <w:szCs w:val="18"/>
              </w:rPr>
            </w:pPr>
            <w:r>
              <w:rPr>
                <w:sz w:val="18"/>
                <w:szCs w:val="18"/>
              </w:rPr>
              <w:t>1.8</w:t>
            </w:r>
          </w:p>
        </w:tc>
        <w:tc>
          <w:tcPr>
            <w:tcW w:w="659" w:type="dxa"/>
            <w:tcBorders>
              <w:top w:val="single" w:sz="4" w:space="0" w:color="auto"/>
            </w:tcBorders>
          </w:tcPr>
          <w:p w:rsidR="004C3868" w:rsidRPr="004C3868" w:rsidRDefault="005A52DB" w:rsidP="005A52DB">
            <w:pPr>
              <w:spacing w:after="0"/>
              <w:ind w:right="113"/>
              <w:jc w:val="right"/>
              <w:rPr>
                <w:sz w:val="18"/>
                <w:szCs w:val="18"/>
              </w:rPr>
            </w:pPr>
            <w:r>
              <w:rPr>
                <w:sz w:val="18"/>
                <w:szCs w:val="18"/>
              </w:rPr>
              <w:t>2.6</w:t>
            </w:r>
          </w:p>
        </w:tc>
        <w:tc>
          <w:tcPr>
            <w:tcW w:w="658" w:type="dxa"/>
            <w:tcBorders>
              <w:top w:val="single" w:sz="4" w:space="0" w:color="auto"/>
            </w:tcBorders>
          </w:tcPr>
          <w:p w:rsidR="004C3868" w:rsidRPr="004C3868" w:rsidRDefault="005A52DB" w:rsidP="005A52DB">
            <w:pPr>
              <w:spacing w:after="0"/>
              <w:ind w:right="113"/>
              <w:jc w:val="right"/>
              <w:rPr>
                <w:sz w:val="18"/>
                <w:szCs w:val="18"/>
              </w:rPr>
            </w:pPr>
            <w:r>
              <w:rPr>
                <w:sz w:val="18"/>
                <w:szCs w:val="18"/>
              </w:rPr>
              <w:t>3.5</w:t>
            </w:r>
          </w:p>
        </w:tc>
        <w:tc>
          <w:tcPr>
            <w:tcW w:w="659" w:type="dxa"/>
            <w:tcBorders>
              <w:top w:val="single" w:sz="4" w:space="0" w:color="auto"/>
            </w:tcBorders>
          </w:tcPr>
          <w:p w:rsidR="004C3868" w:rsidRPr="004C3868" w:rsidRDefault="005A52DB" w:rsidP="005A52DB">
            <w:pPr>
              <w:spacing w:after="0"/>
              <w:ind w:right="113"/>
              <w:jc w:val="right"/>
              <w:rPr>
                <w:sz w:val="18"/>
                <w:szCs w:val="18"/>
              </w:rPr>
            </w:pPr>
            <w:r>
              <w:rPr>
                <w:sz w:val="18"/>
                <w:szCs w:val="18"/>
              </w:rPr>
              <w:t>4.5</w:t>
            </w:r>
          </w:p>
        </w:tc>
        <w:tc>
          <w:tcPr>
            <w:tcW w:w="659" w:type="dxa"/>
            <w:tcBorders>
              <w:top w:val="single" w:sz="4" w:space="0" w:color="auto"/>
            </w:tcBorders>
          </w:tcPr>
          <w:p w:rsidR="004C3868" w:rsidRPr="004C3868" w:rsidRDefault="005A52DB" w:rsidP="005A52DB">
            <w:pPr>
              <w:spacing w:after="0"/>
              <w:ind w:right="113"/>
              <w:jc w:val="right"/>
              <w:rPr>
                <w:sz w:val="18"/>
                <w:szCs w:val="18"/>
              </w:rPr>
            </w:pPr>
            <w:r>
              <w:rPr>
                <w:sz w:val="18"/>
                <w:szCs w:val="18"/>
              </w:rPr>
              <w:t>4.1</w:t>
            </w:r>
          </w:p>
        </w:tc>
        <w:tc>
          <w:tcPr>
            <w:tcW w:w="659" w:type="dxa"/>
            <w:tcBorders>
              <w:top w:val="single" w:sz="4" w:space="0" w:color="auto"/>
              <w:right w:val="single" w:sz="4" w:space="0" w:color="auto"/>
            </w:tcBorders>
          </w:tcPr>
          <w:p w:rsidR="004C3868" w:rsidRPr="004C3868" w:rsidRDefault="005A52DB" w:rsidP="005A52DB">
            <w:pPr>
              <w:spacing w:after="0"/>
              <w:ind w:right="113"/>
              <w:jc w:val="right"/>
              <w:rPr>
                <w:sz w:val="18"/>
                <w:szCs w:val="18"/>
              </w:rPr>
            </w:pPr>
            <w:r>
              <w:rPr>
                <w:sz w:val="18"/>
                <w:szCs w:val="18"/>
              </w:rPr>
              <w:t>3.3</w:t>
            </w:r>
          </w:p>
        </w:tc>
      </w:tr>
      <w:tr w:rsidR="004C3868" w:rsidRPr="004C3868" w:rsidTr="005A52DB">
        <w:tc>
          <w:tcPr>
            <w:tcW w:w="1477" w:type="dxa"/>
            <w:tcBorders>
              <w:left w:val="single" w:sz="4" w:space="0" w:color="auto"/>
            </w:tcBorders>
          </w:tcPr>
          <w:p w:rsidR="004C3868" w:rsidRPr="004C3868" w:rsidRDefault="004C3868" w:rsidP="00C407C2">
            <w:pPr>
              <w:spacing w:after="0"/>
              <w:rPr>
                <w:sz w:val="18"/>
                <w:szCs w:val="18"/>
              </w:rPr>
            </w:pPr>
            <w:r>
              <w:rPr>
                <w:sz w:val="18"/>
                <w:szCs w:val="18"/>
              </w:rPr>
              <w:t>Turkish</w:t>
            </w:r>
          </w:p>
        </w:tc>
        <w:tc>
          <w:tcPr>
            <w:tcW w:w="658" w:type="dxa"/>
          </w:tcPr>
          <w:p w:rsidR="004C3868" w:rsidRPr="004C3868" w:rsidRDefault="0024045C" w:rsidP="005A52DB">
            <w:pPr>
              <w:spacing w:after="0"/>
              <w:ind w:right="113"/>
              <w:jc w:val="right"/>
              <w:rPr>
                <w:sz w:val="18"/>
                <w:szCs w:val="18"/>
              </w:rPr>
            </w:pPr>
            <w:r>
              <w:rPr>
                <w:sz w:val="18"/>
                <w:szCs w:val="18"/>
              </w:rPr>
              <w:t>27.2</w:t>
            </w:r>
          </w:p>
        </w:tc>
        <w:tc>
          <w:tcPr>
            <w:tcW w:w="659" w:type="dxa"/>
          </w:tcPr>
          <w:p w:rsidR="004C3868" w:rsidRPr="004C3868" w:rsidRDefault="0024045C" w:rsidP="005A52DB">
            <w:pPr>
              <w:spacing w:after="0"/>
              <w:ind w:right="113"/>
              <w:jc w:val="right"/>
              <w:rPr>
                <w:sz w:val="18"/>
                <w:szCs w:val="18"/>
              </w:rPr>
            </w:pPr>
            <w:r>
              <w:rPr>
                <w:sz w:val="18"/>
                <w:szCs w:val="18"/>
              </w:rPr>
              <w:t>22.6</w:t>
            </w:r>
          </w:p>
        </w:tc>
        <w:tc>
          <w:tcPr>
            <w:tcW w:w="659" w:type="dxa"/>
          </w:tcPr>
          <w:p w:rsidR="004C3868" w:rsidRPr="004C3868" w:rsidRDefault="0024045C" w:rsidP="005A52DB">
            <w:pPr>
              <w:spacing w:after="0"/>
              <w:ind w:right="113"/>
              <w:jc w:val="right"/>
              <w:rPr>
                <w:sz w:val="18"/>
                <w:szCs w:val="18"/>
              </w:rPr>
            </w:pPr>
            <w:r>
              <w:rPr>
                <w:sz w:val="18"/>
                <w:szCs w:val="18"/>
              </w:rPr>
              <w:t>20.8</w:t>
            </w:r>
          </w:p>
        </w:tc>
        <w:tc>
          <w:tcPr>
            <w:tcW w:w="659" w:type="dxa"/>
          </w:tcPr>
          <w:p w:rsidR="004C3868" w:rsidRPr="004C3868" w:rsidRDefault="0024045C" w:rsidP="005A52DB">
            <w:pPr>
              <w:spacing w:after="0"/>
              <w:ind w:right="113"/>
              <w:jc w:val="right"/>
              <w:rPr>
                <w:sz w:val="18"/>
                <w:szCs w:val="18"/>
              </w:rPr>
            </w:pPr>
            <w:r>
              <w:rPr>
                <w:sz w:val="18"/>
                <w:szCs w:val="18"/>
              </w:rPr>
              <w:t>15.0</w:t>
            </w:r>
          </w:p>
        </w:tc>
        <w:tc>
          <w:tcPr>
            <w:tcW w:w="658" w:type="dxa"/>
          </w:tcPr>
          <w:p w:rsidR="004C3868" w:rsidRPr="004C3868" w:rsidRDefault="0024045C" w:rsidP="005A52DB">
            <w:pPr>
              <w:spacing w:after="0"/>
              <w:ind w:right="113"/>
              <w:jc w:val="right"/>
              <w:rPr>
                <w:sz w:val="18"/>
                <w:szCs w:val="18"/>
              </w:rPr>
            </w:pPr>
            <w:r>
              <w:rPr>
                <w:sz w:val="18"/>
                <w:szCs w:val="18"/>
              </w:rPr>
              <w:t>12.2</w:t>
            </w:r>
          </w:p>
        </w:tc>
        <w:tc>
          <w:tcPr>
            <w:tcW w:w="659" w:type="dxa"/>
          </w:tcPr>
          <w:p w:rsidR="004C3868" w:rsidRPr="004C3868" w:rsidRDefault="00A01B55" w:rsidP="005A52DB">
            <w:pPr>
              <w:spacing w:after="0"/>
              <w:ind w:right="113"/>
              <w:jc w:val="right"/>
              <w:rPr>
                <w:sz w:val="18"/>
                <w:szCs w:val="18"/>
              </w:rPr>
            </w:pPr>
            <w:r>
              <w:rPr>
                <w:sz w:val="18"/>
                <w:szCs w:val="18"/>
              </w:rPr>
              <w:t>7.9</w:t>
            </w:r>
          </w:p>
        </w:tc>
        <w:tc>
          <w:tcPr>
            <w:tcW w:w="659" w:type="dxa"/>
          </w:tcPr>
          <w:p w:rsidR="004C3868" w:rsidRPr="004C3868" w:rsidRDefault="00A01B55" w:rsidP="005A52DB">
            <w:pPr>
              <w:spacing w:after="0"/>
              <w:ind w:right="113"/>
              <w:jc w:val="right"/>
              <w:rPr>
                <w:sz w:val="18"/>
                <w:szCs w:val="18"/>
              </w:rPr>
            </w:pPr>
            <w:r>
              <w:rPr>
                <w:sz w:val="18"/>
                <w:szCs w:val="18"/>
              </w:rPr>
              <w:t>8.4</w:t>
            </w:r>
          </w:p>
        </w:tc>
        <w:tc>
          <w:tcPr>
            <w:tcW w:w="659" w:type="dxa"/>
          </w:tcPr>
          <w:p w:rsidR="004C3868" w:rsidRPr="004C3868" w:rsidRDefault="005A52DB" w:rsidP="005A52DB">
            <w:pPr>
              <w:spacing w:after="0"/>
              <w:ind w:right="113"/>
              <w:jc w:val="right"/>
              <w:rPr>
                <w:sz w:val="18"/>
                <w:szCs w:val="18"/>
              </w:rPr>
            </w:pPr>
            <w:r>
              <w:rPr>
                <w:sz w:val="18"/>
                <w:szCs w:val="18"/>
              </w:rPr>
              <w:t>9.7</w:t>
            </w:r>
          </w:p>
        </w:tc>
        <w:tc>
          <w:tcPr>
            <w:tcW w:w="658" w:type="dxa"/>
          </w:tcPr>
          <w:p w:rsidR="004C3868" w:rsidRPr="004C3868" w:rsidRDefault="005A52DB" w:rsidP="005A52DB">
            <w:pPr>
              <w:spacing w:after="0"/>
              <w:ind w:right="113"/>
              <w:jc w:val="right"/>
              <w:rPr>
                <w:sz w:val="18"/>
                <w:szCs w:val="18"/>
              </w:rPr>
            </w:pPr>
            <w:r>
              <w:rPr>
                <w:sz w:val="18"/>
                <w:szCs w:val="18"/>
              </w:rPr>
              <w:t>11.7</w:t>
            </w:r>
          </w:p>
        </w:tc>
        <w:tc>
          <w:tcPr>
            <w:tcW w:w="659" w:type="dxa"/>
          </w:tcPr>
          <w:p w:rsidR="004C3868" w:rsidRPr="004C3868" w:rsidRDefault="005A52DB" w:rsidP="005A52DB">
            <w:pPr>
              <w:spacing w:after="0"/>
              <w:ind w:right="113"/>
              <w:jc w:val="right"/>
              <w:rPr>
                <w:sz w:val="18"/>
                <w:szCs w:val="18"/>
              </w:rPr>
            </w:pPr>
            <w:r>
              <w:rPr>
                <w:sz w:val="18"/>
                <w:szCs w:val="18"/>
              </w:rPr>
              <w:t>11.7</w:t>
            </w:r>
          </w:p>
        </w:tc>
        <w:tc>
          <w:tcPr>
            <w:tcW w:w="659" w:type="dxa"/>
          </w:tcPr>
          <w:p w:rsidR="004C3868" w:rsidRPr="004C3868" w:rsidRDefault="005A52DB" w:rsidP="005A52DB">
            <w:pPr>
              <w:spacing w:after="0"/>
              <w:ind w:right="113"/>
              <w:jc w:val="right"/>
              <w:rPr>
                <w:sz w:val="18"/>
                <w:szCs w:val="18"/>
              </w:rPr>
            </w:pPr>
            <w:r>
              <w:rPr>
                <w:sz w:val="18"/>
                <w:szCs w:val="18"/>
              </w:rPr>
              <w:t>14.0</w:t>
            </w:r>
          </w:p>
        </w:tc>
        <w:tc>
          <w:tcPr>
            <w:tcW w:w="659" w:type="dxa"/>
            <w:tcBorders>
              <w:right w:val="single" w:sz="4" w:space="0" w:color="auto"/>
            </w:tcBorders>
          </w:tcPr>
          <w:p w:rsidR="004C3868" w:rsidRPr="004C3868" w:rsidRDefault="005A52DB" w:rsidP="005A52DB">
            <w:pPr>
              <w:spacing w:after="0"/>
              <w:ind w:right="113"/>
              <w:jc w:val="right"/>
              <w:rPr>
                <w:sz w:val="18"/>
                <w:szCs w:val="18"/>
              </w:rPr>
            </w:pPr>
            <w:r>
              <w:rPr>
                <w:sz w:val="18"/>
                <w:szCs w:val="18"/>
              </w:rPr>
              <w:t>12.1</w:t>
            </w:r>
          </w:p>
        </w:tc>
      </w:tr>
      <w:tr w:rsidR="004C3868" w:rsidRPr="004C3868" w:rsidTr="005A52DB">
        <w:tc>
          <w:tcPr>
            <w:tcW w:w="1477" w:type="dxa"/>
            <w:tcBorders>
              <w:left w:val="single" w:sz="4" w:space="0" w:color="auto"/>
            </w:tcBorders>
          </w:tcPr>
          <w:p w:rsidR="004C3868" w:rsidRPr="004C3868" w:rsidRDefault="004C3868" w:rsidP="00C407C2">
            <w:pPr>
              <w:spacing w:after="0"/>
              <w:rPr>
                <w:sz w:val="18"/>
                <w:szCs w:val="18"/>
              </w:rPr>
            </w:pPr>
            <w:r>
              <w:rPr>
                <w:sz w:val="18"/>
                <w:szCs w:val="18"/>
              </w:rPr>
              <w:t>Moroccan</w:t>
            </w:r>
          </w:p>
        </w:tc>
        <w:tc>
          <w:tcPr>
            <w:tcW w:w="658" w:type="dxa"/>
          </w:tcPr>
          <w:p w:rsidR="004C3868" w:rsidRPr="004C3868" w:rsidRDefault="0024045C" w:rsidP="005A52DB">
            <w:pPr>
              <w:spacing w:after="0"/>
              <w:ind w:right="113"/>
              <w:jc w:val="right"/>
              <w:rPr>
                <w:sz w:val="18"/>
                <w:szCs w:val="18"/>
              </w:rPr>
            </w:pPr>
            <w:r>
              <w:rPr>
                <w:sz w:val="18"/>
                <w:szCs w:val="18"/>
              </w:rPr>
              <w:t>31.0</w:t>
            </w:r>
          </w:p>
        </w:tc>
        <w:tc>
          <w:tcPr>
            <w:tcW w:w="659" w:type="dxa"/>
          </w:tcPr>
          <w:p w:rsidR="004C3868" w:rsidRPr="004C3868" w:rsidRDefault="0024045C" w:rsidP="005A52DB">
            <w:pPr>
              <w:spacing w:after="0"/>
              <w:ind w:right="113"/>
              <w:jc w:val="right"/>
              <w:rPr>
                <w:sz w:val="18"/>
                <w:szCs w:val="18"/>
              </w:rPr>
            </w:pPr>
            <w:r>
              <w:rPr>
                <w:sz w:val="18"/>
                <w:szCs w:val="18"/>
              </w:rPr>
              <w:t>26.4</w:t>
            </w:r>
          </w:p>
        </w:tc>
        <w:tc>
          <w:tcPr>
            <w:tcW w:w="659" w:type="dxa"/>
          </w:tcPr>
          <w:p w:rsidR="004C3868" w:rsidRPr="004C3868" w:rsidRDefault="0024045C" w:rsidP="005A52DB">
            <w:pPr>
              <w:spacing w:after="0"/>
              <w:ind w:right="113"/>
              <w:jc w:val="right"/>
              <w:rPr>
                <w:sz w:val="18"/>
                <w:szCs w:val="18"/>
              </w:rPr>
            </w:pPr>
            <w:r>
              <w:rPr>
                <w:sz w:val="18"/>
                <w:szCs w:val="18"/>
              </w:rPr>
              <w:t>23.7</w:t>
            </w:r>
          </w:p>
        </w:tc>
        <w:tc>
          <w:tcPr>
            <w:tcW w:w="659" w:type="dxa"/>
          </w:tcPr>
          <w:p w:rsidR="004C3868" w:rsidRPr="004C3868" w:rsidRDefault="0024045C" w:rsidP="005A52DB">
            <w:pPr>
              <w:spacing w:after="0"/>
              <w:ind w:right="113"/>
              <w:jc w:val="right"/>
              <w:rPr>
                <w:sz w:val="18"/>
                <w:szCs w:val="18"/>
              </w:rPr>
            </w:pPr>
            <w:r>
              <w:rPr>
                <w:sz w:val="18"/>
                <w:szCs w:val="18"/>
              </w:rPr>
              <w:t>19.9</w:t>
            </w:r>
          </w:p>
        </w:tc>
        <w:tc>
          <w:tcPr>
            <w:tcW w:w="658" w:type="dxa"/>
          </w:tcPr>
          <w:p w:rsidR="004C3868" w:rsidRPr="004C3868" w:rsidRDefault="0024045C" w:rsidP="005A52DB">
            <w:pPr>
              <w:spacing w:after="0"/>
              <w:ind w:right="113"/>
              <w:jc w:val="right"/>
              <w:rPr>
                <w:sz w:val="18"/>
                <w:szCs w:val="18"/>
              </w:rPr>
            </w:pPr>
            <w:r>
              <w:rPr>
                <w:sz w:val="18"/>
                <w:szCs w:val="18"/>
              </w:rPr>
              <w:t>16.1</w:t>
            </w:r>
          </w:p>
        </w:tc>
        <w:tc>
          <w:tcPr>
            <w:tcW w:w="659" w:type="dxa"/>
          </w:tcPr>
          <w:p w:rsidR="004C3868" w:rsidRPr="004C3868" w:rsidRDefault="00A01B55" w:rsidP="005A52DB">
            <w:pPr>
              <w:spacing w:after="0"/>
              <w:ind w:right="113"/>
              <w:jc w:val="right"/>
              <w:rPr>
                <w:sz w:val="18"/>
                <w:szCs w:val="18"/>
              </w:rPr>
            </w:pPr>
            <w:r>
              <w:rPr>
                <w:sz w:val="18"/>
                <w:szCs w:val="18"/>
              </w:rPr>
              <w:t>12.1</w:t>
            </w:r>
          </w:p>
        </w:tc>
        <w:tc>
          <w:tcPr>
            <w:tcW w:w="659" w:type="dxa"/>
          </w:tcPr>
          <w:p w:rsidR="004C3868" w:rsidRPr="004C3868" w:rsidRDefault="00A01B55" w:rsidP="005A52DB">
            <w:pPr>
              <w:spacing w:after="0"/>
              <w:ind w:right="113"/>
              <w:jc w:val="right"/>
              <w:rPr>
                <w:sz w:val="18"/>
                <w:szCs w:val="18"/>
              </w:rPr>
            </w:pPr>
            <w:r>
              <w:rPr>
                <w:sz w:val="18"/>
                <w:szCs w:val="18"/>
              </w:rPr>
              <w:t>7.7</w:t>
            </w:r>
          </w:p>
        </w:tc>
        <w:tc>
          <w:tcPr>
            <w:tcW w:w="659" w:type="dxa"/>
          </w:tcPr>
          <w:p w:rsidR="004C3868" w:rsidRPr="004C3868" w:rsidRDefault="005A52DB" w:rsidP="005A52DB">
            <w:pPr>
              <w:spacing w:after="0"/>
              <w:ind w:right="113"/>
              <w:jc w:val="right"/>
              <w:rPr>
                <w:sz w:val="18"/>
                <w:szCs w:val="18"/>
              </w:rPr>
            </w:pPr>
            <w:r>
              <w:rPr>
                <w:sz w:val="18"/>
                <w:szCs w:val="18"/>
              </w:rPr>
              <w:t>10.0</w:t>
            </w:r>
          </w:p>
        </w:tc>
        <w:tc>
          <w:tcPr>
            <w:tcW w:w="658" w:type="dxa"/>
          </w:tcPr>
          <w:p w:rsidR="004C3868" w:rsidRPr="004C3868" w:rsidRDefault="005A52DB" w:rsidP="005A52DB">
            <w:pPr>
              <w:spacing w:after="0"/>
              <w:ind w:right="113"/>
              <w:jc w:val="right"/>
              <w:rPr>
                <w:sz w:val="18"/>
                <w:szCs w:val="18"/>
              </w:rPr>
            </w:pPr>
            <w:r>
              <w:rPr>
                <w:sz w:val="18"/>
                <w:szCs w:val="18"/>
              </w:rPr>
              <w:t>16.6</w:t>
            </w:r>
          </w:p>
        </w:tc>
        <w:tc>
          <w:tcPr>
            <w:tcW w:w="659" w:type="dxa"/>
          </w:tcPr>
          <w:p w:rsidR="004C3868" w:rsidRPr="004C3868" w:rsidRDefault="005A52DB" w:rsidP="005A52DB">
            <w:pPr>
              <w:spacing w:after="0"/>
              <w:ind w:right="113"/>
              <w:jc w:val="right"/>
              <w:rPr>
                <w:sz w:val="18"/>
                <w:szCs w:val="18"/>
              </w:rPr>
            </w:pPr>
            <w:r>
              <w:rPr>
                <w:sz w:val="18"/>
                <w:szCs w:val="18"/>
              </w:rPr>
              <w:t>23.8</w:t>
            </w:r>
          </w:p>
        </w:tc>
        <w:tc>
          <w:tcPr>
            <w:tcW w:w="659" w:type="dxa"/>
          </w:tcPr>
          <w:p w:rsidR="004C3868" w:rsidRPr="004C3868" w:rsidRDefault="005A52DB" w:rsidP="005A52DB">
            <w:pPr>
              <w:spacing w:after="0"/>
              <w:ind w:right="113"/>
              <w:jc w:val="right"/>
              <w:rPr>
                <w:sz w:val="18"/>
                <w:szCs w:val="18"/>
              </w:rPr>
            </w:pPr>
            <w:r>
              <w:rPr>
                <w:sz w:val="18"/>
                <w:szCs w:val="18"/>
              </w:rPr>
              <w:t>20.1</w:t>
            </w:r>
          </w:p>
        </w:tc>
        <w:tc>
          <w:tcPr>
            <w:tcW w:w="659" w:type="dxa"/>
            <w:tcBorders>
              <w:right w:val="single" w:sz="4" w:space="0" w:color="auto"/>
            </w:tcBorders>
          </w:tcPr>
          <w:p w:rsidR="004C3868" w:rsidRPr="004C3868" w:rsidRDefault="005A52DB" w:rsidP="005A52DB">
            <w:pPr>
              <w:spacing w:after="0"/>
              <w:ind w:right="113"/>
              <w:jc w:val="right"/>
              <w:rPr>
                <w:sz w:val="18"/>
                <w:szCs w:val="18"/>
              </w:rPr>
            </w:pPr>
            <w:r>
              <w:rPr>
                <w:sz w:val="18"/>
                <w:szCs w:val="18"/>
              </w:rPr>
              <w:t>14.9</w:t>
            </w:r>
          </w:p>
        </w:tc>
      </w:tr>
      <w:tr w:rsidR="004C3868" w:rsidRPr="004C3868" w:rsidTr="005A52DB">
        <w:tc>
          <w:tcPr>
            <w:tcW w:w="1477" w:type="dxa"/>
            <w:tcBorders>
              <w:left w:val="single" w:sz="4" w:space="0" w:color="auto"/>
            </w:tcBorders>
          </w:tcPr>
          <w:p w:rsidR="004C3868" w:rsidRPr="004C3868" w:rsidRDefault="004C3868" w:rsidP="00C407C2">
            <w:pPr>
              <w:spacing w:after="0"/>
              <w:rPr>
                <w:sz w:val="18"/>
                <w:szCs w:val="18"/>
              </w:rPr>
            </w:pPr>
            <w:r>
              <w:rPr>
                <w:sz w:val="18"/>
                <w:szCs w:val="18"/>
              </w:rPr>
              <w:t>Surinamese</w:t>
            </w:r>
          </w:p>
        </w:tc>
        <w:tc>
          <w:tcPr>
            <w:tcW w:w="658" w:type="dxa"/>
          </w:tcPr>
          <w:p w:rsidR="004C3868" w:rsidRPr="004C3868" w:rsidRDefault="0024045C" w:rsidP="005A52DB">
            <w:pPr>
              <w:spacing w:after="0"/>
              <w:ind w:right="113"/>
              <w:jc w:val="right"/>
              <w:rPr>
                <w:sz w:val="18"/>
                <w:szCs w:val="18"/>
              </w:rPr>
            </w:pPr>
            <w:r>
              <w:rPr>
                <w:sz w:val="18"/>
                <w:szCs w:val="18"/>
              </w:rPr>
              <w:t>20.0</w:t>
            </w:r>
          </w:p>
        </w:tc>
        <w:tc>
          <w:tcPr>
            <w:tcW w:w="659" w:type="dxa"/>
          </w:tcPr>
          <w:p w:rsidR="004C3868" w:rsidRPr="004C3868" w:rsidRDefault="0024045C" w:rsidP="005A52DB">
            <w:pPr>
              <w:spacing w:after="0"/>
              <w:ind w:right="113"/>
              <w:jc w:val="right"/>
              <w:rPr>
                <w:sz w:val="18"/>
                <w:szCs w:val="18"/>
              </w:rPr>
            </w:pPr>
            <w:r>
              <w:rPr>
                <w:sz w:val="18"/>
                <w:szCs w:val="18"/>
              </w:rPr>
              <w:t>13.2</w:t>
            </w:r>
          </w:p>
        </w:tc>
        <w:tc>
          <w:tcPr>
            <w:tcW w:w="659" w:type="dxa"/>
          </w:tcPr>
          <w:p w:rsidR="004C3868" w:rsidRPr="004C3868" w:rsidRDefault="0024045C" w:rsidP="005A52DB">
            <w:pPr>
              <w:spacing w:after="0"/>
              <w:ind w:right="113"/>
              <w:jc w:val="right"/>
              <w:rPr>
                <w:sz w:val="18"/>
                <w:szCs w:val="18"/>
              </w:rPr>
            </w:pPr>
            <w:r>
              <w:rPr>
                <w:sz w:val="18"/>
                <w:szCs w:val="18"/>
              </w:rPr>
              <w:t>12.8</w:t>
            </w:r>
          </w:p>
        </w:tc>
        <w:tc>
          <w:tcPr>
            <w:tcW w:w="659" w:type="dxa"/>
          </w:tcPr>
          <w:p w:rsidR="004C3868" w:rsidRPr="004C3868" w:rsidRDefault="0024045C" w:rsidP="005A52DB">
            <w:pPr>
              <w:spacing w:after="0"/>
              <w:ind w:right="113"/>
              <w:jc w:val="right"/>
              <w:rPr>
                <w:sz w:val="18"/>
                <w:szCs w:val="18"/>
              </w:rPr>
            </w:pPr>
            <w:r>
              <w:rPr>
                <w:sz w:val="18"/>
                <w:szCs w:val="18"/>
              </w:rPr>
              <w:t>12.2</w:t>
            </w:r>
          </w:p>
        </w:tc>
        <w:tc>
          <w:tcPr>
            <w:tcW w:w="658" w:type="dxa"/>
          </w:tcPr>
          <w:p w:rsidR="004C3868" w:rsidRPr="004C3868" w:rsidRDefault="0024045C" w:rsidP="005A52DB">
            <w:pPr>
              <w:spacing w:after="0"/>
              <w:ind w:right="113"/>
              <w:jc w:val="right"/>
              <w:rPr>
                <w:sz w:val="18"/>
                <w:szCs w:val="18"/>
              </w:rPr>
            </w:pPr>
            <w:r>
              <w:rPr>
                <w:sz w:val="18"/>
                <w:szCs w:val="18"/>
              </w:rPr>
              <w:t>10.1</w:t>
            </w:r>
          </w:p>
        </w:tc>
        <w:tc>
          <w:tcPr>
            <w:tcW w:w="659" w:type="dxa"/>
          </w:tcPr>
          <w:p w:rsidR="004C3868" w:rsidRPr="004C3868" w:rsidRDefault="00A01B55" w:rsidP="005A52DB">
            <w:pPr>
              <w:spacing w:after="0"/>
              <w:ind w:right="113"/>
              <w:jc w:val="right"/>
              <w:rPr>
                <w:sz w:val="18"/>
                <w:szCs w:val="18"/>
              </w:rPr>
            </w:pPr>
            <w:r>
              <w:rPr>
                <w:sz w:val="18"/>
                <w:szCs w:val="18"/>
              </w:rPr>
              <w:t>7.1</w:t>
            </w:r>
          </w:p>
        </w:tc>
        <w:tc>
          <w:tcPr>
            <w:tcW w:w="659" w:type="dxa"/>
          </w:tcPr>
          <w:p w:rsidR="004C3868" w:rsidRPr="004C3868" w:rsidRDefault="00A01B55" w:rsidP="005A52DB">
            <w:pPr>
              <w:spacing w:after="0"/>
              <w:ind w:right="113"/>
              <w:jc w:val="right"/>
              <w:rPr>
                <w:sz w:val="18"/>
                <w:szCs w:val="18"/>
              </w:rPr>
            </w:pPr>
            <w:r>
              <w:rPr>
                <w:sz w:val="18"/>
                <w:szCs w:val="18"/>
              </w:rPr>
              <w:t>7.9</w:t>
            </w:r>
          </w:p>
        </w:tc>
        <w:tc>
          <w:tcPr>
            <w:tcW w:w="659" w:type="dxa"/>
          </w:tcPr>
          <w:p w:rsidR="004C3868" w:rsidRPr="004C3868" w:rsidRDefault="005A52DB" w:rsidP="005A52DB">
            <w:pPr>
              <w:spacing w:after="0"/>
              <w:ind w:right="113"/>
              <w:jc w:val="right"/>
              <w:rPr>
                <w:sz w:val="18"/>
                <w:szCs w:val="18"/>
              </w:rPr>
            </w:pPr>
            <w:r>
              <w:rPr>
                <w:sz w:val="18"/>
                <w:szCs w:val="18"/>
              </w:rPr>
              <w:t>7.1</w:t>
            </w:r>
          </w:p>
        </w:tc>
        <w:tc>
          <w:tcPr>
            <w:tcW w:w="658" w:type="dxa"/>
          </w:tcPr>
          <w:p w:rsidR="004C3868" w:rsidRPr="004C3868" w:rsidRDefault="005A52DB" w:rsidP="005A52DB">
            <w:pPr>
              <w:spacing w:after="0"/>
              <w:ind w:right="113"/>
              <w:jc w:val="right"/>
              <w:rPr>
                <w:sz w:val="18"/>
                <w:szCs w:val="18"/>
              </w:rPr>
            </w:pPr>
            <w:r>
              <w:rPr>
                <w:sz w:val="18"/>
                <w:szCs w:val="18"/>
              </w:rPr>
              <w:t>9.3</w:t>
            </w:r>
          </w:p>
        </w:tc>
        <w:tc>
          <w:tcPr>
            <w:tcW w:w="659" w:type="dxa"/>
          </w:tcPr>
          <w:p w:rsidR="004C3868" w:rsidRPr="004C3868" w:rsidRDefault="005A52DB" w:rsidP="005A52DB">
            <w:pPr>
              <w:spacing w:after="0"/>
              <w:ind w:right="113"/>
              <w:jc w:val="right"/>
              <w:rPr>
                <w:sz w:val="18"/>
                <w:szCs w:val="18"/>
              </w:rPr>
            </w:pPr>
            <w:r>
              <w:rPr>
                <w:sz w:val="18"/>
                <w:szCs w:val="18"/>
              </w:rPr>
              <w:t>10.6</w:t>
            </w:r>
          </w:p>
        </w:tc>
        <w:tc>
          <w:tcPr>
            <w:tcW w:w="659" w:type="dxa"/>
          </w:tcPr>
          <w:p w:rsidR="004C3868" w:rsidRPr="004C3868" w:rsidRDefault="005A52DB" w:rsidP="005A52DB">
            <w:pPr>
              <w:spacing w:after="0"/>
              <w:ind w:right="113"/>
              <w:jc w:val="right"/>
              <w:rPr>
                <w:sz w:val="18"/>
                <w:szCs w:val="18"/>
              </w:rPr>
            </w:pPr>
            <w:r>
              <w:rPr>
                <w:sz w:val="18"/>
                <w:szCs w:val="18"/>
              </w:rPr>
              <w:t>11.2</w:t>
            </w:r>
          </w:p>
        </w:tc>
        <w:tc>
          <w:tcPr>
            <w:tcW w:w="659" w:type="dxa"/>
            <w:tcBorders>
              <w:right w:val="single" w:sz="4" w:space="0" w:color="auto"/>
            </w:tcBorders>
          </w:tcPr>
          <w:p w:rsidR="004C3868" w:rsidRPr="004C3868" w:rsidRDefault="005A52DB" w:rsidP="005A52DB">
            <w:pPr>
              <w:spacing w:after="0"/>
              <w:ind w:right="113"/>
              <w:jc w:val="right"/>
              <w:rPr>
                <w:sz w:val="18"/>
                <w:szCs w:val="18"/>
              </w:rPr>
            </w:pPr>
            <w:r>
              <w:rPr>
                <w:sz w:val="18"/>
                <w:szCs w:val="18"/>
              </w:rPr>
              <w:t>10.6</w:t>
            </w:r>
          </w:p>
        </w:tc>
      </w:tr>
      <w:tr w:rsidR="004C3868" w:rsidRPr="004C3868" w:rsidTr="005A52DB">
        <w:tc>
          <w:tcPr>
            <w:tcW w:w="1477" w:type="dxa"/>
            <w:tcBorders>
              <w:left w:val="single" w:sz="4" w:space="0" w:color="auto"/>
              <w:bottom w:val="single" w:sz="4" w:space="0" w:color="auto"/>
            </w:tcBorders>
          </w:tcPr>
          <w:p w:rsidR="004C3868" w:rsidRPr="004C3868" w:rsidRDefault="004C3868" w:rsidP="00C407C2">
            <w:pPr>
              <w:spacing w:after="0"/>
              <w:rPr>
                <w:sz w:val="18"/>
                <w:szCs w:val="18"/>
              </w:rPr>
            </w:pPr>
            <w:r>
              <w:rPr>
                <w:sz w:val="18"/>
                <w:szCs w:val="18"/>
              </w:rPr>
              <w:t>Antillean/Aruban</w:t>
            </w:r>
          </w:p>
        </w:tc>
        <w:tc>
          <w:tcPr>
            <w:tcW w:w="658" w:type="dxa"/>
            <w:tcBorders>
              <w:bottom w:val="single" w:sz="4" w:space="0" w:color="auto"/>
            </w:tcBorders>
          </w:tcPr>
          <w:p w:rsidR="004C3868" w:rsidRPr="004C3868" w:rsidRDefault="0024045C" w:rsidP="005A52DB">
            <w:pPr>
              <w:spacing w:after="0"/>
              <w:ind w:right="113"/>
              <w:jc w:val="right"/>
              <w:rPr>
                <w:sz w:val="18"/>
                <w:szCs w:val="18"/>
              </w:rPr>
            </w:pPr>
            <w:r>
              <w:rPr>
                <w:sz w:val="18"/>
                <w:szCs w:val="18"/>
              </w:rPr>
              <w:t>18.0</w:t>
            </w:r>
          </w:p>
        </w:tc>
        <w:tc>
          <w:tcPr>
            <w:tcW w:w="659" w:type="dxa"/>
            <w:tcBorders>
              <w:bottom w:val="single" w:sz="4" w:space="0" w:color="auto"/>
            </w:tcBorders>
          </w:tcPr>
          <w:p w:rsidR="004C3868" w:rsidRPr="004C3868" w:rsidRDefault="0024045C" w:rsidP="005A52DB">
            <w:pPr>
              <w:spacing w:after="0"/>
              <w:ind w:right="113"/>
              <w:jc w:val="right"/>
              <w:rPr>
                <w:sz w:val="18"/>
                <w:szCs w:val="18"/>
              </w:rPr>
            </w:pPr>
            <w:r>
              <w:rPr>
                <w:sz w:val="18"/>
                <w:szCs w:val="18"/>
              </w:rPr>
              <w:t>20.3</w:t>
            </w:r>
          </w:p>
        </w:tc>
        <w:tc>
          <w:tcPr>
            <w:tcW w:w="659" w:type="dxa"/>
            <w:tcBorders>
              <w:bottom w:val="single" w:sz="4" w:space="0" w:color="auto"/>
            </w:tcBorders>
          </w:tcPr>
          <w:p w:rsidR="004C3868" w:rsidRPr="004C3868" w:rsidRDefault="0024045C" w:rsidP="005A52DB">
            <w:pPr>
              <w:spacing w:after="0"/>
              <w:ind w:right="113"/>
              <w:jc w:val="right"/>
              <w:rPr>
                <w:sz w:val="18"/>
                <w:szCs w:val="18"/>
              </w:rPr>
            </w:pPr>
            <w:r>
              <w:rPr>
                <w:sz w:val="18"/>
                <w:szCs w:val="18"/>
              </w:rPr>
              <w:t>19.7</w:t>
            </w:r>
          </w:p>
        </w:tc>
        <w:tc>
          <w:tcPr>
            <w:tcW w:w="659" w:type="dxa"/>
            <w:tcBorders>
              <w:bottom w:val="single" w:sz="4" w:space="0" w:color="auto"/>
            </w:tcBorders>
          </w:tcPr>
          <w:p w:rsidR="004C3868" w:rsidRPr="004C3868" w:rsidRDefault="0024045C" w:rsidP="005A52DB">
            <w:pPr>
              <w:spacing w:after="0"/>
              <w:ind w:right="113"/>
              <w:jc w:val="right"/>
              <w:rPr>
                <w:sz w:val="18"/>
                <w:szCs w:val="18"/>
              </w:rPr>
            </w:pPr>
            <w:r>
              <w:rPr>
                <w:sz w:val="18"/>
                <w:szCs w:val="18"/>
              </w:rPr>
              <w:t>14.4</w:t>
            </w:r>
          </w:p>
        </w:tc>
        <w:tc>
          <w:tcPr>
            <w:tcW w:w="658" w:type="dxa"/>
            <w:tcBorders>
              <w:bottom w:val="single" w:sz="4" w:space="0" w:color="auto"/>
            </w:tcBorders>
          </w:tcPr>
          <w:p w:rsidR="004C3868" w:rsidRPr="004C3868" w:rsidRDefault="0024045C" w:rsidP="005A52DB">
            <w:pPr>
              <w:spacing w:after="0"/>
              <w:ind w:right="113"/>
              <w:jc w:val="right"/>
              <w:rPr>
                <w:sz w:val="18"/>
                <w:szCs w:val="18"/>
              </w:rPr>
            </w:pPr>
            <w:r>
              <w:rPr>
                <w:sz w:val="18"/>
                <w:szCs w:val="18"/>
              </w:rPr>
              <w:t>13.0</w:t>
            </w:r>
          </w:p>
        </w:tc>
        <w:tc>
          <w:tcPr>
            <w:tcW w:w="659" w:type="dxa"/>
            <w:tcBorders>
              <w:bottom w:val="single" w:sz="4" w:space="0" w:color="auto"/>
            </w:tcBorders>
          </w:tcPr>
          <w:p w:rsidR="004C3868" w:rsidRPr="004C3868" w:rsidRDefault="00A01B55" w:rsidP="005A52DB">
            <w:pPr>
              <w:spacing w:after="0"/>
              <w:ind w:right="113"/>
              <w:jc w:val="right"/>
              <w:rPr>
                <w:sz w:val="18"/>
                <w:szCs w:val="18"/>
              </w:rPr>
            </w:pPr>
            <w:r>
              <w:rPr>
                <w:sz w:val="18"/>
                <w:szCs w:val="18"/>
              </w:rPr>
              <w:t>8.3</w:t>
            </w:r>
          </w:p>
        </w:tc>
        <w:tc>
          <w:tcPr>
            <w:tcW w:w="659" w:type="dxa"/>
            <w:tcBorders>
              <w:bottom w:val="single" w:sz="4" w:space="0" w:color="auto"/>
            </w:tcBorders>
          </w:tcPr>
          <w:p w:rsidR="004C3868" w:rsidRPr="004C3868" w:rsidRDefault="00A01B55" w:rsidP="005A52DB">
            <w:pPr>
              <w:spacing w:after="0"/>
              <w:ind w:right="113"/>
              <w:jc w:val="right"/>
              <w:rPr>
                <w:sz w:val="18"/>
                <w:szCs w:val="18"/>
              </w:rPr>
            </w:pPr>
            <w:r>
              <w:rPr>
                <w:sz w:val="18"/>
                <w:szCs w:val="18"/>
              </w:rPr>
              <w:t>9.7</w:t>
            </w:r>
          </w:p>
        </w:tc>
        <w:tc>
          <w:tcPr>
            <w:tcW w:w="659" w:type="dxa"/>
            <w:tcBorders>
              <w:bottom w:val="single" w:sz="4" w:space="0" w:color="auto"/>
            </w:tcBorders>
          </w:tcPr>
          <w:p w:rsidR="004C3868" w:rsidRPr="004C3868" w:rsidRDefault="005A52DB" w:rsidP="005A52DB">
            <w:pPr>
              <w:spacing w:after="0"/>
              <w:ind w:right="113"/>
              <w:jc w:val="right"/>
              <w:rPr>
                <w:sz w:val="18"/>
                <w:szCs w:val="18"/>
              </w:rPr>
            </w:pPr>
            <w:r>
              <w:rPr>
                <w:sz w:val="18"/>
                <w:szCs w:val="18"/>
              </w:rPr>
              <w:t>8.6</w:t>
            </w:r>
          </w:p>
        </w:tc>
        <w:tc>
          <w:tcPr>
            <w:tcW w:w="658" w:type="dxa"/>
            <w:tcBorders>
              <w:bottom w:val="single" w:sz="4" w:space="0" w:color="auto"/>
            </w:tcBorders>
          </w:tcPr>
          <w:p w:rsidR="004C3868" w:rsidRPr="004C3868" w:rsidRDefault="005A52DB" w:rsidP="005A52DB">
            <w:pPr>
              <w:spacing w:after="0"/>
              <w:ind w:right="113"/>
              <w:jc w:val="right"/>
              <w:rPr>
                <w:sz w:val="18"/>
                <w:szCs w:val="18"/>
              </w:rPr>
            </w:pPr>
            <w:r>
              <w:rPr>
                <w:sz w:val="18"/>
                <w:szCs w:val="18"/>
              </w:rPr>
              <w:t>20.9</w:t>
            </w:r>
          </w:p>
        </w:tc>
        <w:tc>
          <w:tcPr>
            <w:tcW w:w="659" w:type="dxa"/>
            <w:tcBorders>
              <w:bottom w:val="single" w:sz="4" w:space="0" w:color="auto"/>
            </w:tcBorders>
          </w:tcPr>
          <w:p w:rsidR="004C3868" w:rsidRPr="004C3868" w:rsidRDefault="005A52DB" w:rsidP="005A52DB">
            <w:pPr>
              <w:spacing w:after="0"/>
              <w:ind w:right="113"/>
              <w:jc w:val="right"/>
              <w:rPr>
                <w:sz w:val="18"/>
                <w:szCs w:val="18"/>
              </w:rPr>
            </w:pPr>
            <w:r>
              <w:rPr>
                <w:sz w:val="18"/>
                <w:szCs w:val="18"/>
              </w:rPr>
              <w:t>16.0</w:t>
            </w:r>
          </w:p>
        </w:tc>
        <w:tc>
          <w:tcPr>
            <w:tcW w:w="659" w:type="dxa"/>
            <w:tcBorders>
              <w:bottom w:val="single" w:sz="4" w:space="0" w:color="auto"/>
            </w:tcBorders>
          </w:tcPr>
          <w:p w:rsidR="004C3868" w:rsidRPr="004C3868" w:rsidRDefault="005A52DB" w:rsidP="005A52DB">
            <w:pPr>
              <w:spacing w:after="0"/>
              <w:ind w:right="113"/>
              <w:jc w:val="right"/>
              <w:rPr>
                <w:sz w:val="18"/>
                <w:szCs w:val="18"/>
              </w:rPr>
            </w:pPr>
            <w:r>
              <w:rPr>
                <w:sz w:val="18"/>
                <w:szCs w:val="18"/>
              </w:rPr>
              <w:t>16.0</w:t>
            </w:r>
          </w:p>
        </w:tc>
        <w:tc>
          <w:tcPr>
            <w:tcW w:w="659" w:type="dxa"/>
            <w:tcBorders>
              <w:bottom w:val="single" w:sz="4" w:space="0" w:color="auto"/>
              <w:right w:val="single" w:sz="4" w:space="0" w:color="auto"/>
            </w:tcBorders>
          </w:tcPr>
          <w:p w:rsidR="004C3868" w:rsidRPr="004C3868" w:rsidRDefault="005A52DB" w:rsidP="005A52DB">
            <w:pPr>
              <w:spacing w:after="0"/>
              <w:ind w:right="113"/>
              <w:jc w:val="right"/>
              <w:rPr>
                <w:sz w:val="18"/>
                <w:szCs w:val="18"/>
              </w:rPr>
            </w:pPr>
            <w:r>
              <w:rPr>
                <w:sz w:val="18"/>
                <w:szCs w:val="18"/>
              </w:rPr>
              <w:t>15.6</w:t>
            </w:r>
          </w:p>
        </w:tc>
      </w:tr>
      <w:tr w:rsidR="004C3868" w:rsidRPr="004C3868" w:rsidTr="00C407C2">
        <w:tc>
          <w:tcPr>
            <w:tcW w:w="1477" w:type="dxa"/>
            <w:tcBorders>
              <w:top w:val="single" w:sz="4" w:space="0" w:color="auto"/>
              <w:left w:val="single" w:sz="4" w:space="0" w:color="auto"/>
              <w:bottom w:val="single" w:sz="4" w:space="0" w:color="auto"/>
              <w:right w:val="single" w:sz="4" w:space="0" w:color="auto"/>
            </w:tcBorders>
          </w:tcPr>
          <w:p w:rsidR="004C3868" w:rsidRPr="004C3868" w:rsidRDefault="004C3868" w:rsidP="005D2A34">
            <w:pPr>
              <w:spacing w:after="0"/>
              <w:rPr>
                <w:sz w:val="18"/>
                <w:szCs w:val="18"/>
              </w:rPr>
            </w:pPr>
          </w:p>
        </w:tc>
        <w:tc>
          <w:tcPr>
            <w:tcW w:w="7905" w:type="dxa"/>
            <w:gridSpan w:val="12"/>
            <w:tcBorders>
              <w:top w:val="single" w:sz="4" w:space="0" w:color="auto"/>
              <w:left w:val="single" w:sz="4" w:space="0" w:color="auto"/>
              <w:bottom w:val="single" w:sz="4" w:space="0" w:color="auto"/>
              <w:right w:val="single" w:sz="4" w:space="0" w:color="auto"/>
            </w:tcBorders>
          </w:tcPr>
          <w:p w:rsidR="004C3868" w:rsidRPr="004C3868" w:rsidRDefault="00A01B55" w:rsidP="004C3868">
            <w:pPr>
              <w:spacing w:after="0"/>
              <w:jc w:val="center"/>
              <w:rPr>
                <w:sz w:val="18"/>
                <w:szCs w:val="18"/>
              </w:rPr>
            </w:pPr>
            <w:r>
              <w:rPr>
                <w:sz w:val="18"/>
                <w:szCs w:val="18"/>
              </w:rPr>
              <w:t>W</w:t>
            </w:r>
            <w:r w:rsidR="004C3868">
              <w:rPr>
                <w:sz w:val="18"/>
                <w:szCs w:val="18"/>
              </w:rPr>
              <w:t>omen</w:t>
            </w:r>
          </w:p>
        </w:tc>
      </w:tr>
      <w:tr w:rsidR="004C3868" w:rsidRPr="004C3868" w:rsidTr="005A52DB">
        <w:tc>
          <w:tcPr>
            <w:tcW w:w="1477" w:type="dxa"/>
            <w:tcBorders>
              <w:top w:val="single" w:sz="4" w:space="0" w:color="auto"/>
              <w:left w:val="single" w:sz="4" w:space="0" w:color="auto"/>
            </w:tcBorders>
          </w:tcPr>
          <w:p w:rsidR="004C3868" w:rsidRPr="004C3868" w:rsidRDefault="004C3868" w:rsidP="00C407C2">
            <w:pPr>
              <w:spacing w:after="0"/>
              <w:rPr>
                <w:sz w:val="18"/>
                <w:szCs w:val="18"/>
              </w:rPr>
            </w:pPr>
            <w:r>
              <w:rPr>
                <w:sz w:val="18"/>
                <w:szCs w:val="18"/>
              </w:rPr>
              <w:t>Ethnic Dutch</w:t>
            </w:r>
          </w:p>
        </w:tc>
        <w:tc>
          <w:tcPr>
            <w:tcW w:w="658" w:type="dxa"/>
            <w:tcBorders>
              <w:top w:val="single" w:sz="4" w:space="0" w:color="auto"/>
            </w:tcBorders>
          </w:tcPr>
          <w:p w:rsidR="004C3868" w:rsidRPr="004C3868" w:rsidRDefault="0024045C" w:rsidP="005A52DB">
            <w:pPr>
              <w:spacing w:after="0"/>
              <w:ind w:right="113"/>
              <w:jc w:val="right"/>
              <w:rPr>
                <w:sz w:val="18"/>
                <w:szCs w:val="18"/>
              </w:rPr>
            </w:pPr>
            <w:r>
              <w:rPr>
                <w:sz w:val="18"/>
                <w:szCs w:val="18"/>
              </w:rPr>
              <w:t>10.0</w:t>
            </w:r>
          </w:p>
        </w:tc>
        <w:tc>
          <w:tcPr>
            <w:tcW w:w="659" w:type="dxa"/>
            <w:tcBorders>
              <w:top w:val="single" w:sz="4" w:space="0" w:color="auto"/>
            </w:tcBorders>
          </w:tcPr>
          <w:p w:rsidR="004C3868" w:rsidRPr="004C3868" w:rsidRDefault="0024045C" w:rsidP="005A52DB">
            <w:pPr>
              <w:spacing w:after="0"/>
              <w:ind w:right="113"/>
              <w:jc w:val="right"/>
              <w:rPr>
                <w:sz w:val="18"/>
                <w:szCs w:val="18"/>
              </w:rPr>
            </w:pPr>
            <w:r>
              <w:rPr>
                <w:sz w:val="18"/>
                <w:szCs w:val="18"/>
              </w:rPr>
              <w:t>9.6</w:t>
            </w:r>
          </w:p>
        </w:tc>
        <w:tc>
          <w:tcPr>
            <w:tcW w:w="659" w:type="dxa"/>
            <w:tcBorders>
              <w:top w:val="single" w:sz="4" w:space="0" w:color="auto"/>
            </w:tcBorders>
          </w:tcPr>
          <w:p w:rsidR="004C3868" w:rsidRPr="004C3868" w:rsidRDefault="0024045C" w:rsidP="005A52DB">
            <w:pPr>
              <w:spacing w:after="0"/>
              <w:ind w:right="113"/>
              <w:jc w:val="right"/>
              <w:rPr>
                <w:sz w:val="18"/>
                <w:szCs w:val="18"/>
              </w:rPr>
            </w:pPr>
            <w:r>
              <w:rPr>
                <w:sz w:val="18"/>
                <w:szCs w:val="18"/>
              </w:rPr>
              <w:t>8.2</w:t>
            </w:r>
          </w:p>
        </w:tc>
        <w:tc>
          <w:tcPr>
            <w:tcW w:w="659" w:type="dxa"/>
            <w:tcBorders>
              <w:top w:val="single" w:sz="4" w:space="0" w:color="auto"/>
            </w:tcBorders>
          </w:tcPr>
          <w:p w:rsidR="004C3868" w:rsidRPr="004C3868" w:rsidRDefault="0024045C" w:rsidP="005A52DB">
            <w:pPr>
              <w:spacing w:after="0"/>
              <w:ind w:right="113"/>
              <w:jc w:val="right"/>
              <w:rPr>
                <w:sz w:val="18"/>
                <w:szCs w:val="18"/>
              </w:rPr>
            </w:pPr>
            <w:r>
              <w:rPr>
                <w:sz w:val="18"/>
                <w:szCs w:val="18"/>
              </w:rPr>
              <w:t>6.5</w:t>
            </w:r>
          </w:p>
        </w:tc>
        <w:tc>
          <w:tcPr>
            <w:tcW w:w="658" w:type="dxa"/>
            <w:tcBorders>
              <w:top w:val="single" w:sz="4" w:space="0" w:color="auto"/>
            </w:tcBorders>
          </w:tcPr>
          <w:p w:rsidR="004C3868" w:rsidRPr="004C3868" w:rsidRDefault="0024045C" w:rsidP="005A52DB">
            <w:pPr>
              <w:spacing w:after="0"/>
              <w:ind w:right="113"/>
              <w:jc w:val="right"/>
              <w:rPr>
                <w:sz w:val="18"/>
                <w:szCs w:val="18"/>
              </w:rPr>
            </w:pPr>
            <w:r>
              <w:rPr>
                <w:sz w:val="18"/>
                <w:szCs w:val="18"/>
              </w:rPr>
              <w:t>5.4</w:t>
            </w:r>
          </w:p>
        </w:tc>
        <w:tc>
          <w:tcPr>
            <w:tcW w:w="659" w:type="dxa"/>
            <w:tcBorders>
              <w:top w:val="single" w:sz="4" w:space="0" w:color="auto"/>
            </w:tcBorders>
          </w:tcPr>
          <w:p w:rsidR="004C3868" w:rsidRPr="004C3868" w:rsidRDefault="00A01B55" w:rsidP="005A52DB">
            <w:pPr>
              <w:spacing w:after="0"/>
              <w:ind w:right="113"/>
              <w:jc w:val="right"/>
              <w:rPr>
                <w:sz w:val="18"/>
                <w:szCs w:val="18"/>
              </w:rPr>
            </w:pPr>
            <w:r>
              <w:rPr>
                <w:sz w:val="18"/>
                <w:szCs w:val="18"/>
              </w:rPr>
              <w:t>4.6</w:t>
            </w:r>
          </w:p>
        </w:tc>
        <w:tc>
          <w:tcPr>
            <w:tcW w:w="659" w:type="dxa"/>
            <w:tcBorders>
              <w:top w:val="single" w:sz="4" w:space="0" w:color="auto"/>
            </w:tcBorders>
          </w:tcPr>
          <w:p w:rsidR="004C3868" w:rsidRPr="004C3868" w:rsidRDefault="00A01B55" w:rsidP="005A52DB">
            <w:pPr>
              <w:spacing w:after="0"/>
              <w:ind w:right="113"/>
              <w:jc w:val="right"/>
              <w:rPr>
                <w:sz w:val="18"/>
                <w:szCs w:val="18"/>
              </w:rPr>
            </w:pPr>
            <w:r>
              <w:rPr>
                <w:sz w:val="18"/>
                <w:szCs w:val="18"/>
              </w:rPr>
              <w:t>4.3</w:t>
            </w:r>
          </w:p>
        </w:tc>
        <w:tc>
          <w:tcPr>
            <w:tcW w:w="659" w:type="dxa"/>
            <w:tcBorders>
              <w:top w:val="single" w:sz="4" w:space="0" w:color="auto"/>
            </w:tcBorders>
          </w:tcPr>
          <w:p w:rsidR="004C3868" w:rsidRPr="004C3868" w:rsidRDefault="005A52DB" w:rsidP="005A52DB">
            <w:pPr>
              <w:spacing w:after="0"/>
              <w:ind w:right="113"/>
              <w:jc w:val="right"/>
              <w:rPr>
                <w:sz w:val="18"/>
                <w:szCs w:val="18"/>
              </w:rPr>
            </w:pPr>
            <w:r>
              <w:rPr>
                <w:sz w:val="18"/>
                <w:szCs w:val="18"/>
              </w:rPr>
              <w:t>4.4</w:t>
            </w:r>
          </w:p>
        </w:tc>
        <w:tc>
          <w:tcPr>
            <w:tcW w:w="658" w:type="dxa"/>
            <w:tcBorders>
              <w:top w:val="single" w:sz="4" w:space="0" w:color="auto"/>
            </w:tcBorders>
          </w:tcPr>
          <w:p w:rsidR="004C3868" w:rsidRPr="004C3868" w:rsidRDefault="005A52DB" w:rsidP="005A52DB">
            <w:pPr>
              <w:spacing w:after="0"/>
              <w:ind w:right="113"/>
              <w:jc w:val="right"/>
              <w:rPr>
                <w:sz w:val="18"/>
                <w:szCs w:val="18"/>
              </w:rPr>
            </w:pPr>
            <w:r>
              <w:rPr>
                <w:sz w:val="18"/>
                <w:szCs w:val="18"/>
              </w:rPr>
              <w:t>5.4</w:t>
            </w:r>
          </w:p>
        </w:tc>
        <w:tc>
          <w:tcPr>
            <w:tcW w:w="659" w:type="dxa"/>
            <w:tcBorders>
              <w:top w:val="single" w:sz="4" w:space="0" w:color="auto"/>
            </w:tcBorders>
          </w:tcPr>
          <w:p w:rsidR="004C3868" w:rsidRPr="004C3868" w:rsidRDefault="005A52DB" w:rsidP="005A52DB">
            <w:pPr>
              <w:spacing w:after="0"/>
              <w:ind w:right="113"/>
              <w:jc w:val="right"/>
              <w:rPr>
                <w:sz w:val="18"/>
                <w:szCs w:val="18"/>
              </w:rPr>
            </w:pPr>
            <w:r>
              <w:rPr>
                <w:sz w:val="18"/>
                <w:szCs w:val="18"/>
              </w:rPr>
              <w:t>6.4</w:t>
            </w:r>
          </w:p>
        </w:tc>
        <w:tc>
          <w:tcPr>
            <w:tcW w:w="659" w:type="dxa"/>
            <w:tcBorders>
              <w:top w:val="single" w:sz="4" w:space="0" w:color="auto"/>
            </w:tcBorders>
          </w:tcPr>
          <w:p w:rsidR="004C3868" w:rsidRPr="004C3868" w:rsidRDefault="005A52DB" w:rsidP="005A52DB">
            <w:pPr>
              <w:spacing w:after="0"/>
              <w:ind w:right="113"/>
              <w:jc w:val="right"/>
              <w:rPr>
                <w:sz w:val="18"/>
                <w:szCs w:val="18"/>
              </w:rPr>
            </w:pPr>
            <w:r>
              <w:rPr>
                <w:sz w:val="18"/>
                <w:szCs w:val="18"/>
              </w:rPr>
              <w:t>6.5</w:t>
            </w:r>
          </w:p>
        </w:tc>
        <w:tc>
          <w:tcPr>
            <w:tcW w:w="659" w:type="dxa"/>
            <w:tcBorders>
              <w:top w:val="single" w:sz="4" w:space="0" w:color="auto"/>
              <w:right w:val="single" w:sz="4" w:space="0" w:color="auto"/>
            </w:tcBorders>
          </w:tcPr>
          <w:p w:rsidR="004C3868" w:rsidRPr="004C3868" w:rsidRDefault="005A52DB" w:rsidP="005A52DB">
            <w:pPr>
              <w:spacing w:after="0"/>
              <w:ind w:right="113"/>
              <w:jc w:val="right"/>
              <w:rPr>
                <w:sz w:val="18"/>
                <w:szCs w:val="18"/>
              </w:rPr>
            </w:pPr>
            <w:r>
              <w:rPr>
                <w:sz w:val="18"/>
                <w:szCs w:val="18"/>
              </w:rPr>
              <w:t>5.6</w:t>
            </w:r>
          </w:p>
        </w:tc>
      </w:tr>
      <w:tr w:rsidR="004C3868" w:rsidRPr="004C3868" w:rsidTr="005A52DB">
        <w:tc>
          <w:tcPr>
            <w:tcW w:w="1477" w:type="dxa"/>
            <w:tcBorders>
              <w:left w:val="single" w:sz="4" w:space="0" w:color="auto"/>
            </w:tcBorders>
          </w:tcPr>
          <w:p w:rsidR="004C3868" w:rsidRPr="004C3868" w:rsidRDefault="004C3868" w:rsidP="00C407C2">
            <w:pPr>
              <w:spacing w:after="0"/>
              <w:rPr>
                <w:sz w:val="18"/>
                <w:szCs w:val="18"/>
              </w:rPr>
            </w:pPr>
            <w:r>
              <w:rPr>
                <w:sz w:val="18"/>
                <w:szCs w:val="18"/>
              </w:rPr>
              <w:t>Turkish</w:t>
            </w:r>
          </w:p>
        </w:tc>
        <w:tc>
          <w:tcPr>
            <w:tcW w:w="658" w:type="dxa"/>
          </w:tcPr>
          <w:p w:rsidR="004C3868" w:rsidRPr="004C3868" w:rsidRDefault="0024045C" w:rsidP="005A52DB">
            <w:pPr>
              <w:spacing w:after="0"/>
              <w:ind w:right="113"/>
              <w:jc w:val="right"/>
              <w:rPr>
                <w:sz w:val="18"/>
                <w:szCs w:val="18"/>
              </w:rPr>
            </w:pPr>
            <w:r>
              <w:rPr>
                <w:sz w:val="18"/>
                <w:szCs w:val="18"/>
              </w:rPr>
              <w:t>32.5</w:t>
            </w:r>
          </w:p>
        </w:tc>
        <w:tc>
          <w:tcPr>
            <w:tcW w:w="659" w:type="dxa"/>
          </w:tcPr>
          <w:p w:rsidR="004C3868" w:rsidRPr="004C3868" w:rsidRDefault="0024045C" w:rsidP="005A52DB">
            <w:pPr>
              <w:spacing w:after="0"/>
              <w:ind w:right="113"/>
              <w:jc w:val="right"/>
              <w:rPr>
                <w:sz w:val="18"/>
                <w:szCs w:val="18"/>
              </w:rPr>
            </w:pPr>
            <w:r>
              <w:rPr>
                <w:sz w:val="18"/>
                <w:szCs w:val="18"/>
              </w:rPr>
              <w:t>27.1</w:t>
            </w:r>
          </w:p>
        </w:tc>
        <w:tc>
          <w:tcPr>
            <w:tcW w:w="659" w:type="dxa"/>
          </w:tcPr>
          <w:p w:rsidR="004C3868" w:rsidRPr="004C3868" w:rsidRDefault="0024045C" w:rsidP="005A52DB">
            <w:pPr>
              <w:spacing w:after="0"/>
              <w:ind w:right="113"/>
              <w:jc w:val="right"/>
              <w:rPr>
                <w:sz w:val="18"/>
                <w:szCs w:val="18"/>
              </w:rPr>
            </w:pPr>
            <w:r>
              <w:rPr>
                <w:sz w:val="18"/>
                <w:szCs w:val="18"/>
              </w:rPr>
              <w:t>24.3</w:t>
            </w:r>
          </w:p>
        </w:tc>
        <w:tc>
          <w:tcPr>
            <w:tcW w:w="659" w:type="dxa"/>
          </w:tcPr>
          <w:p w:rsidR="004C3868" w:rsidRPr="004C3868" w:rsidRDefault="0024045C" w:rsidP="005A52DB">
            <w:pPr>
              <w:spacing w:after="0"/>
              <w:ind w:right="113"/>
              <w:jc w:val="right"/>
              <w:rPr>
                <w:sz w:val="18"/>
                <w:szCs w:val="18"/>
              </w:rPr>
            </w:pPr>
            <w:r>
              <w:rPr>
                <w:sz w:val="18"/>
                <w:szCs w:val="18"/>
              </w:rPr>
              <w:t>18.3</w:t>
            </w:r>
          </w:p>
        </w:tc>
        <w:tc>
          <w:tcPr>
            <w:tcW w:w="658" w:type="dxa"/>
          </w:tcPr>
          <w:p w:rsidR="004C3868" w:rsidRPr="004C3868" w:rsidRDefault="0024045C" w:rsidP="005A52DB">
            <w:pPr>
              <w:spacing w:after="0"/>
              <w:ind w:right="113"/>
              <w:jc w:val="right"/>
              <w:rPr>
                <w:sz w:val="18"/>
                <w:szCs w:val="18"/>
              </w:rPr>
            </w:pPr>
            <w:r>
              <w:rPr>
                <w:sz w:val="18"/>
                <w:szCs w:val="18"/>
              </w:rPr>
              <w:t>14.4</w:t>
            </w:r>
          </w:p>
        </w:tc>
        <w:tc>
          <w:tcPr>
            <w:tcW w:w="659" w:type="dxa"/>
          </w:tcPr>
          <w:p w:rsidR="004C3868" w:rsidRPr="004C3868" w:rsidRDefault="00A01B55" w:rsidP="005A52DB">
            <w:pPr>
              <w:spacing w:after="0"/>
              <w:ind w:right="113"/>
              <w:jc w:val="right"/>
              <w:rPr>
                <w:sz w:val="18"/>
                <w:szCs w:val="18"/>
              </w:rPr>
            </w:pPr>
            <w:r>
              <w:rPr>
                <w:sz w:val="18"/>
                <w:szCs w:val="18"/>
              </w:rPr>
              <w:t>12.3</w:t>
            </w:r>
          </w:p>
        </w:tc>
        <w:tc>
          <w:tcPr>
            <w:tcW w:w="659" w:type="dxa"/>
          </w:tcPr>
          <w:p w:rsidR="004C3868" w:rsidRPr="004C3868" w:rsidRDefault="00A01B55" w:rsidP="005A52DB">
            <w:pPr>
              <w:spacing w:after="0"/>
              <w:ind w:right="113"/>
              <w:jc w:val="right"/>
              <w:rPr>
                <w:sz w:val="18"/>
                <w:szCs w:val="18"/>
              </w:rPr>
            </w:pPr>
            <w:r>
              <w:rPr>
                <w:sz w:val="18"/>
                <w:szCs w:val="18"/>
              </w:rPr>
              <w:t>7.1</w:t>
            </w:r>
          </w:p>
        </w:tc>
        <w:tc>
          <w:tcPr>
            <w:tcW w:w="659" w:type="dxa"/>
          </w:tcPr>
          <w:p w:rsidR="004C3868" w:rsidRPr="004C3868" w:rsidRDefault="005A52DB" w:rsidP="005A52DB">
            <w:pPr>
              <w:spacing w:after="0"/>
              <w:ind w:right="113"/>
              <w:jc w:val="right"/>
              <w:rPr>
                <w:sz w:val="18"/>
                <w:szCs w:val="18"/>
              </w:rPr>
            </w:pPr>
            <w:r>
              <w:rPr>
                <w:sz w:val="18"/>
                <w:szCs w:val="18"/>
              </w:rPr>
              <w:t>8.0</w:t>
            </w:r>
          </w:p>
        </w:tc>
        <w:tc>
          <w:tcPr>
            <w:tcW w:w="658" w:type="dxa"/>
          </w:tcPr>
          <w:p w:rsidR="004C3868" w:rsidRPr="004C3868" w:rsidRDefault="005A52DB" w:rsidP="005A52DB">
            <w:pPr>
              <w:spacing w:after="0"/>
              <w:ind w:right="113"/>
              <w:jc w:val="right"/>
              <w:rPr>
                <w:sz w:val="18"/>
                <w:szCs w:val="18"/>
              </w:rPr>
            </w:pPr>
            <w:r>
              <w:rPr>
                <w:sz w:val="18"/>
                <w:szCs w:val="18"/>
              </w:rPr>
              <w:t>19.8</w:t>
            </w:r>
          </w:p>
        </w:tc>
        <w:tc>
          <w:tcPr>
            <w:tcW w:w="659" w:type="dxa"/>
          </w:tcPr>
          <w:p w:rsidR="004C3868" w:rsidRPr="004C3868" w:rsidRDefault="005A52DB" w:rsidP="005A52DB">
            <w:pPr>
              <w:spacing w:after="0"/>
              <w:ind w:right="113"/>
              <w:jc w:val="right"/>
              <w:rPr>
                <w:sz w:val="18"/>
                <w:szCs w:val="18"/>
              </w:rPr>
            </w:pPr>
            <w:r>
              <w:rPr>
                <w:sz w:val="18"/>
                <w:szCs w:val="18"/>
              </w:rPr>
              <w:t>17.8</w:t>
            </w:r>
          </w:p>
        </w:tc>
        <w:tc>
          <w:tcPr>
            <w:tcW w:w="659" w:type="dxa"/>
          </w:tcPr>
          <w:p w:rsidR="004C3868" w:rsidRPr="004C3868" w:rsidRDefault="005A52DB" w:rsidP="005A52DB">
            <w:pPr>
              <w:spacing w:after="0"/>
              <w:ind w:right="113"/>
              <w:jc w:val="right"/>
              <w:rPr>
                <w:sz w:val="18"/>
                <w:szCs w:val="18"/>
              </w:rPr>
            </w:pPr>
            <w:r>
              <w:rPr>
                <w:sz w:val="18"/>
                <w:szCs w:val="18"/>
              </w:rPr>
              <w:t>15.0</w:t>
            </w:r>
          </w:p>
        </w:tc>
        <w:tc>
          <w:tcPr>
            <w:tcW w:w="659" w:type="dxa"/>
            <w:tcBorders>
              <w:right w:val="single" w:sz="4" w:space="0" w:color="auto"/>
            </w:tcBorders>
          </w:tcPr>
          <w:p w:rsidR="004C3868" w:rsidRPr="004C3868" w:rsidRDefault="005A52DB" w:rsidP="005A52DB">
            <w:pPr>
              <w:spacing w:after="0"/>
              <w:ind w:right="113"/>
              <w:jc w:val="right"/>
              <w:rPr>
                <w:sz w:val="18"/>
                <w:szCs w:val="18"/>
              </w:rPr>
            </w:pPr>
            <w:r>
              <w:rPr>
                <w:sz w:val="18"/>
                <w:szCs w:val="18"/>
              </w:rPr>
              <w:t>20.6</w:t>
            </w:r>
          </w:p>
        </w:tc>
      </w:tr>
      <w:tr w:rsidR="004C3868" w:rsidRPr="004C3868" w:rsidTr="005A52DB">
        <w:tc>
          <w:tcPr>
            <w:tcW w:w="1477" w:type="dxa"/>
            <w:tcBorders>
              <w:left w:val="single" w:sz="4" w:space="0" w:color="auto"/>
            </w:tcBorders>
          </w:tcPr>
          <w:p w:rsidR="004C3868" w:rsidRPr="004C3868" w:rsidRDefault="004C3868" w:rsidP="00C407C2">
            <w:pPr>
              <w:spacing w:after="0"/>
              <w:rPr>
                <w:sz w:val="18"/>
                <w:szCs w:val="18"/>
              </w:rPr>
            </w:pPr>
            <w:r>
              <w:rPr>
                <w:sz w:val="18"/>
                <w:szCs w:val="18"/>
              </w:rPr>
              <w:t>Moroccan</w:t>
            </w:r>
          </w:p>
        </w:tc>
        <w:tc>
          <w:tcPr>
            <w:tcW w:w="658" w:type="dxa"/>
          </w:tcPr>
          <w:p w:rsidR="004C3868" w:rsidRPr="004C3868" w:rsidRDefault="0024045C" w:rsidP="005A52DB">
            <w:pPr>
              <w:spacing w:after="0"/>
              <w:ind w:right="113"/>
              <w:jc w:val="right"/>
              <w:rPr>
                <w:sz w:val="18"/>
                <w:szCs w:val="18"/>
              </w:rPr>
            </w:pPr>
            <w:r>
              <w:rPr>
                <w:sz w:val="18"/>
                <w:szCs w:val="18"/>
              </w:rPr>
              <w:t>37.0</w:t>
            </w:r>
          </w:p>
        </w:tc>
        <w:tc>
          <w:tcPr>
            <w:tcW w:w="659" w:type="dxa"/>
          </w:tcPr>
          <w:p w:rsidR="004C3868" w:rsidRPr="004C3868" w:rsidRDefault="0024045C" w:rsidP="005A52DB">
            <w:pPr>
              <w:spacing w:after="0"/>
              <w:ind w:right="113"/>
              <w:jc w:val="right"/>
              <w:rPr>
                <w:sz w:val="18"/>
                <w:szCs w:val="18"/>
              </w:rPr>
            </w:pPr>
            <w:r>
              <w:rPr>
                <w:sz w:val="18"/>
                <w:szCs w:val="18"/>
              </w:rPr>
              <w:t>33.5</w:t>
            </w:r>
          </w:p>
        </w:tc>
        <w:tc>
          <w:tcPr>
            <w:tcW w:w="659" w:type="dxa"/>
          </w:tcPr>
          <w:p w:rsidR="004C3868" w:rsidRPr="004C3868" w:rsidRDefault="0024045C" w:rsidP="005A52DB">
            <w:pPr>
              <w:spacing w:after="0"/>
              <w:ind w:right="113"/>
              <w:jc w:val="right"/>
              <w:rPr>
                <w:sz w:val="18"/>
                <w:szCs w:val="18"/>
              </w:rPr>
            </w:pPr>
            <w:r>
              <w:rPr>
                <w:sz w:val="18"/>
                <w:szCs w:val="18"/>
              </w:rPr>
              <w:t>16.5</w:t>
            </w:r>
          </w:p>
        </w:tc>
        <w:tc>
          <w:tcPr>
            <w:tcW w:w="659" w:type="dxa"/>
          </w:tcPr>
          <w:p w:rsidR="004C3868" w:rsidRPr="004C3868" w:rsidRDefault="0024045C" w:rsidP="005A52DB">
            <w:pPr>
              <w:spacing w:after="0"/>
              <w:ind w:right="113"/>
              <w:jc w:val="right"/>
              <w:rPr>
                <w:sz w:val="18"/>
                <w:szCs w:val="18"/>
              </w:rPr>
            </w:pPr>
            <w:r>
              <w:rPr>
                <w:sz w:val="18"/>
                <w:szCs w:val="18"/>
              </w:rPr>
              <w:t>18.9</w:t>
            </w:r>
          </w:p>
        </w:tc>
        <w:tc>
          <w:tcPr>
            <w:tcW w:w="658" w:type="dxa"/>
          </w:tcPr>
          <w:p w:rsidR="004C3868" w:rsidRPr="004C3868" w:rsidRDefault="0024045C" w:rsidP="005A52DB">
            <w:pPr>
              <w:spacing w:after="0"/>
              <w:ind w:right="113"/>
              <w:jc w:val="right"/>
              <w:rPr>
                <w:sz w:val="18"/>
                <w:szCs w:val="18"/>
              </w:rPr>
            </w:pPr>
            <w:r>
              <w:rPr>
                <w:sz w:val="18"/>
                <w:szCs w:val="18"/>
              </w:rPr>
              <w:t>16.6</w:t>
            </w:r>
          </w:p>
        </w:tc>
        <w:tc>
          <w:tcPr>
            <w:tcW w:w="659" w:type="dxa"/>
          </w:tcPr>
          <w:p w:rsidR="004C3868" w:rsidRPr="004C3868" w:rsidRDefault="00A01B55" w:rsidP="005A52DB">
            <w:pPr>
              <w:spacing w:after="0"/>
              <w:ind w:right="113"/>
              <w:jc w:val="right"/>
              <w:rPr>
                <w:sz w:val="18"/>
                <w:szCs w:val="18"/>
              </w:rPr>
            </w:pPr>
            <w:r>
              <w:rPr>
                <w:sz w:val="18"/>
                <w:szCs w:val="18"/>
              </w:rPr>
              <w:t>15.6</w:t>
            </w:r>
          </w:p>
        </w:tc>
        <w:tc>
          <w:tcPr>
            <w:tcW w:w="659" w:type="dxa"/>
          </w:tcPr>
          <w:p w:rsidR="004C3868" w:rsidRPr="004C3868" w:rsidRDefault="00A01B55" w:rsidP="005A52DB">
            <w:pPr>
              <w:spacing w:after="0"/>
              <w:ind w:right="113"/>
              <w:jc w:val="right"/>
              <w:rPr>
                <w:sz w:val="18"/>
                <w:szCs w:val="18"/>
              </w:rPr>
            </w:pPr>
            <w:r>
              <w:rPr>
                <w:sz w:val="18"/>
                <w:szCs w:val="18"/>
              </w:rPr>
              <w:t>15.4</w:t>
            </w:r>
          </w:p>
        </w:tc>
        <w:tc>
          <w:tcPr>
            <w:tcW w:w="659" w:type="dxa"/>
          </w:tcPr>
          <w:p w:rsidR="004C3868" w:rsidRPr="004C3868" w:rsidRDefault="005A52DB" w:rsidP="005A52DB">
            <w:pPr>
              <w:spacing w:after="0"/>
              <w:ind w:right="113"/>
              <w:jc w:val="right"/>
              <w:rPr>
                <w:sz w:val="18"/>
                <w:szCs w:val="18"/>
              </w:rPr>
            </w:pPr>
            <w:r>
              <w:rPr>
                <w:sz w:val="18"/>
                <w:szCs w:val="18"/>
              </w:rPr>
              <w:t>9.1</w:t>
            </w:r>
          </w:p>
        </w:tc>
        <w:tc>
          <w:tcPr>
            <w:tcW w:w="658" w:type="dxa"/>
          </w:tcPr>
          <w:p w:rsidR="004C3868" w:rsidRPr="004C3868" w:rsidRDefault="005A52DB" w:rsidP="005A52DB">
            <w:pPr>
              <w:spacing w:after="0"/>
              <w:ind w:right="113"/>
              <w:jc w:val="right"/>
              <w:rPr>
                <w:sz w:val="18"/>
                <w:szCs w:val="18"/>
              </w:rPr>
            </w:pPr>
            <w:r>
              <w:rPr>
                <w:sz w:val="18"/>
                <w:szCs w:val="18"/>
              </w:rPr>
              <w:t>18.1</w:t>
            </w:r>
          </w:p>
        </w:tc>
        <w:tc>
          <w:tcPr>
            <w:tcW w:w="659" w:type="dxa"/>
          </w:tcPr>
          <w:p w:rsidR="004C3868" w:rsidRPr="004C3868" w:rsidRDefault="005A52DB" w:rsidP="005A52DB">
            <w:pPr>
              <w:spacing w:after="0"/>
              <w:ind w:right="113"/>
              <w:jc w:val="right"/>
              <w:rPr>
                <w:sz w:val="18"/>
                <w:szCs w:val="18"/>
              </w:rPr>
            </w:pPr>
            <w:r>
              <w:rPr>
                <w:sz w:val="18"/>
                <w:szCs w:val="18"/>
              </w:rPr>
              <w:t>19.1</w:t>
            </w:r>
          </w:p>
        </w:tc>
        <w:tc>
          <w:tcPr>
            <w:tcW w:w="659" w:type="dxa"/>
          </w:tcPr>
          <w:p w:rsidR="004C3868" w:rsidRPr="004C3868" w:rsidRDefault="005A52DB" w:rsidP="005A52DB">
            <w:pPr>
              <w:spacing w:after="0"/>
              <w:ind w:right="113"/>
              <w:jc w:val="right"/>
              <w:rPr>
                <w:sz w:val="18"/>
                <w:szCs w:val="18"/>
              </w:rPr>
            </w:pPr>
            <w:r>
              <w:rPr>
                <w:sz w:val="18"/>
                <w:szCs w:val="18"/>
              </w:rPr>
              <w:t>19.5</w:t>
            </w:r>
          </w:p>
        </w:tc>
        <w:tc>
          <w:tcPr>
            <w:tcW w:w="659" w:type="dxa"/>
            <w:tcBorders>
              <w:right w:val="single" w:sz="4" w:space="0" w:color="auto"/>
            </w:tcBorders>
          </w:tcPr>
          <w:p w:rsidR="004C3868" w:rsidRPr="004C3868" w:rsidRDefault="005A52DB" w:rsidP="005A52DB">
            <w:pPr>
              <w:spacing w:after="0"/>
              <w:ind w:right="113"/>
              <w:jc w:val="right"/>
              <w:rPr>
                <w:sz w:val="18"/>
                <w:szCs w:val="18"/>
              </w:rPr>
            </w:pPr>
            <w:r>
              <w:rPr>
                <w:sz w:val="18"/>
                <w:szCs w:val="18"/>
              </w:rPr>
              <w:t>22.6</w:t>
            </w:r>
          </w:p>
        </w:tc>
      </w:tr>
      <w:tr w:rsidR="004C3868" w:rsidRPr="004C3868" w:rsidTr="005A52DB">
        <w:tc>
          <w:tcPr>
            <w:tcW w:w="1477" w:type="dxa"/>
            <w:tcBorders>
              <w:left w:val="single" w:sz="4" w:space="0" w:color="auto"/>
            </w:tcBorders>
          </w:tcPr>
          <w:p w:rsidR="004C3868" w:rsidRPr="004C3868" w:rsidRDefault="004C3868" w:rsidP="00C407C2">
            <w:pPr>
              <w:spacing w:after="0"/>
              <w:rPr>
                <w:sz w:val="18"/>
                <w:szCs w:val="18"/>
              </w:rPr>
            </w:pPr>
            <w:r>
              <w:rPr>
                <w:sz w:val="18"/>
                <w:szCs w:val="18"/>
              </w:rPr>
              <w:t>Surinamese</w:t>
            </w:r>
          </w:p>
        </w:tc>
        <w:tc>
          <w:tcPr>
            <w:tcW w:w="658" w:type="dxa"/>
          </w:tcPr>
          <w:p w:rsidR="004C3868" w:rsidRPr="004C3868" w:rsidRDefault="0024045C" w:rsidP="005A52DB">
            <w:pPr>
              <w:spacing w:after="0"/>
              <w:ind w:right="113"/>
              <w:jc w:val="right"/>
              <w:rPr>
                <w:sz w:val="18"/>
                <w:szCs w:val="18"/>
              </w:rPr>
            </w:pPr>
            <w:r>
              <w:rPr>
                <w:sz w:val="18"/>
                <w:szCs w:val="18"/>
              </w:rPr>
              <w:t>17.0</w:t>
            </w:r>
          </w:p>
        </w:tc>
        <w:tc>
          <w:tcPr>
            <w:tcW w:w="659" w:type="dxa"/>
          </w:tcPr>
          <w:p w:rsidR="004C3868" w:rsidRPr="004C3868" w:rsidRDefault="0024045C" w:rsidP="005A52DB">
            <w:pPr>
              <w:spacing w:after="0"/>
              <w:ind w:right="113"/>
              <w:jc w:val="right"/>
              <w:rPr>
                <w:sz w:val="18"/>
                <w:szCs w:val="18"/>
              </w:rPr>
            </w:pPr>
            <w:r>
              <w:rPr>
                <w:sz w:val="18"/>
                <w:szCs w:val="18"/>
              </w:rPr>
              <w:t>16.3</w:t>
            </w:r>
          </w:p>
        </w:tc>
        <w:tc>
          <w:tcPr>
            <w:tcW w:w="659" w:type="dxa"/>
          </w:tcPr>
          <w:p w:rsidR="004C3868" w:rsidRPr="004C3868" w:rsidRDefault="0024045C" w:rsidP="005A52DB">
            <w:pPr>
              <w:spacing w:after="0"/>
              <w:ind w:right="113"/>
              <w:jc w:val="right"/>
              <w:rPr>
                <w:sz w:val="18"/>
                <w:szCs w:val="18"/>
              </w:rPr>
            </w:pPr>
            <w:r>
              <w:rPr>
                <w:sz w:val="18"/>
                <w:szCs w:val="18"/>
              </w:rPr>
              <w:t>14.2</w:t>
            </w:r>
          </w:p>
        </w:tc>
        <w:tc>
          <w:tcPr>
            <w:tcW w:w="659" w:type="dxa"/>
          </w:tcPr>
          <w:p w:rsidR="004C3868" w:rsidRPr="004C3868" w:rsidRDefault="0024045C" w:rsidP="005A52DB">
            <w:pPr>
              <w:spacing w:after="0"/>
              <w:ind w:right="113"/>
              <w:jc w:val="right"/>
              <w:rPr>
                <w:sz w:val="18"/>
                <w:szCs w:val="18"/>
              </w:rPr>
            </w:pPr>
            <w:r>
              <w:rPr>
                <w:sz w:val="18"/>
                <w:szCs w:val="18"/>
              </w:rPr>
              <w:t>11.6</w:t>
            </w:r>
          </w:p>
        </w:tc>
        <w:tc>
          <w:tcPr>
            <w:tcW w:w="658" w:type="dxa"/>
          </w:tcPr>
          <w:p w:rsidR="004C3868" w:rsidRPr="004C3868" w:rsidRDefault="0024045C" w:rsidP="005A52DB">
            <w:pPr>
              <w:spacing w:after="0"/>
              <w:ind w:right="113"/>
              <w:jc w:val="right"/>
              <w:rPr>
                <w:sz w:val="18"/>
                <w:szCs w:val="18"/>
              </w:rPr>
            </w:pPr>
            <w:r>
              <w:rPr>
                <w:sz w:val="18"/>
                <w:szCs w:val="18"/>
              </w:rPr>
              <w:t>10.7</w:t>
            </w:r>
          </w:p>
        </w:tc>
        <w:tc>
          <w:tcPr>
            <w:tcW w:w="659" w:type="dxa"/>
          </w:tcPr>
          <w:p w:rsidR="004C3868" w:rsidRPr="004C3868" w:rsidRDefault="00A01B55" w:rsidP="005A52DB">
            <w:pPr>
              <w:spacing w:after="0"/>
              <w:ind w:right="113"/>
              <w:jc w:val="right"/>
              <w:rPr>
                <w:sz w:val="18"/>
                <w:szCs w:val="18"/>
              </w:rPr>
            </w:pPr>
            <w:r>
              <w:rPr>
                <w:sz w:val="18"/>
                <w:szCs w:val="18"/>
              </w:rPr>
              <w:t>11.3</w:t>
            </w:r>
          </w:p>
        </w:tc>
        <w:tc>
          <w:tcPr>
            <w:tcW w:w="659" w:type="dxa"/>
          </w:tcPr>
          <w:p w:rsidR="004C3868" w:rsidRPr="004C3868" w:rsidRDefault="00A01B55" w:rsidP="005A52DB">
            <w:pPr>
              <w:spacing w:after="0"/>
              <w:ind w:right="113"/>
              <w:jc w:val="right"/>
              <w:rPr>
                <w:sz w:val="18"/>
                <w:szCs w:val="18"/>
              </w:rPr>
            </w:pPr>
            <w:r>
              <w:rPr>
                <w:sz w:val="18"/>
                <w:szCs w:val="18"/>
              </w:rPr>
              <w:t>5.0</w:t>
            </w:r>
          </w:p>
        </w:tc>
        <w:tc>
          <w:tcPr>
            <w:tcW w:w="659" w:type="dxa"/>
          </w:tcPr>
          <w:p w:rsidR="004C3868" w:rsidRPr="004C3868" w:rsidRDefault="005A52DB" w:rsidP="005A52DB">
            <w:pPr>
              <w:spacing w:after="0"/>
              <w:ind w:right="113"/>
              <w:jc w:val="right"/>
              <w:rPr>
                <w:sz w:val="18"/>
                <w:szCs w:val="18"/>
              </w:rPr>
            </w:pPr>
            <w:r>
              <w:rPr>
                <w:sz w:val="18"/>
                <w:szCs w:val="18"/>
              </w:rPr>
              <w:t>9.1</w:t>
            </w:r>
          </w:p>
        </w:tc>
        <w:tc>
          <w:tcPr>
            <w:tcW w:w="658" w:type="dxa"/>
          </w:tcPr>
          <w:p w:rsidR="004C3868" w:rsidRPr="004C3868" w:rsidRDefault="005A52DB" w:rsidP="005A52DB">
            <w:pPr>
              <w:spacing w:after="0"/>
              <w:ind w:right="113"/>
              <w:jc w:val="right"/>
              <w:rPr>
                <w:sz w:val="18"/>
                <w:szCs w:val="18"/>
              </w:rPr>
            </w:pPr>
            <w:r>
              <w:rPr>
                <w:sz w:val="18"/>
                <w:szCs w:val="18"/>
              </w:rPr>
              <w:t>10.8</w:t>
            </w:r>
          </w:p>
        </w:tc>
        <w:tc>
          <w:tcPr>
            <w:tcW w:w="659" w:type="dxa"/>
          </w:tcPr>
          <w:p w:rsidR="005A52DB" w:rsidRPr="004C3868" w:rsidRDefault="005A52DB" w:rsidP="005A52DB">
            <w:pPr>
              <w:spacing w:after="0"/>
              <w:ind w:right="113"/>
              <w:jc w:val="right"/>
              <w:rPr>
                <w:sz w:val="18"/>
                <w:szCs w:val="18"/>
              </w:rPr>
            </w:pPr>
            <w:r>
              <w:rPr>
                <w:sz w:val="18"/>
                <w:szCs w:val="18"/>
              </w:rPr>
              <w:t>12.8</w:t>
            </w:r>
          </w:p>
        </w:tc>
        <w:tc>
          <w:tcPr>
            <w:tcW w:w="659" w:type="dxa"/>
          </w:tcPr>
          <w:p w:rsidR="004C3868" w:rsidRPr="004C3868" w:rsidRDefault="005A52DB" w:rsidP="005A52DB">
            <w:pPr>
              <w:spacing w:after="0"/>
              <w:ind w:right="113"/>
              <w:jc w:val="right"/>
              <w:rPr>
                <w:sz w:val="18"/>
                <w:szCs w:val="18"/>
              </w:rPr>
            </w:pPr>
            <w:r>
              <w:rPr>
                <w:sz w:val="18"/>
                <w:szCs w:val="18"/>
              </w:rPr>
              <w:t>13.2</w:t>
            </w:r>
          </w:p>
        </w:tc>
        <w:tc>
          <w:tcPr>
            <w:tcW w:w="659" w:type="dxa"/>
            <w:tcBorders>
              <w:right w:val="single" w:sz="4" w:space="0" w:color="auto"/>
            </w:tcBorders>
          </w:tcPr>
          <w:p w:rsidR="004C3868" w:rsidRPr="004C3868" w:rsidRDefault="005A52DB" w:rsidP="005A52DB">
            <w:pPr>
              <w:spacing w:after="0"/>
              <w:ind w:right="113"/>
              <w:jc w:val="right"/>
              <w:rPr>
                <w:sz w:val="18"/>
                <w:szCs w:val="18"/>
              </w:rPr>
            </w:pPr>
            <w:r>
              <w:rPr>
                <w:sz w:val="18"/>
                <w:szCs w:val="18"/>
              </w:rPr>
              <w:t>13.7</w:t>
            </w:r>
          </w:p>
        </w:tc>
      </w:tr>
      <w:tr w:rsidR="004C3868" w:rsidRPr="004C3868" w:rsidTr="005A52DB">
        <w:tc>
          <w:tcPr>
            <w:tcW w:w="1477" w:type="dxa"/>
            <w:tcBorders>
              <w:left w:val="single" w:sz="4" w:space="0" w:color="auto"/>
              <w:bottom w:val="single" w:sz="4" w:space="0" w:color="auto"/>
            </w:tcBorders>
          </w:tcPr>
          <w:p w:rsidR="004C3868" w:rsidRPr="004C3868" w:rsidRDefault="004C3868" w:rsidP="00C407C2">
            <w:pPr>
              <w:spacing w:after="0"/>
              <w:rPr>
                <w:sz w:val="18"/>
                <w:szCs w:val="18"/>
              </w:rPr>
            </w:pPr>
            <w:r>
              <w:rPr>
                <w:sz w:val="18"/>
                <w:szCs w:val="18"/>
              </w:rPr>
              <w:t>Antillean/Aruban</w:t>
            </w:r>
          </w:p>
        </w:tc>
        <w:tc>
          <w:tcPr>
            <w:tcW w:w="658" w:type="dxa"/>
            <w:tcBorders>
              <w:bottom w:val="single" w:sz="4" w:space="0" w:color="auto"/>
            </w:tcBorders>
          </w:tcPr>
          <w:p w:rsidR="004C3868" w:rsidRPr="004C3868" w:rsidRDefault="0024045C" w:rsidP="005A52DB">
            <w:pPr>
              <w:spacing w:after="0"/>
              <w:ind w:right="113"/>
              <w:jc w:val="right"/>
              <w:rPr>
                <w:sz w:val="18"/>
                <w:szCs w:val="18"/>
              </w:rPr>
            </w:pPr>
            <w:r>
              <w:rPr>
                <w:sz w:val="18"/>
                <w:szCs w:val="18"/>
              </w:rPr>
              <w:t>29.0</w:t>
            </w:r>
          </w:p>
        </w:tc>
        <w:tc>
          <w:tcPr>
            <w:tcW w:w="659" w:type="dxa"/>
            <w:tcBorders>
              <w:bottom w:val="single" w:sz="4" w:space="0" w:color="auto"/>
            </w:tcBorders>
          </w:tcPr>
          <w:p w:rsidR="004C3868" w:rsidRPr="004C3868" w:rsidRDefault="0024045C" w:rsidP="005A52DB">
            <w:pPr>
              <w:spacing w:after="0"/>
              <w:ind w:right="113"/>
              <w:jc w:val="right"/>
              <w:rPr>
                <w:sz w:val="18"/>
                <w:szCs w:val="18"/>
              </w:rPr>
            </w:pPr>
            <w:r>
              <w:rPr>
                <w:sz w:val="18"/>
                <w:szCs w:val="18"/>
              </w:rPr>
              <w:t>21.6</w:t>
            </w:r>
          </w:p>
        </w:tc>
        <w:tc>
          <w:tcPr>
            <w:tcW w:w="659" w:type="dxa"/>
            <w:tcBorders>
              <w:bottom w:val="single" w:sz="4" w:space="0" w:color="auto"/>
            </w:tcBorders>
          </w:tcPr>
          <w:p w:rsidR="004C3868" w:rsidRPr="004C3868" w:rsidRDefault="0024045C" w:rsidP="005A52DB">
            <w:pPr>
              <w:spacing w:after="0"/>
              <w:ind w:right="113"/>
              <w:jc w:val="right"/>
              <w:rPr>
                <w:sz w:val="18"/>
                <w:szCs w:val="18"/>
              </w:rPr>
            </w:pPr>
            <w:r>
              <w:rPr>
                <w:sz w:val="18"/>
                <w:szCs w:val="18"/>
              </w:rPr>
              <w:t>23.0</w:t>
            </w:r>
          </w:p>
        </w:tc>
        <w:tc>
          <w:tcPr>
            <w:tcW w:w="659" w:type="dxa"/>
            <w:tcBorders>
              <w:bottom w:val="single" w:sz="4" w:space="0" w:color="auto"/>
            </w:tcBorders>
          </w:tcPr>
          <w:p w:rsidR="004C3868" w:rsidRPr="004C3868" w:rsidRDefault="0024045C" w:rsidP="005A52DB">
            <w:pPr>
              <w:spacing w:after="0"/>
              <w:ind w:right="113"/>
              <w:jc w:val="right"/>
              <w:rPr>
                <w:sz w:val="18"/>
                <w:szCs w:val="18"/>
              </w:rPr>
            </w:pPr>
            <w:r>
              <w:rPr>
                <w:sz w:val="18"/>
                <w:szCs w:val="18"/>
              </w:rPr>
              <w:t>18.2</w:t>
            </w:r>
          </w:p>
        </w:tc>
        <w:tc>
          <w:tcPr>
            <w:tcW w:w="658" w:type="dxa"/>
            <w:tcBorders>
              <w:bottom w:val="single" w:sz="4" w:space="0" w:color="auto"/>
            </w:tcBorders>
          </w:tcPr>
          <w:p w:rsidR="004C3868" w:rsidRPr="004C3868" w:rsidRDefault="0024045C" w:rsidP="005A52DB">
            <w:pPr>
              <w:spacing w:after="0"/>
              <w:ind w:right="113"/>
              <w:jc w:val="right"/>
              <w:rPr>
                <w:sz w:val="18"/>
                <w:szCs w:val="18"/>
              </w:rPr>
            </w:pPr>
            <w:r>
              <w:rPr>
                <w:sz w:val="18"/>
                <w:szCs w:val="18"/>
              </w:rPr>
              <w:t>14.4</w:t>
            </w:r>
          </w:p>
        </w:tc>
        <w:tc>
          <w:tcPr>
            <w:tcW w:w="659" w:type="dxa"/>
            <w:tcBorders>
              <w:bottom w:val="single" w:sz="4" w:space="0" w:color="auto"/>
            </w:tcBorders>
          </w:tcPr>
          <w:p w:rsidR="004C3868" w:rsidRPr="004C3868" w:rsidRDefault="00A01B55" w:rsidP="005A52DB">
            <w:pPr>
              <w:spacing w:after="0"/>
              <w:ind w:right="113"/>
              <w:jc w:val="right"/>
              <w:rPr>
                <w:sz w:val="18"/>
                <w:szCs w:val="18"/>
              </w:rPr>
            </w:pPr>
            <w:r>
              <w:rPr>
                <w:sz w:val="18"/>
                <w:szCs w:val="18"/>
              </w:rPr>
              <w:t>9.3</w:t>
            </w:r>
          </w:p>
        </w:tc>
        <w:tc>
          <w:tcPr>
            <w:tcW w:w="659" w:type="dxa"/>
            <w:tcBorders>
              <w:bottom w:val="single" w:sz="4" w:space="0" w:color="auto"/>
            </w:tcBorders>
          </w:tcPr>
          <w:p w:rsidR="004C3868" w:rsidRPr="004C3868" w:rsidRDefault="00A01B55" w:rsidP="005A52DB">
            <w:pPr>
              <w:spacing w:after="0"/>
              <w:ind w:right="113"/>
              <w:jc w:val="right"/>
              <w:rPr>
                <w:sz w:val="18"/>
                <w:szCs w:val="18"/>
              </w:rPr>
            </w:pPr>
            <w:r>
              <w:rPr>
                <w:sz w:val="18"/>
                <w:szCs w:val="18"/>
              </w:rPr>
              <w:t>7.5</w:t>
            </w:r>
          </w:p>
        </w:tc>
        <w:tc>
          <w:tcPr>
            <w:tcW w:w="659" w:type="dxa"/>
            <w:tcBorders>
              <w:bottom w:val="single" w:sz="4" w:space="0" w:color="auto"/>
            </w:tcBorders>
          </w:tcPr>
          <w:p w:rsidR="004C3868" w:rsidRPr="004C3868" w:rsidRDefault="005A52DB" w:rsidP="005A52DB">
            <w:pPr>
              <w:spacing w:after="0"/>
              <w:ind w:right="113"/>
              <w:jc w:val="right"/>
              <w:rPr>
                <w:sz w:val="18"/>
                <w:szCs w:val="18"/>
              </w:rPr>
            </w:pPr>
            <w:r>
              <w:rPr>
                <w:sz w:val="18"/>
                <w:szCs w:val="18"/>
              </w:rPr>
              <w:t>11.5</w:t>
            </w:r>
          </w:p>
        </w:tc>
        <w:tc>
          <w:tcPr>
            <w:tcW w:w="658" w:type="dxa"/>
            <w:tcBorders>
              <w:bottom w:val="single" w:sz="4" w:space="0" w:color="auto"/>
            </w:tcBorders>
          </w:tcPr>
          <w:p w:rsidR="004C3868" w:rsidRPr="004C3868" w:rsidRDefault="005A52DB" w:rsidP="005A52DB">
            <w:pPr>
              <w:spacing w:after="0"/>
              <w:ind w:right="113"/>
              <w:jc w:val="right"/>
              <w:rPr>
                <w:sz w:val="18"/>
                <w:szCs w:val="18"/>
              </w:rPr>
            </w:pPr>
            <w:r>
              <w:rPr>
                <w:sz w:val="18"/>
                <w:szCs w:val="18"/>
              </w:rPr>
              <w:t>10.9</w:t>
            </w:r>
          </w:p>
        </w:tc>
        <w:tc>
          <w:tcPr>
            <w:tcW w:w="659" w:type="dxa"/>
            <w:tcBorders>
              <w:bottom w:val="single" w:sz="4" w:space="0" w:color="auto"/>
            </w:tcBorders>
          </w:tcPr>
          <w:p w:rsidR="004C3868" w:rsidRPr="004C3868" w:rsidRDefault="005A52DB" w:rsidP="005A52DB">
            <w:pPr>
              <w:spacing w:after="0"/>
              <w:ind w:right="113"/>
              <w:jc w:val="right"/>
              <w:rPr>
                <w:sz w:val="18"/>
                <w:szCs w:val="18"/>
              </w:rPr>
            </w:pPr>
            <w:r>
              <w:rPr>
                <w:sz w:val="18"/>
                <w:szCs w:val="18"/>
              </w:rPr>
              <w:t>15.2</w:t>
            </w:r>
          </w:p>
        </w:tc>
        <w:tc>
          <w:tcPr>
            <w:tcW w:w="659" w:type="dxa"/>
            <w:tcBorders>
              <w:bottom w:val="single" w:sz="4" w:space="0" w:color="auto"/>
            </w:tcBorders>
          </w:tcPr>
          <w:p w:rsidR="004C3868" w:rsidRPr="004C3868" w:rsidRDefault="005A52DB" w:rsidP="005A52DB">
            <w:pPr>
              <w:spacing w:after="0"/>
              <w:ind w:right="113"/>
              <w:jc w:val="right"/>
              <w:rPr>
                <w:sz w:val="18"/>
                <w:szCs w:val="18"/>
              </w:rPr>
            </w:pPr>
            <w:r>
              <w:rPr>
                <w:sz w:val="18"/>
                <w:szCs w:val="18"/>
              </w:rPr>
              <w:t>19.6</w:t>
            </w:r>
          </w:p>
        </w:tc>
        <w:tc>
          <w:tcPr>
            <w:tcW w:w="659" w:type="dxa"/>
            <w:tcBorders>
              <w:bottom w:val="single" w:sz="4" w:space="0" w:color="auto"/>
              <w:right w:val="single" w:sz="4" w:space="0" w:color="auto"/>
            </w:tcBorders>
          </w:tcPr>
          <w:p w:rsidR="004C3868" w:rsidRPr="004C3868" w:rsidRDefault="005A52DB" w:rsidP="005A52DB">
            <w:pPr>
              <w:spacing w:after="0"/>
              <w:ind w:right="113"/>
              <w:jc w:val="right"/>
              <w:rPr>
                <w:sz w:val="18"/>
                <w:szCs w:val="18"/>
              </w:rPr>
            </w:pPr>
            <w:r>
              <w:rPr>
                <w:sz w:val="18"/>
                <w:szCs w:val="18"/>
              </w:rPr>
              <w:t>18.0</w:t>
            </w:r>
          </w:p>
        </w:tc>
      </w:tr>
    </w:tbl>
    <w:p w:rsidR="005D2A34" w:rsidRDefault="005D2A34" w:rsidP="00CA32EF">
      <w:pPr>
        <w:spacing w:after="0"/>
        <w:rPr>
          <w:szCs w:val="24"/>
        </w:rPr>
      </w:pPr>
    </w:p>
    <w:p w:rsidR="00CA32EF" w:rsidRPr="00581181" w:rsidRDefault="00CA32EF" w:rsidP="00030277">
      <w:pPr>
        <w:rPr>
          <w:szCs w:val="24"/>
        </w:rPr>
      </w:pPr>
      <w:r>
        <w:rPr>
          <w:noProof/>
          <w:szCs w:val="24"/>
          <w:lang w:val="en-US"/>
        </w:rPr>
      </w:r>
      <w:r w:rsidRPr="00CA32EF">
        <w:rPr>
          <w:szCs w:val="24"/>
        </w:rPr>
        <w:pict>
          <v:group id="_x0000_s2146" editas="canvas" style="width:474.25pt;height:305pt;mso-position-horizontal-relative:char;mso-position-vertical-relative:line" coordorigin="-180,4355" coordsize="9485,6100">
            <o:lock v:ext="edit" aspectratio="t"/>
            <v:shape id="_x0000_s2147" type="#_x0000_t75" style="position:absolute;left:-180;top:4355;width:9485;height:6100" o:preferrelative="f">
              <v:fill o:detectmouseclick="t"/>
              <v:path o:extrusionok="t" o:connecttype="none"/>
              <o:lock v:ext="edit" text="t"/>
            </v:shape>
            <v:group id="_x0000_s2148" style="position:absolute;left:48;top:4405;width:4333;height:5796" coordorigin="48,4405" coordsize="4333,5796">
              <v:rect id="_x0000_s2149" style="position:absolute;left:48;top:4405;width:4323;height:2836" stroked="f"/>
              <v:rect id="_x0000_s2150" style="position:absolute;left:295;top:4668;width:2950;height:2182" stroked="f"/>
              <v:line id="_x0000_s2151" style="position:absolute" from="295,6578" to="3245,6579" strokeweight="0">
                <v:stroke dashstyle="1 1"/>
              </v:line>
              <v:line id="_x0000_s2152" style="position:absolute" from="295,6305" to="3245,6306" strokeweight="0">
                <v:stroke dashstyle="1 1"/>
              </v:line>
              <v:line id="_x0000_s2153" style="position:absolute" from="295,6031" to="3245,6032" strokeweight="0">
                <v:stroke dashstyle="1 1"/>
              </v:line>
              <v:line id="_x0000_s2154" style="position:absolute" from="295,5759" to="3245,5760" strokeweight="0">
                <v:stroke dashstyle="1 1"/>
              </v:line>
              <v:line id="_x0000_s2155" style="position:absolute" from="295,5486" to="3245,5487" strokeweight="0">
                <v:stroke dashstyle="1 1"/>
              </v:line>
              <v:line id="_x0000_s2156" style="position:absolute" from="295,5214" to="3245,5215" strokeweight="0">
                <v:stroke dashstyle="1 1"/>
              </v:line>
              <v:line id="_x0000_s2157" style="position:absolute" from="295,4940" to="3245,4941" strokeweight="0">
                <v:stroke dashstyle="1 1"/>
              </v:line>
              <v:line id="_x0000_s2158" style="position:absolute" from="295,4668" to="3245,4669" strokeweight="0">
                <v:stroke dashstyle="1 1"/>
              </v:line>
              <v:rect id="_x0000_s2159" style="position:absolute;left:295;top:4668;width:2950;height:2182" filled="f" strokecolor="gray" strokeweight=".65pt"/>
              <v:line id="_x0000_s2160" style="position:absolute" from="295,4668" to="296,6850" strokeweight="0"/>
              <v:line id="_x0000_s2161" style="position:absolute" from="257,6850" to="295,6851" strokeweight="0"/>
              <v:line id="_x0000_s2162" style="position:absolute" from="257,6578" to="295,6579" strokeweight="0"/>
              <v:line id="_x0000_s2163" style="position:absolute" from="257,6305" to="295,6306" strokeweight="0"/>
              <v:line id="_x0000_s2164" style="position:absolute" from="257,6031" to="295,6032" strokeweight="0"/>
              <v:line id="_x0000_s2165" style="position:absolute" from="257,5759" to="295,5760" strokeweight="0"/>
              <v:line id="_x0000_s2166" style="position:absolute" from="257,5486" to="295,5487" strokeweight="0"/>
              <v:line id="_x0000_s2167" style="position:absolute" from="257,5214" to="295,5215" strokeweight="0"/>
              <v:line id="_x0000_s2168" style="position:absolute" from="257,4940" to="295,4941" strokeweight="0"/>
              <v:line id="_x0000_s2169" style="position:absolute" from="257,4668" to="295,4669" strokeweight="0"/>
              <v:line id="_x0000_s2170" style="position:absolute" from="295,6850" to="3245,6851" strokeweight="0"/>
              <v:line id="_x0000_s2171" style="position:absolute;flip:y" from="295,6850" to="296,6884" strokeweight="0"/>
              <v:line id="_x0000_s2172" style="position:absolute;flip:y" from="540,6850" to="541,6884" strokeweight="0"/>
              <v:line id="_x0000_s2173" style="position:absolute;flip:y" from="787,6850" to="788,6884" strokeweight="0"/>
              <v:line id="_x0000_s2174" style="position:absolute;flip:y" from="1032,6850" to="1033,6884" strokeweight="0"/>
              <v:line id="_x0000_s2175" style="position:absolute;flip:y" from="1278,6850" to="1279,6884" strokeweight="0"/>
              <v:line id="_x0000_s2176" style="position:absolute;flip:y" from="1525,6850" to="1526,6884" strokeweight="0"/>
              <v:line id="_x0000_s2177" style="position:absolute;flip:y" from="1770,6850" to="1771,6884" strokeweight="0"/>
              <v:line id="_x0000_s2178" style="position:absolute;flip:y" from="2015,6850" to="2016,6884" strokeweight="0"/>
              <v:line id="_x0000_s2179" style="position:absolute;flip:y" from="2262,6850" to="2263,6884" strokeweight="0"/>
              <v:line id="_x0000_s2180" style="position:absolute;flip:y" from="2508,6850" to="2509,6884" strokeweight="0"/>
              <v:line id="_x0000_s2181" style="position:absolute;flip:y" from="2753,6850" to="2754,6884" strokeweight="0"/>
              <v:line id="_x0000_s2182" style="position:absolute;flip:y" from="3000,6850" to="3001,6884" strokeweight="0"/>
              <v:line id="_x0000_s2183" style="position:absolute;flip:y" from="3245,6850" to="3246,6884" strokeweight="0"/>
              <v:shape id="_x0000_s2184" style="position:absolute;left:418;top:6578;width:2704;height:174" coordsize="1664,107" path="m,l151,30,302,57,454,80,605,97r151,6l908,107,1059,80,1210,50,1362,16r151,14l1664,57e" filled="f" strokecolor="navy" strokeweight=".65pt">
                <v:path arrowok="t"/>
              </v:shape>
              <v:shape id="_x0000_s2185" style="position:absolute;left:418;top:5367;width:2704;height:1052" coordsize="1664,645" path="m,l151,153r151,60l454,407r151,94l756,645,908,628r151,-43l1210,518r152,l1513,441r151,63e" filled="f" strokecolor="fuchsia" strokeweight=".65pt">
                <v:path arrowok="t"/>
              </v:shape>
              <v:shape id="_x0000_s2186" style="position:absolute;left:418;top:5159;width:2704;height:1270" coordsize="1664,779" path="m,l151,154r151,90l454,371,605,498,756,632,908,779r151,-76l1210,482,1362,241r151,124l1664,539e" filled="f" strokeweight=".65pt">
                <v:path arrowok="t"/>
              </v:shape>
              <v:shape id="_x0000_s2187" style="position:absolute;left:384;top:6543;width:68;height:69" coordsize="68,69" path="m34,l68,35,34,69,,35,34,xe" fillcolor="navy" strokecolor="navy" strokeweight=".65pt">
                <v:path arrowok="t"/>
              </v:shape>
              <v:shape id="_x0000_s2188" style="position:absolute;left:629;top:6592;width:69;height:69" coordsize="69,69" path="m34,l69,34,34,69,,34,34,xe" fillcolor="navy" strokecolor="navy" strokeweight=".65pt">
                <v:path arrowok="t"/>
              </v:shape>
              <v:shape id="_x0000_s2189" style="position:absolute;left:875;top:6636;width:68;height:69" coordsize="68,69" path="m34,l68,34,34,69,,34,34,xe" fillcolor="navy" strokecolor="navy" strokeweight=".65pt">
                <v:path arrowok="t"/>
              </v:shape>
              <v:shape id="_x0000_s2190" style="position:absolute;left:1122;top:6674;width:68;height:68" coordsize="68,68" path="m34,l68,34,34,68,,34,34,xe" fillcolor="navy" strokecolor="navy" strokeweight=".65pt">
                <v:path arrowok="t"/>
              </v:shape>
              <v:shape id="_x0000_s2191" style="position:absolute;left:1367;top:6701;width:68;height:69" coordsize="68,69" path="m34,l68,35,34,69,,35,34,xe" fillcolor="navy" strokecolor="navy" strokeweight=".65pt">
                <v:path arrowok="t"/>
              </v:shape>
              <v:shape id="_x0000_s2192" style="position:absolute;left:1612;top:6711;width:69;height:69" coordsize="69,69" path="m35,l69,35,35,69,,35,35,xe" fillcolor="navy" strokecolor="navy" strokeweight=".65pt">
                <v:path arrowok="t"/>
              </v:shape>
              <v:shape id="_x0000_s2193" style="position:absolute;left:1859;top:6718;width:69;height:68" coordsize="69,68" path="m34,l69,34,34,68,,34,34,xe" fillcolor="navy" strokecolor="navy" strokeweight=".65pt">
                <v:path arrowok="t"/>
              </v:shape>
              <v:shape id="_x0000_s2194" style="position:absolute;left:2105;top:6674;width:68;height:68" coordsize="68,68" path="m34,l68,34,34,68,,34,34,xe" fillcolor="navy" strokecolor="navy" strokeweight=".65pt">
                <v:path arrowok="t"/>
              </v:shape>
              <v:shape id="_x0000_s2195" style="position:absolute;left:2350;top:6625;width:68;height:68" coordsize="68,68" path="m34,l68,34,34,68,,34,34,xe" fillcolor="navy" strokecolor="navy" strokeweight=".65pt">
                <v:path arrowok="t"/>
              </v:shape>
              <v:shape id="_x0000_s2196" style="position:absolute;left:2597;top:6569;width:68;height:69" coordsize="68,69" path="m34,l68,35,34,69,,35,34,xe" fillcolor="navy" strokecolor="navy" strokeweight=".65pt">
                <v:path arrowok="t"/>
              </v:shape>
              <v:shape id="_x0000_s2197" style="position:absolute;left:2842;top:6592;width:69;height:69" coordsize="69,69" path="m35,l69,34,35,69,,34,35,xe" fillcolor="navy" strokecolor="navy" strokeweight=".65pt">
                <v:path arrowok="t"/>
              </v:shape>
              <v:shape id="_x0000_s2198" style="position:absolute;left:3088;top:6636;width:68;height:69" coordsize="68,69" path="m34,l68,34,34,69,,34,34,xe" fillcolor="navy" strokecolor="navy" strokeweight=".65pt">
                <v:path arrowok="t"/>
              </v:shape>
              <v:rect id="_x0000_s2199" style="position:absolute;left:384;top:5333;width:67;height:67" fillcolor="fuchsia" strokecolor="fuchsia" strokeweight=".65pt"/>
              <v:rect id="_x0000_s2200" style="position:absolute;left:629;top:5583;width:67;height:67" fillcolor="fuchsia" strokecolor="fuchsia" strokeweight=".65pt"/>
              <v:rect id="_x0000_s2201" style="position:absolute;left:875;top:5681;width:66;height:66" fillcolor="fuchsia" strokecolor="fuchsia" strokeweight=".65pt"/>
              <v:rect id="_x0000_s2202" style="position:absolute;left:1122;top:5997;width:66;height:67" fillcolor="fuchsia" strokecolor="fuchsia" strokeweight=".65pt"/>
              <v:rect id="_x0000_s2203" style="position:absolute;left:1367;top:6150;width:67;height:67" fillcolor="fuchsia" strokecolor="fuchsia" strokeweight=".65pt"/>
              <v:rect id="_x0000_s2204" style="position:absolute;left:1612;top:6385;width:67;height:67" fillcolor="fuchsia" strokecolor="fuchsia" strokeweight=".65pt"/>
              <v:rect id="_x0000_s2205" style="position:absolute;left:1859;top:6357;width:67;height:67" fillcolor="fuchsia" strokecolor="fuchsia" strokeweight=".65pt"/>
              <v:rect id="_x0000_s2206" style="position:absolute;left:2105;top:6287;width:66;height:67" fillcolor="fuchsia" strokecolor="fuchsia" strokeweight=".65pt"/>
              <v:rect id="_x0000_s2207" style="position:absolute;left:2350;top:6178;width:67;height:67" fillcolor="fuchsia" strokecolor="fuchsia" strokeweight=".65pt"/>
              <v:rect id="_x0000_s2208" style="position:absolute;left:2597;top:6178;width:67;height:67" fillcolor="fuchsia" strokecolor="fuchsia" strokeweight=".65pt"/>
              <v:rect id="_x0000_s2209" style="position:absolute;left:2842;top:6052;width:67;height:67" fillcolor="fuchsia" strokecolor="fuchsia" strokeweight=".65pt"/>
              <v:rect id="_x0000_s2210" style="position:absolute;left:3088;top:6155;width:66;height:67" fillcolor="fuchsia" strokecolor="fuchsia" strokeweight=".65pt"/>
              <v:shape id="_x0000_s2211" style="position:absolute;left:384;top:5124;width:68;height:69" coordsize="68,69" path="m34,l68,69,,69,34,xe" fillcolor="yellow" strokeweight=".65pt">
                <v:path arrowok="t"/>
              </v:shape>
              <v:shape id="_x0000_s2212" style="position:absolute;left:629;top:5376;width:69;height:68" coordsize="69,68" path="m34,l69,68,,68,34,xe" fillcolor="yellow" strokeweight=".65pt">
                <v:path arrowok="t"/>
              </v:shape>
              <v:shape id="_x0000_s2213" style="position:absolute;left:875;top:5522;width:68;height:69" coordsize="68,69" path="m34,l68,69,,69,34,xe" fillcolor="yellow" strokeweight=".65pt">
                <v:path arrowok="t"/>
              </v:shape>
              <v:shape id="_x0000_s2214" style="position:absolute;left:1122;top:5729;width:68;height:69" coordsize="68,69" path="m34,l68,69,,69,34,xe" fillcolor="yellow" strokeweight=".65pt">
                <v:path arrowok="t"/>
              </v:shape>
              <v:shape id="_x0000_s2215" style="position:absolute;left:1367;top:5937;width:68;height:68" coordsize="68,68" path="m34,l68,68,,68,34,xe" fillcolor="yellow" strokeweight=".65pt">
                <v:path arrowok="t"/>
              </v:shape>
              <v:shape id="_x0000_s2216" style="position:absolute;left:1612;top:6155;width:69;height:69" coordsize="69,69" path="m35,l69,69,,69,35,xe" fillcolor="yellow" strokeweight=".65pt">
                <v:path arrowok="t"/>
              </v:shape>
              <v:shape id="_x0000_s2217" style="position:absolute;left:1859;top:6395;width:69;height:68" coordsize="69,68" path="m34,l69,68,,68,34,xe" fillcolor="yellow" strokeweight=".65pt">
                <v:path arrowok="t"/>
              </v:shape>
              <v:shape id="_x0000_s2218" style="position:absolute;left:2105;top:6271;width:68;height:68" coordsize="68,68" path="m34,l68,68,,68,34,xe" fillcolor="yellow" strokeweight=".65pt">
                <v:path arrowok="t"/>
              </v:shape>
              <v:shape id="_x0000_s2219" style="position:absolute;left:2350;top:5910;width:68;height:69" coordsize="68,69" path="m34,l68,69,,69,34,xe" fillcolor="yellow" strokeweight=".65pt">
                <v:path arrowok="t"/>
              </v:shape>
              <v:shape id="_x0000_s2220" style="position:absolute;left:2597;top:5517;width:68;height:69" coordsize="68,69" path="m34,l68,69,,69,34,xe" fillcolor="yellow" strokeweight=".65pt">
                <v:path arrowok="t"/>
              </v:shape>
              <v:shape id="_x0000_s2221" style="position:absolute;left:2842;top:5720;width:69;height:68" coordsize="69,68" path="m35,l69,68,,68,35,xe" fillcolor="yellow" strokeweight=".65pt">
                <v:path arrowok="t"/>
              </v:shape>
              <v:shape id="_x0000_s2222" style="position:absolute;left:3088;top:6003;width:68;height:69" coordsize="68,69" path="m34,l68,69,,69,34,xe" fillcolor="yellow" strokeweight=".65pt">
                <v:path arrowok="t"/>
              </v:shape>
              <v:rect id="_x0000_s2223" style="position:absolute;left:1983;top:4438;width:247;height:276" filled="f" stroked="f">
                <v:textbox style="mso-next-textbox:#_x0000_s2223" inset="0,0,0,0">
                  <w:txbxContent>
                    <w:p w:rsidR="003C1FA9" w:rsidRPr="00FB46A9" w:rsidRDefault="00AC30EE" w:rsidP="00CA32EF">
                      <w:r>
                        <w:rPr>
                          <w:b/>
                          <w:bCs/>
                          <w:color w:val="000000"/>
                          <w:sz w:val="12"/>
                          <w:szCs w:val="12"/>
                          <w:lang w:val="en-US"/>
                        </w:rPr>
                        <w:t>M</w:t>
                      </w:r>
                      <w:r w:rsidR="003C1FA9" w:rsidRPr="00FB46A9">
                        <w:rPr>
                          <w:b/>
                          <w:bCs/>
                          <w:color w:val="000000"/>
                          <w:sz w:val="12"/>
                          <w:szCs w:val="12"/>
                          <w:lang w:val="en-US"/>
                        </w:rPr>
                        <w:t>en</w:t>
                      </w:r>
                    </w:p>
                  </w:txbxContent>
                </v:textbox>
              </v:rect>
              <v:rect id="_x0000_s2224" style="position:absolute;left:134;top:6778;width:67;height:138" filled="f" stroked="f">
                <v:textbox style="mso-next-textbox:#_x0000_s2224" inset="0,0,0,0">
                  <w:txbxContent>
                    <w:p w:rsidR="003C1FA9" w:rsidRDefault="003C1FA9" w:rsidP="00CA32EF">
                      <w:r>
                        <w:rPr>
                          <w:rFonts w:ascii="Arial" w:hAnsi="Arial" w:cs="Arial"/>
                          <w:color w:val="000000"/>
                          <w:sz w:val="12"/>
                          <w:szCs w:val="12"/>
                          <w:lang w:val="en-US"/>
                        </w:rPr>
                        <w:t>0</w:t>
                      </w:r>
                    </w:p>
                  </w:txbxContent>
                </v:textbox>
              </v:rect>
              <v:rect id="_x0000_s2225" style="position:absolute;left:134;top:6506;width:67;height:138" filled="f" stroked="f">
                <v:textbox style="mso-next-textbox:#_x0000_s2225" inset="0,0,0,0">
                  <w:txbxContent>
                    <w:p w:rsidR="003C1FA9" w:rsidRDefault="003C1FA9" w:rsidP="00CA32EF">
                      <w:r>
                        <w:rPr>
                          <w:rFonts w:ascii="Arial" w:hAnsi="Arial" w:cs="Arial"/>
                          <w:color w:val="000000"/>
                          <w:sz w:val="12"/>
                          <w:szCs w:val="12"/>
                          <w:lang w:val="en-US"/>
                        </w:rPr>
                        <w:t>5</w:t>
                      </w:r>
                    </w:p>
                  </w:txbxContent>
                </v:textbox>
              </v:rect>
              <v:rect id="_x0000_s2226" style="position:absolute;left:65;top:6233;width:134;height:276" filled="f" stroked="f">
                <v:textbox style="mso-next-textbox:#_x0000_s2226" inset="0,0,0,0">
                  <w:txbxContent>
                    <w:p w:rsidR="003C1FA9" w:rsidRDefault="003C1FA9" w:rsidP="00CA32EF">
                      <w:r>
                        <w:rPr>
                          <w:rFonts w:ascii="Arial" w:hAnsi="Arial" w:cs="Arial"/>
                          <w:color w:val="000000"/>
                          <w:sz w:val="12"/>
                          <w:szCs w:val="12"/>
                          <w:lang w:val="en-US"/>
                        </w:rPr>
                        <w:t>10</w:t>
                      </w:r>
                    </w:p>
                  </w:txbxContent>
                </v:textbox>
              </v:rect>
              <v:rect id="_x0000_s2227" style="position:absolute;left:65;top:5959;width:134;height:276" filled="f" stroked="f">
                <v:textbox style="mso-next-textbox:#_x0000_s2227" inset="0,0,0,0">
                  <w:txbxContent>
                    <w:p w:rsidR="003C1FA9" w:rsidRDefault="003C1FA9" w:rsidP="00CA32EF">
                      <w:r>
                        <w:rPr>
                          <w:rFonts w:ascii="Arial" w:hAnsi="Arial" w:cs="Arial"/>
                          <w:color w:val="000000"/>
                          <w:sz w:val="12"/>
                          <w:szCs w:val="12"/>
                          <w:lang w:val="en-US"/>
                        </w:rPr>
                        <w:t>15</w:t>
                      </w:r>
                    </w:p>
                  </w:txbxContent>
                </v:textbox>
              </v:rect>
              <v:rect id="_x0000_s2228" style="position:absolute;left:65;top:5687;width:134;height:276" filled="f" stroked="f">
                <v:textbox style="mso-next-textbox:#_x0000_s2228" inset="0,0,0,0">
                  <w:txbxContent>
                    <w:p w:rsidR="003C1FA9" w:rsidRDefault="003C1FA9" w:rsidP="00CA32EF">
                      <w:r>
                        <w:rPr>
                          <w:rFonts w:ascii="Arial" w:hAnsi="Arial" w:cs="Arial"/>
                          <w:color w:val="000000"/>
                          <w:sz w:val="12"/>
                          <w:szCs w:val="12"/>
                          <w:lang w:val="en-US"/>
                        </w:rPr>
                        <w:t>20</w:t>
                      </w:r>
                    </w:p>
                  </w:txbxContent>
                </v:textbox>
              </v:rect>
              <v:rect id="_x0000_s2229" style="position:absolute;left:65;top:5415;width:134;height:276" filled="f" stroked="f">
                <v:textbox style="mso-next-textbox:#_x0000_s2229" inset="0,0,0,0">
                  <w:txbxContent>
                    <w:p w:rsidR="003C1FA9" w:rsidRDefault="003C1FA9" w:rsidP="00CA32EF">
                      <w:r>
                        <w:rPr>
                          <w:rFonts w:ascii="Arial" w:hAnsi="Arial" w:cs="Arial"/>
                          <w:color w:val="000000"/>
                          <w:sz w:val="12"/>
                          <w:szCs w:val="12"/>
                          <w:lang w:val="en-US"/>
                        </w:rPr>
                        <w:t>25</w:t>
                      </w:r>
                    </w:p>
                  </w:txbxContent>
                </v:textbox>
              </v:rect>
              <v:rect id="_x0000_s2230" style="position:absolute;left:65;top:5142;width:134;height:276" filled="f" stroked="f">
                <v:textbox style="mso-next-textbox:#_x0000_s2230" inset="0,0,0,0">
                  <w:txbxContent>
                    <w:p w:rsidR="003C1FA9" w:rsidRDefault="003C1FA9" w:rsidP="00CA32EF">
                      <w:r>
                        <w:rPr>
                          <w:rFonts w:ascii="Arial" w:hAnsi="Arial" w:cs="Arial"/>
                          <w:color w:val="000000"/>
                          <w:sz w:val="12"/>
                          <w:szCs w:val="12"/>
                          <w:lang w:val="en-US"/>
                        </w:rPr>
                        <w:t>30</w:t>
                      </w:r>
                    </w:p>
                  </w:txbxContent>
                </v:textbox>
              </v:rect>
              <v:rect id="_x0000_s2231" style="position:absolute;left:65;top:4868;width:134;height:276" filled="f" stroked="f">
                <v:textbox style="mso-next-textbox:#_x0000_s2231" inset="0,0,0,0">
                  <w:txbxContent>
                    <w:p w:rsidR="003C1FA9" w:rsidRDefault="003C1FA9" w:rsidP="00CA32EF">
                      <w:r>
                        <w:rPr>
                          <w:rFonts w:ascii="Arial" w:hAnsi="Arial" w:cs="Arial"/>
                          <w:color w:val="000000"/>
                          <w:sz w:val="12"/>
                          <w:szCs w:val="12"/>
                          <w:lang w:val="en-US"/>
                        </w:rPr>
                        <w:t>35</w:t>
                      </w:r>
                    </w:p>
                  </w:txbxContent>
                </v:textbox>
              </v:rect>
              <v:rect id="_x0000_s2232" style="position:absolute;left:65;top:4596;width:134;height:276" filled="f" stroked="f">
                <v:textbox style="mso-next-textbox:#_x0000_s2232" inset="0,0,0,0">
                  <w:txbxContent>
                    <w:p w:rsidR="003C1FA9" w:rsidRDefault="003C1FA9" w:rsidP="00CA32EF">
                      <w:r>
                        <w:rPr>
                          <w:rFonts w:ascii="Arial" w:hAnsi="Arial" w:cs="Arial"/>
                          <w:color w:val="000000"/>
                          <w:sz w:val="12"/>
                          <w:szCs w:val="12"/>
                          <w:lang w:val="en-US"/>
                        </w:rPr>
                        <w:t>40</w:t>
                      </w:r>
                    </w:p>
                  </w:txbxContent>
                </v:textbox>
              </v:rect>
              <v:rect id="_x0000_s2233" style="position:absolute;left:135;top:6992;width:267;height:276;rotation:317" filled="f" stroked="f">
                <v:textbox style="mso-next-textbox:#_x0000_s2233" inset="0,0,0,0">
                  <w:txbxContent>
                    <w:p w:rsidR="003C1FA9" w:rsidRPr="000823E1" w:rsidRDefault="003C1FA9" w:rsidP="00CA32EF">
                      <w:pPr>
                        <w:rPr>
                          <w:sz w:val="10"/>
                          <w:szCs w:val="10"/>
                        </w:rPr>
                      </w:pPr>
                      <w:r w:rsidRPr="000823E1">
                        <w:rPr>
                          <w:rFonts w:ascii="Arial" w:hAnsi="Arial" w:cs="Arial"/>
                          <w:color w:val="000000"/>
                          <w:sz w:val="10"/>
                          <w:szCs w:val="10"/>
                          <w:lang w:val="en-US"/>
                        </w:rPr>
                        <w:t>1995</w:t>
                      </w:r>
                    </w:p>
                  </w:txbxContent>
                </v:textbox>
              </v:rect>
              <v:rect id="_x0000_s2234" style="position:absolute;left:380;top:6992;width:267;height:276;rotation:317" filled="f" stroked="f">
                <v:textbox style="mso-next-textbox:#_x0000_s2234" inset="0,0,0,0">
                  <w:txbxContent>
                    <w:p w:rsidR="003C1FA9" w:rsidRPr="000823E1" w:rsidRDefault="003C1FA9" w:rsidP="00CA32EF">
                      <w:pPr>
                        <w:rPr>
                          <w:sz w:val="10"/>
                          <w:szCs w:val="10"/>
                        </w:rPr>
                      </w:pPr>
                      <w:r w:rsidRPr="000823E1">
                        <w:rPr>
                          <w:rFonts w:ascii="Arial" w:hAnsi="Arial" w:cs="Arial"/>
                          <w:color w:val="000000"/>
                          <w:sz w:val="10"/>
                          <w:szCs w:val="10"/>
                          <w:lang w:val="en-US"/>
                        </w:rPr>
                        <w:t>1996</w:t>
                      </w:r>
                    </w:p>
                  </w:txbxContent>
                </v:textbox>
              </v:rect>
              <v:rect id="_x0000_s2235" style="position:absolute;left:626;top:6992;width:267;height:276;rotation:317" filled="f" stroked="f">
                <v:textbox style="mso-next-textbox:#_x0000_s2235" inset="0,0,0,0">
                  <w:txbxContent>
                    <w:p w:rsidR="003C1FA9" w:rsidRPr="000823E1" w:rsidRDefault="003C1FA9" w:rsidP="00CA32EF">
                      <w:pPr>
                        <w:rPr>
                          <w:sz w:val="10"/>
                          <w:szCs w:val="10"/>
                        </w:rPr>
                      </w:pPr>
                      <w:r w:rsidRPr="000823E1">
                        <w:rPr>
                          <w:rFonts w:ascii="Arial" w:hAnsi="Arial" w:cs="Arial"/>
                          <w:color w:val="000000"/>
                          <w:sz w:val="10"/>
                          <w:szCs w:val="10"/>
                          <w:lang w:val="en-US"/>
                        </w:rPr>
                        <w:t>1997</w:t>
                      </w:r>
                    </w:p>
                  </w:txbxContent>
                </v:textbox>
              </v:rect>
              <v:rect id="_x0000_s2236" style="position:absolute;left:873;top:6992;width:267;height:276;rotation:317" filled="f" stroked="f">
                <v:textbox style="mso-next-textbox:#_x0000_s2236" inset="0,0,0,0">
                  <w:txbxContent>
                    <w:p w:rsidR="003C1FA9" w:rsidRPr="000823E1" w:rsidRDefault="003C1FA9" w:rsidP="00CA32EF">
                      <w:pPr>
                        <w:rPr>
                          <w:sz w:val="10"/>
                          <w:szCs w:val="10"/>
                        </w:rPr>
                      </w:pPr>
                      <w:r w:rsidRPr="000823E1">
                        <w:rPr>
                          <w:rFonts w:ascii="Arial" w:hAnsi="Arial" w:cs="Arial"/>
                          <w:color w:val="000000"/>
                          <w:sz w:val="10"/>
                          <w:szCs w:val="10"/>
                          <w:lang w:val="en-US"/>
                        </w:rPr>
                        <w:t>1998</w:t>
                      </w:r>
                    </w:p>
                  </w:txbxContent>
                </v:textbox>
              </v:rect>
              <v:rect id="_x0000_s2237" style="position:absolute;left:1118;top:6992;width:267;height:276;rotation:317" filled="f" stroked="f">
                <v:textbox style="mso-next-textbox:#_x0000_s2237" inset="0,0,0,0">
                  <w:txbxContent>
                    <w:p w:rsidR="003C1FA9" w:rsidRPr="000823E1" w:rsidRDefault="003C1FA9" w:rsidP="00CA32EF">
                      <w:pPr>
                        <w:rPr>
                          <w:sz w:val="10"/>
                          <w:szCs w:val="10"/>
                        </w:rPr>
                      </w:pPr>
                      <w:r w:rsidRPr="000823E1">
                        <w:rPr>
                          <w:rFonts w:ascii="Arial" w:hAnsi="Arial" w:cs="Arial"/>
                          <w:color w:val="000000"/>
                          <w:sz w:val="10"/>
                          <w:szCs w:val="10"/>
                          <w:lang w:val="en-US"/>
                        </w:rPr>
                        <w:t>1999</w:t>
                      </w:r>
                    </w:p>
                  </w:txbxContent>
                </v:textbox>
              </v:rect>
              <v:rect id="_x0000_s2238" style="position:absolute;left:1363;top:6992;width:267;height:276;rotation:317" filled="f" stroked="f">
                <v:textbox style="mso-next-textbox:#_x0000_s2238" inset="0,0,0,0">
                  <w:txbxContent>
                    <w:p w:rsidR="003C1FA9" w:rsidRPr="000823E1" w:rsidRDefault="003C1FA9" w:rsidP="00CA32EF">
                      <w:pPr>
                        <w:rPr>
                          <w:sz w:val="10"/>
                          <w:szCs w:val="10"/>
                        </w:rPr>
                      </w:pPr>
                      <w:r w:rsidRPr="000823E1">
                        <w:rPr>
                          <w:rFonts w:ascii="Arial" w:hAnsi="Arial" w:cs="Arial"/>
                          <w:color w:val="000000"/>
                          <w:sz w:val="10"/>
                          <w:szCs w:val="10"/>
                          <w:lang w:val="en-US"/>
                        </w:rPr>
                        <w:t>2000</w:t>
                      </w:r>
                    </w:p>
                  </w:txbxContent>
                </v:textbox>
              </v:rect>
              <v:rect id="_x0000_s2239" style="position:absolute;left:1610;top:6992;width:267;height:276;rotation:317" filled="f" stroked="f">
                <v:textbox style="mso-next-textbox:#_x0000_s2239" inset="0,0,0,0">
                  <w:txbxContent>
                    <w:p w:rsidR="003C1FA9" w:rsidRPr="000823E1" w:rsidRDefault="003C1FA9" w:rsidP="00CA32EF">
                      <w:pPr>
                        <w:rPr>
                          <w:sz w:val="10"/>
                          <w:szCs w:val="10"/>
                        </w:rPr>
                      </w:pPr>
                      <w:r w:rsidRPr="000823E1">
                        <w:rPr>
                          <w:rFonts w:ascii="Arial" w:hAnsi="Arial" w:cs="Arial"/>
                          <w:color w:val="000000"/>
                          <w:sz w:val="10"/>
                          <w:szCs w:val="10"/>
                          <w:lang w:val="en-US"/>
                        </w:rPr>
                        <w:t>2001</w:t>
                      </w:r>
                    </w:p>
                  </w:txbxContent>
                </v:textbox>
              </v:rect>
              <v:rect id="_x0000_s2240" style="position:absolute;left:1856;top:6992;width:267;height:276;rotation:317" filled="f" stroked="f">
                <v:textbox style="mso-next-textbox:#_x0000_s2240" inset="0,0,0,0">
                  <w:txbxContent>
                    <w:p w:rsidR="003C1FA9" w:rsidRPr="000823E1" w:rsidRDefault="003C1FA9" w:rsidP="00CA32EF">
                      <w:pPr>
                        <w:rPr>
                          <w:sz w:val="10"/>
                          <w:szCs w:val="10"/>
                        </w:rPr>
                      </w:pPr>
                      <w:r w:rsidRPr="000823E1">
                        <w:rPr>
                          <w:rFonts w:ascii="Arial" w:hAnsi="Arial" w:cs="Arial"/>
                          <w:color w:val="000000"/>
                          <w:sz w:val="10"/>
                          <w:szCs w:val="10"/>
                          <w:lang w:val="en-US"/>
                        </w:rPr>
                        <w:t>2002</w:t>
                      </w:r>
                    </w:p>
                  </w:txbxContent>
                </v:textbox>
              </v:rect>
              <v:rect id="_x0000_s2241" style="position:absolute;left:2101;top:6992;width:267;height:276;rotation:317" filled="f" stroked="f">
                <v:textbox style="mso-next-textbox:#_x0000_s2241" inset="0,0,0,0">
                  <w:txbxContent>
                    <w:p w:rsidR="003C1FA9" w:rsidRPr="000823E1" w:rsidRDefault="003C1FA9" w:rsidP="00CA32EF">
                      <w:pPr>
                        <w:rPr>
                          <w:sz w:val="10"/>
                          <w:szCs w:val="10"/>
                        </w:rPr>
                      </w:pPr>
                      <w:r w:rsidRPr="000823E1">
                        <w:rPr>
                          <w:rFonts w:ascii="Arial" w:hAnsi="Arial" w:cs="Arial"/>
                          <w:color w:val="000000"/>
                          <w:sz w:val="10"/>
                          <w:szCs w:val="10"/>
                          <w:lang w:val="en-US"/>
                        </w:rPr>
                        <w:t>2003</w:t>
                      </w:r>
                    </w:p>
                  </w:txbxContent>
                </v:textbox>
              </v:rect>
              <v:rect id="_x0000_s2242" style="position:absolute;left:2348;top:6992;width:267;height:276;rotation:317" filled="f" stroked="f">
                <v:textbox style="mso-next-textbox:#_x0000_s2242" inset="0,0,0,0">
                  <w:txbxContent>
                    <w:p w:rsidR="003C1FA9" w:rsidRPr="000823E1" w:rsidRDefault="003C1FA9" w:rsidP="00CA32EF">
                      <w:pPr>
                        <w:rPr>
                          <w:sz w:val="10"/>
                          <w:szCs w:val="10"/>
                        </w:rPr>
                      </w:pPr>
                      <w:r w:rsidRPr="000823E1">
                        <w:rPr>
                          <w:rFonts w:ascii="Arial" w:hAnsi="Arial" w:cs="Arial"/>
                          <w:color w:val="000000"/>
                          <w:sz w:val="10"/>
                          <w:szCs w:val="10"/>
                          <w:lang w:val="en-US"/>
                        </w:rPr>
                        <w:t>2004</w:t>
                      </w:r>
                    </w:p>
                  </w:txbxContent>
                </v:textbox>
              </v:rect>
              <v:rect id="_x0000_s2243" style="position:absolute;left:2593;top:6992;width:267;height:276;rotation:317" filled="f" stroked="f">
                <v:textbox style="mso-next-textbox:#_x0000_s2243" inset="0,0,0,0">
                  <w:txbxContent>
                    <w:p w:rsidR="003C1FA9" w:rsidRPr="000823E1" w:rsidRDefault="003C1FA9" w:rsidP="00CA32EF">
                      <w:pPr>
                        <w:rPr>
                          <w:sz w:val="10"/>
                          <w:szCs w:val="10"/>
                        </w:rPr>
                      </w:pPr>
                      <w:r w:rsidRPr="000823E1">
                        <w:rPr>
                          <w:rFonts w:ascii="Arial" w:hAnsi="Arial" w:cs="Arial"/>
                          <w:color w:val="000000"/>
                          <w:sz w:val="10"/>
                          <w:szCs w:val="10"/>
                          <w:lang w:val="en-US"/>
                        </w:rPr>
                        <w:t>2005</w:t>
                      </w:r>
                    </w:p>
                  </w:txbxContent>
                </v:textbox>
              </v:rect>
              <v:rect id="_x0000_s2244" style="position:absolute;left:2839;top:6992;width:267;height:276;rotation:317" filled="f" stroked="f">
                <v:textbox style="mso-next-textbox:#_x0000_s2244" inset="0,0,0,0">
                  <w:txbxContent>
                    <w:p w:rsidR="003C1FA9" w:rsidRPr="000823E1" w:rsidRDefault="003C1FA9" w:rsidP="00CA32EF">
                      <w:pPr>
                        <w:rPr>
                          <w:sz w:val="10"/>
                          <w:szCs w:val="10"/>
                        </w:rPr>
                      </w:pPr>
                      <w:r w:rsidRPr="000823E1">
                        <w:rPr>
                          <w:rFonts w:ascii="Arial" w:hAnsi="Arial" w:cs="Arial"/>
                          <w:color w:val="000000"/>
                          <w:sz w:val="10"/>
                          <w:szCs w:val="10"/>
                          <w:lang w:val="en-US"/>
                        </w:rPr>
                        <w:t>2006</w:t>
                      </w:r>
                    </w:p>
                  </w:txbxContent>
                </v:textbox>
              </v:rect>
              <v:rect id="_x0000_s2245" style="position:absolute;left:3307;top:5928;width:1055;height:925" strokeweight="0"/>
              <v:line id="_x0000_s2246" style="position:absolute" from="3397,6080" to="3666,6081" strokecolor="navy" strokeweight=".65pt"/>
              <v:shape id="_x0000_s2247" style="position:absolute;left:3499;top:6047;width:65;height:66" coordsize="65,66" path="m32,l65,33,32,66,,33,32,xe" fillcolor="navy" strokecolor="navy" strokeweight=".65pt">
                <v:path arrowok="t"/>
              </v:shape>
              <v:rect id="_x0000_s2248" style="position:absolute;left:3692;top:6021;width:681;height:276" filled="f" stroked="f">
                <v:textbox style="mso-next-textbox:#_x0000_s2248" inset="0,0,0,0">
                  <w:txbxContent>
                    <w:p w:rsidR="003C1FA9" w:rsidRDefault="003C1FA9" w:rsidP="00CA32EF">
                      <w:r>
                        <w:rPr>
                          <w:rFonts w:ascii="Arial" w:hAnsi="Arial" w:cs="Arial"/>
                          <w:color w:val="000000"/>
                          <w:sz w:val="12"/>
                          <w:szCs w:val="12"/>
                          <w:lang w:val="en-US"/>
                        </w:rPr>
                        <w:t>Ethnic Dutch</w:t>
                      </w:r>
                    </w:p>
                  </w:txbxContent>
                </v:textbox>
              </v:rect>
              <v:line id="_x0000_s2249" style="position:absolute" from="3397,6387" to="3666,6388" strokecolor="fuchsia" strokeweight=".65pt"/>
              <v:rect id="_x0000_s2250" style="position:absolute;left:3499;top:6354;width:63;height:64" fillcolor="fuchsia" strokecolor="fuchsia" strokeweight=".65pt"/>
              <v:rect id="_x0000_s2251" style="position:absolute;left:3692;top:6328;width:394;height:276" filled="f" stroked="f">
                <v:textbox style="mso-next-textbox:#_x0000_s2251" inset="0,0,0,0">
                  <w:txbxContent>
                    <w:p w:rsidR="003C1FA9" w:rsidRDefault="003C1FA9" w:rsidP="00CA32EF">
                      <w:r>
                        <w:rPr>
                          <w:rFonts w:ascii="Arial" w:hAnsi="Arial" w:cs="Arial"/>
                          <w:color w:val="000000"/>
                          <w:sz w:val="12"/>
                          <w:szCs w:val="12"/>
                          <w:lang w:val="en-US"/>
                        </w:rPr>
                        <w:t>Turkish</w:t>
                      </w:r>
                    </w:p>
                  </w:txbxContent>
                </v:textbox>
              </v:rect>
              <v:line id="_x0000_s2252" style="position:absolute" from="3397,6695" to="3666,6696" strokeweight=".65pt"/>
              <v:shape id="_x0000_s2253" style="position:absolute;left:3499;top:6662;width:65;height:66" coordsize="65,66" path="m32,l65,66,,66,32,xe" fillcolor="yellow" strokeweight=".65pt">
                <v:path arrowok="t"/>
              </v:shape>
              <v:rect id="_x0000_s2254" style="position:absolute;left:3692;top:6636;width:527;height:276" filled="f" stroked="f">
                <v:textbox style="mso-next-textbox:#_x0000_s2254" inset="0,0,0,0">
                  <w:txbxContent>
                    <w:p w:rsidR="003C1FA9" w:rsidRDefault="003C1FA9" w:rsidP="00CA32EF">
                      <w:r>
                        <w:rPr>
                          <w:rFonts w:ascii="Arial" w:hAnsi="Arial" w:cs="Arial"/>
                          <w:color w:val="000000"/>
                          <w:sz w:val="12"/>
                          <w:szCs w:val="12"/>
                          <w:lang w:val="en-US"/>
                        </w:rPr>
                        <w:t>Moroccan</w:t>
                      </w:r>
                    </w:p>
                  </w:txbxContent>
                </v:textbox>
              </v:rect>
              <v:rect id="_x0000_s2255" style="position:absolute;left:48;top:7346;width:4333;height:2855" stroked="f"/>
              <v:rect id="_x0000_s2256" style="position:absolute;left:288;top:7577;width:2897;height:2243" stroked="f"/>
              <v:line id="_x0000_s2257" style="position:absolute" from="288,9539" to="3185,9540" strokeweight="0">
                <v:stroke dashstyle="1 1"/>
              </v:line>
              <v:line id="_x0000_s2258" style="position:absolute" from="288,9259" to="3185,9260" strokeweight="0">
                <v:stroke dashstyle="1 1"/>
              </v:line>
              <v:line id="_x0000_s2259" style="position:absolute" from="288,8978" to="3185,8979" strokeweight="0">
                <v:stroke dashstyle="1 1"/>
              </v:line>
              <v:line id="_x0000_s2260" style="position:absolute" from="288,8699" to="3185,8700" strokeweight="0">
                <v:stroke dashstyle="1 1"/>
              </v:line>
              <v:line id="_x0000_s2261" style="position:absolute" from="288,8419" to="3185,8420" strokeweight="0">
                <v:stroke dashstyle="1 1"/>
              </v:line>
              <v:line id="_x0000_s2262" style="position:absolute" from="288,8138" to="3185,8139" strokeweight="0">
                <v:stroke dashstyle="1 1"/>
              </v:line>
              <v:line id="_x0000_s2263" style="position:absolute" from="288,7858" to="3185,7859" strokeweight="0">
                <v:stroke dashstyle="1 1"/>
              </v:line>
              <v:line id="_x0000_s2264" style="position:absolute" from="288,7577" to="3185,7578" strokeweight="0">
                <v:stroke dashstyle="1 1"/>
              </v:line>
              <v:rect id="_x0000_s2265" style="position:absolute;left:288;top:7577;width:2897;height:2243" filled="f" strokecolor="gray" strokeweight=".65pt"/>
              <v:line id="_x0000_s2266" style="position:absolute" from="288,7577" to="289,9820" strokeweight="0"/>
              <v:line id="_x0000_s2267" style="position:absolute" from="252,9820" to="288,9821" strokeweight="0"/>
              <v:line id="_x0000_s2268" style="position:absolute" from="252,9539" to="288,9540" strokeweight="0"/>
              <v:line id="_x0000_s2269" style="position:absolute" from="252,9259" to="288,9260" strokeweight="0"/>
              <v:line id="_x0000_s2270" style="position:absolute" from="252,8978" to="288,8979" strokeweight="0"/>
              <v:line id="_x0000_s2271" style="position:absolute" from="252,8699" to="288,8700" strokeweight="0"/>
              <v:line id="_x0000_s2272" style="position:absolute" from="252,8419" to="288,8420" strokeweight="0"/>
              <v:line id="_x0000_s2273" style="position:absolute" from="252,8138" to="288,8139" strokeweight="0"/>
              <v:line id="_x0000_s2274" style="position:absolute" from="252,7858" to="288,7859" strokeweight="0"/>
              <v:line id="_x0000_s2275" style="position:absolute" from="252,7577" to="288,7578" strokeweight="0"/>
              <v:line id="_x0000_s2276" style="position:absolute" from="288,9820" to="3185,9821" strokeweight="0"/>
              <v:line id="_x0000_s2277" style="position:absolute;flip:y" from="288,9820" to="289,9852" strokeweight="0"/>
              <v:line id="_x0000_s2278" style="position:absolute;flip:y" from="530,9820" to="531,9852" strokeweight="0"/>
              <v:line id="_x0000_s2279" style="position:absolute;flip:y" from="771,9820" to="772,9852" strokeweight="0"/>
              <v:line id="_x0000_s2280" style="position:absolute;flip:y" from="1013,9820" to="1014,9852" strokeweight="0"/>
              <v:line id="_x0000_s2281" style="position:absolute;flip:y" from="1253,9820" to="1254,9852" strokeweight="0"/>
              <v:line id="_x0000_s2282" style="position:absolute;flip:y" from="1495,9820" to="1496,9852" strokeweight="0"/>
              <v:line id="_x0000_s2283" style="position:absolute;flip:y" from="1738,9820" to="1739,9852" strokeweight="0"/>
              <v:line id="_x0000_s2284" style="position:absolute;flip:y" from="1978,9820" to="1979,9852" strokeweight="0"/>
              <v:line id="_x0000_s2285" style="position:absolute;flip:y" from="2220,9820" to="2221,9852" strokeweight="0"/>
              <v:line id="_x0000_s2286" style="position:absolute;flip:y" from="2461,9820" to="2462,9852" strokeweight="0"/>
              <v:line id="_x0000_s2287" style="position:absolute;flip:y" from="2703,9820" to="2704,9852" strokeweight="0"/>
              <v:line id="_x0000_s2288" style="position:absolute;flip:y" from="2943,9820" to="2944,9852" strokeweight="0"/>
              <v:line id="_x0000_s2289" style="position:absolute;flip:y" from="3185,9820" to="3186,9852" strokeweight="0"/>
              <v:shape id="_x0000_s2290" style="position:absolute;left:408;top:9259;width:2657;height:319" coordsize="1635,196" path="m,l149,14,297,62r149,59l595,158r148,28l892,196r148,-3l1189,158r149,-34l1486,121r149,31e" filled="f" strokecolor="navy" strokeweight=".65pt">
                <v:path arrowok="t"/>
              </v:shape>
              <v:shape id="_x0000_s2291" style="position:absolute;left:408;top:7995;width:2657;height:1427" coordsize="1635,875" path="m,l149,187r148,97l446,490,595,624r148,72l892,875r148,-31l1189,438r149,69l1486,603,1635,411e" filled="f" strokecolor="fuchsia" strokeweight=".65pt">
                <v:path arrowok="t"/>
              </v:shape>
              <v:shape id="_x0000_s2292" style="position:absolute;left:408;top:7745;width:2657;height:1564" coordsize="1635,959" path="m,l149,120,297,705,446,622r149,79l743,736r149,7l1040,959,1189,650r149,-35l1486,602,1635,495e" filled="f" strokeweight=".65pt">
                <v:path arrowok="t"/>
              </v:shape>
              <v:shape id="_x0000_s2293" style="position:absolute;left:374;top:9225;width:68;height:68" coordsize="68,68" path="m34,l68,34,34,68,,34,34,xe" fillcolor="navy" strokecolor="navy" strokeweight=".65pt">
                <v:path arrowok="t"/>
              </v:shape>
              <v:shape id="_x0000_s2294" style="position:absolute;left:616;top:9247;width:69;height:69" coordsize="69,69" path="m34,l69,35,34,69,,35,34,xe" fillcolor="navy" strokecolor="navy" strokeweight=".65pt">
                <v:path arrowok="t"/>
              </v:shape>
              <v:shape id="_x0000_s2295" style="position:absolute;left:857;top:9326;width:68;height:68" coordsize="68,68" path="m34,l68,34,34,68,,34,34,xe" fillcolor="navy" strokecolor="navy" strokeweight=".65pt">
                <v:path arrowok="t"/>
              </v:shape>
              <v:shape id="_x0000_s2296" style="position:absolute;left:1099;top:9422;width:68;height:68" coordsize="68,68" path="m34,l68,34,34,68,,34,34,xe" fillcolor="navy" strokecolor="navy" strokeweight=".65pt">
                <v:path arrowok="t"/>
              </v:shape>
              <v:shape id="_x0000_s2297" style="position:absolute;left:1341;top:9482;width:68;height:69" coordsize="68,69" path="m34,l68,34,34,69,,34,34,xe" fillcolor="navy" strokecolor="navy" strokeweight=".65pt">
                <v:path arrowok="t"/>
              </v:shape>
              <v:shape id="_x0000_s2298" style="position:absolute;left:1582;top:9528;width:68;height:68" coordsize="68,68" path="m34,l68,34,34,68,,34,34,xe" fillcolor="navy" strokecolor="navy" strokeweight=".65pt">
                <v:path arrowok="t"/>
              </v:shape>
              <v:shape id="_x0000_s2299" style="position:absolute;left:1824;top:9544;width:68;height:69" coordsize="68,69" path="m34,l68,34,34,69,,34,34,xe" fillcolor="navy" strokecolor="navy" strokeweight=".65pt">
                <v:path arrowok="t"/>
              </v:shape>
              <v:shape id="_x0000_s2300" style="position:absolute;left:2064;top:9539;width:68;height:69" coordsize="68,69" path="m34,l68,35,34,69,,35,34,xe" fillcolor="navy" strokecolor="navy" strokeweight=".65pt">
                <v:path arrowok="t"/>
              </v:shape>
              <v:shape id="_x0000_s2301" style="position:absolute;left:2306;top:9482;width:68;height:69" coordsize="68,69" path="m34,l68,34,34,69,,34,34,xe" fillcolor="navy" strokecolor="navy" strokeweight=".65pt">
                <v:path arrowok="t"/>
              </v:shape>
              <v:shape id="_x0000_s2302" style="position:absolute;left:2548;top:9427;width:69;height:68" coordsize="69,68" path="m34,l69,34,34,68,,34,34,xe" fillcolor="navy" strokecolor="navy" strokeweight=".65pt">
                <v:path arrowok="t"/>
              </v:shape>
              <v:shape id="_x0000_s2303" style="position:absolute;left:2789;top:9422;width:68;height:68" coordsize="68,68" path="m34,l68,34,34,68,,34,34,xe" fillcolor="navy" strokecolor="navy" strokeweight=".65pt">
                <v:path arrowok="t"/>
              </v:shape>
              <v:shape id="_x0000_s2304" style="position:absolute;left:3031;top:9472;width:68;height:69" coordsize="68,69" path="m34,l68,35,34,69,,35,34,xe" fillcolor="navy" strokecolor="navy" strokeweight=".65pt">
                <v:path arrowok="t"/>
              </v:shape>
              <v:rect id="_x0000_s2305" style="position:absolute;left:374;top:7961;width:67;height:66" fillcolor="fuchsia" strokecolor="fuchsia" strokeweight=".65pt"/>
              <v:rect id="_x0000_s2306" style="position:absolute;left:616;top:8266;width:67;height:66" fillcolor="fuchsia" strokecolor="fuchsia" strokeweight=".65pt"/>
              <v:rect id="_x0000_s2307" style="position:absolute;left:857;top:8424;width:66;height:67" fillcolor="fuchsia" strokecolor="fuchsia" strokeweight=".65pt"/>
              <v:rect id="_x0000_s2308" style="position:absolute;left:1099;top:8760;width:67;height:67" fillcolor="fuchsia" strokecolor="fuchsia" strokeweight=".65pt"/>
              <v:rect id="_x0000_s2309" style="position:absolute;left:1341;top:8978;width:67;height:67" fillcolor="fuchsia" strokecolor="fuchsia" strokeweight=".65pt"/>
              <v:rect id="_x0000_s2310" style="position:absolute;left:1582;top:9096;width:66;height:67" fillcolor="fuchsia" strokecolor="fuchsia" strokeweight=".65pt"/>
              <v:rect id="_x0000_s2311" style="position:absolute;left:1824;top:9388;width:66;height:66" fillcolor="fuchsia" strokecolor="fuchsia" strokeweight=".65pt"/>
              <v:rect id="_x0000_s2312" style="position:absolute;left:2064;top:9337;width:67;height:67" fillcolor="fuchsia" strokecolor="fuchsia" strokeweight=".65pt"/>
              <v:rect id="_x0000_s2313" style="position:absolute;left:2306;top:8675;width:67;height:67" fillcolor="fuchsia" strokecolor="fuchsia" strokeweight=".65pt"/>
              <v:rect id="_x0000_s2314" style="position:absolute;left:2548;top:8787;width:67;height:67" fillcolor="fuchsia" strokecolor="fuchsia" strokeweight=".65pt"/>
              <v:rect id="_x0000_s2315" style="position:absolute;left:2789;top:8944;width:66;height:67" fillcolor="fuchsia" strokecolor="fuchsia" strokeweight=".65pt"/>
              <v:rect id="_x0000_s2316" style="position:absolute;left:3031;top:8631;width:67;height:67" fillcolor="fuchsia" strokecolor="fuchsia" strokeweight=".65pt"/>
              <v:shape id="_x0000_s2317" style="position:absolute;left:374;top:7711;width:68;height:69" coordsize="68,69" path="m34,l68,69,,69,34,xe" fillcolor="yellow" strokeweight=".65pt">
                <v:path arrowok="t"/>
              </v:shape>
              <v:shape id="_x0000_s2318" style="position:absolute;left:616;top:7907;width:69;height:68" coordsize="69,68" path="m34,l69,68,,68,34,xe" fillcolor="yellow" strokeweight=".65pt">
                <v:path arrowok="t"/>
              </v:shape>
              <v:shape id="_x0000_s2319" style="position:absolute;left:857;top:8861;width:68;height:68" coordsize="68,68" path="m34,l68,68,,68,34,xe" fillcolor="yellow" strokeweight=".65pt">
                <v:path arrowok="t"/>
              </v:shape>
              <v:shape id="_x0000_s2320" style="position:absolute;left:1099;top:8725;width:68;height:69" coordsize="68,69" path="m34,l68,69,,69,34,xe" fillcolor="yellow" strokeweight=".65pt">
                <v:path arrowok="t"/>
              </v:shape>
              <v:shape id="_x0000_s2321" style="position:absolute;left:1341;top:8854;width:68;height:69" coordsize="68,69" path="m34,l68,69,,69,34,xe" fillcolor="yellow" strokeweight=".65pt">
                <v:path arrowok="t"/>
              </v:shape>
            </v:group>
            <v:group id="_x0000_s2322" style="position:absolute;left:71;top:4405;width:8939;height:5796" coordorigin="71,4405" coordsize="8939,5796">
              <v:group id="_x0000_s2323" style="position:absolute;left:71;top:4405;width:8939;height:5779" coordorigin="71,4405" coordsize="8939,5779">
                <v:shape id="_x0000_s2324" style="position:absolute;left:1588;top:8911;width:68;height:69" coordsize="68,69" path="m34,l68,69,,69,34,xe" fillcolor="yellow" strokeweight=".65pt">
                  <v:path arrowok="t"/>
                </v:shape>
                <v:shape id="_x0000_s2325" style="position:absolute;left:1830;top:8923;width:68;height:68" coordsize="68,68" path="m34,l68,68,,68,34,xe" fillcolor="yellow" strokeweight=".65pt">
                  <v:path arrowok="t"/>
                </v:shape>
                <v:shape id="_x0000_s2326" style="position:absolute;left:2070;top:9275;width:68;height:69" coordsize="68,69" path="m34,l68,69,,69,34,xe" fillcolor="yellow" strokeweight=".65pt">
                  <v:path arrowok="t"/>
                </v:shape>
                <v:shape id="_x0000_s2327" style="position:absolute;left:2312;top:8771;width:68;height:69" coordsize="68,69" path="m34,l68,69,,69,34,xe" fillcolor="yellow" strokeweight=".65pt">
                  <v:path arrowok="t"/>
                </v:shape>
                <v:shape id="_x0000_s2328" style="position:absolute;left:2554;top:8714;width:69;height:69" coordsize="69,69" path="m34,l69,69,,69,34,xe" fillcolor="yellow" strokeweight=".65pt">
                  <v:path arrowok="t"/>
                </v:shape>
                <v:shape id="_x0000_s2329" style="position:absolute;left:2795;top:8693;width:68;height:68" coordsize="68,68" path="m34,l68,68,,68,34,xe" fillcolor="yellow" strokeweight=".65pt">
                  <v:path arrowok="t"/>
                </v:shape>
                <v:shape id="_x0000_s2330" style="position:absolute;left:3037;top:8518;width:68;height:69" coordsize="68,69" path="m34,l68,69,,69,34,xe" fillcolor="yellow" strokeweight=".65pt">
                  <v:path arrowok="t"/>
                </v:shape>
                <v:rect id="_x0000_s2331" style="position:absolute;left:1979;top:7378;width:414;height:276" filled="f" stroked="f">
                  <v:textbox style="mso-next-textbox:#_x0000_s2331" inset="0,0,0,0">
                    <w:txbxContent>
                      <w:p w:rsidR="003C1FA9" w:rsidRPr="00FB46A9" w:rsidRDefault="00AC30EE" w:rsidP="00CA32EF">
                        <w:r>
                          <w:rPr>
                            <w:b/>
                            <w:bCs/>
                            <w:color w:val="000000"/>
                            <w:sz w:val="12"/>
                            <w:szCs w:val="12"/>
                            <w:lang w:val="en-US"/>
                          </w:rPr>
                          <w:t>W</w:t>
                        </w:r>
                        <w:r w:rsidR="003C1FA9" w:rsidRPr="00FB46A9">
                          <w:rPr>
                            <w:b/>
                            <w:bCs/>
                            <w:color w:val="000000"/>
                            <w:sz w:val="12"/>
                            <w:szCs w:val="12"/>
                            <w:lang w:val="en-US"/>
                          </w:rPr>
                          <w:t>omen</w:t>
                        </w:r>
                      </w:p>
                    </w:txbxContent>
                  </v:textbox>
                </v:rect>
                <v:rect id="_x0000_s2332" style="position:absolute;left:138;top:9748;width:67;height:138" filled="f" stroked="f">
                  <v:textbox style="mso-next-textbox:#_x0000_s2332" inset="0,0,0,0">
                    <w:txbxContent>
                      <w:p w:rsidR="003C1FA9" w:rsidRDefault="003C1FA9" w:rsidP="00CA32EF">
                        <w:r>
                          <w:rPr>
                            <w:rFonts w:ascii="Arial" w:hAnsi="Arial" w:cs="Arial"/>
                            <w:color w:val="000000"/>
                            <w:sz w:val="12"/>
                            <w:szCs w:val="12"/>
                            <w:lang w:val="en-US"/>
                          </w:rPr>
                          <w:t>0</w:t>
                        </w:r>
                      </w:p>
                    </w:txbxContent>
                  </v:textbox>
                </v:rect>
                <v:rect id="_x0000_s2333" style="position:absolute;left:138;top:9468;width:67;height:138" filled="f" stroked="f">
                  <v:textbox style="mso-next-textbox:#_x0000_s2333" inset="0,0,0,0">
                    <w:txbxContent>
                      <w:p w:rsidR="003C1FA9" w:rsidRDefault="003C1FA9" w:rsidP="00CA32EF">
                        <w:r>
                          <w:rPr>
                            <w:rFonts w:ascii="Arial" w:hAnsi="Arial" w:cs="Arial"/>
                            <w:color w:val="000000"/>
                            <w:sz w:val="12"/>
                            <w:szCs w:val="12"/>
                            <w:lang w:val="en-US"/>
                          </w:rPr>
                          <w:t>5</w:t>
                        </w:r>
                      </w:p>
                    </w:txbxContent>
                  </v:textbox>
                </v:rect>
                <v:rect id="_x0000_s2334" style="position:absolute;left:71;top:9187;width:134;height:276" filled="f" stroked="f">
                  <v:textbox style="mso-next-textbox:#_x0000_s2334" inset="0,0,0,0">
                    <w:txbxContent>
                      <w:p w:rsidR="003C1FA9" w:rsidRDefault="003C1FA9" w:rsidP="00CA32EF">
                        <w:r>
                          <w:rPr>
                            <w:rFonts w:ascii="Arial" w:hAnsi="Arial" w:cs="Arial"/>
                            <w:color w:val="000000"/>
                            <w:sz w:val="12"/>
                            <w:szCs w:val="12"/>
                            <w:lang w:val="en-US"/>
                          </w:rPr>
                          <w:t>10</w:t>
                        </w:r>
                      </w:p>
                    </w:txbxContent>
                  </v:textbox>
                </v:rect>
                <v:rect id="_x0000_s2335" style="position:absolute;left:71;top:8906;width:134;height:276" filled="f" stroked="f">
                  <v:textbox style="mso-next-textbox:#_x0000_s2335" inset="0,0,0,0">
                    <w:txbxContent>
                      <w:p w:rsidR="003C1FA9" w:rsidRDefault="003C1FA9" w:rsidP="00CA32EF">
                        <w:r>
                          <w:rPr>
                            <w:rFonts w:ascii="Arial" w:hAnsi="Arial" w:cs="Arial"/>
                            <w:color w:val="000000"/>
                            <w:sz w:val="12"/>
                            <w:szCs w:val="12"/>
                            <w:lang w:val="en-US"/>
                          </w:rPr>
                          <w:t>15</w:t>
                        </w:r>
                      </w:p>
                    </w:txbxContent>
                  </v:textbox>
                </v:rect>
                <v:rect id="_x0000_s2336" style="position:absolute;left:71;top:8628;width:134;height:276" filled="f" stroked="f">
                  <v:textbox style="mso-next-textbox:#_x0000_s2336" inset="0,0,0,0">
                    <w:txbxContent>
                      <w:p w:rsidR="003C1FA9" w:rsidRDefault="003C1FA9" w:rsidP="00CA32EF">
                        <w:r>
                          <w:rPr>
                            <w:rFonts w:ascii="Arial" w:hAnsi="Arial" w:cs="Arial"/>
                            <w:color w:val="000000"/>
                            <w:sz w:val="12"/>
                            <w:szCs w:val="12"/>
                            <w:lang w:val="en-US"/>
                          </w:rPr>
                          <w:t>20</w:t>
                        </w:r>
                      </w:p>
                    </w:txbxContent>
                  </v:textbox>
                </v:rect>
                <v:rect id="_x0000_s2337" style="position:absolute;left:71;top:8347;width:134;height:276" filled="f" stroked="f">
                  <v:textbox style="mso-next-textbox:#_x0000_s2337" inset="0,0,0,0">
                    <w:txbxContent>
                      <w:p w:rsidR="003C1FA9" w:rsidRDefault="003C1FA9" w:rsidP="00CA32EF">
                        <w:r>
                          <w:rPr>
                            <w:rFonts w:ascii="Arial" w:hAnsi="Arial" w:cs="Arial"/>
                            <w:color w:val="000000"/>
                            <w:sz w:val="12"/>
                            <w:szCs w:val="12"/>
                            <w:lang w:val="en-US"/>
                          </w:rPr>
                          <w:t>25</w:t>
                        </w:r>
                      </w:p>
                    </w:txbxContent>
                  </v:textbox>
                </v:rect>
                <v:rect id="_x0000_s2338" style="position:absolute;left:71;top:8067;width:134;height:276" filled="f" stroked="f">
                  <v:textbox style="mso-next-textbox:#_x0000_s2338" inset="0,0,0,0">
                    <w:txbxContent>
                      <w:p w:rsidR="003C1FA9" w:rsidRDefault="003C1FA9" w:rsidP="00CA32EF">
                        <w:r>
                          <w:rPr>
                            <w:rFonts w:ascii="Arial" w:hAnsi="Arial" w:cs="Arial"/>
                            <w:color w:val="000000"/>
                            <w:sz w:val="12"/>
                            <w:szCs w:val="12"/>
                            <w:lang w:val="en-US"/>
                          </w:rPr>
                          <w:t>30</w:t>
                        </w:r>
                      </w:p>
                    </w:txbxContent>
                  </v:textbox>
                </v:rect>
                <v:rect id="_x0000_s2339" style="position:absolute;left:71;top:7786;width:134;height:276" filled="f" stroked="f">
                  <v:textbox style="mso-next-textbox:#_x0000_s2339" inset="0,0,0,0">
                    <w:txbxContent>
                      <w:p w:rsidR="003C1FA9" w:rsidRDefault="003C1FA9" w:rsidP="00CA32EF">
                        <w:r>
                          <w:rPr>
                            <w:rFonts w:ascii="Arial" w:hAnsi="Arial" w:cs="Arial"/>
                            <w:color w:val="000000"/>
                            <w:sz w:val="12"/>
                            <w:szCs w:val="12"/>
                            <w:lang w:val="en-US"/>
                          </w:rPr>
                          <w:t>35</w:t>
                        </w:r>
                      </w:p>
                    </w:txbxContent>
                  </v:textbox>
                </v:rect>
                <v:rect id="_x0000_s2340" style="position:absolute;left:71;top:7506;width:134;height:276" filled="f" stroked="f">
                  <v:textbox style="mso-next-textbox:#_x0000_s2340" inset="0,0,0,0">
                    <w:txbxContent>
                      <w:p w:rsidR="003C1FA9" w:rsidRDefault="003C1FA9" w:rsidP="00CA32EF">
                        <w:r>
                          <w:rPr>
                            <w:rFonts w:ascii="Arial" w:hAnsi="Arial" w:cs="Arial"/>
                            <w:color w:val="000000"/>
                            <w:sz w:val="12"/>
                            <w:szCs w:val="12"/>
                            <w:lang w:val="en-US"/>
                          </w:rPr>
                          <w:t>40</w:t>
                        </w:r>
                      </w:p>
                    </w:txbxContent>
                  </v:textbox>
                </v:rect>
                <v:rect id="_x0000_s2341" style="position:absolute;left:139;top:9954;width:223;height:230;rotation:317" filled="f" stroked="f">
                  <v:textbox style="mso-next-textbox:#_x0000_s2341" inset="0,0,0,0">
                    <w:txbxContent>
                      <w:p w:rsidR="003C1FA9" w:rsidRDefault="003C1FA9" w:rsidP="00CA32EF">
                        <w:r>
                          <w:rPr>
                            <w:rFonts w:ascii="Arial" w:hAnsi="Arial" w:cs="Arial"/>
                            <w:color w:val="000000"/>
                            <w:sz w:val="10"/>
                            <w:szCs w:val="10"/>
                            <w:lang w:val="en-US"/>
                          </w:rPr>
                          <w:t>1995</w:t>
                        </w:r>
                      </w:p>
                    </w:txbxContent>
                  </v:textbox>
                </v:rect>
                <v:rect id="_x0000_s2342" style="position:absolute;left:381;top:9954;width:223;height:230;rotation:317" filled="f" stroked="f">
                  <v:textbox style="mso-next-textbox:#_x0000_s2342" inset="0,0,0,0">
                    <w:txbxContent>
                      <w:p w:rsidR="003C1FA9" w:rsidRDefault="003C1FA9" w:rsidP="00CA32EF">
                        <w:r>
                          <w:rPr>
                            <w:rFonts w:ascii="Arial" w:hAnsi="Arial" w:cs="Arial"/>
                            <w:color w:val="000000"/>
                            <w:sz w:val="10"/>
                            <w:szCs w:val="10"/>
                            <w:lang w:val="en-US"/>
                          </w:rPr>
                          <w:t>1996</w:t>
                        </w:r>
                      </w:p>
                    </w:txbxContent>
                  </v:textbox>
                </v:rect>
                <v:rect id="_x0000_s2343" style="position:absolute;left:622;top:9954;width:223;height:230;rotation:317" filled="f" stroked="f">
                  <v:textbox style="mso-next-textbox:#_x0000_s2343" inset="0,0,0,0">
                    <w:txbxContent>
                      <w:p w:rsidR="003C1FA9" w:rsidRDefault="003C1FA9" w:rsidP="00CA32EF">
                        <w:r>
                          <w:rPr>
                            <w:rFonts w:ascii="Arial" w:hAnsi="Arial" w:cs="Arial"/>
                            <w:color w:val="000000"/>
                            <w:sz w:val="10"/>
                            <w:szCs w:val="10"/>
                            <w:lang w:val="en-US"/>
                          </w:rPr>
                          <w:t>1997</w:t>
                        </w:r>
                      </w:p>
                    </w:txbxContent>
                  </v:textbox>
                </v:rect>
                <v:rect id="_x0000_s2344" style="position:absolute;left:864;top:9954;width:223;height:230;rotation:317" filled="f" stroked="f">
                  <v:textbox style="mso-next-textbox:#_x0000_s2344" inset="0,0,0,0">
                    <w:txbxContent>
                      <w:p w:rsidR="003C1FA9" w:rsidRDefault="003C1FA9" w:rsidP="00CA32EF">
                        <w:r>
                          <w:rPr>
                            <w:rFonts w:ascii="Arial" w:hAnsi="Arial" w:cs="Arial"/>
                            <w:color w:val="000000"/>
                            <w:sz w:val="10"/>
                            <w:szCs w:val="10"/>
                            <w:lang w:val="en-US"/>
                          </w:rPr>
                          <w:t>1998</w:t>
                        </w:r>
                      </w:p>
                    </w:txbxContent>
                  </v:textbox>
                </v:rect>
                <v:rect id="_x0000_s2345" style="position:absolute;left:1106;top:9954;width:223;height:230;rotation:317" filled="f" stroked="f">
                  <v:textbox style="mso-next-textbox:#_x0000_s2345" inset="0,0,0,0">
                    <w:txbxContent>
                      <w:p w:rsidR="003C1FA9" w:rsidRDefault="003C1FA9" w:rsidP="00CA32EF">
                        <w:r>
                          <w:rPr>
                            <w:rFonts w:ascii="Arial" w:hAnsi="Arial" w:cs="Arial"/>
                            <w:color w:val="000000"/>
                            <w:sz w:val="10"/>
                            <w:szCs w:val="10"/>
                            <w:lang w:val="en-US"/>
                          </w:rPr>
                          <w:t>1999</w:t>
                        </w:r>
                      </w:p>
                    </w:txbxContent>
                  </v:textbox>
                </v:rect>
                <v:rect id="_x0000_s2346" style="position:absolute;left:1347;top:9954;width:223;height:230;rotation:317" filled="f" stroked="f">
                  <v:textbox style="mso-next-textbox:#_x0000_s2346" inset="0,0,0,0">
                    <w:txbxContent>
                      <w:p w:rsidR="003C1FA9" w:rsidRDefault="003C1FA9" w:rsidP="00CA32EF">
                        <w:r>
                          <w:rPr>
                            <w:rFonts w:ascii="Arial" w:hAnsi="Arial" w:cs="Arial"/>
                            <w:color w:val="000000"/>
                            <w:sz w:val="10"/>
                            <w:szCs w:val="10"/>
                            <w:lang w:val="en-US"/>
                          </w:rPr>
                          <w:t>2000</w:t>
                        </w:r>
                      </w:p>
                    </w:txbxContent>
                  </v:textbox>
                </v:rect>
                <v:rect id="_x0000_s2347" style="position:absolute;left:1589;top:9954;width:223;height:230;rotation:317" filled="f" stroked="f">
                  <v:textbox style="mso-next-textbox:#_x0000_s2347" inset="0,0,0,0">
                    <w:txbxContent>
                      <w:p w:rsidR="003C1FA9" w:rsidRDefault="003C1FA9" w:rsidP="00CA32EF">
                        <w:r>
                          <w:rPr>
                            <w:rFonts w:ascii="Arial" w:hAnsi="Arial" w:cs="Arial"/>
                            <w:color w:val="000000"/>
                            <w:sz w:val="10"/>
                            <w:szCs w:val="10"/>
                            <w:lang w:val="en-US"/>
                          </w:rPr>
                          <w:t>2001</w:t>
                        </w:r>
                      </w:p>
                    </w:txbxContent>
                  </v:textbox>
                </v:rect>
                <v:rect id="_x0000_s2348" style="position:absolute;left:1829;top:9954;width:223;height:230;rotation:317" filled="f" stroked="f">
                  <v:textbox style="mso-next-textbox:#_x0000_s2348" inset="0,0,0,0">
                    <w:txbxContent>
                      <w:p w:rsidR="003C1FA9" w:rsidRDefault="003C1FA9" w:rsidP="00CA32EF">
                        <w:r>
                          <w:rPr>
                            <w:rFonts w:ascii="Arial" w:hAnsi="Arial" w:cs="Arial"/>
                            <w:color w:val="000000"/>
                            <w:sz w:val="10"/>
                            <w:szCs w:val="10"/>
                            <w:lang w:val="en-US"/>
                          </w:rPr>
                          <w:t>2002</w:t>
                        </w:r>
                      </w:p>
                    </w:txbxContent>
                  </v:textbox>
                </v:rect>
                <v:rect id="_x0000_s2349" style="position:absolute;left:2071;top:9954;width:223;height:230;rotation:317" filled="f" stroked="f">
                  <v:textbox style="mso-next-textbox:#_x0000_s2349" inset="0,0,0,0">
                    <w:txbxContent>
                      <w:p w:rsidR="003C1FA9" w:rsidRDefault="003C1FA9" w:rsidP="00CA32EF">
                        <w:r>
                          <w:rPr>
                            <w:rFonts w:ascii="Arial" w:hAnsi="Arial" w:cs="Arial"/>
                            <w:color w:val="000000"/>
                            <w:sz w:val="10"/>
                            <w:szCs w:val="10"/>
                            <w:lang w:val="en-US"/>
                          </w:rPr>
                          <w:t>2003</w:t>
                        </w:r>
                      </w:p>
                    </w:txbxContent>
                  </v:textbox>
                </v:rect>
                <v:rect id="_x0000_s2350" style="position:absolute;left:2313;top:9954;width:223;height:230;rotation:317" filled="f" stroked="f">
                  <v:textbox style="mso-next-textbox:#_x0000_s2350" inset="0,0,0,0">
                    <w:txbxContent>
                      <w:p w:rsidR="003C1FA9" w:rsidRDefault="003C1FA9" w:rsidP="00CA32EF">
                        <w:r>
                          <w:rPr>
                            <w:rFonts w:ascii="Arial" w:hAnsi="Arial" w:cs="Arial"/>
                            <w:color w:val="000000"/>
                            <w:sz w:val="10"/>
                            <w:szCs w:val="10"/>
                            <w:lang w:val="en-US"/>
                          </w:rPr>
                          <w:t>2004</w:t>
                        </w:r>
                      </w:p>
                    </w:txbxContent>
                  </v:textbox>
                </v:rect>
                <v:rect id="_x0000_s2351" style="position:absolute;left:2554;top:9954;width:223;height:230;rotation:317" filled="f" stroked="f">
                  <v:textbox style="mso-next-textbox:#_x0000_s2351" inset="0,0,0,0">
                    <w:txbxContent>
                      <w:p w:rsidR="003C1FA9" w:rsidRDefault="003C1FA9" w:rsidP="00CA32EF">
                        <w:r>
                          <w:rPr>
                            <w:rFonts w:ascii="Arial" w:hAnsi="Arial" w:cs="Arial"/>
                            <w:color w:val="000000"/>
                            <w:sz w:val="10"/>
                            <w:szCs w:val="10"/>
                            <w:lang w:val="en-US"/>
                          </w:rPr>
                          <w:t>2005</w:t>
                        </w:r>
                      </w:p>
                    </w:txbxContent>
                  </v:textbox>
                </v:rect>
                <v:rect id="_x0000_s2352" style="position:absolute;left:2796;top:9954;width:223;height:230;rotation:317" filled="f" stroked="f">
                  <v:textbox style="mso-next-textbox:#_x0000_s2352" inset="0,0,0,0">
                    <w:txbxContent>
                      <w:p w:rsidR="003C1FA9" w:rsidRDefault="003C1FA9" w:rsidP="00CA32EF">
                        <w:r>
                          <w:rPr>
                            <w:rFonts w:ascii="Arial" w:hAnsi="Arial" w:cs="Arial"/>
                            <w:color w:val="000000"/>
                            <w:sz w:val="10"/>
                            <w:szCs w:val="10"/>
                            <w:lang w:val="en-US"/>
                          </w:rPr>
                          <w:t>2006</w:t>
                        </w:r>
                      </w:p>
                    </w:txbxContent>
                  </v:textbox>
                </v:rect>
                <v:rect id="_x0000_s2353" style="position:absolute;left:3251;top:8897;width:1123;height:937" strokeweight="0"/>
                <v:line id="_x0000_s2354" style="position:absolute" from="3375,9052" to="3645,9053" strokecolor="navy" strokeweight=".65pt"/>
                <v:shape id="_x0000_s2355" style="position:absolute;left:3477;top:9019;width:65;height:65" coordsize="65,65" path="m33,l65,33,33,65,,33,33,xe" fillcolor="navy" strokecolor="navy" strokeweight=".65pt">
                  <v:path arrowok="t"/>
                </v:shape>
                <v:rect id="_x0000_s2356" style="position:absolute;left:3671;top:8993;width:567;height:230" filled="f" stroked="f">
                  <v:textbox style="mso-next-textbox:#_x0000_s2356" inset="0,0,0,0">
                    <w:txbxContent>
                      <w:p w:rsidR="003C1FA9" w:rsidRDefault="003C1FA9" w:rsidP="00CA32EF">
                        <w:r>
                          <w:rPr>
                            <w:rFonts w:ascii="Arial" w:hAnsi="Arial" w:cs="Arial"/>
                            <w:color w:val="000000"/>
                            <w:sz w:val="10"/>
                            <w:szCs w:val="10"/>
                            <w:lang w:val="en-US"/>
                          </w:rPr>
                          <w:t>Ethnic Dutch</w:t>
                        </w:r>
                      </w:p>
                    </w:txbxContent>
                  </v:textbox>
                </v:rect>
                <v:line id="_x0000_s2357" style="position:absolute" from="3375,9363" to="3645,9364" strokecolor="fuchsia" strokeweight=".65pt"/>
                <v:rect id="_x0000_s2358" style="position:absolute;left:3477;top:9331;width:64;height:63" fillcolor="fuchsia" strokecolor="fuchsia" strokeweight=".65pt"/>
                <v:rect id="_x0000_s2359" style="position:absolute;left:3671;top:9304;width:328;height:230" filled="f" stroked="f">
                  <v:textbox style="mso-next-textbox:#_x0000_s2359" inset="0,0,0,0">
                    <w:txbxContent>
                      <w:p w:rsidR="003C1FA9" w:rsidRDefault="003C1FA9" w:rsidP="00CA32EF">
                        <w:r>
                          <w:rPr>
                            <w:rFonts w:ascii="Arial" w:hAnsi="Arial" w:cs="Arial"/>
                            <w:color w:val="000000"/>
                            <w:sz w:val="10"/>
                            <w:szCs w:val="10"/>
                            <w:lang w:val="en-US"/>
                          </w:rPr>
                          <w:t>Turkish</w:t>
                        </w:r>
                      </w:p>
                    </w:txbxContent>
                  </v:textbox>
                </v:rect>
                <v:line id="_x0000_s2360" style="position:absolute" from="3375,9675" to="3645,9676" strokeweight=".65pt"/>
                <v:shape id="_x0000_s2361" style="position:absolute;left:3477;top:9642;width:65;height:65" coordsize="65,65" path="m33,l65,65,,65,33,xe" fillcolor="yellow" strokeweight=".65pt">
                  <v:path arrowok="t"/>
                </v:shape>
                <v:rect id="_x0000_s2362" style="position:absolute;left:3671;top:9616;width:440;height:230" filled="f" stroked="f">
                  <v:textbox style="mso-next-textbox:#_x0000_s2362" inset="0,0,0,0">
                    <w:txbxContent>
                      <w:p w:rsidR="003C1FA9" w:rsidRDefault="003C1FA9" w:rsidP="00CA32EF">
                        <w:r>
                          <w:rPr>
                            <w:rFonts w:ascii="Arial" w:hAnsi="Arial" w:cs="Arial"/>
                            <w:color w:val="000000"/>
                            <w:sz w:val="10"/>
                            <w:szCs w:val="10"/>
                            <w:lang w:val="en-US"/>
                          </w:rPr>
                          <w:t>Moroccan</w:t>
                        </w:r>
                      </w:p>
                    </w:txbxContent>
                  </v:textbox>
                </v:rect>
                <v:rect id="_x0000_s2363" style="position:absolute;left:4483;top:4405;width:4527;height:2856" stroked="f"/>
                <v:rect id="_x0000_s2364" style="position:absolute;left:4730;top:4669;width:3055;height:2210" stroked="f"/>
                <v:line id="_x0000_s2365" style="position:absolute" from="4730,6604" to="7785,6605" strokeweight="0">
                  <v:stroke dashstyle="1 1"/>
                </v:line>
                <v:line id="_x0000_s2366" style="position:absolute" from="4730,6326" to="7785,6327" strokeweight="0">
                  <v:stroke dashstyle="1 1"/>
                </v:line>
                <v:line id="_x0000_s2367" style="position:absolute" from="4730,6051" to="7785,6052" strokeweight="0">
                  <v:stroke dashstyle="1 1"/>
                </v:line>
                <v:line id="_x0000_s2368" style="position:absolute" from="4730,5775" to="7785,5776" strokeweight="0">
                  <v:stroke dashstyle="1 1"/>
                </v:line>
                <v:line id="_x0000_s2369" style="position:absolute" from="4730,5498" to="7785,5499" strokeweight="0">
                  <v:stroke dashstyle="1 1"/>
                </v:line>
                <v:line id="_x0000_s2370" style="position:absolute" from="4730,5222" to="7785,5223" strokeweight="0">
                  <v:stroke dashstyle="1 1"/>
                </v:line>
                <v:line id="_x0000_s2371" style="position:absolute" from="4730,4945" to="7785,4946" strokeweight="0">
                  <v:stroke dashstyle="1 1"/>
                </v:line>
                <v:line id="_x0000_s2372" style="position:absolute" from="4730,4669" to="7785,4670" strokeweight="0">
                  <v:stroke dashstyle="1 1"/>
                </v:line>
                <v:rect id="_x0000_s2373" style="position:absolute;left:4730;top:4669;width:3055;height:2210" filled="f" strokecolor="gray" strokeweight=".65pt"/>
                <v:line id="_x0000_s2374" style="position:absolute" from="4730,4669" to="4731,6879" strokeweight="0"/>
                <v:line id="_x0000_s2375" style="position:absolute" from="4693,6879" to="4730,6880" strokeweight="0"/>
                <v:line id="_x0000_s2376" style="position:absolute" from="4693,6604" to="4730,6605" strokeweight="0"/>
                <v:line id="_x0000_s2377" style="position:absolute" from="4693,6326" to="4730,6327" strokeweight="0"/>
                <v:line id="_x0000_s2378" style="position:absolute" from="4693,6051" to="4730,6052" strokeweight="0"/>
                <v:line id="_x0000_s2379" style="position:absolute" from="4693,5775" to="4730,5776" strokeweight="0"/>
                <v:line id="_x0000_s2380" style="position:absolute" from="4693,5498" to="4730,5499" strokeweight="0"/>
                <v:line id="_x0000_s2381" style="position:absolute" from="4693,5222" to="4730,5223" strokeweight="0"/>
                <v:line id="_x0000_s2382" style="position:absolute" from="4693,4945" to="4730,4946" strokeweight="0"/>
                <v:line id="_x0000_s2383" style="position:absolute" from="4730,6879" to="7785,6880" strokeweight="0"/>
                <v:line id="_x0000_s2384" style="position:absolute;flip:y" from="4730,6879" to="4731,6912" strokeweight="0"/>
                <v:line id="_x0000_s2385" style="position:absolute;flip:y" from="4985,6879" to="4986,6912" strokeweight="0"/>
                <v:line id="_x0000_s2386" style="position:absolute;flip:y" from="5239,6879" to="5240,6912" strokeweight="0"/>
                <v:line id="_x0000_s2387" style="position:absolute;flip:y" from="5494,6879" to="5495,6912" strokeweight="0"/>
                <v:line id="_x0000_s2388" style="position:absolute;flip:y" from="5749,6879" to="5750,6912" strokeweight="0"/>
                <v:line id="_x0000_s2389" style="position:absolute;flip:y" from="6002,6879" to="6003,6912" strokeweight="0"/>
                <v:line id="_x0000_s2390" style="position:absolute;flip:y" from="6257,6879" to="6258,6912" strokeweight="0"/>
                <v:line id="_x0000_s2391" style="position:absolute;flip:y" from="6513,6879" to="6514,6912" strokeweight="0"/>
                <v:line id="_x0000_s2392" style="position:absolute;flip:y" from="6766,6879" to="6767,6912" strokeweight="0"/>
                <v:line id="_x0000_s2393" style="position:absolute;flip:y" from="7021,6879" to="7022,6912" strokeweight="0"/>
                <v:line id="_x0000_s2394" style="position:absolute;flip:y" from="7276,6879" to="7277,6912" strokeweight="0"/>
                <v:line id="_x0000_s2395" style="position:absolute;flip:y" from="7530,6879" to="7531,6912" strokeweight="0"/>
                <v:line id="_x0000_s2396" style="position:absolute;flip:y" from="7785,6879" to="7786,6912" strokeweight="0"/>
                <v:shape id="_x0000_s2397" style="position:absolute;left:4857;top:6604;width:2801;height:176" coordsize="1724,108" path="m,l157,30,314,57,470,81,627,98r157,7l940,108,1097,81,1254,50,1410,17r157,13l1724,57e" filled="f" strokecolor="navy" strokeweight=".65pt">
                  <v:path arrowok="t"/>
                </v:shape>
                <v:shape id="_x0000_s2398" style="position:absolute;left:4857;top:5775;width:2801;height:711" coordsize="1724,436" path="m,l157,230r157,13l470,264r157,71l784,436,940,409r157,27l1254,362r156,-44l1567,298r157,20e" filled="f" strokeweight=".65pt">
                  <v:path arrowok="t"/>
                </v:shape>
                <v:shape id="_x0000_s2399" style="position:absolute;left:4857;top:5725;width:2801;height:696" coordsize="1724,427" path="m,98l157,20,314,41,470,220r157,48l784,427,940,379r157,38l1254,r156,166l1567,166r157,14e" filled="f" strokecolor="purple" strokeweight=".65pt">
                  <v:path arrowok="t"/>
                </v:shape>
                <v:shape id="_x0000_s2400" style="position:absolute;left:4823;top:6569;width:68;height:69" coordsize="68,69" path="m34,l68,35,34,69,,35,34,xe" fillcolor="navy" strokecolor="navy" strokeweight=".65pt">
                  <v:path arrowok="t"/>
                </v:shape>
                <v:shape id="_x0000_s2401" style="position:absolute;left:5078;top:6618;width:68;height:69" coordsize="68,69" path="m34,l68,35,34,69,,35,34,xe" fillcolor="navy" strokecolor="navy" strokeweight=".65pt">
                  <v:path arrowok="t"/>
                </v:shape>
                <v:shape id="_x0000_s2402" style="position:absolute;left:5333;top:6662;width:68;height:69" coordsize="68,69" path="m34,l68,35,34,69,,35,34,xe" fillcolor="navy" strokecolor="navy" strokeweight=".65pt">
                  <v:path arrowok="t"/>
                </v:shape>
                <v:shape id="_x0000_s2403" style="position:absolute;left:5586;top:6701;width:69;height:69" coordsize="69,69" path="m34,l69,35,34,69,,35,34,xe" fillcolor="navy" strokecolor="navy" strokeweight=".65pt">
                  <v:path arrowok="t"/>
                </v:shape>
                <v:shape id="_x0000_s2404" style="position:absolute;left:5841;top:6729;width:69;height:69" coordsize="69,69" path="m35,l69,34,35,69,,34,35,xe" fillcolor="navy" strokecolor="navy" strokeweight=".65pt">
                  <v:path arrowok="t"/>
                </v:shape>
                <v:shape id="_x0000_s2405" style="position:absolute;left:6097;top:6741;width:68;height:68" coordsize="68,68" path="m34,l68,34,34,68,,34,34,xe" fillcolor="navy" strokecolor="navy" strokeweight=".65pt">
                  <v:path arrowok="t"/>
                </v:shape>
                <v:shape id="_x0000_s2406" style="position:absolute;left:6350;top:6746;width:68;height:68" coordsize="68,68" path="m34,l68,34,34,68,,34,34,xe" fillcolor="navy" strokecolor="navy" strokeweight=".65pt">
                  <v:path arrowok="t"/>
                </v:shape>
                <v:shape id="_x0000_s2407" style="position:absolute;left:6605;top:6701;width:68;height:69" coordsize="68,69" path="m34,l68,35,34,69,,35,34,xe" fillcolor="navy" strokecolor="navy" strokeweight=".65pt">
                  <v:path arrowok="t"/>
                </v:shape>
                <v:shape id="_x0000_s2408" style="position:absolute;left:6860;top:6651;width:69;height:68" coordsize="69,68" path="m34,l69,34,34,68,,34,34,xe" fillcolor="navy" strokecolor="navy" strokeweight=".65pt">
                  <v:path arrowok="t"/>
                </v:shape>
                <v:shape id="_x0000_s2409" style="position:absolute;left:7114;top:6597;width:68;height:69" coordsize="68,69" path="m34,l68,34,34,69,,34,34,xe" fillcolor="navy" strokecolor="navy" strokeweight=".65pt">
                  <v:path arrowok="t"/>
                </v:shape>
                <v:shape id="_x0000_s2410" style="position:absolute;left:7369;top:6618;width:68;height:69" coordsize="68,69" path="m34,l68,35,34,69,,35,34,xe" fillcolor="navy" strokecolor="navy" strokeweight=".65pt">
                  <v:path arrowok="t"/>
                </v:shape>
                <v:shape id="_x0000_s2411" style="position:absolute;left:7624;top:6662;width:68;height:69" coordsize="68,69" path="m34,l68,35,34,69,,35,34,xe" fillcolor="navy" strokecolor="navy" strokeweight=".65pt">
                  <v:path arrowok="t"/>
                </v:shape>
                <v:rect id="_x0000_s2412" style="position:absolute;left:4821;top:5739;width:73;height:74" filled="f" stroked="f"/>
                <v:line id="_x0000_s2413" style="position:absolute;flip:x y" from="4823,5741" to="4857,5775" strokeweight=".65pt"/>
                <v:line id="_x0000_s2414" style="position:absolute" from="4857,5775" to="4891,5809" strokeweight=".65pt"/>
                <v:line id="_x0000_s2415" style="position:absolute;flip:x" from="4823,5775" to="4857,5809" strokeweight=".65pt"/>
                <v:line id="_x0000_s2416" style="position:absolute;flip:y" from="4857,5741" to="4891,5775" strokeweight=".65pt"/>
                <v:rect id="_x0000_s2417" style="position:absolute;left:5076;top:6114;width:73;height:74" filled="f" stroked="f"/>
                <v:line id="_x0000_s2418" style="position:absolute;flip:x y" from="5078,6116" to="5112,6150" strokeweight=".65pt"/>
                <v:line id="_x0000_s2419" style="position:absolute" from="5112,6150" to="5146,6184" strokeweight=".65pt"/>
                <v:line id="_x0000_s2420" style="position:absolute;flip:x" from="5078,6150" to="5112,6184" strokeweight=".65pt"/>
                <v:line id="_x0000_s2421" style="position:absolute;flip:y" from="5112,6116" to="5146,6150" strokeweight=".65pt"/>
                <v:rect id="_x0000_s2422" style="position:absolute;left:5331;top:6136;width:73;height:73" filled="f" stroked="f"/>
                <v:line id="_x0000_s2423" style="position:absolute;flip:x y" from="5333,6137" to="5367,6171" strokeweight=".65pt"/>
                <v:line id="_x0000_s2424" style="position:absolute" from="5367,6171" to="5401,6206" strokeweight=".65pt"/>
                <v:line id="_x0000_s2425" style="position:absolute;flip:x" from="5333,6171" to="5367,6206" strokeweight=".65pt"/>
                <v:line id="_x0000_s2426" style="position:absolute;flip:y" from="5367,6137" to="5401,6171" strokeweight=".65pt"/>
                <v:rect id="_x0000_s2427" style="position:absolute;left:5585;top:6170;width:73;height:73" filled="f" stroked="f"/>
                <v:line id="_x0000_s2428" style="position:absolute;flip:x y" from="5586,6171" to="5620,6206" strokeweight=".65pt"/>
                <v:line id="_x0000_s2429" style="position:absolute" from="5620,6206" to="5655,6240" strokeweight=".65pt"/>
                <v:line id="_x0000_s2430" style="position:absolute;flip:x" from="5586,6206" to="5620,6240" strokeweight=".65pt"/>
                <v:line id="_x0000_s2431" style="position:absolute;flip:y" from="5620,6171" to="5655,6206" strokeweight=".65pt"/>
                <v:rect id="_x0000_s2432" style="position:absolute;left:5840;top:6286;width:73;height:73" filled="f" stroked="f"/>
                <v:line id="_x0000_s2433" style="position:absolute;flip:x y" from="5841,6287" to="5876,6321" strokeweight=".65pt"/>
                <v:line id="_x0000_s2434" style="position:absolute" from="5876,6321" to="5910,6356" strokeweight=".65pt"/>
                <v:line id="_x0000_s2435" style="position:absolute;flip:x" from="5841,6321" to="5876,6356" strokeweight=".65pt"/>
                <v:line id="_x0000_s2436" style="position:absolute;flip:y" from="5876,6287" to="5910,6321" strokeweight=".65pt"/>
                <v:rect id="_x0000_s2437" style="position:absolute;left:6095;top:6450;width:73;height:74" filled="f" stroked="f"/>
                <v:line id="_x0000_s2438" style="position:absolute;flip:x y" from="6097,6452" to="6131,6486" strokeweight=".65pt"/>
                <v:line id="_x0000_s2439" style="position:absolute" from="6131,6486" to="6165,6520" strokeweight=".65pt"/>
                <v:line id="_x0000_s2440" style="position:absolute;flip:x" from="6097,6486" to="6131,6520" strokeweight=".65pt"/>
                <v:line id="_x0000_s2441" style="position:absolute;flip:y" from="6131,6452" to="6165,6486" strokeweight=".65pt"/>
                <v:rect id="_x0000_s2442" style="position:absolute;left:6348;top:6406;width:74;height:74" filled="f" stroked="f"/>
                <v:line id="_x0000_s2443" style="position:absolute;flip:x y" from="6350,6408" to="6384,6442" strokeweight=".65pt"/>
                <v:line id="_x0000_s2444" style="position:absolute" from="6384,6442" to="6418,6476" strokeweight=".65pt"/>
                <v:line id="_x0000_s2445" style="position:absolute;flip:x" from="6350,6442" to="6384,6476" strokeweight=".65pt"/>
                <v:line id="_x0000_s2446" style="position:absolute;flip:y" from="6384,6408" to="6418,6442" strokeweight=".65pt"/>
                <v:rect id="_x0000_s2447" style="position:absolute;left:6604;top:6450;width:73;height:74" filled="f" stroked="f"/>
                <v:line id="_x0000_s2448" style="position:absolute;flip:x y" from="6605,6452" to="6639,6486" strokeweight=".65pt"/>
                <v:line id="_x0000_s2449" style="position:absolute" from="6639,6486" to="6673,6520" strokeweight=".65pt"/>
                <v:line id="_x0000_s2450" style="position:absolute;flip:x" from="6605,6486" to="6639,6520" strokeweight=".65pt"/>
                <v:line id="_x0000_s2451" style="position:absolute;flip:y" from="6639,6452" to="6673,6486" strokeweight=".65pt"/>
                <v:rect id="_x0000_s2452" style="position:absolute;left:6859;top:6330;width:73;height:73" filled="f" stroked="f"/>
                <v:line id="_x0000_s2453" style="position:absolute;flip:x y" from="6860,6331" to="6894,6366" strokeweight=".65pt"/>
                <v:line id="_x0000_s2454" style="position:absolute" from="6894,6366" to="6929,6400" strokeweight=".65pt"/>
                <v:line id="_x0000_s2455" style="position:absolute;flip:x" from="6860,6366" to="6894,6400" strokeweight=".65pt"/>
                <v:line id="_x0000_s2456" style="position:absolute;flip:y" from="6894,6331" to="6929,6366" strokeweight=".65pt"/>
                <v:rect id="_x0000_s2457" style="position:absolute;left:7112;top:6258;width:73;height:73" filled="f" stroked="f"/>
                <v:line id="_x0000_s2458" style="position:absolute;flip:x y" from="7114,6259" to="7148,6294" strokeweight=".65pt"/>
                <v:line id="_x0000_s2459" style="position:absolute" from="7148,6294" to="7182,6328" strokeweight=".65pt"/>
                <v:line id="_x0000_s2460" style="position:absolute;flip:x" from="7114,6294" to="7148,6328" strokeweight=".65pt"/>
                <v:line id="_x0000_s2461" style="position:absolute;flip:y" from="7148,6259" to="7182,6294" strokeweight=".65pt"/>
                <v:rect id="_x0000_s2462" style="position:absolute;left:7367;top:6225;width:73;height:74" filled="f" stroked="f"/>
                <v:line id="_x0000_s2463" style="position:absolute;flip:x y" from="7369,6227" to="7403,6261" strokeweight=".65pt"/>
                <v:line id="_x0000_s2464" style="position:absolute" from="7403,6261" to="7437,6295" strokeweight=".65pt"/>
                <v:line id="_x0000_s2465" style="position:absolute;flip:x" from="7369,6261" to="7403,6295" strokeweight=".65pt"/>
                <v:line id="_x0000_s2466" style="position:absolute;flip:y" from="7403,6227" to="7437,6261" strokeweight=".65pt"/>
                <v:rect id="_x0000_s2467" style="position:absolute;left:7622;top:6258;width:73;height:73" filled="f" stroked="f"/>
                <v:line id="_x0000_s2468" style="position:absolute;flip:x y" from="7624,6259" to="7658,6294" strokeweight=".65pt"/>
                <v:line id="_x0000_s2469" style="position:absolute" from="7658,6294" to="7692,6328" strokeweight=".65pt"/>
                <v:line id="_x0000_s2470" style="position:absolute;flip:x" from="7624,6294" to="7658,6328" strokeweight=".65pt"/>
                <v:line id="_x0000_s2471" style="position:absolute;flip:y" from="7658,6259" to="7692,6294" strokeweight=".65pt"/>
                <v:rect id="_x0000_s2472" style="position:absolute;left:4821;top:5849;width:73;height:73" filled="f" stroked="f"/>
                <v:line id="_x0000_s2473" style="position:absolute;flip:x y" from="4823,5850" to="4857,5884" strokecolor="purple" strokeweight=".65pt"/>
                <v:line id="_x0000_s2474" style="position:absolute" from="4857,5884" to="4891,5919" strokecolor="purple" strokeweight=".65pt"/>
                <v:line id="_x0000_s2475" style="position:absolute;flip:x" from="4823,5884" to="4857,5919" strokecolor="purple" strokeweight=".65pt"/>
                <v:line id="_x0000_s2476" style="position:absolute;flip:y" from="4857,5850" to="4891,5884" strokecolor="purple" strokeweight=".65pt"/>
                <v:line id="_x0000_s2477" style="position:absolute;flip:y" from="4857,5850" to="4858,5884" strokecolor="purple" strokeweight=".65pt"/>
                <v:line id="_x0000_s2478" style="position:absolute" from="4857,5884" to="4858,5919" strokecolor="purple" strokeweight=".65pt"/>
                <v:rect id="_x0000_s2479" style="position:absolute;left:5076;top:5721;width:73;height:74" filled="f" stroked="f"/>
                <v:line id="_x0000_s2480" style="position:absolute;flip:x y" from="5078,5723" to="5112,5757" strokecolor="purple" strokeweight=".65pt"/>
                <v:line id="_x0000_s2481" style="position:absolute" from="5112,5757" to="5146,5791" strokecolor="purple" strokeweight=".65pt"/>
                <v:line id="_x0000_s2482" style="position:absolute;flip:x" from="5078,5757" to="5112,5791" strokecolor="purple" strokeweight=".65pt"/>
                <v:line id="_x0000_s2483" style="position:absolute;flip:y" from="5112,5723" to="5146,5757" strokecolor="purple" strokeweight=".65pt"/>
                <v:line id="_x0000_s2484" style="position:absolute;flip:y" from="5112,5723" to="5113,5757" strokecolor="purple" strokeweight=".65pt"/>
                <v:line id="_x0000_s2485" style="position:absolute" from="5112,5757" to="5113,5791" strokecolor="purple" strokeweight=".65pt"/>
                <v:rect id="_x0000_s2486" style="position:absolute;left:5331;top:5756;width:73;height:73" filled="f" stroked="f"/>
                <v:line id="_x0000_s2487" style="position:absolute;flip:x y" from="5333,5757" to="5367,5791" strokecolor="purple" strokeweight=".65pt"/>
                <v:line id="_x0000_s2488" style="position:absolute" from="5367,5791" to="5401,5826" strokecolor="purple" strokeweight=".65pt"/>
                <v:line id="_x0000_s2489" style="position:absolute;flip:x" from="5333,5791" to="5367,5826" strokecolor="purple" strokeweight=".65pt"/>
                <v:line id="_x0000_s2490" style="position:absolute;flip:y" from="5367,5757" to="5401,5791" strokecolor="purple" strokeweight=".65pt"/>
                <v:line id="_x0000_s2491" style="position:absolute;flip:y" from="5367,5757" to="5368,5791" strokecolor="purple" strokeweight=".65pt"/>
                <v:line id="_x0000_s2492" style="position:absolute" from="5367,5791" to="5368,5826" strokecolor="purple" strokeweight=".65pt"/>
                <v:rect id="_x0000_s2493" style="position:absolute;left:5585;top:6047;width:73;height:74" filled="f" stroked="f"/>
                <v:line id="_x0000_s2494" style="position:absolute;flip:x y" from="5586,6049" to="5620,6083" strokecolor="purple" strokeweight=".65pt"/>
                <v:line id="_x0000_s2495" style="position:absolute" from="5620,6083" to="5655,6118" strokecolor="purple" strokeweight=".65pt"/>
                <v:line id="_x0000_s2496" style="position:absolute;flip:x" from="5586,6083" to="5620,6118" strokecolor="purple" strokeweight=".65pt"/>
                <v:line id="_x0000_s2497" style="position:absolute;flip:y" from="5620,6049" to="5655,6083" strokecolor="purple" strokeweight=".65pt"/>
                <v:line id="_x0000_s2498" style="position:absolute;flip:y" from="5620,6049" to="5621,6083" strokecolor="purple" strokeweight=".65pt"/>
                <v:line id="_x0000_s2499" style="position:absolute" from="5620,6083" to="5621,6118" strokecolor="purple" strokeweight=".65pt"/>
                <v:rect id="_x0000_s2500" style="position:absolute;left:5840;top:6126;width:73;height:73" filled="f" stroked="f"/>
                <v:line id="_x0000_s2501" style="position:absolute;flip:x y" from="5841,6127" to="5876,6162" strokecolor="purple" strokeweight=".65pt"/>
                <v:line id="_x0000_s2502" style="position:absolute" from="5876,6162" to="5910,6196" strokecolor="purple" strokeweight=".65pt"/>
                <v:line id="_x0000_s2503" style="position:absolute;flip:x" from="5841,6162" to="5876,6196" strokecolor="purple" strokeweight=".65pt"/>
                <v:line id="_x0000_s2504" style="position:absolute;flip:y" from="5876,6127" to="5910,6162" strokecolor="purple" strokeweight=".65pt"/>
                <v:line id="_x0000_s2505" style="position:absolute;flip:y" from="5876,6127" to="5877,6162" strokecolor="purple" strokeweight=".65pt"/>
                <v:line id="_x0000_s2506" style="position:absolute" from="5876,6162" to="5877,6196" strokecolor="purple" strokeweight=".65pt"/>
                <v:rect id="_x0000_s2507" style="position:absolute;left:6095;top:6385;width:73;height:73" filled="f" stroked="f"/>
                <v:line id="_x0000_s2508" style="position:absolute;flip:x y" from="6097,6387" to="6131,6421" strokecolor="purple" strokeweight=".65pt"/>
                <v:line id="_x0000_s2509" style="position:absolute" from="6131,6421" to="6165,6455" strokecolor="purple" strokeweight=".65pt"/>
                <v:line id="_x0000_s2510" style="position:absolute;flip:x" from="6097,6421" to="6131,6455" strokecolor="purple" strokeweight=".65pt"/>
                <v:line id="_x0000_s2511" style="position:absolute;flip:y" from="6131,6387" to="6165,6421" strokecolor="purple" strokeweight=".65pt"/>
                <v:line id="_x0000_s2512" style="position:absolute;flip:y" from="6131,6387" to="6132,6421" strokecolor="purple" strokeweight=".65pt"/>
                <v:line id="_x0000_s2513" style="position:absolute" from="6131,6421" to="6132,6455" strokecolor="purple" strokeweight=".65pt"/>
                <v:rect id="_x0000_s2514" style="position:absolute;left:6348;top:6307;width:74;height:73" filled="f" stroked="f"/>
                <v:line id="_x0000_s2515" style="position:absolute;flip:x y" from="6350,6308" to="6384,6343" strokecolor="purple" strokeweight=".65pt"/>
                <v:line id="_x0000_s2516" style="position:absolute" from="6384,6343" to="6418,6377" strokecolor="purple" strokeweight=".65pt"/>
                <v:line id="_x0000_s2517" style="position:absolute;flip:x" from="6350,6343" to="6384,6377" strokecolor="purple" strokeweight=".65pt"/>
                <v:line id="_x0000_s2518" style="position:absolute;flip:y" from="6384,6308" to="6418,6343" strokecolor="purple" strokeweight=".65pt"/>
                <v:line id="_x0000_s2519" style="position:absolute;flip:y" from="6384,6308" to="6385,6343" strokecolor="purple" strokeweight=".65pt"/>
                <v:line id="_x0000_s2520" style="position:absolute" from="6384,6343" to="6385,6377" strokecolor="purple" strokeweight=".65pt"/>
                <v:rect id="_x0000_s2521" style="position:absolute;left:6604;top:6369;width:73;height:73" filled="f" stroked="f"/>
                <v:line id="_x0000_s2522" style="position:absolute;flip:x y" from="6605,6370" to="6639,6405" strokecolor="purple" strokeweight=".65pt"/>
              </v:group>
              <v:group id="_x0000_s2523" style="position:absolute;left:4472;top:4438;width:4538;height:5763" coordorigin="4472,4438" coordsize="4538,5763">
                <v:line id="_x0000_s2524" style="position:absolute" from="6639,6405" to="6673,6439" strokecolor="purple" strokeweight=".65pt"/>
                <v:line id="_x0000_s2525" style="position:absolute;flip:x" from="6605,6405" to="6639,6439" strokecolor="purple" strokeweight=".65pt"/>
                <v:line id="_x0000_s2526" style="position:absolute;flip:y" from="6639,6370" to="6673,6405" strokecolor="purple" strokeweight=".65pt"/>
                <v:line id="_x0000_s2527" style="position:absolute;flip:y" from="6639,6370" to="6640,6405" strokecolor="purple" strokeweight=".65pt"/>
                <v:line id="_x0000_s2528" style="position:absolute" from="6639,6405" to="6640,6439" strokecolor="purple" strokeweight=".65pt"/>
                <v:rect id="_x0000_s2529" style="position:absolute;left:6859;top:5689;width:73;height:73" filled="f" stroked="f"/>
                <v:line id="_x0000_s2530" style="position:absolute;flip:x y" from="6860,5690" to="6894,5725" strokecolor="purple" strokeweight=".65pt"/>
                <v:line id="_x0000_s2531" style="position:absolute" from="6894,5725" to="6929,5759" strokecolor="purple" strokeweight=".65pt"/>
                <v:line id="_x0000_s2532" style="position:absolute;flip:x" from="6860,5725" to="6894,5759" strokecolor="purple" strokeweight=".65pt"/>
                <v:line id="_x0000_s2533" style="position:absolute;flip:y" from="6894,5690" to="6929,5725" strokecolor="purple" strokeweight=".65pt"/>
                <v:line id="_x0000_s2534" style="position:absolute;flip:y" from="6894,5690" to="6895,5725" strokecolor="purple" strokeweight=".65pt"/>
                <v:line id="_x0000_s2535" style="position:absolute" from="6894,5725" to="6895,5759" strokecolor="purple" strokeweight=".65pt"/>
                <v:rect id="_x0000_s2536" style="position:absolute;left:7112;top:5959;width:73;height:74" filled="f" stroked="f"/>
                <v:line id="_x0000_s2537" style="position:absolute;flip:x y" from="7114,5961" to="7148,5995" strokecolor="purple" strokeweight=".65pt"/>
                <v:line id="_x0000_s2538" style="position:absolute" from="7148,5995" to="7182,6030" strokecolor="purple" strokeweight=".65pt"/>
                <v:line id="_x0000_s2539" style="position:absolute;flip:x" from="7114,5995" to="7148,6030" strokecolor="purple" strokeweight=".65pt"/>
                <v:line id="_x0000_s2540" style="position:absolute;flip:y" from="7148,5961" to="7182,5995" strokecolor="purple" strokeweight=".65pt"/>
                <v:line id="_x0000_s2541" style="position:absolute;flip:y" from="7148,5961" to="7149,5995" strokecolor="purple" strokeweight=".65pt"/>
                <v:line id="_x0000_s2542" style="position:absolute" from="7148,5995" to="7149,6030" strokecolor="purple" strokeweight=".65pt"/>
                <v:rect id="_x0000_s2543" style="position:absolute;left:7367;top:5959;width:73;height:74" filled="f" stroked="f"/>
                <v:line id="_x0000_s2544" style="position:absolute;flip:x y" from="7369,5961" to="7403,5995" strokecolor="purple" strokeweight=".65pt"/>
                <v:line id="_x0000_s2545" style="position:absolute" from="7403,5995" to="7437,6030" strokecolor="purple" strokeweight=".65pt"/>
                <v:line id="_x0000_s2546" style="position:absolute;flip:x" from="7369,5995" to="7403,6030" strokecolor="purple" strokeweight=".65pt"/>
                <v:line id="_x0000_s2547" style="position:absolute;flip:y" from="7403,5961" to="7437,5995" strokecolor="purple" strokeweight=".65pt"/>
                <v:line id="_x0000_s2548" style="position:absolute;flip:y" from="7403,5961" to="7404,5995" strokecolor="purple" strokeweight=".65pt"/>
                <v:line id="_x0000_s2549" style="position:absolute" from="7403,5995" to="7404,6030" strokecolor="purple" strokeweight=".65pt"/>
                <v:rect id="_x0000_s2550" style="position:absolute;left:7622;top:5982;width:73;height:74" filled="f" stroked="f"/>
                <v:line id="_x0000_s2551" style="position:absolute;flip:x y" from="7624,5984" to="7658,6018" strokecolor="purple" strokeweight=".65pt"/>
                <v:line id="_x0000_s2552" style="position:absolute" from="7658,6018" to="7692,6052" strokecolor="purple" strokeweight=".65pt"/>
                <v:line id="_x0000_s2553" style="position:absolute;flip:x" from="7624,6018" to="7658,6052" strokecolor="purple" strokeweight=".65pt"/>
                <v:line id="_x0000_s2554" style="position:absolute;flip:y" from="7658,5984" to="7692,6018" strokecolor="purple" strokeweight=".65pt"/>
                <v:line id="_x0000_s2555" style="position:absolute;flip:y" from="7658,5984" to="7659,6018" strokecolor="purple" strokeweight=".65pt"/>
                <v:line id="_x0000_s2556" style="position:absolute" from="7658,6018" to="7659,6052" strokecolor="purple" strokeweight=".65pt"/>
                <v:rect id="_x0000_s2557" style="position:absolute;left:6527;top:4438;width:247;height:276" filled="f" stroked="f">
                  <v:textbox style="mso-next-textbox:#_x0000_s2557" inset="0,0,0,0">
                    <w:txbxContent>
                      <w:p w:rsidR="003C1FA9" w:rsidRPr="00FB46A9" w:rsidRDefault="00AC30EE" w:rsidP="00CA32EF">
                        <w:r>
                          <w:rPr>
                            <w:b/>
                            <w:bCs/>
                            <w:color w:val="000000"/>
                            <w:sz w:val="12"/>
                            <w:szCs w:val="12"/>
                            <w:lang w:val="en-US"/>
                          </w:rPr>
                          <w:t>M</w:t>
                        </w:r>
                        <w:r w:rsidR="003C1FA9" w:rsidRPr="00FB46A9">
                          <w:rPr>
                            <w:b/>
                            <w:bCs/>
                            <w:color w:val="000000"/>
                            <w:sz w:val="12"/>
                            <w:szCs w:val="12"/>
                            <w:lang w:val="en-US"/>
                          </w:rPr>
                          <w:t>en</w:t>
                        </w:r>
                      </w:p>
                    </w:txbxContent>
                  </v:textbox>
                </v:rect>
                <v:rect id="_x0000_s2558" style="position:absolute;left:4569;top:6807;width:67;height:138" filled="f" stroked="f">
                  <v:textbox style="mso-next-textbox:#_x0000_s2558" inset="0,0,0,0">
                    <w:txbxContent>
                      <w:p w:rsidR="003C1FA9" w:rsidRDefault="003C1FA9" w:rsidP="00CA32EF">
                        <w:r>
                          <w:rPr>
                            <w:rFonts w:ascii="Arial" w:hAnsi="Arial" w:cs="Arial"/>
                            <w:color w:val="000000"/>
                            <w:sz w:val="12"/>
                            <w:szCs w:val="12"/>
                            <w:lang w:val="en-US"/>
                          </w:rPr>
                          <w:t>0</w:t>
                        </w:r>
                      </w:p>
                    </w:txbxContent>
                  </v:textbox>
                </v:rect>
                <v:rect id="_x0000_s2559" style="position:absolute;left:4569;top:6532;width:67;height:138" filled="f" stroked="f">
                  <v:textbox style="mso-next-textbox:#_x0000_s2559" inset="0,0,0,0">
                    <w:txbxContent>
                      <w:p w:rsidR="003C1FA9" w:rsidRDefault="003C1FA9" w:rsidP="00CA32EF">
                        <w:r>
                          <w:rPr>
                            <w:rFonts w:ascii="Arial" w:hAnsi="Arial" w:cs="Arial"/>
                            <w:color w:val="000000"/>
                            <w:sz w:val="12"/>
                            <w:szCs w:val="12"/>
                            <w:lang w:val="en-US"/>
                          </w:rPr>
                          <w:t>5</w:t>
                        </w:r>
                      </w:p>
                    </w:txbxContent>
                  </v:textbox>
                </v:rect>
                <v:rect id="_x0000_s2560" style="position:absolute;left:4501;top:6255;width:134;height:276" filled="f" stroked="f">
                  <v:textbox style="mso-next-textbox:#_x0000_s2560" inset="0,0,0,0">
                    <w:txbxContent>
                      <w:p w:rsidR="003C1FA9" w:rsidRDefault="003C1FA9" w:rsidP="00CA32EF">
                        <w:r>
                          <w:rPr>
                            <w:rFonts w:ascii="Arial" w:hAnsi="Arial" w:cs="Arial"/>
                            <w:color w:val="000000"/>
                            <w:sz w:val="12"/>
                            <w:szCs w:val="12"/>
                            <w:lang w:val="en-US"/>
                          </w:rPr>
                          <w:t>10</w:t>
                        </w:r>
                      </w:p>
                    </w:txbxContent>
                  </v:textbox>
                </v:rect>
                <v:rect id="_x0000_s2561" style="position:absolute;left:4501;top:5979;width:134;height:276" filled="f" stroked="f">
                  <v:textbox style="mso-next-textbox:#_x0000_s2561" inset="0,0,0,0">
                    <w:txbxContent>
                      <w:p w:rsidR="003C1FA9" w:rsidRDefault="003C1FA9" w:rsidP="00CA32EF">
                        <w:r>
                          <w:rPr>
                            <w:rFonts w:ascii="Arial" w:hAnsi="Arial" w:cs="Arial"/>
                            <w:color w:val="000000"/>
                            <w:sz w:val="12"/>
                            <w:szCs w:val="12"/>
                            <w:lang w:val="en-US"/>
                          </w:rPr>
                          <w:t>15</w:t>
                        </w:r>
                      </w:p>
                    </w:txbxContent>
                  </v:textbox>
                </v:rect>
                <v:rect id="_x0000_s2562" style="position:absolute;left:4501;top:5703;width:134;height:276" filled="f" stroked="f">
                  <v:textbox style="mso-next-textbox:#_x0000_s2562" inset="0,0,0,0">
                    <w:txbxContent>
                      <w:p w:rsidR="003C1FA9" w:rsidRDefault="003C1FA9" w:rsidP="00CA32EF">
                        <w:r>
                          <w:rPr>
                            <w:rFonts w:ascii="Arial" w:hAnsi="Arial" w:cs="Arial"/>
                            <w:color w:val="000000"/>
                            <w:sz w:val="12"/>
                            <w:szCs w:val="12"/>
                            <w:lang w:val="en-US"/>
                          </w:rPr>
                          <w:t>20</w:t>
                        </w:r>
                      </w:p>
                    </w:txbxContent>
                  </v:textbox>
                </v:rect>
                <v:rect id="_x0000_s2563" style="position:absolute;left:4501;top:5426;width:134;height:276" filled="f" stroked="f">
                  <v:textbox style="mso-next-textbox:#_x0000_s2563" inset="0,0,0,0">
                    <w:txbxContent>
                      <w:p w:rsidR="003C1FA9" w:rsidRDefault="003C1FA9" w:rsidP="00CA32EF">
                        <w:r>
                          <w:rPr>
                            <w:rFonts w:ascii="Arial" w:hAnsi="Arial" w:cs="Arial"/>
                            <w:color w:val="000000"/>
                            <w:sz w:val="12"/>
                            <w:szCs w:val="12"/>
                            <w:lang w:val="en-US"/>
                          </w:rPr>
                          <w:t>25</w:t>
                        </w:r>
                      </w:p>
                    </w:txbxContent>
                  </v:textbox>
                </v:rect>
                <v:rect id="_x0000_s2564" style="position:absolute;left:4501;top:5150;width:134;height:276" filled="f" stroked="f">
                  <v:textbox style="mso-next-textbox:#_x0000_s2564" inset="0,0,0,0">
                    <w:txbxContent>
                      <w:p w:rsidR="003C1FA9" w:rsidRDefault="003C1FA9" w:rsidP="00CA32EF">
                        <w:r>
                          <w:rPr>
                            <w:rFonts w:ascii="Arial" w:hAnsi="Arial" w:cs="Arial"/>
                            <w:color w:val="000000"/>
                            <w:sz w:val="12"/>
                            <w:szCs w:val="12"/>
                            <w:lang w:val="en-US"/>
                          </w:rPr>
                          <w:t>30</w:t>
                        </w:r>
                      </w:p>
                    </w:txbxContent>
                  </v:textbox>
                </v:rect>
                <v:rect id="_x0000_s2565" style="position:absolute;left:4501;top:4873;width:134;height:276" filled="f" stroked="f">
                  <v:textbox style="mso-next-textbox:#_x0000_s2565" inset="0,0,0,0">
                    <w:txbxContent>
                      <w:p w:rsidR="003C1FA9" w:rsidRDefault="003C1FA9" w:rsidP="00CA32EF">
                        <w:r>
                          <w:rPr>
                            <w:rFonts w:ascii="Arial" w:hAnsi="Arial" w:cs="Arial"/>
                            <w:color w:val="000000"/>
                            <w:sz w:val="12"/>
                            <w:szCs w:val="12"/>
                            <w:lang w:val="en-US"/>
                          </w:rPr>
                          <w:t>35</w:t>
                        </w:r>
                      </w:p>
                    </w:txbxContent>
                  </v:textbox>
                </v:rect>
                <v:rect id="_x0000_s2566" style="position:absolute;left:4501;top:4598;width:134;height:276" filled="f" stroked="f">
                  <v:textbox style="mso-next-textbox:#_x0000_s2566" inset="0,0,0,0">
                    <w:txbxContent>
                      <w:p w:rsidR="003C1FA9" w:rsidRDefault="003C1FA9" w:rsidP="00CA32EF">
                        <w:r>
                          <w:rPr>
                            <w:rFonts w:ascii="Arial" w:hAnsi="Arial" w:cs="Arial"/>
                            <w:color w:val="000000"/>
                            <w:sz w:val="12"/>
                            <w:szCs w:val="12"/>
                            <w:lang w:val="en-US"/>
                          </w:rPr>
                          <w:t>40</w:t>
                        </w:r>
                      </w:p>
                    </w:txbxContent>
                  </v:textbox>
                </v:rect>
                <v:rect id="_x0000_s2567" style="position:absolute;left:4582;top:7013;width:267;height:276;rotation:317" filled="f" stroked="f">
                  <v:textbox style="mso-next-textbox:#_x0000_s2567" inset="0,0,0,0">
                    <w:txbxContent>
                      <w:p w:rsidR="003C1FA9" w:rsidRPr="000823E1" w:rsidRDefault="003C1FA9" w:rsidP="00CA32EF">
                        <w:pPr>
                          <w:rPr>
                            <w:sz w:val="10"/>
                            <w:szCs w:val="10"/>
                          </w:rPr>
                        </w:pPr>
                        <w:r w:rsidRPr="000823E1">
                          <w:rPr>
                            <w:rFonts w:ascii="Arial" w:hAnsi="Arial" w:cs="Arial"/>
                            <w:color w:val="000000"/>
                            <w:sz w:val="10"/>
                            <w:szCs w:val="10"/>
                            <w:lang w:val="en-US"/>
                          </w:rPr>
                          <w:t>1995</w:t>
                        </w:r>
                      </w:p>
                    </w:txbxContent>
                  </v:textbox>
                </v:rect>
                <v:rect id="_x0000_s2568" style="position:absolute;left:4837;top:7013;width:267;height:276;rotation:317" filled="f" stroked="f">
                  <v:textbox style="mso-next-textbox:#_x0000_s2568" inset="0,0,0,0">
                    <w:txbxContent>
                      <w:p w:rsidR="003C1FA9" w:rsidRPr="000823E1" w:rsidRDefault="003C1FA9" w:rsidP="00CA32EF">
                        <w:pPr>
                          <w:rPr>
                            <w:sz w:val="10"/>
                            <w:szCs w:val="10"/>
                          </w:rPr>
                        </w:pPr>
                        <w:r w:rsidRPr="000823E1">
                          <w:rPr>
                            <w:rFonts w:ascii="Arial" w:hAnsi="Arial" w:cs="Arial"/>
                            <w:color w:val="000000"/>
                            <w:sz w:val="10"/>
                            <w:szCs w:val="10"/>
                            <w:lang w:val="en-US"/>
                          </w:rPr>
                          <w:t>1996</w:t>
                        </w:r>
                      </w:p>
                    </w:txbxContent>
                  </v:textbox>
                </v:rect>
                <v:rect id="_x0000_s2569" style="position:absolute;left:5092;top:7013;width:267;height:276;rotation:317" filled="f" stroked="f">
                  <v:textbox style="mso-next-textbox:#_x0000_s2569" inset="0,0,0,0">
                    <w:txbxContent>
                      <w:p w:rsidR="003C1FA9" w:rsidRPr="000823E1" w:rsidRDefault="003C1FA9" w:rsidP="00CA32EF">
                        <w:pPr>
                          <w:rPr>
                            <w:sz w:val="10"/>
                            <w:szCs w:val="10"/>
                          </w:rPr>
                        </w:pPr>
                        <w:r w:rsidRPr="000823E1">
                          <w:rPr>
                            <w:rFonts w:ascii="Arial" w:hAnsi="Arial" w:cs="Arial"/>
                            <w:color w:val="000000"/>
                            <w:sz w:val="10"/>
                            <w:szCs w:val="10"/>
                            <w:lang w:val="en-US"/>
                          </w:rPr>
                          <w:t>1997</w:t>
                        </w:r>
                      </w:p>
                    </w:txbxContent>
                  </v:textbox>
                </v:rect>
                <v:rect id="_x0000_s2570" style="position:absolute;left:5346;top:7013;width:267;height:276;rotation:317" filled="f" stroked="f">
                  <v:textbox style="mso-next-textbox:#_x0000_s2570" inset="0,0,0,0">
                    <w:txbxContent>
                      <w:p w:rsidR="003C1FA9" w:rsidRPr="000823E1" w:rsidRDefault="003C1FA9" w:rsidP="00CA32EF">
                        <w:pPr>
                          <w:rPr>
                            <w:sz w:val="10"/>
                            <w:szCs w:val="10"/>
                          </w:rPr>
                        </w:pPr>
                        <w:r w:rsidRPr="000823E1">
                          <w:rPr>
                            <w:rFonts w:ascii="Arial" w:hAnsi="Arial" w:cs="Arial"/>
                            <w:color w:val="000000"/>
                            <w:sz w:val="10"/>
                            <w:szCs w:val="10"/>
                            <w:lang w:val="en-US"/>
                          </w:rPr>
                          <w:t>1998</w:t>
                        </w:r>
                      </w:p>
                    </w:txbxContent>
                  </v:textbox>
                </v:rect>
                <v:rect id="_x0000_s2571" style="position:absolute;left:5601;top:7013;width:267;height:276;rotation:317" filled="f" stroked="f">
                  <v:textbox style="mso-next-textbox:#_x0000_s2571" inset="0,0,0,0">
                    <w:txbxContent>
                      <w:p w:rsidR="003C1FA9" w:rsidRPr="000823E1" w:rsidRDefault="003C1FA9" w:rsidP="00CA32EF">
                        <w:pPr>
                          <w:rPr>
                            <w:sz w:val="10"/>
                            <w:szCs w:val="10"/>
                          </w:rPr>
                        </w:pPr>
                        <w:r w:rsidRPr="000823E1">
                          <w:rPr>
                            <w:rFonts w:ascii="Arial" w:hAnsi="Arial" w:cs="Arial"/>
                            <w:color w:val="000000"/>
                            <w:sz w:val="10"/>
                            <w:szCs w:val="10"/>
                            <w:lang w:val="en-US"/>
                          </w:rPr>
                          <w:t>1999</w:t>
                        </w:r>
                      </w:p>
                    </w:txbxContent>
                  </v:textbox>
                </v:rect>
                <v:rect id="_x0000_s2572" style="position:absolute;left:5856;top:7013;width:267;height:276;rotation:317" filled="f" stroked="f">
                  <v:textbox style="mso-next-textbox:#_x0000_s2572" inset="0,0,0,0">
                    <w:txbxContent>
                      <w:p w:rsidR="003C1FA9" w:rsidRPr="000823E1" w:rsidRDefault="003C1FA9" w:rsidP="00CA32EF">
                        <w:pPr>
                          <w:rPr>
                            <w:sz w:val="10"/>
                            <w:szCs w:val="10"/>
                          </w:rPr>
                        </w:pPr>
                        <w:r w:rsidRPr="000823E1">
                          <w:rPr>
                            <w:rFonts w:ascii="Arial" w:hAnsi="Arial" w:cs="Arial"/>
                            <w:color w:val="000000"/>
                            <w:sz w:val="10"/>
                            <w:szCs w:val="10"/>
                            <w:lang w:val="en-US"/>
                          </w:rPr>
                          <w:t>2000</w:t>
                        </w:r>
                      </w:p>
                    </w:txbxContent>
                  </v:textbox>
                </v:rect>
                <v:rect id="_x0000_s2573" style="position:absolute;left:6109;top:7013;width:267;height:276;rotation:317" filled="f" stroked="f">
                  <v:textbox style="mso-next-textbox:#_x0000_s2573" inset="0,0,0,0">
                    <w:txbxContent>
                      <w:p w:rsidR="003C1FA9" w:rsidRPr="000823E1" w:rsidRDefault="003C1FA9" w:rsidP="00CA32EF">
                        <w:pPr>
                          <w:rPr>
                            <w:sz w:val="10"/>
                            <w:szCs w:val="10"/>
                          </w:rPr>
                        </w:pPr>
                        <w:r w:rsidRPr="000823E1">
                          <w:rPr>
                            <w:rFonts w:ascii="Arial" w:hAnsi="Arial" w:cs="Arial"/>
                            <w:color w:val="000000"/>
                            <w:sz w:val="10"/>
                            <w:szCs w:val="10"/>
                            <w:lang w:val="en-US"/>
                          </w:rPr>
                          <w:t>2001</w:t>
                        </w:r>
                      </w:p>
                    </w:txbxContent>
                  </v:textbox>
                </v:rect>
                <v:rect id="_x0000_s2574" style="position:absolute;left:6364;top:7013;width:267;height:276;rotation:317" filled="f" stroked="f">
                  <v:textbox style="mso-next-textbox:#_x0000_s2574" inset="0,0,0,0">
                    <w:txbxContent>
                      <w:p w:rsidR="003C1FA9" w:rsidRPr="000823E1" w:rsidRDefault="003C1FA9" w:rsidP="00CA32EF">
                        <w:pPr>
                          <w:rPr>
                            <w:sz w:val="10"/>
                            <w:szCs w:val="10"/>
                          </w:rPr>
                        </w:pPr>
                        <w:r w:rsidRPr="000823E1">
                          <w:rPr>
                            <w:rFonts w:ascii="Arial" w:hAnsi="Arial" w:cs="Arial"/>
                            <w:color w:val="000000"/>
                            <w:sz w:val="10"/>
                            <w:szCs w:val="10"/>
                            <w:lang w:val="en-US"/>
                          </w:rPr>
                          <w:t>2002</w:t>
                        </w:r>
                      </w:p>
                    </w:txbxContent>
                  </v:textbox>
                </v:rect>
                <v:rect id="_x0000_s2575" style="position:absolute;left:6619;top:7013;width:267;height:276;rotation:317" filled="f" stroked="f">
                  <v:textbox style="mso-next-textbox:#_x0000_s2575" inset="0,0,0,0">
                    <w:txbxContent>
                      <w:p w:rsidR="003C1FA9" w:rsidRPr="000823E1" w:rsidRDefault="003C1FA9" w:rsidP="00CA32EF">
                        <w:pPr>
                          <w:rPr>
                            <w:sz w:val="10"/>
                            <w:szCs w:val="10"/>
                          </w:rPr>
                        </w:pPr>
                        <w:r w:rsidRPr="000823E1">
                          <w:rPr>
                            <w:rFonts w:ascii="Arial" w:hAnsi="Arial" w:cs="Arial"/>
                            <w:color w:val="000000"/>
                            <w:sz w:val="10"/>
                            <w:szCs w:val="10"/>
                            <w:lang w:val="en-US"/>
                          </w:rPr>
                          <w:t>2003</w:t>
                        </w:r>
                      </w:p>
                    </w:txbxContent>
                  </v:textbox>
                </v:rect>
                <v:rect id="_x0000_s2576" style="position:absolute;left:6873;top:7013;width:267;height:276;rotation:317" filled="f" stroked="f">
                  <v:textbox style="mso-next-textbox:#_x0000_s2576" inset="0,0,0,0">
                    <w:txbxContent>
                      <w:p w:rsidR="003C1FA9" w:rsidRPr="000823E1" w:rsidRDefault="003C1FA9" w:rsidP="00CA32EF">
                        <w:pPr>
                          <w:rPr>
                            <w:sz w:val="10"/>
                            <w:szCs w:val="10"/>
                          </w:rPr>
                        </w:pPr>
                        <w:r w:rsidRPr="000823E1">
                          <w:rPr>
                            <w:rFonts w:ascii="Arial" w:hAnsi="Arial" w:cs="Arial"/>
                            <w:color w:val="000000"/>
                            <w:sz w:val="10"/>
                            <w:szCs w:val="10"/>
                            <w:lang w:val="en-US"/>
                          </w:rPr>
                          <w:t>2004</w:t>
                        </w:r>
                      </w:p>
                    </w:txbxContent>
                  </v:textbox>
                </v:rect>
                <v:rect id="_x0000_s2577" style="position:absolute;left:7128;top:7013;width:267;height:276;rotation:317" filled="f" stroked="f">
                  <v:textbox style="mso-next-textbox:#_x0000_s2577" inset="0,0,0,0">
                    <w:txbxContent>
                      <w:p w:rsidR="003C1FA9" w:rsidRPr="000823E1" w:rsidRDefault="003C1FA9" w:rsidP="00CA32EF">
                        <w:pPr>
                          <w:rPr>
                            <w:sz w:val="10"/>
                            <w:szCs w:val="10"/>
                          </w:rPr>
                        </w:pPr>
                        <w:r w:rsidRPr="000823E1">
                          <w:rPr>
                            <w:rFonts w:ascii="Arial" w:hAnsi="Arial" w:cs="Arial"/>
                            <w:color w:val="000000"/>
                            <w:sz w:val="10"/>
                            <w:szCs w:val="10"/>
                            <w:lang w:val="en-US"/>
                          </w:rPr>
                          <w:t>2005</w:t>
                        </w:r>
                      </w:p>
                    </w:txbxContent>
                  </v:textbox>
                </v:rect>
                <v:rect id="_x0000_s2578" style="position:absolute;left:7383;top:7013;width:267;height:276;rotation:317" filled="f" stroked="f">
                  <v:textbox style="mso-next-textbox:#_x0000_s2578" inset="0,0,0,0">
                    <w:txbxContent>
                      <w:p w:rsidR="003C1FA9" w:rsidRPr="000823E1" w:rsidRDefault="003C1FA9" w:rsidP="00CA32EF">
                        <w:pPr>
                          <w:rPr>
                            <w:sz w:val="10"/>
                            <w:szCs w:val="10"/>
                          </w:rPr>
                        </w:pPr>
                        <w:r w:rsidRPr="000823E1">
                          <w:rPr>
                            <w:rFonts w:ascii="Arial" w:hAnsi="Arial" w:cs="Arial"/>
                            <w:color w:val="000000"/>
                            <w:sz w:val="10"/>
                            <w:szCs w:val="10"/>
                            <w:lang w:val="en-US"/>
                          </w:rPr>
                          <w:t>2006</w:t>
                        </w:r>
                      </w:p>
                    </w:txbxContent>
                  </v:textbox>
                </v:rect>
                <v:rect id="_x0000_s2579" style="position:absolute;left:7874;top:5977;width:1123;height:910" strokeweight="0"/>
                <v:line id="_x0000_s2580" style="position:absolute" from="7915,6064" to="8185,6065" strokecolor="navy" strokeweight=".65pt"/>
                <v:shape id="_x0000_s2581" style="position:absolute;left:8017;top:6031;width:65;height:65" coordsize="65,65" path="m33,l65,33,33,65,,33,33,xe" fillcolor="navy" strokecolor="navy" strokeweight=".65pt">
                  <v:path arrowok="t"/>
                </v:shape>
                <v:rect id="_x0000_s2582" style="position:absolute;left:8211;top:6005;width:681;height:276" filled="f" stroked="f">
                  <v:textbox style="mso-next-textbox:#_x0000_s2582" inset="0,0,0,0">
                    <w:txbxContent>
                      <w:p w:rsidR="003C1FA9" w:rsidRDefault="003C1FA9" w:rsidP="00CA32EF">
                        <w:r>
                          <w:rPr>
                            <w:rFonts w:ascii="Arial" w:hAnsi="Arial" w:cs="Arial"/>
                            <w:color w:val="000000"/>
                            <w:sz w:val="12"/>
                            <w:szCs w:val="12"/>
                            <w:lang w:val="en-US"/>
                          </w:rPr>
                          <w:t>Ethnic Dutch</w:t>
                        </w:r>
                      </w:p>
                    </w:txbxContent>
                  </v:textbox>
                </v:rect>
                <v:line id="_x0000_s2583" style="position:absolute" from="7915,6366" to="8185,6367" strokeweight=".65pt"/>
                <v:rect id="_x0000_s2584" style="position:absolute;left:8016;top:6331;width:69;height:70" filled="f" stroked="f"/>
                <v:line id="_x0000_s2585" style="position:absolute;flip:x y" from="8017,6333" to="8050,6366" strokeweight=".65pt"/>
                <v:line id="_x0000_s2586" style="position:absolute" from="8050,6366" to="8082,6398" strokeweight=".65pt"/>
                <v:line id="_x0000_s2587" style="position:absolute;flip:x" from="8017,6366" to="8050,6398" strokeweight=".65pt"/>
                <v:line id="_x0000_s2588" style="position:absolute;flip:y" from="8050,6333" to="8082,6366" strokeweight=".65pt"/>
                <v:rect id="_x0000_s2589" style="position:absolute;left:8211;top:6307;width:641;height:276" filled="f" stroked="f">
                  <v:textbox style="mso-next-textbox:#_x0000_s2589" inset="0,0,0,0">
                    <w:txbxContent>
                      <w:p w:rsidR="003C1FA9" w:rsidRDefault="003C1FA9" w:rsidP="00CA32EF">
                        <w:r>
                          <w:rPr>
                            <w:rFonts w:ascii="Arial" w:hAnsi="Arial" w:cs="Arial"/>
                            <w:color w:val="000000"/>
                            <w:sz w:val="12"/>
                            <w:szCs w:val="12"/>
                            <w:lang w:val="en-US"/>
                          </w:rPr>
                          <w:t>Surinamese</w:t>
                        </w:r>
                      </w:p>
                    </w:txbxContent>
                  </v:textbox>
                </v:rect>
                <v:line id="_x0000_s2590" style="position:absolute" from="7915,6669" to="8185,6670" strokecolor="purple" strokeweight=".65pt"/>
                <v:rect id="_x0000_s2591" style="position:absolute;left:8016;top:6635;width:69;height:70" filled="f" stroked="f"/>
                <v:line id="_x0000_s2592" style="position:absolute;flip:x y" from="8017,6636" to="8050,6669" strokecolor="purple" strokeweight=".65pt"/>
                <v:line id="_x0000_s2593" style="position:absolute" from="8050,6669" to="8082,6701" strokecolor="purple" strokeweight=".65pt"/>
                <v:line id="_x0000_s2594" style="position:absolute;flip:x" from="8017,6669" to="8050,6701" strokecolor="purple" strokeweight=".65pt"/>
                <v:line id="_x0000_s2595" style="position:absolute;flip:y" from="8050,6636" to="8082,6669" strokecolor="purple" strokeweight=".65pt"/>
                <v:line id="_x0000_s2596" style="position:absolute;flip:y" from="8050,6636" to="8051,6669" strokecolor="purple" strokeweight=".65pt"/>
                <v:line id="_x0000_s2597" style="position:absolute" from="8050,6669" to="8051,6701" strokecolor="purple" strokeweight=".65pt"/>
                <v:rect id="_x0000_s2598" style="position:absolute;left:8211;top:6610;width:494;height:414" filled="f" stroked="f">
                  <v:textbox style="mso-next-textbox:#_x0000_s2598" inset="0,0,0,0">
                    <w:txbxContent>
                      <w:p w:rsidR="003C1FA9" w:rsidRDefault="003C1FA9" w:rsidP="00CA32EF">
                        <w:pPr>
                          <w:rPr>
                            <w:rFonts w:ascii="Arial" w:hAnsi="Arial" w:cs="Arial"/>
                            <w:color w:val="000000"/>
                            <w:sz w:val="12"/>
                            <w:szCs w:val="12"/>
                            <w:lang w:val="en-US"/>
                          </w:rPr>
                        </w:pPr>
                        <w:r>
                          <w:rPr>
                            <w:rFonts w:ascii="Arial" w:hAnsi="Arial" w:cs="Arial"/>
                            <w:color w:val="000000"/>
                            <w:sz w:val="12"/>
                            <w:szCs w:val="12"/>
                            <w:lang w:val="en-US"/>
                          </w:rPr>
                          <w:t>Antillean/</w:t>
                        </w:r>
                        <w:r w:rsidR="000823E1">
                          <w:rPr>
                            <w:rFonts w:ascii="Arial" w:hAnsi="Arial" w:cs="Arial"/>
                            <w:color w:val="000000"/>
                            <w:sz w:val="12"/>
                            <w:szCs w:val="12"/>
                            <w:lang w:val="en-US"/>
                          </w:rPr>
                          <w:t>Aruba</w:t>
                        </w:r>
                        <w:r w:rsidR="00011808">
                          <w:rPr>
                            <w:rFonts w:ascii="Arial" w:hAnsi="Arial" w:cs="Arial"/>
                            <w:color w:val="000000"/>
                            <w:sz w:val="12"/>
                            <w:szCs w:val="12"/>
                            <w:lang w:val="en-US"/>
                          </w:rPr>
                          <w:t>n</w:t>
                        </w:r>
                      </w:p>
                      <w:p w:rsidR="003C1FA9" w:rsidRDefault="003C1FA9" w:rsidP="00CA32EF">
                        <w:r>
                          <w:rPr>
                            <w:rFonts w:ascii="Arial" w:hAnsi="Arial" w:cs="Arial"/>
                            <w:color w:val="000000"/>
                            <w:sz w:val="12"/>
                            <w:szCs w:val="12"/>
                            <w:lang w:val="en-US"/>
                          </w:rPr>
                          <w:t>Aruban</w:t>
                        </w:r>
                      </w:p>
                    </w:txbxContent>
                  </v:textbox>
                </v:rect>
                <v:rect id="_x0000_s2599" style="position:absolute;left:8211;top:6737;width:109;height:276" filled="f" stroked="f">
                  <v:textbox style="mso-next-textbox:#_x0000_s2599" inset="0,0,0,0">
                    <w:txbxContent>
                      <w:p w:rsidR="003C1FA9" w:rsidRPr="000823E1" w:rsidRDefault="003C1FA9" w:rsidP="000823E1"/>
                    </w:txbxContent>
                  </v:textbox>
                </v:rect>
                <v:rect id="_x0000_s2600" style="position:absolute;left:4472;top:7355;width:4538;height:2846" stroked="f"/>
                <v:rect id="_x0000_s2601" style="position:absolute;left:4719;top:7595;width:3219;height:2225" stroked="f"/>
                <v:line id="_x0000_s2602" style="position:absolute" from="4719,9543" to="7938,9544" strokeweight="0">
                  <v:stroke dashstyle="1 1"/>
                </v:line>
                <v:line id="_x0000_s2603" style="position:absolute" from="4719,9264" to="7938,9265" strokeweight="0">
                  <v:stroke dashstyle="1 1"/>
                </v:line>
                <v:line id="_x0000_s2604" style="position:absolute" from="4719,8986" to="7938,8987" strokeweight="0">
                  <v:stroke dashstyle="1 1"/>
                </v:line>
                <v:line id="_x0000_s2605" style="position:absolute" from="4719,8707" to="7938,8708" strokeweight="0">
                  <v:stroke dashstyle="1 1"/>
                </v:line>
                <v:line id="_x0000_s2606" style="position:absolute" from="4719,8430" to="7938,8431" strokeweight="0">
                  <v:stroke dashstyle="1 1"/>
                </v:line>
                <v:line id="_x0000_s2607" style="position:absolute" from="4719,8151" to="7938,8152" strokeweight="0">
                  <v:stroke dashstyle="1 1"/>
                </v:line>
                <v:line id="_x0000_s2608" style="position:absolute" from="4719,7874" to="7938,7875" strokeweight="0">
                  <v:stroke dashstyle="1 1"/>
                </v:line>
                <v:line id="_x0000_s2609" style="position:absolute" from="4719,7595" to="7938,7596" strokeweight="0">
                  <v:stroke dashstyle="1 1"/>
                </v:line>
                <v:rect id="_x0000_s2610" style="position:absolute;left:4719;top:7595;width:3219;height:2225" filled="f" strokecolor="gray" strokeweight=".65pt"/>
                <v:line id="_x0000_s2611" style="position:absolute" from="4719,7595" to="4720,9820" strokeweight="0"/>
                <v:line id="_x0000_s2612" style="position:absolute" from="4681,9820" to="4719,9821" strokeweight="0"/>
                <v:line id="_x0000_s2613" style="position:absolute" from="4681,9543" to="4719,9544" strokeweight="0"/>
                <v:line id="_x0000_s2614" style="position:absolute" from="4681,9264" to="4719,9265" strokeweight="0"/>
                <v:line id="_x0000_s2615" style="position:absolute" from="4681,8986" to="4719,8987" strokeweight="0"/>
                <v:line id="_x0000_s2616" style="position:absolute" from="4681,8707" to="4719,8708" strokeweight="0"/>
                <v:line id="_x0000_s2617" style="position:absolute" from="4681,8430" to="4719,8431" strokeweight="0"/>
                <v:line id="_x0000_s2618" style="position:absolute" from="4681,8151" to="4719,8152" strokeweight="0"/>
                <v:line id="_x0000_s2619" style="position:absolute" from="4681,7874" to="4719,7875" strokeweight="0"/>
                <v:line id="_x0000_s2620" style="position:absolute" from="4681,7595" to="4719,7596" strokeweight="0"/>
                <v:line id="_x0000_s2621" style="position:absolute" from="4719,9820" to="7938,9821" strokeweight="0"/>
                <v:line id="_x0000_s2622" style="position:absolute;flip:y" from="4719,9820" to="4720,9852" strokeweight="0"/>
                <v:line id="_x0000_s2623" style="position:absolute;flip:y" from="4987,9820" to="4988,9852" strokeweight="0"/>
                <v:line id="_x0000_s2624" style="position:absolute;flip:y" from="5255,9820" to="5256,9852" strokeweight="0"/>
                <v:line id="_x0000_s2625" style="position:absolute;flip:y" from="5523,9820" to="5524,9852" strokeweight="0"/>
                <v:line id="_x0000_s2626" style="position:absolute;flip:y" from="5791,9820" to="5792,9852" strokeweight="0"/>
                <v:line id="_x0000_s2627" style="position:absolute;flip:y" from="6059,9820" to="6060,9852" strokeweight="0"/>
                <v:line id="_x0000_s2628" style="position:absolute;flip:y" from="6329,9820" to="6330,9852" strokeweight="0"/>
                <v:line id="_x0000_s2629" style="position:absolute;flip:y" from="6597,9820" to="6598,9852" strokeweight="0"/>
                <v:line id="_x0000_s2630" style="position:absolute;flip:y" from="6865,9820" to="6866,9852" strokeweight="0"/>
                <v:line id="_x0000_s2631" style="position:absolute;flip:y" from="7133,9820" to="7134,9852" strokeweight="0"/>
                <v:line id="_x0000_s2632" style="position:absolute;flip:y" from="7401,9820" to="7402,9852" strokeweight="0"/>
                <v:line id="_x0000_s2633" style="position:absolute;flip:y" from="7669,9820" to="7670,9852" strokeweight="0"/>
                <v:line id="_x0000_s2634" style="position:absolute;flip:y" from="7938,9820" to="7939,9852" strokeweight="0"/>
                <v:shape id="_x0000_s2635" style="position:absolute;left:4854;top:9264;width:2949;height:316" coordsize="1815,194" path="m,l165,14,330,61r165,58l660,157r165,27l990,194r165,-3l1320,157r165,-34l1650,119r165,31e" filled="f" strokecolor="navy" strokeweight=".65pt">
                  <v:path arrowok="t"/>
                </v:shape>
                <v:shape id="_x0000_s2636" style="position:absolute;left:4854;top:8874;width:2949;height:669" coordsize="1815,410" path="m,l165,24,330,96r165,88l660,215,825,195,990,410,1155,270r165,-58l1485,144r165,-14l1815,113e" filled="f" strokeweight=".65pt">
                  <v:path arrowok="t"/>
                </v:shape>
                <v:shape id="_x0000_s2637" style="position:absolute;left:4854;top:8207;width:2949;height:1195" coordsize="1815,733" path="m,l165,252,330,205,495,368,660,498,825,672r165,61l1155,597r165,20l1485,471,1650,321r165,54e" filled="f" strokecolor="purple" strokeweight=".65pt">
                  <v:path arrowok="t"/>
                </v:shape>
                <v:shape id="_x0000_s2638" style="position:absolute;left:4819;top:9229;width:69;height:69" coordsize="69,69" path="m35,l69,35,35,69,,35,35,xe" fillcolor="navy" strokecolor="navy" strokeweight=".65pt">
                  <v:path arrowok="t"/>
                </v:shape>
                <v:shape id="_x0000_s2639" style="position:absolute;left:5088;top:9252;width:68;height:69" coordsize="68,69" path="m34,l68,34,34,69,,34,34,xe" fillcolor="navy" strokecolor="navy" strokeweight=".65pt">
                  <v:path arrowok="t"/>
                </v:shape>
                <v:shape id="_x0000_s2640" style="position:absolute;left:5356;top:9329;width:68;height:68" coordsize="68,68" path="m34,l68,34,34,68,,34,34,xe" fillcolor="navy" strokecolor="navy" strokeweight=".65pt">
                  <v:path arrowok="t"/>
                </v:shape>
                <v:shape id="_x0000_s2641" style="position:absolute;left:5624;top:9423;width:68;height:69" coordsize="68,69" path="m34,l68,35,34,69,,35,34,xe" fillcolor="navy" strokecolor="navy" strokeweight=".65pt">
                  <v:path arrowok="t"/>
                </v:shape>
                <v:shape id="_x0000_s2642" style="position:absolute;left:5892;top:9485;width:68;height:69" coordsize="68,69" path="m34,l68,35,34,69,,35,34,xe" fillcolor="navy" strokecolor="navy" strokeweight=".65pt">
                  <v:path arrowok="t"/>
                </v:shape>
                <v:shape id="_x0000_s2643" style="position:absolute;left:6160;top:9529;width:68;height:69" coordsize="68,69" path="m34,l68,35,34,69,,35,34,xe" fillcolor="navy" strokecolor="navy" strokeweight=".65pt">
                  <v:path arrowok="t"/>
                </v:shape>
                <v:shape id="_x0000_s2644" style="position:absolute;left:6428;top:9546;width:68;height:68" coordsize="68,68" path="m34,l68,34,34,68,,34,34,xe" fillcolor="navy" strokecolor="navy" strokeweight=".65pt">
                  <v:path arrowok="t"/>
                </v:shape>
                <v:shape id="_x0000_s2645" style="position:absolute;left:6696;top:9541;width:68;height:68" coordsize="68,68" path="m34,l68,34,34,68,,34,34,xe" fillcolor="navy" strokecolor="navy" strokeweight=".65pt">
                  <v:path arrowok="t"/>
                </v:shape>
                <v:shape id="_x0000_s2646" style="position:absolute;left:6964;top:9485;width:69;height:69" coordsize="69,69" path="m34,l69,35,34,69,,35,34,xe" fillcolor="navy" strokecolor="navy" strokeweight=".65pt">
                  <v:path arrowok="t"/>
                </v:shape>
                <v:shape id="_x0000_s2647" style="position:absolute;left:7232;top:9430;width:69;height:68" coordsize="69,68" path="m34,l69,34,34,68,,34,34,xe" fillcolor="navy" strokecolor="navy" strokeweight=".65pt">
                  <v:path arrowok="t"/>
                </v:shape>
                <v:shape id="_x0000_s2648" style="position:absolute;left:7500;top:9423;width:69;height:69" coordsize="69,69" path="m35,l69,35,35,69,,35,35,xe" fillcolor="navy" strokecolor="navy" strokeweight=".65pt">
                  <v:path arrowok="t"/>
                </v:shape>
                <v:shape id="_x0000_s2649" style="position:absolute;left:7769;top:9474;width:68;height:69" coordsize="68,69" path="m34,l68,34,34,69,,34,34,xe" fillcolor="navy" strokecolor="navy" strokeweight=".65pt">
                  <v:path arrowok="t"/>
                </v:shape>
                <v:rect id="_x0000_s2650" style="position:absolute;left:4818;top:8838;width:73;height:73" filled="f" stroked="f"/>
                <v:line id="_x0000_s2651" style="position:absolute;flip:x y" from="4819,8840" to="4854,8874" strokeweight=".65pt"/>
                <v:line id="_x0000_s2652" style="position:absolute" from="4854,8874" to="4888,8908" strokeweight=".65pt"/>
                <v:line id="_x0000_s2653" style="position:absolute;flip:x" from="4819,8874" to="4854,8908" strokeweight=".65pt"/>
                <v:line id="_x0000_s2654" style="position:absolute;flip:y" from="4854,8840" to="4888,8874" strokeweight=".65pt"/>
                <v:rect id="_x0000_s2655" style="position:absolute;left:5086;top:8877;width:73;height:73" filled="f" stroked="f"/>
                <v:line id="_x0000_s2656" style="position:absolute;flip:x y" from="5088,8879" to="5122,8913" strokeweight=".65pt"/>
                <v:line id="_x0000_s2657" style="position:absolute" from="5122,8913" to="5156,8947" strokeweight=".65pt"/>
                <v:line id="_x0000_s2658" style="position:absolute;flip:x" from="5088,8913" to="5122,8947" strokeweight=".65pt"/>
                <v:line id="_x0000_s2659" style="position:absolute;flip:y" from="5122,8879" to="5156,8913" strokeweight=".65pt"/>
                <v:rect id="_x0000_s2660" style="position:absolute;left:5354;top:8995;width:73;height:73" filled="f" stroked="f"/>
                <v:line id="_x0000_s2661" style="position:absolute;flip:x y" from="5356,8996" to="5390,9030" strokeweight=".65pt"/>
                <v:line id="_x0000_s2662" style="position:absolute" from="5390,9030" to="5424,9065" strokeweight=".65pt"/>
                <v:line id="_x0000_s2663" style="position:absolute;flip:x" from="5356,9030" to="5390,9065" strokeweight=".65pt"/>
                <v:line id="_x0000_s2664" style="position:absolute;flip:y" from="5390,8996" to="5424,9030" strokeweight=".65pt"/>
                <v:rect id="_x0000_s2665" style="position:absolute;left:5622;top:9138;width:73;height:73" filled="f" stroked="f"/>
                <v:line id="_x0000_s2666" style="position:absolute;flip:x y" from="5624,9140" to="5658,9174" strokeweight=".65pt"/>
                <v:line id="_x0000_s2667" style="position:absolute" from="5658,9174" to="5692,9208" strokeweight=".65pt"/>
                <v:line id="_x0000_s2668" style="position:absolute;flip:x" from="5624,9174" to="5658,9208" strokeweight=".65pt"/>
                <v:line id="_x0000_s2669" style="position:absolute;flip:y" from="5658,9140" to="5692,9174" strokeweight=".65pt"/>
                <v:rect id="_x0000_s2670" style="position:absolute;left:5890;top:9189;width:73;height:73" filled="f" stroked="f"/>
                <v:line id="_x0000_s2671" style="position:absolute;flip:x y" from="5892,9190" to="5926,9224" strokeweight=".65pt"/>
                <v:line id="_x0000_s2672" style="position:absolute" from="5926,9224" to="5960,9259" strokeweight=".65pt"/>
                <v:line id="_x0000_s2673" style="position:absolute;flip:x" from="5892,9224" to="5926,9259" strokeweight=".65pt"/>
                <v:line id="_x0000_s2674" style="position:absolute;flip:y" from="5926,9190" to="5960,9224" strokeweight=".65pt"/>
                <v:rect id="_x0000_s2675" style="position:absolute;left:6158;top:9156;width:73;height:73" filled="f" stroked="f"/>
                <v:line id="_x0000_s2676" style="position:absolute;flip:x y" from="6160,9158" to="6194,9192" strokeweight=".65pt"/>
                <v:line id="_x0000_s2677" style="position:absolute" from="6194,9192" to="6228,9226" strokeweight=".65pt"/>
                <v:line id="_x0000_s2678" style="position:absolute;flip:x" from="6160,9192" to="6194,9226" strokeweight=".65pt"/>
                <v:line id="_x0000_s2679" style="position:absolute;flip:y" from="6194,9158" to="6228,9192" strokeweight=".65pt"/>
                <v:rect id="_x0000_s2680" style="position:absolute;left:6426;top:9507;width:74;height:73" filled="f" stroked="f"/>
                <v:line id="_x0000_s2681" style="position:absolute;flip:x y" from="6428,9508" to="6462,9543" strokeweight=".65pt"/>
                <v:line id="_x0000_s2682" style="position:absolute" from="6462,9543" to="6496,9577" strokeweight=".65pt"/>
                <v:line id="_x0000_s2683" style="position:absolute;flip:x" from="6428,9543" to="6462,9577" strokeweight=".65pt"/>
                <v:line id="_x0000_s2684" style="position:absolute;flip:y" from="6462,9508" to="6496,9543" strokeweight=".65pt"/>
                <v:rect id="_x0000_s2685" style="position:absolute;left:6695;top:9278;width:73;height:74" filled="f" stroked="f"/>
                <v:line id="_x0000_s2686" style="position:absolute;flip:x y" from="6696,9280" to="6730,9314" strokeweight=".65pt"/>
                <v:line id="_x0000_s2687" style="position:absolute" from="6730,9314" to="6764,9348" strokeweight=".65pt"/>
                <v:line id="_x0000_s2688" style="position:absolute;flip:x" from="6696,9314" to="6730,9348" strokeweight=".65pt"/>
                <v:line id="_x0000_s2689" style="position:absolute;flip:y" from="6730,9280" to="6764,9314" strokeweight=".65pt"/>
                <v:rect id="_x0000_s2690" style="position:absolute;left:6963;top:9184;width:73;height:73" filled="f" stroked="f"/>
                <v:line id="_x0000_s2691" style="position:absolute;flip:x y" from="6964,9185" to="6998,9220" strokeweight=".65pt"/>
                <v:line id="_x0000_s2692" style="position:absolute" from="6998,9220" to="7033,9254" strokeweight=".65pt"/>
                <v:line id="_x0000_s2693" style="position:absolute;flip:x" from="6964,9220" to="6998,9254" strokeweight=".65pt"/>
                <v:line id="_x0000_s2694" style="position:absolute;flip:y" from="6998,9185" to="7033,9220" strokeweight=".65pt"/>
                <v:rect id="_x0000_s2695" style="position:absolute;left:7231;top:9073;width:73;height:73" filled="f" stroked="f"/>
                <v:line id="_x0000_s2696" style="position:absolute;flip:x y" from="7232,9074" to="7266,9109" strokeweight=".65pt"/>
                <v:line id="_x0000_s2697" style="position:absolute" from="7266,9109" to="7301,9143" strokeweight=".65pt"/>
                <v:line id="_x0000_s2698" style="position:absolute;flip:x" from="7232,9109" to="7266,9143" strokeweight=".65pt"/>
                <v:line id="_x0000_s2699" style="position:absolute;flip:y" from="7266,9074" to="7301,9109" strokeweight=".65pt"/>
                <v:rect id="_x0000_s2700" style="position:absolute;left:7499;top:9050;width:73;height:73" filled="f" stroked="f"/>
                <v:line id="_x0000_s2701" style="position:absolute;flip:x y" from="7500,9052" to="7535,9086" strokeweight=".65pt"/>
                <v:line id="_x0000_s2702" style="position:absolute" from="7535,9086" to="7569,9120" strokeweight=".65pt"/>
                <v:line id="_x0000_s2703" style="position:absolute;flip:x" from="7500,9086" to="7535,9120" strokeweight=".65pt"/>
                <v:line id="_x0000_s2704" style="position:absolute;flip:y" from="7535,9052" to="7569,9086" strokeweight=".65pt"/>
                <v:rect id="_x0000_s2705" style="position:absolute;left:7767;top:9022;width:73;height:74" filled="f" stroked="f"/>
                <v:line id="_x0000_s2706" style="position:absolute;flip:x y" from="7769,9024" to="7803,9058" strokeweight=".65pt"/>
                <v:line id="_x0000_s2707" style="position:absolute" from="7803,9058" to="7837,9092" strokeweight=".65pt"/>
                <v:line id="_x0000_s2708" style="position:absolute;flip:x" from="7769,9058" to="7803,9092" strokeweight=".65pt"/>
                <v:line id="_x0000_s2709" style="position:absolute;flip:y" from="7803,9024" to="7837,9058" strokeweight=".65pt"/>
                <v:rect id="_x0000_s2710" style="position:absolute;left:4818;top:8171;width:73;height:73" filled="f" stroked="f"/>
                <v:line id="_x0000_s2711" style="position:absolute;flip:x y" from="4819,8173" to="4854,8207" strokecolor="purple" strokeweight=".65pt"/>
                <v:line id="_x0000_s2712" style="position:absolute" from="4854,8207" to="4888,8241" strokecolor="purple" strokeweight=".65pt"/>
                <v:line id="_x0000_s2713" style="position:absolute;flip:x" from="4819,8207" to="4854,8241" strokecolor="purple" strokeweight=".65pt"/>
                <v:line id="_x0000_s2714" style="position:absolute;flip:y" from="4854,8173" to="4888,8207" strokecolor="purple" strokeweight=".65pt"/>
                <v:line id="_x0000_s2715" style="position:absolute;flip:y" from="4854,8173" to="4855,8207" strokecolor="purple" strokeweight=".65pt"/>
                <v:line id="_x0000_s2716" style="position:absolute" from="4854,8207" to="4855,8241" strokecolor="purple" strokeweight=".65pt"/>
                <v:rect id="_x0000_s2717" style="position:absolute;left:5086;top:8582;width:73;height:73" filled="f" stroked="f"/>
                <v:line id="_x0000_s2718" style="position:absolute;flip:x y" from="5088,8584" to="5122,8618" strokecolor="purple" strokeweight=".65pt"/>
                <v:line id="_x0000_s2719" style="position:absolute" from="5122,8618" to="5156,8652" strokecolor="purple" strokeweight=".65pt"/>
                <v:line id="_x0000_s2720" style="position:absolute;flip:x" from="5088,8618" to="5122,8652" strokecolor="purple" strokeweight=".65pt"/>
                <v:line id="_x0000_s2721" style="position:absolute;flip:y" from="5122,8584" to="5156,8618" strokecolor="purple" strokeweight=".65pt"/>
                <v:line id="_x0000_s2722" style="position:absolute;flip:y" from="5122,8584" to="5123,8618" strokecolor="purple" strokeweight=".65pt"/>
                <v:line id="_x0000_s2723" style="position:absolute" from="5122,8618" to="5123,8652" strokecolor="purple" strokeweight=".65pt"/>
              </v:group>
            </v:group>
            <v:rect id="_x0000_s2724" style="position:absolute;left:5354;top:8505;width:73;height:74" filled="f" stroked="f"/>
            <v:line id="_x0000_s2725" style="position:absolute;flip:x y" from="5356,8507" to="5390,8541" strokecolor="purple" strokeweight=".65pt"/>
            <v:line id="_x0000_s2726" style="position:absolute" from="5390,8541" to="5424,8575" strokecolor="purple" strokeweight=".65pt"/>
            <v:line id="_x0000_s2727" style="position:absolute;flip:x" from="5356,8541" to="5390,8575" strokecolor="purple" strokeweight=".65pt"/>
            <v:line id="_x0000_s2728" style="position:absolute;flip:y" from="5390,8507" to="5424,8541" strokecolor="purple" strokeweight=".65pt"/>
            <v:line id="_x0000_s2729" style="position:absolute;flip:y" from="5390,8507" to="5391,8541" strokecolor="purple" strokeweight=".65pt"/>
            <v:line id="_x0000_s2730" style="position:absolute" from="5390,8541" to="5391,8575" strokecolor="purple" strokeweight=".65pt"/>
            <v:rect id="_x0000_s2731" style="position:absolute;left:5622;top:8771;width:73;height:73" filled="f" stroked="f"/>
            <v:line id="_x0000_s2732" style="position:absolute;flip:x y" from="5624,8773" to="5658,8807" strokecolor="purple" strokeweight=".65pt"/>
            <v:line id="_x0000_s2733" style="position:absolute" from="5658,8807" to="5692,8841" strokecolor="purple" strokeweight=".65pt"/>
            <v:line id="_x0000_s2734" style="position:absolute;flip:x" from="5624,8807" to="5658,8841" strokecolor="purple" strokeweight=".65pt"/>
            <v:line id="_x0000_s2735" style="position:absolute;flip:y" from="5658,8773" to="5692,8807" strokecolor="purple" strokeweight=".65pt"/>
            <v:line id="_x0000_s2736" style="position:absolute;flip:y" from="5658,8773" to="5659,8807" strokecolor="purple" strokeweight=".65pt"/>
            <v:line id="_x0000_s2737" style="position:absolute" from="5658,8807" to="5659,8841" strokecolor="purple" strokeweight=".65pt"/>
            <v:rect id="_x0000_s2738" style="position:absolute;left:5890;top:8983;width:73;height:73" filled="f" stroked="f"/>
            <v:line id="_x0000_s2739" style="position:absolute;flip:x y" from="5892,8985" to="5926,9019" strokecolor="purple" strokeweight=".65pt"/>
            <v:line id="_x0000_s2740" style="position:absolute" from="5926,9019" to="5960,9053" strokecolor="purple" strokeweight=".65pt"/>
            <v:line id="_x0000_s2741" style="position:absolute;flip:x" from="5892,9019" to="5926,9053" strokecolor="purple" strokeweight=".65pt"/>
            <v:line id="_x0000_s2742" style="position:absolute;flip:y" from="5926,8985" to="5960,9019" strokecolor="purple" strokeweight=".65pt"/>
            <v:line id="_x0000_s2743" style="position:absolute;flip:y" from="5926,8985" to="5927,9019" strokecolor="purple" strokeweight=".65pt"/>
            <v:line id="_x0000_s2744" style="position:absolute" from="5926,9019" to="5927,9053" strokecolor="purple" strokeweight=".65pt"/>
            <v:rect id="_x0000_s2745" style="position:absolute;left:6158;top:9267;width:73;height:73" filled="f" stroked="f"/>
            <v:line id="_x0000_s2746" style="position:absolute;flip:x y" from="6160,9269" to="6194,9303" strokecolor="purple" strokeweight=".65pt"/>
            <v:line id="_x0000_s2747" style="position:absolute" from="6194,9303" to="6228,9337" strokecolor="purple" strokeweight=".65pt"/>
            <v:line id="_x0000_s2748" style="position:absolute;flip:x" from="6160,9303" to="6194,9337" strokecolor="purple" strokeweight=".65pt"/>
            <v:line id="_x0000_s2749" style="position:absolute;flip:y" from="6194,9269" to="6228,9303" strokecolor="purple" strokeweight=".65pt"/>
            <v:line id="_x0000_s2750" style="position:absolute;flip:y" from="6194,9269" to="6195,9303" strokecolor="purple" strokeweight=".65pt"/>
            <v:line id="_x0000_s2751" style="position:absolute" from="6194,9303" to="6195,9337" strokecolor="purple" strokeweight=".65pt"/>
            <v:rect id="_x0000_s2752" style="position:absolute;left:6426;top:9366;width:74;height:74" filled="f" stroked="f"/>
            <v:line id="_x0000_s2753" style="position:absolute;flip:x y" from="6428,9368" to="6462,9402" strokecolor="purple" strokeweight=".65pt"/>
            <v:line id="_x0000_s2754" style="position:absolute" from="6462,9402" to="6496,9437" strokecolor="purple" strokeweight=".65pt"/>
            <v:line id="_x0000_s2755" style="position:absolute;flip:x" from="6428,9402" to="6462,9437" strokecolor="purple" strokeweight=".65pt"/>
            <v:line id="_x0000_s2756" style="position:absolute;flip:y" from="6462,9368" to="6496,9402" strokecolor="purple" strokeweight=".65pt"/>
            <v:line id="_x0000_s2757" style="position:absolute;flip:y" from="6462,9368" to="6463,9402" strokecolor="purple" strokeweight=".65pt"/>
            <v:line id="_x0000_s2758" style="position:absolute" from="6462,9402" to="6463,9437" strokecolor="purple" strokeweight=".65pt"/>
            <v:rect id="_x0000_s2759" style="position:absolute;left:6695;top:9145;width:73;height:73" filled="f" stroked="f"/>
            <v:line id="_x0000_s2760" style="position:absolute;flip:x y" from="6696,9146" to="6730,9180" strokecolor="purple" strokeweight=".65pt"/>
            <v:line id="_x0000_s2761" style="position:absolute" from="6730,9180" to="6764,9215" strokecolor="purple" strokeweight=".65pt"/>
            <v:line id="_x0000_s2762" style="position:absolute;flip:x" from="6696,9180" to="6730,9215" strokecolor="purple" strokeweight=".65pt"/>
            <v:line id="_x0000_s2763" style="position:absolute;flip:y" from="6730,9146" to="6764,9180" strokecolor="purple" strokeweight=".65pt"/>
            <v:line id="_x0000_s2764" style="position:absolute;flip:y" from="6730,9146" to="6731,9180" strokecolor="purple" strokeweight=".65pt"/>
            <v:line id="_x0000_s2765" style="position:absolute" from="6730,9180" to="6731,9215" strokecolor="purple" strokeweight=".65pt"/>
            <v:rect id="_x0000_s2766" style="position:absolute;left:6963;top:9177;width:73;height:74" filled="f" stroked="f"/>
            <v:line id="_x0000_s2767" style="position:absolute;flip:x y" from="6964,9179" to="6998,9213" strokecolor="purple" strokeweight=".65pt"/>
            <v:line id="_x0000_s2768" style="position:absolute" from="6998,9213" to="7033,9247" strokecolor="purple" strokeweight=".65pt"/>
            <v:line id="_x0000_s2769" style="position:absolute;flip:x" from="6964,9213" to="6998,9247" strokecolor="purple" strokeweight=".65pt"/>
            <v:line id="_x0000_s2770" style="position:absolute;flip:y" from="6998,9179" to="7033,9213" strokecolor="purple" strokeweight=".65pt"/>
            <v:line id="_x0000_s2771" style="position:absolute;flip:y" from="6998,9179" to="6999,9213" strokecolor="purple" strokeweight=".65pt"/>
            <v:line id="_x0000_s2772" style="position:absolute" from="6998,9213" to="6999,9247" strokecolor="purple" strokeweight=".65pt"/>
            <v:rect id="_x0000_s2773" style="position:absolute;left:7231;top:8939;width:73;height:73" filled="f" stroked="f"/>
            <v:line id="_x0000_s2774" style="position:absolute;flip:x y" from="7232,8941" to="7266,8975" strokecolor="purple" strokeweight=".65pt"/>
            <v:line id="_x0000_s2775" style="position:absolute" from="7266,8975" to="7301,9009" strokecolor="purple" strokeweight=".65pt"/>
            <v:line id="_x0000_s2776" style="position:absolute;flip:x" from="7232,8975" to="7266,9009" strokecolor="purple" strokeweight=".65pt"/>
            <v:line id="_x0000_s2777" style="position:absolute;flip:y" from="7266,8941" to="7301,8975" strokecolor="purple" strokeweight=".65pt"/>
            <v:line id="_x0000_s2778" style="position:absolute;flip:y" from="7266,8941" to="7267,8975" strokecolor="purple" strokeweight=".65pt"/>
            <v:line id="_x0000_s2779" style="position:absolute" from="7266,8975" to="7267,9009" strokecolor="purple" strokeweight=".65pt"/>
            <v:rect id="_x0000_s2780" style="position:absolute;left:7499;top:8694;width:73;height:74" filled="f" stroked="f"/>
            <v:line id="_x0000_s2781" style="position:absolute;flip:x y" from="7500,8696" to="7535,8730" strokecolor="purple" strokeweight=".65pt"/>
            <v:line id="_x0000_s2782" style="position:absolute" from="7535,8730" to="7569,8765" strokecolor="purple" strokeweight=".65pt"/>
            <v:line id="_x0000_s2783" style="position:absolute;flip:x" from="7500,8730" to="7535,8765" strokecolor="purple" strokeweight=".65pt"/>
            <v:line id="_x0000_s2784" style="position:absolute;flip:y" from="7535,8696" to="7569,8730" strokecolor="purple" strokeweight=".65pt"/>
            <v:line id="_x0000_s2785" style="position:absolute;flip:y" from="7535,8696" to="7536,8730" strokecolor="purple" strokeweight=".65pt"/>
            <v:line id="_x0000_s2786" style="position:absolute" from="7535,8730" to="7536,8765" strokecolor="purple" strokeweight=".65pt"/>
            <v:rect id="_x0000_s2787" style="position:absolute;left:7767;top:8783;width:73;height:73" filled="f" stroked="f"/>
            <v:line id="_x0000_s2788" style="position:absolute;flip:x y" from="7769,8784" to="7803,8818" strokecolor="purple" strokeweight=".65pt"/>
            <v:line id="_x0000_s2789" style="position:absolute" from="7803,8818" to="7837,8853" strokecolor="purple" strokeweight=".65pt"/>
            <v:line id="_x0000_s2790" style="position:absolute;flip:x" from="7769,8818" to="7803,8853" strokecolor="purple" strokeweight=".65pt"/>
            <v:line id="_x0000_s2791" style="position:absolute;flip:y" from="7803,8784" to="7837,8818" strokecolor="purple" strokeweight=".65pt"/>
            <v:line id="_x0000_s2792" style="position:absolute;flip:y" from="7803,8784" to="7804,8818" strokecolor="purple" strokeweight=".65pt"/>
            <v:line id="_x0000_s2793" style="position:absolute" from="7803,8818" to="7804,8853" strokecolor="purple" strokeweight=".65pt"/>
            <v:rect id="_x0000_s2794" style="position:absolute;left:6501;top:7388;width:414;height:276" filled="f" stroked="f">
              <v:textbox style="mso-next-textbox:#_x0000_s2794" inset="0,0,0,0">
                <w:txbxContent>
                  <w:p w:rsidR="003C1FA9" w:rsidRPr="00FB46A9" w:rsidRDefault="00AC30EE" w:rsidP="00CA32EF">
                    <w:r>
                      <w:rPr>
                        <w:b/>
                        <w:bCs/>
                        <w:color w:val="000000"/>
                        <w:sz w:val="12"/>
                        <w:szCs w:val="12"/>
                        <w:lang w:val="en-US"/>
                      </w:rPr>
                      <w:t>W</w:t>
                    </w:r>
                    <w:r w:rsidR="003C1FA9" w:rsidRPr="00FB46A9">
                      <w:rPr>
                        <w:b/>
                        <w:bCs/>
                        <w:color w:val="000000"/>
                        <w:sz w:val="12"/>
                        <w:szCs w:val="12"/>
                        <w:lang w:val="en-US"/>
                      </w:rPr>
                      <w:t>omen</w:t>
                    </w:r>
                  </w:p>
                </w:txbxContent>
              </v:textbox>
            </v:rect>
            <v:rect id="_x0000_s2795" style="position:absolute;left:4558;top:9748;width:67;height:138" filled="f" stroked="f">
              <v:textbox style="mso-next-textbox:#_x0000_s2795" inset="0,0,0,0">
                <w:txbxContent>
                  <w:p w:rsidR="003C1FA9" w:rsidRDefault="003C1FA9" w:rsidP="00CA32EF">
                    <w:r>
                      <w:rPr>
                        <w:rFonts w:ascii="Arial" w:hAnsi="Arial" w:cs="Arial"/>
                        <w:color w:val="000000"/>
                        <w:sz w:val="12"/>
                        <w:szCs w:val="12"/>
                        <w:lang w:val="en-US"/>
                      </w:rPr>
                      <w:t>0</w:t>
                    </w:r>
                  </w:p>
                </w:txbxContent>
              </v:textbox>
            </v:rect>
            <v:rect id="_x0000_s2796" style="position:absolute;left:4558;top:9471;width:67;height:138" filled="f" stroked="f">
              <v:textbox style="mso-next-textbox:#_x0000_s2796" inset="0,0,0,0">
                <w:txbxContent>
                  <w:p w:rsidR="003C1FA9" w:rsidRDefault="003C1FA9" w:rsidP="00CA32EF">
                    <w:r>
                      <w:rPr>
                        <w:rFonts w:ascii="Arial" w:hAnsi="Arial" w:cs="Arial"/>
                        <w:color w:val="000000"/>
                        <w:sz w:val="12"/>
                        <w:szCs w:val="12"/>
                        <w:lang w:val="en-US"/>
                      </w:rPr>
                      <w:t>5</w:t>
                    </w:r>
                  </w:p>
                </w:txbxContent>
              </v:textbox>
            </v:rect>
            <v:rect id="_x0000_s2797" style="position:absolute;left:4490;top:9192;width:134;height:276" filled="f" stroked="f">
              <v:textbox style="mso-next-textbox:#_x0000_s2797" inset="0,0,0,0">
                <w:txbxContent>
                  <w:p w:rsidR="003C1FA9" w:rsidRDefault="003C1FA9" w:rsidP="00CA32EF">
                    <w:r>
                      <w:rPr>
                        <w:rFonts w:ascii="Arial" w:hAnsi="Arial" w:cs="Arial"/>
                        <w:color w:val="000000"/>
                        <w:sz w:val="12"/>
                        <w:szCs w:val="12"/>
                        <w:lang w:val="en-US"/>
                      </w:rPr>
                      <w:t>10</w:t>
                    </w:r>
                  </w:p>
                </w:txbxContent>
              </v:textbox>
            </v:rect>
            <v:rect id="_x0000_s2798" style="position:absolute;left:4490;top:8915;width:134;height:276" filled="f" stroked="f">
              <v:textbox style="mso-next-textbox:#_x0000_s2798" inset="0,0,0,0">
                <w:txbxContent>
                  <w:p w:rsidR="003C1FA9" w:rsidRDefault="003C1FA9" w:rsidP="00CA32EF">
                    <w:r>
                      <w:rPr>
                        <w:rFonts w:ascii="Arial" w:hAnsi="Arial" w:cs="Arial"/>
                        <w:color w:val="000000"/>
                        <w:sz w:val="12"/>
                        <w:szCs w:val="12"/>
                        <w:lang w:val="en-US"/>
                      </w:rPr>
                      <w:t>15</w:t>
                    </w:r>
                  </w:p>
                </w:txbxContent>
              </v:textbox>
            </v:rect>
            <v:rect id="_x0000_s2799" style="position:absolute;left:4490;top:8636;width:134;height:276" filled="f" stroked="f">
              <v:textbox style="mso-next-textbox:#_x0000_s2799" inset="0,0,0,0">
                <w:txbxContent>
                  <w:p w:rsidR="003C1FA9" w:rsidRDefault="003C1FA9" w:rsidP="00CA32EF">
                    <w:r>
                      <w:rPr>
                        <w:rFonts w:ascii="Arial" w:hAnsi="Arial" w:cs="Arial"/>
                        <w:color w:val="000000"/>
                        <w:sz w:val="12"/>
                        <w:szCs w:val="12"/>
                        <w:lang w:val="en-US"/>
                      </w:rPr>
                      <w:t>20</w:t>
                    </w:r>
                  </w:p>
                </w:txbxContent>
              </v:textbox>
            </v:rect>
            <v:rect id="_x0000_s2800" style="position:absolute;left:4490;top:8358;width:134;height:276" filled="f" stroked="f">
              <v:textbox style="mso-next-textbox:#_x0000_s2800" inset="0,0,0,0">
                <w:txbxContent>
                  <w:p w:rsidR="003C1FA9" w:rsidRDefault="003C1FA9" w:rsidP="00CA32EF">
                    <w:r>
                      <w:rPr>
                        <w:rFonts w:ascii="Arial" w:hAnsi="Arial" w:cs="Arial"/>
                        <w:color w:val="000000"/>
                        <w:sz w:val="12"/>
                        <w:szCs w:val="12"/>
                        <w:lang w:val="en-US"/>
                      </w:rPr>
                      <w:t>25</w:t>
                    </w:r>
                  </w:p>
                </w:txbxContent>
              </v:textbox>
            </v:rect>
            <v:rect id="_x0000_s2801" style="position:absolute;left:4490;top:8080;width:134;height:276" filled="f" stroked="f">
              <v:textbox style="mso-next-textbox:#_x0000_s2801" inset="0,0,0,0">
                <w:txbxContent>
                  <w:p w:rsidR="003C1FA9" w:rsidRDefault="003C1FA9" w:rsidP="00CA32EF">
                    <w:r>
                      <w:rPr>
                        <w:rFonts w:ascii="Arial" w:hAnsi="Arial" w:cs="Arial"/>
                        <w:color w:val="000000"/>
                        <w:sz w:val="12"/>
                        <w:szCs w:val="12"/>
                        <w:lang w:val="en-US"/>
                      </w:rPr>
                      <w:t>30</w:t>
                    </w:r>
                  </w:p>
                </w:txbxContent>
              </v:textbox>
            </v:rect>
            <v:rect id="_x0000_s2802" style="position:absolute;left:4490;top:7802;width:134;height:276" filled="f" stroked="f">
              <v:textbox style="mso-next-textbox:#_x0000_s2802" inset="0,0,0,0">
                <w:txbxContent>
                  <w:p w:rsidR="003C1FA9" w:rsidRDefault="003C1FA9" w:rsidP="00CA32EF">
                    <w:r>
                      <w:rPr>
                        <w:rFonts w:ascii="Arial" w:hAnsi="Arial" w:cs="Arial"/>
                        <w:color w:val="000000"/>
                        <w:sz w:val="12"/>
                        <w:szCs w:val="12"/>
                        <w:lang w:val="en-US"/>
                      </w:rPr>
                      <w:t>35</w:t>
                    </w:r>
                  </w:p>
                </w:txbxContent>
              </v:textbox>
            </v:rect>
            <v:rect id="_x0000_s2803" style="position:absolute;left:4490;top:7523;width:134;height:276" filled="f" stroked="f">
              <v:textbox style="mso-next-textbox:#_x0000_s2803" inset="0,0,0,0">
                <w:txbxContent>
                  <w:p w:rsidR="003C1FA9" w:rsidRDefault="003C1FA9" w:rsidP="00CA32EF">
                    <w:r>
                      <w:rPr>
                        <w:rFonts w:ascii="Arial" w:hAnsi="Arial" w:cs="Arial"/>
                        <w:color w:val="000000"/>
                        <w:sz w:val="12"/>
                        <w:szCs w:val="12"/>
                        <w:lang w:val="en-US"/>
                      </w:rPr>
                      <w:t>40</w:t>
                    </w:r>
                  </w:p>
                </w:txbxContent>
              </v:textbox>
            </v:rect>
            <v:rect id="_x0000_s2804" style="position:absolute;left:4579;top:9954;width:223;height:230;rotation:317" filled="f" stroked="f">
              <v:textbox style="mso-next-textbox:#_x0000_s2804" inset="0,0,0,0">
                <w:txbxContent>
                  <w:p w:rsidR="003C1FA9" w:rsidRDefault="003C1FA9" w:rsidP="00CA32EF">
                    <w:r>
                      <w:rPr>
                        <w:rFonts w:ascii="Arial" w:hAnsi="Arial" w:cs="Arial"/>
                        <w:color w:val="000000"/>
                        <w:sz w:val="10"/>
                        <w:szCs w:val="10"/>
                        <w:lang w:val="en-US"/>
                      </w:rPr>
                      <w:t>1995</w:t>
                    </w:r>
                  </w:p>
                </w:txbxContent>
              </v:textbox>
            </v:rect>
            <v:rect id="_x0000_s2805" style="position:absolute;left:4847;top:9954;width:223;height:230;rotation:317" filled="f" stroked="f">
              <v:textbox style="mso-next-textbox:#_x0000_s2805" inset="0,0,0,0">
                <w:txbxContent>
                  <w:p w:rsidR="003C1FA9" w:rsidRDefault="003C1FA9" w:rsidP="00CA32EF">
                    <w:r>
                      <w:rPr>
                        <w:rFonts w:ascii="Arial" w:hAnsi="Arial" w:cs="Arial"/>
                        <w:color w:val="000000"/>
                        <w:sz w:val="10"/>
                        <w:szCs w:val="10"/>
                        <w:lang w:val="en-US"/>
                      </w:rPr>
                      <w:t>1996</w:t>
                    </w:r>
                  </w:p>
                </w:txbxContent>
              </v:textbox>
            </v:rect>
            <v:rect id="_x0000_s2806" style="position:absolute;left:5115;top:9954;width:223;height:230;rotation:317" filled="f" stroked="f">
              <v:textbox style="mso-next-textbox:#_x0000_s2806" inset="0,0,0,0">
                <w:txbxContent>
                  <w:p w:rsidR="003C1FA9" w:rsidRDefault="003C1FA9" w:rsidP="00CA32EF">
                    <w:r>
                      <w:rPr>
                        <w:rFonts w:ascii="Arial" w:hAnsi="Arial" w:cs="Arial"/>
                        <w:color w:val="000000"/>
                        <w:sz w:val="10"/>
                        <w:szCs w:val="10"/>
                        <w:lang w:val="en-US"/>
                      </w:rPr>
                      <w:t>1997</w:t>
                    </w:r>
                  </w:p>
                </w:txbxContent>
              </v:textbox>
            </v:rect>
            <v:rect id="_x0000_s2807" style="position:absolute;left:5383;top:9954;width:223;height:230;rotation:317" filled="f" stroked="f">
              <v:textbox style="mso-next-textbox:#_x0000_s2807" inset="0,0,0,0">
                <w:txbxContent>
                  <w:p w:rsidR="003C1FA9" w:rsidRDefault="003C1FA9" w:rsidP="00CA32EF">
                    <w:r>
                      <w:rPr>
                        <w:rFonts w:ascii="Arial" w:hAnsi="Arial" w:cs="Arial"/>
                        <w:color w:val="000000"/>
                        <w:sz w:val="10"/>
                        <w:szCs w:val="10"/>
                        <w:lang w:val="en-US"/>
                      </w:rPr>
                      <w:t>1998</w:t>
                    </w:r>
                  </w:p>
                </w:txbxContent>
              </v:textbox>
            </v:rect>
            <v:rect id="_x0000_s2808" style="position:absolute;left:5651;top:9954;width:223;height:230;rotation:317" filled="f" stroked="f">
              <v:textbox style="mso-next-textbox:#_x0000_s2808" inset="0,0,0,0">
                <w:txbxContent>
                  <w:p w:rsidR="003C1FA9" w:rsidRDefault="003C1FA9" w:rsidP="00CA32EF">
                    <w:r>
                      <w:rPr>
                        <w:rFonts w:ascii="Arial" w:hAnsi="Arial" w:cs="Arial"/>
                        <w:color w:val="000000"/>
                        <w:sz w:val="10"/>
                        <w:szCs w:val="10"/>
                        <w:lang w:val="en-US"/>
                      </w:rPr>
                      <w:t>1999</w:t>
                    </w:r>
                  </w:p>
                </w:txbxContent>
              </v:textbox>
            </v:rect>
            <v:rect id="_x0000_s2809" style="position:absolute;left:5919;top:9954;width:223;height:230;rotation:317" filled="f" stroked="f">
              <v:textbox style="mso-next-textbox:#_x0000_s2809" inset="0,0,0,0">
                <w:txbxContent>
                  <w:p w:rsidR="003C1FA9" w:rsidRDefault="003C1FA9" w:rsidP="00CA32EF">
                    <w:r>
                      <w:rPr>
                        <w:rFonts w:ascii="Arial" w:hAnsi="Arial" w:cs="Arial"/>
                        <w:color w:val="000000"/>
                        <w:sz w:val="10"/>
                        <w:szCs w:val="10"/>
                        <w:lang w:val="en-US"/>
                      </w:rPr>
                      <w:t>2000</w:t>
                    </w:r>
                  </w:p>
                </w:txbxContent>
              </v:textbox>
            </v:rect>
            <v:rect id="_x0000_s2810" style="position:absolute;left:6187;top:9954;width:223;height:230;rotation:317" filled="f" stroked="f">
              <v:textbox style="mso-next-textbox:#_x0000_s2810" inset="0,0,0,0">
                <w:txbxContent>
                  <w:p w:rsidR="003C1FA9" w:rsidRDefault="003C1FA9" w:rsidP="00CA32EF">
                    <w:r>
                      <w:rPr>
                        <w:rFonts w:ascii="Arial" w:hAnsi="Arial" w:cs="Arial"/>
                        <w:color w:val="000000"/>
                        <w:sz w:val="10"/>
                        <w:szCs w:val="10"/>
                        <w:lang w:val="en-US"/>
                      </w:rPr>
                      <w:t>2001</w:t>
                    </w:r>
                  </w:p>
                </w:txbxContent>
              </v:textbox>
            </v:rect>
            <v:rect id="_x0000_s2811" style="position:absolute;left:6455;top:9954;width:223;height:230;rotation:317" filled="f" stroked="f">
              <v:textbox style="mso-next-textbox:#_x0000_s2811" inset="0,0,0,0">
                <w:txbxContent>
                  <w:p w:rsidR="003C1FA9" w:rsidRDefault="003C1FA9" w:rsidP="00CA32EF">
                    <w:r>
                      <w:rPr>
                        <w:rFonts w:ascii="Arial" w:hAnsi="Arial" w:cs="Arial"/>
                        <w:color w:val="000000"/>
                        <w:sz w:val="10"/>
                        <w:szCs w:val="10"/>
                        <w:lang w:val="en-US"/>
                      </w:rPr>
                      <w:t>2002</w:t>
                    </w:r>
                  </w:p>
                </w:txbxContent>
              </v:textbox>
            </v:rect>
            <v:rect id="_x0000_s2812" style="position:absolute;left:6723;top:9954;width:223;height:230;rotation:317" filled="f" stroked="f">
              <v:textbox style="mso-next-textbox:#_x0000_s2812" inset="0,0,0,0">
                <w:txbxContent>
                  <w:p w:rsidR="003C1FA9" w:rsidRDefault="003C1FA9" w:rsidP="00CA32EF">
                    <w:r>
                      <w:rPr>
                        <w:rFonts w:ascii="Arial" w:hAnsi="Arial" w:cs="Arial"/>
                        <w:color w:val="000000"/>
                        <w:sz w:val="10"/>
                        <w:szCs w:val="10"/>
                        <w:lang w:val="en-US"/>
                      </w:rPr>
                      <w:t>2003</w:t>
                    </w:r>
                  </w:p>
                </w:txbxContent>
              </v:textbox>
            </v:rect>
            <v:rect id="_x0000_s2813" style="position:absolute;left:6992;top:9954;width:223;height:230;rotation:317" filled="f" stroked="f">
              <v:textbox style="mso-next-textbox:#_x0000_s2813" inset="0,0,0,0">
                <w:txbxContent>
                  <w:p w:rsidR="003C1FA9" w:rsidRDefault="003C1FA9" w:rsidP="00CA32EF">
                    <w:r>
                      <w:rPr>
                        <w:rFonts w:ascii="Arial" w:hAnsi="Arial" w:cs="Arial"/>
                        <w:color w:val="000000"/>
                        <w:sz w:val="10"/>
                        <w:szCs w:val="10"/>
                        <w:lang w:val="en-US"/>
                      </w:rPr>
                      <w:t>2004</w:t>
                    </w:r>
                  </w:p>
                </w:txbxContent>
              </v:textbox>
            </v:rect>
            <v:rect id="_x0000_s2814" style="position:absolute;left:7260;top:9954;width:223;height:230;rotation:317" filled="f" stroked="f">
              <v:textbox style="mso-next-textbox:#_x0000_s2814" inset="0,0,0,0">
                <w:txbxContent>
                  <w:p w:rsidR="003C1FA9" w:rsidRDefault="003C1FA9" w:rsidP="00CA32EF">
                    <w:r>
                      <w:rPr>
                        <w:rFonts w:ascii="Arial" w:hAnsi="Arial" w:cs="Arial"/>
                        <w:color w:val="000000"/>
                        <w:sz w:val="10"/>
                        <w:szCs w:val="10"/>
                        <w:lang w:val="en-US"/>
                      </w:rPr>
                      <w:t>2005</w:t>
                    </w:r>
                  </w:p>
                </w:txbxContent>
              </v:textbox>
            </v:rect>
            <v:rect id="_x0000_s2815" style="position:absolute;left:7528;top:9954;width:223;height:230;rotation:317" filled="f" stroked="f">
              <v:textbox style="mso-next-textbox:#_x0000_s2815" inset="0,0,0,0">
                <w:txbxContent>
                  <w:p w:rsidR="003C1FA9" w:rsidRDefault="003C1FA9" w:rsidP="00CA32EF">
                    <w:r>
                      <w:rPr>
                        <w:rFonts w:ascii="Arial" w:hAnsi="Arial" w:cs="Arial"/>
                        <w:color w:val="000000"/>
                        <w:sz w:val="10"/>
                        <w:szCs w:val="10"/>
                        <w:lang w:val="en-US"/>
                      </w:rPr>
                      <w:t>2006</w:t>
                    </w:r>
                  </w:p>
                </w:txbxContent>
              </v:textbox>
            </v:rect>
            <v:rect id="_x0000_s2816" style="position:absolute;left:7996;top:8884;width:1001;height:924" strokeweight="0"/>
            <v:line id="_x0000_s2817" style="position:absolute" from="8037,8972" to="8306,8973" strokecolor="navy" strokeweight=".65pt"/>
            <v:shape id="_x0000_s2818" style="position:absolute;left:8139;top:8939;width:65;height:65" coordsize="65,65" path="m33,l65,33,33,65,,33,33,xe" fillcolor="navy" strokecolor="navy" strokeweight=".65pt">
              <v:path arrowok="t"/>
            </v:shape>
            <v:rect id="_x0000_s2819" style="position:absolute;left:8332;top:8913;width:567;height:230" filled="f" stroked="f">
              <v:textbox style="mso-next-textbox:#_x0000_s2819" inset="0,0,0,0">
                <w:txbxContent>
                  <w:p w:rsidR="003C1FA9" w:rsidRDefault="003C1FA9" w:rsidP="00CA32EF">
                    <w:r>
                      <w:rPr>
                        <w:rFonts w:ascii="Arial" w:hAnsi="Arial" w:cs="Arial"/>
                        <w:color w:val="000000"/>
                        <w:sz w:val="10"/>
                        <w:szCs w:val="10"/>
                        <w:lang w:val="en-US"/>
                      </w:rPr>
                      <w:t>Ethnic Dutch</w:t>
                    </w:r>
                  </w:p>
                </w:txbxContent>
              </v:textbox>
            </v:rect>
            <v:line id="_x0000_s2820" style="position:absolute" from="8037,9278" to="8306,9279" strokeweight=".65pt"/>
            <v:rect id="_x0000_s2821" style="position:absolute;left:8137;top:9244;width:70;height:70" filled="f" stroked="f"/>
            <v:line id="_x0000_s2822" style="position:absolute;flip:x y" from="8139,9246" to="8172,9278" strokeweight=".65pt"/>
            <v:line id="_x0000_s2823" style="position:absolute" from="8172,9278" to="8204,9311" strokeweight=".65pt"/>
            <v:line id="_x0000_s2824" style="position:absolute;flip:x" from="8139,9278" to="8172,9311" strokeweight=".65pt"/>
            <v:line id="_x0000_s2825" style="position:absolute;flip:y" from="8172,9246" to="8204,9278" strokeweight=".65pt"/>
            <v:rect id="_x0000_s2826" style="position:absolute;left:8332;top:9220;width:534;height:230" filled="f" stroked="f">
              <v:textbox style="mso-next-textbox:#_x0000_s2826" inset="0,0,0,0">
                <w:txbxContent>
                  <w:p w:rsidR="003C1FA9" w:rsidRDefault="003C1FA9" w:rsidP="00CA32EF">
                    <w:r>
                      <w:rPr>
                        <w:rFonts w:ascii="Arial" w:hAnsi="Arial" w:cs="Arial"/>
                        <w:color w:val="000000"/>
                        <w:sz w:val="10"/>
                        <w:szCs w:val="10"/>
                        <w:lang w:val="en-US"/>
                      </w:rPr>
                      <w:t>Surinamese</w:t>
                    </w:r>
                  </w:p>
                </w:txbxContent>
              </v:textbox>
            </v:rect>
            <v:line id="_x0000_s2827" style="position:absolute" from="8037,9587" to="8306,9588" strokecolor="purple" strokeweight=".65pt"/>
            <v:rect id="_x0000_s2828" style="position:absolute;left:8137;top:9552;width:70;height:70" filled="f" stroked="f"/>
            <v:line id="_x0000_s2829" style="position:absolute;flip:x y" from="8139,9554" to="8172,9587" strokecolor="purple" strokeweight=".65pt"/>
            <v:line id="_x0000_s2830" style="position:absolute" from="8172,9587" to="8204,9619" strokecolor="purple" strokeweight=".65pt"/>
            <v:line id="_x0000_s2831" style="position:absolute;flip:x" from="8139,9587" to="8172,9619" strokecolor="purple" strokeweight=".65pt"/>
            <v:line id="_x0000_s2832" style="position:absolute;flip:y" from="8172,9554" to="8204,9587" strokecolor="purple" strokeweight=".65pt"/>
            <v:line id="_x0000_s2833" style="position:absolute;flip:y" from="8172,9554" to="8173,9587" strokecolor="purple" strokeweight=".65pt"/>
            <v:line id="_x0000_s2834" style="position:absolute" from="8172,9587" to="8173,9619" strokecolor="purple" strokeweight=".65pt"/>
            <v:rect id="_x0000_s2835" style="position:absolute;left:8332;top:9528;width:412;height:345" filled="f" stroked="f">
              <v:textbox style="mso-next-textbox:#_x0000_s2835" inset="0,0,0,0">
                <w:txbxContent>
                  <w:p w:rsidR="003C1FA9" w:rsidRDefault="003C1FA9" w:rsidP="00CA32EF">
                    <w:pPr>
                      <w:rPr>
                        <w:rFonts w:ascii="Arial" w:hAnsi="Arial" w:cs="Arial"/>
                        <w:color w:val="000000"/>
                        <w:sz w:val="10"/>
                        <w:szCs w:val="10"/>
                        <w:lang w:val="en-US"/>
                      </w:rPr>
                    </w:pPr>
                    <w:r>
                      <w:rPr>
                        <w:rFonts w:ascii="Arial" w:hAnsi="Arial" w:cs="Arial"/>
                        <w:color w:val="000000"/>
                        <w:sz w:val="10"/>
                        <w:szCs w:val="10"/>
                        <w:lang w:val="en-US"/>
                      </w:rPr>
                      <w:t>Antillean/</w:t>
                    </w:r>
                  </w:p>
                  <w:p w:rsidR="003C1FA9" w:rsidRDefault="003C1FA9" w:rsidP="00CA32EF">
                    <w:r>
                      <w:rPr>
                        <w:rFonts w:ascii="Arial" w:hAnsi="Arial" w:cs="Arial"/>
                        <w:color w:val="000000"/>
                        <w:sz w:val="10"/>
                        <w:szCs w:val="10"/>
                        <w:lang w:val="en-US"/>
                      </w:rPr>
                      <w:t>Ar</w:t>
                    </w:r>
                  </w:p>
                </w:txbxContent>
              </v:textbox>
            </v:rect>
            <v:rect id="_x0000_s2836" style="position:absolute;left:8332;top:9655;width:323;height:230" filled="f" stroked="f">
              <v:textbox style="mso-next-textbox:#_x0000_s2836" inset="0,0,0,0">
                <w:txbxContent>
                  <w:p w:rsidR="003C1FA9" w:rsidRDefault="003C1FA9" w:rsidP="00CA32EF">
                    <w:r>
                      <w:rPr>
                        <w:rFonts w:ascii="Arial" w:hAnsi="Arial" w:cs="Arial"/>
                        <w:color w:val="000000"/>
                        <w:sz w:val="10"/>
                        <w:szCs w:val="10"/>
                        <w:lang w:val="en-US"/>
                      </w:rPr>
                      <w:t>Aruban</w:t>
                    </w:r>
                  </w:p>
                </w:txbxContent>
              </v:textbox>
            </v:rect>
            <w10:anchorlock/>
          </v:group>
        </w:pict>
      </w:r>
    </w:p>
    <w:p w:rsidR="00E0446E" w:rsidRPr="00581181" w:rsidRDefault="00E0446E" w:rsidP="0086399B">
      <w:pPr>
        <w:pStyle w:val="Heading3"/>
        <w:rPr>
          <w:bCs/>
        </w:rPr>
      </w:pPr>
      <w:r w:rsidRPr="00581181">
        <w:t>Discrimination in the labour market: equal pay</w:t>
      </w:r>
    </w:p>
    <w:p w:rsidR="00E0446E" w:rsidRPr="00581181" w:rsidRDefault="00E0446E" w:rsidP="00030277">
      <w:pPr>
        <w:rPr>
          <w:szCs w:val="24"/>
        </w:rPr>
      </w:pPr>
      <w:r w:rsidRPr="00581181">
        <w:rPr>
          <w:szCs w:val="24"/>
        </w:rPr>
        <w:t>123.</w:t>
      </w:r>
      <w:r w:rsidRPr="00581181">
        <w:rPr>
          <w:szCs w:val="24"/>
        </w:rPr>
        <w:tab/>
        <w:t>Every two years the Labour Inspectorate surveys pay differentials between men and women, between full</w:t>
      </w:r>
      <w:r w:rsidR="00AD0DF3" w:rsidRPr="00581181">
        <w:rPr>
          <w:szCs w:val="24"/>
        </w:rPr>
        <w:noBreakHyphen/>
      </w:r>
      <w:r w:rsidRPr="00581181">
        <w:rPr>
          <w:szCs w:val="24"/>
        </w:rPr>
        <w:t>time and part</w:t>
      </w:r>
      <w:r w:rsidR="00AD0DF3" w:rsidRPr="00581181">
        <w:rPr>
          <w:szCs w:val="24"/>
        </w:rPr>
        <w:noBreakHyphen/>
      </w:r>
      <w:r w:rsidRPr="00581181">
        <w:rPr>
          <w:szCs w:val="24"/>
        </w:rPr>
        <w:t>time workers, and between people of ethnic Dutch and ethnic minority origin. The latest figures, based on 2004, were presented to the House of Representatives in October 2006. Over the years there has been little change in these figures:</w:t>
      </w:r>
    </w:p>
    <w:tbl>
      <w:tblPr>
        <w:tblW w:w="0" w:type="auto"/>
        <w:jc w:val="center"/>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0"/>
        <w:gridCol w:w="1110"/>
        <w:gridCol w:w="1110"/>
        <w:gridCol w:w="1110"/>
        <w:gridCol w:w="1110"/>
      </w:tblGrid>
      <w:tr w:rsidR="00E0446E" w:rsidRPr="002353A1" w:rsidTr="00C40C0A">
        <w:tblPrEx>
          <w:tblCellMar>
            <w:top w:w="0" w:type="dxa"/>
            <w:bottom w:w="0" w:type="dxa"/>
          </w:tblCellMar>
        </w:tblPrEx>
        <w:trPr>
          <w:jc w:val="center"/>
        </w:trPr>
        <w:tc>
          <w:tcPr>
            <w:tcW w:w="3720" w:type="dxa"/>
          </w:tcPr>
          <w:p w:rsidR="00E0446E" w:rsidRPr="002353A1" w:rsidRDefault="00E0446E" w:rsidP="00882575">
            <w:pPr>
              <w:spacing w:after="0"/>
              <w:jc w:val="center"/>
              <w:rPr>
                <w:bCs/>
                <w:szCs w:val="24"/>
              </w:rPr>
            </w:pPr>
            <w:r w:rsidRPr="002353A1">
              <w:rPr>
                <w:bCs/>
                <w:szCs w:val="24"/>
              </w:rPr>
              <w:t>Private sector</w:t>
            </w:r>
          </w:p>
        </w:tc>
        <w:tc>
          <w:tcPr>
            <w:tcW w:w="2220" w:type="dxa"/>
            <w:gridSpan w:val="2"/>
            <w:tcBorders>
              <w:top w:val="single" w:sz="4" w:space="0" w:color="auto"/>
              <w:bottom w:val="single" w:sz="4" w:space="0" w:color="auto"/>
            </w:tcBorders>
          </w:tcPr>
          <w:p w:rsidR="00E0446E" w:rsidRPr="002353A1" w:rsidRDefault="00E0446E" w:rsidP="005C2E00">
            <w:pPr>
              <w:spacing w:after="0"/>
              <w:jc w:val="center"/>
              <w:rPr>
                <w:bCs/>
                <w:szCs w:val="24"/>
              </w:rPr>
            </w:pPr>
            <w:r w:rsidRPr="002353A1">
              <w:rPr>
                <w:bCs/>
                <w:szCs w:val="24"/>
              </w:rPr>
              <w:t>Uncorrected</w:t>
            </w:r>
          </w:p>
        </w:tc>
        <w:tc>
          <w:tcPr>
            <w:tcW w:w="2220" w:type="dxa"/>
            <w:gridSpan w:val="2"/>
            <w:tcBorders>
              <w:top w:val="single" w:sz="4" w:space="0" w:color="auto"/>
              <w:bottom w:val="single" w:sz="4" w:space="0" w:color="auto"/>
            </w:tcBorders>
          </w:tcPr>
          <w:p w:rsidR="00E0446E" w:rsidRPr="002353A1" w:rsidRDefault="00E0446E" w:rsidP="005C2E00">
            <w:pPr>
              <w:spacing w:after="0"/>
              <w:jc w:val="center"/>
              <w:rPr>
                <w:bCs/>
                <w:szCs w:val="24"/>
              </w:rPr>
            </w:pPr>
            <w:r w:rsidRPr="002353A1">
              <w:rPr>
                <w:bCs/>
                <w:szCs w:val="24"/>
              </w:rPr>
              <w:t>Corrected</w:t>
            </w:r>
          </w:p>
        </w:tc>
      </w:tr>
      <w:tr w:rsidR="00E0446E" w:rsidRPr="002353A1" w:rsidTr="00330790">
        <w:tblPrEx>
          <w:tblCellMar>
            <w:top w:w="0" w:type="dxa"/>
            <w:bottom w:w="0" w:type="dxa"/>
          </w:tblCellMar>
        </w:tblPrEx>
        <w:trPr>
          <w:trHeight w:val="64"/>
          <w:jc w:val="center"/>
        </w:trPr>
        <w:tc>
          <w:tcPr>
            <w:tcW w:w="3720" w:type="dxa"/>
            <w:tcBorders>
              <w:bottom w:val="single" w:sz="4" w:space="0" w:color="auto"/>
            </w:tcBorders>
          </w:tcPr>
          <w:p w:rsidR="00E0446E" w:rsidRPr="002353A1" w:rsidRDefault="00E0446E" w:rsidP="002353A1">
            <w:pPr>
              <w:spacing w:after="0"/>
              <w:rPr>
                <w:bCs/>
                <w:szCs w:val="24"/>
              </w:rPr>
            </w:pPr>
          </w:p>
        </w:tc>
        <w:tc>
          <w:tcPr>
            <w:tcW w:w="1110" w:type="dxa"/>
            <w:tcBorders>
              <w:top w:val="single" w:sz="4" w:space="0" w:color="auto"/>
              <w:bottom w:val="single" w:sz="4" w:space="0" w:color="auto"/>
            </w:tcBorders>
          </w:tcPr>
          <w:p w:rsidR="00E0446E" w:rsidRPr="002353A1" w:rsidRDefault="00E0446E" w:rsidP="005C2E00">
            <w:pPr>
              <w:spacing w:after="0"/>
              <w:jc w:val="center"/>
              <w:rPr>
                <w:bCs/>
                <w:szCs w:val="24"/>
              </w:rPr>
            </w:pPr>
            <w:r w:rsidRPr="002353A1">
              <w:rPr>
                <w:bCs/>
                <w:szCs w:val="24"/>
              </w:rPr>
              <w:t>2002</w:t>
            </w:r>
          </w:p>
        </w:tc>
        <w:tc>
          <w:tcPr>
            <w:tcW w:w="1110" w:type="dxa"/>
            <w:tcBorders>
              <w:top w:val="single" w:sz="4" w:space="0" w:color="auto"/>
              <w:bottom w:val="single" w:sz="4" w:space="0" w:color="auto"/>
            </w:tcBorders>
          </w:tcPr>
          <w:p w:rsidR="00E0446E" w:rsidRPr="002353A1" w:rsidRDefault="00E0446E" w:rsidP="005C2E00">
            <w:pPr>
              <w:spacing w:after="0"/>
              <w:jc w:val="center"/>
              <w:rPr>
                <w:bCs/>
                <w:szCs w:val="24"/>
              </w:rPr>
            </w:pPr>
            <w:r w:rsidRPr="002353A1">
              <w:rPr>
                <w:bCs/>
                <w:szCs w:val="24"/>
              </w:rPr>
              <w:t>2004</w:t>
            </w:r>
          </w:p>
        </w:tc>
        <w:tc>
          <w:tcPr>
            <w:tcW w:w="1110" w:type="dxa"/>
            <w:tcBorders>
              <w:top w:val="single" w:sz="4" w:space="0" w:color="auto"/>
              <w:bottom w:val="single" w:sz="4" w:space="0" w:color="auto"/>
            </w:tcBorders>
          </w:tcPr>
          <w:p w:rsidR="00E0446E" w:rsidRPr="002353A1" w:rsidRDefault="00E0446E" w:rsidP="005C2E00">
            <w:pPr>
              <w:spacing w:after="0"/>
              <w:jc w:val="center"/>
              <w:rPr>
                <w:bCs/>
                <w:szCs w:val="24"/>
              </w:rPr>
            </w:pPr>
            <w:r w:rsidRPr="002353A1">
              <w:rPr>
                <w:bCs/>
                <w:szCs w:val="24"/>
              </w:rPr>
              <w:t>2002</w:t>
            </w:r>
          </w:p>
        </w:tc>
        <w:tc>
          <w:tcPr>
            <w:tcW w:w="1110" w:type="dxa"/>
            <w:tcBorders>
              <w:top w:val="single" w:sz="4" w:space="0" w:color="auto"/>
              <w:bottom w:val="single" w:sz="4" w:space="0" w:color="auto"/>
            </w:tcBorders>
          </w:tcPr>
          <w:p w:rsidR="00E0446E" w:rsidRPr="002353A1" w:rsidRDefault="00E0446E" w:rsidP="005C2E00">
            <w:pPr>
              <w:spacing w:after="0"/>
              <w:jc w:val="center"/>
              <w:rPr>
                <w:bCs/>
                <w:szCs w:val="24"/>
              </w:rPr>
            </w:pPr>
            <w:r w:rsidRPr="002353A1">
              <w:rPr>
                <w:bCs/>
                <w:szCs w:val="24"/>
              </w:rPr>
              <w:t>2004</w:t>
            </w:r>
          </w:p>
        </w:tc>
      </w:tr>
      <w:tr w:rsidR="00E0446E" w:rsidRPr="002353A1" w:rsidTr="00C40C0A">
        <w:tblPrEx>
          <w:tblCellMar>
            <w:top w:w="0" w:type="dxa"/>
            <w:bottom w:w="0" w:type="dxa"/>
          </w:tblCellMar>
        </w:tblPrEx>
        <w:trPr>
          <w:jc w:val="center"/>
        </w:trPr>
        <w:tc>
          <w:tcPr>
            <w:tcW w:w="3720" w:type="dxa"/>
            <w:tcBorders>
              <w:top w:val="single" w:sz="4" w:space="0" w:color="auto"/>
            </w:tcBorders>
          </w:tcPr>
          <w:p w:rsidR="00E0446E" w:rsidRPr="002353A1" w:rsidRDefault="00E0446E" w:rsidP="002353A1">
            <w:pPr>
              <w:spacing w:after="0"/>
              <w:rPr>
                <w:szCs w:val="24"/>
              </w:rPr>
            </w:pPr>
            <w:r w:rsidRPr="002353A1">
              <w:rPr>
                <w:szCs w:val="24"/>
              </w:rPr>
              <w:t>Men/women</w:t>
            </w:r>
          </w:p>
        </w:tc>
        <w:tc>
          <w:tcPr>
            <w:tcW w:w="1110" w:type="dxa"/>
            <w:tcBorders>
              <w:top w:val="single" w:sz="4" w:space="0" w:color="auto"/>
            </w:tcBorders>
          </w:tcPr>
          <w:p w:rsidR="00E0446E" w:rsidRPr="002353A1" w:rsidRDefault="00E0446E" w:rsidP="005C2E00">
            <w:pPr>
              <w:spacing w:after="0"/>
              <w:jc w:val="center"/>
              <w:rPr>
                <w:szCs w:val="24"/>
              </w:rPr>
            </w:pPr>
            <w:r w:rsidRPr="002353A1">
              <w:rPr>
                <w:szCs w:val="24"/>
              </w:rPr>
              <w:t>22%</w:t>
            </w:r>
          </w:p>
        </w:tc>
        <w:tc>
          <w:tcPr>
            <w:tcW w:w="1110" w:type="dxa"/>
            <w:tcBorders>
              <w:top w:val="single" w:sz="4" w:space="0" w:color="auto"/>
            </w:tcBorders>
          </w:tcPr>
          <w:p w:rsidR="00E0446E" w:rsidRPr="002353A1" w:rsidRDefault="00E0446E" w:rsidP="005C2E00">
            <w:pPr>
              <w:spacing w:after="0"/>
              <w:jc w:val="center"/>
              <w:rPr>
                <w:szCs w:val="24"/>
              </w:rPr>
            </w:pPr>
            <w:r w:rsidRPr="002353A1">
              <w:rPr>
                <w:szCs w:val="24"/>
              </w:rPr>
              <w:t>21%</w:t>
            </w:r>
          </w:p>
        </w:tc>
        <w:tc>
          <w:tcPr>
            <w:tcW w:w="1110" w:type="dxa"/>
            <w:tcBorders>
              <w:top w:val="single" w:sz="4" w:space="0" w:color="auto"/>
            </w:tcBorders>
          </w:tcPr>
          <w:p w:rsidR="00E0446E" w:rsidRPr="002353A1" w:rsidRDefault="00E0446E" w:rsidP="005C2E00">
            <w:pPr>
              <w:spacing w:after="0"/>
              <w:jc w:val="center"/>
              <w:rPr>
                <w:szCs w:val="24"/>
              </w:rPr>
            </w:pPr>
            <w:r w:rsidRPr="002353A1">
              <w:rPr>
                <w:szCs w:val="24"/>
              </w:rPr>
              <w:t>7%</w:t>
            </w:r>
          </w:p>
        </w:tc>
        <w:tc>
          <w:tcPr>
            <w:tcW w:w="1110" w:type="dxa"/>
            <w:tcBorders>
              <w:top w:val="single" w:sz="4" w:space="0" w:color="auto"/>
            </w:tcBorders>
          </w:tcPr>
          <w:p w:rsidR="00E0446E" w:rsidRPr="002353A1" w:rsidRDefault="00E0446E" w:rsidP="005C2E00">
            <w:pPr>
              <w:spacing w:after="0"/>
              <w:jc w:val="center"/>
              <w:rPr>
                <w:szCs w:val="24"/>
              </w:rPr>
            </w:pPr>
            <w:r w:rsidRPr="002353A1">
              <w:rPr>
                <w:szCs w:val="24"/>
              </w:rPr>
              <w:t>7%</w:t>
            </w:r>
          </w:p>
        </w:tc>
      </w:tr>
      <w:tr w:rsidR="00E0446E" w:rsidRPr="002353A1" w:rsidTr="00C40C0A">
        <w:tblPrEx>
          <w:tblCellMar>
            <w:top w:w="0" w:type="dxa"/>
            <w:bottom w:w="0" w:type="dxa"/>
          </w:tblCellMar>
        </w:tblPrEx>
        <w:trPr>
          <w:jc w:val="center"/>
        </w:trPr>
        <w:tc>
          <w:tcPr>
            <w:tcW w:w="3720" w:type="dxa"/>
          </w:tcPr>
          <w:p w:rsidR="00E0446E" w:rsidRPr="002353A1" w:rsidRDefault="00E0446E" w:rsidP="002353A1">
            <w:pPr>
              <w:spacing w:after="0"/>
              <w:rPr>
                <w:szCs w:val="24"/>
              </w:rPr>
            </w:pPr>
            <w:r w:rsidRPr="002353A1">
              <w:rPr>
                <w:szCs w:val="24"/>
              </w:rPr>
              <w:t>Ethnic Dutch/ethnic minority</w:t>
            </w:r>
          </w:p>
        </w:tc>
        <w:tc>
          <w:tcPr>
            <w:tcW w:w="1110" w:type="dxa"/>
          </w:tcPr>
          <w:p w:rsidR="00E0446E" w:rsidRPr="002353A1" w:rsidRDefault="00E0446E" w:rsidP="005C2E00">
            <w:pPr>
              <w:spacing w:after="0"/>
              <w:jc w:val="center"/>
              <w:rPr>
                <w:szCs w:val="24"/>
              </w:rPr>
            </w:pPr>
            <w:r w:rsidRPr="002353A1">
              <w:rPr>
                <w:szCs w:val="24"/>
              </w:rPr>
              <w:t>19%</w:t>
            </w:r>
          </w:p>
        </w:tc>
        <w:tc>
          <w:tcPr>
            <w:tcW w:w="1110" w:type="dxa"/>
          </w:tcPr>
          <w:p w:rsidR="00E0446E" w:rsidRPr="002353A1" w:rsidRDefault="00E0446E" w:rsidP="005C2E00">
            <w:pPr>
              <w:spacing w:after="0"/>
              <w:jc w:val="center"/>
              <w:rPr>
                <w:szCs w:val="24"/>
              </w:rPr>
            </w:pPr>
            <w:r w:rsidRPr="002353A1">
              <w:rPr>
                <w:szCs w:val="24"/>
              </w:rPr>
              <w:t>21%</w:t>
            </w:r>
          </w:p>
        </w:tc>
        <w:tc>
          <w:tcPr>
            <w:tcW w:w="1110" w:type="dxa"/>
          </w:tcPr>
          <w:p w:rsidR="00E0446E" w:rsidRPr="002353A1" w:rsidRDefault="00E0446E" w:rsidP="005C2E00">
            <w:pPr>
              <w:spacing w:after="0"/>
              <w:jc w:val="center"/>
              <w:rPr>
                <w:szCs w:val="24"/>
              </w:rPr>
            </w:pPr>
            <w:r w:rsidRPr="002353A1">
              <w:rPr>
                <w:szCs w:val="24"/>
              </w:rPr>
              <w:t>4%</w:t>
            </w:r>
          </w:p>
        </w:tc>
        <w:tc>
          <w:tcPr>
            <w:tcW w:w="1110" w:type="dxa"/>
          </w:tcPr>
          <w:p w:rsidR="00E0446E" w:rsidRPr="002353A1" w:rsidRDefault="00E0446E" w:rsidP="005C2E00">
            <w:pPr>
              <w:spacing w:after="0"/>
              <w:jc w:val="center"/>
              <w:rPr>
                <w:szCs w:val="24"/>
              </w:rPr>
            </w:pPr>
            <w:r w:rsidRPr="002353A1">
              <w:rPr>
                <w:szCs w:val="24"/>
              </w:rPr>
              <w:t>5%</w:t>
            </w:r>
          </w:p>
        </w:tc>
      </w:tr>
      <w:tr w:rsidR="00E0446E" w:rsidRPr="002353A1" w:rsidTr="00C40C0A">
        <w:tblPrEx>
          <w:tblCellMar>
            <w:top w:w="0" w:type="dxa"/>
            <w:bottom w:w="0" w:type="dxa"/>
          </w:tblCellMar>
        </w:tblPrEx>
        <w:trPr>
          <w:jc w:val="center"/>
        </w:trPr>
        <w:tc>
          <w:tcPr>
            <w:tcW w:w="3720" w:type="dxa"/>
          </w:tcPr>
          <w:p w:rsidR="00E0446E" w:rsidRPr="002353A1" w:rsidRDefault="00E0446E" w:rsidP="002353A1">
            <w:pPr>
              <w:spacing w:after="0"/>
              <w:rPr>
                <w:szCs w:val="24"/>
              </w:rPr>
            </w:pPr>
            <w:r w:rsidRPr="002353A1">
              <w:rPr>
                <w:szCs w:val="24"/>
              </w:rPr>
              <w:t>Full</w:t>
            </w:r>
            <w:r w:rsidR="00AD0DF3" w:rsidRPr="002353A1">
              <w:rPr>
                <w:szCs w:val="24"/>
              </w:rPr>
              <w:noBreakHyphen/>
            </w:r>
            <w:r w:rsidRPr="002353A1">
              <w:rPr>
                <w:szCs w:val="24"/>
              </w:rPr>
              <w:t>/part</w:t>
            </w:r>
            <w:r w:rsidR="00AD0DF3" w:rsidRPr="002353A1">
              <w:rPr>
                <w:szCs w:val="24"/>
              </w:rPr>
              <w:noBreakHyphen/>
            </w:r>
            <w:r w:rsidRPr="002353A1">
              <w:rPr>
                <w:szCs w:val="24"/>
              </w:rPr>
              <w:t>time &lt; 12 hours a week</w:t>
            </w:r>
          </w:p>
        </w:tc>
        <w:tc>
          <w:tcPr>
            <w:tcW w:w="1110" w:type="dxa"/>
          </w:tcPr>
          <w:p w:rsidR="00E0446E" w:rsidRPr="002353A1" w:rsidRDefault="00E0446E" w:rsidP="005C2E00">
            <w:pPr>
              <w:spacing w:after="0"/>
              <w:jc w:val="center"/>
              <w:rPr>
                <w:szCs w:val="24"/>
              </w:rPr>
            </w:pPr>
            <w:r w:rsidRPr="002353A1">
              <w:rPr>
                <w:szCs w:val="24"/>
              </w:rPr>
              <w:t>42%</w:t>
            </w:r>
          </w:p>
        </w:tc>
        <w:tc>
          <w:tcPr>
            <w:tcW w:w="1110" w:type="dxa"/>
          </w:tcPr>
          <w:p w:rsidR="00E0446E" w:rsidRPr="002353A1" w:rsidRDefault="00E0446E" w:rsidP="005C2E00">
            <w:pPr>
              <w:spacing w:after="0"/>
              <w:jc w:val="center"/>
              <w:rPr>
                <w:szCs w:val="24"/>
              </w:rPr>
            </w:pPr>
            <w:r w:rsidRPr="002353A1">
              <w:rPr>
                <w:szCs w:val="24"/>
              </w:rPr>
              <w:t>43%</w:t>
            </w:r>
          </w:p>
        </w:tc>
        <w:tc>
          <w:tcPr>
            <w:tcW w:w="1110" w:type="dxa"/>
          </w:tcPr>
          <w:p w:rsidR="00E0446E" w:rsidRPr="002353A1" w:rsidRDefault="00E0446E" w:rsidP="005C2E00">
            <w:pPr>
              <w:spacing w:after="0"/>
              <w:jc w:val="center"/>
              <w:rPr>
                <w:szCs w:val="24"/>
              </w:rPr>
            </w:pPr>
            <w:r w:rsidRPr="002353A1">
              <w:rPr>
                <w:szCs w:val="24"/>
              </w:rPr>
              <w:t>5%</w:t>
            </w:r>
          </w:p>
        </w:tc>
        <w:tc>
          <w:tcPr>
            <w:tcW w:w="1110" w:type="dxa"/>
          </w:tcPr>
          <w:p w:rsidR="00E0446E" w:rsidRPr="002353A1" w:rsidRDefault="00E0446E" w:rsidP="005C2E00">
            <w:pPr>
              <w:spacing w:after="0"/>
              <w:jc w:val="center"/>
              <w:rPr>
                <w:szCs w:val="24"/>
              </w:rPr>
            </w:pPr>
            <w:r w:rsidRPr="002353A1">
              <w:rPr>
                <w:szCs w:val="24"/>
              </w:rPr>
              <w:t>2%</w:t>
            </w:r>
          </w:p>
        </w:tc>
      </w:tr>
      <w:tr w:rsidR="00E0446E" w:rsidRPr="002353A1" w:rsidTr="00C40C0A">
        <w:tblPrEx>
          <w:tblCellMar>
            <w:top w:w="0" w:type="dxa"/>
            <w:bottom w:w="0" w:type="dxa"/>
          </w:tblCellMar>
        </w:tblPrEx>
        <w:trPr>
          <w:jc w:val="center"/>
        </w:trPr>
        <w:tc>
          <w:tcPr>
            <w:tcW w:w="3720" w:type="dxa"/>
          </w:tcPr>
          <w:p w:rsidR="00E0446E" w:rsidRPr="002353A1" w:rsidRDefault="00E0446E" w:rsidP="002353A1">
            <w:pPr>
              <w:spacing w:after="0"/>
              <w:rPr>
                <w:szCs w:val="24"/>
              </w:rPr>
            </w:pPr>
            <w:r w:rsidRPr="002353A1">
              <w:rPr>
                <w:szCs w:val="24"/>
              </w:rPr>
              <w:t>Full</w:t>
            </w:r>
            <w:r w:rsidR="00AD0DF3" w:rsidRPr="002353A1">
              <w:rPr>
                <w:szCs w:val="24"/>
              </w:rPr>
              <w:noBreakHyphen/>
            </w:r>
            <w:r w:rsidRPr="002353A1">
              <w:rPr>
                <w:szCs w:val="24"/>
              </w:rPr>
              <w:t>/part</w:t>
            </w:r>
            <w:r w:rsidR="00AD0DF3" w:rsidRPr="002353A1">
              <w:rPr>
                <w:szCs w:val="24"/>
              </w:rPr>
              <w:noBreakHyphen/>
            </w:r>
            <w:r w:rsidRPr="002353A1">
              <w:rPr>
                <w:szCs w:val="24"/>
              </w:rPr>
              <w:t>time &gt; 12 hours a week</w:t>
            </w:r>
          </w:p>
        </w:tc>
        <w:tc>
          <w:tcPr>
            <w:tcW w:w="1110" w:type="dxa"/>
          </w:tcPr>
          <w:p w:rsidR="00E0446E" w:rsidRPr="002353A1" w:rsidRDefault="00E0446E" w:rsidP="005C2E00">
            <w:pPr>
              <w:spacing w:after="0"/>
              <w:jc w:val="center"/>
              <w:rPr>
                <w:szCs w:val="24"/>
              </w:rPr>
            </w:pPr>
            <w:r w:rsidRPr="002353A1">
              <w:rPr>
                <w:szCs w:val="24"/>
              </w:rPr>
              <w:t>22%</w:t>
            </w:r>
          </w:p>
        </w:tc>
        <w:tc>
          <w:tcPr>
            <w:tcW w:w="1110" w:type="dxa"/>
          </w:tcPr>
          <w:p w:rsidR="00E0446E" w:rsidRPr="002353A1" w:rsidRDefault="00E0446E" w:rsidP="005C2E00">
            <w:pPr>
              <w:spacing w:after="0"/>
              <w:jc w:val="center"/>
              <w:rPr>
                <w:szCs w:val="24"/>
              </w:rPr>
            </w:pPr>
            <w:r w:rsidRPr="002353A1">
              <w:rPr>
                <w:szCs w:val="24"/>
              </w:rPr>
              <w:t>21%</w:t>
            </w:r>
          </w:p>
        </w:tc>
        <w:tc>
          <w:tcPr>
            <w:tcW w:w="1110" w:type="dxa"/>
          </w:tcPr>
          <w:p w:rsidR="00E0446E" w:rsidRPr="002353A1" w:rsidRDefault="00E0446E" w:rsidP="005C2E00">
            <w:pPr>
              <w:spacing w:after="0"/>
              <w:jc w:val="center"/>
              <w:rPr>
                <w:szCs w:val="24"/>
              </w:rPr>
            </w:pPr>
            <w:r w:rsidRPr="002353A1">
              <w:rPr>
                <w:szCs w:val="24"/>
              </w:rPr>
              <w:t>5%</w:t>
            </w:r>
          </w:p>
        </w:tc>
        <w:tc>
          <w:tcPr>
            <w:tcW w:w="1110" w:type="dxa"/>
          </w:tcPr>
          <w:p w:rsidR="00E0446E" w:rsidRPr="002353A1" w:rsidRDefault="00E0446E" w:rsidP="005C2E00">
            <w:pPr>
              <w:spacing w:after="0"/>
              <w:jc w:val="center"/>
              <w:rPr>
                <w:szCs w:val="24"/>
              </w:rPr>
            </w:pPr>
            <w:r w:rsidRPr="002353A1">
              <w:rPr>
                <w:szCs w:val="24"/>
              </w:rPr>
              <w:t>4%</w:t>
            </w:r>
          </w:p>
        </w:tc>
      </w:tr>
    </w:tbl>
    <w:p w:rsidR="00EE65BA" w:rsidRDefault="00EE65BA" w:rsidP="007625BE">
      <w:pPr>
        <w:widowControl w:val="0"/>
        <w:spacing w:after="0"/>
      </w:pPr>
    </w:p>
    <w:tbl>
      <w:tblPr>
        <w:tblW w:w="0" w:type="auto"/>
        <w:jc w:val="center"/>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0"/>
        <w:gridCol w:w="1110"/>
        <w:gridCol w:w="1110"/>
        <w:gridCol w:w="1110"/>
        <w:gridCol w:w="1110"/>
      </w:tblGrid>
      <w:tr w:rsidR="00E0446E" w:rsidRPr="002353A1" w:rsidTr="00FB46A9">
        <w:tblPrEx>
          <w:tblCellMar>
            <w:top w:w="0" w:type="dxa"/>
            <w:bottom w:w="0" w:type="dxa"/>
          </w:tblCellMar>
        </w:tblPrEx>
        <w:trPr>
          <w:tblHeader/>
          <w:jc w:val="center"/>
        </w:trPr>
        <w:tc>
          <w:tcPr>
            <w:tcW w:w="3720" w:type="dxa"/>
          </w:tcPr>
          <w:p w:rsidR="00E0446E" w:rsidRPr="002353A1" w:rsidRDefault="00EE65BA" w:rsidP="00882575">
            <w:pPr>
              <w:spacing w:after="0"/>
              <w:jc w:val="center"/>
              <w:rPr>
                <w:bCs/>
                <w:szCs w:val="24"/>
              </w:rPr>
            </w:pPr>
            <w:r>
              <w:br w:type="page"/>
            </w:r>
            <w:r w:rsidR="00E65BA5">
              <w:br w:type="page"/>
            </w:r>
            <w:r w:rsidR="00E65BA5">
              <w:rPr>
                <w:szCs w:val="24"/>
              </w:rPr>
              <w:br w:type="page"/>
            </w:r>
            <w:r w:rsidR="00E65BA5">
              <w:rPr>
                <w:szCs w:val="24"/>
              </w:rPr>
              <w:br w:type="page"/>
            </w:r>
            <w:r w:rsidR="00E0446E" w:rsidRPr="002353A1">
              <w:rPr>
                <w:bCs/>
                <w:szCs w:val="24"/>
              </w:rPr>
              <w:t>Public sector</w:t>
            </w:r>
          </w:p>
        </w:tc>
        <w:tc>
          <w:tcPr>
            <w:tcW w:w="2220" w:type="dxa"/>
            <w:gridSpan w:val="2"/>
            <w:tcBorders>
              <w:top w:val="single" w:sz="4" w:space="0" w:color="auto"/>
              <w:bottom w:val="single" w:sz="4" w:space="0" w:color="auto"/>
            </w:tcBorders>
          </w:tcPr>
          <w:p w:rsidR="00E0446E" w:rsidRPr="002353A1" w:rsidRDefault="00E0446E" w:rsidP="005C2E00">
            <w:pPr>
              <w:spacing w:after="0"/>
              <w:jc w:val="center"/>
              <w:rPr>
                <w:bCs/>
                <w:szCs w:val="24"/>
              </w:rPr>
            </w:pPr>
            <w:r w:rsidRPr="002353A1">
              <w:rPr>
                <w:bCs/>
                <w:szCs w:val="24"/>
              </w:rPr>
              <w:t>Uncorrected</w:t>
            </w:r>
          </w:p>
        </w:tc>
        <w:tc>
          <w:tcPr>
            <w:tcW w:w="2220" w:type="dxa"/>
            <w:gridSpan w:val="2"/>
            <w:tcBorders>
              <w:top w:val="single" w:sz="4" w:space="0" w:color="auto"/>
              <w:bottom w:val="single" w:sz="4" w:space="0" w:color="auto"/>
            </w:tcBorders>
          </w:tcPr>
          <w:p w:rsidR="00E0446E" w:rsidRPr="002353A1" w:rsidRDefault="00E0446E" w:rsidP="005C2E00">
            <w:pPr>
              <w:spacing w:after="0"/>
              <w:jc w:val="center"/>
              <w:rPr>
                <w:bCs/>
                <w:szCs w:val="24"/>
              </w:rPr>
            </w:pPr>
            <w:r w:rsidRPr="002353A1">
              <w:rPr>
                <w:bCs/>
                <w:szCs w:val="24"/>
              </w:rPr>
              <w:t>Corrected</w:t>
            </w:r>
          </w:p>
        </w:tc>
      </w:tr>
      <w:tr w:rsidR="00E0446E" w:rsidRPr="002353A1" w:rsidTr="00330790">
        <w:tblPrEx>
          <w:tblCellMar>
            <w:top w:w="0" w:type="dxa"/>
            <w:bottom w:w="0" w:type="dxa"/>
          </w:tblCellMar>
        </w:tblPrEx>
        <w:trPr>
          <w:trHeight w:val="64"/>
          <w:tblHeader/>
          <w:jc w:val="center"/>
        </w:trPr>
        <w:tc>
          <w:tcPr>
            <w:tcW w:w="3720" w:type="dxa"/>
            <w:tcBorders>
              <w:top w:val="nil"/>
              <w:bottom w:val="single" w:sz="4" w:space="0" w:color="auto"/>
            </w:tcBorders>
          </w:tcPr>
          <w:p w:rsidR="00E0446E" w:rsidRPr="002353A1" w:rsidRDefault="00E0446E" w:rsidP="002353A1">
            <w:pPr>
              <w:spacing w:after="0"/>
              <w:rPr>
                <w:bCs/>
                <w:szCs w:val="24"/>
              </w:rPr>
            </w:pPr>
          </w:p>
        </w:tc>
        <w:tc>
          <w:tcPr>
            <w:tcW w:w="1110" w:type="dxa"/>
            <w:tcBorders>
              <w:top w:val="nil"/>
              <w:bottom w:val="single" w:sz="4" w:space="0" w:color="auto"/>
            </w:tcBorders>
          </w:tcPr>
          <w:p w:rsidR="00E0446E" w:rsidRPr="002353A1" w:rsidRDefault="00E0446E" w:rsidP="005C2E00">
            <w:pPr>
              <w:spacing w:after="0"/>
              <w:jc w:val="center"/>
              <w:rPr>
                <w:bCs/>
                <w:szCs w:val="24"/>
              </w:rPr>
            </w:pPr>
            <w:r w:rsidRPr="002353A1">
              <w:rPr>
                <w:bCs/>
                <w:szCs w:val="24"/>
              </w:rPr>
              <w:t>2002</w:t>
            </w:r>
          </w:p>
        </w:tc>
        <w:tc>
          <w:tcPr>
            <w:tcW w:w="1110" w:type="dxa"/>
            <w:tcBorders>
              <w:top w:val="nil"/>
              <w:bottom w:val="single" w:sz="4" w:space="0" w:color="auto"/>
            </w:tcBorders>
          </w:tcPr>
          <w:p w:rsidR="00E0446E" w:rsidRPr="002353A1" w:rsidRDefault="00E0446E" w:rsidP="005C2E00">
            <w:pPr>
              <w:spacing w:after="0"/>
              <w:jc w:val="center"/>
              <w:rPr>
                <w:bCs/>
                <w:szCs w:val="24"/>
              </w:rPr>
            </w:pPr>
            <w:r w:rsidRPr="002353A1">
              <w:rPr>
                <w:bCs/>
                <w:szCs w:val="24"/>
              </w:rPr>
              <w:t>2004</w:t>
            </w:r>
          </w:p>
        </w:tc>
        <w:tc>
          <w:tcPr>
            <w:tcW w:w="1110" w:type="dxa"/>
            <w:tcBorders>
              <w:top w:val="nil"/>
              <w:bottom w:val="single" w:sz="4" w:space="0" w:color="auto"/>
            </w:tcBorders>
          </w:tcPr>
          <w:p w:rsidR="00E0446E" w:rsidRPr="002353A1" w:rsidRDefault="00E0446E" w:rsidP="005C2E00">
            <w:pPr>
              <w:spacing w:after="0"/>
              <w:jc w:val="center"/>
              <w:rPr>
                <w:bCs/>
                <w:szCs w:val="24"/>
              </w:rPr>
            </w:pPr>
            <w:r w:rsidRPr="002353A1">
              <w:rPr>
                <w:bCs/>
                <w:szCs w:val="24"/>
              </w:rPr>
              <w:t>2002</w:t>
            </w:r>
          </w:p>
        </w:tc>
        <w:tc>
          <w:tcPr>
            <w:tcW w:w="1110" w:type="dxa"/>
            <w:tcBorders>
              <w:top w:val="nil"/>
              <w:bottom w:val="single" w:sz="4" w:space="0" w:color="auto"/>
            </w:tcBorders>
          </w:tcPr>
          <w:p w:rsidR="00E0446E" w:rsidRPr="002353A1" w:rsidRDefault="00E0446E" w:rsidP="005C2E00">
            <w:pPr>
              <w:spacing w:after="0"/>
              <w:jc w:val="center"/>
              <w:rPr>
                <w:bCs/>
                <w:szCs w:val="24"/>
              </w:rPr>
            </w:pPr>
            <w:r w:rsidRPr="002353A1">
              <w:rPr>
                <w:bCs/>
                <w:szCs w:val="24"/>
              </w:rPr>
              <w:t>2004</w:t>
            </w:r>
          </w:p>
        </w:tc>
      </w:tr>
      <w:tr w:rsidR="00E0446E" w:rsidRPr="002353A1" w:rsidTr="00C40C0A">
        <w:tblPrEx>
          <w:tblCellMar>
            <w:top w:w="0" w:type="dxa"/>
            <w:bottom w:w="0" w:type="dxa"/>
          </w:tblCellMar>
        </w:tblPrEx>
        <w:trPr>
          <w:jc w:val="center"/>
        </w:trPr>
        <w:tc>
          <w:tcPr>
            <w:tcW w:w="3720" w:type="dxa"/>
            <w:tcBorders>
              <w:top w:val="single" w:sz="4" w:space="0" w:color="auto"/>
            </w:tcBorders>
          </w:tcPr>
          <w:p w:rsidR="00E0446E" w:rsidRPr="002353A1" w:rsidRDefault="00E0446E" w:rsidP="002353A1">
            <w:pPr>
              <w:spacing w:after="0"/>
              <w:rPr>
                <w:szCs w:val="24"/>
              </w:rPr>
            </w:pPr>
            <w:r w:rsidRPr="002353A1">
              <w:rPr>
                <w:szCs w:val="24"/>
              </w:rPr>
              <w:t>Men/women</w:t>
            </w:r>
          </w:p>
        </w:tc>
        <w:tc>
          <w:tcPr>
            <w:tcW w:w="1110" w:type="dxa"/>
            <w:tcBorders>
              <w:top w:val="single" w:sz="4" w:space="0" w:color="auto"/>
            </w:tcBorders>
          </w:tcPr>
          <w:p w:rsidR="00E0446E" w:rsidRPr="002353A1" w:rsidRDefault="00E0446E" w:rsidP="005C2E00">
            <w:pPr>
              <w:spacing w:after="0"/>
              <w:jc w:val="center"/>
              <w:rPr>
                <w:szCs w:val="24"/>
              </w:rPr>
            </w:pPr>
            <w:r w:rsidRPr="002353A1">
              <w:rPr>
                <w:szCs w:val="24"/>
              </w:rPr>
              <w:t>15%</w:t>
            </w:r>
          </w:p>
        </w:tc>
        <w:tc>
          <w:tcPr>
            <w:tcW w:w="1110" w:type="dxa"/>
            <w:tcBorders>
              <w:top w:val="single" w:sz="4" w:space="0" w:color="auto"/>
            </w:tcBorders>
          </w:tcPr>
          <w:p w:rsidR="00E0446E" w:rsidRPr="002353A1" w:rsidRDefault="00E0446E" w:rsidP="005C2E00">
            <w:pPr>
              <w:spacing w:after="0"/>
              <w:jc w:val="center"/>
              <w:rPr>
                <w:szCs w:val="24"/>
              </w:rPr>
            </w:pPr>
            <w:r w:rsidRPr="002353A1">
              <w:rPr>
                <w:szCs w:val="24"/>
              </w:rPr>
              <w:t>14%</w:t>
            </w:r>
          </w:p>
        </w:tc>
        <w:tc>
          <w:tcPr>
            <w:tcW w:w="1110" w:type="dxa"/>
            <w:tcBorders>
              <w:top w:val="single" w:sz="4" w:space="0" w:color="auto"/>
            </w:tcBorders>
          </w:tcPr>
          <w:p w:rsidR="00E0446E" w:rsidRPr="002353A1" w:rsidRDefault="00E0446E" w:rsidP="005C2E00">
            <w:pPr>
              <w:spacing w:after="0"/>
              <w:jc w:val="center"/>
              <w:rPr>
                <w:szCs w:val="24"/>
              </w:rPr>
            </w:pPr>
            <w:r w:rsidRPr="002353A1">
              <w:rPr>
                <w:szCs w:val="24"/>
              </w:rPr>
              <w:t>3%</w:t>
            </w:r>
          </w:p>
        </w:tc>
        <w:tc>
          <w:tcPr>
            <w:tcW w:w="1110" w:type="dxa"/>
            <w:tcBorders>
              <w:top w:val="single" w:sz="4" w:space="0" w:color="auto"/>
            </w:tcBorders>
          </w:tcPr>
          <w:p w:rsidR="00E0446E" w:rsidRPr="002353A1" w:rsidRDefault="00E0446E" w:rsidP="005C2E00">
            <w:pPr>
              <w:spacing w:after="0"/>
              <w:jc w:val="center"/>
              <w:rPr>
                <w:szCs w:val="24"/>
              </w:rPr>
            </w:pPr>
            <w:r w:rsidRPr="002353A1">
              <w:rPr>
                <w:szCs w:val="24"/>
              </w:rPr>
              <w:t>4%</w:t>
            </w:r>
          </w:p>
        </w:tc>
      </w:tr>
      <w:tr w:rsidR="00E0446E" w:rsidRPr="002353A1" w:rsidTr="00C40C0A">
        <w:tblPrEx>
          <w:tblCellMar>
            <w:top w:w="0" w:type="dxa"/>
            <w:bottom w:w="0" w:type="dxa"/>
          </w:tblCellMar>
        </w:tblPrEx>
        <w:trPr>
          <w:jc w:val="center"/>
        </w:trPr>
        <w:tc>
          <w:tcPr>
            <w:tcW w:w="3720" w:type="dxa"/>
          </w:tcPr>
          <w:p w:rsidR="00E0446E" w:rsidRPr="002353A1" w:rsidRDefault="00E0446E" w:rsidP="002353A1">
            <w:pPr>
              <w:spacing w:after="0"/>
              <w:rPr>
                <w:szCs w:val="24"/>
              </w:rPr>
            </w:pPr>
            <w:r w:rsidRPr="002353A1">
              <w:rPr>
                <w:szCs w:val="24"/>
              </w:rPr>
              <w:t>Full</w:t>
            </w:r>
            <w:r w:rsidR="00AD0DF3" w:rsidRPr="002353A1">
              <w:rPr>
                <w:szCs w:val="24"/>
              </w:rPr>
              <w:noBreakHyphen/>
            </w:r>
            <w:r w:rsidRPr="002353A1">
              <w:rPr>
                <w:szCs w:val="24"/>
              </w:rPr>
              <w:t>/part</w:t>
            </w:r>
            <w:r w:rsidR="00AD0DF3" w:rsidRPr="002353A1">
              <w:rPr>
                <w:szCs w:val="24"/>
              </w:rPr>
              <w:noBreakHyphen/>
            </w:r>
            <w:r w:rsidRPr="002353A1">
              <w:rPr>
                <w:szCs w:val="24"/>
              </w:rPr>
              <w:t>time &lt; 12 hours a week</w:t>
            </w:r>
          </w:p>
        </w:tc>
        <w:tc>
          <w:tcPr>
            <w:tcW w:w="1110" w:type="dxa"/>
          </w:tcPr>
          <w:p w:rsidR="00E0446E" w:rsidRPr="002353A1" w:rsidRDefault="00E0446E" w:rsidP="005C2E00">
            <w:pPr>
              <w:spacing w:after="0"/>
              <w:jc w:val="center"/>
              <w:rPr>
                <w:szCs w:val="24"/>
              </w:rPr>
            </w:pPr>
            <w:r w:rsidRPr="002353A1">
              <w:rPr>
                <w:szCs w:val="24"/>
              </w:rPr>
              <w:t>10%</w:t>
            </w:r>
          </w:p>
        </w:tc>
        <w:tc>
          <w:tcPr>
            <w:tcW w:w="1110" w:type="dxa"/>
          </w:tcPr>
          <w:p w:rsidR="00E0446E" w:rsidRPr="002353A1" w:rsidRDefault="00E0446E" w:rsidP="005C2E00">
            <w:pPr>
              <w:spacing w:after="0"/>
              <w:jc w:val="center"/>
              <w:rPr>
                <w:szCs w:val="24"/>
              </w:rPr>
            </w:pPr>
            <w:r w:rsidRPr="002353A1">
              <w:rPr>
                <w:szCs w:val="24"/>
              </w:rPr>
              <w:t>14%</w:t>
            </w:r>
          </w:p>
        </w:tc>
        <w:tc>
          <w:tcPr>
            <w:tcW w:w="1110" w:type="dxa"/>
          </w:tcPr>
          <w:p w:rsidR="00E0446E" w:rsidRPr="002353A1" w:rsidRDefault="00E0446E" w:rsidP="005C2E00">
            <w:pPr>
              <w:spacing w:after="0"/>
              <w:jc w:val="center"/>
              <w:rPr>
                <w:szCs w:val="24"/>
              </w:rPr>
            </w:pPr>
            <w:r w:rsidRPr="002353A1">
              <w:rPr>
                <w:szCs w:val="24"/>
              </w:rPr>
              <w:t>1%</w:t>
            </w:r>
          </w:p>
        </w:tc>
        <w:tc>
          <w:tcPr>
            <w:tcW w:w="1110" w:type="dxa"/>
          </w:tcPr>
          <w:p w:rsidR="00E0446E" w:rsidRPr="002353A1" w:rsidRDefault="00E0446E" w:rsidP="005C2E00">
            <w:pPr>
              <w:spacing w:after="0"/>
              <w:jc w:val="center"/>
              <w:rPr>
                <w:szCs w:val="24"/>
              </w:rPr>
            </w:pPr>
            <w:r w:rsidRPr="002353A1">
              <w:rPr>
                <w:szCs w:val="24"/>
              </w:rPr>
              <w:t>6%</w:t>
            </w:r>
          </w:p>
        </w:tc>
      </w:tr>
      <w:tr w:rsidR="00E0446E" w:rsidRPr="002353A1" w:rsidTr="00C40C0A">
        <w:tblPrEx>
          <w:tblCellMar>
            <w:top w:w="0" w:type="dxa"/>
            <w:bottom w:w="0" w:type="dxa"/>
          </w:tblCellMar>
        </w:tblPrEx>
        <w:trPr>
          <w:jc w:val="center"/>
        </w:trPr>
        <w:tc>
          <w:tcPr>
            <w:tcW w:w="3720" w:type="dxa"/>
          </w:tcPr>
          <w:p w:rsidR="00E0446E" w:rsidRPr="002353A1" w:rsidRDefault="00E0446E" w:rsidP="002353A1">
            <w:pPr>
              <w:spacing w:after="0"/>
              <w:rPr>
                <w:szCs w:val="24"/>
              </w:rPr>
            </w:pPr>
            <w:r w:rsidRPr="002353A1">
              <w:rPr>
                <w:szCs w:val="24"/>
              </w:rPr>
              <w:t>Full</w:t>
            </w:r>
            <w:r w:rsidR="00AD0DF3" w:rsidRPr="002353A1">
              <w:rPr>
                <w:szCs w:val="24"/>
              </w:rPr>
              <w:noBreakHyphen/>
            </w:r>
            <w:r w:rsidRPr="002353A1">
              <w:rPr>
                <w:szCs w:val="24"/>
              </w:rPr>
              <w:t>/part</w:t>
            </w:r>
            <w:r w:rsidR="00AD0DF3" w:rsidRPr="002353A1">
              <w:rPr>
                <w:szCs w:val="24"/>
              </w:rPr>
              <w:noBreakHyphen/>
            </w:r>
            <w:r w:rsidRPr="002353A1">
              <w:rPr>
                <w:szCs w:val="24"/>
              </w:rPr>
              <w:t>time &gt; 12 hours a week</w:t>
            </w:r>
          </w:p>
        </w:tc>
        <w:tc>
          <w:tcPr>
            <w:tcW w:w="1110" w:type="dxa"/>
          </w:tcPr>
          <w:p w:rsidR="00E0446E" w:rsidRPr="002353A1" w:rsidRDefault="00E0446E" w:rsidP="005C2E00">
            <w:pPr>
              <w:spacing w:after="0"/>
              <w:jc w:val="center"/>
              <w:rPr>
                <w:szCs w:val="24"/>
              </w:rPr>
            </w:pPr>
            <w:r w:rsidRPr="002353A1">
              <w:rPr>
                <w:szCs w:val="24"/>
              </w:rPr>
              <w:t>6%</w:t>
            </w:r>
          </w:p>
        </w:tc>
        <w:tc>
          <w:tcPr>
            <w:tcW w:w="1110" w:type="dxa"/>
          </w:tcPr>
          <w:p w:rsidR="00E0446E" w:rsidRPr="002353A1" w:rsidRDefault="00E0446E" w:rsidP="005C2E00">
            <w:pPr>
              <w:spacing w:after="0"/>
              <w:jc w:val="center"/>
              <w:rPr>
                <w:szCs w:val="24"/>
              </w:rPr>
            </w:pPr>
            <w:r w:rsidRPr="002353A1">
              <w:rPr>
                <w:szCs w:val="24"/>
              </w:rPr>
              <w:t>8%</w:t>
            </w:r>
          </w:p>
        </w:tc>
        <w:tc>
          <w:tcPr>
            <w:tcW w:w="1110" w:type="dxa"/>
          </w:tcPr>
          <w:p w:rsidR="00E0446E" w:rsidRPr="002353A1" w:rsidRDefault="00E0446E" w:rsidP="005C2E00">
            <w:pPr>
              <w:spacing w:after="0"/>
              <w:jc w:val="center"/>
              <w:rPr>
                <w:szCs w:val="24"/>
              </w:rPr>
            </w:pPr>
            <w:r w:rsidRPr="002353A1">
              <w:rPr>
                <w:szCs w:val="24"/>
              </w:rPr>
              <w:t>0%</w:t>
            </w:r>
          </w:p>
        </w:tc>
        <w:tc>
          <w:tcPr>
            <w:tcW w:w="1110" w:type="dxa"/>
          </w:tcPr>
          <w:p w:rsidR="00E0446E" w:rsidRPr="002353A1" w:rsidRDefault="00E0446E" w:rsidP="005C2E00">
            <w:pPr>
              <w:spacing w:after="0"/>
              <w:jc w:val="center"/>
              <w:rPr>
                <w:szCs w:val="24"/>
              </w:rPr>
            </w:pPr>
            <w:r w:rsidRPr="002353A1">
              <w:rPr>
                <w:szCs w:val="24"/>
              </w:rPr>
              <w:t>1%</w:t>
            </w:r>
          </w:p>
        </w:tc>
      </w:tr>
    </w:tbl>
    <w:p w:rsidR="00EC2B8C" w:rsidRDefault="00E0446E" w:rsidP="00A95137">
      <w:pPr>
        <w:spacing w:before="240"/>
        <w:rPr>
          <w:szCs w:val="24"/>
        </w:rPr>
      </w:pPr>
      <w:r w:rsidRPr="00581181">
        <w:rPr>
          <w:szCs w:val="24"/>
        </w:rPr>
        <w:t>124.</w:t>
      </w:r>
      <w:r w:rsidRPr="00581181">
        <w:rPr>
          <w:szCs w:val="24"/>
        </w:rPr>
        <w:tab/>
        <w:t>The Labour Inspectorate</w:t>
      </w:r>
      <w:r w:rsidR="009B7745">
        <w:rPr>
          <w:szCs w:val="24"/>
        </w:rPr>
        <w:t>’</w:t>
      </w:r>
      <w:r w:rsidRPr="00581181">
        <w:rPr>
          <w:szCs w:val="24"/>
        </w:rPr>
        <w:t>s findings show that the pay differential between people of ethnic Dutch and ethnic minority origin employed in the private sector in 2004 was 21 per cent (uncorrected). The corrected figure reveals a 5 per cent differential. The increase in the corrected pay differentials for full</w:t>
      </w:r>
      <w:r w:rsidR="00AD0DF3" w:rsidRPr="00581181">
        <w:rPr>
          <w:szCs w:val="24"/>
        </w:rPr>
        <w:noBreakHyphen/>
      </w:r>
      <w:r w:rsidRPr="00581181">
        <w:rPr>
          <w:szCs w:val="24"/>
        </w:rPr>
        <w:t>/part</w:t>
      </w:r>
      <w:r w:rsidR="00AD0DF3" w:rsidRPr="00581181">
        <w:rPr>
          <w:szCs w:val="24"/>
        </w:rPr>
        <w:noBreakHyphen/>
      </w:r>
      <w:r w:rsidRPr="00581181">
        <w:rPr>
          <w:szCs w:val="24"/>
        </w:rPr>
        <w:t>time workers &lt; 12 hours a week is mainly due to the fact that the public</w:t>
      </w:r>
      <w:r w:rsidR="00AD0DF3" w:rsidRPr="00581181">
        <w:rPr>
          <w:szCs w:val="24"/>
        </w:rPr>
        <w:noBreakHyphen/>
      </w:r>
      <w:r w:rsidRPr="00581181">
        <w:rPr>
          <w:szCs w:val="24"/>
        </w:rPr>
        <w:t>sector survey population had a very different make</w:t>
      </w:r>
      <w:r w:rsidR="00AD0DF3" w:rsidRPr="00581181">
        <w:rPr>
          <w:szCs w:val="24"/>
        </w:rPr>
        <w:noBreakHyphen/>
      </w:r>
      <w:r w:rsidRPr="00581181">
        <w:rPr>
          <w:szCs w:val="24"/>
        </w:rPr>
        <w:t>up (more low</w:t>
      </w:r>
      <w:r w:rsidR="00AD0DF3" w:rsidRPr="00581181">
        <w:rPr>
          <w:szCs w:val="24"/>
        </w:rPr>
        <w:noBreakHyphen/>
      </w:r>
      <w:r w:rsidRPr="00581181">
        <w:rPr>
          <w:szCs w:val="24"/>
        </w:rPr>
        <w:t xml:space="preserve">paid jobs, more women and fewer highly qualified jobs). In May 2006, Statistics Netherlands (CBS) published an analysis of the pay differentials for ethnic minority government employees. This showed that the uncorrected pay differential was 20 per cent, and the corrected one 4 per cent. </w:t>
      </w:r>
    </w:p>
    <w:p w:rsidR="00EC2B8C" w:rsidRDefault="00E0446E" w:rsidP="00030277">
      <w:pPr>
        <w:rPr>
          <w:szCs w:val="24"/>
        </w:rPr>
      </w:pPr>
      <w:r w:rsidRPr="00581181">
        <w:rPr>
          <w:szCs w:val="24"/>
        </w:rPr>
        <w:t>125.</w:t>
      </w:r>
      <w:r w:rsidRPr="00581181">
        <w:rPr>
          <w:szCs w:val="24"/>
        </w:rPr>
        <w:tab/>
        <w:t>Since the Labour Inspectorate</w:t>
      </w:r>
      <w:r w:rsidR="009B7745">
        <w:rPr>
          <w:szCs w:val="24"/>
        </w:rPr>
        <w:t>’</w:t>
      </w:r>
      <w:r w:rsidRPr="00581181">
        <w:rPr>
          <w:szCs w:val="24"/>
        </w:rPr>
        <w:t xml:space="preserve">s report was published in 2004, the Ministry of Social Affairs and Employment has taken action in several areas. A special equal pay working group </w:t>
      </w:r>
      <w:r w:rsidRPr="00581181">
        <w:rPr>
          <w:i/>
          <w:iCs/>
          <w:szCs w:val="24"/>
        </w:rPr>
        <w:t>Gelijke beloning, dat werkt!</w:t>
      </w:r>
      <w:r w:rsidRPr="00581181">
        <w:rPr>
          <w:szCs w:val="24"/>
        </w:rPr>
        <w:t xml:space="preserve"> (Equal pay works!) was set up in December 2005, made up of representatives from all employees</w:t>
      </w:r>
      <w:r w:rsidR="009B7745">
        <w:rPr>
          <w:szCs w:val="24"/>
        </w:rPr>
        <w:t>’</w:t>
      </w:r>
      <w:r w:rsidRPr="00581181">
        <w:rPr>
          <w:szCs w:val="24"/>
        </w:rPr>
        <w:t xml:space="preserve"> and employers</w:t>
      </w:r>
      <w:r w:rsidR="009B7745">
        <w:rPr>
          <w:szCs w:val="24"/>
        </w:rPr>
        <w:t>’</w:t>
      </w:r>
      <w:r w:rsidRPr="00581181">
        <w:rPr>
          <w:szCs w:val="24"/>
        </w:rPr>
        <w:t xml:space="preserve"> associations, interest groups fighting for better working conditions and co</w:t>
      </w:r>
      <w:r w:rsidR="00AD0DF3" w:rsidRPr="00581181">
        <w:rPr>
          <w:szCs w:val="24"/>
        </w:rPr>
        <w:noBreakHyphen/>
      </w:r>
      <w:r w:rsidRPr="00581181">
        <w:rPr>
          <w:szCs w:val="24"/>
        </w:rPr>
        <w:t>determination, and the Equal Treatment Commission. The working group adopted a bottom</w:t>
      </w:r>
      <w:r w:rsidR="00AD0DF3" w:rsidRPr="00581181">
        <w:rPr>
          <w:szCs w:val="24"/>
        </w:rPr>
        <w:noBreakHyphen/>
      </w:r>
      <w:r w:rsidRPr="00581181">
        <w:rPr>
          <w:szCs w:val="24"/>
        </w:rPr>
        <w:t>up approach focusing on good practices. The dedicated website (</w:t>
      </w:r>
      <w:hyperlink r:id="rId9" w:history="1">
        <w:r w:rsidRPr="00581181">
          <w:rPr>
            <w:szCs w:val="24"/>
          </w:rPr>
          <w:t>www.gelijkloon.nl</w:t>
        </w:r>
      </w:hyperlink>
      <w:r w:rsidRPr="00581181">
        <w:rPr>
          <w:szCs w:val="24"/>
        </w:rPr>
        <w:t>) provides employees and employers with information and tips about equal pay. The working group made recommendations to the Minister of Social Affairs and Employment on equal pay policy for Government, business, employers and employees and was disbanded in January 2007. The Minister will send his reaction to the House of Representatives.</w:t>
      </w:r>
    </w:p>
    <w:p w:rsidR="00EC2B8C" w:rsidRDefault="00E0446E" w:rsidP="00030277">
      <w:pPr>
        <w:rPr>
          <w:szCs w:val="24"/>
        </w:rPr>
      </w:pPr>
      <w:r w:rsidRPr="00581181">
        <w:rPr>
          <w:szCs w:val="24"/>
        </w:rPr>
        <w:t>126.</w:t>
      </w:r>
      <w:r w:rsidRPr="00581181">
        <w:rPr>
          <w:szCs w:val="24"/>
        </w:rPr>
        <w:tab/>
        <w:t>The Dutch trade union confederation FNV has received a special grant for the CLOSE project, which aims to reduce the gender wage gap. In seven sectors with very different wage gaps (e.g. financial institutions, health care, industry, small businesses), pay will be examined for differences between men/women, full</w:t>
      </w:r>
      <w:r w:rsidR="00AD0DF3" w:rsidRPr="00581181">
        <w:rPr>
          <w:szCs w:val="24"/>
        </w:rPr>
        <w:noBreakHyphen/>
      </w:r>
      <w:r w:rsidRPr="00581181">
        <w:rPr>
          <w:szCs w:val="24"/>
        </w:rPr>
        <w:t>/part</w:t>
      </w:r>
      <w:r w:rsidR="00AD0DF3" w:rsidRPr="00581181">
        <w:rPr>
          <w:szCs w:val="24"/>
        </w:rPr>
        <w:noBreakHyphen/>
      </w:r>
      <w:r w:rsidRPr="00581181">
        <w:rPr>
          <w:szCs w:val="24"/>
        </w:rPr>
        <w:t>time workers, ethnic minority groups and various types of contracts. The final report will be published in May 2007.</w:t>
      </w:r>
    </w:p>
    <w:p w:rsidR="00EC2B8C" w:rsidRDefault="00E0446E" w:rsidP="00030277">
      <w:pPr>
        <w:rPr>
          <w:szCs w:val="24"/>
        </w:rPr>
      </w:pPr>
      <w:r w:rsidRPr="00581181">
        <w:rPr>
          <w:szCs w:val="24"/>
        </w:rPr>
        <w:t>127.</w:t>
      </w:r>
      <w:r w:rsidRPr="00581181">
        <w:rPr>
          <w:szCs w:val="24"/>
        </w:rPr>
        <w:tab/>
        <w:t>The Labour Inspectorate has carried out an evaluation of the Equal Pay Quick Scan, which reviews pay for an entire organization. Its verdict was that this can be a useful tool for detecting pay differentials. However, the Labour Inspectorate does not have the knowledge or the resources to actually use the Quick Scan and recommends simplifying it. This tool was developed by the Ministry of Social Affairs and Employment and the Equal Treatment Commission, but is now only used by the latter. The equal pay working group will develop a new, simplified version that can be used by employers without assistance from the Commission or the Ministry.</w:t>
      </w:r>
    </w:p>
    <w:p w:rsidR="00E0446E" w:rsidRPr="00581181" w:rsidRDefault="00D02664" w:rsidP="002D1C9A">
      <w:pPr>
        <w:pStyle w:val="Heading3"/>
      </w:pPr>
      <w:r>
        <w:br w:type="page"/>
      </w:r>
      <w:r w:rsidR="00E0446E" w:rsidRPr="00581181">
        <w:t xml:space="preserve">Discrimination on the basis of colour, race, national </w:t>
      </w:r>
      <w:r w:rsidR="00E0446E" w:rsidRPr="002D1C9A">
        <w:t>extraction</w:t>
      </w:r>
      <w:r w:rsidR="00E0446E" w:rsidRPr="00581181">
        <w:t xml:space="preserve"> and religion</w:t>
      </w:r>
    </w:p>
    <w:p w:rsidR="00EC2B8C" w:rsidRDefault="00E0446E" w:rsidP="00030277">
      <w:pPr>
        <w:autoSpaceDE w:val="0"/>
        <w:autoSpaceDN w:val="0"/>
        <w:adjustRightInd w:val="0"/>
        <w:rPr>
          <w:szCs w:val="24"/>
        </w:rPr>
      </w:pPr>
      <w:r w:rsidRPr="00581181">
        <w:rPr>
          <w:szCs w:val="24"/>
        </w:rPr>
        <w:t>128.</w:t>
      </w:r>
      <w:r w:rsidRPr="00581181">
        <w:rPr>
          <w:szCs w:val="24"/>
        </w:rPr>
        <w:tab/>
        <w:t>In recent years, the Dutch Government has introduced a range of measures to combat discrimination in the labour market on the basis of race or ethnic origin, particularly in the area of recruitment and selection.</w:t>
      </w:r>
    </w:p>
    <w:p w:rsidR="00E0446E" w:rsidRPr="00581181" w:rsidRDefault="00E0446E" w:rsidP="002D1C9A">
      <w:pPr>
        <w:pStyle w:val="Heading4"/>
      </w:pPr>
      <w:r w:rsidRPr="00581181">
        <w:t xml:space="preserve">Psychological tests </w:t>
      </w:r>
    </w:p>
    <w:p w:rsidR="00EC2B8C" w:rsidRDefault="00E0446E" w:rsidP="00030277">
      <w:pPr>
        <w:autoSpaceDE w:val="0"/>
        <w:autoSpaceDN w:val="0"/>
        <w:adjustRightInd w:val="0"/>
        <w:rPr>
          <w:szCs w:val="24"/>
        </w:rPr>
      </w:pPr>
      <w:r w:rsidRPr="00581181">
        <w:rPr>
          <w:szCs w:val="24"/>
        </w:rPr>
        <w:t>129.</w:t>
      </w:r>
      <w:r w:rsidRPr="00581181">
        <w:rPr>
          <w:szCs w:val="24"/>
        </w:rPr>
        <w:tab/>
        <w:t>The Ministry of Social Affairs and Employment gave the National Bureau against Racial Discrimination (LBR) a grant for developing a procedure for psychological testing of members of ethnic minorities, together with the Netherlands Institute of Psychologists. The procedure is intended to encourage the equal treatment of ethnic minorities, so that they have equal opportunities in job applications and in a future career within a company when psychological tests and/or structured</w:t>
      </w:r>
      <w:r w:rsidRPr="00581181">
        <w:rPr>
          <w:b/>
          <w:szCs w:val="24"/>
        </w:rPr>
        <w:t xml:space="preserve"> </w:t>
      </w:r>
      <w:r w:rsidRPr="00581181">
        <w:rPr>
          <w:szCs w:val="24"/>
        </w:rPr>
        <w:t>questionnaires are used. The aim was also to compile a list of usable psychological tests for ethnic minorities, with recommendations for continued improvements. Two publications have been produced, one containing guidelines on the use of psychological tests for ethnic minorities, the other a list of usable psychological tests for ethnic minorities with recommendations. On 23 August 2005, the guidelines on the use of psychological tests for ethnic minorities were presented to the House of Representatives.</w:t>
      </w:r>
    </w:p>
    <w:p w:rsidR="00E0446E" w:rsidRPr="00581181" w:rsidRDefault="00E0446E" w:rsidP="002D1C9A">
      <w:pPr>
        <w:pStyle w:val="Heading4"/>
      </w:pPr>
      <w:r w:rsidRPr="00581181">
        <w:t>Working towards integration in the workplace</w:t>
      </w:r>
    </w:p>
    <w:p w:rsidR="00EC2B8C" w:rsidRDefault="00E0446E" w:rsidP="00030277">
      <w:pPr>
        <w:rPr>
          <w:szCs w:val="24"/>
        </w:rPr>
      </w:pPr>
      <w:r w:rsidRPr="00581181">
        <w:rPr>
          <w:szCs w:val="24"/>
        </w:rPr>
        <w:t>130.</w:t>
      </w:r>
      <w:r w:rsidRPr="00581181">
        <w:rPr>
          <w:szCs w:val="24"/>
        </w:rPr>
        <w:tab/>
        <w:t>In the first half of 2005, the Ministry of Social Affairs and Employment commissioned a survey on the removal of obstacles experienced by ethnic minorities in the labour market, such as discrimination. The survey was conducted in close collaboration with relevant civil society organizations, including ethnic minority organizations, employers</w:t>
      </w:r>
      <w:r w:rsidR="009B7745">
        <w:rPr>
          <w:szCs w:val="24"/>
        </w:rPr>
        <w:t>’</w:t>
      </w:r>
      <w:r w:rsidRPr="00581181">
        <w:rPr>
          <w:szCs w:val="24"/>
        </w:rPr>
        <w:t xml:space="preserve"> and employees</w:t>
      </w:r>
      <w:r w:rsidR="009B7745">
        <w:rPr>
          <w:szCs w:val="24"/>
        </w:rPr>
        <w:t>’</w:t>
      </w:r>
      <w:r w:rsidRPr="00581181">
        <w:rPr>
          <w:szCs w:val="24"/>
        </w:rPr>
        <w:t xml:space="preserve"> associations, the Equal Treatment Commission and anti</w:t>
      </w:r>
      <w:r w:rsidR="00AD0DF3" w:rsidRPr="00581181">
        <w:rPr>
          <w:szCs w:val="24"/>
        </w:rPr>
        <w:noBreakHyphen/>
      </w:r>
      <w:r w:rsidRPr="00581181">
        <w:rPr>
          <w:szCs w:val="24"/>
        </w:rPr>
        <w:t xml:space="preserve">discrimination bureaus. Also in 2005, two conferences were organized on the theme of working towards integration in the workplace, in which the </w:t>
      </w:r>
      <w:r w:rsidR="00A80425">
        <w:rPr>
          <w:szCs w:val="24"/>
        </w:rPr>
        <w:t>ab</w:t>
      </w:r>
      <w:r w:rsidR="00A80425" w:rsidRPr="00581181">
        <w:rPr>
          <w:szCs w:val="24"/>
        </w:rPr>
        <w:t>ove</w:t>
      </w:r>
      <w:r w:rsidR="00AD0DF3" w:rsidRPr="00581181">
        <w:rPr>
          <w:szCs w:val="24"/>
        </w:rPr>
        <w:noBreakHyphen/>
      </w:r>
      <w:r w:rsidRPr="00581181">
        <w:rPr>
          <w:szCs w:val="24"/>
        </w:rPr>
        <w:t>mentioned organizations were very actively involved. Good practices were shared and reciprocal agreements were made aimed at removing obstacles in the labour market and combating discrimination.</w:t>
      </w:r>
    </w:p>
    <w:p w:rsidR="00E0446E" w:rsidRPr="00581181" w:rsidRDefault="00E0446E" w:rsidP="002D1C9A">
      <w:pPr>
        <w:pStyle w:val="Heading4"/>
      </w:pPr>
      <w:r w:rsidRPr="00581181">
        <w:t>Discriminatie? Bel gelijk! awareness</w:t>
      </w:r>
      <w:r w:rsidR="00AD0DF3" w:rsidRPr="00581181">
        <w:noBreakHyphen/>
      </w:r>
      <w:r w:rsidRPr="00581181">
        <w:t xml:space="preserve">raising campaign </w:t>
      </w:r>
    </w:p>
    <w:p w:rsidR="00EC2B8C" w:rsidRDefault="00E0446E" w:rsidP="00030277">
      <w:pPr>
        <w:rPr>
          <w:szCs w:val="24"/>
        </w:rPr>
      </w:pPr>
      <w:r w:rsidRPr="00581181">
        <w:rPr>
          <w:szCs w:val="24"/>
        </w:rPr>
        <w:t>131.</w:t>
      </w:r>
      <w:r w:rsidRPr="00581181">
        <w:rPr>
          <w:szCs w:val="24"/>
        </w:rPr>
        <w:tab/>
        <w:t>The awareness</w:t>
      </w:r>
      <w:r w:rsidR="00AD0DF3" w:rsidRPr="00581181">
        <w:rPr>
          <w:szCs w:val="24"/>
        </w:rPr>
        <w:noBreakHyphen/>
      </w:r>
      <w:r w:rsidRPr="00581181">
        <w:rPr>
          <w:szCs w:val="24"/>
        </w:rPr>
        <w:t xml:space="preserve">raising campaign </w:t>
      </w:r>
      <w:r w:rsidRPr="00581181">
        <w:rPr>
          <w:i/>
          <w:iCs/>
          <w:szCs w:val="24"/>
        </w:rPr>
        <w:t>Discriminatie? Bel gelijk!</w:t>
      </w:r>
      <w:r w:rsidRPr="00581181">
        <w:rPr>
          <w:szCs w:val="24"/>
        </w:rPr>
        <w:t xml:space="preserve"> (Discrimination? Call now!) was launched on 29 June 2004. It encouraged victims of discrimination and anyone with concerns about suspected discrimination to call a national helpline (0900 2 354 354) or visit a dedicated website (</w:t>
      </w:r>
      <w:hyperlink r:id="rId10" w:history="1">
        <w:r w:rsidRPr="00581181">
          <w:rPr>
            <w:szCs w:val="24"/>
          </w:rPr>
          <w:t>www.belgelijk.nl</w:t>
        </w:r>
      </w:hyperlink>
      <w:r w:rsidRPr="00581181">
        <w:rPr>
          <w:szCs w:val="24"/>
        </w:rPr>
        <w:t>) for advice and information. The helpline puts callers in touch with a network of organizations specialising in equal treatment and non</w:t>
      </w:r>
      <w:r w:rsidR="00AD0DF3" w:rsidRPr="00581181">
        <w:rPr>
          <w:szCs w:val="24"/>
        </w:rPr>
        <w:noBreakHyphen/>
      </w:r>
      <w:r w:rsidRPr="00581181">
        <w:rPr>
          <w:szCs w:val="24"/>
        </w:rPr>
        <w:t>discrimination issues. These anti</w:t>
      </w:r>
      <w:r w:rsidR="00AD0DF3" w:rsidRPr="00581181">
        <w:rPr>
          <w:szCs w:val="24"/>
        </w:rPr>
        <w:noBreakHyphen/>
      </w:r>
      <w:r w:rsidRPr="00581181">
        <w:rPr>
          <w:szCs w:val="24"/>
        </w:rPr>
        <w:t>discrimination agencies work together to provide an appropriate problem</w:t>
      </w:r>
      <w:r w:rsidR="00AD0DF3" w:rsidRPr="00581181">
        <w:rPr>
          <w:szCs w:val="24"/>
        </w:rPr>
        <w:noBreakHyphen/>
      </w:r>
      <w:r w:rsidRPr="00581181">
        <w:rPr>
          <w:szCs w:val="24"/>
        </w:rPr>
        <w:t>solving service and to exchange relevant expertise. They make sure telephone lines are manned and provide information and help where necessary. They can also refer callers to national, specialist agencies or to the Equal Treatment Commission. The project was implemented by RADAR (the Rotterdam Anti</w:t>
      </w:r>
      <w:r w:rsidR="00AD0DF3" w:rsidRPr="00581181">
        <w:rPr>
          <w:szCs w:val="24"/>
        </w:rPr>
        <w:noBreakHyphen/>
      </w:r>
      <w:r w:rsidRPr="00581181">
        <w:rPr>
          <w:szCs w:val="24"/>
        </w:rPr>
        <w:t>Discrimination Action Council) via the National Federation of Anti</w:t>
      </w:r>
      <w:r w:rsidR="00AD0DF3" w:rsidRPr="00581181">
        <w:rPr>
          <w:szCs w:val="24"/>
        </w:rPr>
        <w:noBreakHyphen/>
      </w:r>
      <w:r w:rsidRPr="00581181">
        <w:rPr>
          <w:szCs w:val="24"/>
        </w:rPr>
        <w:t xml:space="preserve">Discrimination Bureaus and Hotlines. </w:t>
      </w:r>
    </w:p>
    <w:p w:rsidR="00EC2B8C" w:rsidRDefault="00270E3B" w:rsidP="00030277">
      <w:pPr>
        <w:rPr>
          <w:szCs w:val="24"/>
        </w:rPr>
      </w:pPr>
      <w:r>
        <w:rPr>
          <w:szCs w:val="24"/>
        </w:rPr>
        <w:br w:type="page"/>
      </w:r>
      <w:r w:rsidR="00E0446E" w:rsidRPr="00581181">
        <w:rPr>
          <w:szCs w:val="24"/>
        </w:rPr>
        <w:t>132.</w:t>
      </w:r>
      <w:r w:rsidR="00E0446E" w:rsidRPr="00581181">
        <w:rPr>
          <w:szCs w:val="24"/>
        </w:rPr>
        <w:tab/>
        <w:t>The initial campaign targeted discrimination on all the grounds listed in article 13 of the European Community Treaty (sex, racial or ethnic origin, religion or belief, disability, age or sexual orientation), as well as other areas, such as employment. It received 80% of its funding from the Community Action Programme to Combat Discrimination (article 13 of the EC Treaty) and the remaining 20% jointly from four ministries: Interior and Kingdom Relations; Health, Welfare and Sport; Justice (Immigration and Integration); and Social Affairs and Employment.</w:t>
      </w:r>
    </w:p>
    <w:p w:rsidR="00E0446E" w:rsidRPr="00581181" w:rsidRDefault="00E0446E" w:rsidP="002D1C9A">
      <w:pPr>
        <w:pStyle w:val="Heading4"/>
      </w:pPr>
      <w:r w:rsidRPr="00581181">
        <w:t>Discriminatie? Niet met mij! awareness</w:t>
      </w:r>
      <w:r w:rsidR="00AD0DF3" w:rsidRPr="00581181">
        <w:noBreakHyphen/>
      </w:r>
      <w:r w:rsidRPr="00581181">
        <w:t>raising campaign</w:t>
      </w:r>
    </w:p>
    <w:p w:rsidR="00EC2B8C" w:rsidRDefault="00E0446E" w:rsidP="00030277">
      <w:pPr>
        <w:rPr>
          <w:rStyle w:val="Tekst"/>
          <w:rFonts w:ascii="Times New Roman" w:hAnsi="Times New Roman"/>
          <w:sz w:val="24"/>
          <w:szCs w:val="24"/>
        </w:rPr>
      </w:pPr>
      <w:r w:rsidRPr="00581181">
        <w:rPr>
          <w:rStyle w:val="tekst0"/>
          <w:rFonts w:ascii="Times New Roman" w:hAnsi="Times New Roman"/>
          <w:szCs w:val="24"/>
        </w:rPr>
        <w:t>133.</w:t>
      </w:r>
      <w:r w:rsidRPr="00581181">
        <w:rPr>
          <w:rStyle w:val="tekst0"/>
          <w:rFonts w:ascii="Times New Roman" w:hAnsi="Times New Roman"/>
          <w:szCs w:val="24"/>
        </w:rPr>
        <w:tab/>
        <w:t xml:space="preserve">On 1 December 2004, </w:t>
      </w:r>
      <w:r w:rsidRPr="00581181">
        <w:rPr>
          <w:rStyle w:val="tekst0"/>
          <w:rFonts w:ascii="Times New Roman" w:hAnsi="Times New Roman"/>
          <w:i/>
          <w:iCs/>
          <w:szCs w:val="24"/>
        </w:rPr>
        <w:t>Discriminatie</w:t>
      </w:r>
      <w:r w:rsidRPr="00581181">
        <w:rPr>
          <w:i/>
          <w:iCs/>
          <w:szCs w:val="24"/>
        </w:rPr>
        <w:t>?</w:t>
      </w:r>
      <w:r w:rsidRPr="00581181">
        <w:rPr>
          <w:rStyle w:val="tekst0"/>
          <w:rFonts w:ascii="Times New Roman" w:hAnsi="Times New Roman"/>
          <w:i/>
          <w:iCs/>
          <w:szCs w:val="24"/>
        </w:rPr>
        <w:t xml:space="preserve"> Niet met mij</w:t>
      </w:r>
      <w:r w:rsidRPr="00581181">
        <w:rPr>
          <w:rStyle w:val="tekst0"/>
          <w:rFonts w:ascii="Times New Roman" w:hAnsi="Times New Roman"/>
          <w:szCs w:val="24"/>
        </w:rPr>
        <w:t xml:space="preserve"> (Discrimination? Not against me!) succeeded the </w:t>
      </w:r>
      <w:r w:rsidR="009B7745">
        <w:rPr>
          <w:rStyle w:val="tekst0"/>
          <w:rFonts w:ascii="Times New Roman" w:hAnsi="Times New Roman"/>
          <w:szCs w:val="24"/>
        </w:rPr>
        <w:t>“</w:t>
      </w:r>
      <w:r w:rsidRPr="00581181">
        <w:rPr>
          <w:rStyle w:val="tekst0"/>
          <w:rFonts w:ascii="Times New Roman" w:hAnsi="Times New Roman"/>
          <w:szCs w:val="24"/>
        </w:rPr>
        <w:t>Call now</w:t>
      </w:r>
      <w:r w:rsidR="009B7745">
        <w:rPr>
          <w:rStyle w:val="tekst0"/>
          <w:rFonts w:ascii="Times New Roman" w:hAnsi="Times New Roman"/>
          <w:szCs w:val="24"/>
        </w:rPr>
        <w:t>”</w:t>
      </w:r>
      <w:r w:rsidRPr="00581181">
        <w:rPr>
          <w:rStyle w:val="tekst0"/>
          <w:rFonts w:ascii="Times New Roman" w:hAnsi="Times New Roman"/>
          <w:szCs w:val="24"/>
        </w:rPr>
        <w:t xml:space="preserve"> campaign and is funded in exactly the same way as its predecessor.</w:t>
      </w:r>
      <w:r w:rsidRPr="00581181">
        <w:rPr>
          <w:szCs w:val="24"/>
        </w:rPr>
        <w:t xml:space="preserve"> The new campaign is being implemented by a number of organizations, among them the National Bureau against Racial Discrimination, and is targeted mainly at people who are at risk of discrimination and unfair treatment. They are offered information on how to minimize the impact of discrimination in their daily lives and how to cope with both deliberate and unintentional discrimination. The campaign also targets the institutional setting in which discriminatory behaviour can occur. A brochure containing practical advice on how to deal with discrimination has been published.</w:t>
      </w:r>
      <w:r w:rsidRPr="00581181">
        <w:rPr>
          <w:rStyle w:val="Tekst"/>
          <w:rFonts w:ascii="Times New Roman" w:hAnsi="Times New Roman"/>
          <w:sz w:val="24"/>
          <w:szCs w:val="24"/>
        </w:rPr>
        <w:t xml:space="preserve"> The first copy was presented to the State Secretary for Social Affairs and Employment on 31 January 2006. A reader advising organizations on how to tackle discrimination has also been published. At the request of Parliament, a publicity campaign will be launched in 2008 to coincide with the introduction of discrimination legislation in order to inform the public about how to report cases of discrimination and the support available for the victims.</w:t>
      </w:r>
    </w:p>
    <w:p w:rsidR="00E0446E" w:rsidRPr="00581181" w:rsidRDefault="00E0446E" w:rsidP="002D1C9A">
      <w:pPr>
        <w:pStyle w:val="Heading4"/>
      </w:pPr>
      <w:r w:rsidRPr="00581181">
        <w:t>Equal treatment at work</w:t>
      </w:r>
    </w:p>
    <w:p w:rsidR="00EC2B8C" w:rsidRDefault="00E0446E" w:rsidP="00030277">
      <w:pPr>
        <w:rPr>
          <w:szCs w:val="24"/>
        </w:rPr>
      </w:pPr>
      <w:r w:rsidRPr="00581181">
        <w:rPr>
          <w:szCs w:val="24"/>
        </w:rPr>
        <w:t>134.</w:t>
      </w:r>
      <w:r w:rsidRPr="00581181">
        <w:rPr>
          <w:szCs w:val="24"/>
        </w:rPr>
        <w:tab/>
        <w:t xml:space="preserve">In 2005, the Ministry of Social Affairs and Employment published the results of a study on equal treatment at work </w:t>
      </w:r>
      <w:r w:rsidRPr="00581181">
        <w:rPr>
          <w:i/>
          <w:iCs/>
          <w:szCs w:val="24"/>
        </w:rPr>
        <w:t>(Gelijke behandeling in bedrijf)</w:t>
      </w:r>
      <w:r w:rsidRPr="00581181">
        <w:rPr>
          <w:szCs w:val="24"/>
        </w:rPr>
        <w:t>, commissioned from IVA Beleidsonderzoek en Advies. The study focused on six different but related topics: recruitment and selection, pre</w:t>
      </w:r>
      <w:r w:rsidR="00AD0DF3" w:rsidRPr="00581181">
        <w:rPr>
          <w:szCs w:val="24"/>
        </w:rPr>
        <w:noBreakHyphen/>
      </w:r>
      <w:r w:rsidRPr="00581181">
        <w:rPr>
          <w:szCs w:val="24"/>
        </w:rPr>
        <w:t>employment medical examinations, affirmative action policy and equal treatment on the basis of age, disability or chronic illness, and sexual orientation. The reasons for commissioning the study included the entry into force of new equal treatment legislation (concerning discrimination on the basis of disability, chronic illness and age), warning signs about the worsening position of gays and lesbians in the workplace, the new regulations on pre</w:t>
      </w:r>
      <w:r w:rsidR="00AD0DF3" w:rsidRPr="00581181">
        <w:rPr>
          <w:szCs w:val="24"/>
        </w:rPr>
        <w:noBreakHyphen/>
      </w:r>
      <w:r w:rsidRPr="00581181">
        <w:rPr>
          <w:szCs w:val="24"/>
        </w:rPr>
        <w:t>employment medical examinations, the demand for implementation of the Labour Foundation</w:t>
      </w:r>
      <w:r w:rsidR="009B7745">
        <w:rPr>
          <w:szCs w:val="24"/>
        </w:rPr>
        <w:t>’</w:t>
      </w:r>
      <w:r w:rsidRPr="00581181">
        <w:rPr>
          <w:szCs w:val="24"/>
        </w:rPr>
        <w:t>s recommendations for scrupulous recruitment and selection procedures, and to raise the profile of the complaints office of the Dutch Association for Personnel Management and Organization Development (NVP). The results of the study and a summary in English are to be found in Annex IV.</w:t>
      </w:r>
    </w:p>
    <w:p w:rsidR="00E0446E" w:rsidRPr="00581181" w:rsidRDefault="00E0446E" w:rsidP="002D1C9A">
      <w:pPr>
        <w:pStyle w:val="Heading3"/>
      </w:pPr>
      <w:r w:rsidRPr="00581181">
        <w:t>Measures designed to improve perceptions, combat discrimination and encourage employment</w:t>
      </w:r>
    </w:p>
    <w:p w:rsidR="00EC2B8C" w:rsidRDefault="00E0446E" w:rsidP="00030277">
      <w:pPr>
        <w:rPr>
          <w:szCs w:val="24"/>
        </w:rPr>
      </w:pPr>
      <w:r w:rsidRPr="00581181">
        <w:rPr>
          <w:szCs w:val="24"/>
        </w:rPr>
        <w:t>135.</w:t>
      </w:r>
      <w:r w:rsidRPr="00581181">
        <w:rPr>
          <w:szCs w:val="24"/>
        </w:rPr>
        <w:tab/>
        <w:t xml:space="preserve">As part of the Social Cohesion Initiative, the Ministry of Social Affairs and Employment has agreed on a number of activities with the social partners, civil society organizations and ethnic minority organizations. These activities are now all under way and are periodically monitored. If the methods developed prove to be effective, the Ministry will in due course try to determine how they can be incorporated into formal policy. </w:t>
      </w:r>
    </w:p>
    <w:p w:rsidR="00EC2B8C" w:rsidRDefault="00E0446E" w:rsidP="00030277">
      <w:pPr>
        <w:rPr>
          <w:szCs w:val="24"/>
        </w:rPr>
      </w:pPr>
      <w:r w:rsidRPr="00581181">
        <w:rPr>
          <w:szCs w:val="24"/>
        </w:rPr>
        <w:t>136.</w:t>
      </w:r>
      <w:r w:rsidRPr="00581181">
        <w:rPr>
          <w:szCs w:val="24"/>
        </w:rPr>
        <w:tab/>
        <w:t xml:space="preserve">During the Work Summit on 1 December 2005, the Government and the social partners entered into agreements on the subject of the employment of ethnic minorities. One of the points agreed upon was that the Labour Foundation would draw up recommendations for companies and the parties that negotiate collective agreements on corporate minority policies and how to combat discrimination (recruitment and selection, unequal treatment, diversity policy, role of employee participation bodies). </w:t>
      </w:r>
    </w:p>
    <w:p w:rsidR="00E0446E" w:rsidRPr="00581181" w:rsidRDefault="00E0446E" w:rsidP="00030277">
      <w:pPr>
        <w:rPr>
          <w:szCs w:val="24"/>
        </w:rPr>
      </w:pPr>
      <w:r w:rsidRPr="00581181">
        <w:rPr>
          <w:szCs w:val="24"/>
        </w:rPr>
        <w:t>137.</w:t>
      </w:r>
      <w:r w:rsidRPr="00581181">
        <w:rPr>
          <w:szCs w:val="24"/>
        </w:rPr>
        <w:tab/>
        <w:t>Partly as a result of the Work Summit, the social partners that consult within the Labour Foundation formulated recommendations aimed at increasing employment among ethnic minorities and enhancing mutual understanding and respect in the workplace. The recommendations covered the following topics:</w:t>
      </w:r>
    </w:p>
    <w:p w:rsidR="00E0446E" w:rsidRPr="00581181" w:rsidRDefault="00E0446E" w:rsidP="002D1C9A">
      <w:pPr>
        <w:pStyle w:val="Bullet"/>
      </w:pPr>
      <w:r w:rsidRPr="00581181">
        <w:t>Increasing s</w:t>
      </w:r>
      <w:r w:rsidR="005E6E22">
        <w:t>ocial cohesion in the workplace</w:t>
      </w:r>
    </w:p>
    <w:p w:rsidR="00E0446E" w:rsidRPr="00581181" w:rsidRDefault="005E6E22" w:rsidP="002D1C9A">
      <w:pPr>
        <w:pStyle w:val="Bullet"/>
      </w:pPr>
      <w:r>
        <w:t>Multicultural personnel policy</w:t>
      </w:r>
    </w:p>
    <w:p w:rsidR="00E0446E" w:rsidRPr="00581181" w:rsidRDefault="00E0446E" w:rsidP="002D1C9A">
      <w:pPr>
        <w:pStyle w:val="Bullet"/>
      </w:pPr>
      <w:r w:rsidRPr="00581181">
        <w:t>Recruitment and selection and unequal treatment and</w:t>
      </w:r>
    </w:p>
    <w:p w:rsidR="00EC2B8C" w:rsidRDefault="00E0446E" w:rsidP="002D1C9A">
      <w:pPr>
        <w:pStyle w:val="Bullet"/>
      </w:pPr>
      <w:r w:rsidRPr="00581181">
        <w:t>Courses combining work and learning</w:t>
      </w:r>
    </w:p>
    <w:p w:rsidR="00EC2B8C" w:rsidRDefault="00E0446E" w:rsidP="00030277">
      <w:pPr>
        <w:rPr>
          <w:szCs w:val="24"/>
        </w:rPr>
      </w:pPr>
      <w:r w:rsidRPr="00581181">
        <w:rPr>
          <w:szCs w:val="24"/>
        </w:rPr>
        <w:t>138.</w:t>
      </w:r>
      <w:r w:rsidRPr="00581181">
        <w:rPr>
          <w:szCs w:val="24"/>
        </w:rPr>
        <w:tab/>
        <w:t xml:space="preserve">The Labour Foundation also updated the declaration on equal treatment in the labour market. Both the recommendations and the declaration are included in a document on cooperation in the workplace entitled </w:t>
      </w:r>
      <w:r w:rsidRPr="00581181">
        <w:rPr>
          <w:i/>
          <w:iCs/>
          <w:szCs w:val="24"/>
        </w:rPr>
        <w:t>Samen werken op de vloer</w:t>
      </w:r>
      <w:r w:rsidRPr="00581181">
        <w:rPr>
          <w:szCs w:val="24"/>
        </w:rPr>
        <w:t xml:space="preserve"> (20 January 2006, publication number 2/06). It was also agreed with employers</w:t>
      </w:r>
      <w:r w:rsidR="009B7745">
        <w:rPr>
          <w:szCs w:val="24"/>
        </w:rPr>
        <w:t>’</w:t>
      </w:r>
      <w:r w:rsidRPr="00581181">
        <w:rPr>
          <w:szCs w:val="24"/>
        </w:rPr>
        <w:t xml:space="preserve"> and employees</w:t>
      </w:r>
      <w:r w:rsidR="009B7745">
        <w:rPr>
          <w:szCs w:val="24"/>
        </w:rPr>
        <w:t>’</w:t>
      </w:r>
      <w:r w:rsidRPr="00581181">
        <w:rPr>
          <w:szCs w:val="24"/>
        </w:rPr>
        <w:t xml:space="preserve"> associations that they would campaign for a national discrimination monitor for the labour market to be set up by the Government. This has now been launched. </w:t>
      </w:r>
    </w:p>
    <w:p w:rsidR="00E0446E" w:rsidRPr="00581181" w:rsidRDefault="00E0446E" w:rsidP="005A2046">
      <w:pPr>
        <w:pStyle w:val="Heading3"/>
      </w:pPr>
      <w:r w:rsidRPr="00581181">
        <w:t>National discrimination monitor for the labour market</w:t>
      </w:r>
    </w:p>
    <w:p w:rsidR="00EC2B8C" w:rsidRDefault="00E0446E" w:rsidP="00030277">
      <w:pPr>
        <w:rPr>
          <w:szCs w:val="24"/>
        </w:rPr>
      </w:pPr>
      <w:r w:rsidRPr="00581181">
        <w:rPr>
          <w:szCs w:val="24"/>
        </w:rPr>
        <w:t>139.</w:t>
      </w:r>
      <w:r w:rsidRPr="00581181">
        <w:rPr>
          <w:szCs w:val="24"/>
        </w:rPr>
        <w:tab/>
        <w:t>The first national discrimination monitor for the labour market was introduced on</w:t>
      </w:r>
      <w:r w:rsidR="00EE53DA">
        <w:rPr>
          <w:szCs w:val="24"/>
        </w:rPr>
        <w:t> </w:t>
      </w:r>
      <w:r w:rsidRPr="00581181">
        <w:rPr>
          <w:szCs w:val="24"/>
        </w:rPr>
        <w:t>15</w:t>
      </w:r>
      <w:r w:rsidR="00EE53DA">
        <w:rPr>
          <w:szCs w:val="24"/>
        </w:rPr>
        <w:t> </w:t>
      </w:r>
      <w:r w:rsidRPr="00581181">
        <w:rPr>
          <w:szCs w:val="24"/>
        </w:rPr>
        <w:t>December 2006 and the results will be presented in October 2007. Towards the end of</w:t>
      </w:r>
      <w:r w:rsidR="00EE53DA">
        <w:rPr>
          <w:szCs w:val="24"/>
        </w:rPr>
        <w:t> </w:t>
      </w:r>
      <w:r w:rsidRPr="00581181">
        <w:rPr>
          <w:szCs w:val="24"/>
        </w:rPr>
        <w:t xml:space="preserve">2008, a second monitor will be set up, and the results are expected in October 2009. </w:t>
      </w:r>
    </w:p>
    <w:p w:rsidR="00E0446E" w:rsidRPr="00581181" w:rsidRDefault="00E0446E" w:rsidP="00030277">
      <w:pPr>
        <w:rPr>
          <w:szCs w:val="24"/>
        </w:rPr>
      </w:pPr>
      <w:r w:rsidRPr="00581181">
        <w:rPr>
          <w:szCs w:val="24"/>
        </w:rPr>
        <w:t>140.</w:t>
      </w:r>
      <w:r w:rsidRPr="00581181">
        <w:rPr>
          <w:szCs w:val="24"/>
        </w:rPr>
        <w:tab/>
        <w:t>The purpose of this monitor is to identify the nature and extent of discrimination in the labour market on the basis of race, religion and nationality and to pinpoint trends that emerge over time. The underlying objectives are to effectively prevent and combat discrimination and to promote equal opportunities in the labour market for all. The monitor will help improve insight into the actual extent of discrimination in the Dutch labour market. The intention is to set up this kind of discrimination monitor every two years covering all aspects of the labour market (recruitment/selection, transfers, departures, etc.). The first part of the monitoring exercise is the registration/monitoring of discrimination complaints, reports and decisions that are known to the anti</w:t>
      </w:r>
      <w:r w:rsidR="00AD0DF3" w:rsidRPr="00581181">
        <w:rPr>
          <w:szCs w:val="24"/>
        </w:rPr>
        <w:noBreakHyphen/>
      </w:r>
      <w:r w:rsidRPr="00581181">
        <w:rPr>
          <w:szCs w:val="24"/>
        </w:rPr>
        <w:t xml:space="preserve">discrimination bureaus, the Equal Treatment Commission, the social partners, the National Ombudsman, the police and the courts. The whole history of a complaint is documented, where possible. The second part of the exercise focuses on direct discrimination, statistical discrimination and indirect discrimination. The extent to which discrimination occurs in each of the various areas of the labour market is examined, with a breakdown by type of discrimination. </w:t>
      </w:r>
    </w:p>
    <w:p w:rsidR="00E0446E" w:rsidRPr="00581181" w:rsidRDefault="005A2046" w:rsidP="005A2046">
      <w:pPr>
        <w:pStyle w:val="Heading2"/>
      </w:pPr>
      <w:r w:rsidRPr="00581181">
        <w:t>Table</w:t>
      </w:r>
    </w:p>
    <w:tbl>
      <w:tblPr>
        <w:tblW w:w="8636" w:type="dxa"/>
        <w:tblInd w:w="70" w:type="dxa"/>
        <w:tblCellMar>
          <w:left w:w="70" w:type="dxa"/>
          <w:right w:w="70" w:type="dxa"/>
        </w:tblCellMar>
        <w:tblLook w:val="0000" w:firstRow="0" w:lastRow="0" w:firstColumn="0" w:lastColumn="0" w:noHBand="0" w:noVBand="0"/>
      </w:tblPr>
      <w:tblGrid>
        <w:gridCol w:w="3456"/>
        <w:gridCol w:w="1036"/>
        <w:gridCol w:w="1036"/>
        <w:gridCol w:w="1036"/>
        <w:gridCol w:w="1036"/>
        <w:gridCol w:w="1036"/>
      </w:tblGrid>
      <w:tr w:rsidR="00E0446E" w:rsidRPr="005A2046" w:rsidTr="00E7197D">
        <w:trPr>
          <w:trHeight w:val="255"/>
        </w:trPr>
        <w:tc>
          <w:tcPr>
            <w:tcW w:w="3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46E" w:rsidRPr="005A2046" w:rsidRDefault="00E0446E" w:rsidP="005A2046">
            <w:pPr>
              <w:spacing w:after="0"/>
              <w:jc w:val="center"/>
              <w:rPr>
                <w:szCs w:val="24"/>
              </w:rPr>
            </w:pP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E0446E" w:rsidRPr="005A2046" w:rsidRDefault="00E0446E" w:rsidP="005A2046">
            <w:pPr>
              <w:spacing w:after="0"/>
              <w:jc w:val="center"/>
              <w:rPr>
                <w:bCs/>
                <w:szCs w:val="24"/>
              </w:rPr>
            </w:pPr>
            <w:r w:rsidRPr="005A2046">
              <w:rPr>
                <w:bCs/>
                <w:szCs w:val="24"/>
              </w:rPr>
              <w:t>2001</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E0446E" w:rsidRPr="005A2046" w:rsidRDefault="00E0446E" w:rsidP="005A2046">
            <w:pPr>
              <w:spacing w:after="0"/>
              <w:jc w:val="center"/>
              <w:rPr>
                <w:bCs/>
                <w:szCs w:val="24"/>
              </w:rPr>
            </w:pPr>
            <w:r w:rsidRPr="005A2046">
              <w:rPr>
                <w:bCs/>
                <w:szCs w:val="24"/>
              </w:rPr>
              <w:t>2002</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E0446E" w:rsidRPr="005A2046" w:rsidRDefault="00E0446E" w:rsidP="005A2046">
            <w:pPr>
              <w:spacing w:after="0"/>
              <w:jc w:val="center"/>
              <w:rPr>
                <w:bCs/>
                <w:szCs w:val="24"/>
              </w:rPr>
            </w:pPr>
            <w:r w:rsidRPr="005A2046">
              <w:rPr>
                <w:bCs/>
                <w:szCs w:val="24"/>
              </w:rPr>
              <w:t>2003</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E0446E" w:rsidRPr="005A2046" w:rsidRDefault="00E0446E" w:rsidP="005A2046">
            <w:pPr>
              <w:spacing w:after="0"/>
              <w:jc w:val="center"/>
              <w:rPr>
                <w:bCs/>
                <w:szCs w:val="24"/>
              </w:rPr>
            </w:pPr>
            <w:r w:rsidRPr="005A2046">
              <w:rPr>
                <w:bCs/>
                <w:szCs w:val="24"/>
              </w:rPr>
              <w:t>2004</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E0446E" w:rsidRPr="005A2046" w:rsidRDefault="00E0446E" w:rsidP="005A2046">
            <w:pPr>
              <w:spacing w:after="0"/>
              <w:jc w:val="center"/>
              <w:rPr>
                <w:bCs/>
                <w:szCs w:val="24"/>
              </w:rPr>
            </w:pPr>
            <w:r w:rsidRPr="005A2046">
              <w:rPr>
                <w:bCs/>
                <w:szCs w:val="24"/>
              </w:rPr>
              <w:t>2005</w:t>
            </w:r>
          </w:p>
        </w:tc>
      </w:tr>
      <w:tr w:rsidR="00E0446E" w:rsidRPr="005A2046" w:rsidTr="00E7197D">
        <w:trPr>
          <w:trHeight w:val="255"/>
        </w:trPr>
        <w:tc>
          <w:tcPr>
            <w:tcW w:w="3456" w:type="dxa"/>
            <w:tcBorders>
              <w:top w:val="single" w:sz="4" w:space="0" w:color="auto"/>
              <w:left w:val="single" w:sz="4" w:space="0" w:color="auto"/>
              <w:right w:val="single" w:sz="4" w:space="0" w:color="auto"/>
            </w:tcBorders>
            <w:shd w:val="clear" w:color="auto" w:fill="auto"/>
            <w:noWrap/>
            <w:vAlign w:val="bottom"/>
          </w:tcPr>
          <w:p w:rsidR="00E0446E" w:rsidRPr="005A2046" w:rsidRDefault="00E0446E" w:rsidP="005A2046">
            <w:pPr>
              <w:spacing w:after="0"/>
              <w:rPr>
                <w:szCs w:val="24"/>
              </w:rPr>
            </w:pPr>
            <w:r w:rsidRPr="005A2046">
              <w:rPr>
                <w:szCs w:val="24"/>
              </w:rPr>
              <w:t>Employment rate:</w:t>
            </w:r>
          </w:p>
        </w:tc>
        <w:tc>
          <w:tcPr>
            <w:tcW w:w="1036" w:type="dxa"/>
            <w:tcBorders>
              <w:top w:val="single" w:sz="4" w:space="0" w:color="auto"/>
              <w:left w:val="nil"/>
              <w:right w:val="single" w:sz="4" w:space="0" w:color="auto"/>
            </w:tcBorders>
            <w:shd w:val="clear" w:color="auto" w:fill="auto"/>
            <w:noWrap/>
            <w:vAlign w:val="bottom"/>
          </w:tcPr>
          <w:p w:rsidR="00E0446E" w:rsidRPr="005A2046" w:rsidRDefault="00E0446E" w:rsidP="005A2046">
            <w:pPr>
              <w:spacing w:after="0"/>
              <w:rPr>
                <w:szCs w:val="24"/>
              </w:rPr>
            </w:pPr>
          </w:p>
        </w:tc>
        <w:tc>
          <w:tcPr>
            <w:tcW w:w="1036" w:type="dxa"/>
            <w:tcBorders>
              <w:top w:val="single" w:sz="4" w:space="0" w:color="auto"/>
              <w:left w:val="nil"/>
              <w:right w:val="single" w:sz="4" w:space="0" w:color="auto"/>
            </w:tcBorders>
            <w:shd w:val="clear" w:color="auto" w:fill="auto"/>
            <w:noWrap/>
            <w:vAlign w:val="bottom"/>
          </w:tcPr>
          <w:p w:rsidR="00E0446E" w:rsidRPr="005A2046" w:rsidRDefault="00E0446E" w:rsidP="005A2046">
            <w:pPr>
              <w:spacing w:after="0"/>
              <w:rPr>
                <w:szCs w:val="24"/>
              </w:rPr>
            </w:pPr>
          </w:p>
        </w:tc>
        <w:tc>
          <w:tcPr>
            <w:tcW w:w="1036" w:type="dxa"/>
            <w:tcBorders>
              <w:top w:val="single" w:sz="4" w:space="0" w:color="auto"/>
              <w:left w:val="nil"/>
              <w:right w:val="single" w:sz="4" w:space="0" w:color="auto"/>
            </w:tcBorders>
            <w:shd w:val="clear" w:color="auto" w:fill="auto"/>
            <w:noWrap/>
            <w:vAlign w:val="bottom"/>
          </w:tcPr>
          <w:p w:rsidR="00E0446E" w:rsidRPr="005A2046" w:rsidRDefault="00E0446E" w:rsidP="005A2046">
            <w:pPr>
              <w:spacing w:after="0"/>
              <w:rPr>
                <w:szCs w:val="24"/>
              </w:rPr>
            </w:pPr>
          </w:p>
        </w:tc>
        <w:tc>
          <w:tcPr>
            <w:tcW w:w="1036" w:type="dxa"/>
            <w:tcBorders>
              <w:top w:val="single" w:sz="4" w:space="0" w:color="auto"/>
              <w:left w:val="nil"/>
              <w:right w:val="single" w:sz="4" w:space="0" w:color="auto"/>
            </w:tcBorders>
            <w:shd w:val="clear" w:color="auto" w:fill="auto"/>
            <w:noWrap/>
            <w:vAlign w:val="bottom"/>
          </w:tcPr>
          <w:p w:rsidR="00E0446E" w:rsidRPr="005A2046" w:rsidRDefault="00E0446E" w:rsidP="005A2046">
            <w:pPr>
              <w:spacing w:after="0"/>
              <w:rPr>
                <w:szCs w:val="24"/>
              </w:rPr>
            </w:pPr>
          </w:p>
        </w:tc>
        <w:tc>
          <w:tcPr>
            <w:tcW w:w="1036" w:type="dxa"/>
            <w:tcBorders>
              <w:top w:val="single" w:sz="4" w:space="0" w:color="auto"/>
              <w:left w:val="nil"/>
              <w:right w:val="single" w:sz="4" w:space="0" w:color="auto"/>
            </w:tcBorders>
            <w:shd w:val="clear" w:color="auto" w:fill="auto"/>
            <w:noWrap/>
            <w:vAlign w:val="bottom"/>
          </w:tcPr>
          <w:p w:rsidR="00E0446E" w:rsidRPr="005A2046" w:rsidRDefault="00E0446E" w:rsidP="005A2046">
            <w:pPr>
              <w:spacing w:after="0"/>
              <w:rPr>
                <w:szCs w:val="24"/>
              </w:rPr>
            </w:pPr>
          </w:p>
        </w:tc>
      </w:tr>
      <w:tr w:rsidR="00E0446E" w:rsidRPr="005A2046" w:rsidTr="00E7197D">
        <w:trPr>
          <w:trHeight w:val="255"/>
        </w:trPr>
        <w:tc>
          <w:tcPr>
            <w:tcW w:w="3456" w:type="dxa"/>
            <w:tcBorders>
              <w:left w:val="single" w:sz="4" w:space="0" w:color="auto"/>
              <w:right w:val="single" w:sz="4" w:space="0" w:color="auto"/>
            </w:tcBorders>
            <w:shd w:val="clear" w:color="auto" w:fill="auto"/>
            <w:noWrap/>
            <w:vAlign w:val="bottom"/>
          </w:tcPr>
          <w:p w:rsidR="00E0446E" w:rsidRPr="005A2046" w:rsidRDefault="00E0446E" w:rsidP="005A2046">
            <w:pPr>
              <w:spacing w:after="0"/>
              <w:rPr>
                <w:i/>
                <w:iCs/>
                <w:szCs w:val="24"/>
              </w:rPr>
            </w:pPr>
            <w:r w:rsidRPr="005A2046">
              <w:rPr>
                <w:i/>
                <w:iCs/>
                <w:szCs w:val="24"/>
              </w:rPr>
              <w:t>Total (15</w:t>
            </w:r>
            <w:r w:rsidR="00AD0DF3" w:rsidRPr="005A2046">
              <w:rPr>
                <w:i/>
                <w:iCs/>
                <w:szCs w:val="24"/>
              </w:rPr>
              <w:noBreakHyphen/>
            </w:r>
            <w:r w:rsidRPr="005A2046">
              <w:rPr>
                <w:i/>
                <w:iCs/>
                <w:szCs w:val="24"/>
              </w:rPr>
              <w:t>64 years)</w:t>
            </w:r>
          </w:p>
        </w:tc>
        <w:tc>
          <w:tcPr>
            <w:tcW w:w="1036" w:type="dxa"/>
            <w:tcBorders>
              <w:left w:val="nil"/>
              <w:right w:val="single" w:sz="4" w:space="0" w:color="auto"/>
            </w:tcBorders>
            <w:shd w:val="clear" w:color="auto" w:fill="auto"/>
            <w:noWrap/>
            <w:vAlign w:val="bottom"/>
          </w:tcPr>
          <w:p w:rsidR="00E0446E" w:rsidRPr="005A2046" w:rsidRDefault="00E0446E" w:rsidP="00994924">
            <w:pPr>
              <w:spacing w:after="0"/>
              <w:jc w:val="center"/>
              <w:rPr>
                <w:szCs w:val="24"/>
              </w:rPr>
            </w:pPr>
            <w:r w:rsidRPr="005A2046">
              <w:rPr>
                <w:szCs w:val="24"/>
              </w:rPr>
              <w:t>65.0</w:t>
            </w:r>
          </w:p>
        </w:tc>
        <w:tc>
          <w:tcPr>
            <w:tcW w:w="1036" w:type="dxa"/>
            <w:tcBorders>
              <w:left w:val="nil"/>
              <w:right w:val="single" w:sz="4" w:space="0" w:color="auto"/>
            </w:tcBorders>
            <w:shd w:val="clear" w:color="auto" w:fill="auto"/>
            <w:noWrap/>
            <w:vAlign w:val="bottom"/>
          </w:tcPr>
          <w:p w:rsidR="00E0446E" w:rsidRPr="005A2046" w:rsidRDefault="00E0446E" w:rsidP="00994924">
            <w:pPr>
              <w:spacing w:after="0"/>
              <w:jc w:val="center"/>
              <w:rPr>
                <w:szCs w:val="24"/>
              </w:rPr>
            </w:pPr>
            <w:r w:rsidRPr="005A2046">
              <w:rPr>
                <w:szCs w:val="24"/>
              </w:rPr>
              <w:t>64.8</w:t>
            </w:r>
          </w:p>
        </w:tc>
        <w:tc>
          <w:tcPr>
            <w:tcW w:w="1036" w:type="dxa"/>
            <w:tcBorders>
              <w:left w:val="nil"/>
              <w:right w:val="single" w:sz="4" w:space="0" w:color="auto"/>
            </w:tcBorders>
            <w:shd w:val="clear" w:color="auto" w:fill="auto"/>
            <w:noWrap/>
            <w:vAlign w:val="bottom"/>
          </w:tcPr>
          <w:p w:rsidR="00E0446E" w:rsidRPr="005A2046" w:rsidRDefault="00E0446E" w:rsidP="00994924">
            <w:pPr>
              <w:spacing w:after="0"/>
              <w:jc w:val="center"/>
              <w:rPr>
                <w:szCs w:val="24"/>
              </w:rPr>
            </w:pPr>
            <w:r w:rsidRPr="005A2046">
              <w:rPr>
                <w:szCs w:val="24"/>
              </w:rPr>
              <w:t>64.2</w:t>
            </w:r>
          </w:p>
        </w:tc>
        <w:tc>
          <w:tcPr>
            <w:tcW w:w="1036" w:type="dxa"/>
            <w:tcBorders>
              <w:left w:val="nil"/>
              <w:right w:val="single" w:sz="4" w:space="0" w:color="auto"/>
            </w:tcBorders>
            <w:shd w:val="clear" w:color="auto" w:fill="auto"/>
            <w:noWrap/>
            <w:vAlign w:val="bottom"/>
          </w:tcPr>
          <w:p w:rsidR="00E0446E" w:rsidRPr="005A2046" w:rsidRDefault="00E0446E" w:rsidP="00994924">
            <w:pPr>
              <w:spacing w:after="0"/>
              <w:jc w:val="center"/>
              <w:rPr>
                <w:szCs w:val="24"/>
              </w:rPr>
            </w:pPr>
            <w:r w:rsidRPr="005A2046">
              <w:rPr>
                <w:szCs w:val="24"/>
              </w:rPr>
              <w:t>63.3</w:t>
            </w:r>
          </w:p>
        </w:tc>
        <w:tc>
          <w:tcPr>
            <w:tcW w:w="1036" w:type="dxa"/>
            <w:tcBorders>
              <w:left w:val="nil"/>
              <w:right w:val="single" w:sz="4" w:space="0" w:color="auto"/>
            </w:tcBorders>
            <w:shd w:val="clear" w:color="auto" w:fill="auto"/>
            <w:noWrap/>
            <w:vAlign w:val="bottom"/>
          </w:tcPr>
          <w:p w:rsidR="00E0446E" w:rsidRPr="005A2046" w:rsidRDefault="00E0446E" w:rsidP="00994924">
            <w:pPr>
              <w:spacing w:after="0"/>
              <w:jc w:val="center"/>
              <w:rPr>
                <w:szCs w:val="24"/>
              </w:rPr>
            </w:pPr>
            <w:r w:rsidRPr="005A2046">
              <w:rPr>
                <w:szCs w:val="24"/>
              </w:rPr>
              <w:t>63.2</w:t>
            </w:r>
          </w:p>
        </w:tc>
      </w:tr>
      <w:tr w:rsidR="00E0446E" w:rsidRPr="005A2046" w:rsidTr="00E7197D">
        <w:trPr>
          <w:trHeight w:val="255"/>
        </w:trPr>
        <w:tc>
          <w:tcPr>
            <w:tcW w:w="3456" w:type="dxa"/>
            <w:tcBorders>
              <w:left w:val="single" w:sz="4" w:space="0" w:color="auto"/>
              <w:bottom w:val="single" w:sz="4" w:space="0" w:color="auto"/>
              <w:right w:val="single" w:sz="4" w:space="0" w:color="auto"/>
            </w:tcBorders>
            <w:shd w:val="clear" w:color="auto" w:fill="auto"/>
            <w:noWrap/>
            <w:vAlign w:val="bottom"/>
          </w:tcPr>
          <w:p w:rsidR="00E0446E" w:rsidRPr="005A2046" w:rsidRDefault="00E0446E" w:rsidP="005A2046">
            <w:pPr>
              <w:spacing w:after="0"/>
              <w:rPr>
                <w:i/>
                <w:iCs/>
                <w:szCs w:val="24"/>
              </w:rPr>
            </w:pPr>
            <w:r w:rsidRPr="005A2046">
              <w:rPr>
                <w:i/>
                <w:iCs/>
                <w:szCs w:val="24"/>
              </w:rPr>
              <w:t>Ethnic minorities</w:t>
            </w:r>
          </w:p>
        </w:tc>
        <w:tc>
          <w:tcPr>
            <w:tcW w:w="1036" w:type="dxa"/>
            <w:tcBorders>
              <w:left w:val="nil"/>
              <w:bottom w:val="single" w:sz="4" w:space="0" w:color="auto"/>
              <w:right w:val="single" w:sz="4" w:space="0" w:color="auto"/>
            </w:tcBorders>
            <w:shd w:val="clear" w:color="auto" w:fill="auto"/>
            <w:noWrap/>
            <w:vAlign w:val="bottom"/>
          </w:tcPr>
          <w:p w:rsidR="00E0446E" w:rsidRPr="005A2046" w:rsidRDefault="00E0446E" w:rsidP="00994924">
            <w:pPr>
              <w:spacing w:after="0"/>
              <w:jc w:val="center"/>
              <w:rPr>
                <w:szCs w:val="24"/>
              </w:rPr>
            </w:pPr>
            <w:r w:rsidRPr="005A2046">
              <w:rPr>
                <w:szCs w:val="24"/>
              </w:rPr>
              <w:t>49.7</w:t>
            </w:r>
          </w:p>
        </w:tc>
        <w:tc>
          <w:tcPr>
            <w:tcW w:w="1036" w:type="dxa"/>
            <w:tcBorders>
              <w:left w:val="nil"/>
              <w:bottom w:val="single" w:sz="4" w:space="0" w:color="auto"/>
              <w:right w:val="single" w:sz="4" w:space="0" w:color="auto"/>
            </w:tcBorders>
            <w:shd w:val="clear" w:color="auto" w:fill="auto"/>
            <w:noWrap/>
            <w:vAlign w:val="bottom"/>
          </w:tcPr>
          <w:p w:rsidR="00E0446E" w:rsidRPr="005A2046" w:rsidRDefault="00E0446E" w:rsidP="00994924">
            <w:pPr>
              <w:spacing w:after="0"/>
              <w:jc w:val="center"/>
              <w:rPr>
                <w:szCs w:val="24"/>
              </w:rPr>
            </w:pPr>
            <w:r w:rsidRPr="005A2046">
              <w:rPr>
                <w:szCs w:val="24"/>
              </w:rPr>
              <w:t>49.1</w:t>
            </w:r>
          </w:p>
        </w:tc>
        <w:tc>
          <w:tcPr>
            <w:tcW w:w="1036" w:type="dxa"/>
            <w:tcBorders>
              <w:left w:val="nil"/>
              <w:bottom w:val="single" w:sz="4" w:space="0" w:color="auto"/>
              <w:right w:val="single" w:sz="4" w:space="0" w:color="auto"/>
            </w:tcBorders>
            <w:shd w:val="clear" w:color="auto" w:fill="auto"/>
            <w:noWrap/>
            <w:vAlign w:val="bottom"/>
          </w:tcPr>
          <w:p w:rsidR="00E0446E" w:rsidRPr="005A2046" w:rsidRDefault="00E0446E" w:rsidP="00994924">
            <w:pPr>
              <w:spacing w:after="0"/>
              <w:jc w:val="center"/>
              <w:rPr>
                <w:szCs w:val="24"/>
              </w:rPr>
            </w:pPr>
            <w:r w:rsidRPr="005A2046">
              <w:rPr>
                <w:szCs w:val="24"/>
              </w:rPr>
              <w:t>47.4</w:t>
            </w:r>
          </w:p>
        </w:tc>
        <w:tc>
          <w:tcPr>
            <w:tcW w:w="1036" w:type="dxa"/>
            <w:tcBorders>
              <w:left w:val="nil"/>
              <w:bottom w:val="single" w:sz="4" w:space="0" w:color="auto"/>
              <w:right w:val="single" w:sz="4" w:space="0" w:color="auto"/>
            </w:tcBorders>
            <w:shd w:val="clear" w:color="auto" w:fill="auto"/>
            <w:noWrap/>
            <w:vAlign w:val="bottom"/>
          </w:tcPr>
          <w:p w:rsidR="00E0446E" w:rsidRPr="005A2046" w:rsidRDefault="00E0446E" w:rsidP="00994924">
            <w:pPr>
              <w:spacing w:after="0"/>
              <w:jc w:val="center"/>
              <w:rPr>
                <w:szCs w:val="24"/>
              </w:rPr>
            </w:pPr>
            <w:r w:rsidRPr="005A2046">
              <w:rPr>
                <w:szCs w:val="24"/>
              </w:rPr>
              <w:t>46.5</w:t>
            </w:r>
          </w:p>
        </w:tc>
        <w:tc>
          <w:tcPr>
            <w:tcW w:w="1036" w:type="dxa"/>
            <w:tcBorders>
              <w:left w:val="nil"/>
              <w:bottom w:val="single" w:sz="4" w:space="0" w:color="auto"/>
              <w:right w:val="single" w:sz="4" w:space="0" w:color="auto"/>
            </w:tcBorders>
            <w:shd w:val="clear" w:color="auto" w:fill="auto"/>
            <w:noWrap/>
            <w:vAlign w:val="bottom"/>
          </w:tcPr>
          <w:p w:rsidR="00E0446E" w:rsidRPr="005A2046" w:rsidRDefault="00E0446E" w:rsidP="00994924">
            <w:pPr>
              <w:spacing w:after="0"/>
              <w:jc w:val="center"/>
              <w:rPr>
                <w:szCs w:val="24"/>
              </w:rPr>
            </w:pPr>
            <w:r w:rsidRPr="005A2046">
              <w:rPr>
                <w:szCs w:val="24"/>
              </w:rPr>
              <w:t>46.9</w:t>
            </w:r>
          </w:p>
        </w:tc>
      </w:tr>
    </w:tbl>
    <w:p w:rsidR="000D46FF" w:rsidRDefault="000D46FF" w:rsidP="000D46FF">
      <w:pPr>
        <w:spacing w:before="240"/>
      </w:pPr>
      <w:r>
        <w:rPr>
          <w:szCs w:val="24"/>
        </w:rPr>
        <w:t xml:space="preserve">     </w:t>
      </w:r>
      <w:r w:rsidRPr="005A2046">
        <w:rPr>
          <w:i/>
          <w:szCs w:val="24"/>
        </w:rPr>
        <w:t>Source</w:t>
      </w:r>
      <w:r w:rsidRPr="005A2046">
        <w:rPr>
          <w:szCs w:val="24"/>
        </w:rPr>
        <w:t>: CBS</w:t>
      </w:r>
      <w:r>
        <w:rPr>
          <w:szCs w:val="24"/>
        </w:rPr>
        <w:t>.</w:t>
      </w:r>
    </w:p>
    <w:p w:rsidR="005A2046" w:rsidRDefault="005A2046" w:rsidP="00270E3B">
      <w:pPr>
        <w:pStyle w:val="Heading2"/>
      </w:pPr>
      <w:r w:rsidRPr="005A2046">
        <w:t>Table</w:t>
      </w:r>
    </w:p>
    <w:tbl>
      <w:tblPr>
        <w:tblW w:w="8636" w:type="dxa"/>
        <w:tblInd w:w="70" w:type="dxa"/>
        <w:tblCellMar>
          <w:left w:w="70" w:type="dxa"/>
          <w:right w:w="70" w:type="dxa"/>
        </w:tblCellMar>
        <w:tblLook w:val="0000" w:firstRow="0" w:lastRow="0" w:firstColumn="0" w:lastColumn="0" w:noHBand="0" w:noVBand="0"/>
      </w:tblPr>
      <w:tblGrid>
        <w:gridCol w:w="3456"/>
        <w:gridCol w:w="1036"/>
        <w:gridCol w:w="1036"/>
        <w:gridCol w:w="1036"/>
        <w:gridCol w:w="1036"/>
        <w:gridCol w:w="1036"/>
      </w:tblGrid>
      <w:tr w:rsidR="00E0446E" w:rsidRPr="005A2046" w:rsidTr="00E7197D">
        <w:trPr>
          <w:trHeight w:val="255"/>
        </w:trPr>
        <w:tc>
          <w:tcPr>
            <w:tcW w:w="3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46E" w:rsidRPr="005A2046" w:rsidRDefault="00E0446E" w:rsidP="005A2046">
            <w:pPr>
              <w:spacing w:after="0"/>
              <w:rPr>
                <w:szCs w:val="24"/>
              </w:rPr>
            </w:pP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E0446E" w:rsidRPr="005A2046" w:rsidRDefault="00E0446E" w:rsidP="005A2046">
            <w:pPr>
              <w:spacing w:after="0"/>
              <w:jc w:val="right"/>
              <w:rPr>
                <w:bCs/>
                <w:szCs w:val="24"/>
              </w:rPr>
            </w:pPr>
            <w:r w:rsidRPr="005A2046">
              <w:rPr>
                <w:bCs/>
                <w:szCs w:val="24"/>
              </w:rPr>
              <w:t>2001</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E0446E" w:rsidRPr="005A2046" w:rsidRDefault="00E0446E" w:rsidP="005A2046">
            <w:pPr>
              <w:spacing w:after="0"/>
              <w:jc w:val="right"/>
              <w:rPr>
                <w:bCs/>
                <w:szCs w:val="24"/>
              </w:rPr>
            </w:pPr>
            <w:r w:rsidRPr="005A2046">
              <w:rPr>
                <w:bCs/>
                <w:szCs w:val="24"/>
              </w:rPr>
              <w:t>2002</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E0446E" w:rsidRPr="005A2046" w:rsidRDefault="00E0446E" w:rsidP="005A2046">
            <w:pPr>
              <w:spacing w:after="0"/>
              <w:jc w:val="right"/>
              <w:rPr>
                <w:bCs/>
                <w:szCs w:val="24"/>
              </w:rPr>
            </w:pPr>
            <w:r w:rsidRPr="005A2046">
              <w:rPr>
                <w:bCs/>
                <w:szCs w:val="24"/>
              </w:rPr>
              <w:t>2003</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E0446E" w:rsidRPr="005A2046" w:rsidRDefault="00E0446E" w:rsidP="005A2046">
            <w:pPr>
              <w:spacing w:after="0"/>
              <w:jc w:val="right"/>
              <w:rPr>
                <w:bCs/>
                <w:szCs w:val="24"/>
              </w:rPr>
            </w:pPr>
            <w:r w:rsidRPr="005A2046">
              <w:rPr>
                <w:bCs/>
                <w:szCs w:val="24"/>
              </w:rPr>
              <w:t>2004</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E0446E" w:rsidRPr="005A2046" w:rsidRDefault="00E0446E" w:rsidP="005A2046">
            <w:pPr>
              <w:spacing w:after="0"/>
              <w:jc w:val="right"/>
              <w:rPr>
                <w:bCs/>
                <w:szCs w:val="24"/>
              </w:rPr>
            </w:pPr>
            <w:r w:rsidRPr="005A2046">
              <w:rPr>
                <w:bCs/>
                <w:szCs w:val="24"/>
              </w:rPr>
              <w:t>2005</w:t>
            </w:r>
          </w:p>
        </w:tc>
      </w:tr>
      <w:tr w:rsidR="00E0446E" w:rsidRPr="005A2046" w:rsidTr="00E7197D">
        <w:trPr>
          <w:trHeight w:val="255"/>
        </w:trPr>
        <w:tc>
          <w:tcPr>
            <w:tcW w:w="3456" w:type="dxa"/>
            <w:tcBorders>
              <w:top w:val="single" w:sz="4" w:space="0" w:color="auto"/>
              <w:left w:val="single" w:sz="4" w:space="0" w:color="auto"/>
              <w:right w:val="single" w:sz="4" w:space="0" w:color="auto"/>
            </w:tcBorders>
            <w:shd w:val="clear" w:color="auto" w:fill="auto"/>
            <w:noWrap/>
            <w:vAlign w:val="bottom"/>
          </w:tcPr>
          <w:p w:rsidR="00E0446E" w:rsidRPr="005A2046" w:rsidRDefault="00E0446E" w:rsidP="005A2046">
            <w:pPr>
              <w:spacing w:after="0"/>
              <w:rPr>
                <w:szCs w:val="24"/>
              </w:rPr>
            </w:pPr>
            <w:r w:rsidRPr="005A2046">
              <w:rPr>
                <w:szCs w:val="24"/>
              </w:rPr>
              <w:t>Unemployment rate:</w:t>
            </w:r>
          </w:p>
        </w:tc>
        <w:tc>
          <w:tcPr>
            <w:tcW w:w="1036" w:type="dxa"/>
            <w:tcBorders>
              <w:top w:val="single" w:sz="4" w:space="0" w:color="auto"/>
              <w:left w:val="nil"/>
              <w:right w:val="single" w:sz="4" w:space="0" w:color="auto"/>
            </w:tcBorders>
            <w:shd w:val="clear" w:color="auto" w:fill="auto"/>
            <w:noWrap/>
            <w:vAlign w:val="bottom"/>
          </w:tcPr>
          <w:p w:rsidR="00E0446E" w:rsidRPr="005A2046" w:rsidRDefault="00E0446E" w:rsidP="005A2046">
            <w:pPr>
              <w:spacing w:after="0"/>
              <w:rPr>
                <w:szCs w:val="24"/>
              </w:rPr>
            </w:pPr>
            <w:r w:rsidRPr="005A2046">
              <w:rPr>
                <w:szCs w:val="24"/>
              </w:rPr>
              <w:t> </w:t>
            </w:r>
          </w:p>
        </w:tc>
        <w:tc>
          <w:tcPr>
            <w:tcW w:w="1036" w:type="dxa"/>
            <w:tcBorders>
              <w:top w:val="single" w:sz="4" w:space="0" w:color="auto"/>
              <w:left w:val="nil"/>
              <w:right w:val="single" w:sz="4" w:space="0" w:color="auto"/>
            </w:tcBorders>
            <w:shd w:val="clear" w:color="auto" w:fill="auto"/>
            <w:noWrap/>
            <w:vAlign w:val="bottom"/>
          </w:tcPr>
          <w:p w:rsidR="00E0446E" w:rsidRPr="005A2046" w:rsidRDefault="00E0446E" w:rsidP="005A2046">
            <w:pPr>
              <w:spacing w:after="0"/>
              <w:rPr>
                <w:szCs w:val="24"/>
              </w:rPr>
            </w:pPr>
            <w:r w:rsidRPr="005A2046">
              <w:rPr>
                <w:szCs w:val="24"/>
              </w:rPr>
              <w:t> </w:t>
            </w:r>
          </w:p>
        </w:tc>
        <w:tc>
          <w:tcPr>
            <w:tcW w:w="1036" w:type="dxa"/>
            <w:tcBorders>
              <w:top w:val="single" w:sz="4" w:space="0" w:color="auto"/>
              <w:left w:val="nil"/>
              <w:right w:val="single" w:sz="4" w:space="0" w:color="auto"/>
            </w:tcBorders>
            <w:shd w:val="clear" w:color="auto" w:fill="auto"/>
            <w:noWrap/>
            <w:vAlign w:val="bottom"/>
          </w:tcPr>
          <w:p w:rsidR="00E0446E" w:rsidRPr="005A2046" w:rsidRDefault="00E0446E" w:rsidP="005A2046">
            <w:pPr>
              <w:spacing w:after="0"/>
              <w:rPr>
                <w:szCs w:val="24"/>
              </w:rPr>
            </w:pPr>
            <w:r w:rsidRPr="005A2046">
              <w:rPr>
                <w:szCs w:val="24"/>
              </w:rPr>
              <w:t> </w:t>
            </w:r>
          </w:p>
        </w:tc>
        <w:tc>
          <w:tcPr>
            <w:tcW w:w="1036" w:type="dxa"/>
            <w:tcBorders>
              <w:top w:val="single" w:sz="4" w:space="0" w:color="auto"/>
              <w:left w:val="nil"/>
              <w:right w:val="single" w:sz="4" w:space="0" w:color="auto"/>
            </w:tcBorders>
            <w:shd w:val="clear" w:color="auto" w:fill="auto"/>
            <w:noWrap/>
            <w:vAlign w:val="bottom"/>
          </w:tcPr>
          <w:p w:rsidR="00E0446E" w:rsidRPr="005A2046" w:rsidRDefault="00E0446E" w:rsidP="005A2046">
            <w:pPr>
              <w:spacing w:after="0"/>
              <w:rPr>
                <w:szCs w:val="24"/>
              </w:rPr>
            </w:pPr>
            <w:r w:rsidRPr="005A2046">
              <w:rPr>
                <w:szCs w:val="24"/>
              </w:rPr>
              <w:t> </w:t>
            </w:r>
          </w:p>
        </w:tc>
        <w:tc>
          <w:tcPr>
            <w:tcW w:w="1036" w:type="dxa"/>
            <w:tcBorders>
              <w:top w:val="single" w:sz="4" w:space="0" w:color="auto"/>
              <w:left w:val="nil"/>
              <w:right w:val="single" w:sz="4" w:space="0" w:color="auto"/>
            </w:tcBorders>
            <w:shd w:val="clear" w:color="auto" w:fill="auto"/>
            <w:noWrap/>
            <w:vAlign w:val="bottom"/>
          </w:tcPr>
          <w:p w:rsidR="00E0446E" w:rsidRPr="005A2046" w:rsidRDefault="00E0446E" w:rsidP="005A2046">
            <w:pPr>
              <w:spacing w:after="0"/>
              <w:rPr>
                <w:szCs w:val="24"/>
              </w:rPr>
            </w:pPr>
            <w:r w:rsidRPr="005A2046">
              <w:rPr>
                <w:szCs w:val="24"/>
              </w:rPr>
              <w:t> </w:t>
            </w:r>
          </w:p>
        </w:tc>
      </w:tr>
      <w:tr w:rsidR="00E0446E" w:rsidRPr="005A2046" w:rsidTr="00E7197D">
        <w:trPr>
          <w:trHeight w:val="255"/>
        </w:trPr>
        <w:tc>
          <w:tcPr>
            <w:tcW w:w="3456" w:type="dxa"/>
            <w:tcBorders>
              <w:left w:val="single" w:sz="4" w:space="0" w:color="auto"/>
              <w:right w:val="single" w:sz="4" w:space="0" w:color="auto"/>
            </w:tcBorders>
            <w:shd w:val="clear" w:color="auto" w:fill="auto"/>
            <w:noWrap/>
            <w:vAlign w:val="bottom"/>
          </w:tcPr>
          <w:p w:rsidR="00E0446E" w:rsidRPr="005A2046" w:rsidRDefault="00E0446E" w:rsidP="005A2046">
            <w:pPr>
              <w:spacing w:after="0"/>
              <w:rPr>
                <w:i/>
                <w:iCs/>
                <w:szCs w:val="24"/>
              </w:rPr>
            </w:pPr>
            <w:r w:rsidRPr="005A2046">
              <w:rPr>
                <w:i/>
                <w:iCs/>
                <w:szCs w:val="24"/>
              </w:rPr>
              <w:t>Total (15</w:t>
            </w:r>
            <w:r w:rsidR="00AD0DF3" w:rsidRPr="005A2046">
              <w:rPr>
                <w:i/>
                <w:iCs/>
                <w:szCs w:val="24"/>
              </w:rPr>
              <w:noBreakHyphen/>
            </w:r>
            <w:r w:rsidRPr="005A2046">
              <w:rPr>
                <w:i/>
                <w:iCs/>
                <w:szCs w:val="24"/>
              </w:rPr>
              <w:t>64 years)</w:t>
            </w:r>
          </w:p>
        </w:tc>
        <w:tc>
          <w:tcPr>
            <w:tcW w:w="1036" w:type="dxa"/>
            <w:tcBorders>
              <w:left w:val="nil"/>
              <w:right w:val="single" w:sz="4" w:space="0" w:color="auto"/>
            </w:tcBorders>
            <w:shd w:val="clear" w:color="auto" w:fill="auto"/>
            <w:noWrap/>
            <w:vAlign w:val="bottom"/>
          </w:tcPr>
          <w:p w:rsidR="00E0446E" w:rsidRPr="005A2046" w:rsidRDefault="00E0446E" w:rsidP="005A2046">
            <w:pPr>
              <w:spacing w:after="0"/>
              <w:jc w:val="right"/>
              <w:rPr>
                <w:szCs w:val="24"/>
              </w:rPr>
            </w:pPr>
            <w:r w:rsidRPr="005A2046">
              <w:rPr>
                <w:szCs w:val="24"/>
              </w:rPr>
              <w:t>3.5</w:t>
            </w:r>
          </w:p>
        </w:tc>
        <w:tc>
          <w:tcPr>
            <w:tcW w:w="1036" w:type="dxa"/>
            <w:tcBorders>
              <w:left w:val="nil"/>
              <w:right w:val="single" w:sz="4" w:space="0" w:color="auto"/>
            </w:tcBorders>
            <w:shd w:val="clear" w:color="auto" w:fill="auto"/>
            <w:noWrap/>
            <w:vAlign w:val="bottom"/>
          </w:tcPr>
          <w:p w:rsidR="00E0446E" w:rsidRPr="005A2046" w:rsidRDefault="00E0446E" w:rsidP="005A2046">
            <w:pPr>
              <w:spacing w:after="0"/>
              <w:jc w:val="right"/>
              <w:rPr>
                <w:szCs w:val="24"/>
              </w:rPr>
            </w:pPr>
            <w:r w:rsidRPr="005A2046">
              <w:rPr>
                <w:szCs w:val="24"/>
              </w:rPr>
              <w:t>4.1</w:t>
            </w:r>
          </w:p>
        </w:tc>
        <w:tc>
          <w:tcPr>
            <w:tcW w:w="1036" w:type="dxa"/>
            <w:tcBorders>
              <w:left w:val="nil"/>
              <w:right w:val="single" w:sz="4" w:space="0" w:color="auto"/>
            </w:tcBorders>
            <w:shd w:val="clear" w:color="auto" w:fill="auto"/>
            <w:noWrap/>
            <w:vAlign w:val="bottom"/>
          </w:tcPr>
          <w:p w:rsidR="00E0446E" w:rsidRPr="005A2046" w:rsidRDefault="00E0446E" w:rsidP="005A2046">
            <w:pPr>
              <w:spacing w:after="0"/>
              <w:jc w:val="right"/>
              <w:rPr>
                <w:szCs w:val="24"/>
              </w:rPr>
            </w:pPr>
            <w:r w:rsidRPr="005A2046">
              <w:rPr>
                <w:szCs w:val="24"/>
              </w:rPr>
              <w:t>5.4</w:t>
            </w:r>
          </w:p>
        </w:tc>
        <w:tc>
          <w:tcPr>
            <w:tcW w:w="1036" w:type="dxa"/>
            <w:tcBorders>
              <w:left w:val="nil"/>
              <w:right w:val="single" w:sz="4" w:space="0" w:color="auto"/>
            </w:tcBorders>
            <w:shd w:val="clear" w:color="auto" w:fill="auto"/>
            <w:noWrap/>
            <w:vAlign w:val="bottom"/>
          </w:tcPr>
          <w:p w:rsidR="00E0446E" w:rsidRPr="005A2046" w:rsidRDefault="00E0446E" w:rsidP="005A2046">
            <w:pPr>
              <w:spacing w:after="0"/>
              <w:jc w:val="right"/>
              <w:rPr>
                <w:szCs w:val="24"/>
              </w:rPr>
            </w:pPr>
            <w:r w:rsidRPr="005A2046">
              <w:rPr>
                <w:szCs w:val="24"/>
              </w:rPr>
              <w:t>6.5</w:t>
            </w:r>
          </w:p>
        </w:tc>
        <w:tc>
          <w:tcPr>
            <w:tcW w:w="1036" w:type="dxa"/>
            <w:tcBorders>
              <w:left w:val="nil"/>
              <w:right w:val="single" w:sz="4" w:space="0" w:color="auto"/>
            </w:tcBorders>
            <w:shd w:val="clear" w:color="auto" w:fill="auto"/>
            <w:noWrap/>
            <w:vAlign w:val="bottom"/>
          </w:tcPr>
          <w:p w:rsidR="00E0446E" w:rsidRPr="005A2046" w:rsidRDefault="00E0446E" w:rsidP="005A2046">
            <w:pPr>
              <w:spacing w:after="0"/>
              <w:jc w:val="right"/>
              <w:rPr>
                <w:szCs w:val="24"/>
              </w:rPr>
            </w:pPr>
            <w:r w:rsidRPr="005A2046">
              <w:rPr>
                <w:szCs w:val="24"/>
              </w:rPr>
              <w:t>6.5</w:t>
            </w:r>
          </w:p>
        </w:tc>
      </w:tr>
      <w:tr w:rsidR="00E0446E" w:rsidRPr="005A2046" w:rsidTr="00E7197D">
        <w:trPr>
          <w:trHeight w:val="255"/>
        </w:trPr>
        <w:tc>
          <w:tcPr>
            <w:tcW w:w="3456" w:type="dxa"/>
            <w:tcBorders>
              <w:left w:val="single" w:sz="4" w:space="0" w:color="auto"/>
              <w:bottom w:val="single" w:sz="4" w:space="0" w:color="auto"/>
              <w:right w:val="single" w:sz="4" w:space="0" w:color="auto"/>
            </w:tcBorders>
            <w:shd w:val="clear" w:color="auto" w:fill="auto"/>
            <w:noWrap/>
            <w:vAlign w:val="bottom"/>
          </w:tcPr>
          <w:p w:rsidR="00E0446E" w:rsidRPr="005A2046" w:rsidRDefault="00E0446E" w:rsidP="005A2046">
            <w:pPr>
              <w:spacing w:after="0"/>
              <w:rPr>
                <w:i/>
                <w:iCs/>
                <w:szCs w:val="24"/>
              </w:rPr>
            </w:pPr>
            <w:r w:rsidRPr="005A2046">
              <w:rPr>
                <w:i/>
                <w:iCs/>
                <w:szCs w:val="24"/>
              </w:rPr>
              <w:t>Ethnic minorities</w:t>
            </w:r>
          </w:p>
        </w:tc>
        <w:tc>
          <w:tcPr>
            <w:tcW w:w="1036" w:type="dxa"/>
            <w:tcBorders>
              <w:left w:val="nil"/>
              <w:bottom w:val="single" w:sz="4" w:space="0" w:color="auto"/>
              <w:right w:val="single" w:sz="4" w:space="0" w:color="auto"/>
            </w:tcBorders>
            <w:shd w:val="clear" w:color="auto" w:fill="auto"/>
            <w:noWrap/>
            <w:vAlign w:val="bottom"/>
          </w:tcPr>
          <w:p w:rsidR="00E0446E" w:rsidRPr="005A2046" w:rsidRDefault="00E0446E" w:rsidP="005A2046">
            <w:pPr>
              <w:spacing w:after="0"/>
              <w:jc w:val="right"/>
              <w:rPr>
                <w:szCs w:val="24"/>
              </w:rPr>
            </w:pPr>
            <w:r w:rsidRPr="005A2046">
              <w:rPr>
                <w:szCs w:val="24"/>
              </w:rPr>
              <w:t>8.9</w:t>
            </w:r>
          </w:p>
        </w:tc>
        <w:tc>
          <w:tcPr>
            <w:tcW w:w="1036" w:type="dxa"/>
            <w:tcBorders>
              <w:left w:val="nil"/>
              <w:bottom w:val="single" w:sz="4" w:space="0" w:color="auto"/>
              <w:right w:val="single" w:sz="4" w:space="0" w:color="auto"/>
            </w:tcBorders>
            <w:shd w:val="clear" w:color="auto" w:fill="auto"/>
            <w:noWrap/>
            <w:vAlign w:val="bottom"/>
          </w:tcPr>
          <w:p w:rsidR="00E0446E" w:rsidRPr="005A2046" w:rsidRDefault="00E0446E" w:rsidP="005A2046">
            <w:pPr>
              <w:spacing w:after="0"/>
              <w:jc w:val="right"/>
              <w:rPr>
                <w:szCs w:val="24"/>
              </w:rPr>
            </w:pPr>
            <w:r w:rsidRPr="005A2046">
              <w:rPr>
                <w:szCs w:val="24"/>
              </w:rPr>
              <w:t>10.4</w:t>
            </w:r>
          </w:p>
        </w:tc>
        <w:tc>
          <w:tcPr>
            <w:tcW w:w="1036" w:type="dxa"/>
            <w:tcBorders>
              <w:left w:val="nil"/>
              <w:bottom w:val="single" w:sz="4" w:space="0" w:color="auto"/>
              <w:right w:val="single" w:sz="4" w:space="0" w:color="auto"/>
            </w:tcBorders>
            <w:shd w:val="clear" w:color="auto" w:fill="auto"/>
            <w:noWrap/>
            <w:vAlign w:val="bottom"/>
          </w:tcPr>
          <w:p w:rsidR="00E0446E" w:rsidRPr="005A2046" w:rsidRDefault="00E0446E" w:rsidP="005A2046">
            <w:pPr>
              <w:spacing w:after="0"/>
              <w:jc w:val="right"/>
              <w:rPr>
                <w:szCs w:val="24"/>
              </w:rPr>
            </w:pPr>
            <w:r w:rsidRPr="005A2046">
              <w:rPr>
                <w:szCs w:val="24"/>
              </w:rPr>
              <w:t>14.6</w:t>
            </w:r>
          </w:p>
        </w:tc>
        <w:tc>
          <w:tcPr>
            <w:tcW w:w="1036" w:type="dxa"/>
            <w:tcBorders>
              <w:left w:val="nil"/>
              <w:bottom w:val="single" w:sz="4" w:space="0" w:color="auto"/>
              <w:right w:val="single" w:sz="4" w:space="0" w:color="auto"/>
            </w:tcBorders>
            <w:shd w:val="clear" w:color="auto" w:fill="auto"/>
            <w:noWrap/>
            <w:vAlign w:val="bottom"/>
          </w:tcPr>
          <w:p w:rsidR="00E0446E" w:rsidRPr="005A2046" w:rsidRDefault="00E0446E" w:rsidP="005A2046">
            <w:pPr>
              <w:spacing w:after="0"/>
              <w:jc w:val="right"/>
              <w:rPr>
                <w:szCs w:val="24"/>
              </w:rPr>
            </w:pPr>
            <w:r w:rsidRPr="005A2046">
              <w:rPr>
                <w:szCs w:val="24"/>
              </w:rPr>
              <w:t>16.1</w:t>
            </w:r>
          </w:p>
        </w:tc>
        <w:tc>
          <w:tcPr>
            <w:tcW w:w="1036" w:type="dxa"/>
            <w:tcBorders>
              <w:left w:val="nil"/>
              <w:bottom w:val="single" w:sz="4" w:space="0" w:color="auto"/>
              <w:right w:val="single" w:sz="4" w:space="0" w:color="auto"/>
            </w:tcBorders>
            <w:shd w:val="clear" w:color="auto" w:fill="auto"/>
            <w:noWrap/>
            <w:vAlign w:val="bottom"/>
          </w:tcPr>
          <w:p w:rsidR="00E0446E" w:rsidRPr="005A2046" w:rsidRDefault="00E0446E" w:rsidP="005A2046">
            <w:pPr>
              <w:spacing w:after="0"/>
              <w:jc w:val="right"/>
              <w:rPr>
                <w:szCs w:val="24"/>
              </w:rPr>
            </w:pPr>
            <w:r w:rsidRPr="005A2046">
              <w:rPr>
                <w:szCs w:val="24"/>
              </w:rPr>
              <w:t>16.4</w:t>
            </w:r>
          </w:p>
        </w:tc>
      </w:tr>
      <w:tr w:rsidR="00E0446E" w:rsidRPr="005A2046" w:rsidTr="005A2046">
        <w:trPr>
          <w:trHeight w:val="255"/>
        </w:trPr>
        <w:tc>
          <w:tcPr>
            <w:tcW w:w="3456" w:type="dxa"/>
            <w:tcBorders>
              <w:top w:val="nil"/>
              <w:left w:val="nil"/>
              <w:bottom w:val="nil"/>
              <w:right w:val="nil"/>
            </w:tcBorders>
            <w:shd w:val="clear" w:color="auto" w:fill="auto"/>
            <w:noWrap/>
            <w:vAlign w:val="bottom"/>
          </w:tcPr>
          <w:p w:rsidR="00E0446E" w:rsidRPr="005A2046" w:rsidRDefault="005A2046" w:rsidP="00994924">
            <w:pPr>
              <w:spacing w:before="240"/>
              <w:rPr>
                <w:szCs w:val="24"/>
              </w:rPr>
            </w:pPr>
            <w:r>
              <w:rPr>
                <w:szCs w:val="24"/>
              </w:rPr>
              <w:t xml:space="preserve">     </w:t>
            </w:r>
            <w:r w:rsidR="00E0446E" w:rsidRPr="005A2046">
              <w:rPr>
                <w:i/>
                <w:szCs w:val="24"/>
              </w:rPr>
              <w:t>Source</w:t>
            </w:r>
            <w:r w:rsidR="00E0446E" w:rsidRPr="005A2046">
              <w:rPr>
                <w:szCs w:val="24"/>
              </w:rPr>
              <w:t>: CBS</w:t>
            </w:r>
            <w:r>
              <w:rPr>
                <w:szCs w:val="24"/>
              </w:rPr>
              <w:t>.</w:t>
            </w:r>
          </w:p>
        </w:tc>
        <w:tc>
          <w:tcPr>
            <w:tcW w:w="1036" w:type="dxa"/>
            <w:tcBorders>
              <w:top w:val="nil"/>
              <w:left w:val="nil"/>
              <w:bottom w:val="nil"/>
              <w:right w:val="nil"/>
            </w:tcBorders>
            <w:shd w:val="clear" w:color="auto" w:fill="auto"/>
            <w:noWrap/>
            <w:vAlign w:val="bottom"/>
          </w:tcPr>
          <w:p w:rsidR="00E0446E" w:rsidRPr="005A2046" w:rsidRDefault="00E0446E" w:rsidP="005A2046">
            <w:pPr>
              <w:spacing w:after="0"/>
              <w:rPr>
                <w:szCs w:val="24"/>
              </w:rPr>
            </w:pPr>
          </w:p>
        </w:tc>
        <w:tc>
          <w:tcPr>
            <w:tcW w:w="1036" w:type="dxa"/>
            <w:tcBorders>
              <w:top w:val="nil"/>
              <w:left w:val="nil"/>
              <w:bottom w:val="nil"/>
              <w:right w:val="nil"/>
            </w:tcBorders>
            <w:shd w:val="clear" w:color="auto" w:fill="auto"/>
            <w:noWrap/>
            <w:vAlign w:val="bottom"/>
          </w:tcPr>
          <w:p w:rsidR="00E0446E" w:rsidRPr="005A2046" w:rsidRDefault="00E0446E" w:rsidP="005A2046">
            <w:pPr>
              <w:spacing w:after="0"/>
              <w:rPr>
                <w:szCs w:val="24"/>
              </w:rPr>
            </w:pPr>
          </w:p>
        </w:tc>
        <w:tc>
          <w:tcPr>
            <w:tcW w:w="1036" w:type="dxa"/>
            <w:tcBorders>
              <w:top w:val="nil"/>
              <w:left w:val="nil"/>
              <w:bottom w:val="nil"/>
              <w:right w:val="nil"/>
            </w:tcBorders>
            <w:shd w:val="clear" w:color="auto" w:fill="auto"/>
            <w:noWrap/>
            <w:vAlign w:val="bottom"/>
          </w:tcPr>
          <w:p w:rsidR="00E0446E" w:rsidRPr="005A2046" w:rsidRDefault="00E0446E" w:rsidP="005A2046">
            <w:pPr>
              <w:spacing w:after="0"/>
              <w:rPr>
                <w:szCs w:val="24"/>
              </w:rPr>
            </w:pPr>
          </w:p>
        </w:tc>
        <w:tc>
          <w:tcPr>
            <w:tcW w:w="1036" w:type="dxa"/>
            <w:tcBorders>
              <w:top w:val="nil"/>
              <w:left w:val="nil"/>
              <w:bottom w:val="nil"/>
              <w:right w:val="nil"/>
            </w:tcBorders>
            <w:shd w:val="clear" w:color="auto" w:fill="auto"/>
            <w:noWrap/>
            <w:vAlign w:val="bottom"/>
          </w:tcPr>
          <w:p w:rsidR="00E0446E" w:rsidRPr="005A2046" w:rsidRDefault="00E0446E" w:rsidP="005A2046">
            <w:pPr>
              <w:spacing w:after="0"/>
              <w:rPr>
                <w:szCs w:val="24"/>
              </w:rPr>
            </w:pPr>
          </w:p>
        </w:tc>
        <w:tc>
          <w:tcPr>
            <w:tcW w:w="1036" w:type="dxa"/>
            <w:tcBorders>
              <w:top w:val="nil"/>
              <w:left w:val="nil"/>
              <w:bottom w:val="nil"/>
              <w:right w:val="nil"/>
            </w:tcBorders>
            <w:shd w:val="clear" w:color="auto" w:fill="auto"/>
            <w:noWrap/>
            <w:vAlign w:val="bottom"/>
          </w:tcPr>
          <w:p w:rsidR="00E0446E" w:rsidRPr="005A2046" w:rsidRDefault="00E0446E" w:rsidP="005A2046">
            <w:pPr>
              <w:spacing w:after="0"/>
              <w:rPr>
                <w:szCs w:val="24"/>
              </w:rPr>
            </w:pPr>
          </w:p>
        </w:tc>
      </w:tr>
      <w:tr w:rsidR="00994924" w:rsidRPr="005A2046" w:rsidTr="00985F68">
        <w:trPr>
          <w:trHeight w:val="255"/>
        </w:trPr>
        <w:tc>
          <w:tcPr>
            <w:tcW w:w="8636" w:type="dxa"/>
            <w:gridSpan w:val="6"/>
            <w:tcBorders>
              <w:top w:val="nil"/>
              <w:left w:val="nil"/>
              <w:bottom w:val="nil"/>
              <w:right w:val="nil"/>
            </w:tcBorders>
            <w:shd w:val="clear" w:color="auto" w:fill="auto"/>
            <w:noWrap/>
            <w:vAlign w:val="bottom"/>
          </w:tcPr>
          <w:p w:rsidR="00994924" w:rsidRPr="00994924" w:rsidRDefault="00994924" w:rsidP="00994924">
            <w:pPr>
              <w:rPr>
                <w:i/>
                <w:szCs w:val="24"/>
              </w:rPr>
            </w:pPr>
            <w:r w:rsidRPr="00581181">
              <w:rPr>
                <w:bCs/>
                <w:i/>
                <w:szCs w:val="24"/>
              </w:rPr>
              <w:t>N.B.</w:t>
            </w:r>
            <w:r w:rsidRPr="00581181">
              <w:rPr>
                <w:i/>
                <w:szCs w:val="24"/>
              </w:rPr>
              <w:t xml:space="preserve"> The figures are based on the definition of labour force used in the Netherlands, i.e. people who work, or are actively seeking to work, at least 12 hours a week. The </w:t>
            </w:r>
            <w:r>
              <w:rPr>
                <w:i/>
                <w:szCs w:val="24"/>
              </w:rPr>
              <w:t>“</w:t>
            </w:r>
            <w:r w:rsidRPr="00581181">
              <w:rPr>
                <w:i/>
                <w:szCs w:val="24"/>
              </w:rPr>
              <w:t>ethnic minorities</w:t>
            </w:r>
            <w:r>
              <w:rPr>
                <w:i/>
                <w:szCs w:val="24"/>
              </w:rPr>
              <w:t>”</w:t>
            </w:r>
            <w:r w:rsidRPr="00581181">
              <w:rPr>
                <w:i/>
                <w:szCs w:val="24"/>
              </w:rPr>
              <w:t xml:space="preserve"> target group refers to </w:t>
            </w:r>
            <w:r>
              <w:rPr>
                <w:i/>
                <w:szCs w:val="24"/>
              </w:rPr>
              <w:t>“</w:t>
            </w:r>
            <w:r w:rsidRPr="00581181">
              <w:rPr>
                <w:i/>
                <w:szCs w:val="24"/>
              </w:rPr>
              <w:t>people of non</w:t>
            </w:r>
            <w:r w:rsidRPr="00581181">
              <w:rPr>
                <w:i/>
                <w:szCs w:val="24"/>
              </w:rPr>
              <w:noBreakHyphen/>
              <w:t>Western immigrant origin</w:t>
            </w:r>
            <w:r>
              <w:rPr>
                <w:i/>
                <w:szCs w:val="24"/>
              </w:rPr>
              <w:t>”</w:t>
            </w:r>
            <w:r w:rsidRPr="00581181">
              <w:rPr>
                <w:i/>
                <w:szCs w:val="24"/>
              </w:rPr>
              <w:t>, i.e. people of whom at least one parent was born in Turkey, Africa, Latin America or Asia, excluding Indonesia and Japan.</w:t>
            </w:r>
          </w:p>
        </w:tc>
      </w:tr>
    </w:tbl>
    <w:p w:rsidR="00E0446E" w:rsidRPr="00581181" w:rsidRDefault="00E0446E" w:rsidP="00746437">
      <w:pPr>
        <w:pStyle w:val="Heading3"/>
      </w:pPr>
      <w:r w:rsidRPr="00581181">
        <w:t>Public health insurance</w:t>
      </w:r>
    </w:p>
    <w:p w:rsidR="00EC2B8C" w:rsidRDefault="00E0446E" w:rsidP="00030277">
      <w:pPr>
        <w:rPr>
          <w:szCs w:val="24"/>
        </w:rPr>
      </w:pPr>
      <w:r w:rsidRPr="00581181">
        <w:rPr>
          <w:szCs w:val="24"/>
        </w:rPr>
        <w:t>141.</w:t>
      </w:r>
      <w:r w:rsidRPr="00581181">
        <w:rPr>
          <w:szCs w:val="24"/>
        </w:rPr>
        <w:tab/>
        <w:t xml:space="preserve">Until 1 January 2006, the Netherlands had a compulsory public health insurance system for employees earning less than €33,000 p.a. Certain categories of benefit claimants were also covered under this scheme. The partner and children of someone insured under the public health system were also entitled to coverage, subject to certain conditions. Anyone not eligible for public health insurance had to have private health insurance. </w:t>
      </w:r>
    </w:p>
    <w:p w:rsidR="00EC2B8C" w:rsidRDefault="00E0446E" w:rsidP="00030277">
      <w:pPr>
        <w:rPr>
          <w:szCs w:val="24"/>
        </w:rPr>
      </w:pPr>
      <w:r w:rsidRPr="00581181">
        <w:rPr>
          <w:szCs w:val="24"/>
        </w:rPr>
        <w:t>142.</w:t>
      </w:r>
      <w:r w:rsidRPr="00581181">
        <w:rPr>
          <w:szCs w:val="24"/>
        </w:rPr>
        <w:tab/>
        <w:t xml:space="preserve">The Health Insurance Act came into effect on 1 January 2006 and introduced a universal statutory insurance scheme. Under the Act, everyone living or working in the Netherlands is obliged to take out health insurance. Everyone insured under the Exceptional Medical Expenses Act is obliged to take out health insurance, i.e. people who are legally resident in the Netherlands or who live abroad and work in the Netherlands and pay Dutch income tax. There are a few exceptions to this basic rule. </w:t>
      </w:r>
    </w:p>
    <w:p w:rsidR="00EC2B8C" w:rsidRDefault="00E0446E" w:rsidP="00030277">
      <w:pPr>
        <w:rPr>
          <w:szCs w:val="24"/>
        </w:rPr>
      </w:pPr>
      <w:r w:rsidRPr="00581181">
        <w:rPr>
          <w:szCs w:val="24"/>
        </w:rPr>
        <w:t>143.</w:t>
      </w:r>
      <w:r w:rsidRPr="00581181">
        <w:rPr>
          <w:szCs w:val="24"/>
        </w:rPr>
        <w:tab/>
        <w:t>Health insurance is an agreement governed by private law between a health insurance company and an individual. Nevertheless, the Dutch Government has imposed a number of regulations to guarantee the social nature of the insurance. Health insurance companies cannot refuse to insure anyone under the new scheme and may not discriminate against anyone on the basis of personal characteristics when determining premiums. Furthermore, they must offer the standard health insurance package, which contains curative medically necessary care. The Exceptional Medical Expenses Act covers the costs of serious, long</w:t>
      </w:r>
      <w:r w:rsidR="00AD0DF3" w:rsidRPr="00581181">
        <w:rPr>
          <w:szCs w:val="24"/>
        </w:rPr>
        <w:noBreakHyphen/>
      </w:r>
      <w:r w:rsidRPr="00581181">
        <w:rPr>
          <w:szCs w:val="24"/>
        </w:rPr>
        <w:t>term illness and infirmity.</w:t>
      </w:r>
    </w:p>
    <w:p w:rsidR="00EC2B8C" w:rsidRDefault="00E0446E" w:rsidP="00030277">
      <w:pPr>
        <w:rPr>
          <w:szCs w:val="24"/>
        </w:rPr>
      </w:pPr>
      <w:r w:rsidRPr="00581181">
        <w:rPr>
          <w:szCs w:val="24"/>
        </w:rPr>
        <w:t>144.</w:t>
      </w:r>
      <w:r w:rsidRPr="00581181">
        <w:rPr>
          <w:szCs w:val="24"/>
        </w:rPr>
        <w:tab/>
        <w:t>Whether someone is insured under the Exceptional Medical Expenses Act or the Health</w:t>
      </w:r>
      <w:r w:rsidR="00AD0DF3" w:rsidRPr="00581181">
        <w:rPr>
          <w:szCs w:val="24"/>
        </w:rPr>
        <w:noBreakHyphen/>
      </w:r>
      <w:r w:rsidRPr="00581181">
        <w:rPr>
          <w:szCs w:val="24"/>
        </w:rPr>
        <w:t xml:space="preserve">care Insurance Act, no distinction is made on the basis of race, skin colour, origin, nationality or ethnicity. </w:t>
      </w:r>
    </w:p>
    <w:p w:rsidR="00EC2B8C" w:rsidRDefault="00E0446E" w:rsidP="00030277">
      <w:pPr>
        <w:rPr>
          <w:szCs w:val="24"/>
        </w:rPr>
      </w:pPr>
      <w:r w:rsidRPr="00581181">
        <w:rPr>
          <w:szCs w:val="24"/>
        </w:rPr>
        <w:t>145.</w:t>
      </w:r>
      <w:r w:rsidRPr="00581181">
        <w:rPr>
          <w:szCs w:val="24"/>
        </w:rPr>
        <w:tab/>
        <w:t>The introduction of the Health</w:t>
      </w:r>
      <w:r w:rsidR="00AD0DF3" w:rsidRPr="00581181">
        <w:rPr>
          <w:szCs w:val="24"/>
        </w:rPr>
        <w:noBreakHyphen/>
      </w:r>
      <w:r w:rsidRPr="00581181">
        <w:rPr>
          <w:szCs w:val="24"/>
        </w:rPr>
        <w:t>care Insurance Act has not altered the position of illegal immigrants with regard to medical care.</w:t>
      </w:r>
    </w:p>
    <w:p w:rsidR="00EC2B8C" w:rsidRDefault="00E0446E" w:rsidP="00030277">
      <w:pPr>
        <w:pStyle w:val="BodyText"/>
        <w:tabs>
          <w:tab w:val="clear" w:pos="720"/>
        </w:tabs>
        <w:autoSpaceDE/>
        <w:autoSpaceDN/>
        <w:adjustRightInd/>
        <w:spacing w:after="240" w:line="240" w:lineRule="auto"/>
        <w:rPr>
          <w:rFonts w:ascii="Times New Roman" w:hAnsi="Times New Roman" w:cs="Times New Roman"/>
          <w:sz w:val="24"/>
          <w:szCs w:val="24"/>
        </w:rPr>
      </w:pPr>
      <w:r w:rsidRPr="00581181">
        <w:rPr>
          <w:rFonts w:ascii="Times New Roman" w:hAnsi="Times New Roman" w:cs="Times New Roman"/>
          <w:sz w:val="24"/>
          <w:szCs w:val="24"/>
        </w:rPr>
        <w:t>146.</w:t>
      </w:r>
      <w:r w:rsidRPr="00581181">
        <w:rPr>
          <w:rFonts w:ascii="Times New Roman" w:hAnsi="Times New Roman" w:cs="Times New Roman"/>
          <w:sz w:val="24"/>
          <w:szCs w:val="24"/>
        </w:rPr>
        <w:tab/>
        <w:t xml:space="preserve">During the reporting period, the main role of the Ministry of Health, Welfare and Sport in the area of </w:t>
      </w:r>
      <w:r w:rsidR="009B7745">
        <w:rPr>
          <w:rFonts w:ascii="Times New Roman" w:hAnsi="Times New Roman" w:cs="Times New Roman"/>
          <w:sz w:val="24"/>
          <w:szCs w:val="24"/>
        </w:rPr>
        <w:t>“</w:t>
      </w:r>
      <w:r w:rsidRPr="00581181">
        <w:rPr>
          <w:rFonts w:ascii="Times New Roman" w:hAnsi="Times New Roman" w:cs="Times New Roman"/>
          <w:sz w:val="24"/>
          <w:szCs w:val="24"/>
        </w:rPr>
        <w:t>interculturalization of health care</w:t>
      </w:r>
      <w:r w:rsidR="009B7745">
        <w:rPr>
          <w:rFonts w:ascii="Times New Roman" w:hAnsi="Times New Roman" w:cs="Times New Roman"/>
          <w:sz w:val="24"/>
          <w:szCs w:val="24"/>
        </w:rPr>
        <w:t>”</w:t>
      </w:r>
      <w:r w:rsidRPr="00581181">
        <w:rPr>
          <w:rFonts w:ascii="Times New Roman" w:hAnsi="Times New Roman" w:cs="Times New Roman"/>
          <w:sz w:val="24"/>
          <w:szCs w:val="24"/>
        </w:rPr>
        <w:t xml:space="preserve"> was to establish the required framework within which the parties involved can exercise their responsibility. These parties have now embarked on many initiatives and projects, proving that the problems of ethnic minorities are being taken seriously. In 2003, the Netherlands Organization for Health Research and Development (ZonMw) published a report entitled </w:t>
      </w:r>
      <w:r w:rsidR="009B7745">
        <w:rPr>
          <w:rFonts w:ascii="Times New Roman" w:hAnsi="Times New Roman" w:cs="Times New Roman"/>
          <w:sz w:val="24"/>
          <w:szCs w:val="24"/>
        </w:rPr>
        <w:t>“</w:t>
      </w:r>
      <w:r w:rsidRPr="00581181">
        <w:rPr>
          <w:rFonts w:ascii="Times New Roman" w:hAnsi="Times New Roman" w:cs="Times New Roman"/>
          <w:sz w:val="24"/>
          <w:szCs w:val="24"/>
        </w:rPr>
        <w:t>Care for differences</w:t>
      </w:r>
      <w:r w:rsidR="009B7745">
        <w:rPr>
          <w:rFonts w:ascii="Times New Roman" w:hAnsi="Times New Roman" w:cs="Times New Roman"/>
          <w:sz w:val="24"/>
          <w:szCs w:val="24"/>
        </w:rPr>
        <w:t>”</w:t>
      </w:r>
      <w:r w:rsidRPr="00581181">
        <w:rPr>
          <w:rFonts w:ascii="Times New Roman" w:hAnsi="Times New Roman" w:cs="Times New Roman"/>
          <w:sz w:val="24"/>
          <w:szCs w:val="24"/>
        </w:rPr>
        <w:t xml:space="preserve"> (Zorg voor verschil), which describes 163 different projects in this field.</w:t>
      </w:r>
    </w:p>
    <w:p w:rsidR="00E0446E" w:rsidRPr="00581181" w:rsidRDefault="00E0446E" w:rsidP="00030277">
      <w:pPr>
        <w:rPr>
          <w:szCs w:val="24"/>
        </w:rPr>
      </w:pPr>
      <w:r w:rsidRPr="00581181">
        <w:rPr>
          <w:szCs w:val="24"/>
        </w:rPr>
        <w:t>147.</w:t>
      </w:r>
      <w:r w:rsidRPr="00581181">
        <w:rPr>
          <w:szCs w:val="24"/>
        </w:rPr>
        <w:tab/>
        <w:t>In support of the many activities undertaken, the Ministry of Health, Welfare and Sport is:</w:t>
      </w:r>
    </w:p>
    <w:p w:rsidR="00E0446E" w:rsidRDefault="00A11092" w:rsidP="00A11092">
      <w:r>
        <w:tab/>
        <w:t>(a)</w:t>
      </w:r>
      <w:r>
        <w:tab/>
      </w:r>
      <w:r w:rsidR="00E0446E" w:rsidRPr="00581181">
        <w:t>Awarding incentive grants</w:t>
      </w:r>
      <w:r w:rsidR="003515B5">
        <w:t>;</w:t>
      </w:r>
      <w:r w:rsidR="00E0446E" w:rsidRPr="00581181">
        <w:t xml:space="preserve"> and</w:t>
      </w:r>
    </w:p>
    <w:p w:rsidR="00EC2B8C" w:rsidRDefault="00A11092" w:rsidP="00A11092">
      <w:r>
        <w:tab/>
        <w:t>(b)</w:t>
      </w:r>
      <w:r>
        <w:tab/>
      </w:r>
      <w:r w:rsidR="00E0446E" w:rsidRPr="00581181">
        <w:t xml:space="preserve">Seeking advice on the structure and content of a monitor. </w:t>
      </w:r>
    </w:p>
    <w:p w:rsidR="00E0446E" w:rsidRPr="00581181" w:rsidRDefault="00E0446E" w:rsidP="00030277">
      <w:pPr>
        <w:rPr>
          <w:szCs w:val="24"/>
        </w:rPr>
      </w:pPr>
      <w:r w:rsidRPr="00581181">
        <w:rPr>
          <w:szCs w:val="24"/>
        </w:rPr>
        <w:t xml:space="preserve">Re. a </w:t>
      </w:r>
    </w:p>
    <w:p w:rsidR="00EC2B8C" w:rsidRDefault="00A11092" w:rsidP="00030277">
      <w:pPr>
        <w:rPr>
          <w:szCs w:val="24"/>
        </w:rPr>
      </w:pPr>
      <w:r>
        <w:rPr>
          <w:szCs w:val="24"/>
        </w:rPr>
        <w:tab/>
      </w:r>
      <w:r w:rsidR="00E0446E" w:rsidRPr="00581181">
        <w:rPr>
          <w:szCs w:val="24"/>
        </w:rPr>
        <w:t>The Minister of Health, Welfare and Sport has commissioned ZonMw to develop a practical programme with the aim of implementing available knowledge and expertise in the field of interculturalization of health care in the Netherlands, focusing on both care providers and patients, and has set aside a budget for the period 2005</w:t>
      </w:r>
      <w:r w:rsidR="00AD0DF3" w:rsidRPr="00581181">
        <w:rPr>
          <w:szCs w:val="24"/>
        </w:rPr>
        <w:noBreakHyphen/>
      </w:r>
      <w:r w:rsidR="00E0446E" w:rsidRPr="00581181">
        <w:rPr>
          <w:szCs w:val="24"/>
        </w:rPr>
        <w:t>2007. The grant</w:t>
      </w:r>
      <w:r w:rsidR="00AD0DF3" w:rsidRPr="00581181">
        <w:rPr>
          <w:szCs w:val="24"/>
        </w:rPr>
        <w:noBreakHyphen/>
      </w:r>
      <w:r w:rsidR="00E0446E" w:rsidRPr="00581181">
        <w:rPr>
          <w:szCs w:val="24"/>
        </w:rPr>
        <w:t xml:space="preserve">subsidized projects will be completed by the end of 2007, following which the Minister will deliberate on the conclusions of the final report. </w:t>
      </w:r>
    </w:p>
    <w:p w:rsidR="00E0446E" w:rsidRPr="00581181" w:rsidRDefault="00E0446E" w:rsidP="00030277">
      <w:pPr>
        <w:rPr>
          <w:szCs w:val="24"/>
        </w:rPr>
      </w:pPr>
      <w:r w:rsidRPr="00581181">
        <w:rPr>
          <w:szCs w:val="24"/>
        </w:rPr>
        <w:t xml:space="preserve">Re. b </w:t>
      </w:r>
    </w:p>
    <w:p w:rsidR="00EC2B8C" w:rsidRDefault="00A11092" w:rsidP="00030277">
      <w:pPr>
        <w:rPr>
          <w:szCs w:val="24"/>
        </w:rPr>
      </w:pPr>
      <w:r>
        <w:rPr>
          <w:szCs w:val="24"/>
        </w:rPr>
        <w:tab/>
      </w:r>
      <w:r w:rsidR="00E0446E" w:rsidRPr="00581181">
        <w:rPr>
          <w:szCs w:val="24"/>
        </w:rPr>
        <w:t xml:space="preserve">The Minister of Health, Welfare and Sport also requested the advice of the National Institute for Public Health and the Environment (RIVM) regarding the structure and content of a monitor. The RIVM has advised the Minister to link an </w:t>
      </w:r>
      <w:r w:rsidR="009B7745">
        <w:rPr>
          <w:szCs w:val="24"/>
        </w:rPr>
        <w:t>“</w:t>
      </w:r>
      <w:r w:rsidR="00E0446E" w:rsidRPr="00581181">
        <w:rPr>
          <w:szCs w:val="24"/>
        </w:rPr>
        <w:t>ethnic minorities and health</w:t>
      </w:r>
      <w:r w:rsidR="009B7745">
        <w:rPr>
          <w:szCs w:val="24"/>
        </w:rPr>
        <w:t>”</w:t>
      </w:r>
      <w:r w:rsidR="00E0446E" w:rsidRPr="00581181">
        <w:rPr>
          <w:szCs w:val="24"/>
        </w:rPr>
        <w:t xml:space="preserve"> monitor with the existing </w:t>
      </w:r>
      <w:r w:rsidR="009B7745">
        <w:rPr>
          <w:szCs w:val="24"/>
        </w:rPr>
        <w:t>“</w:t>
      </w:r>
      <w:r w:rsidR="00E0446E" w:rsidRPr="00581181">
        <w:rPr>
          <w:szCs w:val="24"/>
        </w:rPr>
        <w:t>health disparities</w:t>
      </w:r>
      <w:r w:rsidR="009B7745">
        <w:rPr>
          <w:szCs w:val="24"/>
        </w:rPr>
        <w:t>”</w:t>
      </w:r>
      <w:r w:rsidR="00E0446E" w:rsidRPr="00581181">
        <w:rPr>
          <w:szCs w:val="24"/>
        </w:rPr>
        <w:t xml:space="preserve"> monitor, so as to be able to include specific aspects relating to the health of people of immigrant origin. This monitor is also linked with the </w:t>
      </w:r>
      <w:r w:rsidR="009B7745">
        <w:rPr>
          <w:szCs w:val="24"/>
        </w:rPr>
        <w:t>“</w:t>
      </w:r>
      <w:r w:rsidR="00E0446E" w:rsidRPr="00581181">
        <w:rPr>
          <w:szCs w:val="24"/>
        </w:rPr>
        <w:t>youth health</w:t>
      </w:r>
      <w:r w:rsidR="009B7745">
        <w:rPr>
          <w:szCs w:val="24"/>
        </w:rPr>
        <w:t>”</w:t>
      </w:r>
      <w:r w:rsidR="00E0446E" w:rsidRPr="00581181">
        <w:rPr>
          <w:szCs w:val="24"/>
        </w:rPr>
        <w:t xml:space="preserve"> and </w:t>
      </w:r>
      <w:r w:rsidR="009B7745">
        <w:rPr>
          <w:szCs w:val="24"/>
        </w:rPr>
        <w:t>“</w:t>
      </w:r>
      <w:r w:rsidR="00E0446E" w:rsidRPr="00581181">
        <w:rPr>
          <w:szCs w:val="24"/>
        </w:rPr>
        <w:t>public health</w:t>
      </w:r>
      <w:r w:rsidR="009B7745">
        <w:rPr>
          <w:szCs w:val="24"/>
        </w:rPr>
        <w:t>”</w:t>
      </w:r>
      <w:r w:rsidR="00E0446E" w:rsidRPr="00581181">
        <w:rPr>
          <w:szCs w:val="24"/>
        </w:rPr>
        <w:t xml:space="preserve"> monitors, for which all Dutch municipalities provide data. This procedure</w:t>
      </w:r>
      <w:r w:rsidR="00A703BA">
        <w:rPr>
          <w:szCs w:val="24"/>
        </w:rPr>
        <w:t> </w:t>
      </w:r>
      <w:r w:rsidR="00E0446E" w:rsidRPr="00581181">
        <w:rPr>
          <w:szCs w:val="24"/>
        </w:rPr>
        <w:t xml:space="preserve">will ensure that the health status of ethnic minorities in the Netherlands is fully monitored. </w:t>
      </w:r>
    </w:p>
    <w:p w:rsidR="00EC2B8C" w:rsidRDefault="00E0446E" w:rsidP="00030277">
      <w:pPr>
        <w:rPr>
          <w:szCs w:val="24"/>
        </w:rPr>
      </w:pPr>
      <w:r w:rsidRPr="00581181">
        <w:rPr>
          <w:szCs w:val="24"/>
        </w:rPr>
        <w:t>148.</w:t>
      </w:r>
      <w:r w:rsidRPr="00581181">
        <w:rPr>
          <w:szCs w:val="24"/>
        </w:rPr>
        <w:tab/>
        <w:t>At the Minister</w:t>
      </w:r>
      <w:r w:rsidR="009B7745">
        <w:rPr>
          <w:szCs w:val="24"/>
        </w:rPr>
        <w:t>’</w:t>
      </w:r>
      <w:r w:rsidRPr="00581181">
        <w:rPr>
          <w:szCs w:val="24"/>
        </w:rPr>
        <w:t>s request, the RIVM has also compiled two fact sheets containing details of the available literature and current information about (1) the use of health</w:t>
      </w:r>
      <w:r w:rsidR="00AD0DF3" w:rsidRPr="00581181">
        <w:rPr>
          <w:szCs w:val="24"/>
        </w:rPr>
        <w:noBreakHyphen/>
      </w:r>
      <w:r w:rsidRPr="00581181">
        <w:rPr>
          <w:szCs w:val="24"/>
        </w:rPr>
        <w:t>care services by ethnic minorities and (2) their health status. These show that new information about the use of health</w:t>
      </w:r>
      <w:r w:rsidR="00AD0DF3" w:rsidRPr="00581181">
        <w:rPr>
          <w:szCs w:val="24"/>
        </w:rPr>
        <w:noBreakHyphen/>
      </w:r>
      <w:r w:rsidRPr="00581181">
        <w:rPr>
          <w:szCs w:val="24"/>
        </w:rPr>
        <w:t xml:space="preserve">care services by ethnic minorities in the Netherlands reinforces the impression that they </w:t>
      </w:r>
      <w:r w:rsidR="004F3561">
        <w:rPr>
          <w:szCs w:val="24"/>
        </w:rPr>
        <w:br w:type="page"/>
      </w:r>
      <w:r w:rsidRPr="00581181">
        <w:rPr>
          <w:szCs w:val="24"/>
        </w:rPr>
        <w:t xml:space="preserve">tend to make less use of these services than ethnic Dutch people, although the picture does vary. Another point worth highlighting is the fact that ethnic minorities use fewer medicines than people of ethnic Dutch origin, whereas previous studies had often suggested they use more. Fortunately, the studies also indicate that ethnic minorities have ready access to GPs and medical specialists in the Netherlands. </w:t>
      </w:r>
    </w:p>
    <w:p w:rsidR="00E0446E" w:rsidRPr="00581181" w:rsidRDefault="00E0446E" w:rsidP="00DF12D8">
      <w:pPr>
        <w:pStyle w:val="Heading3"/>
      </w:pPr>
      <w:r w:rsidRPr="00581181">
        <w:t>Early childhood education</w:t>
      </w:r>
    </w:p>
    <w:p w:rsidR="00EC2B8C" w:rsidRDefault="00E0446E" w:rsidP="00030277">
      <w:pPr>
        <w:rPr>
          <w:szCs w:val="24"/>
        </w:rPr>
      </w:pPr>
      <w:r w:rsidRPr="00581181">
        <w:rPr>
          <w:szCs w:val="24"/>
        </w:rPr>
        <w:t>149.</w:t>
      </w:r>
      <w:r w:rsidRPr="00581181">
        <w:rPr>
          <w:szCs w:val="24"/>
        </w:rPr>
        <w:tab/>
        <w:t>Early childhood is a vital stage in a child</w:t>
      </w:r>
      <w:r w:rsidR="009B7745">
        <w:rPr>
          <w:szCs w:val="24"/>
        </w:rPr>
        <w:t>’</w:t>
      </w:r>
      <w:r w:rsidRPr="00581181">
        <w:rPr>
          <w:szCs w:val="24"/>
        </w:rPr>
        <w:t xml:space="preserve">s development. It is important for children to get off to a good start if they are to develop their full potential, complete their schooling successfully and play a useful role in society as adults. Policies designed to identify and tackle real or potential disadvantages suffered by children at a young age have high priority and in recent years the Government has allocated a substantial budget in this area, amounting to €170 million in 2006. The aim is that, by 2010, some 70 per cent of disadvantaged children will be able to benefit from early childhood education. The ultimate goal is to reach the target group as a whole </w:t>
      </w:r>
      <w:r w:rsidR="005F7B8C">
        <w:rPr>
          <w:szCs w:val="24"/>
        </w:rPr>
        <w:t>a</w:t>
      </w:r>
      <w:r w:rsidRPr="00581181">
        <w:rPr>
          <w:szCs w:val="24"/>
        </w:rPr>
        <w:t>nd offer them the best possible chance of development with a view to substantially reducing their language and development deficiencies when they start school. The target group comprises some 200,000 at</w:t>
      </w:r>
      <w:r w:rsidR="00AD0DF3" w:rsidRPr="00581181">
        <w:rPr>
          <w:szCs w:val="24"/>
        </w:rPr>
        <w:noBreakHyphen/>
      </w:r>
      <w:r w:rsidRPr="00581181">
        <w:rPr>
          <w:szCs w:val="24"/>
        </w:rPr>
        <w:t>risk children aged between two and five and includes children from ethnic minority groups as well as ethnic Dutch children with poorly educated parents. An analysis will be made of what measures can be taken to ensure that all children in the target group are reached, how real or potential development deficiencies can be identified at a very young age and how parents can then be motivated to allow their child to benefit from some sort of pre</w:t>
      </w:r>
      <w:r w:rsidR="00AD0DF3" w:rsidRPr="00581181">
        <w:rPr>
          <w:szCs w:val="24"/>
        </w:rPr>
        <w:noBreakHyphen/>
      </w:r>
      <w:r w:rsidRPr="00581181">
        <w:rPr>
          <w:szCs w:val="24"/>
        </w:rPr>
        <w:t xml:space="preserve">school provision, such as playgroups or childcare facilities. The aim is to offer a comprehensive range of options by liaising with </w:t>
      </w:r>
      <w:r w:rsidR="00AD0DF3" w:rsidRPr="00581181">
        <w:rPr>
          <w:szCs w:val="24"/>
        </w:rPr>
        <w:noBreakHyphen/>
      </w:r>
      <w:r w:rsidRPr="00581181">
        <w:rPr>
          <w:szCs w:val="24"/>
        </w:rPr>
        <w:t xml:space="preserve"> at the very least </w:t>
      </w:r>
      <w:r w:rsidR="00AD0DF3" w:rsidRPr="00581181">
        <w:rPr>
          <w:szCs w:val="24"/>
        </w:rPr>
        <w:noBreakHyphen/>
      </w:r>
      <w:r w:rsidRPr="00581181">
        <w:rPr>
          <w:szCs w:val="24"/>
        </w:rPr>
        <w:t xml:space="preserve"> health clinics, playgroups and primary schools.</w:t>
      </w:r>
    </w:p>
    <w:p w:rsidR="00E0446E" w:rsidRPr="00581181" w:rsidRDefault="00E0446E" w:rsidP="00DF12D8">
      <w:pPr>
        <w:pStyle w:val="Heading3"/>
      </w:pPr>
      <w:r w:rsidRPr="00581181">
        <w:t>Access to public places and/or public services</w:t>
      </w:r>
    </w:p>
    <w:p w:rsidR="00EC2B8C" w:rsidRDefault="00E0446E" w:rsidP="00030277">
      <w:pPr>
        <w:pStyle w:val="BodyText"/>
        <w:tabs>
          <w:tab w:val="clear" w:pos="720"/>
        </w:tabs>
        <w:autoSpaceDE/>
        <w:autoSpaceDN/>
        <w:adjustRightInd/>
        <w:spacing w:after="240" w:line="240" w:lineRule="auto"/>
        <w:rPr>
          <w:rFonts w:ascii="Times New Roman" w:hAnsi="Times New Roman" w:cs="Times New Roman"/>
          <w:bCs w:val="0"/>
          <w:iCs/>
          <w:sz w:val="24"/>
          <w:szCs w:val="24"/>
        </w:rPr>
      </w:pPr>
      <w:r w:rsidRPr="00581181">
        <w:rPr>
          <w:rFonts w:ascii="Times New Roman" w:hAnsi="Times New Roman" w:cs="Times New Roman"/>
          <w:bCs w:val="0"/>
          <w:sz w:val="24"/>
          <w:szCs w:val="24"/>
        </w:rPr>
        <w:t>150.</w:t>
      </w:r>
      <w:r w:rsidRPr="00581181">
        <w:rPr>
          <w:rFonts w:ascii="Times New Roman" w:hAnsi="Times New Roman" w:cs="Times New Roman"/>
          <w:bCs w:val="0"/>
          <w:sz w:val="24"/>
          <w:szCs w:val="24"/>
        </w:rPr>
        <w:tab/>
        <w:t xml:space="preserve">During the reporting period, the former Minister for Immigration and Integration formulated a policy to combat discrimination in the nightlife industry, e.g. in clubs and bars. This policy </w:t>
      </w:r>
      <w:r w:rsidR="00AD0DF3" w:rsidRPr="00581181">
        <w:rPr>
          <w:rFonts w:ascii="Times New Roman" w:hAnsi="Times New Roman" w:cs="Times New Roman"/>
          <w:bCs w:val="0"/>
          <w:sz w:val="24"/>
          <w:szCs w:val="24"/>
        </w:rPr>
        <w:noBreakHyphen/>
      </w:r>
      <w:r w:rsidRPr="00581181">
        <w:rPr>
          <w:rFonts w:ascii="Times New Roman" w:hAnsi="Times New Roman" w:cs="Times New Roman"/>
          <w:bCs w:val="0"/>
          <w:sz w:val="24"/>
          <w:szCs w:val="24"/>
        </w:rPr>
        <w:t xml:space="preserve"> focusing on combating discrimination against young people </w:t>
      </w:r>
      <w:r w:rsidR="00AD0DF3" w:rsidRPr="00581181">
        <w:rPr>
          <w:rFonts w:ascii="Times New Roman" w:hAnsi="Times New Roman" w:cs="Times New Roman"/>
          <w:bCs w:val="0"/>
          <w:sz w:val="24"/>
          <w:szCs w:val="24"/>
        </w:rPr>
        <w:noBreakHyphen/>
      </w:r>
      <w:r w:rsidRPr="00581181">
        <w:rPr>
          <w:rFonts w:ascii="Times New Roman" w:hAnsi="Times New Roman" w:cs="Times New Roman"/>
          <w:bCs w:val="0"/>
          <w:sz w:val="24"/>
          <w:szCs w:val="24"/>
        </w:rPr>
        <w:t xml:space="preserve"> was welcomed by Parliament, local authorities, young people and owners of nightlife businesses. A number of projects have since received grants to counter discriminatory admission policies of clubs and bars. One of these is the Rotterdam Door Policy Panel, established in 2003/2004. The panel, consisting of representatives from the local anti</w:t>
      </w:r>
      <w:r w:rsidR="00AD0DF3" w:rsidRPr="00581181">
        <w:rPr>
          <w:rFonts w:ascii="Times New Roman" w:hAnsi="Times New Roman" w:cs="Times New Roman"/>
          <w:bCs w:val="0"/>
          <w:sz w:val="24"/>
          <w:szCs w:val="24"/>
        </w:rPr>
        <w:noBreakHyphen/>
      </w:r>
      <w:r w:rsidRPr="00581181">
        <w:rPr>
          <w:rFonts w:ascii="Times New Roman" w:hAnsi="Times New Roman" w:cs="Times New Roman"/>
          <w:bCs w:val="0"/>
          <w:sz w:val="24"/>
          <w:szCs w:val="24"/>
        </w:rPr>
        <w:t>discrimination bureau, the City of Rotterdam, the police and local club owners, provides a forum for young people to air their complaints about clubs</w:t>
      </w:r>
      <w:r w:rsidR="009B7745">
        <w:rPr>
          <w:rFonts w:ascii="Times New Roman" w:hAnsi="Times New Roman" w:cs="Times New Roman"/>
          <w:bCs w:val="0"/>
          <w:sz w:val="24"/>
          <w:szCs w:val="24"/>
        </w:rPr>
        <w:t>’</w:t>
      </w:r>
      <w:r w:rsidRPr="00581181">
        <w:rPr>
          <w:rFonts w:ascii="Times New Roman" w:hAnsi="Times New Roman" w:cs="Times New Roman"/>
          <w:bCs w:val="0"/>
          <w:sz w:val="24"/>
          <w:szCs w:val="24"/>
        </w:rPr>
        <w:t xml:space="preserve"> door policies. Several other cities have followed Rotterdam</w:t>
      </w:r>
      <w:r w:rsidR="009B7745">
        <w:rPr>
          <w:rFonts w:ascii="Times New Roman" w:hAnsi="Times New Roman" w:cs="Times New Roman"/>
          <w:bCs w:val="0"/>
          <w:sz w:val="24"/>
          <w:szCs w:val="24"/>
        </w:rPr>
        <w:t>’</w:t>
      </w:r>
      <w:r w:rsidRPr="00581181">
        <w:rPr>
          <w:rFonts w:ascii="Times New Roman" w:hAnsi="Times New Roman" w:cs="Times New Roman"/>
          <w:bCs w:val="0"/>
          <w:sz w:val="24"/>
          <w:szCs w:val="24"/>
        </w:rPr>
        <w:t>s example by setting up their own Door Policy Panel. In 2005, a conference was organized for owners of places of entertainment with the aim of sharing information and best practices. The policy has increased bar and club owners</w:t>
      </w:r>
      <w:r w:rsidR="009B7745">
        <w:rPr>
          <w:rFonts w:ascii="Times New Roman" w:hAnsi="Times New Roman" w:cs="Times New Roman"/>
          <w:bCs w:val="0"/>
          <w:sz w:val="24"/>
          <w:szCs w:val="24"/>
        </w:rPr>
        <w:t>’</w:t>
      </w:r>
      <w:r w:rsidRPr="00581181">
        <w:rPr>
          <w:rFonts w:ascii="Times New Roman" w:hAnsi="Times New Roman" w:cs="Times New Roman"/>
          <w:bCs w:val="0"/>
          <w:sz w:val="24"/>
          <w:szCs w:val="24"/>
        </w:rPr>
        <w:t xml:space="preserve"> awareness of the part they play in combating racism. The industry has introduced a code of conduct and is actively involved in the panels. </w:t>
      </w:r>
    </w:p>
    <w:p w:rsidR="00EC2B8C" w:rsidRDefault="00E0446E" w:rsidP="005B7CF9">
      <w:pPr>
        <w:pStyle w:val="Heading2"/>
      </w:pPr>
      <w:r w:rsidRPr="00581181">
        <w:t xml:space="preserve">D. </w:t>
      </w:r>
      <w:r w:rsidR="005B7CF9">
        <w:t xml:space="preserve"> </w:t>
      </w:r>
      <w:r w:rsidR="005B7CF9" w:rsidRPr="00581181">
        <w:t xml:space="preserve">Article </w:t>
      </w:r>
      <w:r w:rsidRPr="00581181">
        <w:t>6</w:t>
      </w:r>
    </w:p>
    <w:p w:rsidR="00E0446E" w:rsidRPr="00581181" w:rsidRDefault="00E0446E" w:rsidP="00FB0344">
      <w:pPr>
        <w:pStyle w:val="Heading3"/>
      </w:pPr>
      <w:r w:rsidRPr="00581181">
        <w:t>Statistical data on complaints, charges and judicial decisions relating to acts of racism</w:t>
      </w:r>
    </w:p>
    <w:p w:rsidR="00EC2B8C" w:rsidRDefault="00E0446E" w:rsidP="00030277">
      <w:pPr>
        <w:rPr>
          <w:szCs w:val="24"/>
        </w:rPr>
      </w:pPr>
      <w:r w:rsidRPr="00581181">
        <w:rPr>
          <w:szCs w:val="24"/>
        </w:rPr>
        <w:t>151.</w:t>
      </w:r>
      <w:r w:rsidRPr="00581181">
        <w:rPr>
          <w:szCs w:val="24"/>
        </w:rPr>
        <w:tab/>
        <w:t>In March 2007, the National Discrimination Expertise Centre reached the following</w:t>
      </w:r>
      <w:r w:rsidR="005F5728">
        <w:rPr>
          <w:szCs w:val="24"/>
        </w:rPr>
        <w:t xml:space="preserve"> </w:t>
      </w:r>
      <w:r w:rsidRPr="00581181">
        <w:rPr>
          <w:szCs w:val="24"/>
        </w:rPr>
        <w:t>conclusions on the basis of data gathered from the discrimination registration system.</w:t>
      </w:r>
    </w:p>
    <w:p w:rsidR="00E0446E" w:rsidRPr="00581181" w:rsidRDefault="00E0446E" w:rsidP="003C1FA9">
      <w:pPr>
        <w:pStyle w:val="Heading4"/>
      </w:pPr>
      <w:r w:rsidRPr="00581181">
        <w:t>The Public Prosecution Service</w:t>
      </w:r>
    </w:p>
    <w:p w:rsidR="00EC2B8C" w:rsidRDefault="00E0446E" w:rsidP="003C1FA9">
      <w:r w:rsidRPr="00581181">
        <w:t>152.</w:t>
      </w:r>
      <w:r w:rsidRPr="00581181">
        <w:tab/>
        <w:t>In 2002, a total of 242 offences of discrimination (offences under articles 137(c) to 137(g) and 429quater of the Criminal Code) were reported to the Public Prosecution Service (OM). The equivalent figures in 2003, 2004, 2005 and 2006 were 204, 214, 214 and 246 respectively. In</w:t>
      </w:r>
      <w:r w:rsidR="00F66B5D">
        <w:t> </w:t>
      </w:r>
      <w:r w:rsidRPr="00581181">
        <w:t>2002, 2003, 2004, 2005 and 2006, the Service took decisions on whether or not to prosecute in</w:t>
      </w:r>
      <w:r w:rsidR="00270E3B">
        <w:t> </w:t>
      </w:r>
      <w:r w:rsidRPr="00581181">
        <w:t>281, 236, 223, 250 and 308 of these cases, respectively. A great majority of the cases (79</w:t>
      </w:r>
      <w:r w:rsidR="006144F0">
        <w:t> </w:t>
      </w:r>
      <w:r w:rsidRPr="00581181">
        <w:t>per</w:t>
      </w:r>
      <w:r w:rsidR="006144F0">
        <w:t> </w:t>
      </w:r>
      <w:r w:rsidRPr="00581181">
        <w:t>cent in 2002, 75 per cent in 2003, 77 per cent in 2004, 69 per cent in 2005 and 76</w:t>
      </w:r>
      <w:r w:rsidR="00AC4B30">
        <w:t> </w:t>
      </w:r>
      <w:r w:rsidRPr="00581181">
        <w:t>per</w:t>
      </w:r>
      <w:r w:rsidR="00AC4B30">
        <w:t> </w:t>
      </w:r>
      <w:r w:rsidRPr="00581181">
        <w:t>cent in 2006) involved deliberately insulting a group of people (article 137(c)). Of the</w:t>
      </w:r>
      <w:r w:rsidR="005E3963">
        <w:t> </w:t>
      </w:r>
      <w:r w:rsidRPr="00581181">
        <w:t>cases that were dealt with, 55 per cent, 57 per cent, 65 per cent, 63 per cent and 66</w:t>
      </w:r>
      <w:r w:rsidR="005E3963">
        <w:t> </w:t>
      </w:r>
      <w:r w:rsidRPr="00581181">
        <w:t>per</w:t>
      </w:r>
      <w:r w:rsidR="005E3963">
        <w:t> </w:t>
      </w:r>
      <w:r w:rsidRPr="00581181">
        <w:t>cent,</w:t>
      </w:r>
      <w:r w:rsidR="005E3963">
        <w:t> </w:t>
      </w:r>
      <w:r w:rsidRPr="00581181">
        <w:t>respectively resulted in a notice of summons and accusation, while 17 per cent, 24</w:t>
      </w:r>
      <w:r w:rsidR="005E3963">
        <w:t> </w:t>
      </w:r>
      <w:r w:rsidRPr="00581181">
        <w:t>per cent, 17</w:t>
      </w:r>
      <w:r w:rsidR="00085DCC">
        <w:t> </w:t>
      </w:r>
      <w:r w:rsidRPr="00581181">
        <w:t>per cent, 15 per cent and 21 per cent, respectively, resulted in an out</w:t>
      </w:r>
      <w:r w:rsidR="00AD0DF3" w:rsidRPr="00581181">
        <w:noBreakHyphen/>
      </w:r>
      <w:r w:rsidRPr="00581181">
        <w:t>of</w:t>
      </w:r>
      <w:r w:rsidR="00AD0DF3" w:rsidRPr="00581181">
        <w:noBreakHyphen/>
      </w:r>
      <w:r w:rsidRPr="00581181">
        <w:t xml:space="preserve">court settlement. </w:t>
      </w:r>
    </w:p>
    <w:p w:rsidR="00EC2B8C" w:rsidRDefault="00E0446E" w:rsidP="003C1FA9">
      <w:r w:rsidRPr="00581181">
        <w:t>153.</w:t>
      </w:r>
      <w:r w:rsidRPr="00581181">
        <w:tab/>
        <w:t>In 2002, four infringements of article 429quater of the Criminal Code (discrimination in the exercise of an office, profession or business on the grounds of race, religion or belief, sex or sexual orientation) were reported to the Public Prosecution Service. The equivalent figures in 2003, 2004, 2005 and 2006 were 1, 0, 8 and 5 respectively. Twenty infringements of article</w:t>
      </w:r>
      <w:r w:rsidR="00874C75">
        <w:t> </w:t>
      </w:r>
      <w:r w:rsidRPr="00581181">
        <w:t>137</w:t>
      </w:r>
      <w:r w:rsidR="00874C75">
        <w:t> </w:t>
      </w:r>
      <w:r w:rsidRPr="00581181">
        <w:t>(g) (deliberate discrimination in the exercise of an office, profession or business on the grounds of race) were reported to the Service in 2002. The equivalent figures in 2003, 2004, 2005 and 2006 were 17, 5, 9 and 10, respectively. Two cases of assisting discriminatory activities were reported in the years 2002 and 2005, while one such case was reported in the years 2003 and 2006. In 2004, no infringements of article 137 (f) were reported. Between 2002</w:t>
      </w:r>
      <w:r w:rsidR="004F3561">
        <w:t> </w:t>
      </w:r>
      <w:r w:rsidRPr="00581181">
        <w:t>and 2006, the number of cases of dissemination of discriminatory utterances (art. 137 (e)) reported each year was 3, 13, 15, 10 and 25, respectively. Finally, 22 cases of infringement</w:t>
      </w:r>
      <w:r w:rsidR="004F3561">
        <w:t> </w:t>
      </w:r>
      <w:r w:rsidRPr="00581181">
        <w:t>of</w:t>
      </w:r>
      <w:r w:rsidR="004F3561">
        <w:t> </w:t>
      </w:r>
      <w:r w:rsidRPr="00581181">
        <w:t>article 137 (d) (incitement to discrimination) were reported in 2002, while</w:t>
      </w:r>
      <w:r w:rsidR="004F3561">
        <w:t> </w:t>
      </w:r>
      <w:r w:rsidRPr="00581181">
        <w:t>the</w:t>
      </w:r>
      <w:r w:rsidR="004F3561">
        <w:t> </w:t>
      </w:r>
      <w:r w:rsidRPr="00581181">
        <w:t>equivalent</w:t>
      </w:r>
      <w:r w:rsidR="004F3561">
        <w:t> </w:t>
      </w:r>
      <w:r w:rsidRPr="00581181">
        <w:t xml:space="preserve">numbers in the following years up to 2006 were 18, 29, 46 and 18, respectively. </w:t>
      </w:r>
    </w:p>
    <w:p w:rsidR="00E0446E" w:rsidRPr="00581181" w:rsidRDefault="00E0446E" w:rsidP="003C1FA9">
      <w:pPr>
        <w:pStyle w:val="Heading2"/>
      </w:pPr>
      <w:r w:rsidRPr="00581181">
        <w:t>Table 1</w:t>
      </w: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00"/>
        <w:gridCol w:w="687"/>
        <w:gridCol w:w="687"/>
        <w:gridCol w:w="687"/>
        <w:gridCol w:w="688"/>
        <w:gridCol w:w="687"/>
        <w:gridCol w:w="687"/>
        <w:gridCol w:w="687"/>
        <w:gridCol w:w="688"/>
        <w:gridCol w:w="687"/>
        <w:gridCol w:w="687"/>
        <w:gridCol w:w="688"/>
      </w:tblGrid>
      <w:tr w:rsidR="00F26E75" w:rsidRPr="0084187A" w:rsidTr="00F26E75">
        <w:tblPrEx>
          <w:tblCellMar>
            <w:top w:w="0" w:type="dxa"/>
            <w:bottom w:w="0" w:type="dxa"/>
          </w:tblCellMar>
        </w:tblPrEx>
        <w:trPr>
          <w:trHeight w:val="216"/>
        </w:trPr>
        <w:tc>
          <w:tcPr>
            <w:tcW w:w="1800" w:type="dxa"/>
            <w:vMerge w:val="restart"/>
            <w:vAlign w:val="center"/>
          </w:tcPr>
          <w:p w:rsidR="00F26E75" w:rsidRPr="0084187A" w:rsidRDefault="00F26E75" w:rsidP="00D02664">
            <w:pPr>
              <w:spacing w:after="60"/>
              <w:jc w:val="center"/>
              <w:rPr>
                <w:snapToGrid w:val="0"/>
                <w:color w:val="000000"/>
                <w:sz w:val="20"/>
              </w:rPr>
            </w:pPr>
            <w:r w:rsidRPr="0084187A">
              <w:rPr>
                <w:snapToGrid w:val="0"/>
                <w:color w:val="000000"/>
                <w:sz w:val="20"/>
              </w:rPr>
              <w:t>Reports per article</w:t>
            </w:r>
          </w:p>
        </w:tc>
        <w:tc>
          <w:tcPr>
            <w:tcW w:w="687" w:type="dxa"/>
            <w:tcBorders>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Year</w:t>
            </w:r>
          </w:p>
        </w:tc>
        <w:tc>
          <w:tcPr>
            <w:tcW w:w="687" w:type="dxa"/>
            <w:tcBorders>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Year</w:t>
            </w:r>
          </w:p>
        </w:tc>
        <w:tc>
          <w:tcPr>
            <w:tcW w:w="687" w:type="dxa"/>
            <w:tcBorders>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Year</w:t>
            </w:r>
          </w:p>
        </w:tc>
        <w:tc>
          <w:tcPr>
            <w:tcW w:w="688" w:type="dxa"/>
            <w:tcBorders>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Year</w:t>
            </w:r>
          </w:p>
        </w:tc>
        <w:tc>
          <w:tcPr>
            <w:tcW w:w="687" w:type="dxa"/>
            <w:tcBorders>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Year</w:t>
            </w:r>
          </w:p>
        </w:tc>
        <w:tc>
          <w:tcPr>
            <w:tcW w:w="687" w:type="dxa"/>
            <w:tcBorders>
              <w:top w:val="nil"/>
              <w:bottom w:val="nil"/>
            </w:tcBorders>
          </w:tcPr>
          <w:p w:rsidR="00F26E75" w:rsidRPr="0084187A" w:rsidRDefault="00F26E75" w:rsidP="00D02664">
            <w:pPr>
              <w:spacing w:after="60"/>
              <w:jc w:val="center"/>
              <w:rPr>
                <w:snapToGrid w:val="0"/>
                <w:color w:val="000000"/>
                <w:sz w:val="20"/>
              </w:rPr>
            </w:pPr>
          </w:p>
        </w:tc>
        <w:tc>
          <w:tcPr>
            <w:tcW w:w="687" w:type="dxa"/>
            <w:tcBorders>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Year</w:t>
            </w:r>
          </w:p>
        </w:tc>
        <w:tc>
          <w:tcPr>
            <w:tcW w:w="688" w:type="dxa"/>
            <w:tcBorders>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Year</w:t>
            </w:r>
          </w:p>
        </w:tc>
        <w:tc>
          <w:tcPr>
            <w:tcW w:w="687" w:type="dxa"/>
            <w:tcBorders>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Year</w:t>
            </w:r>
          </w:p>
        </w:tc>
        <w:tc>
          <w:tcPr>
            <w:tcW w:w="687" w:type="dxa"/>
            <w:tcBorders>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Year</w:t>
            </w:r>
          </w:p>
        </w:tc>
        <w:tc>
          <w:tcPr>
            <w:tcW w:w="688" w:type="dxa"/>
            <w:tcBorders>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Year</w:t>
            </w:r>
          </w:p>
        </w:tc>
      </w:tr>
      <w:tr w:rsidR="00F26E75" w:rsidRPr="0084187A" w:rsidTr="008D13FB">
        <w:tblPrEx>
          <w:tblCellMar>
            <w:top w:w="0" w:type="dxa"/>
            <w:bottom w:w="0" w:type="dxa"/>
          </w:tblCellMar>
        </w:tblPrEx>
        <w:trPr>
          <w:trHeight w:val="216"/>
        </w:trPr>
        <w:tc>
          <w:tcPr>
            <w:tcW w:w="1800" w:type="dxa"/>
            <w:vMerge/>
            <w:tcBorders>
              <w:bottom w:val="single" w:sz="4" w:space="0" w:color="auto"/>
            </w:tcBorders>
          </w:tcPr>
          <w:p w:rsidR="00F26E75" w:rsidRPr="0084187A" w:rsidRDefault="00F26E75" w:rsidP="00D02664">
            <w:pPr>
              <w:spacing w:after="60"/>
              <w:jc w:val="center"/>
              <w:rPr>
                <w:snapToGrid w:val="0"/>
                <w:color w:val="000000"/>
                <w:sz w:val="20"/>
              </w:rPr>
            </w:pPr>
          </w:p>
        </w:tc>
        <w:tc>
          <w:tcPr>
            <w:tcW w:w="687" w:type="dxa"/>
            <w:tcBorders>
              <w:top w:val="single" w:sz="4" w:space="0" w:color="auto"/>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2002</w:t>
            </w:r>
          </w:p>
        </w:tc>
        <w:tc>
          <w:tcPr>
            <w:tcW w:w="687" w:type="dxa"/>
            <w:tcBorders>
              <w:top w:val="single" w:sz="4" w:space="0" w:color="auto"/>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2003</w:t>
            </w:r>
          </w:p>
        </w:tc>
        <w:tc>
          <w:tcPr>
            <w:tcW w:w="687" w:type="dxa"/>
            <w:tcBorders>
              <w:top w:val="single" w:sz="4" w:space="0" w:color="auto"/>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2004</w:t>
            </w:r>
          </w:p>
        </w:tc>
        <w:tc>
          <w:tcPr>
            <w:tcW w:w="688" w:type="dxa"/>
            <w:tcBorders>
              <w:top w:val="single" w:sz="4" w:space="0" w:color="auto"/>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2005</w:t>
            </w:r>
          </w:p>
        </w:tc>
        <w:tc>
          <w:tcPr>
            <w:tcW w:w="687" w:type="dxa"/>
            <w:tcBorders>
              <w:top w:val="single" w:sz="4" w:space="0" w:color="auto"/>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2006</w:t>
            </w:r>
          </w:p>
        </w:tc>
        <w:tc>
          <w:tcPr>
            <w:tcW w:w="687" w:type="dxa"/>
            <w:tcBorders>
              <w:top w:val="nil"/>
              <w:bottom w:val="nil"/>
            </w:tcBorders>
          </w:tcPr>
          <w:p w:rsidR="00F26E75" w:rsidRPr="0084187A" w:rsidRDefault="00F26E75" w:rsidP="00D02664">
            <w:pPr>
              <w:spacing w:after="60"/>
              <w:jc w:val="center"/>
              <w:rPr>
                <w:snapToGrid w:val="0"/>
                <w:color w:val="000000"/>
                <w:sz w:val="20"/>
              </w:rPr>
            </w:pPr>
          </w:p>
        </w:tc>
        <w:tc>
          <w:tcPr>
            <w:tcW w:w="687" w:type="dxa"/>
            <w:tcBorders>
              <w:top w:val="single" w:sz="4" w:space="0" w:color="auto"/>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2002</w:t>
            </w:r>
          </w:p>
        </w:tc>
        <w:tc>
          <w:tcPr>
            <w:tcW w:w="688" w:type="dxa"/>
            <w:tcBorders>
              <w:top w:val="single" w:sz="4" w:space="0" w:color="auto"/>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2003</w:t>
            </w:r>
          </w:p>
        </w:tc>
        <w:tc>
          <w:tcPr>
            <w:tcW w:w="687" w:type="dxa"/>
            <w:tcBorders>
              <w:top w:val="single" w:sz="4" w:space="0" w:color="auto"/>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2004</w:t>
            </w:r>
          </w:p>
        </w:tc>
        <w:tc>
          <w:tcPr>
            <w:tcW w:w="687" w:type="dxa"/>
            <w:tcBorders>
              <w:top w:val="single" w:sz="4" w:space="0" w:color="auto"/>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2005</w:t>
            </w:r>
          </w:p>
        </w:tc>
        <w:tc>
          <w:tcPr>
            <w:tcW w:w="688" w:type="dxa"/>
            <w:tcBorders>
              <w:top w:val="single" w:sz="4" w:space="0" w:color="auto"/>
              <w:bottom w:val="single" w:sz="4" w:space="0" w:color="auto"/>
            </w:tcBorders>
          </w:tcPr>
          <w:p w:rsidR="00F26E75" w:rsidRPr="0084187A" w:rsidRDefault="00F26E75" w:rsidP="00D02664">
            <w:pPr>
              <w:spacing w:after="60"/>
              <w:jc w:val="center"/>
              <w:rPr>
                <w:snapToGrid w:val="0"/>
                <w:color w:val="000000"/>
                <w:sz w:val="20"/>
              </w:rPr>
            </w:pPr>
            <w:r w:rsidRPr="0084187A">
              <w:rPr>
                <w:snapToGrid w:val="0"/>
                <w:color w:val="000000"/>
                <w:sz w:val="20"/>
              </w:rPr>
              <w:t>2006</w:t>
            </w:r>
          </w:p>
        </w:tc>
      </w:tr>
      <w:tr w:rsidR="00E0446E" w:rsidRPr="0084187A" w:rsidTr="00DE6CF7">
        <w:tblPrEx>
          <w:tblCellMar>
            <w:top w:w="0" w:type="dxa"/>
            <w:bottom w:w="0" w:type="dxa"/>
          </w:tblCellMar>
        </w:tblPrEx>
        <w:trPr>
          <w:trHeight w:val="216"/>
        </w:trPr>
        <w:tc>
          <w:tcPr>
            <w:tcW w:w="1800" w:type="dxa"/>
            <w:tcBorders>
              <w:top w:val="single" w:sz="4" w:space="0" w:color="auto"/>
            </w:tcBorders>
          </w:tcPr>
          <w:p w:rsidR="00E0446E" w:rsidRPr="0084187A" w:rsidRDefault="00E0446E" w:rsidP="00D02664">
            <w:pPr>
              <w:spacing w:after="60"/>
              <w:rPr>
                <w:snapToGrid w:val="0"/>
                <w:color w:val="000000"/>
                <w:sz w:val="20"/>
              </w:rPr>
            </w:pPr>
            <w:r w:rsidRPr="0084187A">
              <w:rPr>
                <w:snapToGrid w:val="0"/>
                <w:color w:val="000000"/>
                <w:sz w:val="20"/>
              </w:rPr>
              <w:t>137c</w:t>
            </w:r>
          </w:p>
        </w:tc>
        <w:tc>
          <w:tcPr>
            <w:tcW w:w="687"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191</w:t>
            </w:r>
          </w:p>
        </w:tc>
        <w:tc>
          <w:tcPr>
            <w:tcW w:w="687"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154</w:t>
            </w:r>
          </w:p>
        </w:tc>
        <w:tc>
          <w:tcPr>
            <w:tcW w:w="687"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165</w:t>
            </w:r>
          </w:p>
        </w:tc>
        <w:tc>
          <w:tcPr>
            <w:tcW w:w="688"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166</w:t>
            </w:r>
          </w:p>
        </w:tc>
        <w:tc>
          <w:tcPr>
            <w:tcW w:w="687"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187</w:t>
            </w:r>
          </w:p>
        </w:tc>
        <w:tc>
          <w:tcPr>
            <w:tcW w:w="687" w:type="dxa"/>
            <w:tcBorders>
              <w:top w:val="nil"/>
            </w:tcBorders>
          </w:tcPr>
          <w:p w:rsidR="00E0446E" w:rsidRPr="0084187A" w:rsidRDefault="00E0446E" w:rsidP="00D02664">
            <w:pPr>
              <w:spacing w:after="60"/>
              <w:jc w:val="right"/>
              <w:rPr>
                <w:snapToGrid w:val="0"/>
                <w:color w:val="000000"/>
                <w:sz w:val="20"/>
              </w:rPr>
            </w:pPr>
          </w:p>
        </w:tc>
        <w:tc>
          <w:tcPr>
            <w:tcW w:w="687"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79%</w:t>
            </w:r>
          </w:p>
        </w:tc>
        <w:tc>
          <w:tcPr>
            <w:tcW w:w="688"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75%</w:t>
            </w:r>
          </w:p>
        </w:tc>
        <w:tc>
          <w:tcPr>
            <w:tcW w:w="687"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77%</w:t>
            </w:r>
          </w:p>
        </w:tc>
        <w:tc>
          <w:tcPr>
            <w:tcW w:w="687"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69%</w:t>
            </w:r>
          </w:p>
        </w:tc>
        <w:tc>
          <w:tcPr>
            <w:tcW w:w="688"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76%</w:t>
            </w:r>
          </w:p>
        </w:tc>
      </w:tr>
      <w:tr w:rsidR="00E0446E" w:rsidRPr="0084187A" w:rsidTr="0084187A">
        <w:tblPrEx>
          <w:tblCellMar>
            <w:top w:w="0" w:type="dxa"/>
            <w:bottom w:w="0" w:type="dxa"/>
          </w:tblCellMar>
        </w:tblPrEx>
        <w:trPr>
          <w:trHeight w:val="216"/>
        </w:trPr>
        <w:tc>
          <w:tcPr>
            <w:tcW w:w="1800" w:type="dxa"/>
          </w:tcPr>
          <w:p w:rsidR="00E0446E" w:rsidRPr="0084187A" w:rsidRDefault="00E0446E" w:rsidP="00D02664">
            <w:pPr>
              <w:spacing w:after="60"/>
              <w:rPr>
                <w:snapToGrid w:val="0"/>
                <w:color w:val="000000"/>
                <w:sz w:val="20"/>
              </w:rPr>
            </w:pPr>
            <w:r w:rsidRPr="0084187A">
              <w:rPr>
                <w:snapToGrid w:val="0"/>
                <w:color w:val="000000"/>
                <w:sz w:val="20"/>
              </w:rPr>
              <w:t>137d</w:t>
            </w: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22</w:t>
            </w: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18</w:t>
            </w: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29</w:t>
            </w:r>
          </w:p>
        </w:tc>
        <w:tc>
          <w:tcPr>
            <w:tcW w:w="688" w:type="dxa"/>
          </w:tcPr>
          <w:p w:rsidR="00E0446E" w:rsidRPr="0084187A" w:rsidRDefault="00E0446E" w:rsidP="00D02664">
            <w:pPr>
              <w:spacing w:after="60"/>
              <w:jc w:val="right"/>
              <w:rPr>
                <w:snapToGrid w:val="0"/>
                <w:color w:val="000000"/>
                <w:sz w:val="20"/>
              </w:rPr>
            </w:pPr>
            <w:r w:rsidRPr="0084187A">
              <w:rPr>
                <w:snapToGrid w:val="0"/>
                <w:color w:val="000000"/>
                <w:sz w:val="20"/>
              </w:rPr>
              <w:t>46</w:t>
            </w: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18</w:t>
            </w:r>
          </w:p>
        </w:tc>
        <w:tc>
          <w:tcPr>
            <w:tcW w:w="687" w:type="dxa"/>
          </w:tcPr>
          <w:p w:rsidR="00E0446E" w:rsidRPr="0084187A" w:rsidRDefault="00E0446E" w:rsidP="00D02664">
            <w:pPr>
              <w:spacing w:after="60"/>
              <w:jc w:val="right"/>
              <w:rPr>
                <w:snapToGrid w:val="0"/>
                <w:color w:val="000000"/>
                <w:sz w:val="20"/>
              </w:rPr>
            </w:pP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9%</w:t>
            </w:r>
          </w:p>
        </w:tc>
        <w:tc>
          <w:tcPr>
            <w:tcW w:w="688" w:type="dxa"/>
          </w:tcPr>
          <w:p w:rsidR="00E0446E" w:rsidRPr="0084187A" w:rsidRDefault="00E0446E" w:rsidP="00D02664">
            <w:pPr>
              <w:spacing w:after="60"/>
              <w:jc w:val="right"/>
              <w:rPr>
                <w:snapToGrid w:val="0"/>
                <w:color w:val="000000"/>
                <w:sz w:val="20"/>
              </w:rPr>
            </w:pPr>
            <w:r w:rsidRPr="0084187A">
              <w:rPr>
                <w:snapToGrid w:val="0"/>
                <w:color w:val="000000"/>
                <w:sz w:val="20"/>
              </w:rPr>
              <w:t>9%</w:t>
            </w: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14%</w:t>
            </w: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19%</w:t>
            </w:r>
          </w:p>
        </w:tc>
        <w:tc>
          <w:tcPr>
            <w:tcW w:w="688" w:type="dxa"/>
          </w:tcPr>
          <w:p w:rsidR="00E0446E" w:rsidRPr="0084187A" w:rsidRDefault="00E0446E" w:rsidP="00D02664">
            <w:pPr>
              <w:spacing w:after="60"/>
              <w:jc w:val="right"/>
              <w:rPr>
                <w:snapToGrid w:val="0"/>
                <w:color w:val="000000"/>
                <w:sz w:val="20"/>
              </w:rPr>
            </w:pPr>
            <w:r w:rsidRPr="0084187A">
              <w:rPr>
                <w:snapToGrid w:val="0"/>
                <w:color w:val="000000"/>
                <w:sz w:val="20"/>
              </w:rPr>
              <w:t>7%</w:t>
            </w:r>
          </w:p>
        </w:tc>
      </w:tr>
      <w:tr w:rsidR="00E0446E" w:rsidRPr="0084187A" w:rsidTr="0084187A">
        <w:tblPrEx>
          <w:tblCellMar>
            <w:top w:w="0" w:type="dxa"/>
            <w:bottom w:w="0" w:type="dxa"/>
          </w:tblCellMar>
        </w:tblPrEx>
        <w:trPr>
          <w:trHeight w:val="216"/>
        </w:trPr>
        <w:tc>
          <w:tcPr>
            <w:tcW w:w="1800" w:type="dxa"/>
          </w:tcPr>
          <w:p w:rsidR="00E0446E" w:rsidRPr="0084187A" w:rsidRDefault="00E0446E" w:rsidP="00D02664">
            <w:pPr>
              <w:spacing w:after="60"/>
              <w:rPr>
                <w:snapToGrid w:val="0"/>
                <w:color w:val="000000"/>
                <w:sz w:val="20"/>
              </w:rPr>
            </w:pPr>
            <w:r w:rsidRPr="0084187A">
              <w:rPr>
                <w:snapToGrid w:val="0"/>
                <w:color w:val="000000"/>
                <w:sz w:val="20"/>
              </w:rPr>
              <w:t>137e</w:t>
            </w: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3</w:t>
            </w: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13</w:t>
            </w: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15</w:t>
            </w:r>
          </w:p>
        </w:tc>
        <w:tc>
          <w:tcPr>
            <w:tcW w:w="688" w:type="dxa"/>
          </w:tcPr>
          <w:p w:rsidR="00E0446E" w:rsidRPr="0084187A" w:rsidRDefault="00E0446E" w:rsidP="00D02664">
            <w:pPr>
              <w:spacing w:after="60"/>
              <w:jc w:val="right"/>
              <w:rPr>
                <w:snapToGrid w:val="0"/>
                <w:color w:val="000000"/>
                <w:sz w:val="20"/>
              </w:rPr>
            </w:pPr>
            <w:r w:rsidRPr="0084187A">
              <w:rPr>
                <w:snapToGrid w:val="0"/>
                <w:color w:val="000000"/>
                <w:sz w:val="20"/>
              </w:rPr>
              <w:t>10</w:t>
            </w: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25</w:t>
            </w:r>
          </w:p>
        </w:tc>
        <w:tc>
          <w:tcPr>
            <w:tcW w:w="687" w:type="dxa"/>
          </w:tcPr>
          <w:p w:rsidR="00E0446E" w:rsidRPr="0084187A" w:rsidRDefault="00E0446E" w:rsidP="00D02664">
            <w:pPr>
              <w:spacing w:after="60"/>
              <w:jc w:val="right"/>
              <w:rPr>
                <w:snapToGrid w:val="0"/>
                <w:color w:val="000000"/>
                <w:sz w:val="20"/>
              </w:rPr>
            </w:pP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1%</w:t>
            </w:r>
          </w:p>
        </w:tc>
        <w:tc>
          <w:tcPr>
            <w:tcW w:w="688" w:type="dxa"/>
          </w:tcPr>
          <w:p w:rsidR="00E0446E" w:rsidRPr="0084187A" w:rsidRDefault="00E0446E" w:rsidP="00D02664">
            <w:pPr>
              <w:spacing w:after="60"/>
              <w:jc w:val="right"/>
              <w:rPr>
                <w:snapToGrid w:val="0"/>
                <w:color w:val="000000"/>
                <w:sz w:val="20"/>
              </w:rPr>
            </w:pPr>
            <w:r w:rsidRPr="0084187A">
              <w:rPr>
                <w:snapToGrid w:val="0"/>
                <w:color w:val="000000"/>
                <w:sz w:val="20"/>
              </w:rPr>
              <w:t>6%</w:t>
            </w: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7%</w:t>
            </w: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4%</w:t>
            </w:r>
          </w:p>
        </w:tc>
        <w:tc>
          <w:tcPr>
            <w:tcW w:w="688" w:type="dxa"/>
          </w:tcPr>
          <w:p w:rsidR="00E0446E" w:rsidRPr="0084187A" w:rsidRDefault="00E0446E" w:rsidP="00D02664">
            <w:pPr>
              <w:spacing w:after="60"/>
              <w:jc w:val="right"/>
              <w:rPr>
                <w:snapToGrid w:val="0"/>
                <w:color w:val="000000"/>
                <w:sz w:val="20"/>
              </w:rPr>
            </w:pPr>
            <w:r w:rsidRPr="0084187A">
              <w:rPr>
                <w:snapToGrid w:val="0"/>
                <w:color w:val="000000"/>
                <w:sz w:val="20"/>
              </w:rPr>
              <w:t>10%</w:t>
            </w:r>
          </w:p>
        </w:tc>
      </w:tr>
      <w:tr w:rsidR="00E0446E" w:rsidRPr="0084187A" w:rsidTr="0084187A">
        <w:tblPrEx>
          <w:tblCellMar>
            <w:top w:w="0" w:type="dxa"/>
            <w:bottom w:w="0" w:type="dxa"/>
          </w:tblCellMar>
        </w:tblPrEx>
        <w:trPr>
          <w:trHeight w:val="216"/>
        </w:trPr>
        <w:tc>
          <w:tcPr>
            <w:tcW w:w="1800" w:type="dxa"/>
          </w:tcPr>
          <w:p w:rsidR="00E0446E" w:rsidRPr="0084187A" w:rsidRDefault="00E0446E" w:rsidP="00D02664">
            <w:pPr>
              <w:spacing w:after="60"/>
              <w:rPr>
                <w:snapToGrid w:val="0"/>
                <w:color w:val="000000"/>
                <w:sz w:val="20"/>
              </w:rPr>
            </w:pPr>
            <w:r w:rsidRPr="0084187A">
              <w:rPr>
                <w:snapToGrid w:val="0"/>
                <w:color w:val="000000"/>
                <w:sz w:val="20"/>
              </w:rPr>
              <w:t>137f</w:t>
            </w: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2</w:t>
            </w: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1</w:t>
            </w: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0</w:t>
            </w:r>
          </w:p>
        </w:tc>
        <w:tc>
          <w:tcPr>
            <w:tcW w:w="688" w:type="dxa"/>
          </w:tcPr>
          <w:p w:rsidR="00E0446E" w:rsidRPr="0084187A" w:rsidRDefault="00E0446E" w:rsidP="00D02664">
            <w:pPr>
              <w:spacing w:after="60"/>
              <w:jc w:val="right"/>
              <w:rPr>
                <w:snapToGrid w:val="0"/>
                <w:color w:val="000000"/>
                <w:sz w:val="20"/>
              </w:rPr>
            </w:pPr>
            <w:r w:rsidRPr="0084187A">
              <w:rPr>
                <w:snapToGrid w:val="0"/>
                <w:color w:val="000000"/>
                <w:sz w:val="20"/>
              </w:rPr>
              <w:t>2</w:t>
            </w: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1</w:t>
            </w:r>
          </w:p>
        </w:tc>
        <w:tc>
          <w:tcPr>
            <w:tcW w:w="687" w:type="dxa"/>
          </w:tcPr>
          <w:p w:rsidR="00E0446E" w:rsidRPr="0084187A" w:rsidRDefault="00E0446E" w:rsidP="00D02664">
            <w:pPr>
              <w:spacing w:after="60"/>
              <w:jc w:val="right"/>
              <w:rPr>
                <w:snapToGrid w:val="0"/>
                <w:color w:val="000000"/>
                <w:sz w:val="20"/>
              </w:rPr>
            </w:pP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1%</w:t>
            </w:r>
          </w:p>
        </w:tc>
        <w:tc>
          <w:tcPr>
            <w:tcW w:w="688" w:type="dxa"/>
          </w:tcPr>
          <w:p w:rsidR="00E0446E" w:rsidRPr="0084187A" w:rsidRDefault="00E0446E" w:rsidP="00D02664">
            <w:pPr>
              <w:spacing w:after="60"/>
              <w:jc w:val="right"/>
              <w:rPr>
                <w:snapToGrid w:val="0"/>
                <w:color w:val="000000"/>
                <w:sz w:val="20"/>
              </w:rPr>
            </w:pPr>
            <w:r w:rsidRPr="0084187A">
              <w:rPr>
                <w:snapToGrid w:val="0"/>
                <w:color w:val="000000"/>
                <w:sz w:val="20"/>
              </w:rPr>
              <w:t>1%</w:t>
            </w: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0%</w:t>
            </w:r>
          </w:p>
        </w:tc>
        <w:tc>
          <w:tcPr>
            <w:tcW w:w="687" w:type="dxa"/>
          </w:tcPr>
          <w:p w:rsidR="00E0446E" w:rsidRPr="0084187A" w:rsidRDefault="00E0446E" w:rsidP="00D02664">
            <w:pPr>
              <w:spacing w:after="60"/>
              <w:jc w:val="right"/>
              <w:rPr>
                <w:snapToGrid w:val="0"/>
                <w:color w:val="000000"/>
                <w:sz w:val="20"/>
              </w:rPr>
            </w:pPr>
            <w:r w:rsidRPr="0084187A">
              <w:rPr>
                <w:snapToGrid w:val="0"/>
                <w:color w:val="000000"/>
                <w:sz w:val="20"/>
              </w:rPr>
              <w:t>1%</w:t>
            </w:r>
          </w:p>
        </w:tc>
        <w:tc>
          <w:tcPr>
            <w:tcW w:w="688" w:type="dxa"/>
          </w:tcPr>
          <w:p w:rsidR="00E0446E" w:rsidRPr="0084187A" w:rsidRDefault="00E0446E" w:rsidP="00D02664">
            <w:pPr>
              <w:spacing w:after="60"/>
              <w:jc w:val="right"/>
              <w:rPr>
                <w:snapToGrid w:val="0"/>
                <w:color w:val="000000"/>
                <w:sz w:val="20"/>
              </w:rPr>
            </w:pPr>
            <w:r w:rsidRPr="0084187A">
              <w:rPr>
                <w:snapToGrid w:val="0"/>
                <w:color w:val="000000"/>
                <w:sz w:val="20"/>
              </w:rPr>
              <w:t>0%</w:t>
            </w:r>
          </w:p>
        </w:tc>
      </w:tr>
      <w:tr w:rsidR="00E0446E" w:rsidRPr="0084187A" w:rsidTr="00030F9E">
        <w:tblPrEx>
          <w:tblCellMar>
            <w:top w:w="0" w:type="dxa"/>
            <w:bottom w:w="0" w:type="dxa"/>
          </w:tblCellMar>
        </w:tblPrEx>
        <w:trPr>
          <w:trHeight w:val="216"/>
        </w:trPr>
        <w:tc>
          <w:tcPr>
            <w:tcW w:w="1800" w:type="dxa"/>
            <w:tcBorders>
              <w:bottom w:val="nil"/>
            </w:tcBorders>
          </w:tcPr>
          <w:p w:rsidR="00E0446E" w:rsidRPr="0084187A" w:rsidRDefault="00E0446E" w:rsidP="00D02664">
            <w:pPr>
              <w:spacing w:after="60"/>
              <w:rPr>
                <w:snapToGrid w:val="0"/>
                <w:color w:val="000000"/>
                <w:sz w:val="20"/>
              </w:rPr>
            </w:pPr>
            <w:r w:rsidRPr="0084187A">
              <w:rPr>
                <w:snapToGrid w:val="0"/>
                <w:color w:val="000000"/>
                <w:sz w:val="20"/>
              </w:rPr>
              <w:t>137g</w:t>
            </w:r>
          </w:p>
        </w:tc>
        <w:tc>
          <w:tcPr>
            <w:tcW w:w="687" w:type="dxa"/>
            <w:tcBorders>
              <w:bottom w:val="nil"/>
            </w:tcBorders>
          </w:tcPr>
          <w:p w:rsidR="00E0446E" w:rsidRPr="0084187A" w:rsidRDefault="00E0446E" w:rsidP="00D02664">
            <w:pPr>
              <w:spacing w:after="60"/>
              <w:jc w:val="right"/>
              <w:rPr>
                <w:snapToGrid w:val="0"/>
                <w:color w:val="000000"/>
                <w:sz w:val="20"/>
              </w:rPr>
            </w:pPr>
            <w:r w:rsidRPr="0084187A">
              <w:rPr>
                <w:snapToGrid w:val="0"/>
                <w:color w:val="000000"/>
                <w:sz w:val="20"/>
              </w:rPr>
              <w:t>20</w:t>
            </w:r>
          </w:p>
        </w:tc>
        <w:tc>
          <w:tcPr>
            <w:tcW w:w="687" w:type="dxa"/>
            <w:tcBorders>
              <w:bottom w:val="nil"/>
            </w:tcBorders>
          </w:tcPr>
          <w:p w:rsidR="00E0446E" w:rsidRPr="0084187A" w:rsidRDefault="00E0446E" w:rsidP="00D02664">
            <w:pPr>
              <w:spacing w:after="60"/>
              <w:jc w:val="right"/>
              <w:rPr>
                <w:snapToGrid w:val="0"/>
                <w:color w:val="000000"/>
                <w:sz w:val="20"/>
              </w:rPr>
            </w:pPr>
            <w:r w:rsidRPr="0084187A">
              <w:rPr>
                <w:snapToGrid w:val="0"/>
                <w:color w:val="000000"/>
                <w:sz w:val="20"/>
              </w:rPr>
              <w:t>17</w:t>
            </w:r>
          </w:p>
        </w:tc>
        <w:tc>
          <w:tcPr>
            <w:tcW w:w="687" w:type="dxa"/>
            <w:tcBorders>
              <w:bottom w:val="nil"/>
            </w:tcBorders>
          </w:tcPr>
          <w:p w:rsidR="00E0446E" w:rsidRPr="0084187A" w:rsidRDefault="00E0446E" w:rsidP="00D02664">
            <w:pPr>
              <w:spacing w:after="60"/>
              <w:jc w:val="right"/>
              <w:rPr>
                <w:snapToGrid w:val="0"/>
                <w:color w:val="000000"/>
                <w:sz w:val="20"/>
              </w:rPr>
            </w:pPr>
            <w:r w:rsidRPr="0084187A">
              <w:rPr>
                <w:snapToGrid w:val="0"/>
                <w:color w:val="000000"/>
                <w:sz w:val="20"/>
              </w:rPr>
              <w:t>5</w:t>
            </w:r>
          </w:p>
        </w:tc>
        <w:tc>
          <w:tcPr>
            <w:tcW w:w="688" w:type="dxa"/>
            <w:tcBorders>
              <w:bottom w:val="nil"/>
            </w:tcBorders>
          </w:tcPr>
          <w:p w:rsidR="00E0446E" w:rsidRPr="0084187A" w:rsidRDefault="00E0446E" w:rsidP="00D02664">
            <w:pPr>
              <w:spacing w:after="60"/>
              <w:jc w:val="right"/>
              <w:rPr>
                <w:snapToGrid w:val="0"/>
                <w:color w:val="000000"/>
                <w:sz w:val="20"/>
              </w:rPr>
            </w:pPr>
            <w:r w:rsidRPr="0084187A">
              <w:rPr>
                <w:snapToGrid w:val="0"/>
                <w:color w:val="000000"/>
                <w:sz w:val="20"/>
              </w:rPr>
              <w:t>9</w:t>
            </w:r>
          </w:p>
        </w:tc>
        <w:tc>
          <w:tcPr>
            <w:tcW w:w="687" w:type="dxa"/>
            <w:tcBorders>
              <w:bottom w:val="nil"/>
            </w:tcBorders>
          </w:tcPr>
          <w:p w:rsidR="00E0446E" w:rsidRPr="0084187A" w:rsidRDefault="00E0446E" w:rsidP="00D02664">
            <w:pPr>
              <w:spacing w:after="60"/>
              <w:jc w:val="right"/>
              <w:rPr>
                <w:snapToGrid w:val="0"/>
                <w:color w:val="000000"/>
                <w:sz w:val="20"/>
              </w:rPr>
            </w:pPr>
            <w:r w:rsidRPr="0084187A">
              <w:rPr>
                <w:snapToGrid w:val="0"/>
                <w:color w:val="000000"/>
                <w:sz w:val="20"/>
              </w:rPr>
              <w:t>10</w:t>
            </w:r>
          </w:p>
        </w:tc>
        <w:tc>
          <w:tcPr>
            <w:tcW w:w="687" w:type="dxa"/>
            <w:tcBorders>
              <w:bottom w:val="nil"/>
            </w:tcBorders>
          </w:tcPr>
          <w:p w:rsidR="00E0446E" w:rsidRPr="0084187A" w:rsidRDefault="00E0446E" w:rsidP="00D02664">
            <w:pPr>
              <w:spacing w:after="60"/>
              <w:jc w:val="right"/>
              <w:rPr>
                <w:snapToGrid w:val="0"/>
                <w:color w:val="000000"/>
                <w:sz w:val="20"/>
              </w:rPr>
            </w:pPr>
          </w:p>
        </w:tc>
        <w:tc>
          <w:tcPr>
            <w:tcW w:w="687" w:type="dxa"/>
            <w:tcBorders>
              <w:bottom w:val="nil"/>
            </w:tcBorders>
          </w:tcPr>
          <w:p w:rsidR="00E0446E" w:rsidRPr="0084187A" w:rsidRDefault="00E0446E" w:rsidP="00D02664">
            <w:pPr>
              <w:spacing w:after="60"/>
              <w:jc w:val="right"/>
              <w:rPr>
                <w:snapToGrid w:val="0"/>
                <w:color w:val="000000"/>
                <w:sz w:val="20"/>
              </w:rPr>
            </w:pPr>
            <w:r w:rsidRPr="0084187A">
              <w:rPr>
                <w:snapToGrid w:val="0"/>
                <w:color w:val="000000"/>
                <w:sz w:val="20"/>
              </w:rPr>
              <w:t>8%</w:t>
            </w:r>
          </w:p>
        </w:tc>
        <w:tc>
          <w:tcPr>
            <w:tcW w:w="688" w:type="dxa"/>
            <w:tcBorders>
              <w:bottom w:val="nil"/>
            </w:tcBorders>
          </w:tcPr>
          <w:p w:rsidR="00E0446E" w:rsidRPr="0084187A" w:rsidRDefault="00E0446E" w:rsidP="00D02664">
            <w:pPr>
              <w:spacing w:after="60"/>
              <w:jc w:val="right"/>
              <w:rPr>
                <w:snapToGrid w:val="0"/>
                <w:color w:val="000000"/>
                <w:sz w:val="20"/>
              </w:rPr>
            </w:pPr>
            <w:r w:rsidRPr="0084187A">
              <w:rPr>
                <w:snapToGrid w:val="0"/>
                <w:color w:val="000000"/>
                <w:sz w:val="20"/>
              </w:rPr>
              <w:t>8%</w:t>
            </w:r>
          </w:p>
        </w:tc>
        <w:tc>
          <w:tcPr>
            <w:tcW w:w="687" w:type="dxa"/>
            <w:tcBorders>
              <w:bottom w:val="nil"/>
            </w:tcBorders>
          </w:tcPr>
          <w:p w:rsidR="00E0446E" w:rsidRPr="0084187A" w:rsidRDefault="00E0446E" w:rsidP="00D02664">
            <w:pPr>
              <w:spacing w:after="60"/>
              <w:jc w:val="right"/>
              <w:rPr>
                <w:snapToGrid w:val="0"/>
                <w:color w:val="000000"/>
                <w:sz w:val="20"/>
              </w:rPr>
            </w:pPr>
            <w:r w:rsidRPr="0084187A">
              <w:rPr>
                <w:snapToGrid w:val="0"/>
                <w:color w:val="000000"/>
                <w:sz w:val="20"/>
              </w:rPr>
              <w:t>2%</w:t>
            </w:r>
          </w:p>
        </w:tc>
        <w:tc>
          <w:tcPr>
            <w:tcW w:w="687" w:type="dxa"/>
            <w:tcBorders>
              <w:bottom w:val="nil"/>
            </w:tcBorders>
          </w:tcPr>
          <w:p w:rsidR="00E0446E" w:rsidRPr="0084187A" w:rsidRDefault="00E0446E" w:rsidP="00D02664">
            <w:pPr>
              <w:spacing w:after="60"/>
              <w:jc w:val="right"/>
              <w:rPr>
                <w:snapToGrid w:val="0"/>
                <w:color w:val="000000"/>
                <w:sz w:val="20"/>
              </w:rPr>
            </w:pPr>
            <w:r w:rsidRPr="0084187A">
              <w:rPr>
                <w:snapToGrid w:val="0"/>
                <w:color w:val="000000"/>
                <w:sz w:val="20"/>
              </w:rPr>
              <w:t>4%</w:t>
            </w:r>
          </w:p>
        </w:tc>
        <w:tc>
          <w:tcPr>
            <w:tcW w:w="688" w:type="dxa"/>
            <w:tcBorders>
              <w:bottom w:val="nil"/>
            </w:tcBorders>
          </w:tcPr>
          <w:p w:rsidR="00E0446E" w:rsidRPr="0084187A" w:rsidRDefault="00E0446E" w:rsidP="00D02664">
            <w:pPr>
              <w:spacing w:after="60"/>
              <w:jc w:val="right"/>
              <w:rPr>
                <w:snapToGrid w:val="0"/>
                <w:color w:val="000000"/>
                <w:sz w:val="20"/>
              </w:rPr>
            </w:pPr>
            <w:r w:rsidRPr="0084187A">
              <w:rPr>
                <w:snapToGrid w:val="0"/>
                <w:color w:val="000000"/>
                <w:sz w:val="20"/>
              </w:rPr>
              <w:t>4%</w:t>
            </w:r>
          </w:p>
        </w:tc>
      </w:tr>
      <w:tr w:rsidR="00E0446E" w:rsidRPr="0084187A" w:rsidTr="00030F9E">
        <w:tblPrEx>
          <w:tblCellMar>
            <w:top w:w="0" w:type="dxa"/>
            <w:bottom w:w="0" w:type="dxa"/>
          </w:tblCellMar>
        </w:tblPrEx>
        <w:trPr>
          <w:trHeight w:val="216"/>
        </w:trPr>
        <w:tc>
          <w:tcPr>
            <w:tcW w:w="1800" w:type="dxa"/>
            <w:tcBorders>
              <w:top w:val="nil"/>
              <w:bottom w:val="single" w:sz="4" w:space="0" w:color="auto"/>
            </w:tcBorders>
          </w:tcPr>
          <w:p w:rsidR="00E0446E" w:rsidRPr="0084187A" w:rsidRDefault="00E0446E" w:rsidP="00D02664">
            <w:pPr>
              <w:spacing w:after="60"/>
              <w:rPr>
                <w:snapToGrid w:val="0"/>
                <w:color w:val="000000"/>
                <w:sz w:val="20"/>
              </w:rPr>
            </w:pPr>
            <w:r w:rsidRPr="0084187A">
              <w:rPr>
                <w:snapToGrid w:val="0"/>
                <w:color w:val="000000"/>
                <w:sz w:val="20"/>
              </w:rPr>
              <w:t>429quater</w:t>
            </w:r>
          </w:p>
        </w:tc>
        <w:tc>
          <w:tcPr>
            <w:tcW w:w="687" w:type="dxa"/>
            <w:tcBorders>
              <w:top w:val="nil"/>
              <w:bottom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4</w:t>
            </w:r>
          </w:p>
        </w:tc>
        <w:tc>
          <w:tcPr>
            <w:tcW w:w="687" w:type="dxa"/>
            <w:tcBorders>
              <w:top w:val="nil"/>
              <w:bottom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1</w:t>
            </w:r>
          </w:p>
        </w:tc>
        <w:tc>
          <w:tcPr>
            <w:tcW w:w="687" w:type="dxa"/>
            <w:tcBorders>
              <w:top w:val="nil"/>
              <w:bottom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0</w:t>
            </w:r>
          </w:p>
        </w:tc>
        <w:tc>
          <w:tcPr>
            <w:tcW w:w="688" w:type="dxa"/>
            <w:tcBorders>
              <w:top w:val="nil"/>
              <w:bottom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8</w:t>
            </w:r>
          </w:p>
        </w:tc>
        <w:tc>
          <w:tcPr>
            <w:tcW w:w="687" w:type="dxa"/>
            <w:tcBorders>
              <w:top w:val="nil"/>
              <w:bottom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5</w:t>
            </w:r>
          </w:p>
        </w:tc>
        <w:tc>
          <w:tcPr>
            <w:tcW w:w="687" w:type="dxa"/>
            <w:tcBorders>
              <w:top w:val="nil"/>
              <w:bottom w:val="nil"/>
            </w:tcBorders>
          </w:tcPr>
          <w:p w:rsidR="00E0446E" w:rsidRPr="0084187A" w:rsidRDefault="00E0446E" w:rsidP="00D02664">
            <w:pPr>
              <w:spacing w:after="60"/>
              <w:jc w:val="right"/>
              <w:rPr>
                <w:snapToGrid w:val="0"/>
                <w:color w:val="000000"/>
                <w:sz w:val="20"/>
              </w:rPr>
            </w:pPr>
          </w:p>
        </w:tc>
        <w:tc>
          <w:tcPr>
            <w:tcW w:w="687" w:type="dxa"/>
            <w:tcBorders>
              <w:top w:val="nil"/>
              <w:bottom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2%</w:t>
            </w:r>
          </w:p>
        </w:tc>
        <w:tc>
          <w:tcPr>
            <w:tcW w:w="688" w:type="dxa"/>
            <w:tcBorders>
              <w:top w:val="nil"/>
              <w:bottom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1%</w:t>
            </w:r>
          </w:p>
        </w:tc>
        <w:tc>
          <w:tcPr>
            <w:tcW w:w="687" w:type="dxa"/>
            <w:tcBorders>
              <w:top w:val="nil"/>
              <w:bottom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0%</w:t>
            </w:r>
          </w:p>
        </w:tc>
        <w:tc>
          <w:tcPr>
            <w:tcW w:w="687" w:type="dxa"/>
            <w:tcBorders>
              <w:top w:val="nil"/>
              <w:bottom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3%</w:t>
            </w:r>
          </w:p>
        </w:tc>
        <w:tc>
          <w:tcPr>
            <w:tcW w:w="688" w:type="dxa"/>
            <w:tcBorders>
              <w:top w:val="nil"/>
              <w:bottom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2%</w:t>
            </w:r>
          </w:p>
        </w:tc>
      </w:tr>
      <w:tr w:rsidR="00E0446E" w:rsidRPr="0084187A" w:rsidTr="00030F9E">
        <w:tblPrEx>
          <w:tblCellMar>
            <w:top w:w="0" w:type="dxa"/>
            <w:bottom w:w="0" w:type="dxa"/>
          </w:tblCellMar>
        </w:tblPrEx>
        <w:trPr>
          <w:trHeight w:val="216"/>
        </w:trPr>
        <w:tc>
          <w:tcPr>
            <w:tcW w:w="1800" w:type="dxa"/>
            <w:tcBorders>
              <w:top w:val="single" w:sz="4" w:space="0" w:color="auto"/>
            </w:tcBorders>
          </w:tcPr>
          <w:p w:rsidR="00E0446E" w:rsidRPr="0084187A" w:rsidRDefault="00A34698" w:rsidP="00D02664">
            <w:pPr>
              <w:spacing w:after="60"/>
              <w:rPr>
                <w:snapToGrid w:val="0"/>
                <w:color w:val="000000"/>
                <w:sz w:val="20"/>
              </w:rPr>
            </w:pPr>
            <w:r w:rsidRPr="0084187A">
              <w:rPr>
                <w:snapToGrid w:val="0"/>
                <w:color w:val="000000"/>
                <w:sz w:val="20"/>
              </w:rPr>
              <w:t xml:space="preserve">     </w:t>
            </w:r>
            <w:r w:rsidR="00E0446E" w:rsidRPr="0084187A">
              <w:rPr>
                <w:snapToGrid w:val="0"/>
                <w:color w:val="000000"/>
                <w:sz w:val="20"/>
              </w:rPr>
              <w:t>Total</w:t>
            </w:r>
          </w:p>
        </w:tc>
        <w:tc>
          <w:tcPr>
            <w:tcW w:w="687"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242</w:t>
            </w:r>
          </w:p>
        </w:tc>
        <w:tc>
          <w:tcPr>
            <w:tcW w:w="687"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204</w:t>
            </w:r>
          </w:p>
        </w:tc>
        <w:tc>
          <w:tcPr>
            <w:tcW w:w="687"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214</w:t>
            </w:r>
          </w:p>
        </w:tc>
        <w:tc>
          <w:tcPr>
            <w:tcW w:w="688"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241</w:t>
            </w:r>
          </w:p>
        </w:tc>
        <w:tc>
          <w:tcPr>
            <w:tcW w:w="687"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246</w:t>
            </w:r>
          </w:p>
        </w:tc>
        <w:tc>
          <w:tcPr>
            <w:tcW w:w="687" w:type="dxa"/>
            <w:tcBorders>
              <w:top w:val="nil"/>
              <w:bottom w:val="nil"/>
            </w:tcBorders>
          </w:tcPr>
          <w:p w:rsidR="00E0446E" w:rsidRPr="0084187A" w:rsidRDefault="00E0446E" w:rsidP="00D02664">
            <w:pPr>
              <w:spacing w:after="60"/>
              <w:jc w:val="right"/>
              <w:rPr>
                <w:snapToGrid w:val="0"/>
                <w:color w:val="000000"/>
                <w:sz w:val="20"/>
              </w:rPr>
            </w:pPr>
          </w:p>
        </w:tc>
        <w:tc>
          <w:tcPr>
            <w:tcW w:w="687"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100%</w:t>
            </w:r>
          </w:p>
        </w:tc>
        <w:tc>
          <w:tcPr>
            <w:tcW w:w="688"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100%</w:t>
            </w:r>
          </w:p>
        </w:tc>
        <w:tc>
          <w:tcPr>
            <w:tcW w:w="687"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100%</w:t>
            </w:r>
          </w:p>
        </w:tc>
        <w:tc>
          <w:tcPr>
            <w:tcW w:w="687"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100%</w:t>
            </w:r>
          </w:p>
        </w:tc>
        <w:tc>
          <w:tcPr>
            <w:tcW w:w="688" w:type="dxa"/>
            <w:tcBorders>
              <w:top w:val="single" w:sz="4" w:space="0" w:color="auto"/>
            </w:tcBorders>
          </w:tcPr>
          <w:p w:rsidR="00E0446E" w:rsidRPr="0084187A" w:rsidRDefault="00E0446E" w:rsidP="00D02664">
            <w:pPr>
              <w:spacing w:after="60"/>
              <w:jc w:val="right"/>
              <w:rPr>
                <w:snapToGrid w:val="0"/>
                <w:color w:val="000000"/>
                <w:sz w:val="20"/>
              </w:rPr>
            </w:pPr>
            <w:r w:rsidRPr="0084187A">
              <w:rPr>
                <w:snapToGrid w:val="0"/>
                <w:color w:val="000000"/>
                <w:sz w:val="20"/>
              </w:rPr>
              <w:t>100%</w:t>
            </w:r>
          </w:p>
        </w:tc>
      </w:tr>
    </w:tbl>
    <w:p w:rsidR="00EC2B8C" w:rsidRDefault="00E0446E" w:rsidP="008C483F">
      <w:r w:rsidRPr="00581181">
        <w:t>Specified according to grounds of discrimination:</w:t>
      </w:r>
    </w:p>
    <w:p w:rsidR="00E0446E" w:rsidRPr="00581181" w:rsidRDefault="00D02664" w:rsidP="004C2882">
      <w:pPr>
        <w:pStyle w:val="Heading2"/>
      </w:pPr>
      <w:r>
        <w:br w:type="page"/>
      </w:r>
      <w:r w:rsidR="00E0446E" w:rsidRPr="00581181">
        <w:t>Table 2</w:t>
      </w:r>
    </w:p>
    <w:tbl>
      <w:tblPr>
        <w:tblW w:w="9365"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00"/>
        <w:gridCol w:w="692"/>
        <w:gridCol w:w="686"/>
        <w:gridCol w:w="672"/>
        <w:gridCol w:w="700"/>
        <w:gridCol w:w="686"/>
        <w:gridCol w:w="685"/>
        <w:gridCol w:w="688"/>
        <w:gridCol w:w="689"/>
        <w:gridCol w:w="689"/>
        <w:gridCol w:w="689"/>
        <w:gridCol w:w="689"/>
      </w:tblGrid>
      <w:tr w:rsidR="00E22302" w:rsidRPr="007A6268" w:rsidTr="00E22302">
        <w:tblPrEx>
          <w:tblCellMar>
            <w:top w:w="0" w:type="dxa"/>
            <w:bottom w:w="0" w:type="dxa"/>
          </w:tblCellMar>
        </w:tblPrEx>
        <w:trPr>
          <w:trHeight w:val="173"/>
          <w:tblHeader/>
        </w:trPr>
        <w:tc>
          <w:tcPr>
            <w:tcW w:w="1800" w:type="dxa"/>
            <w:vMerge w:val="restart"/>
            <w:vAlign w:val="center"/>
          </w:tcPr>
          <w:p w:rsidR="00E22302" w:rsidRPr="007A6268" w:rsidRDefault="00E22302" w:rsidP="00D02664">
            <w:pPr>
              <w:spacing w:after="60"/>
              <w:jc w:val="center"/>
              <w:rPr>
                <w:snapToGrid w:val="0"/>
                <w:color w:val="000000"/>
                <w:sz w:val="20"/>
              </w:rPr>
            </w:pPr>
            <w:r w:rsidRPr="007A6268">
              <w:rPr>
                <w:snapToGrid w:val="0"/>
                <w:color w:val="000000"/>
                <w:sz w:val="20"/>
              </w:rPr>
              <w:t>Grounds</w:t>
            </w:r>
          </w:p>
        </w:tc>
        <w:tc>
          <w:tcPr>
            <w:tcW w:w="692" w:type="dxa"/>
            <w:tcBorders>
              <w:top w:val="single" w:sz="4" w:space="0" w:color="auto"/>
              <w:bottom w:val="single" w:sz="4" w:space="0" w:color="auto"/>
            </w:tcBorders>
          </w:tcPr>
          <w:p w:rsidR="00E22302" w:rsidRPr="007A6268" w:rsidRDefault="00E22302" w:rsidP="00D02664">
            <w:pPr>
              <w:spacing w:after="60"/>
              <w:jc w:val="center"/>
              <w:rPr>
                <w:snapToGrid w:val="0"/>
                <w:color w:val="000000"/>
                <w:sz w:val="20"/>
              </w:rPr>
            </w:pPr>
            <w:r w:rsidRPr="007A6268">
              <w:rPr>
                <w:snapToGrid w:val="0"/>
                <w:color w:val="000000"/>
                <w:sz w:val="20"/>
              </w:rPr>
              <w:t>Year</w:t>
            </w:r>
          </w:p>
        </w:tc>
        <w:tc>
          <w:tcPr>
            <w:tcW w:w="686" w:type="dxa"/>
            <w:tcBorders>
              <w:top w:val="single" w:sz="4" w:space="0" w:color="auto"/>
              <w:bottom w:val="single" w:sz="4" w:space="0" w:color="auto"/>
            </w:tcBorders>
          </w:tcPr>
          <w:p w:rsidR="00E22302" w:rsidRPr="007A6268" w:rsidRDefault="00E22302" w:rsidP="00D02664">
            <w:pPr>
              <w:spacing w:after="60"/>
              <w:jc w:val="center"/>
              <w:rPr>
                <w:snapToGrid w:val="0"/>
                <w:color w:val="000000"/>
                <w:sz w:val="20"/>
              </w:rPr>
            </w:pPr>
            <w:r w:rsidRPr="007A6268">
              <w:rPr>
                <w:snapToGrid w:val="0"/>
                <w:color w:val="000000"/>
                <w:sz w:val="20"/>
              </w:rPr>
              <w:t>Year</w:t>
            </w:r>
          </w:p>
        </w:tc>
        <w:tc>
          <w:tcPr>
            <w:tcW w:w="672" w:type="dxa"/>
            <w:tcBorders>
              <w:top w:val="single" w:sz="4" w:space="0" w:color="auto"/>
              <w:bottom w:val="single" w:sz="4" w:space="0" w:color="auto"/>
            </w:tcBorders>
          </w:tcPr>
          <w:p w:rsidR="00E22302" w:rsidRPr="007A6268" w:rsidRDefault="00E22302" w:rsidP="00D02664">
            <w:pPr>
              <w:spacing w:after="60"/>
              <w:jc w:val="center"/>
              <w:rPr>
                <w:snapToGrid w:val="0"/>
                <w:color w:val="000000"/>
                <w:sz w:val="20"/>
              </w:rPr>
            </w:pPr>
            <w:r w:rsidRPr="007A6268">
              <w:rPr>
                <w:snapToGrid w:val="0"/>
                <w:color w:val="000000"/>
                <w:sz w:val="20"/>
              </w:rPr>
              <w:t>Year</w:t>
            </w:r>
          </w:p>
        </w:tc>
        <w:tc>
          <w:tcPr>
            <w:tcW w:w="700" w:type="dxa"/>
            <w:tcBorders>
              <w:top w:val="single" w:sz="4" w:space="0" w:color="auto"/>
              <w:bottom w:val="single" w:sz="4" w:space="0" w:color="auto"/>
            </w:tcBorders>
          </w:tcPr>
          <w:p w:rsidR="00E22302" w:rsidRPr="007A6268" w:rsidRDefault="00E22302" w:rsidP="00D02664">
            <w:pPr>
              <w:spacing w:after="60"/>
              <w:jc w:val="center"/>
              <w:rPr>
                <w:snapToGrid w:val="0"/>
                <w:color w:val="000000"/>
                <w:sz w:val="20"/>
              </w:rPr>
            </w:pPr>
            <w:r w:rsidRPr="007A6268">
              <w:rPr>
                <w:snapToGrid w:val="0"/>
                <w:color w:val="000000"/>
                <w:sz w:val="20"/>
              </w:rPr>
              <w:t>Year</w:t>
            </w:r>
          </w:p>
        </w:tc>
        <w:tc>
          <w:tcPr>
            <w:tcW w:w="686" w:type="dxa"/>
            <w:tcBorders>
              <w:top w:val="single" w:sz="4" w:space="0" w:color="auto"/>
              <w:bottom w:val="single" w:sz="4" w:space="0" w:color="auto"/>
              <w:right w:val="single" w:sz="4" w:space="0" w:color="auto"/>
            </w:tcBorders>
          </w:tcPr>
          <w:p w:rsidR="00E22302" w:rsidRPr="007A6268" w:rsidRDefault="00E22302" w:rsidP="00D02664">
            <w:pPr>
              <w:spacing w:after="60"/>
              <w:jc w:val="center"/>
              <w:rPr>
                <w:snapToGrid w:val="0"/>
                <w:color w:val="000000"/>
                <w:sz w:val="20"/>
              </w:rPr>
            </w:pPr>
            <w:r w:rsidRPr="007A6268">
              <w:rPr>
                <w:snapToGrid w:val="0"/>
                <w:color w:val="000000"/>
                <w:sz w:val="20"/>
              </w:rPr>
              <w:t>Year</w:t>
            </w:r>
          </w:p>
        </w:tc>
        <w:tc>
          <w:tcPr>
            <w:tcW w:w="685" w:type="dxa"/>
            <w:tcBorders>
              <w:top w:val="nil"/>
              <w:left w:val="single" w:sz="4" w:space="0" w:color="auto"/>
              <w:bottom w:val="nil"/>
              <w:right w:val="single" w:sz="4" w:space="0" w:color="auto"/>
            </w:tcBorders>
          </w:tcPr>
          <w:p w:rsidR="00E22302" w:rsidRPr="007A6268" w:rsidRDefault="00E22302" w:rsidP="00D02664">
            <w:pPr>
              <w:spacing w:after="60"/>
              <w:jc w:val="center"/>
              <w:rPr>
                <w:snapToGrid w:val="0"/>
                <w:color w:val="000000"/>
                <w:sz w:val="20"/>
              </w:rPr>
            </w:pPr>
          </w:p>
        </w:tc>
        <w:tc>
          <w:tcPr>
            <w:tcW w:w="688" w:type="dxa"/>
            <w:tcBorders>
              <w:top w:val="single" w:sz="4" w:space="0" w:color="auto"/>
              <w:left w:val="single" w:sz="4" w:space="0" w:color="auto"/>
              <w:bottom w:val="single" w:sz="4" w:space="0" w:color="auto"/>
            </w:tcBorders>
          </w:tcPr>
          <w:p w:rsidR="00E22302" w:rsidRPr="007A6268" w:rsidRDefault="00E22302" w:rsidP="00D02664">
            <w:pPr>
              <w:spacing w:after="60"/>
              <w:jc w:val="center"/>
              <w:rPr>
                <w:snapToGrid w:val="0"/>
                <w:color w:val="000000"/>
                <w:sz w:val="20"/>
              </w:rPr>
            </w:pPr>
            <w:r w:rsidRPr="007A6268">
              <w:rPr>
                <w:snapToGrid w:val="0"/>
                <w:color w:val="000000"/>
                <w:sz w:val="20"/>
              </w:rPr>
              <w:t>Year</w:t>
            </w:r>
          </w:p>
        </w:tc>
        <w:tc>
          <w:tcPr>
            <w:tcW w:w="689" w:type="dxa"/>
            <w:tcBorders>
              <w:top w:val="single" w:sz="4" w:space="0" w:color="auto"/>
              <w:bottom w:val="single" w:sz="4" w:space="0" w:color="auto"/>
            </w:tcBorders>
          </w:tcPr>
          <w:p w:rsidR="00E22302" w:rsidRPr="007A6268" w:rsidRDefault="00E22302" w:rsidP="00D02664">
            <w:pPr>
              <w:spacing w:after="60"/>
              <w:jc w:val="center"/>
              <w:rPr>
                <w:snapToGrid w:val="0"/>
                <w:color w:val="000000"/>
                <w:sz w:val="20"/>
              </w:rPr>
            </w:pPr>
            <w:r w:rsidRPr="007A6268">
              <w:rPr>
                <w:snapToGrid w:val="0"/>
                <w:color w:val="000000"/>
                <w:sz w:val="20"/>
              </w:rPr>
              <w:t>Year</w:t>
            </w:r>
          </w:p>
        </w:tc>
        <w:tc>
          <w:tcPr>
            <w:tcW w:w="689" w:type="dxa"/>
            <w:tcBorders>
              <w:top w:val="single" w:sz="4" w:space="0" w:color="auto"/>
              <w:bottom w:val="single" w:sz="4" w:space="0" w:color="auto"/>
            </w:tcBorders>
          </w:tcPr>
          <w:p w:rsidR="00E22302" w:rsidRPr="007A6268" w:rsidRDefault="00E22302" w:rsidP="00D02664">
            <w:pPr>
              <w:spacing w:after="60"/>
              <w:jc w:val="center"/>
              <w:rPr>
                <w:snapToGrid w:val="0"/>
                <w:color w:val="000000"/>
                <w:sz w:val="20"/>
              </w:rPr>
            </w:pPr>
            <w:r w:rsidRPr="007A6268">
              <w:rPr>
                <w:snapToGrid w:val="0"/>
                <w:color w:val="000000"/>
                <w:sz w:val="20"/>
              </w:rPr>
              <w:t>Year</w:t>
            </w:r>
          </w:p>
        </w:tc>
        <w:tc>
          <w:tcPr>
            <w:tcW w:w="689" w:type="dxa"/>
            <w:tcBorders>
              <w:top w:val="single" w:sz="4" w:space="0" w:color="auto"/>
              <w:bottom w:val="single" w:sz="4" w:space="0" w:color="auto"/>
            </w:tcBorders>
          </w:tcPr>
          <w:p w:rsidR="00E22302" w:rsidRPr="007A6268" w:rsidRDefault="00E22302" w:rsidP="00D02664">
            <w:pPr>
              <w:spacing w:after="60"/>
              <w:jc w:val="center"/>
              <w:rPr>
                <w:snapToGrid w:val="0"/>
                <w:color w:val="000000"/>
                <w:sz w:val="20"/>
              </w:rPr>
            </w:pPr>
            <w:r w:rsidRPr="007A6268">
              <w:rPr>
                <w:snapToGrid w:val="0"/>
                <w:color w:val="000000"/>
                <w:sz w:val="20"/>
              </w:rPr>
              <w:t>Year</w:t>
            </w:r>
          </w:p>
        </w:tc>
        <w:tc>
          <w:tcPr>
            <w:tcW w:w="689" w:type="dxa"/>
            <w:tcBorders>
              <w:top w:val="single" w:sz="4" w:space="0" w:color="auto"/>
              <w:bottom w:val="single" w:sz="4" w:space="0" w:color="auto"/>
            </w:tcBorders>
          </w:tcPr>
          <w:p w:rsidR="00E22302" w:rsidRPr="007A6268" w:rsidRDefault="00E22302" w:rsidP="00D02664">
            <w:pPr>
              <w:spacing w:after="60"/>
              <w:jc w:val="center"/>
              <w:rPr>
                <w:snapToGrid w:val="0"/>
                <w:color w:val="000000"/>
                <w:sz w:val="20"/>
              </w:rPr>
            </w:pPr>
            <w:r w:rsidRPr="007A6268">
              <w:rPr>
                <w:snapToGrid w:val="0"/>
                <w:color w:val="000000"/>
                <w:sz w:val="20"/>
              </w:rPr>
              <w:t>Year</w:t>
            </w:r>
          </w:p>
        </w:tc>
      </w:tr>
      <w:tr w:rsidR="00E22302" w:rsidRPr="007A6268" w:rsidTr="008D13FB">
        <w:tblPrEx>
          <w:tblCellMar>
            <w:top w:w="0" w:type="dxa"/>
            <w:bottom w:w="0" w:type="dxa"/>
          </w:tblCellMar>
        </w:tblPrEx>
        <w:trPr>
          <w:trHeight w:val="173"/>
          <w:tblHeader/>
        </w:trPr>
        <w:tc>
          <w:tcPr>
            <w:tcW w:w="1800" w:type="dxa"/>
            <w:vMerge/>
            <w:tcBorders>
              <w:bottom w:val="single" w:sz="4" w:space="0" w:color="auto"/>
            </w:tcBorders>
          </w:tcPr>
          <w:p w:rsidR="00E22302" w:rsidRPr="007A6268" w:rsidRDefault="00E22302" w:rsidP="00D02664">
            <w:pPr>
              <w:spacing w:after="60"/>
              <w:rPr>
                <w:snapToGrid w:val="0"/>
                <w:sz w:val="20"/>
              </w:rPr>
            </w:pPr>
          </w:p>
        </w:tc>
        <w:tc>
          <w:tcPr>
            <w:tcW w:w="692" w:type="dxa"/>
            <w:tcBorders>
              <w:top w:val="single" w:sz="4" w:space="0" w:color="auto"/>
              <w:bottom w:val="single" w:sz="4" w:space="0" w:color="auto"/>
            </w:tcBorders>
          </w:tcPr>
          <w:p w:rsidR="00E22302" w:rsidRPr="007A6268" w:rsidRDefault="00E22302" w:rsidP="00D02664">
            <w:pPr>
              <w:spacing w:after="60"/>
              <w:jc w:val="center"/>
              <w:rPr>
                <w:snapToGrid w:val="0"/>
                <w:sz w:val="20"/>
              </w:rPr>
            </w:pPr>
            <w:r w:rsidRPr="007A6268">
              <w:rPr>
                <w:snapToGrid w:val="0"/>
                <w:sz w:val="20"/>
              </w:rPr>
              <w:t>2002</w:t>
            </w:r>
          </w:p>
        </w:tc>
        <w:tc>
          <w:tcPr>
            <w:tcW w:w="686" w:type="dxa"/>
            <w:tcBorders>
              <w:top w:val="single" w:sz="4" w:space="0" w:color="auto"/>
              <w:bottom w:val="single" w:sz="4" w:space="0" w:color="auto"/>
            </w:tcBorders>
          </w:tcPr>
          <w:p w:rsidR="00E22302" w:rsidRPr="007A6268" w:rsidRDefault="00E22302" w:rsidP="00D02664">
            <w:pPr>
              <w:spacing w:after="60"/>
              <w:jc w:val="center"/>
              <w:rPr>
                <w:snapToGrid w:val="0"/>
                <w:sz w:val="20"/>
              </w:rPr>
            </w:pPr>
            <w:r w:rsidRPr="007A6268">
              <w:rPr>
                <w:snapToGrid w:val="0"/>
                <w:sz w:val="20"/>
              </w:rPr>
              <w:t>2003</w:t>
            </w:r>
          </w:p>
        </w:tc>
        <w:tc>
          <w:tcPr>
            <w:tcW w:w="672" w:type="dxa"/>
            <w:tcBorders>
              <w:top w:val="single" w:sz="4" w:space="0" w:color="auto"/>
              <w:bottom w:val="single" w:sz="4" w:space="0" w:color="auto"/>
            </w:tcBorders>
          </w:tcPr>
          <w:p w:rsidR="00E22302" w:rsidRPr="007A6268" w:rsidRDefault="00E22302" w:rsidP="00D02664">
            <w:pPr>
              <w:spacing w:after="60"/>
              <w:jc w:val="center"/>
              <w:rPr>
                <w:snapToGrid w:val="0"/>
                <w:sz w:val="20"/>
              </w:rPr>
            </w:pPr>
            <w:r w:rsidRPr="007A6268">
              <w:rPr>
                <w:snapToGrid w:val="0"/>
                <w:sz w:val="20"/>
              </w:rPr>
              <w:t>2004</w:t>
            </w:r>
          </w:p>
        </w:tc>
        <w:tc>
          <w:tcPr>
            <w:tcW w:w="700" w:type="dxa"/>
            <w:tcBorders>
              <w:top w:val="single" w:sz="4" w:space="0" w:color="auto"/>
              <w:bottom w:val="single" w:sz="4" w:space="0" w:color="auto"/>
            </w:tcBorders>
          </w:tcPr>
          <w:p w:rsidR="00E22302" w:rsidRPr="007A6268" w:rsidRDefault="00E22302" w:rsidP="00D02664">
            <w:pPr>
              <w:spacing w:after="60"/>
              <w:jc w:val="center"/>
              <w:rPr>
                <w:snapToGrid w:val="0"/>
                <w:sz w:val="20"/>
              </w:rPr>
            </w:pPr>
            <w:r w:rsidRPr="007A6268">
              <w:rPr>
                <w:snapToGrid w:val="0"/>
                <w:sz w:val="20"/>
              </w:rPr>
              <w:t>2005</w:t>
            </w:r>
          </w:p>
        </w:tc>
        <w:tc>
          <w:tcPr>
            <w:tcW w:w="686" w:type="dxa"/>
            <w:tcBorders>
              <w:top w:val="single" w:sz="4" w:space="0" w:color="auto"/>
              <w:bottom w:val="single" w:sz="4" w:space="0" w:color="auto"/>
              <w:right w:val="single" w:sz="4" w:space="0" w:color="auto"/>
            </w:tcBorders>
          </w:tcPr>
          <w:p w:rsidR="00E22302" w:rsidRPr="007A6268" w:rsidRDefault="00E22302" w:rsidP="00D02664">
            <w:pPr>
              <w:spacing w:after="60"/>
              <w:jc w:val="center"/>
              <w:rPr>
                <w:snapToGrid w:val="0"/>
                <w:sz w:val="20"/>
              </w:rPr>
            </w:pPr>
            <w:r w:rsidRPr="007A6268">
              <w:rPr>
                <w:snapToGrid w:val="0"/>
                <w:sz w:val="20"/>
              </w:rPr>
              <w:t>2006</w:t>
            </w:r>
          </w:p>
        </w:tc>
        <w:tc>
          <w:tcPr>
            <w:tcW w:w="685" w:type="dxa"/>
            <w:tcBorders>
              <w:top w:val="nil"/>
              <w:left w:val="single" w:sz="4" w:space="0" w:color="auto"/>
              <w:bottom w:val="nil"/>
              <w:right w:val="single" w:sz="4" w:space="0" w:color="auto"/>
            </w:tcBorders>
          </w:tcPr>
          <w:p w:rsidR="00E22302" w:rsidRPr="007A6268" w:rsidRDefault="00E22302" w:rsidP="00D02664">
            <w:pPr>
              <w:spacing w:after="60"/>
              <w:jc w:val="center"/>
              <w:rPr>
                <w:snapToGrid w:val="0"/>
                <w:sz w:val="20"/>
              </w:rPr>
            </w:pPr>
          </w:p>
        </w:tc>
        <w:tc>
          <w:tcPr>
            <w:tcW w:w="688" w:type="dxa"/>
            <w:tcBorders>
              <w:top w:val="single" w:sz="4" w:space="0" w:color="auto"/>
              <w:left w:val="single" w:sz="4" w:space="0" w:color="auto"/>
              <w:bottom w:val="single" w:sz="4" w:space="0" w:color="auto"/>
            </w:tcBorders>
          </w:tcPr>
          <w:p w:rsidR="00E22302" w:rsidRPr="007A6268" w:rsidRDefault="00E22302" w:rsidP="00D02664">
            <w:pPr>
              <w:spacing w:after="60"/>
              <w:jc w:val="center"/>
              <w:rPr>
                <w:snapToGrid w:val="0"/>
                <w:sz w:val="20"/>
              </w:rPr>
            </w:pPr>
            <w:r w:rsidRPr="007A6268">
              <w:rPr>
                <w:snapToGrid w:val="0"/>
                <w:sz w:val="20"/>
              </w:rPr>
              <w:t>2002</w:t>
            </w:r>
          </w:p>
        </w:tc>
        <w:tc>
          <w:tcPr>
            <w:tcW w:w="689" w:type="dxa"/>
            <w:tcBorders>
              <w:top w:val="single" w:sz="4" w:space="0" w:color="auto"/>
              <w:bottom w:val="single" w:sz="4" w:space="0" w:color="auto"/>
            </w:tcBorders>
          </w:tcPr>
          <w:p w:rsidR="00E22302" w:rsidRPr="007A6268" w:rsidRDefault="00E22302" w:rsidP="00D02664">
            <w:pPr>
              <w:spacing w:after="60"/>
              <w:jc w:val="center"/>
              <w:rPr>
                <w:snapToGrid w:val="0"/>
                <w:sz w:val="20"/>
              </w:rPr>
            </w:pPr>
            <w:r w:rsidRPr="007A6268">
              <w:rPr>
                <w:snapToGrid w:val="0"/>
                <w:sz w:val="20"/>
              </w:rPr>
              <w:t>2003</w:t>
            </w:r>
          </w:p>
        </w:tc>
        <w:tc>
          <w:tcPr>
            <w:tcW w:w="689" w:type="dxa"/>
            <w:tcBorders>
              <w:top w:val="single" w:sz="4" w:space="0" w:color="auto"/>
              <w:bottom w:val="single" w:sz="4" w:space="0" w:color="auto"/>
            </w:tcBorders>
          </w:tcPr>
          <w:p w:rsidR="00E22302" w:rsidRPr="007A6268" w:rsidRDefault="00E22302" w:rsidP="00D02664">
            <w:pPr>
              <w:spacing w:after="60"/>
              <w:jc w:val="center"/>
              <w:rPr>
                <w:snapToGrid w:val="0"/>
                <w:sz w:val="20"/>
              </w:rPr>
            </w:pPr>
            <w:r w:rsidRPr="007A6268">
              <w:rPr>
                <w:snapToGrid w:val="0"/>
                <w:sz w:val="20"/>
              </w:rPr>
              <w:t>2004</w:t>
            </w:r>
          </w:p>
        </w:tc>
        <w:tc>
          <w:tcPr>
            <w:tcW w:w="689" w:type="dxa"/>
            <w:tcBorders>
              <w:top w:val="single" w:sz="4" w:space="0" w:color="auto"/>
              <w:bottom w:val="single" w:sz="4" w:space="0" w:color="auto"/>
            </w:tcBorders>
          </w:tcPr>
          <w:p w:rsidR="00E22302" w:rsidRPr="007A6268" w:rsidRDefault="00E22302" w:rsidP="00D02664">
            <w:pPr>
              <w:spacing w:after="60"/>
              <w:jc w:val="center"/>
              <w:rPr>
                <w:snapToGrid w:val="0"/>
                <w:sz w:val="20"/>
              </w:rPr>
            </w:pPr>
            <w:r w:rsidRPr="007A6268">
              <w:rPr>
                <w:snapToGrid w:val="0"/>
                <w:sz w:val="20"/>
              </w:rPr>
              <w:t>2005</w:t>
            </w:r>
          </w:p>
        </w:tc>
        <w:tc>
          <w:tcPr>
            <w:tcW w:w="689" w:type="dxa"/>
            <w:tcBorders>
              <w:top w:val="single" w:sz="4" w:space="0" w:color="auto"/>
              <w:bottom w:val="single" w:sz="4" w:space="0" w:color="auto"/>
            </w:tcBorders>
          </w:tcPr>
          <w:p w:rsidR="00E22302" w:rsidRPr="007A6268" w:rsidRDefault="00E22302" w:rsidP="00D02664">
            <w:pPr>
              <w:spacing w:after="60"/>
              <w:jc w:val="center"/>
              <w:rPr>
                <w:snapToGrid w:val="0"/>
                <w:sz w:val="20"/>
              </w:rPr>
            </w:pPr>
            <w:r w:rsidRPr="007A6268">
              <w:rPr>
                <w:snapToGrid w:val="0"/>
                <w:sz w:val="20"/>
              </w:rPr>
              <w:t>2006</w:t>
            </w:r>
          </w:p>
        </w:tc>
      </w:tr>
      <w:tr w:rsidR="00AB1B8F" w:rsidRPr="007A6268" w:rsidTr="00944133">
        <w:tblPrEx>
          <w:tblCellMar>
            <w:top w:w="0" w:type="dxa"/>
            <w:bottom w:w="0" w:type="dxa"/>
          </w:tblCellMar>
        </w:tblPrEx>
        <w:trPr>
          <w:trHeight w:val="173"/>
        </w:trPr>
        <w:tc>
          <w:tcPr>
            <w:tcW w:w="1800" w:type="dxa"/>
            <w:tcBorders>
              <w:top w:val="single" w:sz="4" w:space="0" w:color="auto"/>
            </w:tcBorders>
          </w:tcPr>
          <w:p w:rsidR="00E0446E" w:rsidRPr="007A6268" w:rsidRDefault="00E0446E" w:rsidP="00D02664">
            <w:pPr>
              <w:spacing w:after="60"/>
              <w:rPr>
                <w:snapToGrid w:val="0"/>
                <w:sz w:val="20"/>
              </w:rPr>
            </w:pPr>
            <w:r w:rsidRPr="007A6268">
              <w:rPr>
                <w:snapToGrid w:val="0"/>
                <w:sz w:val="20"/>
              </w:rPr>
              <w:t xml:space="preserve">Race </w:t>
            </w:r>
          </w:p>
        </w:tc>
        <w:tc>
          <w:tcPr>
            <w:tcW w:w="692" w:type="dxa"/>
            <w:tcBorders>
              <w:top w:val="single" w:sz="4" w:space="0" w:color="auto"/>
            </w:tcBorders>
          </w:tcPr>
          <w:p w:rsidR="00E0446E" w:rsidRPr="007A6268" w:rsidRDefault="00E0446E" w:rsidP="00D02664">
            <w:pPr>
              <w:spacing w:after="60"/>
              <w:jc w:val="right"/>
              <w:rPr>
                <w:snapToGrid w:val="0"/>
                <w:sz w:val="20"/>
              </w:rPr>
            </w:pPr>
            <w:r w:rsidRPr="007A6268">
              <w:rPr>
                <w:snapToGrid w:val="0"/>
                <w:sz w:val="20"/>
              </w:rPr>
              <w:t>94</w:t>
            </w:r>
          </w:p>
        </w:tc>
        <w:tc>
          <w:tcPr>
            <w:tcW w:w="686" w:type="dxa"/>
            <w:tcBorders>
              <w:top w:val="single" w:sz="4" w:space="0" w:color="auto"/>
            </w:tcBorders>
          </w:tcPr>
          <w:p w:rsidR="00E0446E" w:rsidRPr="007A6268" w:rsidRDefault="00E0446E" w:rsidP="00D02664">
            <w:pPr>
              <w:spacing w:after="60"/>
              <w:jc w:val="right"/>
              <w:rPr>
                <w:snapToGrid w:val="0"/>
                <w:sz w:val="20"/>
              </w:rPr>
            </w:pPr>
            <w:r w:rsidRPr="007A6268">
              <w:rPr>
                <w:snapToGrid w:val="0"/>
                <w:sz w:val="20"/>
              </w:rPr>
              <w:t>95</w:t>
            </w:r>
          </w:p>
        </w:tc>
        <w:tc>
          <w:tcPr>
            <w:tcW w:w="672" w:type="dxa"/>
            <w:tcBorders>
              <w:top w:val="single" w:sz="4" w:space="0" w:color="auto"/>
            </w:tcBorders>
          </w:tcPr>
          <w:p w:rsidR="00E0446E" w:rsidRPr="007A6268" w:rsidRDefault="00E0446E" w:rsidP="00D02664">
            <w:pPr>
              <w:spacing w:after="60"/>
              <w:jc w:val="right"/>
              <w:rPr>
                <w:snapToGrid w:val="0"/>
                <w:sz w:val="20"/>
              </w:rPr>
            </w:pPr>
            <w:r w:rsidRPr="007A6268">
              <w:rPr>
                <w:snapToGrid w:val="0"/>
                <w:sz w:val="20"/>
              </w:rPr>
              <w:t>92</w:t>
            </w:r>
          </w:p>
        </w:tc>
        <w:tc>
          <w:tcPr>
            <w:tcW w:w="700" w:type="dxa"/>
            <w:tcBorders>
              <w:top w:val="single" w:sz="4" w:space="0" w:color="auto"/>
            </w:tcBorders>
          </w:tcPr>
          <w:p w:rsidR="00E0446E" w:rsidRPr="007A6268" w:rsidRDefault="00E0446E" w:rsidP="00D02664">
            <w:pPr>
              <w:spacing w:after="60"/>
              <w:jc w:val="right"/>
              <w:rPr>
                <w:snapToGrid w:val="0"/>
                <w:sz w:val="20"/>
              </w:rPr>
            </w:pPr>
            <w:r w:rsidRPr="007A6268">
              <w:rPr>
                <w:snapToGrid w:val="0"/>
                <w:sz w:val="20"/>
              </w:rPr>
              <w:t>128</w:t>
            </w:r>
          </w:p>
        </w:tc>
        <w:tc>
          <w:tcPr>
            <w:tcW w:w="686" w:type="dxa"/>
            <w:tcBorders>
              <w:top w:val="single" w:sz="4" w:space="0" w:color="auto"/>
              <w:right w:val="single" w:sz="4" w:space="0" w:color="auto"/>
            </w:tcBorders>
          </w:tcPr>
          <w:p w:rsidR="00E0446E" w:rsidRPr="007A6268" w:rsidRDefault="00E0446E" w:rsidP="00D02664">
            <w:pPr>
              <w:spacing w:after="60"/>
              <w:jc w:val="right"/>
              <w:rPr>
                <w:snapToGrid w:val="0"/>
                <w:sz w:val="20"/>
              </w:rPr>
            </w:pPr>
            <w:r w:rsidRPr="007A6268">
              <w:rPr>
                <w:snapToGrid w:val="0"/>
                <w:sz w:val="20"/>
              </w:rPr>
              <w:t>179</w:t>
            </w:r>
          </w:p>
        </w:tc>
        <w:tc>
          <w:tcPr>
            <w:tcW w:w="685" w:type="dxa"/>
            <w:tcBorders>
              <w:top w:val="nil"/>
              <w:left w:val="single" w:sz="4" w:space="0" w:color="auto"/>
              <w:bottom w:val="nil"/>
              <w:right w:val="single" w:sz="4" w:space="0" w:color="auto"/>
            </w:tcBorders>
          </w:tcPr>
          <w:p w:rsidR="00E0446E" w:rsidRPr="007A6268" w:rsidRDefault="00E0446E" w:rsidP="00D02664">
            <w:pPr>
              <w:spacing w:after="60"/>
              <w:jc w:val="right"/>
              <w:rPr>
                <w:snapToGrid w:val="0"/>
                <w:sz w:val="20"/>
              </w:rPr>
            </w:pPr>
          </w:p>
        </w:tc>
        <w:tc>
          <w:tcPr>
            <w:tcW w:w="688" w:type="dxa"/>
            <w:tcBorders>
              <w:top w:val="single" w:sz="4" w:space="0" w:color="auto"/>
              <w:left w:val="single" w:sz="4" w:space="0" w:color="auto"/>
            </w:tcBorders>
          </w:tcPr>
          <w:p w:rsidR="00E0446E" w:rsidRPr="007A6268" w:rsidRDefault="00E0446E" w:rsidP="00D02664">
            <w:pPr>
              <w:spacing w:after="60"/>
              <w:jc w:val="right"/>
              <w:rPr>
                <w:snapToGrid w:val="0"/>
                <w:sz w:val="20"/>
              </w:rPr>
            </w:pPr>
            <w:r w:rsidRPr="007A6268">
              <w:rPr>
                <w:snapToGrid w:val="0"/>
                <w:sz w:val="20"/>
              </w:rPr>
              <w:t>39%</w:t>
            </w:r>
          </w:p>
        </w:tc>
        <w:tc>
          <w:tcPr>
            <w:tcW w:w="689" w:type="dxa"/>
            <w:tcBorders>
              <w:top w:val="single" w:sz="4" w:space="0" w:color="auto"/>
            </w:tcBorders>
          </w:tcPr>
          <w:p w:rsidR="00E0446E" w:rsidRPr="007A6268" w:rsidRDefault="00E0446E" w:rsidP="00D02664">
            <w:pPr>
              <w:spacing w:after="60"/>
              <w:jc w:val="right"/>
              <w:rPr>
                <w:snapToGrid w:val="0"/>
                <w:sz w:val="20"/>
              </w:rPr>
            </w:pPr>
            <w:r w:rsidRPr="007A6268">
              <w:rPr>
                <w:snapToGrid w:val="0"/>
                <w:sz w:val="20"/>
              </w:rPr>
              <w:t>47%</w:t>
            </w:r>
          </w:p>
        </w:tc>
        <w:tc>
          <w:tcPr>
            <w:tcW w:w="689" w:type="dxa"/>
            <w:tcBorders>
              <w:top w:val="single" w:sz="4" w:space="0" w:color="auto"/>
            </w:tcBorders>
          </w:tcPr>
          <w:p w:rsidR="00E0446E" w:rsidRPr="007A6268" w:rsidRDefault="00E0446E" w:rsidP="00D02664">
            <w:pPr>
              <w:spacing w:after="60"/>
              <w:jc w:val="right"/>
              <w:rPr>
                <w:snapToGrid w:val="0"/>
                <w:sz w:val="20"/>
              </w:rPr>
            </w:pPr>
            <w:r w:rsidRPr="007A6268">
              <w:rPr>
                <w:snapToGrid w:val="0"/>
                <w:sz w:val="20"/>
              </w:rPr>
              <w:t>43%</w:t>
            </w:r>
          </w:p>
        </w:tc>
        <w:tc>
          <w:tcPr>
            <w:tcW w:w="689" w:type="dxa"/>
            <w:tcBorders>
              <w:top w:val="single" w:sz="4" w:space="0" w:color="auto"/>
            </w:tcBorders>
          </w:tcPr>
          <w:p w:rsidR="00E0446E" w:rsidRPr="007A6268" w:rsidRDefault="00E0446E" w:rsidP="00D02664">
            <w:pPr>
              <w:spacing w:after="60"/>
              <w:jc w:val="right"/>
              <w:rPr>
                <w:snapToGrid w:val="0"/>
                <w:sz w:val="20"/>
              </w:rPr>
            </w:pPr>
            <w:r w:rsidRPr="007A6268">
              <w:rPr>
                <w:snapToGrid w:val="0"/>
                <w:sz w:val="20"/>
              </w:rPr>
              <w:t>46%</w:t>
            </w:r>
          </w:p>
        </w:tc>
        <w:tc>
          <w:tcPr>
            <w:tcW w:w="689" w:type="dxa"/>
            <w:tcBorders>
              <w:top w:val="single" w:sz="4" w:space="0" w:color="auto"/>
            </w:tcBorders>
          </w:tcPr>
          <w:p w:rsidR="00E0446E" w:rsidRPr="007A6268" w:rsidRDefault="00E0446E" w:rsidP="00D02664">
            <w:pPr>
              <w:spacing w:after="60"/>
              <w:jc w:val="right"/>
              <w:rPr>
                <w:snapToGrid w:val="0"/>
                <w:sz w:val="20"/>
              </w:rPr>
            </w:pPr>
            <w:r w:rsidRPr="007A6268">
              <w:rPr>
                <w:snapToGrid w:val="0"/>
                <w:sz w:val="20"/>
              </w:rPr>
              <w:t>55%</w:t>
            </w:r>
          </w:p>
        </w:tc>
      </w:tr>
      <w:tr w:rsidR="00AB1B8F" w:rsidRPr="007A6268" w:rsidTr="00944133">
        <w:tblPrEx>
          <w:tblCellMar>
            <w:top w:w="0" w:type="dxa"/>
            <w:bottom w:w="0" w:type="dxa"/>
          </w:tblCellMar>
        </w:tblPrEx>
        <w:trPr>
          <w:trHeight w:val="173"/>
        </w:trPr>
        <w:tc>
          <w:tcPr>
            <w:tcW w:w="1800" w:type="dxa"/>
          </w:tcPr>
          <w:p w:rsidR="00E0446E" w:rsidRPr="007A6268" w:rsidRDefault="00E0446E" w:rsidP="00D02664">
            <w:pPr>
              <w:spacing w:after="60"/>
              <w:rPr>
                <w:snapToGrid w:val="0"/>
                <w:sz w:val="20"/>
              </w:rPr>
            </w:pPr>
            <w:r w:rsidRPr="007A6268">
              <w:rPr>
                <w:snapToGrid w:val="0"/>
                <w:sz w:val="20"/>
              </w:rPr>
              <w:t>Anti</w:t>
            </w:r>
            <w:r w:rsidR="00AD0DF3" w:rsidRPr="007A6268">
              <w:rPr>
                <w:snapToGrid w:val="0"/>
                <w:sz w:val="20"/>
              </w:rPr>
              <w:noBreakHyphen/>
            </w:r>
            <w:r w:rsidRPr="007A6268">
              <w:rPr>
                <w:snapToGrid w:val="0"/>
                <w:sz w:val="20"/>
              </w:rPr>
              <w:t>Semitism</w:t>
            </w:r>
          </w:p>
        </w:tc>
        <w:tc>
          <w:tcPr>
            <w:tcW w:w="692" w:type="dxa"/>
          </w:tcPr>
          <w:p w:rsidR="00E0446E" w:rsidRPr="007A6268" w:rsidRDefault="00E0446E" w:rsidP="00D02664">
            <w:pPr>
              <w:spacing w:after="60"/>
              <w:jc w:val="right"/>
              <w:rPr>
                <w:snapToGrid w:val="0"/>
                <w:sz w:val="20"/>
              </w:rPr>
            </w:pPr>
            <w:r w:rsidRPr="007A6268">
              <w:rPr>
                <w:snapToGrid w:val="0"/>
                <w:sz w:val="20"/>
              </w:rPr>
              <w:t>60</w:t>
            </w:r>
          </w:p>
        </w:tc>
        <w:tc>
          <w:tcPr>
            <w:tcW w:w="686" w:type="dxa"/>
          </w:tcPr>
          <w:p w:rsidR="00E0446E" w:rsidRPr="007A6268" w:rsidRDefault="00E0446E" w:rsidP="00D02664">
            <w:pPr>
              <w:spacing w:after="60"/>
              <w:jc w:val="right"/>
              <w:rPr>
                <w:snapToGrid w:val="0"/>
                <w:sz w:val="20"/>
              </w:rPr>
            </w:pPr>
            <w:r w:rsidRPr="007A6268">
              <w:rPr>
                <w:snapToGrid w:val="0"/>
                <w:sz w:val="20"/>
              </w:rPr>
              <w:t>50</w:t>
            </w:r>
          </w:p>
        </w:tc>
        <w:tc>
          <w:tcPr>
            <w:tcW w:w="672" w:type="dxa"/>
          </w:tcPr>
          <w:p w:rsidR="00E0446E" w:rsidRPr="007A6268" w:rsidRDefault="00E0446E" w:rsidP="00D02664">
            <w:pPr>
              <w:spacing w:after="60"/>
              <w:jc w:val="right"/>
              <w:rPr>
                <w:snapToGrid w:val="0"/>
                <w:sz w:val="20"/>
              </w:rPr>
            </w:pPr>
            <w:r w:rsidRPr="007A6268">
              <w:rPr>
                <w:snapToGrid w:val="0"/>
                <w:sz w:val="20"/>
              </w:rPr>
              <w:t>58</w:t>
            </w:r>
          </w:p>
        </w:tc>
        <w:tc>
          <w:tcPr>
            <w:tcW w:w="700" w:type="dxa"/>
          </w:tcPr>
          <w:p w:rsidR="00E0446E" w:rsidRPr="007A6268" w:rsidRDefault="00E0446E" w:rsidP="00D02664">
            <w:pPr>
              <w:spacing w:after="60"/>
              <w:jc w:val="right"/>
              <w:rPr>
                <w:snapToGrid w:val="0"/>
                <w:sz w:val="20"/>
              </w:rPr>
            </w:pPr>
            <w:r w:rsidRPr="007A6268">
              <w:rPr>
                <w:snapToGrid w:val="0"/>
                <w:sz w:val="20"/>
              </w:rPr>
              <w:t>65</w:t>
            </w:r>
          </w:p>
        </w:tc>
        <w:tc>
          <w:tcPr>
            <w:tcW w:w="686" w:type="dxa"/>
            <w:tcBorders>
              <w:right w:val="single" w:sz="4" w:space="0" w:color="auto"/>
            </w:tcBorders>
          </w:tcPr>
          <w:p w:rsidR="00E0446E" w:rsidRPr="007A6268" w:rsidRDefault="00E0446E" w:rsidP="00D02664">
            <w:pPr>
              <w:spacing w:after="60"/>
              <w:jc w:val="right"/>
              <w:rPr>
                <w:snapToGrid w:val="0"/>
                <w:sz w:val="20"/>
              </w:rPr>
            </w:pPr>
            <w:r w:rsidRPr="007A6268">
              <w:rPr>
                <w:snapToGrid w:val="0"/>
                <w:sz w:val="20"/>
              </w:rPr>
              <w:t>108</w:t>
            </w:r>
          </w:p>
        </w:tc>
        <w:tc>
          <w:tcPr>
            <w:tcW w:w="685" w:type="dxa"/>
            <w:tcBorders>
              <w:top w:val="nil"/>
              <w:left w:val="single" w:sz="4" w:space="0" w:color="auto"/>
              <w:bottom w:val="nil"/>
              <w:right w:val="single" w:sz="4" w:space="0" w:color="auto"/>
            </w:tcBorders>
          </w:tcPr>
          <w:p w:rsidR="00E0446E" w:rsidRPr="007A6268" w:rsidRDefault="00E0446E" w:rsidP="00D02664">
            <w:pPr>
              <w:spacing w:after="60"/>
              <w:jc w:val="right"/>
              <w:rPr>
                <w:snapToGrid w:val="0"/>
                <w:sz w:val="20"/>
              </w:rPr>
            </w:pPr>
          </w:p>
        </w:tc>
        <w:tc>
          <w:tcPr>
            <w:tcW w:w="688" w:type="dxa"/>
            <w:tcBorders>
              <w:left w:val="single" w:sz="4" w:space="0" w:color="auto"/>
            </w:tcBorders>
          </w:tcPr>
          <w:p w:rsidR="00E0446E" w:rsidRPr="007A6268" w:rsidRDefault="00E0446E" w:rsidP="00D02664">
            <w:pPr>
              <w:spacing w:after="60"/>
              <w:jc w:val="right"/>
              <w:rPr>
                <w:snapToGrid w:val="0"/>
                <w:sz w:val="20"/>
              </w:rPr>
            </w:pPr>
            <w:r w:rsidRPr="007A6268">
              <w:rPr>
                <w:snapToGrid w:val="0"/>
                <w:sz w:val="20"/>
              </w:rPr>
              <w:t>25%</w:t>
            </w:r>
          </w:p>
        </w:tc>
        <w:tc>
          <w:tcPr>
            <w:tcW w:w="689" w:type="dxa"/>
          </w:tcPr>
          <w:p w:rsidR="00E0446E" w:rsidRPr="007A6268" w:rsidRDefault="00E0446E" w:rsidP="00D02664">
            <w:pPr>
              <w:spacing w:after="60"/>
              <w:jc w:val="right"/>
              <w:rPr>
                <w:snapToGrid w:val="0"/>
                <w:sz w:val="20"/>
              </w:rPr>
            </w:pPr>
            <w:r w:rsidRPr="007A6268">
              <w:rPr>
                <w:snapToGrid w:val="0"/>
                <w:sz w:val="20"/>
              </w:rPr>
              <w:t>25%</w:t>
            </w:r>
          </w:p>
        </w:tc>
        <w:tc>
          <w:tcPr>
            <w:tcW w:w="689" w:type="dxa"/>
          </w:tcPr>
          <w:p w:rsidR="00E0446E" w:rsidRPr="007A6268" w:rsidRDefault="00E0446E" w:rsidP="00D02664">
            <w:pPr>
              <w:spacing w:after="60"/>
              <w:jc w:val="right"/>
              <w:rPr>
                <w:snapToGrid w:val="0"/>
                <w:sz w:val="20"/>
              </w:rPr>
            </w:pPr>
            <w:r w:rsidRPr="007A6268">
              <w:rPr>
                <w:snapToGrid w:val="0"/>
                <w:sz w:val="20"/>
              </w:rPr>
              <w:t>27%</w:t>
            </w:r>
          </w:p>
        </w:tc>
        <w:tc>
          <w:tcPr>
            <w:tcW w:w="689" w:type="dxa"/>
          </w:tcPr>
          <w:p w:rsidR="00E0446E" w:rsidRPr="007A6268" w:rsidRDefault="00E0446E" w:rsidP="00D02664">
            <w:pPr>
              <w:spacing w:after="60"/>
              <w:jc w:val="right"/>
              <w:rPr>
                <w:snapToGrid w:val="0"/>
                <w:sz w:val="20"/>
              </w:rPr>
            </w:pPr>
            <w:r w:rsidRPr="007A6268">
              <w:rPr>
                <w:snapToGrid w:val="0"/>
                <w:sz w:val="20"/>
              </w:rPr>
              <w:t>23%</w:t>
            </w:r>
          </w:p>
        </w:tc>
        <w:tc>
          <w:tcPr>
            <w:tcW w:w="689" w:type="dxa"/>
          </w:tcPr>
          <w:p w:rsidR="00E0446E" w:rsidRPr="007A6268" w:rsidRDefault="00E0446E" w:rsidP="00D02664">
            <w:pPr>
              <w:spacing w:after="60"/>
              <w:jc w:val="right"/>
              <w:rPr>
                <w:snapToGrid w:val="0"/>
                <w:sz w:val="20"/>
              </w:rPr>
            </w:pPr>
            <w:r w:rsidRPr="007A6268">
              <w:rPr>
                <w:snapToGrid w:val="0"/>
                <w:sz w:val="20"/>
              </w:rPr>
              <w:t>33%</w:t>
            </w:r>
          </w:p>
        </w:tc>
      </w:tr>
      <w:tr w:rsidR="00AB1B8F" w:rsidRPr="007A6268" w:rsidTr="00944133">
        <w:tblPrEx>
          <w:tblCellMar>
            <w:top w:w="0" w:type="dxa"/>
            <w:bottom w:w="0" w:type="dxa"/>
          </w:tblCellMar>
        </w:tblPrEx>
        <w:trPr>
          <w:trHeight w:val="173"/>
        </w:trPr>
        <w:tc>
          <w:tcPr>
            <w:tcW w:w="1800" w:type="dxa"/>
          </w:tcPr>
          <w:p w:rsidR="00E0446E" w:rsidRPr="007A6268" w:rsidRDefault="00E0446E" w:rsidP="00D02664">
            <w:pPr>
              <w:spacing w:after="60"/>
              <w:rPr>
                <w:snapToGrid w:val="0"/>
                <w:sz w:val="20"/>
              </w:rPr>
            </w:pPr>
            <w:r w:rsidRPr="007A6268">
              <w:rPr>
                <w:snapToGrid w:val="0"/>
                <w:sz w:val="20"/>
              </w:rPr>
              <w:t xml:space="preserve">Religion/belief </w:t>
            </w:r>
          </w:p>
        </w:tc>
        <w:tc>
          <w:tcPr>
            <w:tcW w:w="692" w:type="dxa"/>
          </w:tcPr>
          <w:p w:rsidR="00E0446E" w:rsidRPr="007A6268" w:rsidRDefault="00E0446E" w:rsidP="00D02664">
            <w:pPr>
              <w:spacing w:after="60"/>
              <w:jc w:val="right"/>
              <w:rPr>
                <w:snapToGrid w:val="0"/>
                <w:sz w:val="20"/>
              </w:rPr>
            </w:pPr>
            <w:r w:rsidRPr="007A6268">
              <w:rPr>
                <w:snapToGrid w:val="0"/>
                <w:sz w:val="20"/>
              </w:rPr>
              <w:t>3</w:t>
            </w:r>
          </w:p>
        </w:tc>
        <w:tc>
          <w:tcPr>
            <w:tcW w:w="686" w:type="dxa"/>
          </w:tcPr>
          <w:p w:rsidR="00E0446E" w:rsidRPr="007A6268" w:rsidRDefault="00E0446E" w:rsidP="00D02664">
            <w:pPr>
              <w:spacing w:after="60"/>
              <w:jc w:val="right"/>
              <w:rPr>
                <w:snapToGrid w:val="0"/>
                <w:sz w:val="20"/>
              </w:rPr>
            </w:pPr>
            <w:r w:rsidRPr="007A6268">
              <w:rPr>
                <w:snapToGrid w:val="0"/>
                <w:sz w:val="20"/>
              </w:rPr>
              <w:t>8</w:t>
            </w:r>
          </w:p>
        </w:tc>
        <w:tc>
          <w:tcPr>
            <w:tcW w:w="672" w:type="dxa"/>
          </w:tcPr>
          <w:p w:rsidR="00E0446E" w:rsidRPr="007A6268" w:rsidRDefault="00E0446E" w:rsidP="00D02664">
            <w:pPr>
              <w:spacing w:after="60"/>
              <w:jc w:val="right"/>
              <w:rPr>
                <w:snapToGrid w:val="0"/>
                <w:sz w:val="20"/>
              </w:rPr>
            </w:pPr>
            <w:r w:rsidRPr="007A6268">
              <w:rPr>
                <w:snapToGrid w:val="0"/>
                <w:sz w:val="20"/>
              </w:rPr>
              <w:t>9</w:t>
            </w:r>
          </w:p>
        </w:tc>
        <w:tc>
          <w:tcPr>
            <w:tcW w:w="700" w:type="dxa"/>
          </w:tcPr>
          <w:p w:rsidR="00E0446E" w:rsidRPr="007A6268" w:rsidRDefault="00E0446E" w:rsidP="00D02664">
            <w:pPr>
              <w:spacing w:after="60"/>
              <w:jc w:val="right"/>
              <w:rPr>
                <w:snapToGrid w:val="0"/>
                <w:sz w:val="20"/>
              </w:rPr>
            </w:pPr>
            <w:r w:rsidRPr="007A6268">
              <w:rPr>
                <w:snapToGrid w:val="0"/>
                <w:sz w:val="20"/>
              </w:rPr>
              <w:t>18</w:t>
            </w:r>
          </w:p>
        </w:tc>
        <w:tc>
          <w:tcPr>
            <w:tcW w:w="686" w:type="dxa"/>
            <w:tcBorders>
              <w:right w:val="single" w:sz="4" w:space="0" w:color="auto"/>
            </w:tcBorders>
          </w:tcPr>
          <w:p w:rsidR="00E0446E" w:rsidRPr="007A6268" w:rsidRDefault="00E0446E" w:rsidP="00D02664">
            <w:pPr>
              <w:spacing w:after="60"/>
              <w:jc w:val="right"/>
              <w:rPr>
                <w:snapToGrid w:val="0"/>
                <w:sz w:val="20"/>
              </w:rPr>
            </w:pPr>
            <w:r w:rsidRPr="007A6268">
              <w:rPr>
                <w:snapToGrid w:val="0"/>
                <w:sz w:val="20"/>
              </w:rPr>
              <w:t>18</w:t>
            </w:r>
          </w:p>
        </w:tc>
        <w:tc>
          <w:tcPr>
            <w:tcW w:w="685" w:type="dxa"/>
            <w:tcBorders>
              <w:top w:val="nil"/>
              <w:left w:val="single" w:sz="4" w:space="0" w:color="auto"/>
              <w:bottom w:val="nil"/>
              <w:right w:val="single" w:sz="4" w:space="0" w:color="auto"/>
            </w:tcBorders>
          </w:tcPr>
          <w:p w:rsidR="00E0446E" w:rsidRPr="007A6268" w:rsidRDefault="00E0446E" w:rsidP="00D02664">
            <w:pPr>
              <w:spacing w:after="60"/>
              <w:jc w:val="right"/>
              <w:rPr>
                <w:snapToGrid w:val="0"/>
                <w:sz w:val="20"/>
              </w:rPr>
            </w:pPr>
          </w:p>
        </w:tc>
        <w:tc>
          <w:tcPr>
            <w:tcW w:w="688" w:type="dxa"/>
            <w:tcBorders>
              <w:left w:val="single" w:sz="4" w:space="0" w:color="auto"/>
            </w:tcBorders>
          </w:tcPr>
          <w:p w:rsidR="00E0446E" w:rsidRPr="007A6268" w:rsidRDefault="00E0446E" w:rsidP="00D02664">
            <w:pPr>
              <w:spacing w:after="60"/>
              <w:jc w:val="right"/>
              <w:rPr>
                <w:snapToGrid w:val="0"/>
                <w:sz w:val="20"/>
              </w:rPr>
            </w:pPr>
            <w:r w:rsidRPr="007A6268">
              <w:rPr>
                <w:snapToGrid w:val="0"/>
                <w:sz w:val="20"/>
              </w:rPr>
              <w:t>1%</w:t>
            </w:r>
          </w:p>
        </w:tc>
        <w:tc>
          <w:tcPr>
            <w:tcW w:w="689" w:type="dxa"/>
          </w:tcPr>
          <w:p w:rsidR="00E0446E" w:rsidRPr="007A6268" w:rsidRDefault="00E0446E" w:rsidP="00D02664">
            <w:pPr>
              <w:spacing w:after="60"/>
              <w:jc w:val="right"/>
              <w:rPr>
                <w:snapToGrid w:val="0"/>
                <w:sz w:val="20"/>
              </w:rPr>
            </w:pPr>
            <w:r w:rsidRPr="007A6268">
              <w:rPr>
                <w:snapToGrid w:val="0"/>
                <w:sz w:val="20"/>
              </w:rPr>
              <w:t>4%</w:t>
            </w:r>
          </w:p>
        </w:tc>
        <w:tc>
          <w:tcPr>
            <w:tcW w:w="689" w:type="dxa"/>
          </w:tcPr>
          <w:p w:rsidR="00E0446E" w:rsidRPr="007A6268" w:rsidRDefault="00E0446E" w:rsidP="00D02664">
            <w:pPr>
              <w:spacing w:after="60"/>
              <w:jc w:val="right"/>
              <w:rPr>
                <w:snapToGrid w:val="0"/>
                <w:sz w:val="20"/>
              </w:rPr>
            </w:pPr>
            <w:r w:rsidRPr="007A6268">
              <w:rPr>
                <w:snapToGrid w:val="0"/>
                <w:sz w:val="20"/>
              </w:rPr>
              <w:t>4%</w:t>
            </w:r>
          </w:p>
        </w:tc>
        <w:tc>
          <w:tcPr>
            <w:tcW w:w="689" w:type="dxa"/>
          </w:tcPr>
          <w:p w:rsidR="00E0446E" w:rsidRPr="007A6268" w:rsidRDefault="00E0446E" w:rsidP="00D02664">
            <w:pPr>
              <w:spacing w:after="60"/>
              <w:jc w:val="right"/>
              <w:rPr>
                <w:snapToGrid w:val="0"/>
                <w:sz w:val="20"/>
              </w:rPr>
            </w:pPr>
            <w:r w:rsidRPr="007A6268">
              <w:rPr>
                <w:snapToGrid w:val="0"/>
                <w:sz w:val="20"/>
              </w:rPr>
              <w:t>6%</w:t>
            </w:r>
          </w:p>
        </w:tc>
        <w:tc>
          <w:tcPr>
            <w:tcW w:w="689" w:type="dxa"/>
          </w:tcPr>
          <w:p w:rsidR="00E0446E" w:rsidRPr="007A6268" w:rsidRDefault="00E0446E" w:rsidP="00D02664">
            <w:pPr>
              <w:spacing w:after="60"/>
              <w:jc w:val="right"/>
              <w:rPr>
                <w:snapToGrid w:val="0"/>
                <w:sz w:val="20"/>
              </w:rPr>
            </w:pPr>
            <w:r w:rsidRPr="007A6268">
              <w:rPr>
                <w:snapToGrid w:val="0"/>
                <w:sz w:val="20"/>
              </w:rPr>
              <w:t>6%</w:t>
            </w:r>
          </w:p>
        </w:tc>
      </w:tr>
      <w:tr w:rsidR="00AB1B8F" w:rsidRPr="007A6268" w:rsidTr="00944133">
        <w:tblPrEx>
          <w:tblCellMar>
            <w:top w:w="0" w:type="dxa"/>
            <w:bottom w:w="0" w:type="dxa"/>
          </w:tblCellMar>
        </w:tblPrEx>
        <w:trPr>
          <w:trHeight w:val="173"/>
        </w:trPr>
        <w:tc>
          <w:tcPr>
            <w:tcW w:w="1800" w:type="dxa"/>
          </w:tcPr>
          <w:p w:rsidR="00E0446E" w:rsidRPr="007A6268" w:rsidRDefault="00E0446E" w:rsidP="00D02664">
            <w:pPr>
              <w:spacing w:after="60"/>
              <w:rPr>
                <w:snapToGrid w:val="0"/>
                <w:sz w:val="20"/>
              </w:rPr>
            </w:pPr>
            <w:r w:rsidRPr="007A6268">
              <w:rPr>
                <w:snapToGrid w:val="0"/>
                <w:sz w:val="20"/>
              </w:rPr>
              <w:t>Sexual orientation</w:t>
            </w:r>
          </w:p>
        </w:tc>
        <w:tc>
          <w:tcPr>
            <w:tcW w:w="692" w:type="dxa"/>
          </w:tcPr>
          <w:p w:rsidR="00E0446E" w:rsidRPr="007A6268" w:rsidRDefault="00E0446E" w:rsidP="00D02664">
            <w:pPr>
              <w:spacing w:after="60"/>
              <w:jc w:val="right"/>
              <w:rPr>
                <w:snapToGrid w:val="0"/>
                <w:sz w:val="20"/>
              </w:rPr>
            </w:pPr>
            <w:r w:rsidRPr="007A6268">
              <w:rPr>
                <w:snapToGrid w:val="0"/>
                <w:sz w:val="20"/>
              </w:rPr>
              <w:t>6</w:t>
            </w:r>
          </w:p>
        </w:tc>
        <w:tc>
          <w:tcPr>
            <w:tcW w:w="686" w:type="dxa"/>
          </w:tcPr>
          <w:p w:rsidR="00E0446E" w:rsidRPr="007A6268" w:rsidRDefault="00E0446E" w:rsidP="00D02664">
            <w:pPr>
              <w:spacing w:after="60"/>
              <w:jc w:val="right"/>
              <w:rPr>
                <w:snapToGrid w:val="0"/>
                <w:sz w:val="20"/>
              </w:rPr>
            </w:pPr>
            <w:r w:rsidRPr="007A6268">
              <w:rPr>
                <w:snapToGrid w:val="0"/>
                <w:sz w:val="20"/>
              </w:rPr>
              <w:t>3</w:t>
            </w:r>
          </w:p>
        </w:tc>
        <w:tc>
          <w:tcPr>
            <w:tcW w:w="672" w:type="dxa"/>
          </w:tcPr>
          <w:p w:rsidR="00E0446E" w:rsidRPr="007A6268" w:rsidRDefault="00E0446E" w:rsidP="00D02664">
            <w:pPr>
              <w:spacing w:after="60"/>
              <w:jc w:val="right"/>
              <w:rPr>
                <w:snapToGrid w:val="0"/>
                <w:sz w:val="20"/>
              </w:rPr>
            </w:pPr>
            <w:r w:rsidRPr="007A6268">
              <w:rPr>
                <w:snapToGrid w:val="0"/>
                <w:sz w:val="20"/>
              </w:rPr>
              <w:t>5</w:t>
            </w:r>
          </w:p>
        </w:tc>
        <w:tc>
          <w:tcPr>
            <w:tcW w:w="700" w:type="dxa"/>
          </w:tcPr>
          <w:p w:rsidR="00E0446E" w:rsidRPr="007A6268" w:rsidRDefault="00E0446E" w:rsidP="00D02664">
            <w:pPr>
              <w:spacing w:after="60"/>
              <w:jc w:val="right"/>
              <w:rPr>
                <w:snapToGrid w:val="0"/>
                <w:sz w:val="20"/>
              </w:rPr>
            </w:pPr>
            <w:r w:rsidRPr="007A6268">
              <w:rPr>
                <w:snapToGrid w:val="0"/>
                <w:sz w:val="20"/>
              </w:rPr>
              <w:t>7</w:t>
            </w:r>
          </w:p>
        </w:tc>
        <w:tc>
          <w:tcPr>
            <w:tcW w:w="686" w:type="dxa"/>
            <w:tcBorders>
              <w:right w:val="single" w:sz="4" w:space="0" w:color="auto"/>
            </w:tcBorders>
          </w:tcPr>
          <w:p w:rsidR="00E0446E" w:rsidRPr="007A6268" w:rsidRDefault="00E0446E" w:rsidP="00D02664">
            <w:pPr>
              <w:spacing w:after="60"/>
              <w:jc w:val="right"/>
              <w:rPr>
                <w:snapToGrid w:val="0"/>
                <w:sz w:val="20"/>
              </w:rPr>
            </w:pPr>
            <w:r w:rsidRPr="007A6268">
              <w:rPr>
                <w:snapToGrid w:val="0"/>
                <w:sz w:val="20"/>
              </w:rPr>
              <w:t>7</w:t>
            </w:r>
          </w:p>
        </w:tc>
        <w:tc>
          <w:tcPr>
            <w:tcW w:w="685" w:type="dxa"/>
            <w:tcBorders>
              <w:top w:val="nil"/>
              <w:left w:val="single" w:sz="4" w:space="0" w:color="auto"/>
              <w:bottom w:val="nil"/>
              <w:right w:val="single" w:sz="4" w:space="0" w:color="auto"/>
            </w:tcBorders>
          </w:tcPr>
          <w:p w:rsidR="00E0446E" w:rsidRPr="007A6268" w:rsidRDefault="00E0446E" w:rsidP="00D02664">
            <w:pPr>
              <w:spacing w:after="60"/>
              <w:jc w:val="right"/>
              <w:rPr>
                <w:snapToGrid w:val="0"/>
                <w:sz w:val="20"/>
              </w:rPr>
            </w:pPr>
          </w:p>
        </w:tc>
        <w:tc>
          <w:tcPr>
            <w:tcW w:w="688" w:type="dxa"/>
            <w:tcBorders>
              <w:left w:val="single" w:sz="4" w:space="0" w:color="auto"/>
            </w:tcBorders>
          </w:tcPr>
          <w:p w:rsidR="00E0446E" w:rsidRPr="007A6268" w:rsidRDefault="00E0446E" w:rsidP="00D02664">
            <w:pPr>
              <w:spacing w:after="60"/>
              <w:jc w:val="right"/>
              <w:rPr>
                <w:snapToGrid w:val="0"/>
                <w:sz w:val="20"/>
              </w:rPr>
            </w:pPr>
            <w:r w:rsidRPr="007A6268">
              <w:rPr>
                <w:snapToGrid w:val="0"/>
                <w:sz w:val="20"/>
              </w:rPr>
              <w:t>2%</w:t>
            </w:r>
          </w:p>
        </w:tc>
        <w:tc>
          <w:tcPr>
            <w:tcW w:w="689" w:type="dxa"/>
          </w:tcPr>
          <w:p w:rsidR="00E0446E" w:rsidRPr="007A6268" w:rsidRDefault="00E0446E" w:rsidP="00D02664">
            <w:pPr>
              <w:spacing w:after="60"/>
              <w:jc w:val="right"/>
              <w:rPr>
                <w:snapToGrid w:val="0"/>
                <w:sz w:val="20"/>
              </w:rPr>
            </w:pPr>
            <w:r w:rsidRPr="007A6268">
              <w:rPr>
                <w:snapToGrid w:val="0"/>
                <w:sz w:val="20"/>
              </w:rPr>
              <w:t>1%</w:t>
            </w:r>
          </w:p>
        </w:tc>
        <w:tc>
          <w:tcPr>
            <w:tcW w:w="689" w:type="dxa"/>
          </w:tcPr>
          <w:p w:rsidR="00E0446E" w:rsidRPr="007A6268" w:rsidRDefault="00E0446E" w:rsidP="00D02664">
            <w:pPr>
              <w:spacing w:after="60"/>
              <w:jc w:val="right"/>
              <w:rPr>
                <w:snapToGrid w:val="0"/>
                <w:sz w:val="20"/>
              </w:rPr>
            </w:pPr>
            <w:r w:rsidRPr="007A6268">
              <w:rPr>
                <w:snapToGrid w:val="0"/>
                <w:sz w:val="20"/>
              </w:rPr>
              <w:t>2%</w:t>
            </w:r>
          </w:p>
        </w:tc>
        <w:tc>
          <w:tcPr>
            <w:tcW w:w="689" w:type="dxa"/>
          </w:tcPr>
          <w:p w:rsidR="00E0446E" w:rsidRPr="007A6268" w:rsidRDefault="00E0446E" w:rsidP="00D02664">
            <w:pPr>
              <w:spacing w:after="60"/>
              <w:jc w:val="right"/>
              <w:rPr>
                <w:snapToGrid w:val="0"/>
                <w:sz w:val="20"/>
              </w:rPr>
            </w:pPr>
            <w:r w:rsidRPr="007A6268">
              <w:rPr>
                <w:snapToGrid w:val="0"/>
                <w:sz w:val="20"/>
              </w:rPr>
              <w:t>3%</w:t>
            </w:r>
          </w:p>
        </w:tc>
        <w:tc>
          <w:tcPr>
            <w:tcW w:w="689" w:type="dxa"/>
          </w:tcPr>
          <w:p w:rsidR="00E0446E" w:rsidRPr="007A6268" w:rsidRDefault="00E0446E" w:rsidP="00D02664">
            <w:pPr>
              <w:spacing w:after="60"/>
              <w:jc w:val="right"/>
              <w:rPr>
                <w:snapToGrid w:val="0"/>
                <w:sz w:val="20"/>
              </w:rPr>
            </w:pPr>
            <w:r w:rsidRPr="007A6268">
              <w:rPr>
                <w:snapToGrid w:val="0"/>
                <w:sz w:val="20"/>
              </w:rPr>
              <w:t>2%</w:t>
            </w:r>
          </w:p>
        </w:tc>
      </w:tr>
      <w:tr w:rsidR="00AB1B8F" w:rsidRPr="007A6268" w:rsidTr="00944133">
        <w:tblPrEx>
          <w:tblCellMar>
            <w:top w:w="0" w:type="dxa"/>
            <w:bottom w:w="0" w:type="dxa"/>
          </w:tblCellMar>
        </w:tblPrEx>
        <w:trPr>
          <w:trHeight w:val="173"/>
        </w:trPr>
        <w:tc>
          <w:tcPr>
            <w:tcW w:w="1800" w:type="dxa"/>
          </w:tcPr>
          <w:p w:rsidR="00E0446E" w:rsidRPr="007A6268" w:rsidRDefault="00E0446E" w:rsidP="00D02664">
            <w:pPr>
              <w:spacing w:after="60"/>
              <w:rPr>
                <w:snapToGrid w:val="0"/>
                <w:sz w:val="20"/>
              </w:rPr>
            </w:pPr>
            <w:r w:rsidRPr="007A6268">
              <w:rPr>
                <w:snapToGrid w:val="0"/>
                <w:sz w:val="20"/>
              </w:rPr>
              <w:t>Sex</w:t>
            </w:r>
          </w:p>
        </w:tc>
        <w:tc>
          <w:tcPr>
            <w:tcW w:w="692" w:type="dxa"/>
          </w:tcPr>
          <w:p w:rsidR="00E0446E" w:rsidRPr="007A6268" w:rsidRDefault="00E0446E" w:rsidP="00D02664">
            <w:pPr>
              <w:spacing w:after="60"/>
              <w:jc w:val="right"/>
              <w:rPr>
                <w:snapToGrid w:val="0"/>
                <w:sz w:val="20"/>
              </w:rPr>
            </w:pPr>
            <w:r w:rsidRPr="007A6268">
              <w:rPr>
                <w:snapToGrid w:val="0"/>
                <w:sz w:val="20"/>
              </w:rPr>
              <w:t>0</w:t>
            </w:r>
          </w:p>
        </w:tc>
        <w:tc>
          <w:tcPr>
            <w:tcW w:w="686" w:type="dxa"/>
          </w:tcPr>
          <w:p w:rsidR="00E0446E" w:rsidRPr="007A6268" w:rsidRDefault="00E0446E" w:rsidP="00D02664">
            <w:pPr>
              <w:spacing w:after="60"/>
              <w:jc w:val="right"/>
              <w:rPr>
                <w:snapToGrid w:val="0"/>
                <w:sz w:val="20"/>
              </w:rPr>
            </w:pPr>
            <w:r w:rsidRPr="007A6268">
              <w:rPr>
                <w:snapToGrid w:val="0"/>
                <w:sz w:val="20"/>
              </w:rPr>
              <w:t>0</w:t>
            </w:r>
          </w:p>
        </w:tc>
        <w:tc>
          <w:tcPr>
            <w:tcW w:w="672" w:type="dxa"/>
          </w:tcPr>
          <w:p w:rsidR="00E0446E" w:rsidRPr="007A6268" w:rsidRDefault="00E0446E" w:rsidP="00D02664">
            <w:pPr>
              <w:spacing w:after="60"/>
              <w:jc w:val="right"/>
              <w:rPr>
                <w:snapToGrid w:val="0"/>
                <w:sz w:val="20"/>
              </w:rPr>
            </w:pPr>
            <w:r w:rsidRPr="007A6268">
              <w:rPr>
                <w:snapToGrid w:val="0"/>
                <w:sz w:val="20"/>
              </w:rPr>
              <w:t>1</w:t>
            </w:r>
          </w:p>
        </w:tc>
        <w:tc>
          <w:tcPr>
            <w:tcW w:w="700" w:type="dxa"/>
          </w:tcPr>
          <w:p w:rsidR="00E0446E" w:rsidRPr="007A6268" w:rsidRDefault="00E0446E" w:rsidP="00D02664">
            <w:pPr>
              <w:spacing w:after="60"/>
              <w:jc w:val="right"/>
              <w:rPr>
                <w:snapToGrid w:val="0"/>
                <w:sz w:val="20"/>
              </w:rPr>
            </w:pPr>
            <w:r w:rsidRPr="007A6268">
              <w:rPr>
                <w:snapToGrid w:val="0"/>
                <w:sz w:val="20"/>
              </w:rPr>
              <w:t>1</w:t>
            </w:r>
          </w:p>
        </w:tc>
        <w:tc>
          <w:tcPr>
            <w:tcW w:w="686" w:type="dxa"/>
            <w:tcBorders>
              <w:right w:val="single" w:sz="4" w:space="0" w:color="auto"/>
            </w:tcBorders>
          </w:tcPr>
          <w:p w:rsidR="00E0446E" w:rsidRPr="007A6268" w:rsidRDefault="00E0446E" w:rsidP="00D02664">
            <w:pPr>
              <w:spacing w:after="60"/>
              <w:jc w:val="right"/>
              <w:rPr>
                <w:snapToGrid w:val="0"/>
                <w:sz w:val="20"/>
              </w:rPr>
            </w:pPr>
            <w:r w:rsidRPr="007A6268">
              <w:rPr>
                <w:snapToGrid w:val="0"/>
                <w:sz w:val="20"/>
              </w:rPr>
              <w:t>0</w:t>
            </w:r>
          </w:p>
        </w:tc>
        <w:tc>
          <w:tcPr>
            <w:tcW w:w="685" w:type="dxa"/>
            <w:tcBorders>
              <w:top w:val="nil"/>
              <w:left w:val="single" w:sz="4" w:space="0" w:color="auto"/>
              <w:bottom w:val="nil"/>
              <w:right w:val="single" w:sz="4" w:space="0" w:color="auto"/>
            </w:tcBorders>
          </w:tcPr>
          <w:p w:rsidR="00E0446E" w:rsidRPr="007A6268" w:rsidRDefault="00E0446E" w:rsidP="00D02664">
            <w:pPr>
              <w:spacing w:after="60"/>
              <w:jc w:val="right"/>
              <w:rPr>
                <w:snapToGrid w:val="0"/>
                <w:sz w:val="20"/>
              </w:rPr>
            </w:pPr>
          </w:p>
        </w:tc>
        <w:tc>
          <w:tcPr>
            <w:tcW w:w="688" w:type="dxa"/>
            <w:tcBorders>
              <w:left w:val="single" w:sz="4" w:space="0" w:color="auto"/>
            </w:tcBorders>
          </w:tcPr>
          <w:p w:rsidR="00E0446E" w:rsidRPr="007A6268" w:rsidRDefault="00E0446E" w:rsidP="00D02664">
            <w:pPr>
              <w:spacing w:after="60"/>
              <w:jc w:val="right"/>
              <w:rPr>
                <w:snapToGrid w:val="0"/>
                <w:sz w:val="20"/>
              </w:rPr>
            </w:pPr>
            <w:r w:rsidRPr="007A6268">
              <w:rPr>
                <w:snapToGrid w:val="0"/>
                <w:sz w:val="20"/>
              </w:rPr>
              <w:t>0%</w:t>
            </w:r>
          </w:p>
        </w:tc>
        <w:tc>
          <w:tcPr>
            <w:tcW w:w="689" w:type="dxa"/>
          </w:tcPr>
          <w:p w:rsidR="00E0446E" w:rsidRPr="007A6268" w:rsidRDefault="00E0446E" w:rsidP="00D02664">
            <w:pPr>
              <w:spacing w:after="60"/>
              <w:jc w:val="right"/>
              <w:rPr>
                <w:snapToGrid w:val="0"/>
                <w:sz w:val="20"/>
              </w:rPr>
            </w:pPr>
            <w:r w:rsidRPr="007A6268">
              <w:rPr>
                <w:snapToGrid w:val="0"/>
                <w:sz w:val="20"/>
              </w:rPr>
              <w:t>0%</w:t>
            </w:r>
          </w:p>
        </w:tc>
        <w:tc>
          <w:tcPr>
            <w:tcW w:w="689" w:type="dxa"/>
          </w:tcPr>
          <w:p w:rsidR="00E0446E" w:rsidRPr="007A6268" w:rsidRDefault="00E0446E" w:rsidP="00D02664">
            <w:pPr>
              <w:spacing w:after="60"/>
              <w:jc w:val="right"/>
              <w:rPr>
                <w:snapToGrid w:val="0"/>
                <w:sz w:val="20"/>
              </w:rPr>
            </w:pPr>
            <w:r w:rsidRPr="007A6268">
              <w:rPr>
                <w:snapToGrid w:val="0"/>
                <w:sz w:val="20"/>
              </w:rPr>
              <w:t>0%</w:t>
            </w:r>
          </w:p>
        </w:tc>
        <w:tc>
          <w:tcPr>
            <w:tcW w:w="689" w:type="dxa"/>
          </w:tcPr>
          <w:p w:rsidR="00E0446E" w:rsidRPr="007A6268" w:rsidRDefault="00E0446E" w:rsidP="00D02664">
            <w:pPr>
              <w:spacing w:after="60"/>
              <w:jc w:val="right"/>
              <w:rPr>
                <w:snapToGrid w:val="0"/>
                <w:sz w:val="20"/>
              </w:rPr>
            </w:pPr>
            <w:r w:rsidRPr="007A6268">
              <w:rPr>
                <w:snapToGrid w:val="0"/>
                <w:sz w:val="20"/>
              </w:rPr>
              <w:t>0%</w:t>
            </w:r>
          </w:p>
        </w:tc>
        <w:tc>
          <w:tcPr>
            <w:tcW w:w="689" w:type="dxa"/>
          </w:tcPr>
          <w:p w:rsidR="00E0446E" w:rsidRPr="007A6268" w:rsidRDefault="00E0446E" w:rsidP="00D02664">
            <w:pPr>
              <w:spacing w:after="60"/>
              <w:jc w:val="right"/>
              <w:rPr>
                <w:snapToGrid w:val="0"/>
                <w:sz w:val="20"/>
              </w:rPr>
            </w:pPr>
            <w:r w:rsidRPr="007A6268">
              <w:rPr>
                <w:snapToGrid w:val="0"/>
                <w:sz w:val="20"/>
              </w:rPr>
              <w:t>0%</w:t>
            </w:r>
          </w:p>
        </w:tc>
      </w:tr>
      <w:tr w:rsidR="00AB1B8F" w:rsidRPr="007A6268" w:rsidTr="00944133">
        <w:tblPrEx>
          <w:tblCellMar>
            <w:top w:w="0" w:type="dxa"/>
            <w:bottom w:w="0" w:type="dxa"/>
          </w:tblCellMar>
        </w:tblPrEx>
        <w:trPr>
          <w:trHeight w:val="173"/>
        </w:trPr>
        <w:tc>
          <w:tcPr>
            <w:tcW w:w="1800" w:type="dxa"/>
          </w:tcPr>
          <w:p w:rsidR="00E0446E" w:rsidRPr="007A6268" w:rsidRDefault="00E0446E" w:rsidP="00D02664">
            <w:pPr>
              <w:spacing w:after="60"/>
              <w:rPr>
                <w:snapToGrid w:val="0"/>
                <w:sz w:val="20"/>
              </w:rPr>
            </w:pPr>
            <w:r w:rsidRPr="007A6268">
              <w:rPr>
                <w:snapToGrid w:val="0"/>
                <w:sz w:val="20"/>
              </w:rPr>
              <w:t>Disability*</w:t>
            </w:r>
          </w:p>
        </w:tc>
        <w:tc>
          <w:tcPr>
            <w:tcW w:w="692" w:type="dxa"/>
          </w:tcPr>
          <w:p w:rsidR="00E0446E" w:rsidRPr="007A6268" w:rsidRDefault="00E0446E" w:rsidP="00D02664">
            <w:pPr>
              <w:spacing w:after="60"/>
              <w:jc w:val="right"/>
              <w:rPr>
                <w:snapToGrid w:val="0"/>
                <w:sz w:val="20"/>
              </w:rPr>
            </w:pPr>
          </w:p>
        </w:tc>
        <w:tc>
          <w:tcPr>
            <w:tcW w:w="686" w:type="dxa"/>
          </w:tcPr>
          <w:p w:rsidR="00E0446E" w:rsidRPr="007A6268" w:rsidRDefault="00E0446E" w:rsidP="00D02664">
            <w:pPr>
              <w:spacing w:after="60"/>
              <w:jc w:val="right"/>
              <w:rPr>
                <w:snapToGrid w:val="0"/>
                <w:sz w:val="20"/>
              </w:rPr>
            </w:pPr>
          </w:p>
        </w:tc>
        <w:tc>
          <w:tcPr>
            <w:tcW w:w="672" w:type="dxa"/>
          </w:tcPr>
          <w:p w:rsidR="00E0446E" w:rsidRPr="007A6268" w:rsidRDefault="00E0446E" w:rsidP="00D02664">
            <w:pPr>
              <w:spacing w:after="60"/>
              <w:jc w:val="right"/>
              <w:rPr>
                <w:snapToGrid w:val="0"/>
                <w:sz w:val="20"/>
              </w:rPr>
            </w:pPr>
          </w:p>
        </w:tc>
        <w:tc>
          <w:tcPr>
            <w:tcW w:w="700" w:type="dxa"/>
          </w:tcPr>
          <w:p w:rsidR="00E0446E" w:rsidRPr="007A6268" w:rsidRDefault="00E0446E" w:rsidP="00D02664">
            <w:pPr>
              <w:spacing w:after="60"/>
              <w:jc w:val="right"/>
              <w:rPr>
                <w:snapToGrid w:val="0"/>
                <w:sz w:val="20"/>
              </w:rPr>
            </w:pPr>
          </w:p>
        </w:tc>
        <w:tc>
          <w:tcPr>
            <w:tcW w:w="686" w:type="dxa"/>
            <w:tcBorders>
              <w:right w:val="single" w:sz="4" w:space="0" w:color="auto"/>
            </w:tcBorders>
          </w:tcPr>
          <w:p w:rsidR="00E0446E" w:rsidRPr="007A6268" w:rsidRDefault="00E0446E" w:rsidP="00D02664">
            <w:pPr>
              <w:spacing w:after="60"/>
              <w:jc w:val="right"/>
              <w:rPr>
                <w:snapToGrid w:val="0"/>
                <w:sz w:val="20"/>
              </w:rPr>
            </w:pPr>
            <w:r w:rsidRPr="007A6268">
              <w:rPr>
                <w:snapToGrid w:val="0"/>
                <w:sz w:val="20"/>
              </w:rPr>
              <w:t>1</w:t>
            </w:r>
          </w:p>
        </w:tc>
        <w:tc>
          <w:tcPr>
            <w:tcW w:w="685" w:type="dxa"/>
            <w:tcBorders>
              <w:top w:val="nil"/>
              <w:left w:val="single" w:sz="4" w:space="0" w:color="auto"/>
              <w:bottom w:val="nil"/>
              <w:right w:val="single" w:sz="4" w:space="0" w:color="auto"/>
            </w:tcBorders>
          </w:tcPr>
          <w:p w:rsidR="00E0446E" w:rsidRPr="007A6268" w:rsidRDefault="00E0446E" w:rsidP="00D02664">
            <w:pPr>
              <w:spacing w:after="60"/>
              <w:jc w:val="right"/>
              <w:rPr>
                <w:snapToGrid w:val="0"/>
                <w:sz w:val="20"/>
              </w:rPr>
            </w:pPr>
          </w:p>
        </w:tc>
        <w:tc>
          <w:tcPr>
            <w:tcW w:w="688" w:type="dxa"/>
            <w:tcBorders>
              <w:left w:val="single" w:sz="4" w:space="0" w:color="auto"/>
            </w:tcBorders>
          </w:tcPr>
          <w:p w:rsidR="00E0446E" w:rsidRPr="007A6268" w:rsidRDefault="00E0446E" w:rsidP="00D02664">
            <w:pPr>
              <w:spacing w:after="60"/>
              <w:jc w:val="right"/>
              <w:rPr>
                <w:snapToGrid w:val="0"/>
                <w:sz w:val="20"/>
              </w:rPr>
            </w:pPr>
          </w:p>
        </w:tc>
        <w:tc>
          <w:tcPr>
            <w:tcW w:w="689" w:type="dxa"/>
          </w:tcPr>
          <w:p w:rsidR="00E0446E" w:rsidRPr="007A6268" w:rsidRDefault="00E0446E" w:rsidP="00D02664">
            <w:pPr>
              <w:spacing w:after="60"/>
              <w:jc w:val="right"/>
              <w:rPr>
                <w:snapToGrid w:val="0"/>
                <w:sz w:val="20"/>
              </w:rPr>
            </w:pPr>
          </w:p>
        </w:tc>
        <w:tc>
          <w:tcPr>
            <w:tcW w:w="689" w:type="dxa"/>
          </w:tcPr>
          <w:p w:rsidR="00E0446E" w:rsidRPr="007A6268" w:rsidRDefault="00E0446E" w:rsidP="00D02664">
            <w:pPr>
              <w:spacing w:after="60"/>
              <w:jc w:val="right"/>
              <w:rPr>
                <w:snapToGrid w:val="0"/>
                <w:sz w:val="20"/>
              </w:rPr>
            </w:pPr>
          </w:p>
        </w:tc>
        <w:tc>
          <w:tcPr>
            <w:tcW w:w="689" w:type="dxa"/>
          </w:tcPr>
          <w:p w:rsidR="00E0446E" w:rsidRPr="007A6268" w:rsidRDefault="00E0446E" w:rsidP="00D02664">
            <w:pPr>
              <w:spacing w:after="60"/>
              <w:jc w:val="right"/>
              <w:rPr>
                <w:snapToGrid w:val="0"/>
                <w:sz w:val="20"/>
              </w:rPr>
            </w:pPr>
          </w:p>
        </w:tc>
        <w:tc>
          <w:tcPr>
            <w:tcW w:w="689" w:type="dxa"/>
          </w:tcPr>
          <w:p w:rsidR="00E0446E" w:rsidRPr="007A6268" w:rsidRDefault="00E0446E" w:rsidP="00D02664">
            <w:pPr>
              <w:spacing w:after="60"/>
              <w:jc w:val="right"/>
              <w:rPr>
                <w:snapToGrid w:val="0"/>
                <w:sz w:val="20"/>
              </w:rPr>
            </w:pPr>
            <w:r w:rsidRPr="007A6268">
              <w:rPr>
                <w:snapToGrid w:val="0"/>
                <w:sz w:val="20"/>
              </w:rPr>
              <w:t>0%</w:t>
            </w:r>
          </w:p>
        </w:tc>
      </w:tr>
      <w:tr w:rsidR="00AB1B8F" w:rsidRPr="007A6268" w:rsidTr="00944133">
        <w:tblPrEx>
          <w:tblCellMar>
            <w:top w:w="0" w:type="dxa"/>
            <w:bottom w:w="0" w:type="dxa"/>
          </w:tblCellMar>
        </w:tblPrEx>
        <w:trPr>
          <w:trHeight w:val="173"/>
        </w:trPr>
        <w:tc>
          <w:tcPr>
            <w:tcW w:w="1800" w:type="dxa"/>
          </w:tcPr>
          <w:p w:rsidR="00E0446E" w:rsidRPr="007A6268" w:rsidRDefault="00E0446E" w:rsidP="00D02664">
            <w:pPr>
              <w:spacing w:after="60"/>
              <w:rPr>
                <w:snapToGrid w:val="0"/>
                <w:sz w:val="20"/>
              </w:rPr>
            </w:pPr>
            <w:r w:rsidRPr="007A6268">
              <w:rPr>
                <w:snapToGrid w:val="0"/>
                <w:sz w:val="20"/>
              </w:rPr>
              <w:t>More than one ground**</w:t>
            </w:r>
          </w:p>
        </w:tc>
        <w:tc>
          <w:tcPr>
            <w:tcW w:w="692" w:type="dxa"/>
          </w:tcPr>
          <w:p w:rsidR="00E0446E" w:rsidRPr="007A6268" w:rsidRDefault="00E0446E" w:rsidP="00D02664">
            <w:pPr>
              <w:spacing w:after="60"/>
              <w:jc w:val="right"/>
              <w:rPr>
                <w:snapToGrid w:val="0"/>
                <w:sz w:val="20"/>
              </w:rPr>
            </w:pPr>
            <w:r w:rsidRPr="007A6268">
              <w:rPr>
                <w:snapToGrid w:val="0"/>
                <w:sz w:val="20"/>
              </w:rPr>
              <w:t>54</w:t>
            </w:r>
          </w:p>
        </w:tc>
        <w:tc>
          <w:tcPr>
            <w:tcW w:w="686" w:type="dxa"/>
          </w:tcPr>
          <w:p w:rsidR="00E0446E" w:rsidRPr="007A6268" w:rsidRDefault="00E0446E" w:rsidP="00D02664">
            <w:pPr>
              <w:spacing w:after="60"/>
              <w:jc w:val="right"/>
              <w:rPr>
                <w:snapToGrid w:val="0"/>
                <w:sz w:val="20"/>
              </w:rPr>
            </w:pPr>
            <w:r w:rsidRPr="007A6268">
              <w:rPr>
                <w:snapToGrid w:val="0"/>
                <w:sz w:val="20"/>
              </w:rPr>
              <w:t>24</w:t>
            </w:r>
          </w:p>
        </w:tc>
        <w:tc>
          <w:tcPr>
            <w:tcW w:w="672" w:type="dxa"/>
          </w:tcPr>
          <w:p w:rsidR="00E0446E" w:rsidRPr="007A6268" w:rsidRDefault="00E0446E" w:rsidP="00D02664">
            <w:pPr>
              <w:spacing w:after="60"/>
              <w:jc w:val="right"/>
              <w:rPr>
                <w:snapToGrid w:val="0"/>
                <w:sz w:val="20"/>
              </w:rPr>
            </w:pPr>
            <w:r w:rsidRPr="007A6268">
              <w:rPr>
                <w:snapToGrid w:val="0"/>
                <w:sz w:val="20"/>
              </w:rPr>
              <w:t>35</w:t>
            </w:r>
          </w:p>
        </w:tc>
        <w:tc>
          <w:tcPr>
            <w:tcW w:w="700" w:type="dxa"/>
          </w:tcPr>
          <w:p w:rsidR="00E0446E" w:rsidRPr="007A6268" w:rsidRDefault="00E0446E" w:rsidP="00D02664">
            <w:pPr>
              <w:spacing w:after="60"/>
              <w:jc w:val="right"/>
              <w:rPr>
                <w:snapToGrid w:val="0"/>
                <w:sz w:val="20"/>
              </w:rPr>
            </w:pPr>
          </w:p>
        </w:tc>
        <w:tc>
          <w:tcPr>
            <w:tcW w:w="686" w:type="dxa"/>
            <w:tcBorders>
              <w:right w:val="single" w:sz="4" w:space="0" w:color="auto"/>
            </w:tcBorders>
          </w:tcPr>
          <w:p w:rsidR="00E0446E" w:rsidRPr="007A6268" w:rsidRDefault="00E0446E" w:rsidP="00D02664">
            <w:pPr>
              <w:spacing w:after="60"/>
              <w:jc w:val="right"/>
              <w:rPr>
                <w:snapToGrid w:val="0"/>
                <w:sz w:val="20"/>
              </w:rPr>
            </w:pPr>
          </w:p>
        </w:tc>
        <w:tc>
          <w:tcPr>
            <w:tcW w:w="685" w:type="dxa"/>
            <w:tcBorders>
              <w:top w:val="nil"/>
              <w:left w:val="single" w:sz="4" w:space="0" w:color="auto"/>
              <w:bottom w:val="nil"/>
              <w:right w:val="single" w:sz="4" w:space="0" w:color="auto"/>
            </w:tcBorders>
          </w:tcPr>
          <w:p w:rsidR="00E0446E" w:rsidRPr="007A6268" w:rsidRDefault="00E0446E" w:rsidP="00D02664">
            <w:pPr>
              <w:spacing w:after="60"/>
              <w:jc w:val="right"/>
              <w:rPr>
                <w:snapToGrid w:val="0"/>
                <w:sz w:val="20"/>
              </w:rPr>
            </w:pPr>
          </w:p>
        </w:tc>
        <w:tc>
          <w:tcPr>
            <w:tcW w:w="688" w:type="dxa"/>
            <w:tcBorders>
              <w:left w:val="single" w:sz="4" w:space="0" w:color="auto"/>
            </w:tcBorders>
          </w:tcPr>
          <w:p w:rsidR="00E0446E" w:rsidRPr="007A6268" w:rsidRDefault="00E0446E" w:rsidP="00D02664">
            <w:pPr>
              <w:spacing w:after="60"/>
              <w:jc w:val="right"/>
              <w:rPr>
                <w:snapToGrid w:val="0"/>
                <w:sz w:val="20"/>
              </w:rPr>
            </w:pPr>
            <w:r w:rsidRPr="007A6268">
              <w:rPr>
                <w:snapToGrid w:val="0"/>
                <w:sz w:val="20"/>
              </w:rPr>
              <w:t>22%</w:t>
            </w:r>
          </w:p>
        </w:tc>
        <w:tc>
          <w:tcPr>
            <w:tcW w:w="689" w:type="dxa"/>
          </w:tcPr>
          <w:p w:rsidR="00E0446E" w:rsidRPr="007A6268" w:rsidRDefault="00E0446E" w:rsidP="00D02664">
            <w:pPr>
              <w:spacing w:after="60"/>
              <w:jc w:val="right"/>
              <w:rPr>
                <w:snapToGrid w:val="0"/>
                <w:sz w:val="20"/>
              </w:rPr>
            </w:pPr>
            <w:r w:rsidRPr="007A6268">
              <w:rPr>
                <w:snapToGrid w:val="0"/>
                <w:sz w:val="20"/>
              </w:rPr>
              <w:t>12%</w:t>
            </w:r>
          </w:p>
        </w:tc>
        <w:tc>
          <w:tcPr>
            <w:tcW w:w="689" w:type="dxa"/>
          </w:tcPr>
          <w:p w:rsidR="00E0446E" w:rsidRPr="007A6268" w:rsidRDefault="00E0446E" w:rsidP="00D02664">
            <w:pPr>
              <w:spacing w:after="60"/>
              <w:jc w:val="right"/>
              <w:rPr>
                <w:snapToGrid w:val="0"/>
                <w:sz w:val="20"/>
              </w:rPr>
            </w:pPr>
            <w:r w:rsidRPr="007A6268">
              <w:rPr>
                <w:snapToGrid w:val="0"/>
                <w:sz w:val="20"/>
              </w:rPr>
              <w:t>16%</w:t>
            </w:r>
          </w:p>
        </w:tc>
        <w:tc>
          <w:tcPr>
            <w:tcW w:w="689" w:type="dxa"/>
          </w:tcPr>
          <w:p w:rsidR="00E0446E" w:rsidRPr="007A6268" w:rsidRDefault="00E0446E" w:rsidP="00D02664">
            <w:pPr>
              <w:spacing w:after="60"/>
              <w:jc w:val="right"/>
              <w:rPr>
                <w:snapToGrid w:val="0"/>
                <w:sz w:val="20"/>
              </w:rPr>
            </w:pPr>
          </w:p>
        </w:tc>
        <w:tc>
          <w:tcPr>
            <w:tcW w:w="689" w:type="dxa"/>
          </w:tcPr>
          <w:p w:rsidR="00E0446E" w:rsidRPr="007A6268" w:rsidRDefault="00E0446E" w:rsidP="00D02664">
            <w:pPr>
              <w:spacing w:after="60"/>
              <w:jc w:val="right"/>
              <w:rPr>
                <w:snapToGrid w:val="0"/>
                <w:sz w:val="20"/>
              </w:rPr>
            </w:pPr>
          </w:p>
        </w:tc>
      </w:tr>
      <w:tr w:rsidR="00AB1B8F" w:rsidRPr="007A6268" w:rsidTr="00944133">
        <w:tblPrEx>
          <w:tblCellMar>
            <w:top w:w="0" w:type="dxa"/>
            <w:bottom w:w="0" w:type="dxa"/>
          </w:tblCellMar>
        </w:tblPrEx>
        <w:trPr>
          <w:trHeight w:val="173"/>
        </w:trPr>
        <w:tc>
          <w:tcPr>
            <w:tcW w:w="1800" w:type="dxa"/>
            <w:tcBorders>
              <w:bottom w:val="nil"/>
            </w:tcBorders>
          </w:tcPr>
          <w:p w:rsidR="00E0446E" w:rsidRPr="007A6268" w:rsidRDefault="00E0446E" w:rsidP="00D02664">
            <w:pPr>
              <w:spacing w:after="60"/>
              <w:rPr>
                <w:snapToGrid w:val="0"/>
                <w:sz w:val="20"/>
              </w:rPr>
            </w:pPr>
            <w:r w:rsidRPr="007A6268">
              <w:rPr>
                <w:snapToGrid w:val="0"/>
                <w:sz w:val="20"/>
              </w:rPr>
              <w:t>Other grounds</w:t>
            </w:r>
          </w:p>
        </w:tc>
        <w:tc>
          <w:tcPr>
            <w:tcW w:w="692" w:type="dxa"/>
            <w:tcBorders>
              <w:bottom w:val="nil"/>
            </w:tcBorders>
          </w:tcPr>
          <w:p w:rsidR="00E0446E" w:rsidRPr="007A6268" w:rsidRDefault="00E0446E" w:rsidP="00D02664">
            <w:pPr>
              <w:spacing w:after="60"/>
              <w:jc w:val="right"/>
              <w:rPr>
                <w:snapToGrid w:val="0"/>
                <w:sz w:val="20"/>
              </w:rPr>
            </w:pPr>
            <w:r w:rsidRPr="007A6268">
              <w:rPr>
                <w:snapToGrid w:val="0"/>
                <w:sz w:val="20"/>
              </w:rPr>
              <w:t>10</w:t>
            </w:r>
          </w:p>
        </w:tc>
        <w:tc>
          <w:tcPr>
            <w:tcW w:w="686" w:type="dxa"/>
            <w:tcBorders>
              <w:bottom w:val="nil"/>
            </w:tcBorders>
          </w:tcPr>
          <w:p w:rsidR="00E0446E" w:rsidRPr="007A6268" w:rsidRDefault="00E0446E" w:rsidP="00D02664">
            <w:pPr>
              <w:spacing w:after="60"/>
              <w:jc w:val="right"/>
              <w:rPr>
                <w:snapToGrid w:val="0"/>
                <w:sz w:val="20"/>
              </w:rPr>
            </w:pPr>
            <w:r w:rsidRPr="007A6268">
              <w:rPr>
                <w:snapToGrid w:val="0"/>
                <w:sz w:val="20"/>
              </w:rPr>
              <w:t>5</w:t>
            </w:r>
          </w:p>
        </w:tc>
        <w:tc>
          <w:tcPr>
            <w:tcW w:w="672" w:type="dxa"/>
            <w:tcBorders>
              <w:bottom w:val="nil"/>
            </w:tcBorders>
          </w:tcPr>
          <w:p w:rsidR="00E0446E" w:rsidRPr="007A6268" w:rsidRDefault="00E0446E" w:rsidP="00D02664">
            <w:pPr>
              <w:spacing w:after="60"/>
              <w:jc w:val="right"/>
              <w:rPr>
                <w:snapToGrid w:val="0"/>
                <w:sz w:val="20"/>
              </w:rPr>
            </w:pPr>
            <w:r w:rsidRPr="007A6268">
              <w:rPr>
                <w:snapToGrid w:val="0"/>
                <w:sz w:val="20"/>
              </w:rPr>
              <w:t>10</w:t>
            </w:r>
          </w:p>
        </w:tc>
        <w:tc>
          <w:tcPr>
            <w:tcW w:w="700" w:type="dxa"/>
            <w:tcBorders>
              <w:bottom w:val="nil"/>
            </w:tcBorders>
          </w:tcPr>
          <w:p w:rsidR="00E0446E" w:rsidRPr="007A6268" w:rsidRDefault="00E0446E" w:rsidP="00D02664">
            <w:pPr>
              <w:spacing w:after="60"/>
              <w:jc w:val="right"/>
              <w:rPr>
                <w:snapToGrid w:val="0"/>
                <w:sz w:val="20"/>
              </w:rPr>
            </w:pPr>
            <w:r w:rsidRPr="007A6268">
              <w:rPr>
                <w:snapToGrid w:val="0"/>
                <w:sz w:val="20"/>
              </w:rPr>
              <w:t>58</w:t>
            </w:r>
          </w:p>
        </w:tc>
        <w:tc>
          <w:tcPr>
            <w:tcW w:w="686" w:type="dxa"/>
            <w:tcBorders>
              <w:bottom w:val="nil"/>
              <w:right w:val="single" w:sz="4" w:space="0" w:color="auto"/>
            </w:tcBorders>
          </w:tcPr>
          <w:p w:rsidR="00E0446E" w:rsidRPr="007A6268" w:rsidRDefault="00E0446E" w:rsidP="00D02664">
            <w:pPr>
              <w:spacing w:after="60"/>
              <w:jc w:val="right"/>
              <w:rPr>
                <w:snapToGrid w:val="0"/>
                <w:sz w:val="20"/>
              </w:rPr>
            </w:pPr>
            <w:r w:rsidRPr="007A6268">
              <w:rPr>
                <w:snapToGrid w:val="0"/>
                <w:sz w:val="20"/>
              </w:rPr>
              <w:t>0</w:t>
            </w:r>
          </w:p>
        </w:tc>
        <w:tc>
          <w:tcPr>
            <w:tcW w:w="685" w:type="dxa"/>
            <w:tcBorders>
              <w:top w:val="nil"/>
              <w:left w:val="single" w:sz="4" w:space="0" w:color="auto"/>
              <w:bottom w:val="nil"/>
              <w:right w:val="single" w:sz="4" w:space="0" w:color="auto"/>
            </w:tcBorders>
          </w:tcPr>
          <w:p w:rsidR="00E0446E" w:rsidRPr="007A6268" w:rsidRDefault="00E0446E" w:rsidP="00D02664">
            <w:pPr>
              <w:spacing w:after="60"/>
              <w:jc w:val="right"/>
              <w:rPr>
                <w:snapToGrid w:val="0"/>
                <w:sz w:val="20"/>
              </w:rPr>
            </w:pPr>
          </w:p>
        </w:tc>
        <w:tc>
          <w:tcPr>
            <w:tcW w:w="688" w:type="dxa"/>
            <w:tcBorders>
              <w:left w:val="single" w:sz="4" w:space="0" w:color="auto"/>
              <w:bottom w:val="nil"/>
            </w:tcBorders>
          </w:tcPr>
          <w:p w:rsidR="00E0446E" w:rsidRPr="007A6268" w:rsidRDefault="00E0446E" w:rsidP="00D02664">
            <w:pPr>
              <w:spacing w:after="60"/>
              <w:jc w:val="right"/>
              <w:rPr>
                <w:snapToGrid w:val="0"/>
                <w:sz w:val="20"/>
              </w:rPr>
            </w:pPr>
            <w:r w:rsidRPr="007A6268">
              <w:rPr>
                <w:snapToGrid w:val="0"/>
                <w:sz w:val="20"/>
              </w:rPr>
              <w:t>4%</w:t>
            </w:r>
          </w:p>
        </w:tc>
        <w:tc>
          <w:tcPr>
            <w:tcW w:w="689" w:type="dxa"/>
            <w:tcBorders>
              <w:bottom w:val="nil"/>
            </w:tcBorders>
          </w:tcPr>
          <w:p w:rsidR="00E0446E" w:rsidRPr="007A6268" w:rsidRDefault="00E0446E" w:rsidP="00D02664">
            <w:pPr>
              <w:spacing w:after="60"/>
              <w:jc w:val="right"/>
              <w:rPr>
                <w:snapToGrid w:val="0"/>
                <w:sz w:val="20"/>
              </w:rPr>
            </w:pPr>
            <w:r w:rsidRPr="007A6268">
              <w:rPr>
                <w:snapToGrid w:val="0"/>
                <w:sz w:val="20"/>
              </w:rPr>
              <w:t>2%</w:t>
            </w:r>
          </w:p>
        </w:tc>
        <w:tc>
          <w:tcPr>
            <w:tcW w:w="689" w:type="dxa"/>
            <w:tcBorders>
              <w:bottom w:val="nil"/>
            </w:tcBorders>
          </w:tcPr>
          <w:p w:rsidR="00E0446E" w:rsidRPr="007A6268" w:rsidRDefault="00E0446E" w:rsidP="00D02664">
            <w:pPr>
              <w:spacing w:after="60"/>
              <w:jc w:val="right"/>
              <w:rPr>
                <w:snapToGrid w:val="0"/>
                <w:sz w:val="20"/>
              </w:rPr>
            </w:pPr>
            <w:r w:rsidRPr="007A6268">
              <w:rPr>
                <w:snapToGrid w:val="0"/>
                <w:sz w:val="20"/>
              </w:rPr>
              <w:t>5%</w:t>
            </w:r>
          </w:p>
        </w:tc>
        <w:tc>
          <w:tcPr>
            <w:tcW w:w="689" w:type="dxa"/>
            <w:tcBorders>
              <w:bottom w:val="nil"/>
            </w:tcBorders>
          </w:tcPr>
          <w:p w:rsidR="00E0446E" w:rsidRPr="007A6268" w:rsidRDefault="00E0446E" w:rsidP="00D02664">
            <w:pPr>
              <w:spacing w:after="60"/>
              <w:jc w:val="right"/>
              <w:rPr>
                <w:snapToGrid w:val="0"/>
                <w:sz w:val="20"/>
              </w:rPr>
            </w:pPr>
            <w:r w:rsidRPr="007A6268">
              <w:rPr>
                <w:snapToGrid w:val="0"/>
                <w:sz w:val="20"/>
              </w:rPr>
              <w:t>21%</w:t>
            </w:r>
          </w:p>
        </w:tc>
        <w:tc>
          <w:tcPr>
            <w:tcW w:w="689" w:type="dxa"/>
            <w:tcBorders>
              <w:bottom w:val="nil"/>
            </w:tcBorders>
          </w:tcPr>
          <w:p w:rsidR="00E0446E" w:rsidRPr="007A6268" w:rsidRDefault="00E0446E" w:rsidP="00D02664">
            <w:pPr>
              <w:spacing w:after="60"/>
              <w:jc w:val="right"/>
              <w:rPr>
                <w:snapToGrid w:val="0"/>
                <w:sz w:val="20"/>
              </w:rPr>
            </w:pPr>
            <w:r w:rsidRPr="007A6268">
              <w:rPr>
                <w:snapToGrid w:val="0"/>
                <w:sz w:val="20"/>
              </w:rPr>
              <w:t>0%</w:t>
            </w:r>
          </w:p>
        </w:tc>
      </w:tr>
      <w:tr w:rsidR="00AB1B8F" w:rsidRPr="007A6268" w:rsidTr="00944133">
        <w:tblPrEx>
          <w:tblCellMar>
            <w:top w:w="0" w:type="dxa"/>
            <w:bottom w:w="0" w:type="dxa"/>
          </w:tblCellMar>
        </w:tblPrEx>
        <w:trPr>
          <w:trHeight w:val="173"/>
        </w:trPr>
        <w:tc>
          <w:tcPr>
            <w:tcW w:w="1800" w:type="dxa"/>
            <w:tcBorders>
              <w:top w:val="nil"/>
              <w:bottom w:val="single" w:sz="4" w:space="0" w:color="auto"/>
            </w:tcBorders>
          </w:tcPr>
          <w:p w:rsidR="00E0446E" w:rsidRPr="007A6268" w:rsidRDefault="00E0446E" w:rsidP="00D02664">
            <w:pPr>
              <w:spacing w:after="60"/>
              <w:rPr>
                <w:snapToGrid w:val="0"/>
                <w:sz w:val="20"/>
              </w:rPr>
            </w:pPr>
            <w:r w:rsidRPr="007A6268">
              <w:rPr>
                <w:snapToGrid w:val="0"/>
                <w:sz w:val="20"/>
              </w:rPr>
              <w:t>Grounds unknown</w:t>
            </w:r>
          </w:p>
        </w:tc>
        <w:tc>
          <w:tcPr>
            <w:tcW w:w="692" w:type="dxa"/>
            <w:tcBorders>
              <w:top w:val="nil"/>
              <w:bottom w:val="single" w:sz="4" w:space="0" w:color="auto"/>
            </w:tcBorders>
          </w:tcPr>
          <w:p w:rsidR="00E0446E" w:rsidRPr="007A6268" w:rsidRDefault="00E0446E" w:rsidP="00D02664">
            <w:pPr>
              <w:spacing w:after="60"/>
              <w:jc w:val="right"/>
              <w:rPr>
                <w:snapToGrid w:val="0"/>
                <w:sz w:val="20"/>
              </w:rPr>
            </w:pPr>
            <w:r w:rsidRPr="007A6268">
              <w:rPr>
                <w:snapToGrid w:val="0"/>
                <w:sz w:val="20"/>
              </w:rPr>
              <w:t>15</w:t>
            </w:r>
          </w:p>
        </w:tc>
        <w:tc>
          <w:tcPr>
            <w:tcW w:w="686" w:type="dxa"/>
            <w:tcBorders>
              <w:top w:val="nil"/>
              <w:bottom w:val="single" w:sz="4" w:space="0" w:color="auto"/>
            </w:tcBorders>
          </w:tcPr>
          <w:p w:rsidR="00E0446E" w:rsidRPr="007A6268" w:rsidRDefault="00E0446E" w:rsidP="00D02664">
            <w:pPr>
              <w:spacing w:after="60"/>
              <w:jc w:val="right"/>
              <w:rPr>
                <w:snapToGrid w:val="0"/>
                <w:sz w:val="20"/>
              </w:rPr>
            </w:pPr>
            <w:r w:rsidRPr="007A6268">
              <w:rPr>
                <w:snapToGrid w:val="0"/>
                <w:sz w:val="20"/>
              </w:rPr>
              <w:t>19</w:t>
            </w:r>
          </w:p>
        </w:tc>
        <w:tc>
          <w:tcPr>
            <w:tcW w:w="672" w:type="dxa"/>
            <w:tcBorders>
              <w:top w:val="nil"/>
              <w:bottom w:val="single" w:sz="4" w:space="0" w:color="auto"/>
            </w:tcBorders>
          </w:tcPr>
          <w:p w:rsidR="00E0446E" w:rsidRPr="007A6268" w:rsidRDefault="00E0446E" w:rsidP="00D02664">
            <w:pPr>
              <w:spacing w:after="60"/>
              <w:jc w:val="right"/>
              <w:rPr>
                <w:snapToGrid w:val="0"/>
                <w:sz w:val="20"/>
              </w:rPr>
            </w:pPr>
            <w:r w:rsidRPr="007A6268">
              <w:rPr>
                <w:snapToGrid w:val="0"/>
                <w:sz w:val="20"/>
              </w:rPr>
              <w:t>4</w:t>
            </w:r>
          </w:p>
        </w:tc>
        <w:tc>
          <w:tcPr>
            <w:tcW w:w="700" w:type="dxa"/>
            <w:tcBorders>
              <w:top w:val="nil"/>
              <w:bottom w:val="single" w:sz="4" w:space="0" w:color="auto"/>
            </w:tcBorders>
          </w:tcPr>
          <w:p w:rsidR="00E0446E" w:rsidRPr="007A6268" w:rsidRDefault="00E0446E" w:rsidP="00D02664">
            <w:pPr>
              <w:spacing w:after="60"/>
              <w:jc w:val="right"/>
              <w:rPr>
                <w:snapToGrid w:val="0"/>
                <w:sz w:val="20"/>
              </w:rPr>
            </w:pPr>
            <w:r w:rsidRPr="007A6268">
              <w:rPr>
                <w:snapToGrid w:val="0"/>
                <w:sz w:val="20"/>
              </w:rPr>
              <w:t>3</w:t>
            </w:r>
          </w:p>
        </w:tc>
        <w:tc>
          <w:tcPr>
            <w:tcW w:w="686" w:type="dxa"/>
            <w:tcBorders>
              <w:top w:val="nil"/>
              <w:bottom w:val="single" w:sz="4" w:space="0" w:color="auto"/>
              <w:right w:val="single" w:sz="4" w:space="0" w:color="auto"/>
            </w:tcBorders>
          </w:tcPr>
          <w:p w:rsidR="00E0446E" w:rsidRPr="007A6268" w:rsidRDefault="00E0446E" w:rsidP="00D02664">
            <w:pPr>
              <w:spacing w:after="60"/>
              <w:jc w:val="right"/>
              <w:rPr>
                <w:snapToGrid w:val="0"/>
                <w:sz w:val="20"/>
              </w:rPr>
            </w:pPr>
            <w:r w:rsidRPr="007A6268">
              <w:rPr>
                <w:snapToGrid w:val="0"/>
                <w:sz w:val="20"/>
              </w:rPr>
              <w:t>10</w:t>
            </w:r>
          </w:p>
        </w:tc>
        <w:tc>
          <w:tcPr>
            <w:tcW w:w="685" w:type="dxa"/>
            <w:tcBorders>
              <w:top w:val="nil"/>
              <w:left w:val="single" w:sz="4" w:space="0" w:color="auto"/>
              <w:bottom w:val="nil"/>
              <w:right w:val="single" w:sz="4" w:space="0" w:color="auto"/>
            </w:tcBorders>
          </w:tcPr>
          <w:p w:rsidR="00E0446E" w:rsidRPr="007A6268" w:rsidRDefault="00E0446E" w:rsidP="00D02664">
            <w:pPr>
              <w:spacing w:after="60"/>
              <w:jc w:val="right"/>
              <w:rPr>
                <w:snapToGrid w:val="0"/>
                <w:sz w:val="20"/>
              </w:rPr>
            </w:pPr>
          </w:p>
        </w:tc>
        <w:tc>
          <w:tcPr>
            <w:tcW w:w="688" w:type="dxa"/>
            <w:tcBorders>
              <w:top w:val="nil"/>
              <w:left w:val="single" w:sz="4" w:space="0" w:color="auto"/>
              <w:bottom w:val="single" w:sz="4" w:space="0" w:color="auto"/>
            </w:tcBorders>
          </w:tcPr>
          <w:p w:rsidR="00E0446E" w:rsidRPr="007A6268" w:rsidRDefault="00E0446E" w:rsidP="00D02664">
            <w:pPr>
              <w:spacing w:after="60"/>
              <w:jc w:val="right"/>
              <w:rPr>
                <w:snapToGrid w:val="0"/>
                <w:sz w:val="20"/>
              </w:rPr>
            </w:pPr>
            <w:r w:rsidRPr="007A6268">
              <w:rPr>
                <w:snapToGrid w:val="0"/>
                <w:sz w:val="20"/>
              </w:rPr>
              <w:t>6%</w:t>
            </w:r>
          </w:p>
        </w:tc>
        <w:tc>
          <w:tcPr>
            <w:tcW w:w="689" w:type="dxa"/>
            <w:tcBorders>
              <w:top w:val="nil"/>
              <w:bottom w:val="single" w:sz="4" w:space="0" w:color="auto"/>
            </w:tcBorders>
          </w:tcPr>
          <w:p w:rsidR="00E0446E" w:rsidRPr="007A6268" w:rsidRDefault="00E0446E" w:rsidP="00D02664">
            <w:pPr>
              <w:spacing w:after="60"/>
              <w:jc w:val="right"/>
              <w:rPr>
                <w:snapToGrid w:val="0"/>
                <w:sz w:val="20"/>
              </w:rPr>
            </w:pPr>
            <w:r w:rsidRPr="007A6268">
              <w:rPr>
                <w:snapToGrid w:val="0"/>
                <w:sz w:val="20"/>
              </w:rPr>
              <w:t>9%</w:t>
            </w:r>
          </w:p>
        </w:tc>
        <w:tc>
          <w:tcPr>
            <w:tcW w:w="689" w:type="dxa"/>
            <w:tcBorders>
              <w:top w:val="nil"/>
              <w:bottom w:val="single" w:sz="4" w:space="0" w:color="auto"/>
            </w:tcBorders>
          </w:tcPr>
          <w:p w:rsidR="00E0446E" w:rsidRPr="007A6268" w:rsidRDefault="00E0446E" w:rsidP="00D02664">
            <w:pPr>
              <w:spacing w:after="60"/>
              <w:jc w:val="right"/>
              <w:rPr>
                <w:snapToGrid w:val="0"/>
                <w:sz w:val="20"/>
              </w:rPr>
            </w:pPr>
            <w:r w:rsidRPr="007A6268">
              <w:rPr>
                <w:snapToGrid w:val="0"/>
                <w:sz w:val="20"/>
              </w:rPr>
              <w:t>2%</w:t>
            </w:r>
          </w:p>
        </w:tc>
        <w:tc>
          <w:tcPr>
            <w:tcW w:w="689" w:type="dxa"/>
            <w:tcBorders>
              <w:top w:val="nil"/>
              <w:bottom w:val="single" w:sz="4" w:space="0" w:color="auto"/>
            </w:tcBorders>
          </w:tcPr>
          <w:p w:rsidR="00E0446E" w:rsidRPr="007A6268" w:rsidRDefault="00E0446E" w:rsidP="00D02664">
            <w:pPr>
              <w:spacing w:after="60"/>
              <w:jc w:val="right"/>
              <w:rPr>
                <w:snapToGrid w:val="0"/>
                <w:sz w:val="20"/>
              </w:rPr>
            </w:pPr>
            <w:r w:rsidRPr="007A6268">
              <w:rPr>
                <w:snapToGrid w:val="0"/>
                <w:sz w:val="20"/>
              </w:rPr>
              <w:t>1%</w:t>
            </w:r>
          </w:p>
        </w:tc>
        <w:tc>
          <w:tcPr>
            <w:tcW w:w="689" w:type="dxa"/>
            <w:tcBorders>
              <w:top w:val="nil"/>
              <w:bottom w:val="single" w:sz="4" w:space="0" w:color="auto"/>
            </w:tcBorders>
          </w:tcPr>
          <w:p w:rsidR="00E0446E" w:rsidRPr="007A6268" w:rsidRDefault="00E0446E" w:rsidP="00D02664">
            <w:pPr>
              <w:spacing w:after="60"/>
              <w:jc w:val="right"/>
              <w:rPr>
                <w:snapToGrid w:val="0"/>
                <w:sz w:val="20"/>
              </w:rPr>
            </w:pPr>
            <w:r w:rsidRPr="007A6268">
              <w:rPr>
                <w:snapToGrid w:val="0"/>
                <w:sz w:val="20"/>
              </w:rPr>
              <w:t>3%</w:t>
            </w:r>
          </w:p>
        </w:tc>
      </w:tr>
      <w:tr w:rsidR="00F644A9" w:rsidRPr="007A6268" w:rsidTr="00944133">
        <w:tblPrEx>
          <w:tblCellMar>
            <w:top w:w="0" w:type="dxa"/>
            <w:bottom w:w="0" w:type="dxa"/>
          </w:tblCellMar>
        </w:tblPrEx>
        <w:trPr>
          <w:trHeight w:val="173"/>
        </w:trPr>
        <w:tc>
          <w:tcPr>
            <w:tcW w:w="1800" w:type="dxa"/>
            <w:tcBorders>
              <w:top w:val="single" w:sz="4" w:space="0" w:color="auto"/>
            </w:tcBorders>
          </w:tcPr>
          <w:p w:rsidR="00E0446E" w:rsidRPr="007A6268" w:rsidRDefault="007625BE" w:rsidP="00D02664">
            <w:pPr>
              <w:spacing w:after="60"/>
              <w:rPr>
                <w:snapToGrid w:val="0"/>
                <w:sz w:val="20"/>
              </w:rPr>
            </w:pPr>
            <w:r>
              <w:rPr>
                <w:snapToGrid w:val="0"/>
                <w:sz w:val="20"/>
              </w:rPr>
              <w:t xml:space="preserve">     </w:t>
            </w:r>
            <w:r w:rsidR="00E0446E" w:rsidRPr="007A6268">
              <w:rPr>
                <w:snapToGrid w:val="0"/>
                <w:sz w:val="20"/>
              </w:rPr>
              <w:t>Total</w:t>
            </w:r>
          </w:p>
        </w:tc>
        <w:tc>
          <w:tcPr>
            <w:tcW w:w="692" w:type="dxa"/>
            <w:tcBorders>
              <w:top w:val="single" w:sz="4" w:space="0" w:color="auto"/>
            </w:tcBorders>
          </w:tcPr>
          <w:p w:rsidR="00E0446E" w:rsidRPr="007A6268" w:rsidRDefault="00E0446E" w:rsidP="00D02664">
            <w:pPr>
              <w:spacing w:after="60"/>
              <w:jc w:val="right"/>
              <w:rPr>
                <w:snapToGrid w:val="0"/>
                <w:sz w:val="20"/>
              </w:rPr>
            </w:pPr>
            <w:r w:rsidRPr="007A6268">
              <w:rPr>
                <w:snapToGrid w:val="0"/>
                <w:sz w:val="20"/>
              </w:rPr>
              <w:t>242</w:t>
            </w:r>
          </w:p>
        </w:tc>
        <w:tc>
          <w:tcPr>
            <w:tcW w:w="686" w:type="dxa"/>
            <w:tcBorders>
              <w:top w:val="single" w:sz="4" w:space="0" w:color="auto"/>
            </w:tcBorders>
          </w:tcPr>
          <w:p w:rsidR="00E0446E" w:rsidRPr="007A6268" w:rsidRDefault="00E0446E" w:rsidP="00D02664">
            <w:pPr>
              <w:spacing w:after="60"/>
              <w:jc w:val="right"/>
              <w:rPr>
                <w:snapToGrid w:val="0"/>
                <w:sz w:val="20"/>
              </w:rPr>
            </w:pPr>
            <w:r w:rsidRPr="007A6268">
              <w:rPr>
                <w:snapToGrid w:val="0"/>
                <w:sz w:val="20"/>
              </w:rPr>
              <w:t>204</w:t>
            </w:r>
          </w:p>
        </w:tc>
        <w:tc>
          <w:tcPr>
            <w:tcW w:w="672" w:type="dxa"/>
            <w:tcBorders>
              <w:top w:val="single" w:sz="4" w:space="0" w:color="auto"/>
            </w:tcBorders>
          </w:tcPr>
          <w:p w:rsidR="00E0446E" w:rsidRPr="007A6268" w:rsidRDefault="00E0446E" w:rsidP="00D02664">
            <w:pPr>
              <w:spacing w:after="60"/>
              <w:jc w:val="right"/>
              <w:rPr>
                <w:snapToGrid w:val="0"/>
                <w:sz w:val="20"/>
              </w:rPr>
            </w:pPr>
            <w:r w:rsidRPr="007A6268">
              <w:rPr>
                <w:snapToGrid w:val="0"/>
                <w:sz w:val="20"/>
              </w:rPr>
              <w:t>214</w:t>
            </w:r>
          </w:p>
        </w:tc>
        <w:tc>
          <w:tcPr>
            <w:tcW w:w="700" w:type="dxa"/>
            <w:tcBorders>
              <w:top w:val="single" w:sz="4" w:space="0" w:color="auto"/>
            </w:tcBorders>
          </w:tcPr>
          <w:p w:rsidR="00E0446E" w:rsidRPr="007A6268" w:rsidRDefault="00E0446E" w:rsidP="00D02664">
            <w:pPr>
              <w:spacing w:after="60"/>
              <w:jc w:val="right"/>
              <w:rPr>
                <w:snapToGrid w:val="0"/>
                <w:sz w:val="20"/>
              </w:rPr>
            </w:pPr>
            <w:r w:rsidRPr="007A6268">
              <w:rPr>
                <w:snapToGrid w:val="0"/>
                <w:sz w:val="20"/>
              </w:rPr>
              <w:t>280</w:t>
            </w:r>
          </w:p>
        </w:tc>
        <w:tc>
          <w:tcPr>
            <w:tcW w:w="686" w:type="dxa"/>
            <w:tcBorders>
              <w:top w:val="single" w:sz="4" w:space="0" w:color="auto"/>
              <w:bottom w:val="single" w:sz="4" w:space="0" w:color="auto"/>
              <w:right w:val="single" w:sz="4" w:space="0" w:color="auto"/>
            </w:tcBorders>
          </w:tcPr>
          <w:p w:rsidR="00E0446E" w:rsidRPr="007A6268" w:rsidRDefault="00E0446E" w:rsidP="00D02664">
            <w:pPr>
              <w:spacing w:after="60"/>
              <w:jc w:val="right"/>
              <w:rPr>
                <w:snapToGrid w:val="0"/>
                <w:sz w:val="20"/>
              </w:rPr>
            </w:pPr>
            <w:r w:rsidRPr="007A6268">
              <w:rPr>
                <w:snapToGrid w:val="0"/>
                <w:sz w:val="20"/>
              </w:rPr>
              <w:t>323</w:t>
            </w:r>
          </w:p>
        </w:tc>
        <w:tc>
          <w:tcPr>
            <w:tcW w:w="685" w:type="dxa"/>
            <w:tcBorders>
              <w:top w:val="nil"/>
              <w:left w:val="single" w:sz="4" w:space="0" w:color="auto"/>
              <w:bottom w:val="nil"/>
              <w:right w:val="single" w:sz="4" w:space="0" w:color="auto"/>
            </w:tcBorders>
          </w:tcPr>
          <w:p w:rsidR="00E0446E" w:rsidRPr="007A6268" w:rsidRDefault="00E0446E" w:rsidP="00D02664">
            <w:pPr>
              <w:spacing w:after="60"/>
              <w:jc w:val="right"/>
              <w:rPr>
                <w:snapToGrid w:val="0"/>
                <w:sz w:val="20"/>
              </w:rPr>
            </w:pPr>
          </w:p>
        </w:tc>
        <w:tc>
          <w:tcPr>
            <w:tcW w:w="688" w:type="dxa"/>
            <w:tcBorders>
              <w:top w:val="single" w:sz="4" w:space="0" w:color="auto"/>
              <w:left w:val="single" w:sz="4" w:space="0" w:color="auto"/>
              <w:bottom w:val="single" w:sz="4" w:space="0" w:color="auto"/>
            </w:tcBorders>
          </w:tcPr>
          <w:p w:rsidR="00E0446E" w:rsidRPr="007A6268" w:rsidRDefault="00E0446E" w:rsidP="00D02664">
            <w:pPr>
              <w:spacing w:after="60"/>
              <w:jc w:val="right"/>
              <w:rPr>
                <w:snapToGrid w:val="0"/>
                <w:sz w:val="20"/>
              </w:rPr>
            </w:pPr>
            <w:r w:rsidRPr="007A6268">
              <w:rPr>
                <w:snapToGrid w:val="0"/>
                <w:sz w:val="20"/>
              </w:rPr>
              <w:t>100%</w:t>
            </w:r>
          </w:p>
        </w:tc>
        <w:tc>
          <w:tcPr>
            <w:tcW w:w="689" w:type="dxa"/>
            <w:tcBorders>
              <w:top w:val="single" w:sz="4" w:space="0" w:color="auto"/>
            </w:tcBorders>
          </w:tcPr>
          <w:p w:rsidR="00E0446E" w:rsidRPr="007A6268" w:rsidRDefault="00E0446E" w:rsidP="00D02664">
            <w:pPr>
              <w:spacing w:after="60"/>
              <w:jc w:val="right"/>
              <w:rPr>
                <w:snapToGrid w:val="0"/>
                <w:sz w:val="20"/>
              </w:rPr>
            </w:pPr>
            <w:r w:rsidRPr="007A6268">
              <w:rPr>
                <w:snapToGrid w:val="0"/>
                <w:sz w:val="20"/>
              </w:rPr>
              <w:t>100%</w:t>
            </w:r>
          </w:p>
        </w:tc>
        <w:tc>
          <w:tcPr>
            <w:tcW w:w="689" w:type="dxa"/>
            <w:tcBorders>
              <w:top w:val="single" w:sz="4" w:space="0" w:color="auto"/>
            </w:tcBorders>
          </w:tcPr>
          <w:p w:rsidR="00E0446E" w:rsidRPr="007A6268" w:rsidRDefault="00E0446E" w:rsidP="00D02664">
            <w:pPr>
              <w:spacing w:after="60"/>
              <w:jc w:val="right"/>
              <w:rPr>
                <w:snapToGrid w:val="0"/>
                <w:sz w:val="20"/>
              </w:rPr>
            </w:pPr>
            <w:r w:rsidRPr="007A6268">
              <w:rPr>
                <w:snapToGrid w:val="0"/>
                <w:sz w:val="20"/>
              </w:rPr>
              <w:t>100%</w:t>
            </w:r>
          </w:p>
        </w:tc>
        <w:tc>
          <w:tcPr>
            <w:tcW w:w="689" w:type="dxa"/>
            <w:tcBorders>
              <w:top w:val="single" w:sz="4" w:space="0" w:color="auto"/>
            </w:tcBorders>
          </w:tcPr>
          <w:p w:rsidR="00E0446E" w:rsidRPr="007A6268" w:rsidRDefault="00E0446E" w:rsidP="00D02664">
            <w:pPr>
              <w:spacing w:after="60"/>
              <w:jc w:val="right"/>
              <w:rPr>
                <w:snapToGrid w:val="0"/>
                <w:sz w:val="20"/>
              </w:rPr>
            </w:pPr>
            <w:r w:rsidRPr="007A6268">
              <w:rPr>
                <w:snapToGrid w:val="0"/>
                <w:sz w:val="20"/>
              </w:rPr>
              <w:t>100%</w:t>
            </w:r>
          </w:p>
        </w:tc>
        <w:tc>
          <w:tcPr>
            <w:tcW w:w="689" w:type="dxa"/>
            <w:tcBorders>
              <w:top w:val="single" w:sz="4" w:space="0" w:color="auto"/>
            </w:tcBorders>
          </w:tcPr>
          <w:p w:rsidR="00E0446E" w:rsidRPr="007A6268" w:rsidRDefault="00E0446E" w:rsidP="00D02664">
            <w:pPr>
              <w:spacing w:after="60"/>
              <w:jc w:val="right"/>
              <w:rPr>
                <w:snapToGrid w:val="0"/>
                <w:sz w:val="20"/>
              </w:rPr>
            </w:pPr>
            <w:r w:rsidRPr="007A6268">
              <w:rPr>
                <w:snapToGrid w:val="0"/>
                <w:sz w:val="20"/>
              </w:rPr>
              <w:t>100%</w:t>
            </w:r>
          </w:p>
        </w:tc>
      </w:tr>
    </w:tbl>
    <w:p w:rsidR="00E0446E" w:rsidRPr="00581181" w:rsidRDefault="00DE1407" w:rsidP="00DE1407">
      <w:pPr>
        <w:spacing w:before="240"/>
        <w:rPr>
          <w:snapToGrid w:val="0"/>
          <w:color w:val="000000"/>
        </w:rPr>
      </w:pPr>
      <w:r>
        <w:rPr>
          <w:snapToGrid w:val="0"/>
          <w:color w:val="000000"/>
        </w:rPr>
        <w:tab/>
        <w:t xml:space="preserve">  </w:t>
      </w:r>
      <w:r w:rsidR="00E0446E" w:rsidRPr="00581181">
        <w:rPr>
          <w:snapToGrid w:val="0"/>
          <w:color w:val="000000"/>
        </w:rPr>
        <w:t xml:space="preserve">* </w:t>
      </w:r>
      <w:r>
        <w:rPr>
          <w:snapToGrid w:val="0"/>
          <w:color w:val="000000"/>
        </w:rPr>
        <w:t xml:space="preserve"> </w:t>
      </w:r>
      <w:r w:rsidR="00E0446E" w:rsidRPr="00581181">
        <w:rPr>
          <w:snapToGrid w:val="0"/>
          <w:color w:val="000000"/>
        </w:rPr>
        <w:t>Incorporated as a ground in the legislation in 2006</w:t>
      </w:r>
      <w:r>
        <w:rPr>
          <w:snapToGrid w:val="0"/>
          <w:color w:val="000000"/>
        </w:rPr>
        <w:t>.</w:t>
      </w:r>
    </w:p>
    <w:p w:rsidR="00EC2B8C" w:rsidRDefault="00DE1407" w:rsidP="003C1FA9">
      <w:pPr>
        <w:rPr>
          <w:snapToGrid w:val="0"/>
          <w:color w:val="000000"/>
        </w:rPr>
      </w:pPr>
      <w:r>
        <w:rPr>
          <w:snapToGrid w:val="0"/>
          <w:color w:val="000000"/>
        </w:rPr>
        <w:tab/>
      </w:r>
      <w:r w:rsidR="00E0446E" w:rsidRPr="00581181">
        <w:rPr>
          <w:snapToGrid w:val="0"/>
          <w:color w:val="000000"/>
        </w:rPr>
        <w:t xml:space="preserve">** </w:t>
      </w:r>
      <w:r>
        <w:rPr>
          <w:snapToGrid w:val="0"/>
          <w:color w:val="000000"/>
        </w:rPr>
        <w:t xml:space="preserve"> </w:t>
      </w:r>
      <w:r w:rsidR="00E0446E" w:rsidRPr="00581181">
        <w:rPr>
          <w:snapToGrid w:val="0"/>
          <w:color w:val="000000"/>
        </w:rPr>
        <w:t xml:space="preserve">Reports up to 2004 showed that there were often several grounds on which discrimination had taken place. For example, a person may insult a group of people on account of their race </w:t>
      </w:r>
      <w:r w:rsidR="00E0446E" w:rsidRPr="00581181">
        <w:rPr>
          <w:snapToGrid w:val="0"/>
          <w:color w:val="000000"/>
          <w:u w:val="single"/>
        </w:rPr>
        <w:t>and</w:t>
      </w:r>
      <w:r w:rsidR="00E0446E" w:rsidRPr="00581181">
        <w:rPr>
          <w:snapToGrid w:val="0"/>
          <w:color w:val="000000"/>
        </w:rPr>
        <w:t xml:space="preserve"> sexual orientation. From 2005 onwards, each separate ground has been counted in cases involving several grounds (up to a maximum of three grounds per offence), which produces a more accurate distribution over the various grounds. As a result, since 2005 the total umber of grounds has been higher than the total number of offences. A comparison with previous years can thus only be made on the basis of percentages. In 2006, for example, 323</w:t>
      </w:r>
      <w:r w:rsidR="005F5728">
        <w:rPr>
          <w:snapToGrid w:val="0"/>
          <w:color w:val="000000"/>
        </w:rPr>
        <w:t> </w:t>
      </w:r>
      <w:r w:rsidR="00E0446E" w:rsidRPr="00581181">
        <w:rPr>
          <w:snapToGrid w:val="0"/>
          <w:color w:val="000000"/>
        </w:rPr>
        <w:t xml:space="preserve">grounds were found in 246 cases. </w:t>
      </w:r>
    </w:p>
    <w:p w:rsidR="00E0446E" w:rsidRDefault="00E0446E" w:rsidP="00DE1407">
      <w:pPr>
        <w:pStyle w:val="Heading2"/>
      </w:pPr>
      <w:r w:rsidRPr="00581181">
        <w:t>Table 3</w:t>
      </w: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160"/>
        <w:gridCol w:w="654"/>
        <w:gridCol w:w="655"/>
        <w:gridCol w:w="654"/>
        <w:gridCol w:w="655"/>
        <w:gridCol w:w="654"/>
        <w:gridCol w:w="448"/>
        <w:gridCol w:w="696"/>
        <w:gridCol w:w="696"/>
        <w:gridCol w:w="696"/>
        <w:gridCol w:w="696"/>
        <w:gridCol w:w="696"/>
      </w:tblGrid>
      <w:tr w:rsidR="004B484E" w:rsidRPr="00937F46" w:rsidTr="004B484E">
        <w:tblPrEx>
          <w:tblCellMar>
            <w:top w:w="0" w:type="dxa"/>
            <w:bottom w:w="0" w:type="dxa"/>
          </w:tblCellMar>
        </w:tblPrEx>
        <w:trPr>
          <w:trHeight w:val="216"/>
        </w:trPr>
        <w:tc>
          <w:tcPr>
            <w:tcW w:w="2160" w:type="dxa"/>
            <w:vMerge w:val="restart"/>
            <w:vAlign w:val="center"/>
          </w:tcPr>
          <w:p w:rsidR="004B484E" w:rsidRPr="00937F46" w:rsidRDefault="004B484E" w:rsidP="00D02664">
            <w:pPr>
              <w:spacing w:after="60"/>
              <w:rPr>
                <w:snapToGrid w:val="0"/>
                <w:color w:val="000000"/>
                <w:sz w:val="20"/>
              </w:rPr>
            </w:pPr>
            <w:r w:rsidRPr="00937F46">
              <w:rPr>
                <w:sz w:val="20"/>
              </w:rPr>
              <w:t>Disposal by the Public Prosecution Service per article</w:t>
            </w:r>
          </w:p>
        </w:tc>
        <w:tc>
          <w:tcPr>
            <w:tcW w:w="654" w:type="dxa"/>
            <w:tcBorders>
              <w:bottom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Year</w:t>
            </w:r>
          </w:p>
        </w:tc>
        <w:tc>
          <w:tcPr>
            <w:tcW w:w="655" w:type="dxa"/>
            <w:tcBorders>
              <w:bottom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Year</w:t>
            </w:r>
          </w:p>
        </w:tc>
        <w:tc>
          <w:tcPr>
            <w:tcW w:w="654" w:type="dxa"/>
            <w:tcBorders>
              <w:bottom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Year</w:t>
            </w:r>
          </w:p>
        </w:tc>
        <w:tc>
          <w:tcPr>
            <w:tcW w:w="655" w:type="dxa"/>
            <w:tcBorders>
              <w:bottom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Year</w:t>
            </w:r>
          </w:p>
        </w:tc>
        <w:tc>
          <w:tcPr>
            <w:tcW w:w="654" w:type="dxa"/>
            <w:tcBorders>
              <w:top w:val="single" w:sz="4" w:space="0" w:color="auto"/>
              <w:bottom w:val="single" w:sz="4" w:space="0" w:color="auto"/>
              <w:right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Year</w:t>
            </w:r>
          </w:p>
        </w:tc>
        <w:tc>
          <w:tcPr>
            <w:tcW w:w="448" w:type="dxa"/>
            <w:tcBorders>
              <w:top w:val="nil"/>
              <w:left w:val="single" w:sz="4" w:space="0" w:color="auto"/>
              <w:bottom w:val="nil"/>
              <w:right w:val="single" w:sz="4" w:space="0" w:color="auto"/>
            </w:tcBorders>
          </w:tcPr>
          <w:p w:rsidR="004B484E" w:rsidRPr="00937F46" w:rsidRDefault="004B484E" w:rsidP="00D02664">
            <w:pPr>
              <w:spacing w:after="60"/>
              <w:jc w:val="center"/>
              <w:rPr>
                <w:snapToGrid w:val="0"/>
                <w:color w:val="000000"/>
                <w:sz w:val="20"/>
              </w:rPr>
            </w:pPr>
          </w:p>
        </w:tc>
        <w:tc>
          <w:tcPr>
            <w:tcW w:w="696" w:type="dxa"/>
            <w:tcBorders>
              <w:top w:val="single" w:sz="4" w:space="0" w:color="auto"/>
              <w:left w:val="single" w:sz="4" w:space="0" w:color="auto"/>
              <w:bottom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Year</w:t>
            </w:r>
          </w:p>
        </w:tc>
        <w:tc>
          <w:tcPr>
            <w:tcW w:w="696" w:type="dxa"/>
            <w:tcBorders>
              <w:bottom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Year</w:t>
            </w:r>
          </w:p>
        </w:tc>
        <w:tc>
          <w:tcPr>
            <w:tcW w:w="696" w:type="dxa"/>
            <w:tcBorders>
              <w:bottom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Year</w:t>
            </w:r>
          </w:p>
        </w:tc>
        <w:tc>
          <w:tcPr>
            <w:tcW w:w="696" w:type="dxa"/>
            <w:tcBorders>
              <w:bottom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Year</w:t>
            </w:r>
          </w:p>
        </w:tc>
        <w:tc>
          <w:tcPr>
            <w:tcW w:w="696" w:type="dxa"/>
            <w:tcBorders>
              <w:bottom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Year</w:t>
            </w:r>
          </w:p>
        </w:tc>
      </w:tr>
      <w:tr w:rsidR="004B484E" w:rsidRPr="00937F46" w:rsidTr="00CE1FB5">
        <w:tblPrEx>
          <w:tblCellMar>
            <w:top w:w="0" w:type="dxa"/>
            <w:bottom w:w="0" w:type="dxa"/>
          </w:tblCellMar>
        </w:tblPrEx>
        <w:trPr>
          <w:trHeight w:val="216"/>
        </w:trPr>
        <w:tc>
          <w:tcPr>
            <w:tcW w:w="2160" w:type="dxa"/>
            <w:vMerge/>
            <w:tcBorders>
              <w:bottom w:val="single" w:sz="4" w:space="0" w:color="auto"/>
            </w:tcBorders>
          </w:tcPr>
          <w:p w:rsidR="004B484E" w:rsidRPr="00937F46" w:rsidRDefault="004B484E" w:rsidP="00D02664">
            <w:pPr>
              <w:spacing w:after="60"/>
              <w:jc w:val="center"/>
              <w:rPr>
                <w:snapToGrid w:val="0"/>
                <w:color w:val="000000"/>
                <w:sz w:val="20"/>
              </w:rPr>
            </w:pPr>
          </w:p>
        </w:tc>
        <w:tc>
          <w:tcPr>
            <w:tcW w:w="654" w:type="dxa"/>
            <w:tcBorders>
              <w:top w:val="single" w:sz="4" w:space="0" w:color="auto"/>
              <w:bottom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2002</w:t>
            </w:r>
          </w:p>
        </w:tc>
        <w:tc>
          <w:tcPr>
            <w:tcW w:w="655" w:type="dxa"/>
            <w:tcBorders>
              <w:top w:val="single" w:sz="4" w:space="0" w:color="auto"/>
              <w:bottom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2003</w:t>
            </w:r>
          </w:p>
        </w:tc>
        <w:tc>
          <w:tcPr>
            <w:tcW w:w="654" w:type="dxa"/>
            <w:tcBorders>
              <w:top w:val="single" w:sz="4" w:space="0" w:color="auto"/>
              <w:bottom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2004</w:t>
            </w:r>
          </w:p>
        </w:tc>
        <w:tc>
          <w:tcPr>
            <w:tcW w:w="655" w:type="dxa"/>
            <w:tcBorders>
              <w:top w:val="single" w:sz="4" w:space="0" w:color="auto"/>
              <w:bottom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2005</w:t>
            </w:r>
          </w:p>
        </w:tc>
        <w:tc>
          <w:tcPr>
            <w:tcW w:w="654" w:type="dxa"/>
            <w:tcBorders>
              <w:top w:val="single" w:sz="4" w:space="0" w:color="auto"/>
              <w:bottom w:val="single" w:sz="4" w:space="0" w:color="auto"/>
              <w:right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2006</w:t>
            </w:r>
          </w:p>
        </w:tc>
        <w:tc>
          <w:tcPr>
            <w:tcW w:w="448" w:type="dxa"/>
            <w:tcBorders>
              <w:top w:val="nil"/>
              <w:left w:val="single" w:sz="4" w:space="0" w:color="auto"/>
              <w:bottom w:val="nil"/>
              <w:right w:val="single" w:sz="4" w:space="0" w:color="auto"/>
            </w:tcBorders>
          </w:tcPr>
          <w:p w:rsidR="004B484E" w:rsidRPr="00937F46" w:rsidRDefault="004B484E" w:rsidP="00D02664">
            <w:pPr>
              <w:spacing w:after="60"/>
              <w:jc w:val="center"/>
              <w:rPr>
                <w:snapToGrid w:val="0"/>
                <w:color w:val="000000"/>
                <w:sz w:val="20"/>
              </w:rPr>
            </w:pPr>
          </w:p>
        </w:tc>
        <w:tc>
          <w:tcPr>
            <w:tcW w:w="696" w:type="dxa"/>
            <w:tcBorders>
              <w:top w:val="single" w:sz="4" w:space="0" w:color="auto"/>
              <w:left w:val="single" w:sz="4" w:space="0" w:color="auto"/>
              <w:bottom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2002</w:t>
            </w:r>
          </w:p>
        </w:tc>
        <w:tc>
          <w:tcPr>
            <w:tcW w:w="696" w:type="dxa"/>
            <w:tcBorders>
              <w:top w:val="single" w:sz="4" w:space="0" w:color="auto"/>
              <w:bottom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2003</w:t>
            </w:r>
          </w:p>
        </w:tc>
        <w:tc>
          <w:tcPr>
            <w:tcW w:w="696" w:type="dxa"/>
            <w:tcBorders>
              <w:top w:val="single" w:sz="4" w:space="0" w:color="auto"/>
              <w:bottom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2004</w:t>
            </w:r>
          </w:p>
        </w:tc>
        <w:tc>
          <w:tcPr>
            <w:tcW w:w="696" w:type="dxa"/>
            <w:tcBorders>
              <w:top w:val="single" w:sz="4" w:space="0" w:color="auto"/>
              <w:bottom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2005</w:t>
            </w:r>
          </w:p>
        </w:tc>
        <w:tc>
          <w:tcPr>
            <w:tcW w:w="696" w:type="dxa"/>
            <w:tcBorders>
              <w:top w:val="single" w:sz="4" w:space="0" w:color="auto"/>
              <w:bottom w:val="single" w:sz="4" w:space="0" w:color="auto"/>
            </w:tcBorders>
          </w:tcPr>
          <w:p w:rsidR="004B484E" w:rsidRPr="00937F46" w:rsidRDefault="004B484E" w:rsidP="00D02664">
            <w:pPr>
              <w:spacing w:after="60"/>
              <w:jc w:val="center"/>
              <w:rPr>
                <w:snapToGrid w:val="0"/>
                <w:color w:val="000000"/>
                <w:sz w:val="20"/>
              </w:rPr>
            </w:pPr>
            <w:r w:rsidRPr="00937F46">
              <w:rPr>
                <w:snapToGrid w:val="0"/>
                <w:color w:val="000000"/>
                <w:sz w:val="20"/>
              </w:rPr>
              <w:t>2006</w:t>
            </w:r>
          </w:p>
        </w:tc>
      </w:tr>
      <w:tr w:rsidR="007A6268" w:rsidRPr="00937F46" w:rsidTr="00CE1FB5">
        <w:tblPrEx>
          <w:tblCellMar>
            <w:top w:w="0" w:type="dxa"/>
            <w:bottom w:w="0" w:type="dxa"/>
          </w:tblCellMar>
        </w:tblPrEx>
        <w:trPr>
          <w:trHeight w:val="216"/>
        </w:trPr>
        <w:tc>
          <w:tcPr>
            <w:tcW w:w="2160" w:type="dxa"/>
            <w:tcBorders>
              <w:top w:val="single" w:sz="4" w:space="0" w:color="auto"/>
            </w:tcBorders>
          </w:tcPr>
          <w:p w:rsidR="007A6268" w:rsidRPr="00937F46" w:rsidRDefault="007A6268" w:rsidP="00D02664">
            <w:pPr>
              <w:spacing w:after="60"/>
              <w:rPr>
                <w:snapToGrid w:val="0"/>
                <w:color w:val="000000"/>
                <w:sz w:val="20"/>
              </w:rPr>
            </w:pPr>
            <w:r w:rsidRPr="00937F46">
              <w:rPr>
                <w:snapToGrid w:val="0"/>
                <w:color w:val="000000"/>
                <w:sz w:val="20"/>
              </w:rPr>
              <w:t>137c</w:t>
            </w:r>
          </w:p>
        </w:tc>
        <w:tc>
          <w:tcPr>
            <w:tcW w:w="654" w:type="dxa"/>
            <w:tcBorders>
              <w:top w:val="single" w:sz="4" w:space="0" w:color="auto"/>
            </w:tcBorders>
          </w:tcPr>
          <w:p w:rsidR="007A6268" w:rsidRPr="00937F46" w:rsidRDefault="007A6268" w:rsidP="00D02664">
            <w:pPr>
              <w:spacing w:after="60"/>
              <w:jc w:val="right"/>
              <w:rPr>
                <w:sz w:val="20"/>
              </w:rPr>
            </w:pPr>
            <w:r w:rsidRPr="00937F46">
              <w:rPr>
                <w:sz w:val="20"/>
              </w:rPr>
              <w:t>223</w:t>
            </w:r>
          </w:p>
        </w:tc>
        <w:tc>
          <w:tcPr>
            <w:tcW w:w="655" w:type="dxa"/>
            <w:tcBorders>
              <w:top w:val="single" w:sz="4" w:space="0" w:color="auto"/>
            </w:tcBorders>
          </w:tcPr>
          <w:p w:rsidR="007A6268" w:rsidRPr="00937F46" w:rsidRDefault="007A6268" w:rsidP="00D02664">
            <w:pPr>
              <w:spacing w:after="60"/>
              <w:jc w:val="right"/>
              <w:rPr>
                <w:sz w:val="20"/>
              </w:rPr>
            </w:pPr>
            <w:r w:rsidRPr="00937F46">
              <w:rPr>
                <w:sz w:val="20"/>
              </w:rPr>
              <w:t>188</w:t>
            </w:r>
          </w:p>
        </w:tc>
        <w:tc>
          <w:tcPr>
            <w:tcW w:w="654" w:type="dxa"/>
            <w:tcBorders>
              <w:top w:val="single" w:sz="4" w:space="0" w:color="auto"/>
            </w:tcBorders>
          </w:tcPr>
          <w:p w:rsidR="007A6268" w:rsidRPr="00937F46" w:rsidRDefault="007A6268" w:rsidP="00D02664">
            <w:pPr>
              <w:spacing w:after="60"/>
              <w:jc w:val="right"/>
              <w:rPr>
                <w:sz w:val="20"/>
              </w:rPr>
            </w:pPr>
            <w:r w:rsidRPr="00937F46">
              <w:rPr>
                <w:sz w:val="20"/>
              </w:rPr>
              <w:t>182</w:t>
            </w:r>
          </w:p>
        </w:tc>
        <w:tc>
          <w:tcPr>
            <w:tcW w:w="655" w:type="dxa"/>
            <w:tcBorders>
              <w:top w:val="single" w:sz="4" w:space="0" w:color="auto"/>
            </w:tcBorders>
          </w:tcPr>
          <w:p w:rsidR="007A6268" w:rsidRPr="00937F46" w:rsidRDefault="007A6268" w:rsidP="00D02664">
            <w:pPr>
              <w:spacing w:after="60"/>
              <w:jc w:val="right"/>
              <w:rPr>
                <w:sz w:val="20"/>
              </w:rPr>
            </w:pPr>
            <w:r w:rsidRPr="00937F46">
              <w:rPr>
                <w:sz w:val="20"/>
              </w:rPr>
              <w:t>177</w:t>
            </w:r>
          </w:p>
        </w:tc>
        <w:tc>
          <w:tcPr>
            <w:tcW w:w="654" w:type="dxa"/>
            <w:tcBorders>
              <w:top w:val="single" w:sz="4" w:space="0" w:color="auto"/>
              <w:right w:val="single" w:sz="4" w:space="0" w:color="auto"/>
            </w:tcBorders>
          </w:tcPr>
          <w:p w:rsidR="007A6268" w:rsidRPr="00937F46" w:rsidRDefault="007A6268" w:rsidP="00D02664">
            <w:pPr>
              <w:spacing w:after="60"/>
              <w:jc w:val="right"/>
              <w:rPr>
                <w:sz w:val="20"/>
              </w:rPr>
            </w:pPr>
            <w:r w:rsidRPr="00937F46">
              <w:rPr>
                <w:sz w:val="20"/>
              </w:rPr>
              <w:t>227</w:t>
            </w:r>
          </w:p>
        </w:tc>
        <w:tc>
          <w:tcPr>
            <w:tcW w:w="448" w:type="dxa"/>
            <w:tcBorders>
              <w:top w:val="nil"/>
              <w:left w:val="single" w:sz="4" w:space="0" w:color="auto"/>
              <w:bottom w:val="nil"/>
              <w:right w:val="single" w:sz="4" w:space="0" w:color="auto"/>
            </w:tcBorders>
          </w:tcPr>
          <w:p w:rsidR="007A6268" w:rsidRPr="00937F46" w:rsidRDefault="007A6268" w:rsidP="00D02664">
            <w:pPr>
              <w:spacing w:after="60"/>
              <w:jc w:val="right"/>
              <w:rPr>
                <w:sz w:val="20"/>
              </w:rPr>
            </w:pPr>
          </w:p>
        </w:tc>
        <w:tc>
          <w:tcPr>
            <w:tcW w:w="696" w:type="dxa"/>
            <w:tcBorders>
              <w:top w:val="single" w:sz="4" w:space="0" w:color="auto"/>
              <w:left w:val="single" w:sz="4" w:space="0" w:color="auto"/>
            </w:tcBorders>
          </w:tcPr>
          <w:p w:rsidR="007A6268" w:rsidRPr="00937F46" w:rsidRDefault="007A6268" w:rsidP="00D02664">
            <w:pPr>
              <w:spacing w:after="60"/>
              <w:jc w:val="right"/>
              <w:rPr>
                <w:sz w:val="20"/>
              </w:rPr>
            </w:pPr>
            <w:r w:rsidRPr="00937F46">
              <w:rPr>
                <w:sz w:val="20"/>
              </w:rPr>
              <w:t>79%</w:t>
            </w:r>
          </w:p>
        </w:tc>
        <w:tc>
          <w:tcPr>
            <w:tcW w:w="696" w:type="dxa"/>
            <w:tcBorders>
              <w:top w:val="single" w:sz="4" w:space="0" w:color="auto"/>
            </w:tcBorders>
          </w:tcPr>
          <w:p w:rsidR="007A6268" w:rsidRPr="00937F46" w:rsidRDefault="007A6268" w:rsidP="00D02664">
            <w:pPr>
              <w:spacing w:after="60"/>
              <w:jc w:val="right"/>
              <w:rPr>
                <w:sz w:val="20"/>
              </w:rPr>
            </w:pPr>
            <w:r w:rsidRPr="00937F46">
              <w:rPr>
                <w:sz w:val="20"/>
              </w:rPr>
              <w:t>80%</w:t>
            </w:r>
          </w:p>
        </w:tc>
        <w:tc>
          <w:tcPr>
            <w:tcW w:w="696" w:type="dxa"/>
            <w:tcBorders>
              <w:top w:val="single" w:sz="4" w:space="0" w:color="auto"/>
            </w:tcBorders>
          </w:tcPr>
          <w:p w:rsidR="007A6268" w:rsidRPr="00937F46" w:rsidRDefault="007A6268" w:rsidP="00D02664">
            <w:pPr>
              <w:spacing w:after="60"/>
              <w:jc w:val="right"/>
              <w:rPr>
                <w:sz w:val="20"/>
              </w:rPr>
            </w:pPr>
            <w:r w:rsidRPr="00937F46">
              <w:rPr>
                <w:sz w:val="20"/>
              </w:rPr>
              <w:t>82%</w:t>
            </w:r>
          </w:p>
        </w:tc>
        <w:tc>
          <w:tcPr>
            <w:tcW w:w="696" w:type="dxa"/>
            <w:tcBorders>
              <w:top w:val="single" w:sz="4" w:space="0" w:color="auto"/>
            </w:tcBorders>
          </w:tcPr>
          <w:p w:rsidR="007A6268" w:rsidRPr="00937F46" w:rsidRDefault="007A6268" w:rsidP="00D02664">
            <w:pPr>
              <w:spacing w:after="60"/>
              <w:jc w:val="right"/>
              <w:rPr>
                <w:sz w:val="20"/>
              </w:rPr>
            </w:pPr>
            <w:r w:rsidRPr="00937F46">
              <w:rPr>
                <w:sz w:val="20"/>
              </w:rPr>
              <w:t>71%</w:t>
            </w:r>
          </w:p>
        </w:tc>
        <w:tc>
          <w:tcPr>
            <w:tcW w:w="696" w:type="dxa"/>
            <w:tcBorders>
              <w:top w:val="single" w:sz="4" w:space="0" w:color="auto"/>
            </w:tcBorders>
          </w:tcPr>
          <w:p w:rsidR="007A6268" w:rsidRPr="00937F46" w:rsidRDefault="007A6268" w:rsidP="00D02664">
            <w:pPr>
              <w:spacing w:after="60"/>
              <w:jc w:val="right"/>
              <w:rPr>
                <w:sz w:val="20"/>
              </w:rPr>
            </w:pPr>
            <w:r w:rsidRPr="00937F46">
              <w:rPr>
                <w:sz w:val="20"/>
              </w:rPr>
              <w:t>74%</w:t>
            </w:r>
          </w:p>
        </w:tc>
      </w:tr>
      <w:tr w:rsidR="007A6268" w:rsidRPr="00937F46" w:rsidTr="00CE1FB5">
        <w:tblPrEx>
          <w:tblCellMar>
            <w:top w:w="0" w:type="dxa"/>
            <w:bottom w:w="0" w:type="dxa"/>
          </w:tblCellMar>
        </w:tblPrEx>
        <w:trPr>
          <w:trHeight w:val="216"/>
        </w:trPr>
        <w:tc>
          <w:tcPr>
            <w:tcW w:w="2160" w:type="dxa"/>
          </w:tcPr>
          <w:p w:rsidR="007A6268" w:rsidRPr="00937F46" w:rsidRDefault="007A6268" w:rsidP="00D02664">
            <w:pPr>
              <w:spacing w:after="60"/>
              <w:rPr>
                <w:snapToGrid w:val="0"/>
                <w:color w:val="000000"/>
                <w:sz w:val="20"/>
              </w:rPr>
            </w:pPr>
            <w:r w:rsidRPr="00937F46">
              <w:rPr>
                <w:snapToGrid w:val="0"/>
                <w:color w:val="000000"/>
                <w:sz w:val="20"/>
              </w:rPr>
              <w:t>137d</w:t>
            </w:r>
          </w:p>
        </w:tc>
        <w:tc>
          <w:tcPr>
            <w:tcW w:w="654" w:type="dxa"/>
          </w:tcPr>
          <w:p w:rsidR="007A6268" w:rsidRPr="00937F46" w:rsidRDefault="007A6268" w:rsidP="00D02664">
            <w:pPr>
              <w:spacing w:after="60"/>
              <w:jc w:val="right"/>
              <w:rPr>
                <w:sz w:val="20"/>
              </w:rPr>
            </w:pPr>
            <w:r w:rsidRPr="00937F46">
              <w:rPr>
                <w:sz w:val="20"/>
              </w:rPr>
              <w:t>28</w:t>
            </w:r>
          </w:p>
        </w:tc>
        <w:tc>
          <w:tcPr>
            <w:tcW w:w="655" w:type="dxa"/>
          </w:tcPr>
          <w:p w:rsidR="007A6268" w:rsidRPr="00937F46" w:rsidRDefault="007A6268" w:rsidP="00D02664">
            <w:pPr>
              <w:spacing w:after="60"/>
              <w:jc w:val="right"/>
              <w:rPr>
                <w:sz w:val="20"/>
              </w:rPr>
            </w:pPr>
            <w:r w:rsidRPr="00937F46">
              <w:rPr>
                <w:sz w:val="20"/>
              </w:rPr>
              <w:t>13</w:t>
            </w:r>
          </w:p>
        </w:tc>
        <w:tc>
          <w:tcPr>
            <w:tcW w:w="654" w:type="dxa"/>
          </w:tcPr>
          <w:p w:rsidR="007A6268" w:rsidRPr="00937F46" w:rsidRDefault="007A6268" w:rsidP="00D02664">
            <w:pPr>
              <w:spacing w:after="60"/>
              <w:jc w:val="right"/>
              <w:rPr>
                <w:sz w:val="20"/>
              </w:rPr>
            </w:pPr>
            <w:r w:rsidRPr="00937F46">
              <w:rPr>
                <w:sz w:val="20"/>
              </w:rPr>
              <w:t>23</w:t>
            </w:r>
          </w:p>
        </w:tc>
        <w:tc>
          <w:tcPr>
            <w:tcW w:w="655" w:type="dxa"/>
          </w:tcPr>
          <w:p w:rsidR="007A6268" w:rsidRPr="00937F46" w:rsidRDefault="007A6268" w:rsidP="00D02664">
            <w:pPr>
              <w:spacing w:after="60"/>
              <w:jc w:val="right"/>
              <w:rPr>
                <w:sz w:val="20"/>
              </w:rPr>
            </w:pPr>
            <w:r w:rsidRPr="00937F46">
              <w:rPr>
                <w:sz w:val="20"/>
              </w:rPr>
              <w:t>49</w:t>
            </w:r>
          </w:p>
        </w:tc>
        <w:tc>
          <w:tcPr>
            <w:tcW w:w="654" w:type="dxa"/>
            <w:tcBorders>
              <w:right w:val="single" w:sz="4" w:space="0" w:color="auto"/>
            </w:tcBorders>
          </w:tcPr>
          <w:p w:rsidR="007A6268" w:rsidRPr="00937F46" w:rsidRDefault="007A6268" w:rsidP="00D02664">
            <w:pPr>
              <w:spacing w:after="60"/>
              <w:jc w:val="right"/>
              <w:rPr>
                <w:sz w:val="20"/>
              </w:rPr>
            </w:pPr>
            <w:r w:rsidRPr="00937F46">
              <w:rPr>
                <w:sz w:val="20"/>
              </w:rPr>
              <w:t>32</w:t>
            </w:r>
          </w:p>
        </w:tc>
        <w:tc>
          <w:tcPr>
            <w:tcW w:w="448" w:type="dxa"/>
            <w:tcBorders>
              <w:top w:val="nil"/>
              <w:left w:val="single" w:sz="4" w:space="0" w:color="auto"/>
              <w:bottom w:val="nil"/>
              <w:right w:val="single" w:sz="4" w:space="0" w:color="auto"/>
            </w:tcBorders>
          </w:tcPr>
          <w:p w:rsidR="007A6268" w:rsidRPr="00937F46" w:rsidRDefault="007A6268" w:rsidP="00D02664">
            <w:pPr>
              <w:spacing w:after="60"/>
              <w:jc w:val="right"/>
              <w:rPr>
                <w:sz w:val="20"/>
              </w:rPr>
            </w:pPr>
          </w:p>
        </w:tc>
        <w:tc>
          <w:tcPr>
            <w:tcW w:w="696" w:type="dxa"/>
            <w:tcBorders>
              <w:left w:val="single" w:sz="4" w:space="0" w:color="auto"/>
            </w:tcBorders>
          </w:tcPr>
          <w:p w:rsidR="007A6268" w:rsidRPr="00937F46" w:rsidRDefault="007A6268" w:rsidP="00D02664">
            <w:pPr>
              <w:spacing w:after="60"/>
              <w:jc w:val="right"/>
              <w:rPr>
                <w:sz w:val="20"/>
              </w:rPr>
            </w:pPr>
            <w:r w:rsidRPr="00937F46">
              <w:rPr>
                <w:sz w:val="20"/>
              </w:rPr>
              <w:t>10%</w:t>
            </w:r>
          </w:p>
        </w:tc>
        <w:tc>
          <w:tcPr>
            <w:tcW w:w="696" w:type="dxa"/>
          </w:tcPr>
          <w:p w:rsidR="007A6268" w:rsidRPr="00937F46" w:rsidRDefault="007A6268" w:rsidP="00D02664">
            <w:pPr>
              <w:spacing w:after="60"/>
              <w:jc w:val="right"/>
              <w:rPr>
                <w:sz w:val="20"/>
              </w:rPr>
            </w:pPr>
            <w:r w:rsidRPr="00937F46">
              <w:rPr>
                <w:sz w:val="20"/>
              </w:rPr>
              <w:t>6%</w:t>
            </w:r>
          </w:p>
        </w:tc>
        <w:tc>
          <w:tcPr>
            <w:tcW w:w="696" w:type="dxa"/>
          </w:tcPr>
          <w:p w:rsidR="007A6268" w:rsidRPr="00937F46" w:rsidRDefault="007A6268" w:rsidP="00D02664">
            <w:pPr>
              <w:spacing w:after="60"/>
              <w:jc w:val="right"/>
              <w:rPr>
                <w:sz w:val="20"/>
              </w:rPr>
            </w:pPr>
            <w:r w:rsidRPr="00937F46">
              <w:rPr>
                <w:sz w:val="20"/>
              </w:rPr>
              <w:t>10%</w:t>
            </w:r>
          </w:p>
        </w:tc>
        <w:tc>
          <w:tcPr>
            <w:tcW w:w="696" w:type="dxa"/>
          </w:tcPr>
          <w:p w:rsidR="007A6268" w:rsidRPr="00937F46" w:rsidRDefault="007A6268" w:rsidP="00D02664">
            <w:pPr>
              <w:spacing w:after="60"/>
              <w:jc w:val="right"/>
              <w:rPr>
                <w:sz w:val="20"/>
              </w:rPr>
            </w:pPr>
            <w:r w:rsidRPr="00937F46">
              <w:rPr>
                <w:sz w:val="20"/>
              </w:rPr>
              <w:t>20%</w:t>
            </w:r>
          </w:p>
        </w:tc>
        <w:tc>
          <w:tcPr>
            <w:tcW w:w="696" w:type="dxa"/>
          </w:tcPr>
          <w:p w:rsidR="007A6268" w:rsidRPr="00937F46" w:rsidRDefault="007A6268" w:rsidP="00D02664">
            <w:pPr>
              <w:spacing w:after="60"/>
              <w:jc w:val="right"/>
              <w:rPr>
                <w:sz w:val="20"/>
              </w:rPr>
            </w:pPr>
            <w:r w:rsidRPr="00937F46">
              <w:rPr>
                <w:sz w:val="20"/>
              </w:rPr>
              <w:t>10%</w:t>
            </w:r>
          </w:p>
        </w:tc>
      </w:tr>
      <w:tr w:rsidR="007A6268" w:rsidRPr="00937F46" w:rsidTr="00CE1FB5">
        <w:tblPrEx>
          <w:tblCellMar>
            <w:top w:w="0" w:type="dxa"/>
            <w:bottom w:w="0" w:type="dxa"/>
          </w:tblCellMar>
        </w:tblPrEx>
        <w:trPr>
          <w:trHeight w:val="216"/>
        </w:trPr>
        <w:tc>
          <w:tcPr>
            <w:tcW w:w="2160" w:type="dxa"/>
          </w:tcPr>
          <w:p w:rsidR="007A6268" w:rsidRPr="00937F46" w:rsidRDefault="007A6268" w:rsidP="00D02664">
            <w:pPr>
              <w:spacing w:after="60"/>
              <w:rPr>
                <w:snapToGrid w:val="0"/>
                <w:color w:val="000000"/>
                <w:sz w:val="20"/>
              </w:rPr>
            </w:pPr>
            <w:r w:rsidRPr="00937F46">
              <w:rPr>
                <w:snapToGrid w:val="0"/>
                <w:color w:val="000000"/>
                <w:sz w:val="20"/>
              </w:rPr>
              <w:t>137e</w:t>
            </w:r>
          </w:p>
        </w:tc>
        <w:tc>
          <w:tcPr>
            <w:tcW w:w="654" w:type="dxa"/>
          </w:tcPr>
          <w:p w:rsidR="007A6268" w:rsidRPr="00937F46" w:rsidRDefault="007A6268" w:rsidP="00D02664">
            <w:pPr>
              <w:spacing w:after="60"/>
              <w:jc w:val="right"/>
              <w:rPr>
                <w:sz w:val="20"/>
              </w:rPr>
            </w:pPr>
            <w:r w:rsidRPr="00937F46">
              <w:rPr>
                <w:sz w:val="20"/>
              </w:rPr>
              <w:t>3</w:t>
            </w:r>
          </w:p>
        </w:tc>
        <w:tc>
          <w:tcPr>
            <w:tcW w:w="655" w:type="dxa"/>
          </w:tcPr>
          <w:p w:rsidR="007A6268" w:rsidRPr="00937F46" w:rsidRDefault="007A6268" w:rsidP="00D02664">
            <w:pPr>
              <w:spacing w:after="60"/>
              <w:jc w:val="right"/>
              <w:rPr>
                <w:sz w:val="20"/>
              </w:rPr>
            </w:pPr>
            <w:r w:rsidRPr="00937F46">
              <w:rPr>
                <w:sz w:val="20"/>
              </w:rPr>
              <w:t>15</w:t>
            </w:r>
          </w:p>
        </w:tc>
        <w:tc>
          <w:tcPr>
            <w:tcW w:w="654" w:type="dxa"/>
          </w:tcPr>
          <w:p w:rsidR="007A6268" w:rsidRPr="00937F46" w:rsidRDefault="007A6268" w:rsidP="00D02664">
            <w:pPr>
              <w:spacing w:after="60"/>
              <w:jc w:val="right"/>
              <w:rPr>
                <w:sz w:val="20"/>
              </w:rPr>
            </w:pPr>
            <w:r w:rsidRPr="00937F46">
              <w:rPr>
                <w:sz w:val="20"/>
              </w:rPr>
              <w:t>12</w:t>
            </w:r>
          </w:p>
        </w:tc>
        <w:tc>
          <w:tcPr>
            <w:tcW w:w="655" w:type="dxa"/>
          </w:tcPr>
          <w:p w:rsidR="007A6268" w:rsidRPr="00937F46" w:rsidRDefault="007A6268" w:rsidP="00D02664">
            <w:pPr>
              <w:spacing w:after="60"/>
              <w:jc w:val="right"/>
              <w:rPr>
                <w:sz w:val="20"/>
              </w:rPr>
            </w:pPr>
            <w:r w:rsidRPr="00937F46">
              <w:rPr>
                <w:sz w:val="20"/>
              </w:rPr>
              <w:t>12</w:t>
            </w:r>
          </w:p>
        </w:tc>
        <w:tc>
          <w:tcPr>
            <w:tcW w:w="654" w:type="dxa"/>
            <w:tcBorders>
              <w:right w:val="single" w:sz="4" w:space="0" w:color="auto"/>
            </w:tcBorders>
          </w:tcPr>
          <w:p w:rsidR="007A6268" w:rsidRPr="00937F46" w:rsidRDefault="007A6268" w:rsidP="00D02664">
            <w:pPr>
              <w:spacing w:after="60"/>
              <w:jc w:val="right"/>
              <w:rPr>
                <w:sz w:val="20"/>
              </w:rPr>
            </w:pPr>
            <w:r w:rsidRPr="00937F46">
              <w:rPr>
                <w:sz w:val="20"/>
              </w:rPr>
              <w:t>23</w:t>
            </w:r>
          </w:p>
        </w:tc>
        <w:tc>
          <w:tcPr>
            <w:tcW w:w="448" w:type="dxa"/>
            <w:tcBorders>
              <w:top w:val="nil"/>
              <w:left w:val="single" w:sz="4" w:space="0" w:color="auto"/>
              <w:bottom w:val="nil"/>
              <w:right w:val="single" w:sz="4" w:space="0" w:color="auto"/>
            </w:tcBorders>
          </w:tcPr>
          <w:p w:rsidR="007A6268" w:rsidRPr="00937F46" w:rsidRDefault="007A6268" w:rsidP="00D02664">
            <w:pPr>
              <w:spacing w:after="60"/>
              <w:jc w:val="right"/>
              <w:rPr>
                <w:sz w:val="20"/>
              </w:rPr>
            </w:pPr>
          </w:p>
        </w:tc>
        <w:tc>
          <w:tcPr>
            <w:tcW w:w="696" w:type="dxa"/>
            <w:tcBorders>
              <w:left w:val="single" w:sz="4" w:space="0" w:color="auto"/>
            </w:tcBorders>
          </w:tcPr>
          <w:p w:rsidR="007A6268" w:rsidRPr="00937F46" w:rsidRDefault="007A6268" w:rsidP="00D02664">
            <w:pPr>
              <w:spacing w:after="60"/>
              <w:jc w:val="right"/>
              <w:rPr>
                <w:sz w:val="20"/>
              </w:rPr>
            </w:pPr>
            <w:r w:rsidRPr="00937F46">
              <w:rPr>
                <w:sz w:val="20"/>
              </w:rPr>
              <w:t>1%</w:t>
            </w:r>
          </w:p>
        </w:tc>
        <w:tc>
          <w:tcPr>
            <w:tcW w:w="696" w:type="dxa"/>
          </w:tcPr>
          <w:p w:rsidR="007A6268" w:rsidRPr="00937F46" w:rsidRDefault="007A6268" w:rsidP="00D02664">
            <w:pPr>
              <w:spacing w:after="60"/>
              <w:jc w:val="right"/>
              <w:rPr>
                <w:sz w:val="20"/>
              </w:rPr>
            </w:pPr>
            <w:r w:rsidRPr="00937F46">
              <w:rPr>
                <w:sz w:val="20"/>
              </w:rPr>
              <w:t>6%</w:t>
            </w:r>
          </w:p>
        </w:tc>
        <w:tc>
          <w:tcPr>
            <w:tcW w:w="696" w:type="dxa"/>
          </w:tcPr>
          <w:p w:rsidR="007A6268" w:rsidRPr="00937F46" w:rsidRDefault="007A6268" w:rsidP="00D02664">
            <w:pPr>
              <w:spacing w:after="60"/>
              <w:jc w:val="right"/>
              <w:rPr>
                <w:sz w:val="20"/>
              </w:rPr>
            </w:pPr>
            <w:r w:rsidRPr="00937F46">
              <w:rPr>
                <w:sz w:val="20"/>
              </w:rPr>
              <w:t>5%</w:t>
            </w:r>
          </w:p>
        </w:tc>
        <w:tc>
          <w:tcPr>
            <w:tcW w:w="696" w:type="dxa"/>
          </w:tcPr>
          <w:p w:rsidR="007A6268" w:rsidRPr="00937F46" w:rsidRDefault="007A6268" w:rsidP="00D02664">
            <w:pPr>
              <w:spacing w:after="60"/>
              <w:jc w:val="right"/>
              <w:rPr>
                <w:sz w:val="20"/>
              </w:rPr>
            </w:pPr>
            <w:r w:rsidRPr="00937F46">
              <w:rPr>
                <w:sz w:val="20"/>
              </w:rPr>
              <w:t>5%</w:t>
            </w:r>
          </w:p>
        </w:tc>
        <w:tc>
          <w:tcPr>
            <w:tcW w:w="696" w:type="dxa"/>
          </w:tcPr>
          <w:p w:rsidR="007A6268" w:rsidRPr="00937F46" w:rsidRDefault="007A6268" w:rsidP="00D02664">
            <w:pPr>
              <w:spacing w:after="60"/>
              <w:jc w:val="right"/>
              <w:rPr>
                <w:sz w:val="20"/>
              </w:rPr>
            </w:pPr>
            <w:r w:rsidRPr="00937F46">
              <w:rPr>
                <w:sz w:val="20"/>
              </w:rPr>
              <w:t>7%</w:t>
            </w:r>
          </w:p>
        </w:tc>
      </w:tr>
      <w:tr w:rsidR="007A6268" w:rsidRPr="00937F46" w:rsidTr="00CE1FB5">
        <w:tblPrEx>
          <w:tblCellMar>
            <w:top w:w="0" w:type="dxa"/>
            <w:bottom w:w="0" w:type="dxa"/>
          </w:tblCellMar>
        </w:tblPrEx>
        <w:trPr>
          <w:trHeight w:val="216"/>
        </w:trPr>
        <w:tc>
          <w:tcPr>
            <w:tcW w:w="2160" w:type="dxa"/>
          </w:tcPr>
          <w:p w:rsidR="007A6268" w:rsidRPr="00937F46" w:rsidRDefault="007A6268" w:rsidP="00D02664">
            <w:pPr>
              <w:spacing w:after="60"/>
              <w:rPr>
                <w:snapToGrid w:val="0"/>
                <w:color w:val="000000"/>
                <w:sz w:val="20"/>
              </w:rPr>
            </w:pPr>
            <w:r w:rsidRPr="00937F46">
              <w:rPr>
                <w:snapToGrid w:val="0"/>
                <w:color w:val="000000"/>
                <w:sz w:val="20"/>
              </w:rPr>
              <w:t>137f</w:t>
            </w:r>
          </w:p>
        </w:tc>
        <w:tc>
          <w:tcPr>
            <w:tcW w:w="654" w:type="dxa"/>
          </w:tcPr>
          <w:p w:rsidR="007A6268" w:rsidRPr="00937F46" w:rsidRDefault="007A6268" w:rsidP="00D02664">
            <w:pPr>
              <w:spacing w:after="60"/>
              <w:jc w:val="right"/>
              <w:rPr>
                <w:sz w:val="20"/>
              </w:rPr>
            </w:pPr>
            <w:r w:rsidRPr="00937F46">
              <w:rPr>
                <w:sz w:val="20"/>
              </w:rPr>
              <w:t>10</w:t>
            </w:r>
          </w:p>
        </w:tc>
        <w:tc>
          <w:tcPr>
            <w:tcW w:w="655" w:type="dxa"/>
          </w:tcPr>
          <w:p w:rsidR="007A6268" w:rsidRPr="00937F46" w:rsidRDefault="007A6268" w:rsidP="00D02664">
            <w:pPr>
              <w:spacing w:after="60"/>
              <w:jc w:val="right"/>
              <w:rPr>
                <w:sz w:val="20"/>
              </w:rPr>
            </w:pPr>
            <w:r w:rsidRPr="00937F46">
              <w:rPr>
                <w:sz w:val="20"/>
              </w:rPr>
              <w:t>0</w:t>
            </w:r>
          </w:p>
        </w:tc>
        <w:tc>
          <w:tcPr>
            <w:tcW w:w="654" w:type="dxa"/>
          </w:tcPr>
          <w:p w:rsidR="007A6268" w:rsidRPr="00937F46" w:rsidRDefault="007A6268" w:rsidP="00D02664">
            <w:pPr>
              <w:spacing w:after="60"/>
              <w:jc w:val="right"/>
              <w:rPr>
                <w:sz w:val="20"/>
              </w:rPr>
            </w:pPr>
            <w:r w:rsidRPr="00937F46">
              <w:rPr>
                <w:sz w:val="20"/>
              </w:rPr>
              <w:t>0</w:t>
            </w:r>
          </w:p>
        </w:tc>
        <w:tc>
          <w:tcPr>
            <w:tcW w:w="655" w:type="dxa"/>
          </w:tcPr>
          <w:p w:rsidR="007A6268" w:rsidRPr="00937F46" w:rsidRDefault="007A6268" w:rsidP="00D02664">
            <w:pPr>
              <w:spacing w:after="60"/>
              <w:jc w:val="right"/>
              <w:rPr>
                <w:sz w:val="20"/>
              </w:rPr>
            </w:pPr>
            <w:r w:rsidRPr="00937F46">
              <w:rPr>
                <w:sz w:val="20"/>
              </w:rPr>
              <w:t>2</w:t>
            </w:r>
          </w:p>
        </w:tc>
        <w:tc>
          <w:tcPr>
            <w:tcW w:w="654" w:type="dxa"/>
            <w:tcBorders>
              <w:right w:val="single" w:sz="4" w:space="0" w:color="auto"/>
            </w:tcBorders>
          </w:tcPr>
          <w:p w:rsidR="007A6268" w:rsidRPr="00937F46" w:rsidRDefault="007A6268" w:rsidP="00D02664">
            <w:pPr>
              <w:spacing w:after="60"/>
              <w:jc w:val="right"/>
              <w:rPr>
                <w:sz w:val="20"/>
              </w:rPr>
            </w:pPr>
            <w:r w:rsidRPr="00937F46">
              <w:rPr>
                <w:sz w:val="20"/>
              </w:rPr>
              <w:t>1</w:t>
            </w:r>
          </w:p>
        </w:tc>
        <w:tc>
          <w:tcPr>
            <w:tcW w:w="448" w:type="dxa"/>
            <w:tcBorders>
              <w:top w:val="nil"/>
              <w:left w:val="single" w:sz="4" w:space="0" w:color="auto"/>
              <w:bottom w:val="nil"/>
              <w:right w:val="single" w:sz="4" w:space="0" w:color="auto"/>
            </w:tcBorders>
          </w:tcPr>
          <w:p w:rsidR="007A6268" w:rsidRPr="00937F46" w:rsidRDefault="007A6268" w:rsidP="00D02664">
            <w:pPr>
              <w:spacing w:after="60"/>
              <w:jc w:val="right"/>
              <w:rPr>
                <w:sz w:val="20"/>
              </w:rPr>
            </w:pPr>
          </w:p>
        </w:tc>
        <w:tc>
          <w:tcPr>
            <w:tcW w:w="696" w:type="dxa"/>
            <w:tcBorders>
              <w:left w:val="single" w:sz="4" w:space="0" w:color="auto"/>
            </w:tcBorders>
          </w:tcPr>
          <w:p w:rsidR="007A6268" w:rsidRPr="00937F46" w:rsidRDefault="007A6268" w:rsidP="00D02664">
            <w:pPr>
              <w:spacing w:after="60"/>
              <w:jc w:val="right"/>
              <w:rPr>
                <w:sz w:val="20"/>
              </w:rPr>
            </w:pPr>
            <w:r w:rsidRPr="00937F46">
              <w:rPr>
                <w:sz w:val="20"/>
              </w:rPr>
              <w:t>4%</w:t>
            </w:r>
          </w:p>
        </w:tc>
        <w:tc>
          <w:tcPr>
            <w:tcW w:w="696" w:type="dxa"/>
          </w:tcPr>
          <w:p w:rsidR="007A6268" w:rsidRPr="00937F46" w:rsidRDefault="007A6268" w:rsidP="00D02664">
            <w:pPr>
              <w:spacing w:after="60"/>
              <w:jc w:val="right"/>
              <w:rPr>
                <w:sz w:val="20"/>
              </w:rPr>
            </w:pPr>
            <w:r w:rsidRPr="00937F46">
              <w:rPr>
                <w:sz w:val="20"/>
              </w:rPr>
              <w:t>0%</w:t>
            </w:r>
          </w:p>
        </w:tc>
        <w:tc>
          <w:tcPr>
            <w:tcW w:w="696" w:type="dxa"/>
          </w:tcPr>
          <w:p w:rsidR="007A6268" w:rsidRPr="00937F46" w:rsidRDefault="007A6268" w:rsidP="00D02664">
            <w:pPr>
              <w:spacing w:after="60"/>
              <w:jc w:val="right"/>
              <w:rPr>
                <w:sz w:val="20"/>
              </w:rPr>
            </w:pPr>
            <w:r w:rsidRPr="00937F46">
              <w:rPr>
                <w:sz w:val="20"/>
              </w:rPr>
              <w:t>0%</w:t>
            </w:r>
          </w:p>
        </w:tc>
        <w:tc>
          <w:tcPr>
            <w:tcW w:w="696" w:type="dxa"/>
          </w:tcPr>
          <w:p w:rsidR="007A6268" w:rsidRPr="00937F46" w:rsidRDefault="007A6268" w:rsidP="00D02664">
            <w:pPr>
              <w:spacing w:after="60"/>
              <w:jc w:val="right"/>
              <w:rPr>
                <w:sz w:val="20"/>
              </w:rPr>
            </w:pPr>
            <w:r w:rsidRPr="00937F46">
              <w:rPr>
                <w:sz w:val="20"/>
              </w:rPr>
              <w:t>1%</w:t>
            </w:r>
          </w:p>
        </w:tc>
        <w:tc>
          <w:tcPr>
            <w:tcW w:w="696" w:type="dxa"/>
          </w:tcPr>
          <w:p w:rsidR="007A6268" w:rsidRPr="00937F46" w:rsidRDefault="007A6268" w:rsidP="00D02664">
            <w:pPr>
              <w:spacing w:after="60"/>
              <w:jc w:val="right"/>
              <w:rPr>
                <w:sz w:val="20"/>
              </w:rPr>
            </w:pPr>
            <w:r w:rsidRPr="00937F46">
              <w:rPr>
                <w:sz w:val="20"/>
              </w:rPr>
              <w:t>0%</w:t>
            </w:r>
          </w:p>
        </w:tc>
      </w:tr>
      <w:tr w:rsidR="007A6268" w:rsidRPr="00937F46" w:rsidTr="00CE1FB5">
        <w:tblPrEx>
          <w:tblCellMar>
            <w:top w:w="0" w:type="dxa"/>
            <w:bottom w:w="0" w:type="dxa"/>
          </w:tblCellMar>
        </w:tblPrEx>
        <w:trPr>
          <w:trHeight w:val="216"/>
        </w:trPr>
        <w:tc>
          <w:tcPr>
            <w:tcW w:w="2160" w:type="dxa"/>
            <w:tcBorders>
              <w:bottom w:val="nil"/>
            </w:tcBorders>
          </w:tcPr>
          <w:p w:rsidR="007A6268" w:rsidRPr="00937F46" w:rsidRDefault="007A6268" w:rsidP="00D02664">
            <w:pPr>
              <w:spacing w:after="60"/>
              <w:rPr>
                <w:snapToGrid w:val="0"/>
                <w:color w:val="000000"/>
                <w:sz w:val="20"/>
              </w:rPr>
            </w:pPr>
            <w:r w:rsidRPr="00937F46">
              <w:rPr>
                <w:snapToGrid w:val="0"/>
                <w:color w:val="000000"/>
                <w:sz w:val="20"/>
              </w:rPr>
              <w:t>137g</w:t>
            </w:r>
          </w:p>
        </w:tc>
        <w:tc>
          <w:tcPr>
            <w:tcW w:w="654" w:type="dxa"/>
            <w:tcBorders>
              <w:bottom w:val="nil"/>
            </w:tcBorders>
          </w:tcPr>
          <w:p w:rsidR="007A6268" w:rsidRPr="00937F46" w:rsidRDefault="007A6268" w:rsidP="00D02664">
            <w:pPr>
              <w:spacing w:after="60"/>
              <w:jc w:val="right"/>
              <w:rPr>
                <w:sz w:val="20"/>
              </w:rPr>
            </w:pPr>
            <w:r w:rsidRPr="00937F46">
              <w:rPr>
                <w:sz w:val="20"/>
              </w:rPr>
              <w:t>13</w:t>
            </w:r>
          </w:p>
        </w:tc>
        <w:tc>
          <w:tcPr>
            <w:tcW w:w="655" w:type="dxa"/>
            <w:tcBorders>
              <w:bottom w:val="nil"/>
            </w:tcBorders>
          </w:tcPr>
          <w:p w:rsidR="007A6268" w:rsidRPr="00937F46" w:rsidRDefault="007A6268" w:rsidP="00D02664">
            <w:pPr>
              <w:spacing w:after="60"/>
              <w:jc w:val="right"/>
              <w:rPr>
                <w:sz w:val="20"/>
              </w:rPr>
            </w:pPr>
            <w:r w:rsidRPr="00937F46">
              <w:rPr>
                <w:sz w:val="20"/>
              </w:rPr>
              <w:t>20</w:t>
            </w:r>
          </w:p>
        </w:tc>
        <w:tc>
          <w:tcPr>
            <w:tcW w:w="654" w:type="dxa"/>
            <w:tcBorders>
              <w:bottom w:val="nil"/>
            </w:tcBorders>
          </w:tcPr>
          <w:p w:rsidR="007A6268" w:rsidRPr="00937F46" w:rsidRDefault="007A6268" w:rsidP="00D02664">
            <w:pPr>
              <w:spacing w:after="60"/>
              <w:jc w:val="right"/>
              <w:rPr>
                <w:sz w:val="20"/>
              </w:rPr>
            </w:pPr>
            <w:r w:rsidRPr="00937F46">
              <w:rPr>
                <w:sz w:val="20"/>
              </w:rPr>
              <w:t>5</w:t>
            </w:r>
          </w:p>
        </w:tc>
        <w:tc>
          <w:tcPr>
            <w:tcW w:w="655" w:type="dxa"/>
            <w:tcBorders>
              <w:bottom w:val="nil"/>
            </w:tcBorders>
          </w:tcPr>
          <w:p w:rsidR="007A6268" w:rsidRPr="00937F46" w:rsidRDefault="007A6268" w:rsidP="00D02664">
            <w:pPr>
              <w:spacing w:after="60"/>
              <w:jc w:val="right"/>
              <w:rPr>
                <w:sz w:val="20"/>
              </w:rPr>
            </w:pPr>
            <w:r w:rsidRPr="00937F46">
              <w:rPr>
                <w:sz w:val="20"/>
              </w:rPr>
              <w:t>3</w:t>
            </w:r>
          </w:p>
        </w:tc>
        <w:tc>
          <w:tcPr>
            <w:tcW w:w="654" w:type="dxa"/>
            <w:tcBorders>
              <w:bottom w:val="nil"/>
              <w:right w:val="single" w:sz="4" w:space="0" w:color="auto"/>
            </w:tcBorders>
          </w:tcPr>
          <w:p w:rsidR="007A6268" w:rsidRPr="00937F46" w:rsidRDefault="007A6268" w:rsidP="00D02664">
            <w:pPr>
              <w:spacing w:after="60"/>
              <w:jc w:val="right"/>
              <w:rPr>
                <w:sz w:val="20"/>
              </w:rPr>
            </w:pPr>
            <w:r w:rsidRPr="00937F46">
              <w:rPr>
                <w:sz w:val="20"/>
              </w:rPr>
              <w:t>19</w:t>
            </w:r>
          </w:p>
        </w:tc>
        <w:tc>
          <w:tcPr>
            <w:tcW w:w="448" w:type="dxa"/>
            <w:tcBorders>
              <w:top w:val="nil"/>
              <w:left w:val="single" w:sz="4" w:space="0" w:color="auto"/>
              <w:bottom w:val="nil"/>
              <w:right w:val="single" w:sz="4" w:space="0" w:color="auto"/>
            </w:tcBorders>
          </w:tcPr>
          <w:p w:rsidR="007A6268" w:rsidRPr="00937F46" w:rsidRDefault="007A6268" w:rsidP="00D02664">
            <w:pPr>
              <w:spacing w:after="60"/>
              <w:jc w:val="right"/>
              <w:rPr>
                <w:sz w:val="20"/>
              </w:rPr>
            </w:pPr>
          </w:p>
        </w:tc>
        <w:tc>
          <w:tcPr>
            <w:tcW w:w="696" w:type="dxa"/>
            <w:tcBorders>
              <w:left w:val="single" w:sz="4" w:space="0" w:color="auto"/>
              <w:bottom w:val="nil"/>
            </w:tcBorders>
          </w:tcPr>
          <w:p w:rsidR="007A6268" w:rsidRPr="00937F46" w:rsidRDefault="007A6268" w:rsidP="00D02664">
            <w:pPr>
              <w:spacing w:after="60"/>
              <w:jc w:val="right"/>
              <w:rPr>
                <w:sz w:val="20"/>
              </w:rPr>
            </w:pPr>
            <w:r w:rsidRPr="00937F46">
              <w:rPr>
                <w:sz w:val="20"/>
              </w:rPr>
              <w:t>5%</w:t>
            </w:r>
          </w:p>
        </w:tc>
        <w:tc>
          <w:tcPr>
            <w:tcW w:w="696" w:type="dxa"/>
            <w:tcBorders>
              <w:bottom w:val="nil"/>
            </w:tcBorders>
          </w:tcPr>
          <w:p w:rsidR="007A6268" w:rsidRPr="00937F46" w:rsidRDefault="007A6268" w:rsidP="00D02664">
            <w:pPr>
              <w:spacing w:after="60"/>
              <w:jc w:val="right"/>
              <w:rPr>
                <w:sz w:val="20"/>
              </w:rPr>
            </w:pPr>
            <w:r w:rsidRPr="00937F46">
              <w:rPr>
                <w:sz w:val="20"/>
              </w:rPr>
              <w:t>8%</w:t>
            </w:r>
          </w:p>
        </w:tc>
        <w:tc>
          <w:tcPr>
            <w:tcW w:w="696" w:type="dxa"/>
            <w:tcBorders>
              <w:bottom w:val="nil"/>
            </w:tcBorders>
          </w:tcPr>
          <w:p w:rsidR="007A6268" w:rsidRPr="00937F46" w:rsidRDefault="007A6268" w:rsidP="00D02664">
            <w:pPr>
              <w:spacing w:after="60"/>
              <w:jc w:val="right"/>
              <w:rPr>
                <w:sz w:val="20"/>
              </w:rPr>
            </w:pPr>
            <w:r w:rsidRPr="00937F46">
              <w:rPr>
                <w:sz w:val="20"/>
              </w:rPr>
              <w:t>2%</w:t>
            </w:r>
          </w:p>
        </w:tc>
        <w:tc>
          <w:tcPr>
            <w:tcW w:w="696" w:type="dxa"/>
            <w:tcBorders>
              <w:bottom w:val="nil"/>
            </w:tcBorders>
          </w:tcPr>
          <w:p w:rsidR="007A6268" w:rsidRPr="00937F46" w:rsidRDefault="007A6268" w:rsidP="00D02664">
            <w:pPr>
              <w:spacing w:after="60"/>
              <w:jc w:val="right"/>
              <w:rPr>
                <w:sz w:val="20"/>
              </w:rPr>
            </w:pPr>
            <w:r w:rsidRPr="00937F46">
              <w:rPr>
                <w:sz w:val="20"/>
              </w:rPr>
              <w:t>1%</w:t>
            </w:r>
          </w:p>
        </w:tc>
        <w:tc>
          <w:tcPr>
            <w:tcW w:w="696" w:type="dxa"/>
            <w:tcBorders>
              <w:bottom w:val="nil"/>
            </w:tcBorders>
          </w:tcPr>
          <w:p w:rsidR="007A6268" w:rsidRPr="00937F46" w:rsidRDefault="007A6268" w:rsidP="00D02664">
            <w:pPr>
              <w:spacing w:after="60"/>
              <w:jc w:val="right"/>
              <w:rPr>
                <w:sz w:val="20"/>
              </w:rPr>
            </w:pPr>
            <w:r w:rsidRPr="00937F46">
              <w:rPr>
                <w:sz w:val="20"/>
              </w:rPr>
              <w:t>6%</w:t>
            </w:r>
          </w:p>
        </w:tc>
      </w:tr>
      <w:tr w:rsidR="007A6268" w:rsidRPr="00937F46" w:rsidTr="00CE1FB5">
        <w:tblPrEx>
          <w:tblCellMar>
            <w:top w:w="0" w:type="dxa"/>
            <w:bottom w:w="0" w:type="dxa"/>
          </w:tblCellMar>
        </w:tblPrEx>
        <w:trPr>
          <w:trHeight w:val="216"/>
        </w:trPr>
        <w:tc>
          <w:tcPr>
            <w:tcW w:w="2160" w:type="dxa"/>
            <w:tcBorders>
              <w:top w:val="nil"/>
              <w:bottom w:val="single" w:sz="4" w:space="0" w:color="auto"/>
            </w:tcBorders>
          </w:tcPr>
          <w:p w:rsidR="007A6268" w:rsidRPr="00937F46" w:rsidRDefault="007A6268" w:rsidP="00D02664">
            <w:pPr>
              <w:spacing w:after="60"/>
              <w:rPr>
                <w:snapToGrid w:val="0"/>
                <w:color w:val="000000"/>
                <w:sz w:val="20"/>
              </w:rPr>
            </w:pPr>
            <w:r w:rsidRPr="00937F46">
              <w:rPr>
                <w:snapToGrid w:val="0"/>
                <w:color w:val="000000"/>
                <w:sz w:val="20"/>
              </w:rPr>
              <w:t>429quater</w:t>
            </w:r>
          </w:p>
        </w:tc>
        <w:tc>
          <w:tcPr>
            <w:tcW w:w="654" w:type="dxa"/>
            <w:tcBorders>
              <w:top w:val="nil"/>
              <w:bottom w:val="single" w:sz="4" w:space="0" w:color="auto"/>
            </w:tcBorders>
          </w:tcPr>
          <w:p w:rsidR="007A6268" w:rsidRPr="00937F46" w:rsidRDefault="007A6268" w:rsidP="00D02664">
            <w:pPr>
              <w:spacing w:after="60"/>
              <w:jc w:val="right"/>
              <w:rPr>
                <w:sz w:val="20"/>
              </w:rPr>
            </w:pPr>
            <w:r w:rsidRPr="00937F46">
              <w:rPr>
                <w:sz w:val="20"/>
              </w:rPr>
              <w:t>4</w:t>
            </w:r>
          </w:p>
        </w:tc>
        <w:tc>
          <w:tcPr>
            <w:tcW w:w="655" w:type="dxa"/>
            <w:tcBorders>
              <w:top w:val="nil"/>
              <w:bottom w:val="single" w:sz="4" w:space="0" w:color="auto"/>
            </w:tcBorders>
          </w:tcPr>
          <w:p w:rsidR="007A6268" w:rsidRPr="00937F46" w:rsidRDefault="007A6268" w:rsidP="00D02664">
            <w:pPr>
              <w:spacing w:after="60"/>
              <w:jc w:val="right"/>
              <w:rPr>
                <w:sz w:val="20"/>
              </w:rPr>
            </w:pPr>
            <w:r w:rsidRPr="00937F46">
              <w:rPr>
                <w:sz w:val="20"/>
              </w:rPr>
              <w:t>0</w:t>
            </w:r>
          </w:p>
        </w:tc>
        <w:tc>
          <w:tcPr>
            <w:tcW w:w="654" w:type="dxa"/>
            <w:tcBorders>
              <w:top w:val="nil"/>
              <w:bottom w:val="single" w:sz="4" w:space="0" w:color="auto"/>
            </w:tcBorders>
          </w:tcPr>
          <w:p w:rsidR="007A6268" w:rsidRPr="00937F46" w:rsidRDefault="007A6268" w:rsidP="00D02664">
            <w:pPr>
              <w:spacing w:after="60"/>
              <w:jc w:val="right"/>
              <w:rPr>
                <w:sz w:val="20"/>
              </w:rPr>
            </w:pPr>
            <w:r w:rsidRPr="00937F46">
              <w:rPr>
                <w:sz w:val="20"/>
              </w:rPr>
              <w:t>1</w:t>
            </w:r>
          </w:p>
        </w:tc>
        <w:tc>
          <w:tcPr>
            <w:tcW w:w="655" w:type="dxa"/>
            <w:tcBorders>
              <w:top w:val="nil"/>
              <w:bottom w:val="single" w:sz="4" w:space="0" w:color="auto"/>
            </w:tcBorders>
          </w:tcPr>
          <w:p w:rsidR="007A6268" w:rsidRPr="00937F46" w:rsidRDefault="007A6268" w:rsidP="00D02664">
            <w:pPr>
              <w:spacing w:after="60"/>
              <w:jc w:val="right"/>
              <w:rPr>
                <w:sz w:val="20"/>
              </w:rPr>
            </w:pPr>
            <w:r w:rsidRPr="00937F46">
              <w:rPr>
                <w:sz w:val="20"/>
              </w:rPr>
              <w:t>7</w:t>
            </w:r>
          </w:p>
        </w:tc>
        <w:tc>
          <w:tcPr>
            <w:tcW w:w="654" w:type="dxa"/>
            <w:tcBorders>
              <w:top w:val="nil"/>
              <w:bottom w:val="single" w:sz="4" w:space="0" w:color="auto"/>
              <w:right w:val="single" w:sz="4" w:space="0" w:color="auto"/>
            </w:tcBorders>
          </w:tcPr>
          <w:p w:rsidR="007A6268" w:rsidRPr="00937F46" w:rsidRDefault="007A6268" w:rsidP="00D02664">
            <w:pPr>
              <w:spacing w:after="60"/>
              <w:jc w:val="right"/>
              <w:rPr>
                <w:sz w:val="20"/>
              </w:rPr>
            </w:pPr>
            <w:r w:rsidRPr="00937F46">
              <w:rPr>
                <w:sz w:val="20"/>
              </w:rPr>
              <w:t>6</w:t>
            </w:r>
          </w:p>
        </w:tc>
        <w:tc>
          <w:tcPr>
            <w:tcW w:w="448" w:type="dxa"/>
            <w:tcBorders>
              <w:top w:val="nil"/>
              <w:left w:val="single" w:sz="4" w:space="0" w:color="auto"/>
              <w:bottom w:val="nil"/>
              <w:right w:val="single" w:sz="4" w:space="0" w:color="auto"/>
            </w:tcBorders>
          </w:tcPr>
          <w:p w:rsidR="007A6268" w:rsidRPr="00937F46" w:rsidRDefault="007A6268" w:rsidP="00D02664">
            <w:pPr>
              <w:spacing w:after="60"/>
              <w:jc w:val="right"/>
              <w:rPr>
                <w:sz w:val="20"/>
              </w:rPr>
            </w:pPr>
          </w:p>
        </w:tc>
        <w:tc>
          <w:tcPr>
            <w:tcW w:w="696" w:type="dxa"/>
            <w:tcBorders>
              <w:top w:val="nil"/>
              <w:left w:val="single" w:sz="4" w:space="0" w:color="auto"/>
              <w:bottom w:val="single" w:sz="4" w:space="0" w:color="auto"/>
            </w:tcBorders>
          </w:tcPr>
          <w:p w:rsidR="007A6268" w:rsidRPr="00937F46" w:rsidRDefault="007A6268" w:rsidP="00D02664">
            <w:pPr>
              <w:spacing w:after="60"/>
              <w:jc w:val="right"/>
              <w:rPr>
                <w:sz w:val="20"/>
              </w:rPr>
            </w:pPr>
            <w:r w:rsidRPr="00937F46">
              <w:rPr>
                <w:sz w:val="20"/>
              </w:rPr>
              <w:t>1%</w:t>
            </w:r>
          </w:p>
        </w:tc>
        <w:tc>
          <w:tcPr>
            <w:tcW w:w="696" w:type="dxa"/>
            <w:tcBorders>
              <w:top w:val="nil"/>
              <w:bottom w:val="single" w:sz="4" w:space="0" w:color="auto"/>
            </w:tcBorders>
          </w:tcPr>
          <w:p w:rsidR="007A6268" w:rsidRPr="00937F46" w:rsidRDefault="007A6268" w:rsidP="00D02664">
            <w:pPr>
              <w:spacing w:after="60"/>
              <w:jc w:val="right"/>
              <w:rPr>
                <w:sz w:val="20"/>
              </w:rPr>
            </w:pPr>
            <w:r w:rsidRPr="00937F46">
              <w:rPr>
                <w:sz w:val="20"/>
              </w:rPr>
              <w:t>0%</w:t>
            </w:r>
          </w:p>
        </w:tc>
        <w:tc>
          <w:tcPr>
            <w:tcW w:w="696" w:type="dxa"/>
            <w:tcBorders>
              <w:top w:val="nil"/>
              <w:bottom w:val="single" w:sz="4" w:space="0" w:color="auto"/>
            </w:tcBorders>
          </w:tcPr>
          <w:p w:rsidR="007A6268" w:rsidRPr="00937F46" w:rsidRDefault="007A6268" w:rsidP="00D02664">
            <w:pPr>
              <w:spacing w:after="60"/>
              <w:jc w:val="right"/>
              <w:rPr>
                <w:sz w:val="20"/>
              </w:rPr>
            </w:pPr>
            <w:r w:rsidRPr="00937F46">
              <w:rPr>
                <w:sz w:val="20"/>
              </w:rPr>
              <w:t>0%</w:t>
            </w:r>
          </w:p>
        </w:tc>
        <w:tc>
          <w:tcPr>
            <w:tcW w:w="696" w:type="dxa"/>
            <w:tcBorders>
              <w:top w:val="nil"/>
              <w:bottom w:val="single" w:sz="4" w:space="0" w:color="auto"/>
            </w:tcBorders>
          </w:tcPr>
          <w:p w:rsidR="007A6268" w:rsidRPr="00937F46" w:rsidRDefault="007A6268" w:rsidP="00D02664">
            <w:pPr>
              <w:spacing w:after="60"/>
              <w:jc w:val="right"/>
              <w:rPr>
                <w:sz w:val="20"/>
              </w:rPr>
            </w:pPr>
            <w:r w:rsidRPr="00937F46">
              <w:rPr>
                <w:sz w:val="20"/>
              </w:rPr>
              <w:t>3%</w:t>
            </w:r>
          </w:p>
        </w:tc>
        <w:tc>
          <w:tcPr>
            <w:tcW w:w="696" w:type="dxa"/>
            <w:tcBorders>
              <w:top w:val="nil"/>
              <w:bottom w:val="single" w:sz="4" w:space="0" w:color="auto"/>
            </w:tcBorders>
          </w:tcPr>
          <w:p w:rsidR="007A6268" w:rsidRPr="00937F46" w:rsidRDefault="007A6268" w:rsidP="00D02664">
            <w:pPr>
              <w:spacing w:after="60"/>
              <w:jc w:val="right"/>
              <w:rPr>
                <w:sz w:val="20"/>
              </w:rPr>
            </w:pPr>
            <w:r w:rsidRPr="00937F46">
              <w:rPr>
                <w:sz w:val="20"/>
              </w:rPr>
              <w:t>2%</w:t>
            </w:r>
          </w:p>
        </w:tc>
      </w:tr>
      <w:tr w:rsidR="007A6268" w:rsidRPr="00937F46" w:rsidTr="00CE1FB5">
        <w:tblPrEx>
          <w:tblCellMar>
            <w:top w:w="0" w:type="dxa"/>
            <w:bottom w:w="0" w:type="dxa"/>
          </w:tblCellMar>
        </w:tblPrEx>
        <w:trPr>
          <w:trHeight w:val="216"/>
        </w:trPr>
        <w:tc>
          <w:tcPr>
            <w:tcW w:w="2160" w:type="dxa"/>
            <w:tcBorders>
              <w:top w:val="single" w:sz="4" w:space="0" w:color="auto"/>
            </w:tcBorders>
          </w:tcPr>
          <w:p w:rsidR="007A6268" w:rsidRPr="00937F46" w:rsidRDefault="007A6268" w:rsidP="00D02664">
            <w:pPr>
              <w:spacing w:after="60"/>
              <w:rPr>
                <w:snapToGrid w:val="0"/>
                <w:color w:val="000000"/>
                <w:sz w:val="20"/>
              </w:rPr>
            </w:pPr>
            <w:r w:rsidRPr="00937F46">
              <w:rPr>
                <w:snapToGrid w:val="0"/>
                <w:color w:val="000000"/>
                <w:sz w:val="20"/>
              </w:rPr>
              <w:t xml:space="preserve">     Total</w:t>
            </w:r>
          </w:p>
        </w:tc>
        <w:tc>
          <w:tcPr>
            <w:tcW w:w="654" w:type="dxa"/>
            <w:tcBorders>
              <w:top w:val="single" w:sz="4" w:space="0" w:color="auto"/>
            </w:tcBorders>
          </w:tcPr>
          <w:p w:rsidR="007A6268" w:rsidRPr="00937F46" w:rsidRDefault="007A6268" w:rsidP="00D02664">
            <w:pPr>
              <w:spacing w:after="60"/>
              <w:jc w:val="right"/>
              <w:rPr>
                <w:sz w:val="20"/>
              </w:rPr>
            </w:pPr>
            <w:r w:rsidRPr="00937F46">
              <w:rPr>
                <w:sz w:val="20"/>
              </w:rPr>
              <w:t>281</w:t>
            </w:r>
          </w:p>
        </w:tc>
        <w:tc>
          <w:tcPr>
            <w:tcW w:w="655" w:type="dxa"/>
            <w:tcBorders>
              <w:top w:val="single" w:sz="4" w:space="0" w:color="auto"/>
            </w:tcBorders>
          </w:tcPr>
          <w:p w:rsidR="007A6268" w:rsidRPr="00937F46" w:rsidRDefault="007A6268" w:rsidP="00D02664">
            <w:pPr>
              <w:spacing w:after="60"/>
              <w:jc w:val="right"/>
              <w:rPr>
                <w:sz w:val="20"/>
              </w:rPr>
            </w:pPr>
            <w:r w:rsidRPr="00937F46">
              <w:rPr>
                <w:sz w:val="20"/>
              </w:rPr>
              <w:t>236</w:t>
            </w:r>
          </w:p>
        </w:tc>
        <w:tc>
          <w:tcPr>
            <w:tcW w:w="654" w:type="dxa"/>
            <w:tcBorders>
              <w:top w:val="single" w:sz="4" w:space="0" w:color="auto"/>
            </w:tcBorders>
          </w:tcPr>
          <w:p w:rsidR="007A6268" w:rsidRPr="00937F46" w:rsidRDefault="007A6268" w:rsidP="00D02664">
            <w:pPr>
              <w:spacing w:after="60"/>
              <w:jc w:val="right"/>
              <w:rPr>
                <w:sz w:val="20"/>
              </w:rPr>
            </w:pPr>
            <w:r w:rsidRPr="00937F46">
              <w:rPr>
                <w:sz w:val="20"/>
              </w:rPr>
              <w:t>223</w:t>
            </w:r>
          </w:p>
        </w:tc>
        <w:tc>
          <w:tcPr>
            <w:tcW w:w="655" w:type="dxa"/>
            <w:tcBorders>
              <w:top w:val="single" w:sz="4" w:space="0" w:color="auto"/>
            </w:tcBorders>
          </w:tcPr>
          <w:p w:rsidR="007A6268" w:rsidRPr="00937F46" w:rsidRDefault="007A6268" w:rsidP="00D02664">
            <w:pPr>
              <w:spacing w:after="60"/>
              <w:jc w:val="right"/>
              <w:rPr>
                <w:sz w:val="20"/>
              </w:rPr>
            </w:pPr>
            <w:r w:rsidRPr="00937F46">
              <w:rPr>
                <w:sz w:val="20"/>
              </w:rPr>
              <w:t>250</w:t>
            </w:r>
          </w:p>
        </w:tc>
        <w:tc>
          <w:tcPr>
            <w:tcW w:w="654" w:type="dxa"/>
            <w:tcBorders>
              <w:top w:val="single" w:sz="4" w:space="0" w:color="auto"/>
              <w:bottom w:val="single" w:sz="4" w:space="0" w:color="auto"/>
              <w:right w:val="single" w:sz="4" w:space="0" w:color="auto"/>
            </w:tcBorders>
          </w:tcPr>
          <w:p w:rsidR="007A6268" w:rsidRPr="00937F46" w:rsidRDefault="007A6268" w:rsidP="00D02664">
            <w:pPr>
              <w:spacing w:after="60"/>
              <w:jc w:val="right"/>
              <w:rPr>
                <w:sz w:val="20"/>
              </w:rPr>
            </w:pPr>
            <w:r w:rsidRPr="00937F46">
              <w:rPr>
                <w:sz w:val="20"/>
              </w:rPr>
              <w:t>308</w:t>
            </w:r>
          </w:p>
        </w:tc>
        <w:tc>
          <w:tcPr>
            <w:tcW w:w="448" w:type="dxa"/>
            <w:tcBorders>
              <w:top w:val="nil"/>
              <w:left w:val="single" w:sz="4" w:space="0" w:color="auto"/>
              <w:bottom w:val="nil"/>
              <w:right w:val="single" w:sz="4" w:space="0" w:color="auto"/>
            </w:tcBorders>
          </w:tcPr>
          <w:p w:rsidR="007A6268" w:rsidRPr="00937F46" w:rsidRDefault="007A6268" w:rsidP="00D02664">
            <w:pPr>
              <w:spacing w:after="60"/>
              <w:jc w:val="right"/>
              <w:rPr>
                <w:sz w:val="20"/>
              </w:rPr>
            </w:pPr>
          </w:p>
        </w:tc>
        <w:tc>
          <w:tcPr>
            <w:tcW w:w="696" w:type="dxa"/>
            <w:tcBorders>
              <w:top w:val="single" w:sz="4" w:space="0" w:color="auto"/>
              <w:left w:val="single" w:sz="4" w:space="0" w:color="auto"/>
              <w:bottom w:val="single" w:sz="4" w:space="0" w:color="auto"/>
            </w:tcBorders>
          </w:tcPr>
          <w:p w:rsidR="007A6268" w:rsidRPr="00937F46" w:rsidRDefault="007A6268" w:rsidP="00D02664">
            <w:pPr>
              <w:spacing w:after="60"/>
              <w:jc w:val="right"/>
              <w:rPr>
                <w:sz w:val="20"/>
              </w:rPr>
            </w:pPr>
            <w:r w:rsidRPr="00937F46">
              <w:rPr>
                <w:sz w:val="20"/>
              </w:rPr>
              <w:t>100%</w:t>
            </w:r>
          </w:p>
        </w:tc>
        <w:tc>
          <w:tcPr>
            <w:tcW w:w="696" w:type="dxa"/>
            <w:tcBorders>
              <w:top w:val="single" w:sz="4" w:space="0" w:color="auto"/>
            </w:tcBorders>
          </w:tcPr>
          <w:p w:rsidR="007A6268" w:rsidRPr="00937F46" w:rsidRDefault="007A6268" w:rsidP="00D02664">
            <w:pPr>
              <w:spacing w:after="60"/>
              <w:jc w:val="right"/>
              <w:rPr>
                <w:sz w:val="20"/>
              </w:rPr>
            </w:pPr>
            <w:r w:rsidRPr="00937F46">
              <w:rPr>
                <w:sz w:val="20"/>
              </w:rPr>
              <w:t>100%</w:t>
            </w:r>
          </w:p>
        </w:tc>
        <w:tc>
          <w:tcPr>
            <w:tcW w:w="696" w:type="dxa"/>
            <w:tcBorders>
              <w:top w:val="single" w:sz="4" w:space="0" w:color="auto"/>
            </w:tcBorders>
          </w:tcPr>
          <w:p w:rsidR="007A6268" w:rsidRPr="00937F46" w:rsidRDefault="007A6268" w:rsidP="00D02664">
            <w:pPr>
              <w:spacing w:after="60"/>
              <w:jc w:val="right"/>
              <w:rPr>
                <w:sz w:val="20"/>
              </w:rPr>
            </w:pPr>
            <w:r w:rsidRPr="00937F46">
              <w:rPr>
                <w:sz w:val="20"/>
              </w:rPr>
              <w:t>100%</w:t>
            </w:r>
          </w:p>
        </w:tc>
        <w:tc>
          <w:tcPr>
            <w:tcW w:w="696" w:type="dxa"/>
            <w:tcBorders>
              <w:top w:val="single" w:sz="4" w:space="0" w:color="auto"/>
            </w:tcBorders>
          </w:tcPr>
          <w:p w:rsidR="007A6268" w:rsidRPr="00937F46" w:rsidRDefault="007A6268" w:rsidP="00D02664">
            <w:pPr>
              <w:spacing w:after="60"/>
              <w:jc w:val="right"/>
              <w:rPr>
                <w:sz w:val="20"/>
              </w:rPr>
            </w:pPr>
            <w:r w:rsidRPr="00937F46">
              <w:rPr>
                <w:sz w:val="20"/>
              </w:rPr>
              <w:t>100%</w:t>
            </w:r>
          </w:p>
        </w:tc>
        <w:tc>
          <w:tcPr>
            <w:tcW w:w="696" w:type="dxa"/>
            <w:tcBorders>
              <w:top w:val="single" w:sz="4" w:space="0" w:color="auto"/>
            </w:tcBorders>
          </w:tcPr>
          <w:p w:rsidR="007A6268" w:rsidRPr="00937F46" w:rsidRDefault="007A6268" w:rsidP="00D02664">
            <w:pPr>
              <w:spacing w:after="60"/>
              <w:jc w:val="right"/>
              <w:rPr>
                <w:sz w:val="20"/>
              </w:rPr>
            </w:pPr>
            <w:r w:rsidRPr="00937F46">
              <w:rPr>
                <w:sz w:val="20"/>
              </w:rPr>
              <w:t>100%</w:t>
            </w:r>
          </w:p>
        </w:tc>
      </w:tr>
    </w:tbl>
    <w:p w:rsidR="00E0446E" w:rsidRPr="00581181" w:rsidRDefault="00E0446E" w:rsidP="009B2B8B">
      <w:pPr>
        <w:pStyle w:val="Heading4"/>
        <w:spacing w:before="240"/>
      </w:pPr>
      <w:r w:rsidRPr="00581181">
        <w:t>Cases disposed of by the courts</w:t>
      </w:r>
    </w:p>
    <w:p w:rsidR="00E0446E" w:rsidRPr="00581181" w:rsidRDefault="00E0446E" w:rsidP="003C1FA9">
      <w:r w:rsidRPr="00581181">
        <w:t>154.</w:t>
      </w:r>
      <w:r w:rsidRPr="00581181">
        <w:tab/>
        <w:t>The courts disposed of 118 cases involving charges of discrimination in 2002, 128 in</w:t>
      </w:r>
      <w:r w:rsidR="00EE65BA">
        <w:t> </w:t>
      </w:r>
      <w:r w:rsidRPr="00581181">
        <w:t>2003,</w:t>
      </w:r>
      <w:r w:rsidR="00EE65BA">
        <w:t> </w:t>
      </w:r>
      <w:r w:rsidRPr="00581181">
        <w:t>125 in 2004, 148 in 2005 and 186 in 2006. In this connection, it should be remembered that the accused may have been charged with other offences besides discrimination, as can be seen from the following examples.</w:t>
      </w:r>
    </w:p>
    <w:p w:rsidR="00E0446E" w:rsidRPr="00581181" w:rsidRDefault="006C045D" w:rsidP="00D02664">
      <w:pPr>
        <w:spacing w:after="180"/>
      </w:pPr>
      <w:r>
        <w:br w:type="page"/>
      </w:r>
      <w:r w:rsidR="00AF2DC4">
        <w:tab/>
      </w:r>
      <w:r w:rsidR="00E0446E" w:rsidRPr="00581181">
        <w:t>(a)</w:t>
      </w:r>
      <w:r w:rsidR="00E0446E" w:rsidRPr="00581181">
        <w:tab/>
        <w:t>In the 118 cases disposed of in 2002, the accused was found guilty in 96</w:t>
      </w:r>
      <w:r w:rsidR="00FD57C9">
        <w:t> </w:t>
      </w:r>
      <w:r w:rsidR="00E0446E" w:rsidRPr="00581181">
        <w:t>cases</w:t>
      </w:r>
      <w:r w:rsidR="00FD57C9">
        <w:t> </w:t>
      </w:r>
      <w:r w:rsidR="00E0446E" w:rsidRPr="00581181">
        <w:t>and</w:t>
      </w:r>
      <w:r w:rsidR="00FD57C9">
        <w:t> </w:t>
      </w:r>
      <w:r w:rsidR="00E0446E" w:rsidRPr="00581181">
        <w:t>acquitted in 15; in 1 case the Public Prosecution Service</w:t>
      </w:r>
      <w:r w:rsidR="009B7745">
        <w:t>’</w:t>
      </w:r>
      <w:r w:rsidR="00E0446E" w:rsidRPr="00581181">
        <w:t>s case was declared</w:t>
      </w:r>
      <w:r w:rsidR="00FD57C9">
        <w:t> </w:t>
      </w:r>
      <w:r w:rsidR="00E0446E" w:rsidRPr="00581181">
        <w:t xml:space="preserve">inadmissible, and in another the notice of summons and </w:t>
      </w:r>
      <w:r w:rsidR="00E434A2">
        <w:t>accusation was declared invalid;</w:t>
      </w:r>
    </w:p>
    <w:p w:rsidR="00E0446E" w:rsidRPr="00581181" w:rsidRDefault="00AF2DC4" w:rsidP="00D02664">
      <w:pPr>
        <w:spacing w:after="180"/>
      </w:pPr>
      <w:r>
        <w:tab/>
      </w:r>
      <w:r w:rsidR="00E0446E" w:rsidRPr="00581181">
        <w:t>(b)</w:t>
      </w:r>
      <w:r w:rsidR="00E0446E" w:rsidRPr="00581181">
        <w:tab/>
        <w:t>In 2003, the accused was found guilty in 111 cases and acquitted in 12; in 1 case the Public Prosecution Service</w:t>
      </w:r>
      <w:r w:rsidR="009B7745">
        <w:t>’</w:t>
      </w:r>
      <w:r w:rsidR="00E0446E" w:rsidRPr="00581181">
        <w:t>s</w:t>
      </w:r>
      <w:r w:rsidR="00E434A2">
        <w:t xml:space="preserve"> case was declared inadmissible;</w:t>
      </w:r>
    </w:p>
    <w:p w:rsidR="00E0446E" w:rsidRPr="00581181" w:rsidRDefault="00AF2DC4" w:rsidP="00D02664">
      <w:pPr>
        <w:spacing w:after="180"/>
      </w:pPr>
      <w:r>
        <w:tab/>
      </w:r>
      <w:r w:rsidR="00E0446E" w:rsidRPr="00581181">
        <w:t>(c)</w:t>
      </w:r>
      <w:r w:rsidR="00E0446E" w:rsidRPr="00581181">
        <w:tab/>
        <w:t>In 2004, the accused was found guilty i</w:t>
      </w:r>
      <w:r w:rsidR="00E434A2">
        <w:t>n 112 cases and acquitted in 8;</w:t>
      </w:r>
    </w:p>
    <w:p w:rsidR="00E0446E" w:rsidRPr="00581181" w:rsidRDefault="002921C8" w:rsidP="00D02664">
      <w:pPr>
        <w:spacing w:after="180"/>
      </w:pPr>
      <w:r>
        <w:tab/>
      </w:r>
      <w:r w:rsidR="00E0446E" w:rsidRPr="00581181">
        <w:t>(d)</w:t>
      </w:r>
      <w:r w:rsidR="00E0446E" w:rsidRPr="00581181">
        <w:tab/>
        <w:t>In 2005, the accused was found guilty in</w:t>
      </w:r>
      <w:r w:rsidR="00E434A2">
        <w:t xml:space="preserve"> 132 cases and acquitted in 10;</w:t>
      </w:r>
    </w:p>
    <w:p w:rsidR="00EC2B8C" w:rsidRDefault="002921C8" w:rsidP="00D02664">
      <w:r>
        <w:tab/>
      </w:r>
      <w:r w:rsidR="00E0446E" w:rsidRPr="00581181">
        <w:t>(e)</w:t>
      </w:r>
      <w:r w:rsidR="00E0446E" w:rsidRPr="00581181">
        <w:tab/>
        <w:t>In 2006, the accused was found guilty in 157 cases and acquitted in 17; in 3 cases the notice of summons and accusation was declared invalid.</w:t>
      </w:r>
    </w:p>
    <w:p w:rsidR="00E0446E" w:rsidRDefault="00E0446E" w:rsidP="002921C8">
      <w:pPr>
        <w:pStyle w:val="Heading2"/>
      </w:pPr>
      <w:r w:rsidRPr="00581181">
        <w:t>Table 4</w:t>
      </w: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160"/>
        <w:gridCol w:w="654"/>
        <w:gridCol w:w="655"/>
        <w:gridCol w:w="654"/>
        <w:gridCol w:w="655"/>
        <w:gridCol w:w="654"/>
        <w:gridCol w:w="448"/>
        <w:gridCol w:w="696"/>
        <w:gridCol w:w="696"/>
        <w:gridCol w:w="696"/>
        <w:gridCol w:w="696"/>
        <w:gridCol w:w="696"/>
      </w:tblGrid>
      <w:tr w:rsidR="00D52895" w:rsidRPr="00C35BC0" w:rsidTr="00D52895">
        <w:tblPrEx>
          <w:tblCellMar>
            <w:top w:w="0" w:type="dxa"/>
            <w:bottom w:w="0" w:type="dxa"/>
          </w:tblCellMar>
        </w:tblPrEx>
        <w:trPr>
          <w:trHeight w:val="216"/>
          <w:tblHeader/>
        </w:trPr>
        <w:tc>
          <w:tcPr>
            <w:tcW w:w="2160" w:type="dxa"/>
            <w:vMerge w:val="restart"/>
            <w:vAlign w:val="center"/>
          </w:tcPr>
          <w:p w:rsidR="00D52895" w:rsidRPr="00C35BC0" w:rsidRDefault="00D52895" w:rsidP="00D02664">
            <w:pPr>
              <w:spacing w:after="40"/>
              <w:jc w:val="center"/>
              <w:rPr>
                <w:sz w:val="20"/>
              </w:rPr>
            </w:pPr>
            <w:r w:rsidRPr="00C35BC0">
              <w:rPr>
                <w:sz w:val="20"/>
              </w:rPr>
              <w:t>Disposal by the courts</w:t>
            </w:r>
          </w:p>
        </w:tc>
        <w:tc>
          <w:tcPr>
            <w:tcW w:w="654" w:type="dxa"/>
            <w:tcBorders>
              <w:bottom w:val="single" w:sz="4" w:space="0" w:color="auto"/>
            </w:tcBorders>
          </w:tcPr>
          <w:p w:rsidR="00D52895" w:rsidRPr="00C35BC0" w:rsidRDefault="00D52895" w:rsidP="00D02664">
            <w:pPr>
              <w:spacing w:after="40"/>
              <w:jc w:val="center"/>
              <w:rPr>
                <w:sz w:val="20"/>
              </w:rPr>
            </w:pPr>
            <w:r w:rsidRPr="00C35BC0">
              <w:rPr>
                <w:sz w:val="20"/>
              </w:rPr>
              <w:t>Year</w:t>
            </w:r>
          </w:p>
        </w:tc>
        <w:tc>
          <w:tcPr>
            <w:tcW w:w="655" w:type="dxa"/>
            <w:tcBorders>
              <w:bottom w:val="single" w:sz="4" w:space="0" w:color="auto"/>
            </w:tcBorders>
          </w:tcPr>
          <w:p w:rsidR="00D52895" w:rsidRPr="00C35BC0" w:rsidRDefault="00D52895" w:rsidP="00D02664">
            <w:pPr>
              <w:spacing w:after="40"/>
              <w:jc w:val="center"/>
              <w:rPr>
                <w:sz w:val="20"/>
              </w:rPr>
            </w:pPr>
            <w:r w:rsidRPr="00C35BC0">
              <w:rPr>
                <w:sz w:val="20"/>
              </w:rPr>
              <w:t>Year</w:t>
            </w:r>
          </w:p>
        </w:tc>
        <w:tc>
          <w:tcPr>
            <w:tcW w:w="654" w:type="dxa"/>
            <w:tcBorders>
              <w:bottom w:val="single" w:sz="4" w:space="0" w:color="auto"/>
            </w:tcBorders>
          </w:tcPr>
          <w:p w:rsidR="00D52895" w:rsidRPr="00C35BC0" w:rsidRDefault="00D52895" w:rsidP="00D02664">
            <w:pPr>
              <w:spacing w:after="40"/>
              <w:jc w:val="center"/>
              <w:rPr>
                <w:sz w:val="20"/>
              </w:rPr>
            </w:pPr>
            <w:r w:rsidRPr="00C35BC0">
              <w:rPr>
                <w:sz w:val="20"/>
              </w:rPr>
              <w:t>Year</w:t>
            </w:r>
          </w:p>
        </w:tc>
        <w:tc>
          <w:tcPr>
            <w:tcW w:w="655" w:type="dxa"/>
            <w:tcBorders>
              <w:bottom w:val="single" w:sz="4" w:space="0" w:color="auto"/>
            </w:tcBorders>
          </w:tcPr>
          <w:p w:rsidR="00D52895" w:rsidRPr="00C35BC0" w:rsidRDefault="00D52895" w:rsidP="00D02664">
            <w:pPr>
              <w:spacing w:after="40"/>
              <w:jc w:val="center"/>
              <w:rPr>
                <w:sz w:val="20"/>
              </w:rPr>
            </w:pPr>
            <w:r w:rsidRPr="00C35BC0">
              <w:rPr>
                <w:sz w:val="20"/>
              </w:rPr>
              <w:t>Year</w:t>
            </w:r>
          </w:p>
        </w:tc>
        <w:tc>
          <w:tcPr>
            <w:tcW w:w="654" w:type="dxa"/>
            <w:tcBorders>
              <w:top w:val="single" w:sz="4" w:space="0" w:color="auto"/>
              <w:bottom w:val="single" w:sz="4" w:space="0" w:color="auto"/>
              <w:right w:val="single" w:sz="4" w:space="0" w:color="auto"/>
            </w:tcBorders>
          </w:tcPr>
          <w:p w:rsidR="00D52895" w:rsidRPr="00C35BC0" w:rsidRDefault="00D52895" w:rsidP="00D02664">
            <w:pPr>
              <w:spacing w:after="40"/>
              <w:jc w:val="center"/>
              <w:rPr>
                <w:sz w:val="20"/>
              </w:rPr>
            </w:pPr>
            <w:r w:rsidRPr="00C35BC0">
              <w:rPr>
                <w:sz w:val="20"/>
              </w:rPr>
              <w:t>Year</w:t>
            </w:r>
          </w:p>
        </w:tc>
        <w:tc>
          <w:tcPr>
            <w:tcW w:w="448" w:type="dxa"/>
            <w:tcBorders>
              <w:top w:val="nil"/>
              <w:left w:val="single" w:sz="4" w:space="0" w:color="auto"/>
              <w:bottom w:val="nil"/>
              <w:right w:val="single" w:sz="4" w:space="0" w:color="auto"/>
            </w:tcBorders>
          </w:tcPr>
          <w:p w:rsidR="00D52895" w:rsidRPr="00C35BC0" w:rsidRDefault="00D52895" w:rsidP="00D02664">
            <w:pPr>
              <w:spacing w:after="40"/>
              <w:jc w:val="center"/>
              <w:rPr>
                <w:sz w:val="20"/>
              </w:rPr>
            </w:pPr>
          </w:p>
        </w:tc>
        <w:tc>
          <w:tcPr>
            <w:tcW w:w="696" w:type="dxa"/>
            <w:tcBorders>
              <w:top w:val="single" w:sz="4" w:space="0" w:color="auto"/>
              <w:left w:val="single" w:sz="4" w:space="0" w:color="auto"/>
              <w:bottom w:val="single" w:sz="4" w:space="0" w:color="auto"/>
            </w:tcBorders>
          </w:tcPr>
          <w:p w:rsidR="00D52895" w:rsidRPr="00C35BC0" w:rsidRDefault="00D52895" w:rsidP="00D02664">
            <w:pPr>
              <w:spacing w:after="40"/>
              <w:jc w:val="center"/>
              <w:rPr>
                <w:sz w:val="20"/>
              </w:rPr>
            </w:pPr>
            <w:r w:rsidRPr="00C35BC0">
              <w:rPr>
                <w:sz w:val="20"/>
              </w:rPr>
              <w:t>Year</w:t>
            </w:r>
          </w:p>
        </w:tc>
        <w:tc>
          <w:tcPr>
            <w:tcW w:w="696" w:type="dxa"/>
            <w:tcBorders>
              <w:bottom w:val="single" w:sz="4" w:space="0" w:color="auto"/>
            </w:tcBorders>
          </w:tcPr>
          <w:p w:rsidR="00D52895" w:rsidRPr="00C35BC0" w:rsidRDefault="00D52895" w:rsidP="00D02664">
            <w:pPr>
              <w:spacing w:after="40"/>
              <w:jc w:val="center"/>
              <w:rPr>
                <w:sz w:val="20"/>
              </w:rPr>
            </w:pPr>
            <w:r w:rsidRPr="00C35BC0">
              <w:rPr>
                <w:sz w:val="20"/>
              </w:rPr>
              <w:t>Year</w:t>
            </w:r>
          </w:p>
        </w:tc>
        <w:tc>
          <w:tcPr>
            <w:tcW w:w="696" w:type="dxa"/>
            <w:tcBorders>
              <w:bottom w:val="single" w:sz="4" w:space="0" w:color="auto"/>
            </w:tcBorders>
          </w:tcPr>
          <w:p w:rsidR="00D52895" w:rsidRPr="00C35BC0" w:rsidRDefault="00D52895" w:rsidP="00D02664">
            <w:pPr>
              <w:spacing w:after="40"/>
              <w:jc w:val="center"/>
              <w:rPr>
                <w:sz w:val="20"/>
              </w:rPr>
            </w:pPr>
            <w:r w:rsidRPr="00C35BC0">
              <w:rPr>
                <w:sz w:val="20"/>
              </w:rPr>
              <w:t>Year</w:t>
            </w:r>
          </w:p>
        </w:tc>
        <w:tc>
          <w:tcPr>
            <w:tcW w:w="696" w:type="dxa"/>
            <w:tcBorders>
              <w:bottom w:val="single" w:sz="4" w:space="0" w:color="auto"/>
            </w:tcBorders>
          </w:tcPr>
          <w:p w:rsidR="00D52895" w:rsidRPr="00C35BC0" w:rsidRDefault="00D52895" w:rsidP="00D02664">
            <w:pPr>
              <w:spacing w:after="40"/>
              <w:jc w:val="center"/>
              <w:rPr>
                <w:sz w:val="20"/>
              </w:rPr>
            </w:pPr>
            <w:r w:rsidRPr="00C35BC0">
              <w:rPr>
                <w:sz w:val="20"/>
              </w:rPr>
              <w:t>Year</w:t>
            </w:r>
          </w:p>
        </w:tc>
        <w:tc>
          <w:tcPr>
            <w:tcW w:w="696" w:type="dxa"/>
            <w:tcBorders>
              <w:bottom w:val="single" w:sz="4" w:space="0" w:color="auto"/>
            </w:tcBorders>
          </w:tcPr>
          <w:p w:rsidR="00D52895" w:rsidRPr="00C35BC0" w:rsidRDefault="00D52895" w:rsidP="00D02664">
            <w:pPr>
              <w:spacing w:after="40"/>
              <w:jc w:val="center"/>
              <w:rPr>
                <w:sz w:val="20"/>
              </w:rPr>
            </w:pPr>
            <w:r w:rsidRPr="00C35BC0">
              <w:rPr>
                <w:sz w:val="20"/>
              </w:rPr>
              <w:t>Year</w:t>
            </w:r>
          </w:p>
        </w:tc>
      </w:tr>
      <w:tr w:rsidR="00D52895" w:rsidRPr="00C35BC0" w:rsidTr="000D46FF">
        <w:tblPrEx>
          <w:tblCellMar>
            <w:top w:w="0" w:type="dxa"/>
            <w:bottom w:w="0" w:type="dxa"/>
          </w:tblCellMar>
        </w:tblPrEx>
        <w:trPr>
          <w:trHeight w:val="216"/>
          <w:tblHeader/>
        </w:trPr>
        <w:tc>
          <w:tcPr>
            <w:tcW w:w="2160" w:type="dxa"/>
            <w:vMerge/>
            <w:tcBorders>
              <w:bottom w:val="single" w:sz="4" w:space="0" w:color="auto"/>
            </w:tcBorders>
          </w:tcPr>
          <w:p w:rsidR="00D52895" w:rsidRPr="00C35BC0" w:rsidRDefault="00D52895" w:rsidP="00D02664">
            <w:pPr>
              <w:spacing w:after="40"/>
              <w:jc w:val="center"/>
              <w:rPr>
                <w:snapToGrid w:val="0"/>
                <w:color w:val="000000"/>
                <w:sz w:val="20"/>
              </w:rPr>
            </w:pPr>
          </w:p>
        </w:tc>
        <w:tc>
          <w:tcPr>
            <w:tcW w:w="654" w:type="dxa"/>
            <w:tcBorders>
              <w:top w:val="single" w:sz="4" w:space="0" w:color="auto"/>
              <w:bottom w:val="single" w:sz="4" w:space="0" w:color="auto"/>
            </w:tcBorders>
          </w:tcPr>
          <w:p w:rsidR="00D52895" w:rsidRPr="00C35BC0" w:rsidRDefault="00D52895" w:rsidP="00D02664">
            <w:pPr>
              <w:spacing w:after="40"/>
              <w:jc w:val="center"/>
              <w:rPr>
                <w:snapToGrid w:val="0"/>
                <w:color w:val="000000"/>
                <w:sz w:val="20"/>
              </w:rPr>
            </w:pPr>
            <w:r w:rsidRPr="00C35BC0">
              <w:rPr>
                <w:snapToGrid w:val="0"/>
                <w:color w:val="000000"/>
                <w:sz w:val="20"/>
              </w:rPr>
              <w:t>2002</w:t>
            </w:r>
          </w:p>
        </w:tc>
        <w:tc>
          <w:tcPr>
            <w:tcW w:w="655" w:type="dxa"/>
            <w:tcBorders>
              <w:top w:val="single" w:sz="4" w:space="0" w:color="auto"/>
              <w:bottom w:val="single" w:sz="4" w:space="0" w:color="auto"/>
            </w:tcBorders>
          </w:tcPr>
          <w:p w:rsidR="00D52895" w:rsidRPr="00C35BC0" w:rsidRDefault="00D52895" w:rsidP="00D02664">
            <w:pPr>
              <w:spacing w:after="40"/>
              <w:jc w:val="center"/>
              <w:rPr>
                <w:snapToGrid w:val="0"/>
                <w:color w:val="000000"/>
                <w:sz w:val="20"/>
              </w:rPr>
            </w:pPr>
            <w:r w:rsidRPr="00C35BC0">
              <w:rPr>
                <w:snapToGrid w:val="0"/>
                <w:color w:val="000000"/>
                <w:sz w:val="20"/>
              </w:rPr>
              <w:t>2003</w:t>
            </w:r>
          </w:p>
        </w:tc>
        <w:tc>
          <w:tcPr>
            <w:tcW w:w="654" w:type="dxa"/>
            <w:tcBorders>
              <w:top w:val="single" w:sz="4" w:space="0" w:color="auto"/>
              <w:bottom w:val="single" w:sz="4" w:space="0" w:color="auto"/>
            </w:tcBorders>
          </w:tcPr>
          <w:p w:rsidR="00D52895" w:rsidRPr="00C35BC0" w:rsidRDefault="00D52895" w:rsidP="00D02664">
            <w:pPr>
              <w:spacing w:after="40"/>
              <w:jc w:val="center"/>
              <w:rPr>
                <w:snapToGrid w:val="0"/>
                <w:color w:val="000000"/>
                <w:sz w:val="20"/>
              </w:rPr>
            </w:pPr>
            <w:r w:rsidRPr="00C35BC0">
              <w:rPr>
                <w:snapToGrid w:val="0"/>
                <w:color w:val="000000"/>
                <w:sz w:val="20"/>
              </w:rPr>
              <w:t>2004</w:t>
            </w:r>
          </w:p>
        </w:tc>
        <w:tc>
          <w:tcPr>
            <w:tcW w:w="655" w:type="dxa"/>
            <w:tcBorders>
              <w:top w:val="single" w:sz="4" w:space="0" w:color="auto"/>
              <w:bottom w:val="single" w:sz="4" w:space="0" w:color="auto"/>
            </w:tcBorders>
          </w:tcPr>
          <w:p w:rsidR="00D52895" w:rsidRPr="00C35BC0" w:rsidRDefault="00D52895" w:rsidP="00D02664">
            <w:pPr>
              <w:spacing w:after="40"/>
              <w:jc w:val="center"/>
              <w:rPr>
                <w:snapToGrid w:val="0"/>
                <w:color w:val="000000"/>
                <w:sz w:val="20"/>
              </w:rPr>
            </w:pPr>
            <w:r w:rsidRPr="00C35BC0">
              <w:rPr>
                <w:snapToGrid w:val="0"/>
                <w:color w:val="000000"/>
                <w:sz w:val="20"/>
              </w:rPr>
              <w:t>2005</w:t>
            </w:r>
          </w:p>
        </w:tc>
        <w:tc>
          <w:tcPr>
            <w:tcW w:w="654" w:type="dxa"/>
            <w:tcBorders>
              <w:top w:val="single" w:sz="4" w:space="0" w:color="auto"/>
              <w:bottom w:val="single" w:sz="4" w:space="0" w:color="auto"/>
              <w:right w:val="single" w:sz="4" w:space="0" w:color="auto"/>
            </w:tcBorders>
          </w:tcPr>
          <w:p w:rsidR="00D52895" w:rsidRPr="00C35BC0" w:rsidRDefault="00D52895" w:rsidP="00D02664">
            <w:pPr>
              <w:spacing w:after="40"/>
              <w:jc w:val="center"/>
              <w:rPr>
                <w:snapToGrid w:val="0"/>
                <w:color w:val="000000"/>
                <w:sz w:val="20"/>
              </w:rPr>
            </w:pPr>
            <w:r w:rsidRPr="00C35BC0">
              <w:rPr>
                <w:snapToGrid w:val="0"/>
                <w:color w:val="000000"/>
                <w:sz w:val="20"/>
              </w:rPr>
              <w:t>2006</w:t>
            </w:r>
          </w:p>
        </w:tc>
        <w:tc>
          <w:tcPr>
            <w:tcW w:w="448" w:type="dxa"/>
            <w:tcBorders>
              <w:top w:val="nil"/>
              <w:left w:val="single" w:sz="4" w:space="0" w:color="auto"/>
              <w:bottom w:val="nil"/>
              <w:right w:val="single" w:sz="4" w:space="0" w:color="auto"/>
            </w:tcBorders>
          </w:tcPr>
          <w:p w:rsidR="00D52895" w:rsidRPr="00C35BC0" w:rsidRDefault="00D52895" w:rsidP="00D02664">
            <w:pPr>
              <w:spacing w:after="40"/>
              <w:jc w:val="center"/>
              <w:rPr>
                <w:snapToGrid w:val="0"/>
                <w:color w:val="000000"/>
                <w:sz w:val="20"/>
              </w:rPr>
            </w:pPr>
          </w:p>
        </w:tc>
        <w:tc>
          <w:tcPr>
            <w:tcW w:w="696" w:type="dxa"/>
            <w:tcBorders>
              <w:top w:val="single" w:sz="4" w:space="0" w:color="auto"/>
              <w:left w:val="single" w:sz="4" w:space="0" w:color="auto"/>
              <w:bottom w:val="single" w:sz="4" w:space="0" w:color="auto"/>
            </w:tcBorders>
          </w:tcPr>
          <w:p w:rsidR="00D52895" w:rsidRPr="00C35BC0" w:rsidRDefault="00D52895" w:rsidP="00D02664">
            <w:pPr>
              <w:spacing w:after="40"/>
              <w:jc w:val="center"/>
              <w:rPr>
                <w:snapToGrid w:val="0"/>
                <w:color w:val="000000"/>
                <w:sz w:val="20"/>
              </w:rPr>
            </w:pPr>
            <w:r w:rsidRPr="00C35BC0">
              <w:rPr>
                <w:snapToGrid w:val="0"/>
                <w:color w:val="000000"/>
                <w:sz w:val="20"/>
              </w:rPr>
              <w:t>2002</w:t>
            </w:r>
          </w:p>
        </w:tc>
        <w:tc>
          <w:tcPr>
            <w:tcW w:w="696" w:type="dxa"/>
            <w:tcBorders>
              <w:top w:val="single" w:sz="4" w:space="0" w:color="auto"/>
              <w:bottom w:val="single" w:sz="4" w:space="0" w:color="auto"/>
            </w:tcBorders>
          </w:tcPr>
          <w:p w:rsidR="00D52895" w:rsidRPr="00C35BC0" w:rsidRDefault="00D52895" w:rsidP="00D02664">
            <w:pPr>
              <w:spacing w:after="40"/>
              <w:jc w:val="center"/>
              <w:rPr>
                <w:snapToGrid w:val="0"/>
                <w:color w:val="000000"/>
                <w:sz w:val="20"/>
              </w:rPr>
            </w:pPr>
            <w:r w:rsidRPr="00C35BC0">
              <w:rPr>
                <w:snapToGrid w:val="0"/>
                <w:color w:val="000000"/>
                <w:sz w:val="20"/>
              </w:rPr>
              <w:t>2003</w:t>
            </w:r>
          </w:p>
        </w:tc>
        <w:tc>
          <w:tcPr>
            <w:tcW w:w="696" w:type="dxa"/>
            <w:tcBorders>
              <w:top w:val="single" w:sz="4" w:space="0" w:color="auto"/>
              <w:bottom w:val="single" w:sz="4" w:space="0" w:color="auto"/>
            </w:tcBorders>
          </w:tcPr>
          <w:p w:rsidR="00D52895" w:rsidRPr="00C35BC0" w:rsidRDefault="00D52895" w:rsidP="00D02664">
            <w:pPr>
              <w:spacing w:after="40"/>
              <w:jc w:val="center"/>
              <w:rPr>
                <w:snapToGrid w:val="0"/>
                <w:color w:val="000000"/>
                <w:sz w:val="20"/>
              </w:rPr>
            </w:pPr>
            <w:r w:rsidRPr="00C35BC0">
              <w:rPr>
                <w:snapToGrid w:val="0"/>
                <w:color w:val="000000"/>
                <w:sz w:val="20"/>
              </w:rPr>
              <w:t>2004</w:t>
            </w:r>
          </w:p>
        </w:tc>
        <w:tc>
          <w:tcPr>
            <w:tcW w:w="696" w:type="dxa"/>
            <w:tcBorders>
              <w:top w:val="single" w:sz="4" w:space="0" w:color="auto"/>
              <w:bottom w:val="single" w:sz="4" w:space="0" w:color="auto"/>
            </w:tcBorders>
          </w:tcPr>
          <w:p w:rsidR="00D52895" w:rsidRPr="00C35BC0" w:rsidRDefault="00D52895" w:rsidP="00D02664">
            <w:pPr>
              <w:spacing w:after="40"/>
              <w:jc w:val="center"/>
              <w:rPr>
                <w:snapToGrid w:val="0"/>
                <w:color w:val="000000"/>
                <w:sz w:val="20"/>
              </w:rPr>
            </w:pPr>
            <w:r w:rsidRPr="00C35BC0">
              <w:rPr>
                <w:snapToGrid w:val="0"/>
                <w:color w:val="000000"/>
                <w:sz w:val="20"/>
              </w:rPr>
              <w:t>2005</w:t>
            </w:r>
          </w:p>
        </w:tc>
        <w:tc>
          <w:tcPr>
            <w:tcW w:w="696" w:type="dxa"/>
            <w:tcBorders>
              <w:top w:val="single" w:sz="4" w:space="0" w:color="auto"/>
              <w:bottom w:val="single" w:sz="4" w:space="0" w:color="auto"/>
            </w:tcBorders>
          </w:tcPr>
          <w:p w:rsidR="00D52895" w:rsidRPr="00C35BC0" w:rsidRDefault="00D52895" w:rsidP="00D02664">
            <w:pPr>
              <w:spacing w:after="40"/>
              <w:jc w:val="center"/>
              <w:rPr>
                <w:snapToGrid w:val="0"/>
                <w:color w:val="000000"/>
                <w:sz w:val="20"/>
              </w:rPr>
            </w:pPr>
            <w:r w:rsidRPr="00C35BC0">
              <w:rPr>
                <w:snapToGrid w:val="0"/>
                <w:color w:val="000000"/>
                <w:sz w:val="20"/>
              </w:rPr>
              <w:t>2006</w:t>
            </w:r>
          </w:p>
        </w:tc>
      </w:tr>
      <w:tr w:rsidR="003C1E02" w:rsidRPr="00C35BC0" w:rsidTr="000D46FF">
        <w:tblPrEx>
          <w:tblCellMar>
            <w:top w:w="0" w:type="dxa"/>
            <w:bottom w:w="0" w:type="dxa"/>
          </w:tblCellMar>
        </w:tblPrEx>
        <w:trPr>
          <w:trHeight w:val="216"/>
        </w:trPr>
        <w:tc>
          <w:tcPr>
            <w:tcW w:w="2160" w:type="dxa"/>
            <w:tcBorders>
              <w:top w:val="single" w:sz="4" w:space="0" w:color="auto"/>
            </w:tcBorders>
          </w:tcPr>
          <w:p w:rsidR="003C1E02" w:rsidRPr="00C35BC0" w:rsidRDefault="003C1E02" w:rsidP="00D02664">
            <w:pPr>
              <w:spacing w:after="40"/>
              <w:rPr>
                <w:sz w:val="20"/>
              </w:rPr>
            </w:pPr>
            <w:r w:rsidRPr="00C35BC0">
              <w:rPr>
                <w:sz w:val="20"/>
              </w:rPr>
              <w:t>Conviction</w:t>
            </w:r>
          </w:p>
        </w:tc>
        <w:tc>
          <w:tcPr>
            <w:tcW w:w="654" w:type="dxa"/>
            <w:tcBorders>
              <w:top w:val="single" w:sz="4" w:space="0" w:color="auto"/>
            </w:tcBorders>
          </w:tcPr>
          <w:p w:rsidR="003C1E02" w:rsidRPr="00C35BC0" w:rsidRDefault="003C1E02" w:rsidP="00D02664">
            <w:pPr>
              <w:spacing w:after="40"/>
              <w:jc w:val="right"/>
              <w:rPr>
                <w:sz w:val="20"/>
              </w:rPr>
            </w:pPr>
            <w:r w:rsidRPr="00C35BC0">
              <w:rPr>
                <w:sz w:val="20"/>
              </w:rPr>
              <w:t>94</w:t>
            </w:r>
          </w:p>
        </w:tc>
        <w:tc>
          <w:tcPr>
            <w:tcW w:w="655" w:type="dxa"/>
            <w:tcBorders>
              <w:top w:val="single" w:sz="4" w:space="0" w:color="auto"/>
            </w:tcBorders>
          </w:tcPr>
          <w:p w:rsidR="003C1E02" w:rsidRPr="00C35BC0" w:rsidRDefault="003C1E02" w:rsidP="00D02664">
            <w:pPr>
              <w:spacing w:after="40"/>
              <w:jc w:val="right"/>
              <w:rPr>
                <w:sz w:val="20"/>
              </w:rPr>
            </w:pPr>
            <w:r w:rsidRPr="00C35BC0">
              <w:rPr>
                <w:sz w:val="20"/>
              </w:rPr>
              <w:t>110</w:t>
            </w:r>
          </w:p>
        </w:tc>
        <w:tc>
          <w:tcPr>
            <w:tcW w:w="654" w:type="dxa"/>
            <w:tcBorders>
              <w:top w:val="single" w:sz="4" w:space="0" w:color="auto"/>
            </w:tcBorders>
          </w:tcPr>
          <w:p w:rsidR="003C1E02" w:rsidRPr="00C35BC0" w:rsidRDefault="003C1E02" w:rsidP="00D02664">
            <w:pPr>
              <w:spacing w:after="40"/>
              <w:jc w:val="right"/>
              <w:rPr>
                <w:sz w:val="20"/>
              </w:rPr>
            </w:pPr>
            <w:r w:rsidRPr="00C35BC0">
              <w:rPr>
                <w:sz w:val="20"/>
              </w:rPr>
              <w:t>111</w:t>
            </w:r>
          </w:p>
        </w:tc>
        <w:tc>
          <w:tcPr>
            <w:tcW w:w="655" w:type="dxa"/>
            <w:tcBorders>
              <w:top w:val="single" w:sz="4" w:space="0" w:color="auto"/>
            </w:tcBorders>
          </w:tcPr>
          <w:p w:rsidR="003C1E02" w:rsidRPr="00C35BC0" w:rsidRDefault="003C1E02" w:rsidP="00D02664">
            <w:pPr>
              <w:spacing w:after="40"/>
              <w:jc w:val="right"/>
              <w:rPr>
                <w:sz w:val="20"/>
              </w:rPr>
            </w:pPr>
            <w:r w:rsidRPr="00C35BC0">
              <w:rPr>
                <w:sz w:val="20"/>
              </w:rPr>
              <w:t>131</w:t>
            </w:r>
          </w:p>
        </w:tc>
        <w:tc>
          <w:tcPr>
            <w:tcW w:w="654" w:type="dxa"/>
            <w:tcBorders>
              <w:top w:val="single" w:sz="4" w:space="0" w:color="auto"/>
              <w:right w:val="single" w:sz="4" w:space="0" w:color="auto"/>
            </w:tcBorders>
          </w:tcPr>
          <w:p w:rsidR="003C1E02" w:rsidRPr="00C35BC0" w:rsidRDefault="003C1E02" w:rsidP="00D02664">
            <w:pPr>
              <w:spacing w:after="40"/>
              <w:jc w:val="right"/>
              <w:rPr>
                <w:sz w:val="20"/>
              </w:rPr>
            </w:pPr>
            <w:r w:rsidRPr="00C35BC0">
              <w:rPr>
                <w:sz w:val="20"/>
              </w:rPr>
              <w:t>153</w:t>
            </w:r>
          </w:p>
        </w:tc>
        <w:tc>
          <w:tcPr>
            <w:tcW w:w="448" w:type="dxa"/>
            <w:tcBorders>
              <w:top w:val="nil"/>
              <w:left w:val="single" w:sz="4" w:space="0" w:color="auto"/>
              <w:bottom w:val="nil"/>
              <w:right w:val="single" w:sz="4" w:space="0" w:color="auto"/>
            </w:tcBorders>
          </w:tcPr>
          <w:p w:rsidR="003C1E02" w:rsidRPr="00C35BC0" w:rsidRDefault="003C1E02" w:rsidP="00D02664">
            <w:pPr>
              <w:spacing w:after="40"/>
              <w:jc w:val="right"/>
              <w:rPr>
                <w:sz w:val="20"/>
              </w:rPr>
            </w:pPr>
          </w:p>
        </w:tc>
        <w:tc>
          <w:tcPr>
            <w:tcW w:w="696" w:type="dxa"/>
            <w:tcBorders>
              <w:top w:val="single" w:sz="4" w:space="0" w:color="auto"/>
              <w:left w:val="single" w:sz="4" w:space="0" w:color="auto"/>
            </w:tcBorders>
          </w:tcPr>
          <w:p w:rsidR="003C1E02" w:rsidRPr="00C35BC0" w:rsidRDefault="003C1E02" w:rsidP="00D02664">
            <w:pPr>
              <w:spacing w:after="40"/>
              <w:jc w:val="right"/>
              <w:rPr>
                <w:sz w:val="20"/>
              </w:rPr>
            </w:pPr>
            <w:r w:rsidRPr="00C35BC0">
              <w:rPr>
                <w:sz w:val="20"/>
              </w:rPr>
              <w:t>79%</w:t>
            </w:r>
          </w:p>
        </w:tc>
        <w:tc>
          <w:tcPr>
            <w:tcW w:w="696" w:type="dxa"/>
            <w:tcBorders>
              <w:top w:val="single" w:sz="4" w:space="0" w:color="auto"/>
            </w:tcBorders>
          </w:tcPr>
          <w:p w:rsidR="003C1E02" w:rsidRPr="00C35BC0" w:rsidRDefault="003C1E02" w:rsidP="00D02664">
            <w:pPr>
              <w:spacing w:after="40"/>
              <w:jc w:val="right"/>
              <w:rPr>
                <w:sz w:val="20"/>
              </w:rPr>
            </w:pPr>
            <w:r w:rsidRPr="00C35BC0">
              <w:rPr>
                <w:sz w:val="20"/>
              </w:rPr>
              <w:t>86%</w:t>
            </w:r>
          </w:p>
        </w:tc>
        <w:tc>
          <w:tcPr>
            <w:tcW w:w="696" w:type="dxa"/>
            <w:tcBorders>
              <w:top w:val="single" w:sz="4" w:space="0" w:color="auto"/>
            </w:tcBorders>
          </w:tcPr>
          <w:p w:rsidR="003C1E02" w:rsidRPr="00C35BC0" w:rsidRDefault="003C1E02" w:rsidP="00D02664">
            <w:pPr>
              <w:spacing w:after="40"/>
              <w:jc w:val="right"/>
              <w:rPr>
                <w:sz w:val="20"/>
              </w:rPr>
            </w:pPr>
            <w:r w:rsidRPr="00C35BC0">
              <w:rPr>
                <w:sz w:val="20"/>
              </w:rPr>
              <w:t>89%</w:t>
            </w:r>
          </w:p>
        </w:tc>
        <w:tc>
          <w:tcPr>
            <w:tcW w:w="696" w:type="dxa"/>
            <w:tcBorders>
              <w:top w:val="single" w:sz="4" w:space="0" w:color="auto"/>
            </w:tcBorders>
          </w:tcPr>
          <w:p w:rsidR="003C1E02" w:rsidRPr="00C35BC0" w:rsidRDefault="003C1E02" w:rsidP="00D02664">
            <w:pPr>
              <w:spacing w:after="40"/>
              <w:jc w:val="right"/>
              <w:rPr>
                <w:sz w:val="20"/>
              </w:rPr>
            </w:pPr>
            <w:r w:rsidRPr="00C35BC0">
              <w:rPr>
                <w:sz w:val="20"/>
              </w:rPr>
              <w:t>89%</w:t>
            </w:r>
          </w:p>
        </w:tc>
        <w:tc>
          <w:tcPr>
            <w:tcW w:w="696" w:type="dxa"/>
            <w:tcBorders>
              <w:top w:val="single" w:sz="4" w:space="0" w:color="auto"/>
            </w:tcBorders>
          </w:tcPr>
          <w:p w:rsidR="003C1E02" w:rsidRPr="00C35BC0" w:rsidRDefault="003C1E02" w:rsidP="00D02664">
            <w:pPr>
              <w:spacing w:after="40"/>
              <w:jc w:val="right"/>
              <w:rPr>
                <w:sz w:val="20"/>
              </w:rPr>
            </w:pPr>
            <w:r w:rsidRPr="00C35BC0">
              <w:rPr>
                <w:sz w:val="20"/>
              </w:rPr>
              <w:t>82%</w:t>
            </w:r>
          </w:p>
        </w:tc>
      </w:tr>
      <w:tr w:rsidR="003C1E02" w:rsidRPr="00C35BC0" w:rsidTr="000D46FF">
        <w:tblPrEx>
          <w:tblCellMar>
            <w:top w:w="0" w:type="dxa"/>
            <w:bottom w:w="0" w:type="dxa"/>
          </w:tblCellMar>
        </w:tblPrEx>
        <w:trPr>
          <w:trHeight w:val="216"/>
        </w:trPr>
        <w:tc>
          <w:tcPr>
            <w:tcW w:w="2160" w:type="dxa"/>
          </w:tcPr>
          <w:p w:rsidR="003C1E02" w:rsidRPr="00C35BC0" w:rsidRDefault="003C1E02" w:rsidP="00D02664">
            <w:pPr>
              <w:spacing w:after="40"/>
              <w:rPr>
                <w:sz w:val="20"/>
              </w:rPr>
            </w:pPr>
            <w:r w:rsidRPr="00C35BC0">
              <w:rPr>
                <w:sz w:val="20"/>
              </w:rPr>
              <w:t>Acquittal</w:t>
            </w:r>
          </w:p>
        </w:tc>
        <w:tc>
          <w:tcPr>
            <w:tcW w:w="654" w:type="dxa"/>
          </w:tcPr>
          <w:p w:rsidR="003C1E02" w:rsidRPr="00C35BC0" w:rsidRDefault="003C1E02" w:rsidP="00D02664">
            <w:pPr>
              <w:spacing w:after="40"/>
              <w:jc w:val="right"/>
              <w:rPr>
                <w:sz w:val="20"/>
              </w:rPr>
            </w:pPr>
            <w:r w:rsidRPr="00C35BC0">
              <w:rPr>
                <w:sz w:val="20"/>
              </w:rPr>
              <w:t>15</w:t>
            </w:r>
          </w:p>
        </w:tc>
        <w:tc>
          <w:tcPr>
            <w:tcW w:w="655" w:type="dxa"/>
          </w:tcPr>
          <w:p w:rsidR="003C1E02" w:rsidRPr="00C35BC0" w:rsidRDefault="003C1E02" w:rsidP="00D02664">
            <w:pPr>
              <w:spacing w:after="40"/>
              <w:jc w:val="right"/>
              <w:rPr>
                <w:sz w:val="20"/>
              </w:rPr>
            </w:pPr>
            <w:r w:rsidRPr="00C35BC0">
              <w:rPr>
                <w:sz w:val="20"/>
              </w:rPr>
              <w:t>12</w:t>
            </w:r>
          </w:p>
        </w:tc>
        <w:tc>
          <w:tcPr>
            <w:tcW w:w="654" w:type="dxa"/>
          </w:tcPr>
          <w:p w:rsidR="003C1E02" w:rsidRPr="00C35BC0" w:rsidRDefault="003C1E02" w:rsidP="00D02664">
            <w:pPr>
              <w:spacing w:after="40"/>
              <w:jc w:val="right"/>
              <w:rPr>
                <w:sz w:val="20"/>
              </w:rPr>
            </w:pPr>
            <w:r w:rsidRPr="00C35BC0">
              <w:rPr>
                <w:sz w:val="20"/>
              </w:rPr>
              <w:t>8</w:t>
            </w:r>
          </w:p>
        </w:tc>
        <w:tc>
          <w:tcPr>
            <w:tcW w:w="655" w:type="dxa"/>
          </w:tcPr>
          <w:p w:rsidR="003C1E02" w:rsidRPr="00C35BC0" w:rsidRDefault="003C1E02" w:rsidP="00D02664">
            <w:pPr>
              <w:spacing w:after="40"/>
              <w:jc w:val="right"/>
              <w:rPr>
                <w:sz w:val="20"/>
              </w:rPr>
            </w:pPr>
            <w:r w:rsidRPr="00C35BC0">
              <w:rPr>
                <w:sz w:val="20"/>
              </w:rPr>
              <w:t>10</w:t>
            </w:r>
          </w:p>
        </w:tc>
        <w:tc>
          <w:tcPr>
            <w:tcW w:w="654" w:type="dxa"/>
            <w:tcBorders>
              <w:right w:val="single" w:sz="4" w:space="0" w:color="auto"/>
            </w:tcBorders>
          </w:tcPr>
          <w:p w:rsidR="003C1E02" w:rsidRPr="00C35BC0" w:rsidRDefault="003C1E02" w:rsidP="00D02664">
            <w:pPr>
              <w:spacing w:after="40"/>
              <w:jc w:val="right"/>
              <w:rPr>
                <w:sz w:val="20"/>
              </w:rPr>
            </w:pPr>
            <w:r w:rsidRPr="00C35BC0">
              <w:rPr>
                <w:sz w:val="20"/>
              </w:rPr>
              <w:t>17</w:t>
            </w:r>
          </w:p>
        </w:tc>
        <w:tc>
          <w:tcPr>
            <w:tcW w:w="448" w:type="dxa"/>
            <w:tcBorders>
              <w:top w:val="nil"/>
              <w:left w:val="single" w:sz="4" w:space="0" w:color="auto"/>
              <w:bottom w:val="nil"/>
              <w:right w:val="single" w:sz="4" w:space="0" w:color="auto"/>
            </w:tcBorders>
          </w:tcPr>
          <w:p w:rsidR="003C1E02" w:rsidRPr="00C35BC0" w:rsidRDefault="003C1E02" w:rsidP="00D02664">
            <w:pPr>
              <w:spacing w:after="40"/>
              <w:jc w:val="right"/>
              <w:rPr>
                <w:sz w:val="20"/>
              </w:rPr>
            </w:pPr>
          </w:p>
        </w:tc>
        <w:tc>
          <w:tcPr>
            <w:tcW w:w="696" w:type="dxa"/>
            <w:tcBorders>
              <w:left w:val="single" w:sz="4" w:space="0" w:color="auto"/>
            </w:tcBorders>
          </w:tcPr>
          <w:p w:rsidR="003C1E02" w:rsidRPr="00C35BC0" w:rsidRDefault="003C1E02" w:rsidP="00D02664">
            <w:pPr>
              <w:spacing w:after="40"/>
              <w:jc w:val="right"/>
              <w:rPr>
                <w:sz w:val="20"/>
              </w:rPr>
            </w:pPr>
            <w:r w:rsidRPr="00C35BC0">
              <w:rPr>
                <w:sz w:val="20"/>
              </w:rPr>
              <w:t>13%</w:t>
            </w:r>
          </w:p>
        </w:tc>
        <w:tc>
          <w:tcPr>
            <w:tcW w:w="696" w:type="dxa"/>
          </w:tcPr>
          <w:p w:rsidR="003C1E02" w:rsidRPr="00C35BC0" w:rsidRDefault="003C1E02" w:rsidP="00D02664">
            <w:pPr>
              <w:spacing w:after="40"/>
              <w:jc w:val="right"/>
              <w:rPr>
                <w:sz w:val="20"/>
              </w:rPr>
            </w:pPr>
            <w:r w:rsidRPr="00C35BC0">
              <w:rPr>
                <w:sz w:val="20"/>
              </w:rPr>
              <w:t>9%</w:t>
            </w:r>
          </w:p>
        </w:tc>
        <w:tc>
          <w:tcPr>
            <w:tcW w:w="696" w:type="dxa"/>
          </w:tcPr>
          <w:p w:rsidR="003C1E02" w:rsidRPr="00C35BC0" w:rsidRDefault="003C1E02" w:rsidP="00D02664">
            <w:pPr>
              <w:spacing w:after="40"/>
              <w:jc w:val="right"/>
              <w:rPr>
                <w:sz w:val="20"/>
              </w:rPr>
            </w:pPr>
            <w:r w:rsidRPr="00C35BC0">
              <w:rPr>
                <w:sz w:val="20"/>
              </w:rPr>
              <w:t>6%</w:t>
            </w:r>
          </w:p>
        </w:tc>
        <w:tc>
          <w:tcPr>
            <w:tcW w:w="696" w:type="dxa"/>
          </w:tcPr>
          <w:p w:rsidR="003C1E02" w:rsidRPr="00C35BC0" w:rsidRDefault="003C1E02" w:rsidP="00D02664">
            <w:pPr>
              <w:spacing w:after="40"/>
              <w:jc w:val="right"/>
              <w:rPr>
                <w:sz w:val="20"/>
              </w:rPr>
            </w:pPr>
            <w:r w:rsidRPr="00C35BC0">
              <w:rPr>
                <w:sz w:val="20"/>
              </w:rPr>
              <w:t>7%</w:t>
            </w:r>
          </w:p>
        </w:tc>
        <w:tc>
          <w:tcPr>
            <w:tcW w:w="696" w:type="dxa"/>
          </w:tcPr>
          <w:p w:rsidR="003C1E02" w:rsidRPr="00C35BC0" w:rsidRDefault="003C1E02" w:rsidP="00D02664">
            <w:pPr>
              <w:spacing w:after="40"/>
              <w:jc w:val="right"/>
              <w:rPr>
                <w:sz w:val="20"/>
              </w:rPr>
            </w:pPr>
            <w:r w:rsidRPr="00C35BC0">
              <w:rPr>
                <w:sz w:val="20"/>
              </w:rPr>
              <w:t>9%</w:t>
            </w:r>
          </w:p>
        </w:tc>
      </w:tr>
      <w:tr w:rsidR="003C1E02" w:rsidRPr="00C35BC0" w:rsidTr="000D46FF">
        <w:tblPrEx>
          <w:tblCellMar>
            <w:top w:w="0" w:type="dxa"/>
            <w:bottom w:w="0" w:type="dxa"/>
          </w:tblCellMar>
        </w:tblPrEx>
        <w:trPr>
          <w:trHeight w:val="216"/>
        </w:trPr>
        <w:tc>
          <w:tcPr>
            <w:tcW w:w="2160" w:type="dxa"/>
          </w:tcPr>
          <w:p w:rsidR="003C1E02" w:rsidRPr="00C35BC0" w:rsidRDefault="003C1E02" w:rsidP="00D02664">
            <w:pPr>
              <w:spacing w:after="40"/>
              <w:rPr>
                <w:sz w:val="20"/>
              </w:rPr>
            </w:pPr>
            <w:r w:rsidRPr="00C35BC0">
              <w:rPr>
                <w:sz w:val="20"/>
              </w:rPr>
              <w:t>Summons invalid</w:t>
            </w:r>
          </w:p>
        </w:tc>
        <w:tc>
          <w:tcPr>
            <w:tcW w:w="654" w:type="dxa"/>
          </w:tcPr>
          <w:p w:rsidR="003C1E02" w:rsidRPr="00C35BC0" w:rsidRDefault="003C1E02" w:rsidP="00D02664">
            <w:pPr>
              <w:spacing w:after="40"/>
              <w:jc w:val="right"/>
              <w:rPr>
                <w:sz w:val="20"/>
              </w:rPr>
            </w:pPr>
            <w:r w:rsidRPr="00C35BC0">
              <w:rPr>
                <w:sz w:val="20"/>
              </w:rPr>
              <w:t>1</w:t>
            </w:r>
          </w:p>
        </w:tc>
        <w:tc>
          <w:tcPr>
            <w:tcW w:w="655" w:type="dxa"/>
          </w:tcPr>
          <w:p w:rsidR="003C1E02" w:rsidRPr="00C35BC0" w:rsidRDefault="003C1E02" w:rsidP="00D02664">
            <w:pPr>
              <w:spacing w:after="40"/>
              <w:jc w:val="right"/>
              <w:rPr>
                <w:sz w:val="20"/>
              </w:rPr>
            </w:pPr>
            <w:r w:rsidRPr="00C35BC0">
              <w:rPr>
                <w:sz w:val="20"/>
              </w:rPr>
              <w:t>0</w:t>
            </w:r>
          </w:p>
        </w:tc>
        <w:tc>
          <w:tcPr>
            <w:tcW w:w="654" w:type="dxa"/>
          </w:tcPr>
          <w:p w:rsidR="003C1E02" w:rsidRPr="00C35BC0" w:rsidRDefault="003C1E02" w:rsidP="00D02664">
            <w:pPr>
              <w:spacing w:after="40"/>
              <w:jc w:val="right"/>
              <w:rPr>
                <w:sz w:val="20"/>
              </w:rPr>
            </w:pPr>
            <w:r w:rsidRPr="00C35BC0">
              <w:rPr>
                <w:sz w:val="20"/>
              </w:rPr>
              <w:t>0</w:t>
            </w:r>
          </w:p>
        </w:tc>
        <w:tc>
          <w:tcPr>
            <w:tcW w:w="655" w:type="dxa"/>
          </w:tcPr>
          <w:p w:rsidR="003C1E02" w:rsidRPr="00C35BC0" w:rsidRDefault="003C1E02" w:rsidP="00D02664">
            <w:pPr>
              <w:spacing w:after="40"/>
              <w:jc w:val="right"/>
              <w:rPr>
                <w:sz w:val="20"/>
              </w:rPr>
            </w:pPr>
            <w:r w:rsidRPr="00C35BC0">
              <w:rPr>
                <w:sz w:val="20"/>
              </w:rPr>
              <w:t>0</w:t>
            </w:r>
          </w:p>
        </w:tc>
        <w:tc>
          <w:tcPr>
            <w:tcW w:w="654" w:type="dxa"/>
            <w:tcBorders>
              <w:right w:val="single" w:sz="4" w:space="0" w:color="auto"/>
            </w:tcBorders>
          </w:tcPr>
          <w:p w:rsidR="003C1E02" w:rsidRPr="00C35BC0" w:rsidRDefault="003C1E02" w:rsidP="00D02664">
            <w:pPr>
              <w:spacing w:after="40"/>
              <w:jc w:val="right"/>
              <w:rPr>
                <w:sz w:val="20"/>
              </w:rPr>
            </w:pPr>
            <w:r w:rsidRPr="00C35BC0">
              <w:rPr>
                <w:sz w:val="20"/>
              </w:rPr>
              <w:t>3</w:t>
            </w:r>
          </w:p>
        </w:tc>
        <w:tc>
          <w:tcPr>
            <w:tcW w:w="448" w:type="dxa"/>
            <w:tcBorders>
              <w:top w:val="nil"/>
              <w:left w:val="single" w:sz="4" w:space="0" w:color="auto"/>
              <w:bottom w:val="nil"/>
              <w:right w:val="single" w:sz="4" w:space="0" w:color="auto"/>
            </w:tcBorders>
          </w:tcPr>
          <w:p w:rsidR="003C1E02" w:rsidRPr="00C35BC0" w:rsidRDefault="003C1E02" w:rsidP="00D02664">
            <w:pPr>
              <w:spacing w:after="40"/>
              <w:jc w:val="right"/>
              <w:rPr>
                <w:sz w:val="20"/>
              </w:rPr>
            </w:pPr>
          </w:p>
        </w:tc>
        <w:tc>
          <w:tcPr>
            <w:tcW w:w="696" w:type="dxa"/>
            <w:tcBorders>
              <w:left w:val="single" w:sz="4" w:space="0" w:color="auto"/>
            </w:tcBorders>
          </w:tcPr>
          <w:p w:rsidR="003C1E02" w:rsidRPr="00C35BC0" w:rsidRDefault="003C1E02" w:rsidP="00D02664">
            <w:pPr>
              <w:spacing w:after="40"/>
              <w:jc w:val="right"/>
              <w:rPr>
                <w:sz w:val="20"/>
              </w:rPr>
            </w:pPr>
            <w:r w:rsidRPr="00C35BC0">
              <w:rPr>
                <w:sz w:val="20"/>
              </w:rPr>
              <w:t>2%</w:t>
            </w:r>
          </w:p>
        </w:tc>
        <w:tc>
          <w:tcPr>
            <w:tcW w:w="696" w:type="dxa"/>
          </w:tcPr>
          <w:p w:rsidR="003C1E02" w:rsidRPr="00C35BC0" w:rsidRDefault="003C1E02" w:rsidP="00D02664">
            <w:pPr>
              <w:spacing w:after="40"/>
              <w:jc w:val="right"/>
              <w:rPr>
                <w:sz w:val="20"/>
              </w:rPr>
            </w:pPr>
            <w:r w:rsidRPr="00C35BC0">
              <w:rPr>
                <w:sz w:val="20"/>
              </w:rPr>
              <w:t>0%</w:t>
            </w:r>
          </w:p>
        </w:tc>
        <w:tc>
          <w:tcPr>
            <w:tcW w:w="696" w:type="dxa"/>
          </w:tcPr>
          <w:p w:rsidR="003C1E02" w:rsidRPr="00C35BC0" w:rsidRDefault="003C1E02" w:rsidP="00D02664">
            <w:pPr>
              <w:spacing w:after="40"/>
              <w:jc w:val="right"/>
              <w:rPr>
                <w:sz w:val="20"/>
              </w:rPr>
            </w:pPr>
            <w:r w:rsidRPr="00C35BC0">
              <w:rPr>
                <w:sz w:val="20"/>
              </w:rPr>
              <w:t>0%</w:t>
            </w:r>
          </w:p>
        </w:tc>
        <w:tc>
          <w:tcPr>
            <w:tcW w:w="696" w:type="dxa"/>
          </w:tcPr>
          <w:p w:rsidR="003C1E02" w:rsidRPr="00C35BC0" w:rsidRDefault="003C1E02" w:rsidP="00D02664">
            <w:pPr>
              <w:spacing w:after="40"/>
              <w:jc w:val="right"/>
              <w:rPr>
                <w:sz w:val="20"/>
              </w:rPr>
            </w:pPr>
            <w:r w:rsidRPr="00C35BC0">
              <w:rPr>
                <w:sz w:val="20"/>
              </w:rPr>
              <w:t>0%</w:t>
            </w:r>
          </w:p>
        </w:tc>
        <w:tc>
          <w:tcPr>
            <w:tcW w:w="696" w:type="dxa"/>
          </w:tcPr>
          <w:p w:rsidR="003C1E02" w:rsidRPr="00C35BC0" w:rsidRDefault="003C1E02" w:rsidP="00D02664">
            <w:pPr>
              <w:spacing w:after="40"/>
              <w:jc w:val="right"/>
              <w:rPr>
                <w:sz w:val="20"/>
              </w:rPr>
            </w:pPr>
            <w:r w:rsidRPr="00C35BC0">
              <w:rPr>
                <w:sz w:val="20"/>
              </w:rPr>
              <w:t>2%</w:t>
            </w:r>
          </w:p>
        </w:tc>
      </w:tr>
      <w:tr w:rsidR="003C1E02" w:rsidRPr="00C35BC0" w:rsidTr="000D46FF">
        <w:tblPrEx>
          <w:tblCellMar>
            <w:top w:w="0" w:type="dxa"/>
            <w:bottom w:w="0" w:type="dxa"/>
          </w:tblCellMar>
        </w:tblPrEx>
        <w:trPr>
          <w:trHeight w:val="216"/>
        </w:trPr>
        <w:tc>
          <w:tcPr>
            <w:tcW w:w="2160" w:type="dxa"/>
          </w:tcPr>
          <w:p w:rsidR="003C1E02" w:rsidRPr="00C35BC0" w:rsidRDefault="003C1E02" w:rsidP="00D02664">
            <w:pPr>
              <w:spacing w:after="40"/>
              <w:rPr>
                <w:sz w:val="20"/>
              </w:rPr>
            </w:pPr>
            <w:r w:rsidRPr="00C35BC0">
              <w:rPr>
                <w:sz w:val="20"/>
              </w:rPr>
              <w:t>OM inadmissible</w:t>
            </w:r>
          </w:p>
        </w:tc>
        <w:tc>
          <w:tcPr>
            <w:tcW w:w="654" w:type="dxa"/>
          </w:tcPr>
          <w:p w:rsidR="003C1E02" w:rsidRPr="00C35BC0" w:rsidRDefault="003C1E02" w:rsidP="00D02664">
            <w:pPr>
              <w:spacing w:after="40"/>
              <w:jc w:val="right"/>
              <w:rPr>
                <w:sz w:val="20"/>
              </w:rPr>
            </w:pPr>
            <w:r w:rsidRPr="00C35BC0">
              <w:rPr>
                <w:sz w:val="20"/>
              </w:rPr>
              <w:t>1</w:t>
            </w:r>
          </w:p>
        </w:tc>
        <w:tc>
          <w:tcPr>
            <w:tcW w:w="655" w:type="dxa"/>
          </w:tcPr>
          <w:p w:rsidR="003C1E02" w:rsidRPr="00C35BC0" w:rsidRDefault="003C1E02" w:rsidP="00D02664">
            <w:pPr>
              <w:spacing w:after="40"/>
              <w:jc w:val="right"/>
              <w:rPr>
                <w:sz w:val="20"/>
              </w:rPr>
            </w:pPr>
            <w:r w:rsidRPr="00C35BC0">
              <w:rPr>
                <w:sz w:val="20"/>
              </w:rPr>
              <w:t>1</w:t>
            </w:r>
          </w:p>
        </w:tc>
        <w:tc>
          <w:tcPr>
            <w:tcW w:w="654" w:type="dxa"/>
          </w:tcPr>
          <w:p w:rsidR="003C1E02" w:rsidRPr="00C35BC0" w:rsidRDefault="003C1E02" w:rsidP="00D02664">
            <w:pPr>
              <w:spacing w:after="40"/>
              <w:jc w:val="right"/>
              <w:rPr>
                <w:sz w:val="20"/>
              </w:rPr>
            </w:pPr>
            <w:r w:rsidRPr="00C35BC0">
              <w:rPr>
                <w:sz w:val="20"/>
              </w:rPr>
              <w:t>0</w:t>
            </w:r>
          </w:p>
        </w:tc>
        <w:tc>
          <w:tcPr>
            <w:tcW w:w="655" w:type="dxa"/>
          </w:tcPr>
          <w:p w:rsidR="003C1E02" w:rsidRPr="00C35BC0" w:rsidRDefault="003C1E02" w:rsidP="00D02664">
            <w:pPr>
              <w:spacing w:after="40"/>
              <w:jc w:val="right"/>
              <w:rPr>
                <w:sz w:val="20"/>
              </w:rPr>
            </w:pPr>
            <w:r w:rsidRPr="00C35BC0">
              <w:rPr>
                <w:sz w:val="20"/>
              </w:rPr>
              <w:t>0</w:t>
            </w:r>
          </w:p>
        </w:tc>
        <w:tc>
          <w:tcPr>
            <w:tcW w:w="654" w:type="dxa"/>
            <w:tcBorders>
              <w:right w:val="single" w:sz="4" w:space="0" w:color="auto"/>
            </w:tcBorders>
          </w:tcPr>
          <w:p w:rsidR="003C1E02" w:rsidRPr="00C35BC0" w:rsidRDefault="003C1E02" w:rsidP="00D02664">
            <w:pPr>
              <w:spacing w:after="40"/>
              <w:jc w:val="right"/>
              <w:rPr>
                <w:sz w:val="20"/>
              </w:rPr>
            </w:pPr>
            <w:r w:rsidRPr="00C35BC0">
              <w:rPr>
                <w:sz w:val="20"/>
              </w:rPr>
              <w:t>0</w:t>
            </w:r>
          </w:p>
        </w:tc>
        <w:tc>
          <w:tcPr>
            <w:tcW w:w="448" w:type="dxa"/>
            <w:tcBorders>
              <w:top w:val="nil"/>
              <w:left w:val="single" w:sz="4" w:space="0" w:color="auto"/>
              <w:bottom w:val="nil"/>
              <w:right w:val="single" w:sz="4" w:space="0" w:color="auto"/>
            </w:tcBorders>
          </w:tcPr>
          <w:p w:rsidR="003C1E02" w:rsidRPr="00C35BC0" w:rsidRDefault="003C1E02" w:rsidP="00D02664">
            <w:pPr>
              <w:spacing w:after="40"/>
              <w:jc w:val="right"/>
              <w:rPr>
                <w:sz w:val="20"/>
              </w:rPr>
            </w:pPr>
          </w:p>
        </w:tc>
        <w:tc>
          <w:tcPr>
            <w:tcW w:w="696" w:type="dxa"/>
            <w:tcBorders>
              <w:left w:val="single" w:sz="4" w:space="0" w:color="auto"/>
            </w:tcBorders>
          </w:tcPr>
          <w:p w:rsidR="003C1E02" w:rsidRPr="00C35BC0" w:rsidRDefault="003C1E02" w:rsidP="00D02664">
            <w:pPr>
              <w:spacing w:after="40"/>
              <w:jc w:val="right"/>
              <w:rPr>
                <w:sz w:val="20"/>
              </w:rPr>
            </w:pPr>
            <w:r w:rsidRPr="00C35BC0">
              <w:rPr>
                <w:sz w:val="20"/>
              </w:rPr>
              <w:t>1%</w:t>
            </w:r>
          </w:p>
        </w:tc>
        <w:tc>
          <w:tcPr>
            <w:tcW w:w="696" w:type="dxa"/>
          </w:tcPr>
          <w:p w:rsidR="003C1E02" w:rsidRPr="00C35BC0" w:rsidRDefault="003C1E02" w:rsidP="00D02664">
            <w:pPr>
              <w:spacing w:after="40"/>
              <w:jc w:val="right"/>
              <w:rPr>
                <w:sz w:val="20"/>
              </w:rPr>
            </w:pPr>
            <w:r w:rsidRPr="00C35BC0">
              <w:rPr>
                <w:sz w:val="20"/>
              </w:rPr>
              <w:t>1%</w:t>
            </w:r>
          </w:p>
        </w:tc>
        <w:tc>
          <w:tcPr>
            <w:tcW w:w="696" w:type="dxa"/>
          </w:tcPr>
          <w:p w:rsidR="003C1E02" w:rsidRPr="00C35BC0" w:rsidRDefault="003C1E02" w:rsidP="00D02664">
            <w:pPr>
              <w:spacing w:after="40"/>
              <w:jc w:val="right"/>
              <w:rPr>
                <w:sz w:val="20"/>
              </w:rPr>
            </w:pPr>
            <w:r w:rsidRPr="00C35BC0">
              <w:rPr>
                <w:sz w:val="20"/>
              </w:rPr>
              <w:t>0%</w:t>
            </w:r>
          </w:p>
        </w:tc>
        <w:tc>
          <w:tcPr>
            <w:tcW w:w="696" w:type="dxa"/>
          </w:tcPr>
          <w:p w:rsidR="003C1E02" w:rsidRPr="00C35BC0" w:rsidRDefault="003C1E02" w:rsidP="00D02664">
            <w:pPr>
              <w:spacing w:after="40"/>
              <w:jc w:val="right"/>
              <w:rPr>
                <w:sz w:val="20"/>
              </w:rPr>
            </w:pPr>
            <w:r w:rsidRPr="00C35BC0">
              <w:rPr>
                <w:sz w:val="20"/>
              </w:rPr>
              <w:t>0%</w:t>
            </w:r>
          </w:p>
        </w:tc>
        <w:tc>
          <w:tcPr>
            <w:tcW w:w="696" w:type="dxa"/>
          </w:tcPr>
          <w:p w:rsidR="003C1E02" w:rsidRPr="00C35BC0" w:rsidRDefault="003C1E02" w:rsidP="00D02664">
            <w:pPr>
              <w:spacing w:after="40"/>
              <w:jc w:val="right"/>
              <w:rPr>
                <w:sz w:val="20"/>
              </w:rPr>
            </w:pPr>
            <w:r w:rsidRPr="00C35BC0">
              <w:rPr>
                <w:sz w:val="20"/>
              </w:rPr>
              <w:t>0%</w:t>
            </w:r>
          </w:p>
        </w:tc>
      </w:tr>
      <w:tr w:rsidR="003C1E02" w:rsidRPr="00C35BC0" w:rsidTr="005E6F32">
        <w:tblPrEx>
          <w:tblCellMar>
            <w:top w:w="0" w:type="dxa"/>
            <w:bottom w:w="0" w:type="dxa"/>
          </w:tblCellMar>
        </w:tblPrEx>
        <w:trPr>
          <w:trHeight w:val="216"/>
        </w:trPr>
        <w:tc>
          <w:tcPr>
            <w:tcW w:w="2160" w:type="dxa"/>
            <w:tcBorders>
              <w:bottom w:val="nil"/>
            </w:tcBorders>
          </w:tcPr>
          <w:p w:rsidR="003C1E02" w:rsidRPr="00C35BC0" w:rsidRDefault="003C1E02" w:rsidP="00D02664">
            <w:pPr>
              <w:spacing w:after="40"/>
              <w:rPr>
                <w:sz w:val="20"/>
              </w:rPr>
            </w:pPr>
            <w:r w:rsidRPr="00C35BC0">
              <w:rPr>
                <w:sz w:val="20"/>
              </w:rPr>
              <w:t>Acquittal on a point of law</w:t>
            </w:r>
          </w:p>
        </w:tc>
        <w:tc>
          <w:tcPr>
            <w:tcW w:w="654" w:type="dxa"/>
            <w:tcBorders>
              <w:bottom w:val="nil"/>
            </w:tcBorders>
          </w:tcPr>
          <w:p w:rsidR="003C1E02" w:rsidRPr="00C35BC0" w:rsidRDefault="003C1E02" w:rsidP="00D02664">
            <w:pPr>
              <w:spacing w:after="40"/>
              <w:jc w:val="right"/>
              <w:rPr>
                <w:sz w:val="20"/>
              </w:rPr>
            </w:pPr>
            <w:r w:rsidRPr="00C35BC0">
              <w:rPr>
                <w:sz w:val="20"/>
              </w:rPr>
              <w:t>0</w:t>
            </w:r>
          </w:p>
        </w:tc>
        <w:tc>
          <w:tcPr>
            <w:tcW w:w="655" w:type="dxa"/>
            <w:tcBorders>
              <w:bottom w:val="nil"/>
            </w:tcBorders>
          </w:tcPr>
          <w:p w:rsidR="003C1E02" w:rsidRPr="00C35BC0" w:rsidRDefault="003C1E02" w:rsidP="00D02664">
            <w:pPr>
              <w:spacing w:after="40"/>
              <w:jc w:val="right"/>
              <w:rPr>
                <w:sz w:val="20"/>
              </w:rPr>
            </w:pPr>
            <w:r w:rsidRPr="00C35BC0">
              <w:rPr>
                <w:sz w:val="20"/>
              </w:rPr>
              <w:t>0</w:t>
            </w:r>
          </w:p>
        </w:tc>
        <w:tc>
          <w:tcPr>
            <w:tcW w:w="654" w:type="dxa"/>
            <w:tcBorders>
              <w:bottom w:val="nil"/>
            </w:tcBorders>
          </w:tcPr>
          <w:p w:rsidR="003C1E02" w:rsidRPr="00C35BC0" w:rsidRDefault="003C1E02" w:rsidP="00D02664">
            <w:pPr>
              <w:spacing w:after="40"/>
              <w:jc w:val="right"/>
              <w:rPr>
                <w:sz w:val="20"/>
              </w:rPr>
            </w:pPr>
            <w:r w:rsidRPr="00C35BC0">
              <w:rPr>
                <w:sz w:val="20"/>
              </w:rPr>
              <w:t>0</w:t>
            </w:r>
          </w:p>
        </w:tc>
        <w:tc>
          <w:tcPr>
            <w:tcW w:w="655" w:type="dxa"/>
            <w:tcBorders>
              <w:bottom w:val="nil"/>
            </w:tcBorders>
          </w:tcPr>
          <w:p w:rsidR="003C1E02" w:rsidRPr="00C35BC0" w:rsidRDefault="003C1E02" w:rsidP="00D02664">
            <w:pPr>
              <w:spacing w:after="40"/>
              <w:jc w:val="right"/>
              <w:rPr>
                <w:sz w:val="20"/>
              </w:rPr>
            </w:pPr>
            <w:r w:rsidRPr="00C35BC0">
              <w:rPr>
                <w:sz w:val="20"/>
              </w:rPr>
              <w:t>0</w:t>
            </w:r>
          </w:p>
        </w:tc>
        <w:tc>
          <w:tcPr>
            <w:tcW w:w="654" w:type="dxa"/>
            <w:tcBorders>
              <w:bottom w:val="nil"/>
              <w:right w:val="single" w:sz="4" w:space="0" w:color="auto"/>
            </w:tcBorders>
          </w:tcPr>
          <w:p w:rsidR="003C1E02" w:rsidRPr="00C35BC0" w:rsidRDefault="003C1E02" w:rsidP="00D02664">
            <w:pPr>
              <w:spacing w:after="40"/>
              <w:jc w:val="right"/>
              <w:rPr>
                <w:sz w:val="20"/>
              </w:rPr>
            </w:pPr>
            <w:r w:rsidRPr="00C35BC0">
              <w:rPr>
                <w:sz w:val="20"/>
              </w:rPr>
              <w:t>0</w:t>
            </w:r>
          </w:p>
        </w:tc>
        <w:tc>
          <w:tcPr>
            <w:tcW w:w="448" w:type="dxa"/>
            <w:tcBorders>
              <w:top w:val="nil"/>
              <w:left w:val="single" w:sz="4" w:space="0" w:color="auto"/>
              <w:bottom w:val="nil"/>
              <w:right w:val="single" w:sz="4" w:space="0" w:color="auto"/>
            </w:tcBorders>
          </w:tcPr>
          <w:p w:rsidR="003C1E02" w:rsidRPr="00C35BC0" w:rsidRDefault="003C1E02" w:rsidP="00D02664">
            <w:pPr>
              <w:spacing w:after="40"/>
              <w:jc w:val="right"/>
              <w:rPr>
                <w:sz w:val="20"/>
              </w:rPr>
            </w:pPr>
          </w:p>
        </w:tc>
        <w:tc>
          <w:tcPr>
            <w:tcW w:w="696" w:type="dxa"/>
            <w:tcBorders>
              <w:left w:val="single" w:sz="4" w:space="0" w:color="auto"/>
              <w:bottom w:val="nil"/>
            </w:tcBorders>
          </w:tcPr>
          <w:p w:rsidR="003C1E02" w:rsidRPr="00C35BC0" w:rsidRDefault="003C1E02" w:rsidP="00D02664">
            <w:pPr>
              <w:spacing w:after="40"/>
              <w:jc w:val="right"/>
              <w:rPr>
                <w:sz w:val="20"/>
              </w:rPr>
            </w:pPr>
            <w:r w:rsidRPr="00C35BC0">
              <w:rPr>
                <w:sz w:val="20"/>
              </w:rPr>
              <w:t>0%</w:t>
            </w:r>
          </w:p>
        </w:tc>
        <w:tc>
          <w:tcPr>
            <w:tcW w:w="696" w:type="dxa"/>
            <w:tcBorders>
              <w:bottom w:val="nil"/>
            </w:tcBorders>
          </w:tcPr>
          <w:p w:rsidR="003C1E02" w:rsidRPr="00C35BC0" w:rsidRDefault="003C1E02" w:rsidP="00D02664">
            <w:pPr>
              <w:spacing w:after="40"/>
              <w:jc w:val="right"/>
              <w:rPr>
                <w:sz w:val="20"/>
              </w:rPr>
            </w:pPr>
            <w:r w:rsidRPr="00C35BC0">
              <w:rPr>
                <w:sz w:val="20"/>
              </w:rPr>
              <w:t>0%</w:t>
            </w:r>
          </w:p>
        </w:tc>
        <w:tc>
          <w:tcPr>
            <w:tcW w:w="696" w:type="dxa"/>
            <w:tcBorders>
              <w:bottom w:val="nil"/>
            </w:tcBorders>
          </w:tcPr>
          <w:p w:rsidR="003C1E02" w:rsidRPr="00C35BC0" w:rsidRDefault="003C1E02" w:rsidP="00D02664">
            <w:pPr>
              <w:spacing w:after="40"/>
              <w:jc w:val="right"/>
              <w:rPr>
                <w:sz w:val="20"/>
              </w:rPr>
            </w:pPr>
            <w:r w:rsidRPr="00C35BC0">
              <w:rPr>
                <w:sz w:val="20"/>
              </w:rPr>
              <w:t>0%</w:t>
            </w:r>
          </w:p>
        </w:tc>
        <w:tc>
          <w:tcPr>
            <w:tcW w:w="696" w:type="dxa"/>
            <w:tcBorders>
              <w:bottom w:val="nil"/>
            </w:tcBorders>
          </w:tcPr>
          <w:p w:rsidR="003C1E02" w:rsidRPr="00C35BC0" w:rsidRDefault="003C1E02" w:rsidP="00D02664">
            <w:pPr>
              <w:spacing w:after="40"/>
              <w:jc w:val="right"/>
              <w:rPr>
                <w:sz w:val="20"/>
              </w:rPr>
            </w:pPr>
            <w:r w:rsidRPr="00C35BC0">
              <w:rPr>
                <w:sz w:val="20"/>
              </w:rPr>
              <w:t>0%</w:t>
            </w:r>
          </w:p>
        </w:tc>
        <w:tc>
          <w:tcPr>
            <w:tcW w:w="696" w:type="dxa"/>
            <w:tcBorders>
              <w:bottom w:val="nil"/>
            </w:tcBorders>
          </w:tcPr>
          <w:p w:rsidR="003C1E02" w:rsidRPr="00C35BC0" w:rsidRDefault="003C1E02" w:rsidP="00D02664">
            <w:pPr>
              <w:spacing w:after="40"/>
              <w:jc w:val="right"/>
              <w:rPr>
                <w:sz w:val="20"/>
              </w:rPr>
            </w:pPr>
            <w:r w:rsidRPr="00C35BC0">
              <w:rPr>
                <w:sz w:val="20"/>
              </w:rPr>
              <w:t>0%</w:t>
            </w:r>
          </w:p>
        </w:tc>
      </w:tr>
      <w:tr w:rsidR="003C1E02" w:rsidRPr="00C35BC0" w:rsidTr="005E6F32">
        <w:tblPrEx>
          <w:tblCellMar>
            <w:top w:w="0" w:type="dxa"/>
            <w:bottom w:w="0" w:type="dxa"/>
          </w:tblCellMar>
        </w:tblPrEx>
        <w:trPr>
          <w:trHeight w:val="216"/>
        </w:trPr>
        <w:tc>
          <w:tcPr>
            <w:tcW w:w="2160" w:type="dxa"/>
            <w:tcBorders>
              <w:top w:val="nil"/>
              <w:bottom w:val="nil"/>
            </w:tcBorders>
          </w:tcPr>
          <w:p w:rsidR="003C1E02" w:rsidRPr="00C35BC0" w:rsidRDefault="003C1E02" w:rsidP="00D02664">
            <w:pPr>
              <w:spacing w:after="40"/>
              <w:rPr>
                <w:sz w:val="20"/>
              </w:rPr>
            </w:pPr>
            <w:r w:rsidRPr="00C35BC0">
              <w:rPr>
                <w:sz w:val="20"/>
              </w:rPr>
              <w:t xml:space="preserve">Conviction without imposition of a penalty </w:t>
            </w:r>
          </w:p>
        </w:tc>
        <w:tc>
          <w:tcPr>
            <w:tcW w:w="654" w:type="dxa"/>
            <w:tcBorders>
              <w:top w:val="nil"/>
              <w:bottom w:val="nil"/>
            </w:tcBorders>
          </w:tcPr>
          <w:p w:rsidR="003C1E02" w:rsidRPr="00C35BC0" w:rsidRDefault="003C1E02" w:rsidP="00D02664">
            <w:pPr>
              <w:spacing w:after="40"/>
              <w:jc w:val="right"/>
              <w:rPr>
                <w:sz w:val="20"/>
              </w:rPr>
            </w:pPr>
            <w:r w:rsidRPr="00C35BC0">
              <w:rPr>
                <w:sz w:val="20"/>
              </w:rPr>
              <w:t>2</w:t>
            </w:r>
          </w:p>
        </w:tc>
        <w:tc>
          <w:tcPr>
            <w:tcW w:w="655" w:type="dxa"/>
            <w:tcBorders>
              <w:top w:val="nil"/>
              <w:bottom w:val="nil"/>
            </w:tcBorders>
          </w:tcPr>
          <w:p w:rsidR="003C1E02" w:rsidRPr="00C35BC0" w:rsidRDefault="003C1E02" w:rsidP="00D02664">
            <w:pPr>
              <w:spacing w:after="40"/>
              <w:jc w:val="right"/>
              <w:rPr>
                <w:sz w:val="20"/>
              </w:rPr>
            </w:pPr>
            <w:r w:rsidRPr="00C35BC0">
              <w:rPr>
                <w:sz w:val="20"/>
              </w:rPr>
              <w:t>1</w:t>
            </w:r>
          </w:p>
        </w:tc>
        <w:tc>
          <w:tcPr>
            <w:tcW w:w="654" w:type="dxa"/>
            <w:tcBorders>
              <w:top w:val="nil"/>
              <w:bottom w:val="nil"/>
            </w:tcBorders>
          </w:tcPr>
          <w:p w:rsidR="003C1E02" w:rsidRPr="00C35BC0" w:rsidRDefault="003C1E02" w:rsidP="00D02664">
            <w:pPr>
              <w:spacing w:after="40"/>
              <w:jc w:val="right"/>
              <w:rPr>
                <w:sz w:val="20"/>
              </w:rPr>
            </w:pPr>
            <w:r w:rsidRPr="00C35BC0">
              <w:rPr>
                <w:sz w:val="20"/>
              </w:rPr>
              <w:t>1</w:t>
            </w:r>
          </w:p>
        </w:tc>
        <w:tc>
          <w:tcPr>
            <w:tcW w:w="655" w:type="dxa"/>
            <w:tcBorders>
              <w:top w:val="nil"/>
              <w:bottom w:val="nil"/>
            </w:tcBorders>
          </w:tcPr>
          <w:p w:rsidR="003C1E02" w:rsidRPr="00C35BC0" w:rsidRDefault="003C1E02" w:rsidP="00D02664">
            <w:pPr>
              <w:spacing w:after="40"/>
              <w:jc w:val="right"/>
              <w:rPr>
                <w:sz w:val="20"/>
              </w:rPr>
            </w:pPr>
            <w:r w:rsidRPr="00C35BC0">
              <w:rPr>
                <w:sz w:val="20"/>
              </w:rPr>
              <w:t>1</w:t>
            </w:r>
          </w:p>
        </w:tc>
        <w:tc>
          <w:tcPr>
            <w:tcW w:w="654" w:type="dxa"/>
            <w:tcBorders>
              <w:top w:val="nil"/>
              <w:bottom w:val="nil"/>
              <w:right w:val="single" w:sz="4" w:space="0" w:color="auto"/>
            </w:tcBorders>
          </w:tcPr>
          <w:p w:rsidR="003C1E02" w:rsidRPr="00C35BC0" w:rsidRDefault="003C1E02" w:rsidP="00D02664">
            <w:pPr>
              <w:spacing w:after="40"/>
              <w:jc w:val="right"/>
              <w:rPr>
                <w:sz w:val="20"/>
              </w:rPr>
            </w:pPr>
            <w:r w:rsidRPr="00C35BC0">
              <w:rPr>
                <w:sz w:val="20"/>
              </w:rPr>
              <w:t>4</w:t>
            </w:r>
          </w:p>
        </w:tc>
        <w:tc>
          <w:tcPr>
            <w:tcW w:w="448" w:type="dxa"/>
            <w:tcBorders>
              <w:top w:val="nil"/>
              <w:left w:val="single" w:sz="4" w:space="0" w:color="auto"/>
              <w:bottom w:val="nil"/>
              <w:right w:val="single" w:sz="4" w:space="0" w:color="auto"/>
            </w:tcBorders>
          </w:tcPr>
          <w:p w:rsidR="003C1E02" w:rsidRPr="00C35BC0" w:rsidRDefault="003C1E02" w:rsidP="00D02664">
            <w:pPr>
              <w:spacing w:after="40"/>
              <w:jc w:val="right"/>
              <w:rPr>
                <w:sz w:val="20"/>
              </w:rPr>
            </w:pPr>
          </w:p>
        </w:tc>
        <w:tc>
          <w:tcPr>
            <w:tcW w:w="696" w:type="dxa"/>
            <w:tcBorders>
              <w:top w:val="nil"/>
              <w:left w:val="single" w:sz="4" w:space="0" w:color="auto"/>
              <w:bottom w:val="nil"/>
            </w:tcBorders>
          </w:tcPr>
          <w:p w:rsidR="003C1E02" w:rsidRPr="00C35BC0" w:rsidRDefault="003C1E02" w:rsidP="00D02664">
            <w:pPr>
              <w:spacing w:after="40"/>
              <w:jc w:val="right"/>
              <w:rPr>
                <w:sz w:val="20"/>
              </w:rPr>
            </w:pPr>
            <w:r w:rsidRPr="00C35BC0">
              <w:rPr>
                <w:sz w:val="20"/>
              </w:rPr>
              <w:t>1%</w:t>
            </w:r>
          </w:p>
        </w:tc>
        <w:tc>
          <w:tcPr>
            <w:tcW w:w="696" w:type="dxa"/>
            <w:tcBorders>
              <w:top w:val="nil"/>
              <w:bottom w:val="nil"/>
            </w:tcBorders>
          </w:tcPr>
          <w:p w:rsidR="003C1E02" w:rsidRPr="00C35BC0" w:rsidRDefault="003C1E02" w:rsidP="00D02664">
            <w:pPr>
              <w:spacing w:after="40"/>
              <w:jc w:val="right"/>
              <w:rPr>
                <w:sz w:val="20"/>
              </w:rPr>
            </w:pPr>
            <w:r w:rsidRPr="00C35BC0">
              <w:rPr>
                <w:sz w:val="20"/>
              </w:rPr>
              <w:t>1%</w:t>
            </w:r>
          </w:p>
        </w:tc>
        <w:tc>
          <w:tcPr>
            <w:tcW w:w="696" w:type="dxa"/>
            <w:tcBorders>
              <w:top w:val="nil"/>
              <w:bottom w:val="nil"/>
            </w:tcBorders>
          </w:tcPr>
          <w:p w:rsidR="003C1E02" w:rsidRPr="00C35BC0" w:rsidRDefault="003C1E02" w:rsidP="00D02664">
            <w:pPr>
              <w:spacing w:after="40"/>
              <w:jc w:val="right"/>
              <w:rPr>
                <w:sz w:val="20"/>
              </w:rPr>
            </w:pPr>
            <w:r w:rsidRPr="00C35BC0">
              <w:rPr>
                <w:sz w:val="20"/>
              </w:rPr>
              <w:t>1%</w:t>
            </w:r>
          </w:p>
        </w:tc>
        <w:tc>
          <w:tcPr>
            <w:tcW w:w="696" w:type="dxa"/>
            <w:tcBorders>
              <w:top w:val="nil"/>
              <w:bottom w:val="nil"/>
            </w:tcBorders>
          </w:tcPr>
          <w:p w:rsidR="003C1E02" w:rsidRPr="00C35BC0" w:rsidRDefault="003C1E02" w:rsidP="00D02664">
            <w:pPr>
              <w:spacing w:after="40"/>
              <w:jc w:val="right"/>
              <w:rPr>
                <w:sz w:val="20"/>
              </w:rPr>
            </w:pPr>
            <w:r w:rsidRPr="00C35BC0">
              <w:rPr>
                <w:sz w:val="20"/>
              </w:rPr>
              <w:t>1%</w:t>
            </w:r>
          </w:p>
        </w:tc>
        <w:tc>
          <w:tcPr>
            <w:tcW w:w="696" w:type="dxa"/>
            <w:tcBorders>
              <w:top w:val="nil"/>
              <w:bottom w:val="nil"/>
            </w:tcBorders>
          </w:tcPr>
          <w:p w:rsidR="003C1E02" w:rsidRPr="00C35BC0" w:rsidRDefault="003C1E02" w:rsidP="00D02664">
            <w:pPr>
              <w:spacing w:after="40"/>
              <w:jc w:val="right"/>
              <w:rPr>
                <w:sz w:val="20"/>
              </w:rPr>
            </w:pPr>
            <w:r w:rsidRPr="00C35BC0">
              <w:rPr>
                <w:sz w:val="20"/>
              </w:rPr>
              <w:t>2%</w:t>
            </w:r>
          </w:p>
        </w:tc>
      </w:tr>
      <w:tr w:rsidR="003C1E02" w:rsidRPr="00C35BC0" w:rsidTr="005E6F32">
        <w:tblPrEx>
          <w:tblCellMar>
            <w:top w:w="0" w:type="dxa"/>
            <w:bottom w:w="0" w:type="dxa"/>
          </w:tblCellMar>
        </w:tblPrEx>
        <w:trPr>
          <w:trHeight w:val="216"/>
        </w:trPr>
        <w:tc>
          <w:tcPr>
            <w:tcW w:w="2160" w:type="dxa"/>
            <w:tcBorders>
              <w:top w:val="nil"/>
              <w:bottom w:val="single" w:sz="4" w:space="0" w:color="auto"/>
            </w:tcBorders>
          </w:tcPr>
          <w:p w:rsidR="003C1E02" w:rsidRPr="00C35BC0" w:rsidRDefault="003C1E02" w:rsidP="00D02664">
            <w:pPr>
              <w:spacing w:after="40"/>
              <w:rPr>
                <w:sz w:val="20"/>
              </w:rPr>
            </w:pPr>
            <w:r w:rsidRPr="00C35BC0">
              <w:rPr>
                <w:sz w:val="20"/>
              </w:rPr>
              <w:t>Unknown</w:t>
            </w:r>
          </w:p>
        </w:tc>
        <w:tc>
          <w:tcPr>
            <w:tcW w:w="654" w:type="dxa"/>
            <w:tcBorders>
              <w:top w:val="nil"/>
              <w:bottom w:val="single" w:sz="4" w:space="0" w:color="auto"/>
            </w:tcBorders>
          </w:tcPr>
          <w:p w:rsidR="003C1E02" w:rsidRPr="00C35BC0" w:rsidRDefault="003C1E02" w:rsidP="00D02664">
            <w:pPr>
              <w:spacing w:after="40"/>
              <w:jc w:val="right"/>
              <w:rPr>
                <w:sz w:val="20"/>
              </w:rPr>
            </w:pPr>
            <w:r w:rsidRPr="00C35BC0">
              <w:rPr>
                <w:sz w:val="20"/>
              </w:rPr>
              <w:t>5</w:t>
            </w:r>
          </w:p>
        </w:tc>
        <w:tc>
          <w:tcPr>
            <w:tcW w:w="655" w:type="dxa"/>
            <w:tcBorders>
              <w:top w:val="nil"/>
              <w:bottom w:val="single" w:sz="4" w:space="0" w:color="auto"/>
            </w:tcBorders>
          </w:tcPr>
          <w:p w:rsidR="003C1E02" w:rsidRPr="00C35BC0" w:rsidRDefault="003C1E02" w:rsidP="00D02664">
            <w:pPr>
              <w:spacing w:after="40"/>
              <w:jc w:val="right"/>
              <w:rPr>
                <w:sz w:val="20"/>
              </w:rPr>
            </w:pPr>
            <w:r w:rsidRPr="00C35BC0">
              <w:rPr>
                <w:sz w:val="20"/>
              </w:rPr>
              <w:t>4</w:t>
            </w:r>
          </w:p>
        </w:tc>
        <w:tc>
          <w:tcPr>
            <w:tcW w:w="654" w:type="dxa"/>
            <w:tcBorders>
              <w:top w:val="nil"/>
              <w:bottom w:val="single" w:sz="4" w:space="0" w:color="auto"/>
            </w:tcBorders>
          </w:tcPr>
          <w:p w:rsidR="003C1E02" w:rsidRPr="00C35BC0" w:rsidRDefault="003C1E02" w:rsidP="00D02664">
            <w:pPr>
              <w:spacing w:after="40"/>
              <w:jc w:val="right"/>
              <w:rPr>
                <w:sz w:val="20"/>
              </w:rPr>
            </w:pPr>
            <w:r w:rsidRPr="00C35BC0">
              <w:rPr>
                <w:sz w:val="20"/>
              </w:rPr>
              <w:t>5</w:t>
            </w:r>
          </w:p>
        </w:tc>
        <w:tc>
          <w:tcPr>
            <w:tcW w:w="655" w:type="dxa"/>
            <w:tcBorders>
              <w:top w:val="nil"/>
              <w:bottom w:val="single" w:sz="4" w:space="0" w:color="auto"/>
            </w:tcBorders>
          </w:tcPr>
          <w:p w:rsidR="003C1E02" w:rsidRPr="00C35BC0" w:rsidRDefault="003C1E02" w:rsidP="00D02664">
            <w:pPr>
              <w:spacing w:after="40"/>
              <w:jc w:val="right"/>
              <w:rPr>
                <w:sz w:val="20"/>
              </w:rPr>
            </w:pPr>
            <w:r w:rsidRPr="00C35BC0">
              <w:rPr>
                <w:sz w:val="20"/>
              </w:rPr>
              <w:t>6</w:t>
            </w:r>
          </w:p>
        </w:tc>
        <w:tc>
          <w:tcPr>
            <w:tcW w:w="654" w:type="dxa"/>
            <w:tcBorders>
              <w:top w:val="nil"/>
              <w:bottom w:val="single" w:sz="4" w:space="0" w:color="auto"/>
              <w:right w:val="single" w:sz="4" w:space="0" w:color="auto"/>
            </w:tcBorders>
          </w:tcPr>
          <w:p w:rsidR="003C1E02" w:rsidRPr="00C35BC0" w:rsidRDefault="003C1E02" w:rsidP="00D02664">
            <w:pPr>
              <w:spacing w:after="40"/>
              <w:jc w:val="right"/>
              <w:rPr>
                <w:sz w:val="20"/>
              </w:rPr>
            </w:pPr>
            <w:r w:rsidRPr="00C35BC0">
              <w:rPr>
                <w:sz w:val="20"/>
              </w:rPr>
              <w:t>9</w:t>
            </w:r>
          </w:p>
        </w:tc>
        <w:tc>
          <w:tcPr>
            <w:tcW w:w="448" w:type="dxa"/>
            <w:tcBorders>
              <w:top w:val="nil"/>
              <w:left w:val="single" w:sz="4" w:space="0" w:color="auto"/>
              <w:bottom w:val="nil"/>
              <w:right w:val="single" w:sz="4" w:space="0" w:color="auto"/>
            </w:tcBorders>
          </w:tcPr>
          <w:p w:rsidR="003C1E02" w:rsidRPr="00C35BC0" w:rsidRDefault="003C1E02" w:rsidP="00D02664">
            <w:pPr>
              <w:spacing w:after="40"/>
              <w:jc w:val="right"/>
              <w:rPr>
                <w:sz w:val="20"/>
              </w:rPr>
            </w:pPr>
          </w:p>
        </w:tc>
        <w:tc>
          <w:tcPr>
            <w:tcW w:w="696" w:type="dxa"/>
            <w:tcBorders>
              <w:top w:val="nil"/>
              <w:left w:val="single" w:sz="4" w:space="0" w:color="auto"/>
              <w:bottom w:val="single" w:sz="4" w:space="0" w:color="auto"/>
            </w:tcBorders>
          </w:tcPr>
          <w:p w:rsidR="003C1E02" w:rsidRPr="00C35BC0" w:rsidRDefault="003C1E02" w:rsidP="00D02664">
            <w:pPr>
              <w:spacing w:after="40"/>
              <w:jc w:val="right"/>
              <w:rPr>
                <w:sz w:val="20"/>
              </w:rPr>
            </w:pPr>
            <w:r w:rsidRPr="00C35BC0">
              <w:rPr>
                <w:sz w:val="20"/>
              </w:rPr>
              <w:t>4%</w:t>
            </w:r>
          </w:p>
        </w:tc>
        <w:tc>
          <w:tcPr>
            <w:tcW w:w="696" w:type="dxa"/>
            <w:tcBorders>
              <w:top w:val="nil"/>
              <w:bottom w:val="single" w:sz="4" w:space="0" w:color="auto"/>
            </w:tcBorders>
          </w:tcPr>
          <w:p w:rsidR="003C1E02" w:rsidRPr="00C35BC0" w:rsidRDefault="003C1E02" w:rsidP="00D02664">
            <w:pPr>
              <w:spacing w:after="40"/>
              <w:jc w:val="right"/>
              <w:rPr>
                <w:sz w:val="20"/>
              </w:rPr>
            </w:pPr>
            <w:r w:rsidRPr="00C35BC0">
              <w:rPr>
                <w:sz w:val="20"/>
              </w:rPr>
              <w:t>3%</w:t>
            </w:r>
          </w:p>
        </w:tc>
        <w:tc>
          <w:tcPr>
            <w:tcW w:w="696" w:type="dxa"/>
            <w:tcBorders>
              <w:top w:val="nil"/>
              <w:bottom w:val="single" w:sz="4" w:space="0" w:color="auto"/>
            </w:tcBorders>
          </w:tcPr>
          <w:p w:rsidR="003C1E02" w:rsidRPr="00C35BC0" w:rsidRDefault="003C1E02" w:rsidP="00D02664">
            <w:pPr>
              <w:spacing w:after="40"/>
              <w:jc w:val="right"/>
              <w:rPr>
                <w:sz w:val="20"/>
              </w:rPr>
            </w:pPr>
            <w:r w:rsidRPr="00C35BC0">
              <w:rPr>
                <w:sz w:val="20"/>
              </w:rPr>
              <w:t>4%</w:t>
            </w:r>
          </w:p>
        </w:tc>
        <w:tc>
          <w:tcPr>
            <w:tcW w:w="696" w:type="dxa"/>
            <w:tcBorders>
              <w:top w:val="nil"/>
              <w:bottom w:val="single" w:sz="4" w:space="0" w:color="auto"/>
            </w:tcBorders>
          </w:tcPr>
          <w:p w:rsidR="003C1E02" w:rsidRPr="00C35BC0" w:rsidRDefault="003C1E02" w:rsidP="00D02664">
            <w:pPr>
              <w:spacing w:after="40"/>
              <w:jc w:val="right"/>
              <w:rPr>
                <w:sz w:val="20"/>
              </w:rPr>
            </w:pPr>
            <w:r w:rsidRPr="00C35BC0">
              <w:rPr>
                <w:sz w:val="20"/>
              </w:rPr>
              <w:t>4%</w:t>
            </w:r>
          </w:p>
        </w:tc>
        <w:tc>
          <w:tcPr>
            <w:tcW w:w="696" w:type="dxa"/>
            <w:tcBorders>
              <w:top w:val="nil"/>
              <w:bottom w:val="single" w:sz="4" w:space="0" w:color="auto"/>
            </w:tcBorders>
          </w:tcPr>
          <w:p w:rsidR="003C1E02" w:rsidRPr="00C35BC0" w:rsidRDefault="003C1E02" w:rsidP="00D02664">
            <w:pPr>
              <w:spacing w:after="40"/>
              <w:jc w:val="right"/>
              <w:rPr>
                <w:sz w:val="20"/>
              </w:rPr>
            </w:pPr>
            <w:r w:rsidRPr="00C35BC0">
              <w:rPr>
                <w:sz w:val="20"/>
              </w:rPr>
              <w:t>5%</w:t>
            </w:r>
          </w:p>
        </w:tc>
      </w:tr>
      <w:tr w:rsidR="003C1E02" w:rsidRPr="00C35BC0" w:rsidTr="000D46FF">
        <w:tblPrEx>
          <w:tblCellMar>
            <w:top w:w="0" w:type="dxa"/>
            <w:bottom w:w="0" w:type="dxa"/>
          </w:tblCellMar>
        </w:tblPrEx>
        <w:trPr>
          <w:trHeight w:val="216"/>
        </w:trPr>
        <w:tc>
          <w:tcPr>
            <w:tcW w:w="2160" w:type="dxa"/>
            <w:tcBorders>
              <w:top w:val="single" w:sz="4" w:space="0" w:color="auto"/>
            </w:tcBorders>
          </w:tcPr>
          <w:p w:rsidR="003C1E02" w:rsidRPr="00C35BC0" w:rsidRDefault="003C1E02" w:rsidP="00D02664">
            <w:pPr>
              <w:spacing w:after="40"/>
              <w:rPr>
                <w:snapToGrid w:val="0"/>
                <w:color w:val="000000"/>
                <w:sz w:val="20"/>
              </w:rPr>
            </w:pPr>
            <w:r w:rsidRPr="00C35BC0">
              <w:rPr>
                <w:snapToGrid w:val="0"/>
                <w:color w:val="000000"/>
                <w:sz w:val="20"/>
              </w:rPr>
              <w:t xml:space="preserve">     Total</w:t>
            </w:r>
          </w:p>
        </w:tc>
        <w:tc>
          <w:tcPr>
            <w:tcW w:w="654" w:type="dxa"/>
            <w:tcBorders>
              <w:top w:val="single" w:sz="4" w:space="0" w:color="auto"/>
            </w:tcBorders>
          </w:tcPr>
          <w:p w:rsidR="003C1E02" w:rsidRPr="00C35BC0" w:rsidRDefault="003C1E02" w:rsidP="00D02664">
            <w:pPr>
              <w:spacing w:after="40"/>
              <w:jc w:val="right"/>
              <w:rPr>
                <w:sz w:val="20"/>
              </w:rPr>
            </w:pPr>
            <w:r w:rsidRPr="00C35BC0">
              <w:rPr>
                <w:sz w:val="20"/>
              </w:rPr>
              <w:t>118</w:t>
            </w:r>
          </w:p>
        </w:tc>
        <w:tc>
          <w:tcPr>
            <w:tcW w:w="655" w:type="dxa"/>
            <w:tcBorders>
              <w:top w:val="single" w:sz="4" w:space="0" w:color="auto"/>
            </w:tcBorders>
          </w:tcPr>
          <w:p w:rsidR="003C1E02" w:rsidRPr="00C35BC0" w:rsidRDefault="003C1E02" w:rsidP="00D02664">
            <w:pPr>
              <w:spacing w:after="40"/>
              <w:jc w:val="right"/>
              <w:rPr>
                <w:sz w:val="20"/>
              </w:rPr>
            </w:pPr>
            <w:r w:rsidRPr="00C35BC0">
              <w:rPr>
                <w:sz w:val="20"/>
              </w:rPr>
              <w:t>128</w:t>
            </w:r>
          </w:p>
        </w:tc>
        <w:tc>
          <w:tcPr>
            <w:tcW w:w="654" w:type="dxa"/>
            <w:tcBorders>
              <w:top w:val="single" w:sz="4" w:space="0" w:color="auto"/>
            </w:tcBorders>
          </w:tcPr>
          <w:p w:rsidR="003C1E02" w:rsidRPr="00C35BC0" w:rsidRDefault="003C1E02" w:rsidP="00D02664">
            <w:pPr>
              <w:spacing w:after="40"/>
              <w:jc w:val="right"/>
              <w:rPr>
                <w:sz w:val="20"/>
              </w:rPr>
            </w:pPr>
            <w:r w:rsidRPr="00C35BC0">
              <w:rPr>
                <w:sz w:val="20"/>
              </w:rPr>
              <w:t>125</w:t>
            </w:r>
          </w:p>
        </w:tc>
        <w:tc>
          <w:tcPr>
            <w:tcW w:w="655" w:type="dxa"/>
            <w:tcBorders>
              <w:top w:val="single" w:sz="4" w:space="0" w:color="auto"/>
            </w:tcBorders>
          </w:tcPr>
          <w:p w:rsidR="003C1E02" w:rsidRPr="00C35BC0" w:rsidRDefault="003C1E02" w:rsidP="00D02664">
            <w:pPr>
              <w:spacing w:after="40"/>
              <w:jc w:val="right"/>
              <w:rPr>
                <w:sz w:val="20"/>
              </w:rPr>
            </w:pPr>
            <w:r w:rsidRPr="00C35BC0">
              <w:rPr>
                <w:sz w:val="20"/>
              </w:rPr>
              <w:t>148</w:t>
            </w:r>
          </w:p>
        </w:tc>
        <w:tc>
          <w:tcPr>
            <w:tcW w:w="654" w:type="dxa"/>
            <w:tcBorders>
              <w:top w:val="single" w:sz="4" w:space="0" w:color="auto"/>
              <w:bottom w:val="single" w:sz="4" w:space="0" w:color="auto"/>
              <w:right w:val="single" w:sz="4" w:space="0" w:color="auto"/>
            </w:tcBorders>
          </w:tcPr>
          <w:p w:rsidR="003C1E02" w:rsidRPr="00C35BC0" w:rsidRDefault="003C1E02" w:rsidP="00D02664">
            <w:pPr>
              <w:spacing w:after="40"/>
              <w:jc w:val="right"/>
              <w:rPr>
                <w:sz w:val="20"/>
              </w:rPr>
            </w:pPr>
            <w:r w:rsidRPr="00C35BC0">
              <w:rPr>
                <w:sz w:val="20"/>
              </w:rPr>
              <w:t>186</w:t>
            </w:r>
          </w:p>
        </w:tc>
        <w:tc>
          <w:tcPr>
            <w:tcW w:w="448" w:type="dxa"/>
            <w:tcBorders>
              <w:top w:val="nil"/>
              <w:left w:val="single" w:sz="4" w:space="0" w:color="auto"/>
              <w:bottom w:val="nil"/>
              <w:right w:val="single" w:sz="4" w:space="0" w:color="auto"/>
            </w:tcBorders>
          </w:tcPr>
          <w:p w:rsidR="003C1E02" w:rsidRPr="00C35BC0" w:rsidRDefault="003C1E02" w:rsidP="00D02664">
            <w:pPr>
              <w:spacing w:after="40"/>
              <w:jc w:val="right"/>
              <w:rPr>
                <w:sz w:val="20"/>
              </w:rPr>
            </w:pPr>
          </w:p>
        </w:tc>
        <w:tc>
          <w:tcPr>
            <w:tcW w:w="696" w:type="dxa"/>
            <w:tcBorders>
              <w:top w:val="single" w:sz="4" w:space="0" w:color="auto"/>
              <w:left w:val="single" w:sz="4" w:space="0" w:color="auto"/>
              <w:bottom w:val="single" w:sz="4" w:space="0" w:color="auto"/>
            </w:tcBorders>
          </w:tcPr>
          <w:p w:rsidR="003C1E02" w:rsidRPr="00C35BC0" w:rsidRDefault="003C1E02" w:rsidP="00D02664">
            <w:pPr>
              <w:spacing w:after="40"/>
              <w:jc w:val="right"/>
              <w:rPr>
                <w:sz w:val="20"/>
              </w:rPr>
            </w:pPr>
            <w:r w:rsidRPr="00C35BC0">
              <w:rPr>
                <w:sz w:val="20"/>
              </w:rPr>
              <w:t>100%</w:t>
            </w:r>
          </w:p>
        </w:tc>
        <w:tc>
          <w:tcPr>
            <w:tcW w:w="696" w:type="dxa"/>
            <w:tcBorders>
              <w:top w:val="single" w:sz="4" w:space="0" w:color="auto"/>
            </w:tcBorders>
          </w:tcPr>
          <w:p w:rsidR="003C1E02" w:rsidRPr="00C35BC0" w:rsidRDefault="003C1E02" w:rsidP="00D02664">
            <w:pPr>
              <w:spacing w:after="40"/>
              <w:jc w:val="right"/>
              <w:rPr>
                <w:sz w:val="20"/>
              </w:rPr>
            </w:pPr>
            <w:r w:rsidRPr="00C35BC0">
              <w:rPr>
                <w:sz w:val="20"/>
              </w:rPr>
              <w:t>100%</w:t>
            </w:r>
          </w:p>
        </w:tc>
        <w:tc>
          <w:tcPr>
            <w:tcW w:w="696" w:type="dxa"/>
            <w:tcBorders>
              <w:top w:val="single" w:sz="4" w:space="0" w:color="auto"/>
            </w:tcBorders>
          </w:tcPr>
          <w:p w:rsidR="003C1E02" w:rsidRPr="00C35BC0" w:rsidRDefault="003C1E02" w:rsidP="00D02664">
            <w:pPr>
              <w:spacing w:after="40"/>
              <w:jc w:val="right"/>
              <w:rPr>
                <w:sz w:val="20"/>
              </w:rPr>
            </w:pPr>
            <w:r w:rsidRPr="00C35BC0">
              <w:rPr>
                <w:sz w:val="20"/>
              </w:rPr>
              <w:t>100%</w:t>
            </w:r>
          </w:p>
        </w:tc>
        <w:tc>
          <w:tcPr>
            <w:tcW w:w="696" w:type="dxa"/>
            <w:tcBorders>
              <w:top w:val="single" w:sz="4" w:space="0" w:color="auto"/>
            </w:tcBorders>
          </w:tcPr>
          <w:p w:rsidR="003C1E02" w:rsidRPr="00C35BC0" w:rsidRDefault="003C1E02" w:rsidP="00D02664">
            <w:pPr>
              <w:spacing w:after="40"/>
              <w:jc w:val="right"/>
              <w:rPr>
                <w:sz w:val="20"/>
              </w:rPr>
            </w:pPr>
            <w:r w:rsidRPr="00C35BC0">
              <w:rPr>
                <w:sz w:val="20"/>
              </w:rPr>
              <w:t>100%</w:t>
            </w:r>
          </w:p>
        </w:tc>
        <w:tc>
          <w:tcPr>
            <w:tcW w:w="696" w:type="dxa"/>
            <w:tcBorders>
              <w:top w:val="single" w:sz="4" w:space="0" w:color="auto"/>
            </w:tcBorders>
          </w:tcPr>
          <w:p w:rsidR="003C1E02" w:rsidRPr="00C35BC0" w:rsidRDefault="003C1E02" w:rsidP="00D02664">
            <w:pPr>
              <w:spacing w:after="40"/>
              <w:jc w:val="right"/>
              <w:rPr>
                <w:sz w:val="20"/>
              </w:rPr>
            </w:pPr>
            <w:r w:rsidRPr="00C35BC0">
              <w:rPr>
                <w:sz w:val="20"/>
              </w:rPr>
              <w:t>100%</w:t>
            </w:r>
          </w:p>
        </w:tc>
      </w:tr>
    </w:tbl>
    <w:p w:rsidR="00EC2B8C" w:rsidRDefault="00E0446E" w:rsidP="003C1E02">
      <w:pPr>
        <w:spacing w:before="240"/>
      </w:pPr>
      <w:r w:rsidRPr="00581181">
        <w:t>155.</w:t>
      </w:r>
      <w:r w:rsidRPr="00581181">
        <w:tab/>
        <w:t>The Netherlands pursues an active policy with regard to investigating cases of discrimination (see the 2003 Discrimination Instructions of the Board of Procurators General). This entails that a criminal investigation when incidents are reported but also when a public prosecutor learns of an infringement of articles 137c to 137g or article 429quater of the Criminal Code in some other way, for example from local crime statistics supplied by the police, the Public Prosecution Service and the local anti</w:t>
      </w:r>
      <w:r w:rsidR="00AD0DF3" w:rsidRPr="00581181">
        <w:noBreakHyphen/>
      </w:r>
      <w:r w:rsidRPr="00581181">
        <w:t xml:space="preserve">discrimination bureau. The public prosecutor then decides on the basis of the public interest and the circumstances of the case whether a criminal investigation would be appropriate. </w:t>
      </w:r>
    </w:p>
    <w:p w:rsidR="00EC2B8C" w:rsidRDefault="00E0446E" w:rsidP="003C1FA9">
      <w:pPr>
        <w:rPr>
          <w:iCs/>
        </w:rPr>
      </w:pPr>
      <w:r w:rsidRPr="00581181">
        <w:rPr>
          <w:iCs/>
        </w:rPr>
        <w:t>156.</w:t>
      </w:r>
      <w:r w:rsidRPr="00581181">
        <w:rPr>
          <w:iCs/>
        </w:rPr>
        <w:tab/>
        <w:t xml:space="preserve">The Ministry of Justice, the Public Prosecution Service and the police have in recent years intensified the use of the criminal justice system to tackle discrimination. This has resulted in the following policy measures: </w:t>
      </w:r>
    </w:p>
    <w:p w:rsidR="00EC2B8C" w:rsidRDefault="00E0446E" w:rsidP="00E434A2">
      <w:pPr>
        <w:ind w:left="567"/>
        <w:rPr>
          <w:iCs/>
        </w:rPr>
      </w:pPr>
      <w:r w:rsidRPr="00581181">
        <w:rPr>
          <w:iCs/>
        </w:rPr>
        <w:t>1.</w:t>
      </w:r>
      <w:r w:rsidR="00E434A2">
        <w:rPr>
          <w:iCs/>
        </w:rPr>
        <w:tab/>
      </w:r>
      <w:r w:rsidRPr="00581181">
        <w:rPr>
          <w:iCs/>
        </w:rPr>
        <w:t>A policy letter on anti</w:t>
      </w:r>
      <w:r w:rsidR="00AD0DF3" w:rsidRPr="00581181">
        <w:rPr>
          <w:iCs/>
        </w:rPr>
        <w:noBreakHyphen/>
      </w:r>
      <w:r w:rsidRPr="00581181">
        <w:rPr>
          <w:iCs/>
        </w:rPr>
        <w:t>discrimination and law enforcement of November 2005, including the results of the Public Prosecution Service</w:t>
      </w:r>
      <w:r w:rsidR="009B7745">
        <w:rPr>
          <w:iCs/>
        </w:rPr>
        <w:t>’</w:t>
      </w:r>
      <w:r w:rsidRPr="00581181">
        <w:rPr>
          <w:iCs/>
        </w:rPr>
        <w:t>s study of dropped charges and of the introduction of a statutory prohibition of structural forms of discrimination. Penalties for structural forms of discrimination have been increased. The penalties for systematically and deliberately insulting people on grounds of race, religion, belief or sexual orientation and for systematic incitement to discrimination have been doubled to two years</w:t>
      </w:r>
      <w:r w:rsidR="009B7745">
        <w:rPr>
          <w:iCs/>
        </w:rPr>
        <w:t>’</w:t>
      </w:r>
      <w:r w:rsidRPr="00581181">
        <w:rPr>
          <w:iCs/>
        </w:rPr>
        <w:t xml:space="preserve"> imprisonment. </w:t>
      </w:r>
    </w:p>
    <w:p w:rsidR="00E0446E" w:rsidRPr="00581181" w:rsidRDefault="00E0446E" w:rsidP="00E434A2">
      <w:pPr>
        <w:ind w:left="567"/>
        <w:rPr>
          <w:iCs/>
        </w:rPr>
      </w:pPr>
      <w:r w:rsidRPr="00581181">
        <w:rPr>
          <w:iCs/>
        </w:rPr>
        <w:t>2.</w:t>
      </w:r>
      <w:r w:rsidR="00E434A2">
        <w:rPr>
          <w:iCs/>
        </w:rPr>
        <w:tab/>
      </w:r>
      <w:r w:rsidRPr="00581181">
        <w:rPr>
          <w:iCs/>
        </w:rPr>
        <w:t>Public Prosecution Service: Outlook 2010</w:t>
      </w:r>
    </w:p>
    <w:p w:rsidR="00E0446E" w:rsidRPr="00581181" w:rsidRDefault="002124AB" w:rsidP="00E434A2">
      <w:pPr>
        <w:ind w:left="567"/>
        <w:rPr>
          <w:iCs/>
        </w:rPr>
      </w:pPr>
      <w:r>
        <w:rPr>
          <w:iCs/>
        </w:rPr>
        <w:tab/>
      </w:r>
      <w:r w:rsidR="00E0446E" w:rsidRPr="00581181">
        <w:rPr>
          <w:iCs/>
        </w:rPr>
        <w:t>The OM has included the issue of discrimination in its multi</w:t>
      </w:r>
      <w:r w:rsidR="00AD0DF3" w:rsidRPr="00581181">
        <w:rPr>
          <w:iCs/>
        </w:rPr>
        <w:noBreakHyphen/>
      </w:r>
      <w:r w:rsidR="00E0446E" w:rsidRPr="00581181">
        <w:rPr>
          <w:iCs/>
        </w:rPr>
        <w:t>year plan Outlook 2010, as one of the six new priorities that it intends to tackle on a systematic basis. The focus in tackling discrimination will be on establishing anti</w:t>
      </w:r>
      <w:r w:rsidR="00AD0DF3" w:rsidRPr="00581181">
        <w:rPr>
          <w:iCs/>
        </w:rPr>
        <w:noBreakHyphen/>
      </w:r>
      <w:r w:rsidR="00E0446E" w:rsidRPr="00581181">
        <w:rPr>
          <w:iCs/>
        </w:rPr>
        <w:t>discrimination support centres at each of the OM</w:t>
      </w:r>
      <w:r w:rsidR="009B7745">
        <w:rPr>
          <w:iCs/>
        </w:rPr>
        <w:t>’</w:t>
      </w:r>
      <w:r w:rsidR="00E0446E" w:rsidRPr="00581181">
        <w:rPr>
          <w:iCs/>
        </w:rPr>
        <w:t>s eleven regional public prosecutor</w:t>
      </w:r>
      <w:r w:rsidR="009B7745">
        <w:rPr>
          <w:iCs/>
        </w:rPr>
        <w:t>’</w:t>
      </w:r>
      <w:r w:rsidR="00E0446E" w:rsidRPr="00581181">
        <w:rPr>
          <w:iCs/>
        </w:rPr>
        <w:t>s offices. The public prosecutor with responsibility for discrimination cases at the regional public prosecutor</w:t>
      </w:r>
      <w:r w:rsidR="009B7745">
        <w:rPr>
          <w:iCs/>
        </w:rPr>
        <w:t>’</w:t>
      </w:r>
      <w:r w:rsidR="00E0446E" w:rsidRPr="00581181">
        <w:rPr>
          <w:iCs/>
        </w:rPr>
        <w:t>s office will carry out activities for that regional office and any local prosecutors</w:t>
      </w:r>
      <w:r w:rsidR="009B7745">
        <w:rPr>
          <w:iCs/>
        </w:rPr>
        <w:t>’</w:t>
      </w:r>
      <w:r w:rsidR="00E0446E" w:rsidRPr="00581181">
        <w:rPr>
          <w:iCs/>
        </w:rPr>
        <w:t xml:space="preserve"> offices in the region. Concentrating anti</w:t>
      </w:r>
      <w:r w:rsidR="00AD0DF3" w:rsidRPr="00581181">
        <w:rPr>
          <w:iCs/>
        </w:rPr>
        <w:noBreakHyphen/>
      </w:r>
      <w:r w:rsidR="00E0446E" w:rsidRPr="00581181">
        <w:rPr>
          <w:iCs/>
        </w:rPr>
        <w:t>discrimination efforts in the regional public prosecutor</w:t>
      </w:r>
      <w:r w:rsidR="009B7745">
        <w:rPr>
          <w:iCs/>
        </w:rPr>
        <w:t>’</w:t>
      </w:r>
      <w:r w:rsidR="00E0446E" w:rsidRPr="00581181">
        <w:rPr>
          <w:iCs/>
        </w:rPr>
        <w:t>s offices should increase quality and efficiency and improve and ensure continuity. A substantial investment will be made in training public prosecutors specializing in discrimination, largely by means of specifically tailored courses and publication of a handbook on discrimination. The handbook, drafted by the OM to increase public prosecutors</w:t>
      </w:r>
      <w:r w:rsidR="009B7745">
        <w:rPr>
          <w:iCs/>
        </w:rPr>
        <w:t>’</w:t>
      </w:r>
      <w:r w:rsidR="00E0446E" w:rsidRPr="00581181">
        <w:rPr>
          <w:iCs/>
        </w:rPr>
        <w:t xml:space="preserve"> and prosecutor</w:t>
      </w:r>
      <w:r w:rsidR="009B7745">
        <w:rPr>
          <w:iCs/>
        </w:rPr>
        <w:t>’</w:t>
      </w:r>
      <w:r w:rsidR="00E0446E" w:rsidRPr="00581181">
        <w:rPr>
          <w:iCs/>
        </w:rPr>
        <w:t>s clerks</w:t>
      </w:r>
      <w:r w:rsidR="009B7745">
        <w:rPr>
          <w:iCs/>
        </w:rPr>
        <w:t>’</w:t>
      </w:r>
      <w:r w:rsidR="00E0446E" w:rsidRPr="00581181">
        <w:rPr>
          <w:iCs/>
        </w:rPr>
        <w:t xml:space="preserve"> expertise in the field of discrimination, was published on 1</w:t>
      </w:r>
      <w:r w:rsidR="00EE53DA">
        <w:rPr>
          <w:iCs/>
        </w:rPr>
        <w:t> </w:t>
      </w:r>
      <w:r w:rsidR="00E0446E" w:rsidRPr="00581181">
        <w:rPr>
          <w:iCs/>
        </w:rPr>
        <w:t>November</w:t>
      </w:r>
      <w:r w:rsidR="00EE53DA">
        <w:rPr>
          <w:iCs/>
        </w:rPr>
        <w:t> </w:t>
      </w:r>
      <w:r w:rsidR="00E0446E" w:rsidRPr="00581181">
        <w:rPr>
          <w:iCs/>
        </w:rPr>
        <w:t xml:space="preserve">2006. </w:t>
      </w:r>
    </w:p>
    <w:p w:rsidR="00E0446E" w:rsidRPr="00581181" w:rsidRDefault="00E0446E" w:rsidP="00E434A2">
      <w:pPr>
        <w:ind w:left="567"/>
        <w:rPr>
          <w:iCs/>
        </w:rPr>
      </w:pPr>
      <w:r w:rsidRPr="00581181">
        <w:rPr>
          <w:iCs/>
        </w:rPr>
        <w:t>3.</w:t>
      </w:r>
      <w:r w:rsidR="00E434A2">
        <w:rPr>
          <w:iCs/>
        </w:rPr>
        <w:tab/>
      </w:r>
      <w:r w:rsidRPr="00581181">
        <w:rPr>
          <w:iCs/>
        </w:rPr>
        <w:t xml:space="preserve">National Framework for the Dutch Police </w:t>
      </w:r>
    </w:p>
    <w:p w:rsidR="00EC2B8C" w:rsidRDefault="00E434A2" w:rsidP="00E434A2">
      <w:pPr>
        <w:ind w:left="567"/>
        <w:rPr>
          <w:iCs/>
        </w:rPr>
      </w:pPr>
      <w:r>
        <w:rPr>
          <w:iCs/>
        </w:rPr>
        <w:tab/>
      </w:r>
      <w:r w:rsidR="00E0446E" w:rsidRPr="00581181">
        <w:rPr>
          <w:iCs/>
        </w:rPr>
        <w:t>On 9 October 2006, the Minister of Justice, the Minister of the Interior and Kingdom Relations and the chair of the Board of Regional Police Force Managers signed the National Framework for the Dutch Police in 2007. The National Framework includes commitments on how the police will combat discrimination. More specifically, the regional forces agreed to regularly share information on patterns of discrimination</w:t>
      </w:r>
      <w:r w:rsidR="00AD0DF3" w:rsidRPr="00581181">
        <w:rPr>
          <w:iCs/>
        </w:rPr>
        <w:noBreakHyphen/>
      </w:r>
      <w:r w:rsidR="00E0446E" w:rsidRPr="00581181">
        <w:rPr>
          <w:iCs/>
        </w:rPr>
        <w:t xml:space="preserve">related crime with the Public Prosecution Service, local authorities and other relevant partners. They will also implement the nine preconditions for combating discrimination that the Board of Chief Commissioners laid down in January 2004. This is not the exclusive responsibility of the police; the Ministers will also encourage local authorities, the Public Prosecution Service and other relevant partners to work closely together. </w:t>
      </w:r>
    </w:p>
    <w:p w:rsidR="00E0446E" w:rsidRPr="00581181" w:rsidRDefault="00E0446E" w:rsidP="00E434A2">
      <w:pPr>
        <w:ind w:left="567"/>
        <w:rPr>
          <w:iCs/>
        </w:rPr>
      </w:pPr>
      <w:r w:rsidRPr="00581181">
        <w:rPr>
          <w:iCs/>
        </w:rPr>
        <w:t>4.</w:t>
      </w:r>
      <w:r w:rsidR="00E434A2">
        <w:rPr>
          <w:iCs/>
        </w:rPr>
        <w:tab/>
      </w:r>
      <w:r w:rsidRPr="00581181">
        <w:rPr>
          <w:iCs/>
        </w:rPr>
        <w:t>WODC investigates sentencing in discrimination cases</w:t>
      </w:r>
    </w:p>
    <w:p w:rsidR="00EC2B8C" w:rsidRDefault="00E434A2" w:rsidP="00E434A2">
      <w:pPr>
        <w:ind w:left="567"/>
        <w:rPr>
          <w:iCs/>
        </w:rPr>
      </w:pPr>
      <w:r>
        <w:rPr>
          <w:iCs/>
        </w:rPr>
        <w:tab/>
      </w:r>
      <w:r w:rsidR="00E0446E" w:rsidRPr="00581181">
        <w:rPr>
          <w:iCs/>
        </w:rPr>
        <w:t xml:space="preserve">The Minister of Justice has commissioned a study by the Research and Documentation Centre (WODC) to ascertain the effectiveness of using criminal law to tackle occasional discrimination. The question being considered is: in view of the necessity of effectively combating and preventing occasional discrimination, how adequate are the existing sentencing provisions and their application by the courts in cases of occasional, specific and criminal discrimination? The report is expected in the summer of 2007. </w:t>
      </w:r>
    </w:p>
    <w:p w:rsidR="00EC2B8C" w:rsidRDefault="00E0446E" w:rsidP="003C1FA9">
      <w:pPr>
        <w:rPr>
          <w:iCs/>
        </w:rPr>
      </w:pPr>
      <w:r w:rsidRPr="00581181">
        <w:rPr>
          <w:iCs/>
        </w:rPr>
        <w:t>157.</w:t>
      </w:r>
      <w:r w:rsidRPr="00581181">
        <w:rPr>
          <w:iCs/>
        </w:rPr>
        <w:tab/>
        <w:t>Additionally, the following measures have been taken either by the Public Prosecution Service or with its involvement.</w:t>
      </w:r>
    </w:p>
    <w:p w:rsidR="00E0446E" w:rsidRPr="00581181" w:rsidRDefault="00E0446E" w:rsidP="00935EDE">
      <w:pPr>
        <w:pStyle w:val="Heading3"/>
      </w:pPr>
      <w:r w:rsidRPr="00581181">
        <w:t>Study of prosecution decisions</w:t>
      </w:r>
    </w:p>
    <w:p w:rsidR="00EC2B8C" w:rsidRDefault="00E0446E" w:rsidP="003C1FA9">
      <w:pPr>
        <w:rPr>
          <w:iCs/>
        </w:rPr>
      </w:pPr>
      <w:r w:rsidRPr="00581181">
        <w:rPr>
          <w:iCs/>
        </w:rPr>
        <w:t>158.</w:t>
      </w:r>
      <w:r w:rsidRPr="00581181">
        <w:rPr>
          <w:iCs/>
        </w:rPr>
        <w:tab/>
        <w:t>In August 2005, the Public Prosecution Service carried out a study of the reasons for deciding not to prosecute in cases of discrimination and racism, whether on grounds of lack of evidence or policy considerations. A study of the files revealed that in the majority of cases, the</w:t>
      </w:r>
      <w:r w:rsidR="004016E5">
        <w:rPr>
          <w:iCs/>
        </w:rPr>
        <w:t> </w:t>
      </w:r>
      <w:r w:rsidRPr="00581181">
        <w:rPr>
          <w:iCs/>
        </w:rPr>
        <w:t xml:space="preserve">OM acts with due care and applies the correct criteria in deciding whether or not to prosecute. </w:t>
      </w:r>
    </w:p>
    <w:p w:rsidR="00E0446E" w:rsidRPr="00581181" w:rsidRDefault="00E0446E" w:rsidP="003C1FA9">
      <w:pPr>
        <w:rPr>
          <w:iCs/>
        </w:rPr>
      </w:pPr>
      <w:r w:rsidRPr="00581181">
        <w:rPr>
          <w:iCs/>
        </w:rPr>
        <w:t>159.</w:t>
      </w:r>
      <w:r w:rsidRPr="00581181">
        <w:rPr>
          <w:iCs/>
        </w:rPr>
        <w:tab/>
        <w:t>The study contains the following conclusions and recommendations:</w:t>
      </w:r>
    </w:p>
    <w:p w:rsidR="00E0446E" w:rsidRPr="00581181" w:rsidRDefault="00E0446E" w:rsidP="00935EDE">
      <w:pPr>
        <w:pStyle w:val="Bullet"/>
      </w:pPr>
      <w:r w:rsidRPr="00581181">
        <w:t>It is necessary to apply the Instructions on prosecution dec</w:t>
      </w:r>
      <w:r w:rsidR="0042600E">
        <w:t>isions correctly and critically</w:t>
      </w:r>
    </w:p>
    <w:p w:rsidR="00E0446E" w:rsidRPr="00581181" w:rsidRDefault="00E0446E" w:rsidP="00935EDE">
      <w:pPr>
        <w:pStyle w:val="Bullet"/>
      </w:pPr>
      <w:r w:rsidRPr="00581181">
        <w:t>A review of the Instructions on prosecution decisions would be welcome</w:t>
      </w:r>
    </w:p>
    <w:p w:rsidR="00E0446E" w:rsidRPr="00581181" w:rsidRDefault="00E0446E" w:rsidP="00935EDE">
      <w:pPr>
        <w:pStyle w:val="Bullet"/>
      </w:pPr>
      <w:r w:rsidRPr="00581181">
        <w:t xml:space="preserve">The OM should step up victim support measures in the context of </w:t>
      </w:r>
      <w:r w:rsidR="00C82404" w:rsidRPr="00581181">
        <w:t>discrimination cases</w:t>
      </w:r>
    </w:p>
    <w:p w:rsidR="00EC2B8C" w:rsidRDefault="00E0446E" w:rsidP="00935EDE">
      <w:pPr>
        <w:pStyle w:val="Bullet"/>
      </w:pPr>
      <w:r w:rsidRPr="00581181">
        <w:t>The OM should ensure that the period required to process discrimination cases within the Se</w:t>
      </w:r>
      <w:r w:rsidR="004319B8">
        <w:t>rvice is more closely monitored</w:t>
      </w:r>
    </w:p>
    <w:p w:rsidR="00EC2B8C" w:rsidRDefault="00E0446E" w:rsidP="003C1FA9">
      <w:pPr>
        <w:rPr>
          <w:iCs/>
        </w:rPr>
      </w:pPr>
      <w:r w:rsidRPr="00581181">
        <w:rPr>
          <w:iCs/>
        </w:rPr>
        <w:t>160.</w:t>
      </w:r>
      <w:r w:rsidRPr="00581181">
        <w:rPr>
          <w:iCs/>
        </w:rPr>
        <w:tab/>
        <w:t xml:space="preserve">The Board of Procurators General has brought the study to the notice of the chief public prosecutors and public prosecutors responsible for discrimination cases with the request to take on board the conclusions and recommendations. </w:t>
      </w:r>
    </w:p>
    <w:p w:rsidR="00E0446E" w:rsidRPr="00581181" w:rsidRDefault="00E0446E" w:rsidP="00C0445A">
      <w:pPr>
        <w:pStyle w:val="Heading3"/>
      </w:pPr>
      <w:r w:rsidRPr="00581181">
        <w:t>Results of the evaluation of the Discrimination Instructions</w:t>
      </w:r>
    </w:p>
    <w:p w:rsidR="00E0446E" w:rsidRPr="00581181" w:rsidRDefault="00E0446E" w:rsidP="003C1FA9">
      <w:r w:rsidRPr="00581181">
        <w:t>161.</w:t>
      </w:r>
      <w:r w:rsidRPr="00581181">
        <w:tab/>
        <w:t>At the end of 2006, the Public Prosecution Service evaluated, in connection with the adoption of new Discrimination Instructions, the Instructions that would be in force up to 31</w:t>
      </w:r>
      <w:r w:rsidR="008E1B07">
        <w:t> </w:t>
      </w:r>
      <w:r w:rsidRPr="00581181">
        <w:t>March 2007. This evaluation was carried out in consultation with the police, the National Bureau against Racial Discrimination and the anti</w:t>
      </w:r>
      <w:r w:rsidR="00AD0DF3" w:rsidRPr="00581181">
        <w:noBreakHyphen/>
      </w:r>
      <w:r w:rsidRPr="00581181">
        <w:t>discrimination bureaus. The Discrimination Instructions relate to:</w:t>
      </w:r>
    </w:p>
    <w:p w:rsidR="00E0446E" w:rsidRPr="00581181" w:rsidRDefault="00E0446E" w:rsidP="00C0445A">
      <w:pPr>
        <w:pStyle w:val="Bullet"/>
      </w:pPr>
      <w:r w:rsidRPr="00581181">
        <w:t>Coordination between the OM, the authorities, the police and the anti</w:t>
      </w:r>
      <w:r w:rsidR="00AD0DF3" w:rsidRPr="00581181">
        <w:noBreakHyphen/>
      </w:r>
      <w:r w:rsidRPr="00581181">
        <w:t>discrimination bureaus;</w:t>
      </w:r>
    </w:p>
    <w:p w:rsidR="00E0446E" w:rsidRPr="00581181" w:rsidRDefault="00E0446E" w:rsidP="00C0445A">
      <w:pPr>
        <w:pStyle w:val="Bullet"/>
      </w:pPr>
      <w:r w:rsidRPr="00581181">
        <w:t>The procedure for reporting incidents and making complaints concerning discrimination;</w:t>
      </w:r>
    </w:p>
    <w:p w:rsidR="00E0446E" w:rsidRPr="00581181" w:rsidRDefault="00E0446E" w:rsidP="00C0445A">
      <w:pPr>
        <w:pStyle w:val="Bullet"/>
      </w:pPr>
      <w:r w:rsidRPr="00581181">
        <w:t>The prosecution of violations of the discrimination provisions;</w:t>
      </w:r>
    </w:p>
    <w:p w:rsidR="00E0446E" w:rsidRPr="00581181" w:rsidRDefault="00E0446E" w:rsidP="00C0445A">
      <w:pPr>
        <w:pStyle w:val="Bullet"/>
      </w:pPr>
      <w:r w:rsidRPr="00581181">
        <w:t>The approach adopted towards people reporting discrimination or victims</w:t>
      </w:r>
      <w:r w:rsidR="0080714A">
        <w:t> </w:t>
      </w:r>
      <w:r w:rsidRPr="00581181">
        <w:t>(i.e.</w:t>
      </w:r>
      <w:r w:rsidR="0080714A">
        <w:t> </w:t>
      </w:r>
      <w:r w:rsidRPr="00581181">
        <w:t>the</w:t>
      </w:r>
      <w:r w:rsidR="0080714A">
        <w:t> </w:t>
      </w:r>
      <w:r w:rsidRPr="00581181">
        <w:t>injured party, as defined in article 51 of the Code of Criminal Procedure);</w:t>
      </w:r>
    </w:p>
    <w:p w:rsidR="00EC2B8C" w:rsidRDefault="00E0446E" w:rsidP="00C0445A">
      <w:pPr>
        <w:pStyle w:val="Bullet"/>
      </w:pPr>
      <w:r w:rsidRPr="00581181">
        <w:t>Feedback on the disposal of cases to the police and the anti</w:t>
      </w:r>
      <w:r w:rsidR="00AD0DF3" w:rsidRPr="00581181">
        <w:noBreakHyphen/>
      </w:r>
      <w:r w:rsidRPr="00581181">
        <w:t>discrimination bureaus.</w:t>
      </w:r>
    </w:p>
    <w:p w:rsidR="00E0446E" w:rsidRPr="00581181" w:rsidRDefault="00E0446E" w:rsidP="00C0445A">
      <w:pPr>
        <w:pStyle w:val="Heading3"/>
      </w:pPr>
      <w:r w:rsidRPr="00581181">
        <w:t>The Conference on a Joint Approach to Discrimination</w:t>
      </w:r>
    </w:p>
    <w:p w:rsidR="00EC2B8C" w:rsidRDefault="00E0446E" w:rsidP="003C1FA9">
      <w:r w:rsidRPr="00581181">
        <w:t>162.</w:t>
      </w:r>
      <w:r w:rsidRPr="00581181">
        <w:tab/>
        <w:t>The Government considers effective cooperation between the partners in the system of</w:t>
      </w:r>
      <w:r w:rsidR="00E0432C">
        <w:t xml:space="preserve"> </w:t>
      </w:r>
      <w:r w:rsidRPr="00581181">
        <w:t>vital importance to the joint approach to tackling discrimination. The agreement on</w:t>
      </w:r>
      <w:r w:rsidR="00E0432C">
        <w:t xml:space="preserve"> </w:t>
      </w:r>
      <w:r w:rsidRPr="00581181">
        <w:t>cooperation is also laid down in the 2007 National Framework for the Dutch Police.</w:t>
      </w:r>
      <w:r w:rsidR="00E0432C">
        <w:t xml:space="preserve"> </w:t>
      </w:r>
      <w:r w:rsidRPr="00581181">
        <w:t>Additionally, in collaboration with the OM and the police, the Ministries of Justice</w:t>
      </w:r>
      <w:r w:rsidR="00E0432C">
        <w:t xml:space="preserve"> </w:t>
      </w:r>
      <w:r w:rsidRPr="00581181">
        <w:t>and</w:t>
      </w:r>
      <w:r w:rsidR="00E0432C">
        <w:t xml:space="preserve"> </w:t>
      </w:r>
      <w:r w:rsidRPr="00581181">
        <w:t>of</w:t>
      </w:r>
      <w:r w:rsidR="00E0432C">
        <w:t xml:space="preserve"> </w:t>
      </w:r>
      <w:r w:rsidRPr="00581181">
        <w:t>the Interior organized a Conference on the joint discrimination approach in June</w:t>
      </w:r>
      <w:r w:rsidR="00E0432C">
        <w:t> </w:t>
      </w:r>
      <w:r w:rsidRPr="00581181">
        <w:t xml:space="preserve">2007. </w:t>
      </w:r>
    </w:p>
    <w:p w:rsidR="00EC2B8C" w:rsidRDefault="00E0446E" w:rsidP="007A6AFD">
      <w:pPr>
        <w:pStyle w:val="Heading2"/>
      </w:pPr>
      <w:r w:rsidRPr="00581181">
        <w:t>E.</w:t>
      </w:r>
      <w:r w:rsidR="007A6AFD">
        <w:t xml:space="preserve"> </w:t>
      </w:r>
      <w:r w:rsidRPr="00581181">
        <w:t xml:space="preserve"> </w:t>
      </w:r>
      <w:r w:rsidR="007A6AFD" w:rsidRPr="00581181">
        <w:t xml:space="preserve">Article </w:t>
      </w:r>
      <w:r w:rsidRPr="00581181">
        <w:t xml:space="preserve">7 </w:t>
      </w:r>
    </w:p>
    <w:p w:rsidR="00E0446E" w:rsidRPr="00581181" w:rsidRDefault="00E0446E" w:rsidP="00A74922">
      <w:pPr>
        <w:pStyle w:val="Heading3"/>
      </w:pPr>
      <w:r w:rsidRPr="00581181">
        <w:t>Sport and minorities</w:t>
      </w:r>
    </w:p>
    <w:p w:rsidR="00C1278D" w:rsidRDefault="00E0446E" w:rsidP="003C1FA9">
      <w:r w:rsidRPr="00581181">
        <w:t>163.</w:t>
      </w:r>
      <w:r w:rsidRPr="00581181">
        <w:tab/>
        <w:t xml:space="preserve">The policy document entitled </w:t>
      </w:r>
      <w:r w:rsidR="009B7745">
        <w:t>“</w:t>
      </w:r>
      <w:r w:rsidRPr="00581181">
        <w:t>Time for Sport</w:t>
      </w:r>
      <w:r w:rsidR="009B7745">
        <w:t>”</w:t>
      </w:r>
      <w:r w:rsidRPr="00581181">
        <w:t xml:space="preserve"> was published in September 2005, followed by the implementation programme </w:t>
      </w:r>
      <w:r w:rsidR="009B7745">
        <w:t>“</w:t>
      </w:r>
      <w:r w:rsidRPr="00581181">
        <w:t>Together for Sport</w:t>
      </w:r>
      <w:r w:rsidR="009B7745">
        <w:t>”</w:t>
      </w:r>
      <w:r w:rsidRPr="00581181">
        <w:t xml:space="preserve"> in June 2006. The national sports policy until 2010 is structured around three themes: </w:t>
      </w:r>
      <w:r w:rsidR="009B7745">
        <w:t>“</w:t>
      </w:r>
      <w:r w:rsidRPr="00581181">
        <w:t>Exercise</w:t>
      </w:r>
      <w:r w:rsidR="009B7745">
        <w:t>”</w:t>
      </w:r>
      <w:r w:rsidRPr="00581181">
        <w:t xml:space="preserve">, </w:t>
      </w:r>
      <w:r w:rsidR="009B7745">
        <w:t>“</w:t>
      </w:r>
      <w:r w:rsidRPr="00581181">
        <w:t>Participate</w:t>
      </w:r>
      <w:r w:rsidR="009B7745">
        <w:t>”</w:t>
      </w:r>
      <w:r w:rsidRPr="00581181">
        <w:t xml:space="preserve"> and </w:t>
      </w:r>
      <w:r w:rsidR="009B7745">
        <w:t>“</w:t>
      </w:r>
      <w:r w:rsidRPr="00581181">
        <w:t>Perform</w:t>
      </w:r>
      <w:r w:rsidR="009B7745">
        <w:t>”</w:t>
      </w:r>
      <w:r w:rsidRPr="00581181">
        <w:t>.</w:t>
      </w:r>
      <w:r w:rsidR="00C1278D" w:rsidRPr="00C1278D">
        <w:t xml:space="preserve"> </w:t>
      </w:r>
    </w:p>
    <w:p w:rsidR="00C1278D" w:rsidRDefault="00C1278D" w:rsidP="00424469">
      <w:r w:rsidRPr="00581181">
        <w:t>164.</w:t>
      </w:r>
      <w:r w:rsidRPr="00581181">
        <w:tab/>
        <w:t xml:space="preserve">The </w:t>
      </w:r>
      <w:r>
        <w:t>“</w:t>
      </w:r>
      <w:r w:rsidRPr="00581181">
        <w:t>Exercise</w:t>
      </w:r>
      <w:r>
        <w:t>”</w:t>
      </w:r>
      <w:r w:rsidRPr="00581181">
        <w:t xml:space="preserve"> theme mainly concentrates on sport and exercise from a health point of view, to prevent obesity and chronic disorders such as diabetes and cardiovascular disease, with the focus on inactive people. This group is extremely varied and includes the elderly, people with physical or mental disabilities or a chronic disorder, but also people with different cultural traditions and customs. One way of</w:t>
      </w:r>
      <w:r w:rsidRPr="00C1278D">
        <w:t xml:space="preserve"> </w:t>
      </w:r>
      <w:r w:rsidRPr="00581181">
        <w:t>devoting special attention to these target groups is through a small</w:t>
      </w:r>
      <w:r w:rsidRPr="00581181">
        <w:noBreakHyphen/>
        <w:t>scale community approach.</w:t>
      </w:r>
    </w:p>
    <w:p w:rsidR="00424469" w:rsidRDefault="00C35BC0" w:rsidP="00424469">
      <w:pPr>
        <w:spacing w:before="240"/>
      </w:pPr>
      <w:r>
        <w:rPr>
          <w:noProof/>
        </w:rPr>
      </w:r>
      <w:r w:rsidR="00424469">
        <w:pict>
          <v:shapetype id="_x0000_t202" coordsize="21600,21600" o:spt="202" path="m,l,21600r21600,l21600,xe">
            <v:stroke joinstyle="miter"/>
            <v:path gradientshapeok="t" o:connecttype="rect"/>
          </v:shapetype>
          <v:shape id="_x0000_s2838" type="#_x0000_t202" style="width:467.45pt;height:195.75pt;mso-position-horizontal-relative:char;mso-position-vertical-relative:line">
            <v:textbox style="mso-next-textbox:#_x0000_s2838;mso-fit-shape-to-text:t">
              <w:txbxContent>
                <w:p w:rsidR="00A74922" w:rsidRPr="00581181" w:rsidRDefault="00A74922" w:rsidP="004016E5">
                  <w:pPr>
                    <w:pStyle w:val="Heading2"/>
                    <w:keepNext w:val="0"/>
                  </w:pPr>
                  <w:r w:rsidRPr="00581181">
                    <w:t>Abou RakRak in Delfshaven</w:t>
                  </w:r>
                </w:p>
                <w:p w:rsidR="00A74922" w:rsidRPr="00581181" w:rsidRDefault="00A74922" w:rsidP="003C1FA9">
                  <w:r w:rsidRPr="00581181">
                    <w:t xml:space="preserve">Eight Moroccan women </w:t>
                  </w:r>
                  <w:r w:rsidRPr="00581181">
                    <w:noBreakHyphen/>
                    <w:t xml:space="preserve"> first</w:t>
                  </w:r>
                  <w:r w:rsidRPr="00581181">
                    <w:noBreakHyphen/>
                    <w:t xml:space="preserve">generation immigrants, most of whom did not speak any Dutch </w:t>
                  </w:r>
                  <w:r w:rsidRPr="00581181">
                    <w:noBreakHyphen/>
                    <w:t xml:space="preserve"> were taking language classes at a community centre. At a certain point, they took up sport for one hour once a week. The women initially kept their normal attire on (long dresses and headscarves), but eventually brought along sports clothes. They have a lot of fun exercising. The group is now forty</w:t>
                  </w:r>
                  <w:r w:rsidRPr="00581181">
                    <w:noBreakHyphen/>
                    <w:t>strong and five new members join every week. The initiative is part of a self</w:t>
                  </w:r>
                  <w:r w:rsidRPr="00581181">
                    <w:noBreakHyphen/>
                    <w:t xml:space="preserve">help organization called the Abou RakRak Foundation. According to the project leader, Ineke Geerdink: </w:t>
                  </w:r>
                  <w:r>
                    <w:t>“</w:t>
                  </w:r>
                  <w:r w:rsidRPr="00581181">
                    <w:t>It</w:t>
                  </w:r>
                  <w:r>
                    <w:t>’</w:t>
                  </w:r>
                  <w:r w:rsidRPr="00581181">
                    <w:t>s a good idea to join in with activities that are already up and running, as it allows you to connect with women you wouldn</w:t>
                  </w:r>
                  <w:r>
                    <w:t>’</w:t>
                  </w:r>
                  <w:r w:rsidRPr="00581181">
                    <w:t>t normally come into contact with.</w:t>
                  </w:r>
                  <w:r>
                    <w:t>”</w:t>
                  </w:r>
                </w:p>
                <w:p w:rsidR="00A74922" w:rsidRPr="00442545" w:rsidRDefault="00A74922" w:rsidP="00985F68">
                  <w:r w:rsidRPr="00A74922">
                    <w:rPr>
                      <w:i/>
                    </w:rPr>
                    <w:t>Source</w:t>
                  </w:r>
                  <w:r w:rsidRPr="00581181">
                    <w:t xml:space="preserve">: </w:t>
                  </w:r>
                  <w:r w:rsidRPr="00581181">
                    <w:rPr>
                      <w:i/>
                      <w:iCs/>
                    </w:rPr>
                    <w:t>Communities in Beweging</w:t>
                  </w:r>
                  <w:r w:rsidRPr="00581181">
                    <w:t>. Arnhem: NISB, 2004.</w:t>
                  </w:r>
                </w:p>
              </w:txbxContent>
            </v:textbox>
            <w10:anchorlock/>
          </v:shape>
        </w:pict>
      </w:r>
    </w:p>
    <w:p w:rsidR="00E0446E" w:rsidRPr="00581181" w:rsidRDefault="00E0446E" w:rsidP="00424469">
      <w:pPr>
        <w:spacing w:before="240"/>
      </w:pPr>
      <w:r w:rsidRPr="00581181">
        <w:t>165.</w:t>
      </w:r>
      <w:r w:rsidRPr="00581181">
        <w:tab/>
        <w:t xml:space="preserve">The </w:t>
      </w:r>
      <w:r w:rsidR="009B7745">
        <w:t>“</w:t>
      </w:r>
      <w:r w:rsidRPr="00581181">
        <w:t>Participate</w:t>
      </w:r>
      <w:r w:rsidR="009B7745">
        <w:t>”</w:t>
      </w:r>
      <w:r w:rsidRPr="00581181">
        <w:t xml:space="preserve"> theme emphasizes the value of sport as the ideal </w:t>
      </w:r>
      <w:r w:rsidR="009B7745">
        <w:t>“</w:t>
      </w:r>
      <w:r w:rsidRPr="00581181">
        <w:t>meeting place</w:t>
      </w:r>
      <w:r w:rsidR="009B7745">
        <w:t>”</w:t>
      </w:r>
      <w:r w:rsidRPr="00581181">
        <w:t xml:space="preserve"> for everyone and uses it to achieve objectives in the area of education, parenting, social cohesion and integration. A disparity has been observed between Dutch people of immigrant origin and ethnic Dutch people in terms of their participation in sport. The Ministry of Health, Welfare and Sport and the Ministry of Justice have therefore jointly set up a large</w:t>
      </w:r>
      <w:r w:rsidR="00AD0DF3" w:rsidRPr="00581181">
        <w:noBreakHyphen/>
      </w:r>
      <w:r w:rsidRPr="00581181">
        <w:t>scale programme to increase participation in sports among immigrant youths and parental involvement (from 70</w:t>
      </w:r>
      <w:r w:rsidR="0055189D">
        <w:t> </w:t>
      </w:r>
      <w:r w:rsidRPr="00581181">
        <w:t>per</w:t>
      </w:r>
      <w:r w:rsidR="0055189D">
        <w:t> </w:t>
      </w:r>
      <w:r w:rsidRPr="00581181">
        <w:t>cent to 85 per cent). Sport is an excellent instrument for achieving integration and parenting objectives. Eleven municipalities and nine sports federations will select 500 sports clubs to implement the programme, while 50 will focus on youth care and reintegration processes.</w:t>
      </w:r>
    </w:p>
    <w:p w:rsidR="00122EAB" w:rsidRPr="00581181" w:rsidRDefault="001D0CCE" w:rsidP="001D0CCE">
      <w:pPr>
        <w:jc w:val="center"/>
      </w:pPr>
      <w:r>
        <w:t>-----</w:t>
      </w:r>
    </w:p>
    <w:sectPr w:rsidR="00122EAB" w:rsidRPr="00581181" w:rsidSect="004401D5">
      <w:headerReference w:type="even" r:id="rId11"/>
      <w:headerReference w:type="default" r:id="rId12"/>
      <w:footerReference w:type="first" r:id="rId13"/>
      <w:endnotePr>
        <w:numFmt w:val="decimal"/>
      </w:endnotePr>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8C" w:rsidRDefault="004B218C">
      <w:pPr>
        <w:spacing w:after="0"/>
      </w:pPr>
    </w:p>
  </w:endnote>
  <w:endnote w:type="continuationSeparator" w:id="0">
    <w:p w:rsidR="004B218C" w:rsidRDefault="004B218C">
      <w:pPr>
        <w:spacing w:after="0"/>
      </w:pPr>
    </w:p>
  </w:endnote>
  <w:endnote w:type="continuationNotice" w:id="1">
    <w:p w:rsidR="004B218C" w:rsidRDefault="004B21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410">
    <w:altName w:val="Times New Roman"/>
    <w:panose1 w:val="00000000000000000000"/>
    <w:charset w:val="00"/>
    <w:family w:val="auto"/>
    <w:notTrueType/>
    <w:pitch w:val="default"/>
    <w:sig w:usb0="00000001" w:usb1="0012CD18" w:usb2="00000000" w:usb3="7C9105C8" w:csb0="03B86500" w:csb1="0012CDE4"/>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Utopia">
    <w:altName w:val="Arial Narrow"/>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A9" w:rsidRDefault="003C1FA9" w:rsidP="009C3566">
    <w:pPr>
      <w:pStyle w:val="Footer"/>
      <w:spacing w:before="240"/>
    </w:pPr>
    <w:r>
      <w:t>GE.08</w:t>
    </w:r>
    <w:r>
      <w:noBreakHyphen/>
      <w:t xml:space="preserve">40819  (E)    </w:t>
    </w:r>
    <w:r w:rsidR="00C828C4">
      <w:t>1</w:t>
    </w:r>
    <w:r w:rsidR="00E6733A">
      <w:t>5</w:t>
    </w:r>
    <w:r w:rsidR="00C828C4">
      <w:t>0508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8C" w:rsidRDefault="004B218C">
      <w:pPr>
        <w:spacing w:after="0"/>
      </w:pPr>
      <w:r>
        <w:separator/>
      </w:r>
    </w:p>
  </w:footnote>
  <w:footnote w:type="continuationSeparator" w:id="0">
    <w:p w:rsidR="004B218C" w:rsidRDefault="004B218C">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4B218C" w:rsidRDefault="004B218C">
      <w:pPr>
        <w:spacing w:after="0"/>
      </w:pPr>
    </w:p>
  </w:footnote>
  <w:footnote w:id="2">
    <w:p w:rsidR="003C1FA9" w:rsidRPr="00876A31" w:rsidRDefault="003C1FA9" w:rsidP="00876A31">
      <w:pPr>
        <w:rPr>
          <w:lang w:val="en-US"/>
        </w:rPr>
      </w:pPr>
      <w:r>
        <w:rPr>
          <w:szCs w:val="24"/>
        </w:rPr>
        <w:t xml:space="preserve">   </w:t>
      </w:r>
      <w:r w:rsidRPr="00876A31">
        <w:rPr>
          <w:rStyle w:val="FootnoteReference"/>
          <w:b w:val="0"/>
          <w:szCs w:val="24"/>
          <w:vertAlign w:val="baseline"/>
        </w:rPr>
        <w:t>*</w:t>
      </w:r>
      <w:r w:rsidRPr="00876A31">
        <w:rPr>
          <w:lang w:val="en-US"/>
        </w:rPr>
        <w:t xml:space="preserve">  This document contains the seventeenth and eighteenth periodic reports of the Netherlands, due on 9 January 2007, submitted in one document.</w:t>
      </w:r>
      <w:r w:rsidRPr="00876A31">
        <w:t xml:space="preserve"> For the fifteenth and sixteenth periodic reports and the summary records of the meetings at which the Committee considered the report, see document CERD/C/452/Add.3, </w:t>
      </w:r>
      <w:r w:rsidRPr="00876A31">
        <w:rPr>
          <w:color w:val="000000"/>
          <w:lang w:val="en-US"/>
        </w:rPr>
        <w:t>CERD/C/SR.</w:t>
      </w:r>
      <w:r w:rsidRPr="00876A31">
        <w:t xml:space="preserve"> /1634</w:t>
      </w:r>
      <w:r>
        <w:noBreakHyphen/>
      </w:r>
      <w:r w:rsidRPr="00876A31">
        <w:t>1635 and 1641</w:t>
      </w:r>
      <w:r w:rsidRPr="00876A31">
        <w:rPr>
          <w:color w:val="000000"/>
          <w:lang w:val="en-US"/>
        </w:rPr>
        <w:t>.</w:t>
      </w:r>
    </w:p>
  </w:footnote>
  <w:footnote w:id="3">
    <w:p w:rsidR="003C1FA9" w:rsidRPr="00876A31" w:rsidRDefault="003C1FA9" w:rsidP="00876A31">
      <w:pPr>
        <w:rPr>
          <w:lang w:val="en-US"/>
        </w:rPr>
      </w:pPr>
      <w:r>
        <w:rPr>
          <w:szCs w:val="24"/>
          <w:lang w:val="en-US"/>
        </w:rPr>
        <w:t xml:space="preserve">  </w:t>
      </w:r>
      <w:r w:rsidRPr="00876A31">
        <w:rPr>
          <w:rStyle w:val="FootnoteReference"/>
          <w:b w:val="0"/>
          <w:szCs w:val="24"/>
          <w:vertAlign w:val="baseline"/>
          <w:lang w:val="en-US"/>
        </w:rPr>
        <w:t>**</w:t>
      </w:r>
      <w:r w:rsidRPr="00876A31">
        <w:rPr>
          <w:lang w:val="en-US"/>
        </w:rPr>
        <w:t xml:space="preserve">  In accordance with the information transmitted to States part</w:t>
      </w:r>
      <w:r w:rsidR="00E6733A">
        <w:rPr>
          <w:lang w:val="en-US"/>
        </w:rPr>
        <w:t>ies regarding the processing of </w:t>
      </w:r>
      <w:r w:rsidRPr="00876A31">
        <w:rPr>
          <w:lang w:val="en-US"/>
        </w:rPr>
        <w:t>their reports, the present document was not formally edited before being</w:t>
      </w:r>
      <w:r w:rsidR="00E6733A">
        <w:rPr>
          <w:lang w:val="en-US"/>
        </w:rPr>
        <w:t xml:space="preserve"> sent to the United </w:t>
      </w:r>
      <w:r w:rsidRPr="00876A31">
        <w:rPr>
          <w:lang w:val="en-US"/>
        </w:rPr>
        <w:t>Nations translation services.</w:t>
      </w:r>
    </w:p>
  </w:footnote>
  <w:footnote w:id="4">
    <w:p w:rsidR="003C1FA9" w:rsidRPr="00876A31" w:rsidRDefault="003C1FA9" w:rsidP="00876A31">
      <w:pPr>
        <w:rPr>
          <w:lang w:val="en-US"/>
        </w:rPr>
      </w:pPr>
      <w:r w:rsidRPr="00876A31">
        <w:rPr>
          <w:rStyle w:val="FootnoteReference"/>
          <w:b w:val="0"/>
          <w:szCs w:val="24"/>
          <w:vertAlign w:val="baseline"/>
        </w:rPr>
        <w:t>***</w:t>
      </w:r>
      <w:r w:rsidRPr="00876A31">
        <w:t xml:space="preserve">  </w:t>
      </w:r>
      <w:r w:rsidRPr="00876A31">
        <w:rPr>
          <w:lang w:val="en-US"/>
        </w:rPr>
        <w:t>Annexes can be consulted in the files of the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A9" w:rsidRDefault="003C1FA9" w:rsidP="008721A9">
    <w:pPr>
      <w:pStyle w:val="Header"/>
      <w:spacing w:after="0"/>
    </w:pPr>
    <w:r>
      <w:t>CERD/C/NLD/18</w:t>
    </w:r>
  </w:p>
  <w:p w:rsidR="003C1FA9" w:rsidRDefault="003C1FA9" w:rsidP="008721A9">
    <w:pPr>
      <w:pStyle w:val="Header"/>
      <w:spacing w:after="0"/>
    </w:pPr>
    <w:r>
      <w:t xml:space="preserve">page </w:t>
    </w:r>
    <w:r>
      <w:fldChar w:fldCharType="begin"/>
    </w:r>
    <w:r>
      <w:instrText xml:space="preserve"> PAGE  \* MERGEFORMAT </w:instrText>
    </w:r>
    <w:r>
      <w:fldChar w:fldCharType="separate"/>
    </w:r>
    <w:r w:rsidR="0030474F">
      <w:rPr>
        <w:noProof/>
      </w:rPr>
      <w:t>34</w:t>
    </w:r>
    <w:r>
      <w:fldChar w:fldCharType="end"/>
    </w:r>
  </w:p>
  <w:p w:rsidR="003C1FA9" w:rsidRDefault="003C1FA9" w:rsidP="008721A9">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A9" w:rsidRDefault="003C1FA9" w:rsidP="008721A9">
    <w:pPr>
      <w:pStyle w:val="Header"/>
      <w:tabs>
        <w:tab w:val="clear" w:pos="4320"/>
        <w:tab w:val="clear" w:pos="8640"/>
        <w:tab w:val="left" w:pos="5953"/>
        <w:tab w:val="left" w:pos="6803"/>
      </w:tabs>
      <w:spacing w:after="0"/>
    </w:pPr>
    <w:r>
      <w:tab/>
    </w:r>
    <w:r>
      <w:tab/>
      <w:t>CERD/C/NLD/18</w:t>
    </w:r>
  </w:p>
  <w:p w:rsidR="003C1FA9" w:rsidRDefault="003C1FA9" w:rsidP="008721A9">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30474F">
      <w:rPr>
        <w:noProof/>
      </w:rPr>
      <w:t>33</w:t>
    </w:r>
    <w:r>
      <w:fldChar w:fldCharType="end"/>
    </w:r>
  </w:p>
  <w:p w:rsidR="003C1FA9" w:rsidRDefault="003C1FA9" w:rsidP="008721A9">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0E8B"/>
    <w:multiLevelType w:val="hybridMultilevel"/>
    <w:tmpl w:val="43F804D6"/>
    <w:lvl w:ilvl="0" w:tplc="D1BCD9C8">
      <w:start w:val="1"/>
      <w:numFmt w:val="decimal"/>
      <w:lvlText w:val="%1."/>
      <w:lvlJc w:val="left"/>
      <w:pPr>
        <w:tabs>
          <w:tab w:val="num" w:pos="360"/>
        </w:tabs>
        <w:ind w:left="360" w:hanging="360"/>
      </w:pPr>
      <w:rPr>
        <w:rFonts w:hint="default"/>
        <w:lang w:val="en-G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2C744FC"/>
    <w:multiLevelType w:val="hybridMultilevel"/>
    <w:tmpl w:val="5A6A25C2"/>
    <w:lvl w:ilvl="0" w:tplc="EC564464">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8277369"/>
    <w:multiLevelType w:val="hybridMultilevel"/>
    <w:tmpl w:val="5FF6F8DE"/>
    <w:lvl w:ilvl="0" w:tplc="0413000B">
      <w:start w:val="1"/>
      <w:numFmt w:val="bullet"/>
      <w:lvlText w:val=""/>
      <w:lvlJc w:val="left"/>
      <w:pPr>
        <w:tabs>
          <w:tab w:val="num" w:pos="720"/>
        </w:tabs>
        <w:ind w:left="720" w:hanging="360"/>
      </w:pPr>
      <w:rPr>
        <w:rFonts w:ascii="Wingdings" w:hAnsi="Wingdings" w:hint="default"/>
      </w:rPr>
    </w:lvl>
    <w:lvl w:ilvl="1" w:tplc="EC564464">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8944121"/>
    <w:multiLevelType w:val="hybridMultilevel"/>
    <w:tmpl w:val="C4D6F444"/>
    <w:lvl w:ilvl="0" w:tplc="EC56446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935543E"/>
    <w:multiLevelType w:val="hybridMultilevel"/>
    <w:tmpl w:val="24764C38"/>
    <w:lvl w:ilvl="0" w:tplc="EC56446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5230C74"/>
    <w:multiLevelType w:val="hybridMultilevel"/>
    <w:tmpl w:val="C38A01D2"/>
    <w:lvl w:ilvl="0" w:tplc="EC564464">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C74C77"/>
    <w:multiLevelType w:val="hybridMultilevel"/>
    <w:tmpl w:val="A5205952"/>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72A3CC0"/>
    <w:multiLevelType w:val="hybridMultilevel"/>
    <w:tmpl w:val="A7E2105C"/>
    <w:lvl w:ilvl="0" w:tplc="2B9EA00E">
      <w:numFmt w:val="bullet"/>
      <w:lvlText w:val="-"/>
      <w:lvlJc w:val="left"/>
      <w:pPr>
        <w:tabs>
          <w:tab w:val="num" w:pos="1440"/>
        </w:tabs>
        <w:ind w:left="1440" w:hanging="360"/>
      </w:pPr>
      <w:rPr>
        <w:rFonts w:ascii="font410" w:eastAsia="Times New Roman" w:hAnsi="font410" w:cs="Times New Roman" w:hint="default"/>
      </w:rPr>
    </w:lvl>
    <w:lvl w:ilvl="1" w:tplc="2B9EA00E">
      <w:numFmt w:val="bullet"/>
      <w:lvlText w:val="-"/>
      <w:lvlJc w:val="left"/>
      <w:pPr>
        <w:tabs>
          <w:tab w:val="num" w:pos="1440"/>
        </w:tabs>
        <w:ind w:left="1440" w:hanging="360"/>
      </w:pPr>
      <w:rPr>
        <w:rFonts w:ascii="Univers" w:eastAsia="Times New Roman" w:hAnsi="Univers"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10">
    <w:nsid w:val="2CFE34E3"/>
    <w:multiLevelType w:val="hybridMultilevel"/>
    <w:tmpl w:val="A5205952"/>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F125D4"/>
    <w:multiLevelType w:val="hybridMultilevel"/>
    <w:tmpl w:val="A5205952"/>
    <w:lvl w:ilvl="0" w:tplc="0413000B">
      <w:start w:val="1"/>
      <w:numFmt w:val="bullet"/>
      <w:lvlText w:val=""/>
      <w:lvlJc w:val="left"/>
      <w:pPr>
        <w:tabs>
          <w:tab w:val="num" w:pos="540"/>
        </w:tabs>
        <w:ind w:left="540" w:hanging="360"/>
      </w:pPr>
      <w:rPr>
        <w:rFonts w:ascii="Wingdings" w:hAnsi="Wingdings" w:hint="default"/>
      </w:rPr>
    </w:lvl>
    <w:lvl w:ilvl="1" w:tplc="04130003" w:tentative="1">
      <w:start w:val="1"/>
      <w:numFmt w:val="bullet"/>
      <w:lvlText w:val="o"/>
      <w:lvlJc w:val="left"/>
      <w:pPr>
        <w:tabs>
          <w:tab w:val="num" w:pos="1260"/>
        </w:tabs>
        <w:ind w:left="1260" w:hanging="360"/>
      </w:pPr>
      <w:rPr>
        <w:rFonts w:ascii="Courier New" w:hAnsi="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3D774BE3"/>
    <w:multiLevelType w:val="hybridMultilevel"/>
    <w:tmpl w:val="17BCEF84"/>
    <w:lvl w:ilvl="0" w:tplc="3000F9A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763504"/>
    <w:multiLevelType w:val="hybridMultilevel"/>
    <w:tmpl w:val="3F9A4EE2"/>
    <w:lvl w:ilvl="0" w:tplc="EC56446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nsid w:val="503968B7"/>
    <w:multiLevelType w:val="hybridMultilevel"/>
    <w:tmpl w:val="12C8EAAE"/>
    <w:lvl w:ilvl="0" w:tplc="EC564464">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0BE4533"/>
    <w:multiLevelType w:val="hybridMultilevel"/>
    <w:tmpl w:val="EAA436A8"/>
    <w:lvl w:ilvl="0" w:tplc="EC564464">
      <w:numFmt w:val="bullet"/>
      <w:lvlText w:val="-"/>
      <w:lvlJc w:val="left"/>
      <w:pPr>
        <w:tabs>
          <w:tab w:val="num" w:pos="360"/>
        </w:tabs>
        <w:ind w:left="360" w:hanging="360"/>
      </w:pPr>
      <w:rPr>
        <w:rFonts w:ascii="Times New Roman" w:eastAsia="Times New Roman" w:hAnsi="Times New Roman" w:cs="Times New Roman" w:hint="default"/>
      </w:rPr>
    </w:lvl>
    <w:lvl w:ilvl="1" w:tplc="04130009">
      <w:start w:val="1"/>
      <w:numFmt w:val="bullet"/>
      <w:lvlText w:val=""/>
      <w:lvlJc w:val="left"/>
      <w:pPr>
        <w:tabs>
          <w:tab w:val="num" w:pos="1080"/>
        </w:tabs>
        <w:ind w:left="1080" w:hanging="360"/>
      </w:pPr>
      <w:rPr>
        <w:rFonts w:ascii="Wingdings" w:hAnsi="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8">
    <w:nsid w:val="55184BC7"/>
    <w:multiLevelType w:val="hybridMultilevel"/>
    <w:tmpl w:val="0B4E314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5ACC1F4E"/>
    <w:multiLevelType w:val="hybridMultilevel"/>
    <w:tmpl w:val="05303A5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13029D9"/>
    <w:multiLevelType w:val="hybridMultilevel"/>
    <w:tmpl w:val="3F60A33A"/>
    <w:lvl w:ilvl="0" w:tplc="EC56446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6B950D06"/>
    <w:multiLevelType w:val="hybridMultilevel"/>
    <w:tmpl w:val="BE403E06"/>
    <w:lvl w:ilvl="0" w:tplc="EC564464">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5131B32"/>
    <w:multiLevelType w:val="hybridMultilevel"/>
    <w:tmpl w:val="AA142E18"/>
    <w:lvl w:ilvl="0" w:tplc="EBE8B13E">
      <w:numFmt w:val="bullet"/>
      <w:lvlText w:val="-"/>
      <w:lvlJc w:val="left"/>
      <w:pPr>
        <w:tabs>
          <w:tab w:val="num" w:pos="720"/>
        </w:tabs>
        <w:ind w:left="720" w:hanging="360"/>
      </w:pPr>
      <w:rPr>
        <w:rFonts w:ascii="Times New Roman" w:eastAsia="Times New Roman" w:hAnsi="Times New Roman" w:cs="Times New Roman"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3">
    <w:nsid w:val="76143768"/>
    <w:multiLevelType w:val="hybridMultilevel"/>
    <w:tmpl w:val="0A802616"/>
    <w:lvl w:ilvl="0" w:tplc="7C428FC2">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76310606"/>
    <w:multiLevelType w:val="hybridMultilevel"/>
    <w:tmpl w:val="6C2C34C6"/>
    <w:lvl w:ilvl="0" w:tplc="04130001">
      <w:start w:val="1"/>
      <w:numFmt w:val="bullet"/>
      <w:lvlText w:val=""/>
      <w:lvlJc w:val="left"/>
      <w:pPr>
        <w:tabs>
          <w:tab w:val="num" w:pos="720"/>
        </w:tabs>
        <w:ind w:left="720" w:hanging="360"/>
      </w:pPr>
      <w:rPr>
        <w:rFonts w:ascii="Symbol" w:hAnsi="Symbol" w:hint="default"/>
      </w:rPr>
    </w:lvl>
    <w:lvl w:ilvl="1" w:tplc="EC564464">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70A7B74"/>
    <w:multiLevelType w:val="hybridMultilevel"/>
    <w:tmpl w:val="D744D2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783A1F01"/>
    <w:multiLevelType w:val="hybridMultilevel"/>
    <w:tmpl w:val="B566BDB4"/>
    <w:lvl w:ilvl="0" w:tplc="6D0A9CFA">
      <w:start w:val="1"/>
      <w:numFmt w:val="bullet"/>
      <w:lvlText w:val=""/>
      <w:lvlJc w:val="left"/>
      <w:pPr>
        <w:tabs>
          <w:tab w:val="num" w:pos="397"/>
        </w:tabs>
        <w:ind w:left="397" w:hanging="397"/>
      </w:pPr>
      <w:rPr>
        <w:rFonts w:ascii="Symbol" w:hAnsi="Symbol" w:hint="default"/>
        <w:color w:val="auto"/>
      </w:rPr>
    </w:lvl>
    <w:lvl w:ilvl="1" w:tplc="3A228A62">
      <w:start w:val="1"/>
      <w:numFmt w:val="lowerLetter"/>
      <w:lvlText w:val="%2)"/>
      <w:lvlJc w:val="left"/>
      <w:pPr>
        <w:tabs>
          <w:tab w:val="num" w:pos="1440"/>
        </w:tabs>
        <w:ind w:left="1440" w:hanging="360"/>
      </w:pPr>
      <w:rPr>
        <w:rFonts w:ascii="Arial" w:eastAsia="Times New Roman" w:hAnsi="Arial" w:cs="Arial" w:hint="default"/>
      </w:rPr>
    </w:lvl>
    <w:lvl w:ilvl="2" w:tplc="04130005">
      <w:start w:val="1"/>
      <w:numFmt w:val="bullet"/>
      <w:lvlText w:val=""/>
      <w:lvlJc w:val="left"/>
      <w:pPr>
        <w:tabs>
          <w:tab w:val="num" w:pos="2197"/>
        </w:tabs>
        <w:ind w:left="2197" w:hanging="397"/>
      </w:pPr>
      <w:rPr>
        <w:rFonts w:ascii="Symbol" w:hAnsi="Symbol" w:hint="default"/>
        <w:color w:val="auto"/>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786D3750"/>
    <w:multiLevelType w:val="hybridMultilevel"/>
    <w:tmpl w:val="B68A5D60"/>
    <w:lvl w:ilvl="0" w:tplc="A08EFD18">
      <w:start w:val="6"/>
      <w:numFmt w:val="bullet"/>
      <w:lvlText w:val="-"/>
      <w:lvlJc w:val="left"/>
      <w:pPr>
        <w:tabs>
          <w:tab w:val="num" w:pos="720"/>
        </w:tabs>
        <w:ind w:left="720" w:hanging="360"/>
      </w:pPr>
      <w:rPr>
        <w:rFonts w:ascii="Times New Roman" w:eastAsia="Times New Roman" w:hAnsi="Times New Roman" w:cs="Times New Roman" w:hint="default"/>
        <w:lang w:val="en-GB"/>
      </w:rPr>
    </w:lvl>
    <w:lvl w:ilvl="1" w:tplc="8D6A848E"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8">
    <w:nsid w:val="78F3460A"/>
    <w:multiLevelType w:val="hybridMultilevel"/>
    <w:tmpl w:val="5ED697D2"/>
    <w:lvl w:ilvl="0" w:tplc="EC56446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num w:numId="1">
    <w:abstractNumId w:val="13"/>
  </w:num>
  <w:num w:numId="2">
    <w:abstractNumId w:val="29"/>
  </w:num>
  <w:num w:numId="3">
    <w:abstractNumId w:val="9"/>
  </w:num>
  <w:num w:numId="4">
    <w:abstractNumId w:val="6"/>
  </w:num>
  <w:num w:numId="5">
    <w:abstractNumId w:val="11"/>
  </w:num>
  <w:num w:numId="6">
    <w:abstractNumId w:val="14"/>
  </w:num>
  <w:num w:numId="7">
    <w:abstractNumId w:val="0"/>
  </w:num>
  <w:num w:numId="8">
    <w:abstractNumId w:val="23"/>
  </w:num>
  <w:num w:numId="9">
    <w:abstractNumId w:val="27"/>
  </w:num>
  <w:num w:numId="10">
    <w:abstractNumId w:val="22"/>
  </w:num>
  <w:num w:numId="11">
    <w:abstractNumId w:val="26"/>
  </w:num>
  <w:num w:numId="12">
    <w:abstractNumId w:val="25"/>
  </w:num>
  <w:num w:numId="13">
    <w:abstractNumId w:val="18"/>
  </w:num>
  <w:num w:numId="14">
    <w:abstractNumId w:val="2"/>
  </w:num>
  <w:num w:numId="15">
    <w:abstractNumId w:val="19"/>
  </w:num>
  <w:num w:numId="16">
    <w:abstractNumId w:val="7"/>
  </w:num>
  <w:num w:numId="17">
    <w:abstractNumId w:val="10"/>
  </w:num>
  <w:num w:numId="18">
    <w:abstractNumId w:val="12"/>
  </w:num>
  <w:num w:numId="19">
    <w:abstractNumId w:val="15"/>
  </w:num>
  <w:num w:numId="20">
    <w:abstractNumId w:val="20"/>
  </w:num>
  <w:num w:numId="21">
    <w:abstractNumId w:val="3"/>
  </w:num>
  <w:num w:numId="22">
    <w:abstractNumId w:val="4"/>
  </w:num>
  <w:num w:numId="23">
    <w:abstractNumId w:val="16"/>
  </w:num>
  <w:num w:numId="24">
    <w:abstractNumId w:val="5"/>
  </w:num>
  <w:num w:numId="25">
    <w:abstractNumId w:val="1"/>
  </w:num>
  <w:num w:numId="26">
    <w:abstractNumId w:val="21"/>
  </w:num>
  <w:num w:numId="27">
    <w:abstractNumId w:val="28"/>
  </w:num>
  <w:num w:numId="28">
    <w:abstractNumId w:val="17"/>
  </w:num>
  <w:num w:numId="29">
    <w:abstractNumId w:val="24"/>
  </w:num>
  <w:num w:numId="30">
    <w:abstractNumId w:val="8"/>
  </w:num>
  <w:num w:numId="31">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46E"/>
    <w:rsid w:val="0000003F"/>
    <w:rsid w:val="00011808"/>
    <w:rsid w:val="00030277"/>
    <w:rsid w:val="00030F9E"/>
    <w:rsid w:val="000324E5"/>
    <w:rsid w:val="000335DA"/>
    <w:rsid w:val="000548DC"/>
    <w:rsid w:val="000823E1"/>
    <w:rsid w:val="00085DCC"/>
    <w:rsid w:val="00090F1F"/>
    <w:rsid w:val="00094AD0"/>
    <w:rsid w:val="000A39CF"/>
    <w:rsid w:val="000B2003"/>
    <w:rsid w:val="000D46FF"/>
    <w:rsid w:val="000E770D"/>
    <w:rsid w:val="000F086E"/>
    <w:rsid w:val="001007B3"/>
    <w:rsid w:val="001136A3"/>
    <w:rsid w:val="00122EAB"/>
    <w:rsid w:val="0012724F"/>
    <w:rsid w:val="00140260"/>
    <w:rsid w:val="001414C7"/>
    <w:rsid w:val="00141A7B"/>
    <w:rsid w:val="001470B9"/>
    <w:rsid w:val="00152EC6"/>
    <w:rsid w:val="00155325"/>
    <w:rsid w:val="00170CC8"/>
    <w:rsid w:val="00186456"/>
    <w:rsid w:val="001A08D7"/>
    <w:rsid w:val="001A77CD"/>
    <w:rsid w:val="001B03FF"/>
    <w:rsid w:val="001D0CCE"/>
    <w:rsid w:val="002124AB"/>
    <w:rsid w:val="00220377"/>
    <w:rsid w:val="00226465"/>
    <w:rsid w:val="00230B86"/>
    <w:rsid w:val="002321E1"/>
    <w:rsid w:val="002353A1"/>
    <w:rsid w:val="0024045C"/>
    <w:rsid w:val="00254A15"/>
    <w:rsid w:val="00270E3B"/>
    <w:rsid w:val="00272628"/>
    <w:rsid w:val="00290AD4"/>
    <w:rsid w:val="002921C8"/>
    <w:rsid w:val="002B7FD3"/>
    <w:rsid w:val="002C4154"/>
    <w:rsid w:val="002C4F18"/>
    <w:rsid w:val="002D1C9A"/>
    <w:rsid w:val="00302490"/>
    <w:rsid w:val="0030474F"/>
    <w:rsid w:val="003060CE"/>
    <w:rsid w:val="0031311C"/>
    <w:rsid w:val="00330790"/>
    <w:rsid w:val="003515B5"/>
    <w:rsid w:val="00393AAA"/>
    <w:rsid w:val="00396C03"/>
    <w:rsid w:val="003C1E02"/>
    <w:rsid w:val="003C1FA9"/>
    <w:rsid w:val="003C2AFB"/>
    <w:rsid w:val="003F18BB"/>
    <w:rsid w:val="004016E5"/>
    <w:rsid w:val="00412491"/>
    <w:rsid w:val="00424469"/>
    <w:rsid w:val="0042600E"/>
    <w:rsid w:val="004319B8"/>
    <w:rsid w:val="004401D5"/>
    <w:rsid w:val="00471316"/>
    <w:rsid w:val="0047737E"/>
    <w:rsid w:val="0048435E"/>
    <w:rsid w:val="00487780"/>
    <w:rsid w:val="004A0B65"/>
    <w:rsid w:val="004A497D"/>
    <w:rsid w:val="004B218C"/>
    <w:rsid w:val="004B484E"/>
    <w:rsid w:val="004C2882"/>
    <w:rsid w:val="004C3868"/>
    <w:rsid w:val="004F32E5"/>
    <w:rsid w:val="004F3561"/>
    <w:rsid w:val="00510E20"/>
    <w:rsid w:val="005213B2"/>
    <w:rsid w:val="0052170A"/>
    <w:rsid w:val="005271EE"/>
    <w:rsid w:val="0055189D"/>
    <w:rsid w:val="0058018A"/>
    <w:rsid w:val="00581181"/>
    <w:rsid w:val="0058564C"/>
    <w:rsid w:val="00590C2B"/>
    <w:rsid w:val="005A0C7C"/>
    <w:rsid w:val="005A2046"/>
    <w:rsid w:val="005A52DB"/>
    <w:rsid w:val="005A5EB5"/>
    <w:rsid w:val="005B6862"/>
    <w:rsid w:val="005B7CF9"/>
    <w:rsid w:val="005C2E00"/>
    <w:rsid w:val="005C7214"/>
    <w:rsid w:val="005D2A34"/>
    <w:rsid w:val="005D4D28"/>
    <w:rsid w:val="005E37C6"/>
    <w:rsid w:val="005E3963"/>
    <w:rsid w:val="005E6E22"/>
    <w:rsid w:val="005E6F32"/>
    <w:rsid w:val="005F5728"/>
    <w:rsid w:val="005F7B8C"/>
    <w:rsid w:val="00610F06"/>
    <w:rsid w:val="006144F0"/>
    <w:rsid w:val="006227FB"/>
    <w:rsid w:val="00640934"/>
    <w:rsid w:val="006A2967"/>
    <w:rsid w:val="006C045D"/>
    <w:rsid w:val="006C516C"/>
    <w:rsid w:val="006D291B"/>
    <w:rsid w:val="006D4180"/>
    <w:rsid w:val="006F2FDD"/>
    <w:rsid w:val="00704A3A"/>
    <w:rsid w:val="007308F9"/>
    <w:rsid w:val="00733505"/>
    <w:rsid w:val="00737550"/>
    <w:rsid w:val="00746437"/>
    <w:rsid w:val="007625BE"/>
    <w:rsid w:val="00792FFC"/>
    <w:rsid w:val="007955CD"/>
    <w:rsid w:val="007A6268"/>
    <w:rsid w:val="007A6AFD"/>
    <w:rsid w:val="007C2A9D"/>
    <w:rsid w:val="007C6E71"/>
    <w:rsid w:val="007D1E89"/>
    <w:rsid w:val="007D3A4E"/>
    <w:rsid w:val="00804EAE"/>
    <w:rsid w:val="0080714A"/>
    <w:rsid w:val="0081419D"/>
    <w:rsid w:val="0081694B"/>
    <w:rsid w:val="00821A17"/>
    <w:rsid w:val="0084187A"/>
    <w:rsid w:val="0084783A"/>
    <w:rsid w:val="0085469C"/>
    <w:rsid w:val="00857590"/>
    <w:rsid w:val="0086399B"/>
    <w:rsid w:val="008721A9"/>
    <w:rsid w:val="00874C75"/>
    <w:rsid w:val="00876A31"/>
    <w:rsid w:val="00876F98"/>
    <w:rsid w:val="00882575"/>
    <w:rsid w:val="00883F9F"/>
    <w:rsid w:val="00884122"/>
    <w:rsid w:val="00891385"/>
    <w:rsid w:val="008C0E66"/>
    <w:rsid w:val="008C2DD2"/>
    <w:rsid w:val="008C366D"/>
    <w:rsid w:val="008C36B1"/>
    <w:rsid w:val="008C483F"/>
    <w:rsid w:val="008D13FB"/>
    <w:rsid w:val="008D7C91"/>
    <w:rsid w:val="008E1B07"/>
    <w:rsid w:val="008F100C"/>
    <w:rsid w:val="008F7993"/>
    <w:rsid w:val="0090124F"/>
    <w:rsid w:val="00924380"/>
    <w:rsid w:val="00935EDE"/>
    <w:rsid w:val="00937200"/>
    <w:rsid w:val="00937F46"/>
    <w:rsid w:val="00944133"/>
    <w:rsid w:val="009472AB"/>
    <w:rsid w:val="009619E6"/>
    <w:rsid w:val="00985F68"/>
    <w:rsid w:val="009935DE"/>
    <w:rsid w:val="00994924"/>
    <w:rsid w:val="009A273B"/>
    <w:rsid w:val="009B148F"/>
    <w:rsid w:val="009B2B8B"/>
    <w:rsid w:val="009B7745"/>
    <w:rsid w:val="009C3566"/>
    <w:rsid w:val="009F1759"/>
    <w:rsid w:val="009F67D0"/>
    <w:rsid w:val="00A0027F"/>
    <w:rsid w:val="00A01B55"/>
    <w:rsid w:val="00A11092"/>
    <w:rsid w:val="00A34698"/>
    <w:rsid w:val="00A42F2A"/>
    <w:rsid w:val="00A63D5C"/>
    <w:rsid w:val="00A703BA"/>
    <w:rsid w:val="00A74922"/>
    <w:rsid w:val="00A74E49"/>
    <w:rsid w:val="00A77EE8"/>
    <w:rsid w:val="00A80425"/>
    <w:rsid w:val="00A80764"/>
    <w:rsid w:val="00A95137"/>
    <w:rsid w:val="00AA197A"/>
    <w:rsid w:val="00AB09FB"/>
    <w:rsid w:val="00AB1B8F"/>
    <w:rsid w:val="00AB616B"/>
    <w:rsid w:val="00AC30EE"/>
    <w:rsid w:val="00AC4B30"/>
    <w:rsid w:val="00AD0DF3"/>
    <w:rsid w:val="00AD53CF"/>
    <w:rsid w:val="00AF2DC4"/>
    <w:rsid w:val="00AF683A"/>
    <w:rsid w:val="00B04A0A"/>
    <w:rsid w:val="00B518B6"/>
    <w:rsid w:val="00B566AB"/>
    <w:rsid w:val="00B64FE5"/>
    <w:rsid w:val="00B670AC"/>
    <w:rsid w:val="00B72E79"/>
    <w:rsid w:val="00B80111"/>
    <w:rsid w:val="00BD0CF8"/>
    <w:rsid w:val="00BE4BB6"/>
    <w:rsid w:val="00C0445A"/>
    <w:rsid w:val="00C1278D"/>
    <w:rsid w:val="00C257DF"/>
    <w:rsid w:val="00C35BC0"/>
    <w:rsid w:val="00C407C2"/>
    <w:rsid w:val="00C40C0A"/>
    <w:rsid w:val="00C42C94"/>
    <w:rsid w:val="00C50B39"/>
    <w:rsid w:val="00C52C84"/>
    <w:rsid w:val="00C567FE"/>
    <w:rsid w:val="00C6469E"/>
    <w:rsid w:val="00C65904"/>
    <w:rsid w:val="00C82404"/>
    <w:rsid w:val="00C828C4"/>
    <w:rsid w:val="00C94A2E"/>
    <w:rsid w:val="00CA32EF"/>
    <w:rsid w:val="00CA62C1"/>
    <w:rsid w:val="00CA729C"/>
    <w:rsid w:val="00CB2563"/>
    <w:rsid w:val="00CB600A"/>
    <w:rsid w:val="00CE1FB5"/>
    <w:rsid w:val="00CF659D"/>
    <w:rsid w:val="00D02664"/>
    <w:rsid w:val="00D36A2D"/>
    <w:rsid w:val="00D441FD"/>
    <w:rsid w:val="00D52895"/>
    <w:rsid w:val="00D724BA"/>
    <w:rsid w:val="00D80847"/>
    <w:rsid w:val="00DB65B5"/>
    <w:rsid w:val="00DB6E7F"/>
    <w:rsid w:val="00DE1407"/>
    <w:rsid w:val="00DE6CF7"/>
    <w:rsid w:val="00DF12D8"/>
    <w:rsid w:val="00DF4D67"/>
    <w:rsid w:val="00E0432C"/>
    <w:rsid w:val="00E0446E"/>
    <w:rsid w:val="00E22302"/>
    <w:rsid w:val="00E232DF"/>
    <w:rsid w:val="00E2480E"/>
    <w:rsid w:val="00E32A57"/>
    <w:rsid w:val="00E434A2"/>
    <w:rsid w:val="00E65BA5"/>
    <w:rsid w:val="00E6733A"/>
    <w:rsid w:val="00E7197D"/>
    <w:rsid w:val="00EA7A86"/>
    <w:rsid w:val="00EC2B8C"/>
    <w:rsid w:val="00ED7BF2"/>
    <w:rsid w:val="00EE53DA"/>
    <w:rsid w:val="00EE65BA"/>
    <w:rsid w:val="00EE6AE7"/>
    <w:rsid w:val="00EF380E"/>
    <w:rsid w:val="00EF5DDA"/>
    <w:rsid w:val="00F1655C"/>
    <w:rsid w:val="00F26E75"/>
    <w:rsid w:val="00F46656"/>
    <w:rsid w:val="00F517A9"/>
    <w:rsid w:val="00F51931"/>
    <w:rsid w:val="00F535F6"/>
    <w:rsid w:val="00F644A9"/>
    <w:rsid w:val="00F64E71"/>
    <w:rsid w:val="00F66B5D"/>
    <w:rsid w:val="00F872DF"/>
    <w:rsid w:val="00F875EB"/>
    <w:rsid w:val="00F92C4C"/>
    <w:rsid w:val="00F9391C"/>
    <w:rsid w:val="00F96B77"/>
    <w:rsid w:val="00FA7639"/>
    <w:rsid w:val="00FB0344"/>
    <w:rsid w:val="00FB46A9"/>
    <w:rsid w:val="00FC71A4"/>
    <w:rsid w:val="00FD57C9"/>
    <w:rsid w:val="00FF4350"/>
    <w:rsid w:val="00FF522F"/>
    <w:rsid w:val="00FF5C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A31"/>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rsid w:val="003060CE"/>
    <w:pPr>
      <w:keepNext/>
      <w:outlineLvl w:val="2"/>
    </w:pPr>
    <w:rPr>
      <w:rFonts w:ascii="Times New Roman Bold" w:hAnsi="Times New Roman Bold"/>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semiHidden/>
    <w:rsid w:val="00FA7639"/>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FA7639"/>
    <w:pPr>
      <w:numPr>
        <w:numId w:val="4"/>
      </w:numPr>
    </w:pPr>
  </w:style>
  <w:style w:type="paragraph" w:customStyle="1" w:styleId="Dash">
    <w:name w:val="Dash"/>
    <w:basedOn w:val="Normal"/>
    <w:rsid w:val="00FA7639"/>
    <w:pPr>
      <w:numPr>
        <w:numId w:val="5"/>
      </w:numPr>
      <w:adjustRightInd w:val="0"/>
      <w:snapToGrid w:val="0"/>
    </w:pPr>
  </w:style>
  <w:style w:type="table" w:styleId="TableGrid">
    <w:name w:val="Table Grid"/>
    <w:basedOn w:val="TableNormal"/>
    <w:rsid w:val="005D2A3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Arial">
    <w:name w:val="Standaard + Arial"/>
    <w:aliases w:val="anderhalf"/>
    <w:basedOn w:val="Normal"/>
    <w:semiHidden/>
    <w:rsid w:val="00E0446E"/>
    <w:pPr>
      <w:spacing w:after="0"/>
    </w:pPr>
    <w:rPr>
      <w:rFonts w:ascii="Arial" w:hAnsi="Arial" w:cs="Arial"/>
      <w:bCs/>
      <w:color w:val="000000"/>
      <w:sz w:val="22"/>
      <w:szCs w:val="22"/>
      <w:lang w:eastAsia="nl-NL"/>
    </w:rPr>
  </w:style>
  <w:style w:type="paragraph" w:styleId="BodyText">
    <w:name w:val="Body Text"/>
    <w:basedOn w:val="Normal"/>
    <w:semiHidden/>
    <w:rsid w:val="00E0446E"/>
    <w:pPr>
      <w:tabs>
        <w:tab w:val="left" w:pos="720"/>
      </w:tabs>
      <w:autoSpaceDE w:val="0"/>
      <w:autoSpaceDN w:val="0"/>
      <w:adjustRightInd w:val="0"/>
      <w:spacing w:after="0" w:line="360" w:lineRule="auto"/>
    </w:pPr>
    <w:rPr>
      <w:rFonts w:ascii="Arial" w:hAnsi="Arial" w:cs="Arial"/>
      <w:bCs/>
      <w:sz w:val="22"/>
      <w:lang w:eastAsia="nl-NL"/>
    </w:rPr>
  </w:style>
  <w:style w:type="paragraph" w:styleId="DocumentMap">
    <w:name w:val="Document Map"/>
    <w:basedOn w:val="Normal"/>
    <w:semiHidden/>
    <w:rsid w:val="00640934"/>
    <w:pPr>
      <w:shd w:val="clear" w:color="auto" w:fill="000080"/>
    </w:pPr>
    <w:rPr>
      <w:rFonts w:ascii="Tahoma" w:hAnsi="Tahoma" w:cs="Tahoma"/>
      <w:sz w:val="20"/>
    </w:rPr>
  </w:style>
  <w:style w:type="paragraph" w:styleId="BodyText2">
    <w:name w:val="Body Text 2"/>
    <w:basedOn w:val="Normal"/>
    <w:semiHidden/>
    <w:rsid w:val="00E0446E"/>
    <w:pPr>
      <w:spacing w:after="0" w:line="360" w:lineRule="auto"/>
      <w:jc w:val="both"/>
    </w:pPr>
    <w:rPr>
      <w:rFonts w:ascii="Arial" w:hAnsi="Arial" w:cs="Arial"/>
      <w:sz w:val="22"/>
      <w:szCs w:val="24"/>
      <w:lang w:val="nl-NL" w:eastAsia="nl-NL"/>
    </w:rPr>
  </w:style>
  <w:style w:type="paragraph" w:customStyle="1" w:styleId="RegelafstandMeerdere1">
    <w:name w:val="Regelafstand:  Meerdere 1"/>
    <w:aliases w:val="3 rg"/>
    <w:basedOn w:val="Normal"/>
    <w:semiHidden/>
    <w:rsid w:val="00E0446E"/>
    <w:pPr>
      <w:overflowPunct w:val="0"/>
      <w:autoSpaceDE w:val="0"/>
      <w:autoSpaceDN w:val="0"/>
      <w:adjustRightInd w:val="0"/>
      <w:spacing w:after="0" w:line="312" w:lineRule="auto"/>
      <w:textAlignment w:val="baseline"/>
    </w:pPr>
    <w:rPr>
      <w:rFonts w:ascii="Arial" w:hAnsi="Arial" w:cs="Arial"/>
      <w:sz w:val="20"/>
      <w:lang w:val="nl-NL" w:eastAsia="nl-NL"/>
    </w:rPr>
  </w:style>
  <w:style w:type="paragraph" w:styleId="BodyTextIndent2">
    <w:name w:val="Body Text Indent 2"/>
    <w:basedOn w:val="Normal"/>
    <w:semiHidden/>
    <w:rsid w:val="00E0446E"/>
    <w:pPr>
      <w:spacing w:after="120" w:line="480" w:lineRule="auto"/>
      <w:ind w:left="283"/>
    </w:pPr>
    <w:rPr>
      <w:rFonts w:eastAsia="Batang"/>
      <w:szCs w:val="24"/>
      <w:lang w:val="fr-FR" w:eastAsia="ko-KR"/>
    </w:rPr>
  </w:style>
  <w:style w:type="character" w:styleId="Strong">
    <w:name w:val="Strong"/>
    <w:qFormat/>
    <w:rsid w:val="00E0446E"/>
    <w:rPr>
      <w:b/>
      <w:bCs/>
    </w:rPr>
  </w:style>
  <w:style w:type="character" w:customStyle="1" w:styleId="titel1">
    <w:name w:val="titel1"/>
    <w:semiHidden/>
    <w:rsid w:val="00E0446E"/>
    <w:rPr>
      <w:sz w:val="28"/>
      <w:szCs w:val="28"/>
    </w:rPr>
  </w:style>
  <w:style w:type="character" w:customStyle="1" w:styleId="Tekst">
    <w:name w:val="Tekst"/>
    <w:semiHidden/>
    <w:rsid w:val="00E0446E"/>
    <w:rPr>
      <w:rFonts w:ascii="Utopia" w:hAnsi="Utopia"/>
      <w:sz w:val="22"/>
    </w:rPr>
  </w:style>
  <w:style w:type="character" w:customStyle="1" w:styleId="tekst0">
    <w:name w:val="tekst"/>
    <w:semiHidden/>
    <w:rsid w:val="00E0446E"/>
    <w:rPr>
      <w:rFonts w:ascii="Utopia" w:hAnsi="Utopia" w:hint="default"/>
    </w:rPr>
  </w:style>
  <w:style w:type="paragraph" w:customStyle="1" w:styleId="CharCharChar">
    <w:name w:val=" Char Char Char"/>
    <w:basedOn w:val="Normal"/>
    <w:semiHidden/>
    <w:rsid w:val="00E0446E"/>
    <w:pPr>
      <w:spacing w:after="160" w:line="240" w:lineRule="exact"/>
    </w:pPr>
    <w:rPr>
      <w:rFonts w:ascii="Tahoma" w:hAnsi="Tahoma"/>
      <w:sz w:val="20"/>
      <w:lang w:val="en-US"/>
    </w:rPr>
  </w:style>
  <w:style w:type="paragraph" w:styleId="PlainText">
    <w:name w:val="Plain Text"/>
    <w:basedOn w:val="Normal"/>
    <w:semiHidden/>
    <w:rsid w:val="00E0446E"/>
    <w:pPr>
      <w:spacing w:after="0"/>
    </w:pPr>
    <w:rPr>
      <w:rFonts w:ascii="Courier New" w:hAnsi="Courier New" w:cs="Courier New"/>
      <w:sz w:val="20"/>
      <w:lang w:val="nl-NL" w:eastAsia="nl-NL"/>
    </w:rPr>
  </w:style>
  <w:style w:type="paragraph" w:styleId="BalloonText">
    <w:name w:val="Balloon Text"/>
    <w:basedOn w:val="Normal"/>
    <w:semiHidden/>
    <w:rsid w:val="00E0446E"/>
    <w:pPr>
      <w:spacing w:after="0"/>
    </w:pPr>
    <w:rPr>
      <w:rFonts w:ascii="Tahoma" w:hAnsi="Tahoma" w:cs="Tahoma"/>
      <w:sz w:val="16"/>
      <w:szCs w:val="16"/>
      <w:lang w:val="nl-NL" w:eastAsia="nl-NL"/>
    </w:rPr>
  </w:style>
  <w:style w:type="paragraph" w:customStyle="1" w:styleId="CharChar1CharCharCharChar">
    <w:name w:val=" Char Char1 Char Char Char Char"/>
    <w:basedOn w:val="Normal"/>
    <w:semiHidden/>
    <w:rsid w:val="00E0446E"/>
    <w:pPr>
      <w:spacing w:after="160" w:line="240" w:lineRule="exact"/>
    </w:pPr>
    <w:rPr>
      <w:rFonts w:ascii="Tahoma" w:hAnsi="Tahoma"/>
      <w:sz w:val="20"/>
      <w:lang w:val="en-US"/>
    </w:rPr>
  </w:style>
  <w:style w:type="paragraph" w:styleId="TOC1">
    <w:name w:val="toc 1"/>
    <w:basedOn w:val="Normal"/>
    <w:next w:val="Normal"/>
    <w:autoRedefine/>
    <w:semiHidden/>
    <w:rsid w:val="00E0446E"/>
    <w:pPr>
      <w:tabs>
        <w:tab w:val="right" w:leader="underscore" w:pos="9060"/>
      </w:tabs>
      <w:spacing w:after="0" w:line="300" w:lineRule="exact"/>
      <w:ind w:firstLine="187"/>
    </w:pPr>
    <w:rPr>
      <w:rFonts w:ascii="Arial" w:hAnsi="Arial" w:cs="Arial"/>
      <w:b/>
      <w:noProof/>
      <w:sz w:val="22"/>
      <w:szCs w:val="22"/>
      <w:lang w:val="nl-NL" w:eastAsia="nl-NL"/>
    </w:rPr>
  </w:style>
  <w:style w:type="paragraph" w:styleId="TOC2">
    <w:name w:val="toc 2"/>
    <w:basedOn w:val="Normal"/>
    <w:next w:val="Normal"/>
    <w:autoRedefine/>
    <w:semiHidden/>
    <w:rsid w:val="00E0446E"/>
    <w:pPr>
      <w:spacing w:after="0"/>
      <w:ind w:left="240"/>
    </w:pPr>
    <w:rPr>
      <w:szCs w:val="24"/>
      <w:lang w:val="nl-NL" w:eastAsia="nl-NL"/>
    </w:rPr>
  </w:style>
  <w:style w:type="paragraph" w:styleId="TOC3">
    <w:name w:val="toc 3"/>
    <w:basedOn w:val="Normal"/>
    <w:next w:val="Normal"/>
    <w:autoRedefine/>
    <w:semiHidden/>
    <w:rsid w:val="00E0446E"/>
    <w:pPr>
      <w:spacing w:after="0"/>
      <w:ind w:left="480"/>
    </w:pPr>
    <w:rPr>
      <w:szCs w:val="24"/>
      <w:lang w:val="nl-NL" w:eastAsia="nl-NL"/>
    </w:rPr>
  </w:style>
  <w:style w:type="paragraph" w:customStyle="1" w:styleId="Char">
    <w:name w:val=" Char"/>
    <w:basedOn w:val="Normal"/>
    <w:semiHidden/>
    <w:rsid w:val="00E0446E"/>
    <w:pPr>
      <w:spacing w:after="160" w:line="240" w:lineRule="exact"/>
    </w:pPr>
    <w:rPr>
      <w:rFonts w:ascii="Tahoma" w:hAnsi="Tahoma"/>
      <w:sz w:val="20"/>
      <w:lang w:val="en-US"/>
    </w:rPr>
  </w:style>
  <w:style w:type="paragraph" w:styleId="CommentText">
    <w:name w:val="annotation text"/>
    <w:basedOn w:val="Normal"/>
    <w:semiHidden/>
    <w:rsid w:val="00E0446E"/>
    <w:pPr>
      <w:spacing w:after="0"/>
    </w:pPr>
    <w:rPr>
      <w:sz w:val="20"/>
      <w:lang w:val="nl-NL" w:eastAsia="nl-NL"/>
    </w:rPr>
  </w:style>
  <w:style w:type="paragraph" w:styleId="CommentSubject">
    <w:name w:val="annotation subject"/>
    <w:basedOn w:val="CommentText"/>
    <w:next w:val="CommentText"/>
    <w:semiHidden/>
    <w:rsid w:val="00E04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elgelijk.nl" TargetMode="External"/><Relationship Id="rId4" Type="http://schemas.openxmlformats.org/officeDocument/2006/relationships/webSettings" Target="webSettings.xml"/><Relationship Id="rId9" Type="http://schemas.openxmlformats.org/officeDocument/2006/relationships/hyperlink" Target="http://www.gelijkloon.n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48</Pages>
  <Words>20170</Words>
  <Characters>114973</Characters>
  <Application>Microsoft Office Word</Application>
  <DocSecurity>4</DocSecurity>
  <Lines>958</Lines>
  <Paragraphs>269</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0840819</vt:lpstr>
      <vt:lpstr>REPORTS SUBMITTED BY STATES PARTIES UNDER ARTICLE 9 OF THE CONVENTION</vt:lpstr>
      <vt:lpstr>    Eighteenth periodic reports of States parties due in 2007</vt:lpstr>
      <vt:lpstr>    Addendum</vt:lpstr>
      <vt:lpstr>Netherlands * ** ***</vt:lpstr>
      <vt:lpstr>I.  Introduction</vt:lpstr>
      <vt:lpstr>II.	RESPONSES TO THE CONCLUDING OBSERVATIONS  OF THE COMMITTEE</vt:lpstr>
      <vt:lpstr>    A.  Racist and xenophobic incidents (concl. obs. no. 10)</vt:lpstr>
      <vt:lpstr>        Integration policy and promotion of general awareness</vt:lpstr>
      <vt:lpstr>        Monitoring and combating racism</vt:lpstr>
      <vt:lpstr>    B.  Discrimination on the Internet (concl. obs. no. 11)</vt:lpstr>
      <vt:lpstr>    C.  Racial segregation (concl. obs. no. 12)</vt:lpstr>
      <vt:lpstr>        Citizenship and integration </vt:lpstr>
      <vt:lpstr>        Citizenship and integration at schools</vt:lpstr>
      <vt:lpstr>        Measures aimed at training teachers to teach in a multicultural setting and to r</vt:lpstr>
      <vt:lpstr>        Human rights education in primary and secondary education</vt:lpstr>
      <vt:lpstr>        Measures to curb educational segregation</vt:lpstr>
      <vt:lpstr>        Equal opportunities in primary and secondary education</vt:lpstr>
      <vt:lpstr>        New government’s plans to tackle school dropout </vt:lpstr>
      <vt:lpstr>    D.  Employment of minorities (concl. obs. no. 13)</vt:lpstr>
      <vt:lpstr>        Employment of Minorities (Promotion) Act</vt:lpstr>
      <vt:lpstr>        Measures/activities aimed at improving the position of ethnic minorities in the </vt:lpstr>
      <vt:lpstr>    E.  Aliens Act 2000 (concl. obs. no. 14)</vt:lpstr>
      <vt:lpstr>        Relevant changes in legislation since the previous report</vt:lpstr>
      <vt:lpstr>        Residence permits for rejected asylum seekers who through no fault of their own </vt:lpstr>
      <vt:lpstr>        Aliens who entered the Netherlands under the old Aliens Act </vt:lpstr>
      <vt:lpstr>        Minor asylum-seekers </vt:lpstr>
      <vt:lpstr>    F.  Ethnic composition of the police (concl. obs. no. 15)</vt:lpstr>
      <vt:lpstr>        Developing a diversity policy </vt:lpstr>
      <vt:lpstr>        Results </vt:lpstr>
      <vt:lpstr>        Future plans</vt:lpstr>
      <vt:lpstr>    G.	The International Convention on the Protection of the Rights of All  Migrant </vt:lpstr>
      <vt:lpstr>    H.  Consulting civil society organisations (concl. obs. no. 17)</vt:lpstr>
      <vt:lpstr>    I.  Availability reports and observations (concl. obs. no. 18)</vt:lpstr>
      <vt:lpstr>III.	INFORMATION RELATING TO ARTICLES 2-7 OF  THE CONVENTION</vt:lpstr>
      <vt:lpstr>    A.  Article 2</vt:lpstr>
      <vt:lpstr>        National Action Plan on Racism </vt:lpstr>
      <vt:lpstr>        Performance agreements with the police on tackling discrimination</vt:lpstr>
      <vt:lpstr>        Registering, reporting and dealing with cases of discrimination</vt:lpstr>
      <vt:lpstr>        Minority organizations</vt:lpstr>
      <vt:lpstr>        Information about equal treatment of ethnic minorities</vt:lpstr>
      <vt:lpstr>        Infrastructure Anti-discrimination Bureaus </vt:lpstr>
      <vt:lpstr>        Positive action</vt:lpstr>
      <vt:lpstr>        The National Ethnic Minorities Consultative Committee</vt:lpstr>
      <vt:lpstr>        The platforms represented in the LOM</vt:lpstr>
      <vt:lpstr>    B.  Article 4</vt:lpstr>
      <vt:lpstr>        Amendments to the Criminal Code</vt:lpstr>
      <vt:lpstr>        A summary of judgments in discrimination cases from 2002 to 2007</vt:lpstr>
      <vt:lpstr>    C.  Article 5</vt:lpstr>
      <vt:lpstr>        Access to public service</vt:lpstr>
      <vt:lpstr>        Labour market policies for ethnic minorities</vt:lpstr>
      <vt:lpstr>        Statistics</vt:lpstr>
      <vt:lpstr>    Labour force, by gender (x 1,000)</vt:lpstr>
      <vt:lpstr>    Unemployment among people of ethnic Dutch and  non-Western immigrant origin, 19</vt:lpstr>
      <vt:lpstr>        Discrimination in the labour market: equal pay</vt:lpstr>
    </vt:vector>
  </TitlesOfParts>
  <Company>ONU</Company>
  <LinksUpToDate>false</LinksUpToDate>
  <CharactersWithSpaces>134874</CharactersWithSpaces>
  <SharedDoc>false</SharedDoc>
  <HLinks>
    <vt:vector size="12" baseType="variant">
      <vt:variant>
        <vt:i4>196630</vt:i4>
      </vt:variant>
      <vt:variant>
        <vt:i4>18</vt:i4>
      </vt:variant>
      <vt:variant>
        <vt:i4>0</vt:i4>
      </vt:variant>
      <vt:variant>
        <vt:i4>5</vt:i4>
      </vt:variant>
      <vt:variant>
        <vt:lpwstr>http://www.belgelijk.nl/</vt:lpwstr>
      </vt:variant>
      <vt:variant>
        <vt:lpwstr/>
      </vt:variant>
      <vt:variant>
        <vt:i4>720984</vt:i4>
      </vt:variant>
      <vt:variant>
        <vt:i4>15</vt:i4>
      </vt:variant>
      <vt:variant>
        <vt:i4>0</vt:i4>
      </vt:variant>
      <vt:variant>
        <vt:i4>5</vt:i4>
      </vt:variant>
      <vt:variant>
        <vt:lpwstr>http://www.gelijkloon.nl/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0840819</dc:title>
  <dc:subject/>
  <dc:creator>pae</dc:creator>
  <cp:keywords>CERD/C/NLD/18</cp:keywords>
  <dc:description>final, 48 pp</dc:description>
  <cp:lastModifiedBy>Admieng</cp:lastModifiedBy>
  <cp:revision>2</cp:revision>
  <cp:lastPrinted>2008-05-15T08:13:00Z</cp:lastPrinted>
  <dcterms:created xsi:type="dcterms:W3CDTF">2008-05-15T14:14:00Z</dcterms:created>
  <dcterms:modified xsi:type="dcterms:W3CDTF">2008-05-15T14:14:00Z</dcterms:modified>
</cp:coreProperties>
</file>